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11.xml" ContentType="application/vnd.openxmlformats-officedocument.themeOverride+xml"/>
  <Override PartName="/word/charts/chart12.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12.xml" ContentType="application/vnd.openxmlformats-officedocument.themeOverride+xml"/>
  <Override PartName="/word/charts/chart13.xml" ContentType="application/vnd.openxmlformats-officedocument.drawingml.chart+xml"/>
  <Override PartName="/word/theme/themeOverride13.xml" ContentType="application/vnd.openxmlformats-officedocument.themeOverride+xml"/>
  <Override PartName="/word/drawings/drawing1.xml" ContentType="application/vnd.openxmlformats-officedocument.drawingml.chartshapes+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9778CC" w14:textId="737DB930" w:rsidR="00E0460C" w:rsidRPr="00806D3F" w:rsidRDefault="00F966AF" w:rsidP="00900BFD">
      <w:pPr>
        <w:pStyle w:val="Ttulo"/>
        <w:jc w:val="center"/>
      </w:pPr>
      <w:r w:rsidRPr="00900BFD">
        <w:rPr>
          <w:rFonts w:eastAsiaTheme="minorEastAsia" w:cs="Futura"/>
          <w:color w:val="4BACC6" w:themeColor="accent5"/>
          <w:szCs w:val="44"/>
        </w:rPr>
        <w:t>ACTUALIZACIÓN</w:t>
      </w:r>
      <w:r>
        <w:t xml:space="preserve"> DEL </w:t>
      </w:r>
      <w:r w:rsidR="0072129A" w:rsidRPr="00806D3F">
        <w:t>PROGRAMA SECTORIAL DE EDUCACIÓN PÚBLICA DE CALIDAD</w:t>
      </w:r>
      <w:r w:rsidR="00AE26C8">
        <w:t xml:space="preserve"> 2016</w:t>
      </w:r>
      <w:r w:rsidR="00100E0F">
        <w:t xml:space="preserve"> </w:t>
      </w:r>
      <w:r w:rsidR="00AE26C8">
        <w:t>-</w:t>
      </w:r>
      <w:r w:rsidR="00100E0F">
        <w:t xml:space="preserve"> </w:t>
      </w:r>
      <w:r w:rsidR="00AE26C8">
        <w:t>2022</w:t>
      </w:r>
    </w:p>
    <w:p w14:paraId="369EC828" w14:textId="77777777" w:rsidR="000D1A52" w:rsidRPr="000D1A52" w:rsidRDefault="000D1A52" w:rsidP="000D1A52"/>
    <w:p w14:paraId="51A3275A" w14:textId="77777777" w:rsidR="000D1A52" w:rsidRDefault="000D1A52" w:rsidP="000D1A52"/>
    <w:p w14:paraId="0D555060" w14:textId="4D8A0ECC" w:rsidR="000D1A52" w:rsidRPr="000D1A52" w:rsidRDefault="000D1A52" w:rsidP="000D1A52">
      <w:pPr>
        <w:sectPr w:rsidR="000D1A52" w:rsidRPr="000D1A52" w:rsidSect="00806D3F">
          <w:headerReference w:type="default" r:id="rId8"/>
          <w:footerReference w:type="even" r:id="rId9"/>
          <w:footerReference w:type="default" r:id="rId10"/>
          <w:pgSz w:w="12240" w:h="15840" w:code="1"/>
          <w:pgMar w:top="2977" w:right="1043" w:bottom="1701" w:left="1134" w:header="709" w:footer="709" w:gutter="0"/>
          <w:cols w:space="708"/>
          <w:docGrid w:linePitch="360"/>
        </w:sectPr>
      </w:pPr>
    </w:p>
    <w:p w14:paraId="6D26D290" w14:textId="74EA1DFF" w:rsidR="00FF1719" w:rsidRPr="00905FAC" w:rsidRDefault="005F7240" w:rsidP="00905FAC">
      <w:pPr>
        <w:tabs>
          <w:tab w:val="left" w:pos="637"/>
          <w:tab w:val="left" w:leader="dot" w:pos="9498"/>
        </w:tabs>
        <w:spacing w:after="60" w:line="240" w:lineRule="auto"/>
        <w:jc w:val="left"/>
        <w:rPr>
          <w:b/>
          <w:noProof/>
          <w:color w:val="auto"/>
        </w:rPr>
      </w:pPr>
      <w:bookmarkStart w:id="0" w:name="_Toc486841596"/>
      <w:r w:rsidRPr="00905FAC">
        <w:rPr>
          <w:b/>
          <w:noProof/>
          <w:color w:val="auto"/>
        </w:rPr>
        <w:lastRenderedPageBreak/>
        <w:t>CONTENIDO</w:t>
      </w:r>
      <w:bookmarkEnd w:id="0"/>
    </w:p>
    <w:p w14:paraId="4C26206D" w14:textId="77777777" w:rsidR="00FF1719" w:rsidRPr="00905FAC" w:rsidRDefault="00FF1719" w:rsidP="00905FAC">
      <w:pPr>
        <w:tabs>
          <w:tab w:val="left" w:pos="637"/>
          <w:tab w:val="left" w:leader="dot" w:pos="9498"/>
        </w:tabs>
        <w:spacing w:after="60" w:line="240" w:lineRule="auto"/>
        <w:jc w:val="left"/>
        <w:rPr>
          <w:noProof/>
          <w:color w:val="auto"/>
        </w:rPr>
      </w:pPr>
    </w:p>
    <w:p w14:paraId="077C84F1" w14:textId="5D1311A9" w:rsidR="007D50E1" w:rsidRPr="007D50E1" w:rsidRDefault="00B31C47">
      <w:pPr>
        <w:pStyle w:val="TDC1"/>
        <w:rPr>
          <w:rFonts w:ascii="a_FuturaOrto" w:hAnsi="a_FuturaOrto" w:cstheme="minorBidi"/>
          <w:b w:val="0"/>
          <w:bCs w:val="0"/>
          <w:noProof/>
          <w:color w:val="auto"/>
          <w:sz w:val="22"/>
          <w:szCs w:val="22"/>
          <w:lang w:val="es-MX" w:eastAsia="es-MX"/>
        </w:rPr>
      </w:pPr>
      <w:r w:rsidRPr="00905FAC">
        <w:rPr>
          <w:noProof/>
          <w:color w:val="auto"/>
        </w:rPr>
        <w:fldChar w:fldCharType="begin"/>
      </w:r>
      <w:r w:rsidRPr="00905FAC">
        <w:rPr>
          <w:noProof/>
          <w:color w:val="auto"/>
        </w:rPr>
        <w:instrText xml:space="preserve"> TOC \o "1-3" \h \z \u </w:instrText>
      </w:r>
      <w:r w:rsidRPr="00905FAC">
        <w:rPr>
          <w:noProof/>
          <w:color w:val="auto"/>
        </w:rPr>
        <w:fldChar w:fldCharType="separate"/>
      </w:r>
      <w:hyperlink w:anchor="_Toc53409850" w:history="1">
        <w:r w:rsidR="007D50E1" w:rsidRPr="007D50E1">
          <w:rPr>
            <w:rStyle w:val="Hipervnculo"/>
            <w:rFonts w:ascii="a_FuturaOrto" w:hAnsi="a_FuturaOrto"/>
            <w:noProof/>
          </w:rPr>
          <w:t>I. PRESENTACI</w:t>
        </w:r>
        <w:r w:rsidR="007D50E1" w:rsidRPr="007D50E1">
          <w:rPr>
            <w:rStyle w:val="Hipervnculo"/>
            <w:rFonts w:ascii="Calibri" w:hAnsi="Calibri" w:cs="Calibri"/>
            <w:noProof/>
          </w:rPr>
          <w:t>Ó</w:t>
        </w:r>
        <w:r w:rsidR="007D50E1" w:rsidRPr="007D50E1">
          <w:rPr>
            <w:rStyle w:val="Hipervnculo"/>
            <w:rFonts w:ascii="a_FuturaOrto" w:hAnsi="a_FuturaOrto"/>
            <w:noProof/>
          </w:rPr>
          <w:t>N</w:t>
        </w:r>
        <w:r w:rsidR="007D50E1" w:rsidRPr="007D50E1">
          <w:rPr>
            <w:rFonts w:ascii="a_FuturaOrto" w:hAnsi="a_FuturaOrto"/>
            <w:noProof/>
            <w:webHidden/>
          </w:rPr>
          <w:tab/>
        </w:r>
        <w:r w:rsidR="007D50E1" w:rsidRPr="007D50E1">
          <w:rPr>
            <w:rFonts w:ascii="a_FuturaOrto" w:hAnsi="a_FuturaOrto"/>
            <w:noProof/>
            <w:webHidden/>
          </w:rPr>
          <w:fldChar w:fldCharType="begin"/>
        </w:r>
        <w:r w:rsidR="007D50E1" w:rsidRPr="007D50E1">
          <w:rPr>
            <w:rFonts w:ascii="a_FuturaOrto" w:hAnsi="a_FuturaOrto"/>
            <w:noProof/>
            <w:webHidden/>
          </w:rPr>
          <w:instrText xml:space="preserve"> PAGEREF _Toc53409850 \h </w:instrText>
        </w:r>
        <w:r w:rsidR="007D50E1" w:rsidRPr="007D50E1">
          <w:rPr>
            <w:rFonts w:ascii="a_FuturaOrto" w:hAnsi="a_FuturaOrto"/>
            <w:noProof/>
            <w:webHidden/>
          </w:rPr>
        </w:r>
        <w:r w:rsidR="007D50E1" w:rsidRPr="007D50E1">
          <w:rPr>
            <w:rFonts w:ascii="a_FuturaOrto" w:hAnsi="a_FuturaOrto"/>
            <w:noProof/>
            <w:webHidden/>
          </w:rPr>
          <w:fldChar w:fldCharType="separate"/>
        </w:r>
        <w:r w:rsidR="002C15E8">
          <w:rPr>
            <w:rFonts w:ascii="a_FuturaOrto" w:hAnsi="a_FuturaOrto"/>
            <w:noProof/>
            <w:webHidden/>
          </w:rPr>
          <w:t>5</w:t>
        </w:r>
        <w:r w:rsidR="007D50E1" w:rsidRPr="007D50E1">
          <w:rPr>
            <w:rFonts w:ascii="a_FuturaOrto" w:hAnsi="a_FuturaOrto"/>
            <w:noProof/>
            <w:webHidden/>
          </w:rPr>
          <w:fldChar w:fldCharType="end"/>
        </w:r>
      </w:hyperlink>
    </w:p>
    <w:p w14:paraId="4F04B5F7" w14:textId="72D7ACC1" w:rsidR="007D50E1" w:rsidRPr="007D50E1" w:rsidRDefault="005377D7">
      <w:pPr>
        <w:pStyle w:val="TDC1"/>
        <w:rPr>
          <w:rFonts w:ascii="a_FuturaOrto" w:hAnsi="a_FuturaOrto" w:cstheme="minorBidi"/>
          <w:b w:val="0"/>
          <w:bCs w:val="0"/>
          <w:noProof/>
          <w:color w:val="auto"/>
          <w:sz w:val="22"/>
          <w:szCs w:val="22"/>
          <w:lang w:val="es-MX" w:eastAsia="es-MX"/>
        </w:rPr>
      </w:pPr>
      <w:hyperlink w:anchor="_Toc53409851" w:history="1">
        <w:r w:rsidR="007D50E1" w:rsidRPr="007D50E1">
          <w:rPr>
            <w:rStyle w:val="Hipervnculo"/>
            <w:rFonts w:ascii="a_FuturaOrto" w:hAnsi="a_FuturaOrto"/>
            <w:noProof/>
          </w:rPr>
          <w:t>II. INTRODUCCI</w:t>
        </w:r>
        <w:r w:rsidR="007D50E1" w:rsidRPr="007D50E1">
          <w:rPr>
            <w:rStyle w:val="Hipervnculo"/>
            <w:rFonts w:ascii="Calibri" w:hAnsi="Calibri" w:cs="Calibri"/>
            <w:noProof/>
          </w:rPr>
          <w:t>Ó</w:t>
        </w:r>
        <w:r w:rsidR="007D50E1" w:rsidRPr="007D50E1">
          <w:rPr>
            <w:rStyle w:val="Hipervnculo"/>
            <w:rFonts w:ascii="a_FuturaOrto" w:hAnsi="a_FuturaOrto"/>
            <w:noProof/>
          </w:rPr>
          <w:t>N</w:t>
        </w:r>
        <w:r w:rsidR="007D50E1" w:rsidRPr="007D50E1">
          <w:rPr>
            <w:rFonts w:ascii="a_FuturaOrto" w:hAnsi="a_FuturaOrto"/>
            <w:noProof/>
            <w:webHidden/>
          </w:rPr>
          <w:tab/>
        </w:r>
        <w:r w:rsidR="007D50E1" w:rsidRPr="007D50E1">
          <w:rPr>
            <w:rFonts w:ascii="a_FuturaOrto" w:hAnsi="a_FuturaOrto"/>
            <w:noProof/>
            <w:webHidden/>
          </w:rPr>
          <w:fldChar w:fldCharType="begin"/>
        </w:r>
        <w:r w:rsidR="007D50E1" w:rsidRPr="007D50E1">
          <w:rPr>
            <w:rFonts w:ascii="a_FuturaOrto" w:hAnsi="a_FuturaOrto"/>
            <w:noProof/>
            <w:webHidden/>
          </w:rPr>
          <w:instrText xml:space="preserve"> PAGEREF _Toc53409851 \h </w:instrText>
        </w:r>
        <w:r w:rsidR="007D50E1" w:rsidRPr="007D50E1">
          <w:rPr>
            <w:rFonts w:ascii="a_FuturaOrto" w:hAnsi="a_FuturaOrto"/>
            <w:noProof/>
            <w:webHidden/>
          </w:rPr>
        </w:r>
        <w:r w:rsidR="007D50E1" w:rsidRPr="007D50E1">
          <w:rPr>
            <w:rFonts w:ascii="a_FuturaOrto" w:hAnsi="a_FuturaOrto"/>
            <w:noProof/>
            <w:webHidden/>
          </w:rPr>
          <w:fldChar w:fldCharType="separate"/>
        </w:r>
        <w:r w:rsidR="002C15E8">
          <w:rPr>
            <w:rFonts w:ascii="a_FuturaOrto" w:hAnsi="a_FuturaOrto"/>
            <w:noProof/>
            <w:webHidden/>
          </w:rPr>
          <w:t>8</w:t>
        </w:r>
        <w:r w:rsidR="007D50E1" w:rsidRPr="007D50E1">
          <w:rPr>
            <w:rFonts w:ascii="a_FuturaOrto" w:hAnsi="a_FuturaOrto"/>
            <w:noProof/>
            <w:webHidden/>
          </w:rPr>
          <w:fldChar w:fldCharType="end"/>
        </w:r>
      </w:hyperlink>
    </w:p>
    <w:p w14:paraId="02C5A937" w14:textId="6C18184F" w:rsidR="007D50E1" w:rsidRPr="007D50E1" w:rsidRDefault="005377D7">
      <w:pPr>
        <w:pStyle w:val="TDC1"/>
        <w:rPr>
          <w:rFonts w:ascii="a_FuturaOrto" w:hAnsi="a_FuturaOrto" w:cstheme="minorBidi"/>
          <w:b w:val="0"/>
          <w:bCs w:val="0"/>
          <w:noProof/>
          <w:color w:val="auto"/>
          <w:sz w:val="22"/>
          <w:szCs w:val="22"/>
          <w:lang w:val="es-MX" w:eastAsia="es-MX"/>
        </w:rPr>
      </w:pPr>
      <w:hyperlink w:anchor="_Toc53409852" w:history="1">
        <w:r w:rsidR="007D50E1" w:rsidRPr="007D50E1">
          <w:rPr>
            <w:rStyle w:val="Hipervnculo"/>
            <w:rFonts w:ascii="a_FuturaOrto" w:hAnsi="a_FuturaOrto"/>
            <w:noProof/>
          </w:rPr>
          <w:t>III. ANTECEDENTES</w:t>
        </w:r>
        <w:r w:rsidR="007D50E1" w:rsidRPr="007D50E1">
          <w:rPr>
            <w:rFonts w:ascii="a_FuturaOrto" w:hAnsi="a_FuturaOrto"/>
            <w:noProof/>
            <w:webHidden/>
          </w:rPr>
          <w:tab/>
        </w:r>
        <w:r w:rsidR="007D50E1" w:rsidRPr="007D50E1">
          <w:rPr>
            <w:rFonts w:ascii="a_FuturaOrto" w:hAnsi="a_FuturaOrto"/>
            <w:noProof/>
            <w:webHidden/>
          </w:rPr>
          <w:fldChar w:fldCharType="begin"/>
        </w:r>
        <w:r w:rsidR="007D50E1" w:rsidRPr="007D50E1">
          <w:rPr>
            <w:rFonts w:ascii="a_FuturaOrto" w:hAnsi="a_FuturaOrto"/>
            <w:noProof/>
            <w:webHidden/>
          </w:rPr>
          <w:instrText xml:space="preserve"> PAGEREF _Toc53409852 \h </w:instrText>
        </w:r>
        <w:r w:rsidR="007D50E1" w:rsidRPr="007D50E1">
          <w:rPr>
            <w:rFonts w:ascii="a_FuturaOrto" w:hAnsi="a_FuturaOrto"/>
            <w:noProof/>
            <w:webHidden/>
          </w:rPr>
        </w:r>
        <w:r w:rsidR="007D50E1" w:rsidRPr="007D50E1">
          <w:rPr>
            <w:rFonts w:ascii="a_FuturaOrto" w:hAnsi="a_FuturaOrto"/>
            <w:noProof/>
            <w:webHidden/>
          </w:rPr>
          <w:fldChar w:fldCharType="separate"/>
        </w:r>
        <w:r w:rsidR="002C15E8">
          <w:rPr>
            <w:rFonts w:ascii="a_FuturaOrto" w:hAnsi="a_FuturaOrto"/>
            <w:noProof/>
            <w:webHidden/>
          </w:rPr>
          <w:t>12</w:t>
        </w:r>
        <w:r w:rsidR="007D50E1" w:rsidRPr="007D50E1">
          <w:rPr>
            <w:rFonts w:ascii="a_FuturaOrto" w:hAnsi="a_FuturaOrto"/>
            <w:noProof/>
            <w:webHidden/>
          </w:rPr>
          <w:fldChar w:fldCharType="end"/>
        </w:r>
      </w:hyperlink>
    </w:p>
    <w:p w14:paraId="73F94658" w14:textId="33B024D6" w:rsidR="007D50E1" w:rsidRPr="007D50E1" w:rsidRDefault="005377D7">
      <w:pPr>
        <w:pStyle w:val="TDC1"/>
        <w:rPr>
          <w:rFonts w:ascii="a_FuturaOrto" w:hAnsi="a_FuturaOrto" w:cstheme="minorBidi"/>
          <w:b w:val="0"/>
          <w:bCs w:val="0"/>
          <w:noProof/>
          <w:color w:val="auto"/>
          <w:sz w:val="22"/>
          <w:szCs w:val="22"/>
          <w:lang w:val="es-MX" w:eastAsia="es-MX"/>
        </w:rPr>
      </w:pPr>
      <w:hyperlink w:anchor="_Toc53409853" w:history="1">
        <w:r w:rsidR="007D50E1" w:rsidRPr="007D50E1">
          <w:rPr>
            <w:rStyle w:val="Hipervnculo"/>
            <w:rFonts w:ascii="a_FuturaOrto" w:hAnsi="a_FuturaOrto"/>
            <w:noProof/>
          </w:rPr>
          <w:t>IV. MARCO JUR</w:t>
        </w:r>
        <w:r w:rsidR="007D50E1" w:rsidRPr="007D50E1">
          <w:rPr>
            <w:rStyle w:val="Hipervnculo"/>
            <w:rFonts w:ascii="Calibri" w:hAnsi="Calibri" w:cs="Calibri"/>
            <w:noProof/>
          </w:rPr>
          <w:t>Í</w:t>
        </w:r>
        <w:r w:rsidR="007D50E1" w:rsidRPr="007D50E1">
          <w:rPr>
            <w:rStyle w:val="Hipervnculo"/>
            <w:rFonts w:ascii="a_FuturaOrto" w:hAnsi="a_FuturaOrto"/>
            <w:noProof/>
          </w:rPr>
          <w:t>DICO</w:t>
        </w:r>
        <w:r w:rsidR="007D50E1" w:rsidRPr="007D50E1">
          <w:rPr>
            <w:rFonts w:ascii="a_FuturaOrto" w:hAnsi="a_FuturaOrto"/>
            <w:noProof/>
            <w:webHidden/>
          </w:rPr>
          <w:tab/>
        </w:r>
        <w:r w:rsidR="007D50E1" w:rsidRPr="007D50E1">
          <w:rPr>
            <w:rFonts w:ascii="a_FuturaOrto" w:hAnsi="a_FuturaOrto"/>
            <w:noProof/>
            <w:webHidden/>
          </w:rPr>
          <w:fldChar w:fldCharType="begin"/>
        </w:r>
        <w:r w:rsidR="007D50E1" w:rsidRPr="007D50E1">
          <w:rPr>
            <w:rFonts w:ascii="a_FuturaOrto" w:hAnsi="a_FuturaOrto"/>
            <w:noProof/>
            <w:webHidden/>
          </w:rPr>
          <w:instrText xml:space="preserve"> PAGEREF _Toc53409853 \h </w:instrText>
        </w:r>
        <w:r w:rsidR="007D50E1" w:rsidRPr="007D50E1">
          <w:rPr>
            <w:rFonts w:ascii="a_FuturaOrto" w:hAnsi="a_FuturaOrto"/>
            <w:noProof/>
            <w:webHidden/>
          </w:rPr>
        </w:r>
        <w:r w:rsidR="007D50E1" w:rsidRPr="007D50E1">
          <w:rPr>
            <w:rFonts w:ascii="a_FuturaOrto" w:hAnsi="a_FuturaOrto"/>
            <w:noProof/>
            <w:webHidden/>
          </w:rPr>
          <w:fldChar w:fldCharType="separate"/>
        </w:r>
        <w:r w:rsidR="002C15E8">
          <w:rPr>
            <w:rFonts w:ascii="a_FuturaOrto" w:hAnsi="a_FuturaOrto"/>
            <w:noProof/>
            <w:webHidden/>
          </w:rPr>
          <w:t>16</w:t>
        </w:r>
        <w:r w:rsidR="007D50E1" w:rsidRPr="007D50E1">
          <w:rPr>
            <w:rFonts w:ascii="a_FuturaOrto" w:hAnsi="a_FuturaOrto"/>
            <w:noProof/>
            <w:webHidden/>
          </w:rPr>
          <w:fldChar w:fldCharType="end"/>
        </w:r>
      </w:hyperlink>
    </w:p>
    <w:p w14:paraId="3D0C93FC" w14:textId="1EEC6330" w:rsidR="007D50E1" w:rsidRPr="007D50E1" w:rsidRDefault="005377D7">
      <w:pPr>
        <w:pStyle w:val="TDC1"/>
        <w:rPr>
          <w:rFonts w:ascii="a_FuturaOrto" w:hAnsi="a_FuturaOrto" w:cstheme="minorBidi"/>
          <w:b w:val="0"/>
          <w:bCs w:val="0"/>
          <w:noProof/>
          <w:color w:val="auto"/>
          <w:sz w:val="22"/>
          <w:szCs w:val="22"/>
          <w:lang w:val="es-MX" w:eastAsia="es-MX"/>
        </w:rPr>
      </w:pPr>
      <w:hyperlink w:anchor="_Toc53409854" w:history="1">
        <w:r w:rsidR="007D50E1" w:rsidRPr="007D50E1">
          <w:rPr>
            <w:rStyle w:val="Hipervnculo"/>
            <w:rFonts w:ascii="a_FuturaOrto" w:hAnsi="a_FuturaOrto"/>
            <w:noProof/>
          </w:rPr>
          <w:t>V. DIAGN</w:t>
        </w:r>
        <w:r w:rsidR="007D50E1" w:rsidRPr="007D50E1">
          <w:rPr>
            <w:rStyle w:val="Hipervnculo"/>
            <w:rFonts w:ascii="Calibri" w:hAnsi="Calibri" w:cs="Calibri"/>
            <w:noProof/>
          </w:rPr>
          <w:t>Ó</w:t>
        </w:r>
        <w:r w:rsidR="007D50E1" w:rsidRPr="007D50E1">
          <w:rPr>
            <w:rStyle w:val="Hipervnculo"/>
            <w:rFonts w:ascii="a_FuturaOrto" w:hAnsi="a_FuturaOrto"/>
            <w:noProof/>
          </w:rPr>
          <w:t>STICO</w:t>
        </w:r>
        <w:r w:rsidR="007D50E1" w:rsidRPr="007D50E1">
          <w:rPr>
            <w:rFonts w:ascii="a_FuturaOrto" w:hAnsi="a_FuturaOrto"/>
            <w:noProof/>
            <w:webHidden/>
          </w:rPr>
          <w:tab/>
        </w:r>
        <w:r w:rsidR="007D50E1" w:rsidRPr="007D50E1">
          <w:rPr>
            <w:rFonts w:ascii="a_FuturaOrto" w:hAnsi="a_FuturaOrto"/>
            <w:noProof/>
            <w:webHidden/>
          </w:rPr>
          <w:fldChar w:fldCharType="begin"/>
        </w:r>
        <w:r w:rsidR="007D50E1" w:rsidRPr="007D50E1">
          <w:rPr>
            <w:rFonts w:ascii="a_FuturaOrto" w:hAnsi="a_FuturaOrto"/>
            <w:noProof/>
            <w:webHidden/>
          </w:rPr>
          <w:instrText xml:space="preserve"> PAGEREF _Toc53409854 \h </w:instrText>
        </w:r>
        <w:r w:rsidR="007D50E1" w:rsidRPr="007D50E1">
          <w:rPr>
            <w:rFonts w:ascii="a_FuturaOrto" w:hAnsi="a_FuturaOrto"/>
            <w:noProof/>
            <w:webHidden/>
          </w:rPr>
        </w:r>
        <w:r w:rsidR="007D50E1" w:rsidRPr="007D50E1">
          <w:rPr>
            <w:rFonts w:ascii="a_FuturaOrto" w:hAnsi="a_FuturaOrto"/>
            <w:noProof/>
            <w:webHidden/>
          </w:rPr>
          <w:fldChar w:fldCharType="separate"/>
        </w:r>
        <w:r w:rsidR="002C15E8">
          <w:rPr>
            <w:rFonts w:ascii="a_FuturaOrto" w:hAnsi="a_FuturaOrto"/>
            <w:noProof/>
            <w:webHidden/>
          </w:rPr>
          <w:t>21</w:t>
        </w:r>
        <w:r w:rsidR="007D50E1" w:rsidRPr="007D50E1">
          <w:rPr>
            <w:rFonts w:ascii="a_FuturaOrto" w:hAnsi="a_FuturaOrto"/>
            <w:noProof/>
            <w:webHidden/>
          </w:rPr>
          <w:fldChar w:fldCharType="end"/>
        </w:r>
      </w:hyperlink>
    </w:p>
    <w:p w14:paraId="2695F840" w14:textId="0E62B826" w:rsidR="007D50E1" w:rsidRPr="007D50E1" w:rsidRDefault="005377D7">
      <w:pPr>
        <w:pStyle w:val="TDC1"/>
        <w:rPr>
          <w:rFonts w:ascii="a_FuturaOrto" w:hAnsi="a_FuturaOrto" w:cstheme="minorBidi"/>
          <w:b w:val="0"/>
          <w:bCs w:val="0"/>
          <w:noProof/>
          <w:color w:val="auto"/>
          <w:sz w:val="22"/>
          <w:szCs w:val="22"/>
          <w:lang w:val="es-MX" w:eastAsia="es-MX"/>
        </w:rPr>
      </w:pPr>
      <w:hyperlink w:anchor="_Toc53409855" w:history="1">
        <w:r w:rsidR="007D50E1" w:rsidRPr="007D50E1">
          <w:rPr>
            <w:rStyle w:val="Hipervnculo"/>
            <w:rFonts w:ascii="a_FuturaOrto" w:hAnsi="a_FuturaOrto"/>
            <w:noProof/>
          </w:rPr>
          <w:t>VI. CONTEXTO</w:t>
        </w:r>
        <w:r w:rsidR="007D50E1" w:rsidRPr="007D50E1">
          <w:rPr>
            <w:rFonts w:ascii="a_FuturaOrto" w:hAnsi="a_FuturaOrto"/>
            <w:noProof/>
            <w:webHidden/>
          </w:rPr>
          <w:tab/>
        </w:r>
        <w:r w:rsidR="007D50E1" w:rsidRPr="007D50E1">
          <w:rPr>
            <w:rFonts w:ascii="a_FuturaOrto" w:hAnsi="a_FuturaOrto"/>
            <w:noProof/>
            <w:webHidden/>
          </w:rPr>
          <w:fldChar w:fldCharType="begin"/>
        </w:r>
        <w:r w:rsidR="007D50E1" w:rsidRPr="007D50E1">
          <w:rPr>
            <w:rFonts w:ascii="a_FuturaOrto" w:hAnsi="a_FuturaOrto"/>
            <w:noProof/>
            <w:webHidden/>
          </w:rPr>
          <w:instrText xml:space="preserve"> PAGEREF _Toc53409855 \h </w:instrText>
        </w:r>
        <w:r w:rsidR="007D50E1" w:rsidRPr="007D50E1">
          <w:rPr>
            <w:rFonts w:ascii="a_FuturaOrto" w:hAnsi="a_FuturaOrto"/>
            <w:noProof/>
            <w:webHidden/>
          </w:rPr>
        </w:r>
        <w:r w:rsidR="007D50E1" w:rsidRPr="007D50E1">
          <w:rPr>
            <w:rFonts w:ascii="a_FuturaOrto" w:hAnsi="a_FuturaOrto"/>
            <w:noProof/>
            <w:webHidden/>
          </w:rPr>
          <w:fldChar w:fldCharType="separate"/>
        </w:r>
        <w:r w:rsidR="002C15E8">
          <w:rPr>
            <w:rFonts w:ascii="a_FuturaOrto" w:hAnsi="a_FuturaOrto"/>
            <w:noProof/>
            <w:webHidden/>
          </w:rPr>
          <w:t>62</w:t>
        </w:r>
        <w:r w:rsidR="007D50E1" w:rsidRPr="007D50E1">
          <w:rPr>
            <w:rFonts w:ascii="a_FuturaOrto" w:hAnsi="a_FuturaOrto"/>
            <w:noProof/>
            <w:webHidden/>
          </w:rPr>
          <w:fldChar w:fldCharType="end"/>
        </w:r>
      </w:hyperlink>
    </w:p>
    <w:p w14:paraId="62617096" w14:textId="232FAD09" w:rsidR="007D50E1" w:rsidRPr="007D50E1" w:rsidRDefault="005377D7">
      <w:pPr>
        <w:pStyle w:val="TDC2"/>
        <w:rPr>
          <w:rFonts w:ascii="a_FuturaOrto" w:hAnsi="a_FuturaOrto" w:cstheme="minorBidi"/>
          <w:iCs w:val="0"/>
          <w:color w:val="auto"/>
          <w:sz w:val="22"/>
          <w:szCs w:val="22"/>
          <w:lang w:val="es-MX" w:eastAsia="es-MX"/>
        </w:rPr>
      </w:pPr>
      <w:hyperlink w:anchor="_Toc53409856" w:history="1">
        <w:r w:rsidR="007D50E1" w:rsidRPr="007D50E1">
          <w:rPr>
            <w:rStyle w:val="Hipervnculo"/>
            <w:rFonts w:ascii="a_FuturaOrto" w:hAnsi="a_FuturaOrto"/>
          </w:rPr>
          <w:t>Alineaci</w:t>
        </w:r>
        <w:r w:rsidR="007D50E1" w:rsidRPr="007D50E1">
          <w:rPr>
            <w:rStyle w:val="Hipervnculo"/>
            <w:rFonts w:ascii="Calibri" w:hAnsi="Calibri" w:cs="Calibri"/>
          </w:rPr>
          <w:t>ó</w:t>
        </w:r>
        <w:r w:rsidR="007D50E1" w:rsidRPr="007D50E1">
          <w:rPr>
            <w:rStyle w:val="Hipervnculo"/>
            <w:rFonts w:ascii="a_FuturaOrto" w:hAnsi="a_FuturaOrto"/>
          </w:rPr>
          <w:t>n del Programa con el Plan Nacional de Desarrollo, Programa Sectorial Federal y el PED 2016-2022</w:t>
        </w:r>
        <w:r w:rsidR="007D50E1" w:rsidRPr="007D50E1">
          <w:rPr>
            <w:rFonts w:ascii="a_FuturaOrto" w:hAnsi="a_FuturaOrto"/>
            <w:webHidden/>
          </w:rPr>
          <w:tab/>
        </w:r>
        <w:r w:rsidR="007D50E1" w:rsidRPr="007D50E1">
          <w:rPr>
            <w:rFonts w:ascii="a_FuturaOrto" w:hAnsi="a_FuturaOrto"/>
            <w:webHidden/>
          </w:rPr>
          <w:fldChar w:fldCharType="begin"/>
        </w:r>
        <w:r w:rsidR="007D50E1" w:rsidRPr="007D50E1">
          <w:rPr>
            <w:rFonts w:ascii="a_FuturaOrto" w:hAnsi="a_FuturaOrto"/>
            <w:webHidden/>
          </w:rPr>
          <w:instrText xml:space="preserve"> PAGEREF _Toc53409856 \h </w:instrText>
        </w:r>
        <w:r w:rsidR="007D50E1" w:rsidRPr="007D50E1">
          <w:rPr>
            <w:rFonts w:ascii="a_FuturaOrto" w:hAnsi="a_FuturaOrto"/>
            <w:webHidden/>
          </w:rPr>
        </w:r>
        <w:r w:rsidR="007D50E1" w:rsidRPr="007D50E1">
          <w:rPr>
            <w:rFonts w:ascii="a_FuturaOrto" w:hAnsi="a_FuturaOrto"/>
            <w:webHidden/>
          </w:rPr>
          <w:fldChar w:fldCharType="separate"/>
        </w:r>
        <w:r w:rsidR="002C15E8">
          <w:rPr>
            <w:rFonts w:ascii="a_FuturaOrto" w:hAnsi="a_FuturaOrto"/>
            <w:webHidden/>
          </w:rPr>
          <w:t>65</w:t>
        </w:r>
        <w:r w:rsidR="007D50E1" w:rsidRPr="007D50E1">
          <w:rPr>
            <w:rFonts w:ascii="a_FuturaOrto" w:hAnsi="a_FuturaOrto"/>
            <w:webHidden/>
          </w:rPr>
          <w:fldChar w:fldCharType="end"/>
        </w:r>
      </w:hyperlink>
    </w:p>
    <w:p w14:paraId="4F291351" w14:textId="6C81130E" w:rsidR="007D50E1" w:rsidRPr="007D50E1" w:rsidRDefault="005377D7">
      <w:pPr>
        <w:pStyle w:val="TDC2"/>
        <w:rPr>
          <w:rFonts w:ascii="a_FuturaOrto" w:hAnsi="a_FuturaOrto" w:cstheme="minorBidi"/>
          <w:iCs w:val="0"/>
          <w:color w:val="auto"/>
          <w:sz w:val="22"/>
          <w:szCs w:val="22"/>
          <w:lang w:val="es-MX" w:eastAsia="es-MX"/>
        </w:rPr>
      </w:pPr>
      <w:hyperlink w:anchor="_Toc53409857" w:history="1">
        <w:r w:rsidR="007D50E1" w:rsidRPr="007D50E1">
          <w:rPr>
            <w:rStyle w:val="Hipervnculo"/>
            <w:rFonts w:ascii="a_FuturaOrto" w:hAnsi="a_FuturaOrto"/>
          </w:rPr>
          <w:t>Alineaci</w:t>
        </w:r>
        <w:r w:rsidR="007D50E1" w:rsidRPr="007D50E1">
          <w:rPr>
            <w:rStyle w:val="Hipervnculo"/>
            <w:rFonts w:ascii="Calibri" w:hAnsi="Calibri" w:cs="Calibri"/>
          </w:rPr>
          <w:t>ó</w:t>
        </w:r>
        <w:r w:rsidR="007D50E1" w:rsidRPr="007D50E1">
          <w:rPr>
            <w:rStyle w:val="Hipervnculo"/>
            <w:rFonts w:ascii="a_FuturaOrto" w:hAnsi="a_FuturaOrto"/>
          </w:rPr>
          <w:t>n Estructural PED-Programa Sectorial de Educaci</w:t>
        </w:r>
        <w:r w:rsidR="007D50E1" w:rsidRPr="007D50E1">
          <w:rPr>
            <w:rStyle w:val="Hipervnculo"/>
            <w:rFonts w:ascii="Calibri" w:hAnsi="Calibri" w:cs="Calibri"/>
          </w:rPr>
          <w:t>ó</w:t>
        </w:r>
        <w:r w:rsidR="007D50E1" w:rsidRPr="007D50E1">
          <w:rPr>
            <w:rStyle w:val="Hipervnculo"/>
            <w:rFonts w:ascii="a_FuturaOrto" w:hAnsi="a_FuturaOrto"/>
          </w:rPr>
          <w:t>n P</w:t>
        </w:r>
        <w:r w:rsidR="007D50E1" w:rsidRPr="007D50E1">
          <w:rPr>
            <w:rStyle w:val="Hipervnculo"/>
            <w:rFonts w:ascii="Calibri" w:hAnsi="Calibri" w:cs="Calibri"/>
          </w:rPr>
          <w:t>ú</w:t>
        </w:r>
        <w:r w:rsidR="007D50E1" w:rsidRPr="007D50E1">
          <w:rPr>
            <w:rStyle w:val="Hipervnculo"/>
            <w:rFonts w:ascii="a_FuturaOrto" w:hAnsi="a_FuturaOrto"/>
          </w:rPr>
          <w:t>blica de Calidad</w:t>
        </w:r>
        <w:r w:rsidR="007D50E1" w:rsidRPr="007D50E1">
          <w:rPr>
            <w:rFonts w:ascii="a_FuturaOrto" w:hAnsi="a_FuturaOrto"/>
            <w:webHidden/>
          </w:rPr>
          <w:tab/>
        </w:r>
        <w:r w:rsidR="007D50E1" w:rsidRPr="007D50E1">
          <w:rPr>
            <w:rFonts w:ascii="a_FuturaOrto" w:hAnsi="a_FuturaOrto"/>
            <w:webHidden/>
          </w:rPr>
          <w:fldChar w:fldCharType="begin"/>
        </w:r>
        <w:r w:rsidR="007D50E1" w:rsidRPr="007D50E1">
          <w:rPr>
            <w:rFonts w:ascii="a_FuturaOrto" w:hAnsi="a_FuturaOrto"/>
            <w:webHidden/>
          </w:rPr>
          <w:instrText xml:space="preserve"> PAGEREF _Toc53409857 \h </w:instrText>
        </w:r>
        <w:r w:rsidR="007D50E1" w:rsidRPr="007D50E1">
          <w:rPr>
            <w:rFonts w:ascii="a_FuturaOrto" w:hAnsi="a_FuturaOrto"/>
            <w:webHidden/>
          </w:rPr>
        </w:r>
        <w:r w:rsidR="007D50E1" w:rsidRPr="007D50E1">
          <w:rPr>
            <w:rFonts w:ascii="a_FuturaOrto" w:hAnsi="a_FuturaOrto"/>
            <w:webHidden/>
          </w:rPr>
          <w:fldChar w:fldCharType="separate"/>
        </w:r>
        <w:r w:rsidR="002C15E8">
          <w:rPr>
            <w:rFonts w:ascii="a_FuturaOrto" w:hAnsi="a_FuturaOrto"/>
            <w:webHidden/>
          </w:rPr>
          <w:t>71</w:t>
        </w:r>
        <w:r w:rsidR="007D50E1" w:rsidRPr="007D50E1">
          <w:rPr>
            <w:rFonts w:ascii="a_FuturaOrto" w:hAnsi="a_FuturaOrto"/>
            <w:webHidden/>
          </w:rPr>
          <w:fldChar w:fldCharType="end"/>
        </w:r>
      </w:hyperlink>
    </w:p>
    <w:p w14:paraId="75D6E8AF" w14:textId="53F707AB" w:rsidR="007D50E1" w:rsidRPr="007D50E1" w:rsidRDefault="005377D7">
      <w:pPr>
        <w:pStyle w:val="TDC1"/>
        <w:rPr>
          <w:rFonts w:ascii="a_FuturaOrto" w:hAnsi="a_FuturaOrto" w:cstheme="minorBidi"/>
          <w:b w:val="0"/>
          <w:bCs w:val="0"/>
          <w:noProof/>
          <w:color w:val="auto"/>
          <w:sz w:val="22"/>
          <w:szCs w:val="22"/>
          <w:lang w:val="es-MX" w:eastAsia="es-MX"/>
        </w:rPr>
      </w:pPr>
      <w:hyperlink w:anchor="_Toc53409858" w:history="1">
        <w:r w:rsidR="007D50E1" w:rsidRPr="007D50E1">
          <w:rPr>
            <w:rStyle w:val="Hipervnculo"/>
            <w:rFonts w:ascii="a_FuturaOrto" w:hAnsi="a_FuturaOrto"/>
            <w:noProof/>
          </w:rPr>
          <w:t>VII. MISI</w:t>
        </w:r>
        <w:r w:rsidR="007D50E1" w:rsidRPr="007D50E1">
          <w:rPr>
            <w:rStyle w:val="Hipervnculo"/>
            <w:rFonts w:ascii="Calibri" w:hAnsi="Calibri" w:cs="Calibri"/>
            <w:noProof/>
          </w:rPr>
          <w:t>Ó</w:t>
        </w:r>
        <w:r w:rsidR="007D50E1" w:rsidRPr="007D50E1">
          <w:rPr>
            <w:rStyle w:val="Hipervnculo"/>
            <w:rFonts w:ascii="a_FuturaOrto" w:hAnsi="a_FuturaOrto"/>
            <w:noProof/>
          </w:rPr>
          <w:t>N</w:t>
        </w:r>
        <w:r w:rsidR="007D50E1" w:rsidRPr="007D50E1">
          <w:rPr>
            <w:rFonts w:ascii="a_FuturaOrto" w:hAnsi="a_FuturaOrto"/>
            <w:noProof/>
            <w:webHidden/>
          </w:rPr>
          <w:tab/>
        </w:r>
        <w:r w:rsidR="007D50E1" w:rsidRPr="007D50E1">
          <w:rPr>
            <w:rFonts w:ascii="a_FuturaOrto" w:hAnsi="a_FuturaOrto"/>
            <w:noProof/>
            <w:webHidden/>
          </w:rPr>
          <w:fldChar w:fldCharType="begin"/>
        </w:r>
        <w:r w:rsidR="007D50E1" w:rsidRPr="007D50E1">
          <w:rPr>
            <w:rFonts w:ascii="a_FuturaOrto" w:hAnsi="a_FuturaOrto"/>
            <w:noProof/>
            <w:webHidden/>
          </w:rPr>
          <w:instrText xml:space="preserve"> PAGEREF _Toc53409858 \h </w:instrText>
        </w:r>
        <w:r w:rsidR="007D50E1" w:rsidRPr="007D50E1">
          <w:rPr>
            <w:rFonts w:ascii="a_FuturaOrto" w:hAnsi="a_FuturaOrto"/>
            <w:noProof/>
            <w:webHidden/>
          </w:rPr>
        </w:r>
        <w:r w:rsidR="007D50E1" w:rsidRPr="007D50E1">
          <w:rPr>
            <w:rFonts w:ascii="a_FuturaOrto" w:hAnsi="a_FuturaOrto"/>
            <w:noProof/>
            <w:webHidden/>
          </w:rPr>
          <w:fldChar w:fldCharType="separate"/>
        </w:r>
        <w:r w:rsidR="002C15E8">
          <w:rPr>
            <w:rFonts w:ascii="a_FuturaOrto" w:hAnsi="a_FuturaOrto"/>
            <w:noProof/>
            <w:webHidden/>
          </w:rPr>
          <w:t>127</w:t>
        </w:r>
        <w:r w:rsidR="007D50E1" w:rsidRPr="007D50E1">
          <w:rPr>
            <w:rFonts w:ascii="a_FuturaOrto" w:hAnsi="a_FuturaOrto"/>
            <w:noProof/>
            <w:webHidden/>
          </w:rPr>
          <w:fldChar w:fldCharType="end"/>
        </w:r>
      </w:hyperlink>
    </w:p>
    <w:p w14:paraId="50A96EBE" w14:textId="33F94646" w:rsidR="007D50E1" w:rsidRPr="007D50E1" w:rsidRDefault="005377D7">
      <w:pPr>
        <w:pStyle w:val="TDC1"/>
        <w:rPr>
          <w:rFonts w:ascii="a_FuturaOrto" w:hAnsi="a_FuturaOrto" w:cstheme="minorBidi"/>
          <w:b w:val="0"/>
          <w:bCs w:val="0"/>
          <w:noProof/>
          <w:color w:val="auto"/>
          <w:sz w:val="22"/>
          <w:szCs w:val="22"/>
          <w:lang w:val="es-MX" w:eastAsia="es-MX"/>
        </w:rPr>
      </w:pPr>
      <w:hyperlink w:anchor="_Toc53409859" w:history="1">
        <w:r w:rsidR="007D50E1" w:rsidRPr="007D50E1">
          <w:rPr>
            <w:rStyle w:val="Hipervnculo"/>
            <w:rFonts w:ascii="a_FuturaOrto" w:hAnsi="a_FuturaOrto"/>
            <w:noProof/>
          </w:rPr>
          <w:t>VIII. VISI</w:t>
        </w:r>
        <w:r w:rsidR="007D50E1" w:rsidRPr="007D50E1">
          <w:rPr>
            <w:rStyle w:val="Hipervnculo"/>
            <w:rFonts w:ascii="Calibri" w:hAnsi="Calibri" w:cs="Calibri"/>
            <w:noProof/>
          </w:rPr>
          <w:t>Ó</w:t>
        </w:r>
        <w:r w:rsidR="007D50E1" w:rsidRPr="007D50E1">
          <w:rPr>
            <w:rStyle w:val="Hipervnculo"/>
            <w:rFonts w:ascii="a_FuturaOrto" w:hAnsi="a_FuturaOrto"/>
            <w:noProof/>
          </w:rPr>
          <w:t>N</w:t>
        </w:r>
        <w:r w:rsidR="007D50E1" w:rsidRPr="007D50E1">
          <w:rPr>
            <w:rFonts w:ascii="a_FuturaOrto" w:hAnsi="a_FuturaOrto"/>
            <w:noProof/>
            <w:webHidden/>
          </w:rPr>
          <w:tab/>
        </w:r>
        <w:r w:rsidR="007D50E1" w:rsidRPr="007D50E1">
          <w:rPr>
            <w:rFonts w:ascii="a_FuturaOrto" w:hAnsi="a_FuturaOrto"/>
            <w:noProof/>
            <w:webHidden/>
          </w:rPr>
          <w:fldChar w:fldCharType="begin"/>
        </w:r>
        <w:r w:rsidR="007D50E1" w:rsidRPr="007D50E1">
          <w:rPr>
            <w:rFonts w:ascii="a_FuturaOrto" w:hAnsi="a_FuturaOrto"/>
            <w:noProof/>
            <w:webHidden/>
          </w:rPr>
          <w:instrText xml:space="preserve"> PAGEREF _Toc53409859 \h </w:instrText>
        </w:r>
        <w:r w:rsidR="007D50E1" w:rsidRPr="007D50E1">
          <w:rPr>
            <w:rFonts w:ascii="a_FuturaOrto" w:hAnsi="a_FuturaOrto"/>
            <w:noProof/>
            <w:webHidden/>
          </w:rPr>
        </w:r>
        <w:r w:rsidR="007D50E1" w:rsidRPr="007D50E1">
          <w:rPr>
            <w:rFonts w:ascii="a_FuturaOrto" w:hAnsi="a_FuturaOrto"/>
            <w:noProof/>
            <w:webHidden/>
          </w:rPr>
          <w:fldChar w:fldCharType="separate"/>
        </w:r>
        <w:r w:rsidR="002C15E8">
          <w:rPr>
            <w:rFonts w:ascii="a_FuturaOrto" w:hAnsi="a_FuturaOrto"/>
            <w:noProof/>
            <w:webHidden/>
          </w:rPr>
          <w:t>129</w:t>
        </w:r>
        <w:r w:rsidR="007D50E1" w:rsidRPr="007D50E1">
          <w:rPr>
            <w:rFonts w:ascii="a_FuturaOrto" w:hAnsi="a_FuturaOrto"/>
            <w:noProof/>
            <w:webHidden/>
          </w:rPr>
          <w:fldChar w:fldCharType="end"/>
        </w:r>
      </w:hyperlink>
    </w:p>
    <w:p w14:paraId="0F0A61E4" w14:textId="7901AF55" w:rsidR="007D50E1" w:rsidRPr="007D50E1" w:rsidRDefault="005377D7">
      <w:pPr>
        <w:pStyle w:val="TDC1"/>
        <w:rPr>
          <w:rFonts w:ascii="a_FuturaOrto" w:hAnsi="a_FuturaOrto" w:cstheme="minorBidi"/>
          <w:b w:val="0"/>
          <w:bCs w:val="0"/>
          <w:noProof/>
          <w:color w:val="auto"/>
          <w:sz w:val="22"/>
          <w:szCs w:val="22"/>
          <w:lang w:val="es-MX" w:eastAsia="es-MX"/>
        </w:rPr>
      </w:pPr>
      <w:hyperlink w:anchor="_Toc53409860" w:history="1">
        <w:r w:rsidR="007D50E1" w:rsidRPr="007D50E1">
          <w:rPr>
            <w:rStyle w:val="Hipervnculo"/>
            <w:rFonts w:ascii="a_FuturaOrto" w:hAnsi="a_FuturaOrto"/>
            <w:noProof/>
          </w:rPr>
          <w:t>IX. POL</w:t>
        </w:r>
        <w:r w:rsidR="007D50E1" w:rsidRPr="007D50E1">
          <w:rPr>
            <w:rStyle w:val="Hipervnculo"/>
            <w:rFonts w:ascii="Calibri" w:hAnsi="Calibri" w:cs="Calibri"/>
            <w:noProof/>
          </w:rPr>
          <w:t>Í</w:t>
        </w:r>
        <w:r w:rsidR="007D50E1" w:rsidRPr="007D50E1">
          <w:rPr>
            <w:rStyle w:val="Hipervnculo"/>
            <w:rFonts w:ascii="a_FuturaOrto" w:hAnsi="a_FuturaOrto"/>
            <w:noProof/>
          </w:rPr>
          <w:t>TICAS</w:t>
        </w:r>
        <w:r w:rsidR="007D50E1" w:rsidRPr="007D50E1">
          <w:rPr>
            <w:rFonts w:ascii="a_FuturaOrto" w:hAnsi="a_FuturaOrto"/>
            <w:noProof/>
            <w:webHidden/>
          </w:rPr>
          <w:tab/>
        </w:r>
        <w:r w:rsidR="007D50E1" w:rsidRPr="007D50E1">
          <w:rPr>
            <w:rFonts w:ascii="a_FuturaOrto" w:hAnsi="a_FuturaOrto"/>
            <w:noProof/>
            <w:webHidden/>
          </w:rPr>
          <w:fldChar w:fldCharType="begin"/>
        </w:r>
        <w:r w:rsidR="007D50E1" w:rsidRPr="007D50E1">
          <w:rPr>
            <w:rFonts w:ascii="a_FuturaOrto" w:hAnsi="a_FuturaOrto"/>
            <w:noProof/>
            <w:webHidden/>
          </w:rPr>
          <w:instrText xml:space="preserve"> PAGEREF _Toc53409860 \h </w:instrText>
        </w:r>
        <w:r w:rsidR="007D50E1" w:rsidRPr="007D50E1">
          <w:rPr>
            <w:rFonts w:ascii="a_FuturaOrto" w:hAnsi="a_FuturaOrto"/>
            <w:noProof/>
            <w:webHidden/>
          </w:rPr>
        </w:r>
        <w:r w:rsidR="007D50E1" w:rsidRPr="007D50E1">
          <w:rPr>
            <w:rFonts w:ascii="a_FuturaOrto" w:hAnsi="a_FuturaOrto"/>
            <w:noProof/>
            <w:webHidden/>
          </w:rPr>
          <w:fldChar w:fldCharType="separate"/>
        </w:r>
        <w:r w:rsidR="002C15E8">
          <w:rPr>
            <w:rFonts w:ascii="a_FuturaOrto" w:hAnsi="a_FuturaOrto"/>
            <w:noProof/>
            <w:webHidden/>
          </w:rPr>
          <w:t>131</w:t>
        </w:r>
        <w:r w:rsidR="007D50E1" w:rsidRPr="007D50E1">
          <w:rPr>
            <w:rFonts w:ascii="a_FuturaOrto" w:hAnsi="a_FuturaOrto"/>
            <w:noProof/>
            <w:webHidden/>
          </w:rPr>
          <w:fldChar w:fldCharType="end"/>
        </w:r>
      </w:hyperlink>
    </w:p>
    <w:p w14:paraId="1C5A2CC4" w14:textId="16958C09" w:rsidR="007D50E1" w:rsidRPr="007D50E1" w:rsidRDefault="005377D7">
      <w:pPr>
        <w:pStyle w:val="TDC1"/>
        <w:rPr>
          <w:rFonts w:ascii="a_FuturaOrto" w:hAnsi="a_FuturaOrto" w:cstheme="minorBidi"/>
          <w:b w:val="0"/>
          <w:bCs w:val="0"/>
          <w:noProof/>
          <w:color w:val="auto"/>
          <w:sz w:val="22"/>
          <w:szCs w:val="22"/>
          <w:lang w:val="es-MX" w:eastAsia="es-MX"/>
        </w:rPr>
      </w:pPr>
      <w:hyperlink w:anchor="_Toc53409861" w:history="1">
        <w:r w:rsidR="007D50E1" w:rsidRPr="007D50E1">
          <w:rPr>
            <w:rStyle w:val="Hipervnculo"/>
            <w:rFonts w:ascii="a_FuturaOrto" w:hAnsi="a_FuturaOrto"/>
            <w:noProof/>
          </w:rPr>
          <w:t>X. APARTADO ESTRAT</w:t>
        </w:r>
        <w:r w:rsidR="007D50E1" w:rsidRPr="007D50E1">
          <w:rPr>
            <w:rStyle w:val="Hipervnculo"/>
            <w:rFonts w:ascii="Calibri" w:hAnsi="Calibri" w:cs="Calibri"/>
            <w:noProof/>
          </w:rPr>
          <w:t>É</w:t>
        </w:r>
        <w:r w:rsidR="007D50E1" w:rsidRPr="007D50E1">
          <w:rPr>
            <w:rStyle w:val="Hipervnculo"/>
            <w:rFonts w:ascii="a_FuturaOrto" w:hAnsi="a_FuturaOrto"/>
            <w:noProof/>
          </w:rPr>
          <w:t>GICO</w:t>
        </w:r>
        <w:r w:rsidR="007D50E1" w:rsidRPr="007D50E1">
          <w:rPr>
            <w:rFonts w:ascii="a_FuturaOrto" w:hAnsi="a_FuturaOrto"/>
            <w:noProof/>
            <w:webHidden/>
          </w:rPr>
          <w:tab/>
        </w:r>
        <w:r w:rsidR="007D50E1" w:rsidRPr="007D50E1">
          <w:rPr>
            <w:rFonts w:ascii="a_FuturaOrto" w:hAnsi="a_FuturaOrto"/>
            <w:noProof/>
            <w:webHidden/>
          </w:rPr>
          <w:fldChar w:fldCharType="begin"/>
        </w:r>
        <w:r w:rsidR="007D50E1" w:rsidRPr="007D50E1">
          <w:rPr>
            <w:rFonts w:ascii="a_FuturaOrto" w:hAnsi="a_FuturaOrto"/>
            <w:noProof/>
            <w:webHidden/>
          </w:rPr>
          <w:instrText xml:space="preserve"> PAGEREF _Toc53409861 \h </w:instrText>
        </w:r>
        <w:r w:rsidR="007D50E1" w:rsidRPr="007D50E1">
          <w:rPr>
            <w:rFonts w:ascii="a_FuturaOrto" w:hAnsi="a_FuturaOrto"/>
            <w:noProof/>
            <w:webHidden/>
          </w:rPr>
        </w:r>
        <w:r w:rsidR="007D50E1" w:rsidRPr="007D50E1">
          <w:rPr>
            <w:rFonts w:ascii="a_FuturaOrto" w:hAnsi="a_FuturaOrto"/>
            <w:noProof/>
            <w:webHidden/>
          </w:rPr>
          <w:fldChar w:fldCharType="separate"/>
        </w:r>
        <w:r w:rsidR="002C15E8">
          <w:rPr>
            <w:rFonts w:ascii="a_FuturaOrto" w:hAnsi="a_FuturaOrto"/>
            <w:noProof/>
            <w:webHidden/>
          </w:rPr>
          <w:t>134</w:t>
        </w:r>
        <w:r w:rsidR="007D50E1" w:rsidRPr="007D50E1">
          <w:rPr>
            <w:rFonts w:ascii="a_FuturaOrto" w:hAnsi="a_FuturaOrto"/>
            <w:noProof/>
            <w:webHidden/>
          </w:rPr>
          <w:fldChar w:fldCharType="end"/>
        </w:r>
      </w:hyperlink>
    </w:p>
    <w:p w14:paraId="4A7412E0" w14:textId="1D09569B" w:rsidR="007D50E1" w:rsidRPr="007D50E1" w:rsidRDefault="005377D7">
      <w:pPr>
        <w:pStyle w:val="TDC2"/>
        <w:rPr>
          <w:rFonts w:ascii="a_FuturaOrto" w:hAnsi="a_FuturaOrto" w:cstheme="minorBidi"/>
          <w:iCs w:val="0"/>
          <w:color w:val="auto"/>
          <w:sz w:val="22"/>
          <w:szCs w:val="22"/>
          <w:lang w:val="es-MX" w:eastAsia="es-MX"/>
        </w:rPr>
      </w:pPr>
      <w:hyperlink w:anchor="_Toc53409862" w:history="1">
        <w:r w:rsidR="007D50E1" w:rsidRPr="007D50E1">
          <w:rPr>
            <w:rStyle w:val="Hipervnculo"/>
            <w:rFonts w:ascii="a_FuturaOrto" w:hAnsi="a_FuturaOrto"/>
          </w:rPr>
          <w:t>Tema 1. Educaci</w:t>
        </w:r>
        <w:r w:rsidR="007D50E1" w:rsidRPr="007D50E1">
          <w:rPr>
            <w:rStyle w:val="Hipervnculo"/>
            <w:rFonts w:ascii="Calibri" w:hAnsi="Calibri" w:cs="Calibri"/>
          </w:rPr>
          <w:t>ó</w:t>
        </w:r>
        <w:r w:rsidR="007D50E1" w:rsidRPr="007D50E1">
          <w:rPr>
            <w:rStyle w:val="Hipervnculo"/>
            <w:rFonts w:ascii="a_FuturaOrto" w:hAnsi="a_FuturaOrto"/>
          </w:rPr>
          <w:t>n b</w:t>
        </w:r>
        <w:r w:rsidR="007D50E1" w:rsidRPr="007D50E1">
          <w:rPr>
            <w:rStyle w:val="Hipervnculo"/>
            <w:rFonts w:ascii="Calibri" w:hAnsi="Calibri" w:cs="Calibri"/>
          </w:rPr>
          <w:t>á</w:t>
        </w:r>
        <w:r w:rsidR="007D50E1" w:rsidRPr="007D50E1">
          <w:rPr>
            <w:rStyle w:val="Hipervnculo"/>
            <w:rFonts w:ascii="a_FuturaOrto" w:hAnsi="a_FuturaOrto"/>
          </w:rPr>
          <w:t>sica</w:t>
        </w:r>
        <w:r w:rsidR="007D50E1" w:rsidRPr="007D50E1">
          <w:rPr>
            <w:rFonts w:ascii="a_FuturaOrto" w:hAnsi="a_FuturaOrto"/>
            <w:webHidden/>
          </w:rPr>
          <w:tab/>
        </w:r>
        <w:r w:rsidR="007D50E1" w:rsidRPr="007D50E1">
          <w:rPr>
            <w:rFonts w:ascii="a_FuturaOrto" w:hAnsi="a_FuturaOrto"/>
            <w:webHidden/>
          </w:rPr>
          <w:fldChar w:fldCharType="begin"/>
        </w:r>
        <w:r w:rsidR="007D50E1" w:rsidRPr="007D50E1">
          <w:rPr>
            <w:rFonts w:ascii="a_FuturaOrto" w:hAnsi="a_FuturaOrto"/>
            <w:webHidden/>
          </w:rPr>
          <w:instrText xml:space="preserve"> PAGEREF _Toc53409862 \h </w:instrText>
        </w:r>
        <w:r w:rsidR="007D50E1" w:rsidRPr="007D50E1">
          <w:rPr>
            <w:rFonts w:ascii="a_FuturaOrto" w:hAnsi="a_FuturaOrto"/>
            <w:webHidden/>
          </w:rPr>
        </w:r>
        <w:r w:rsidR="007D50E1" w:rsidRPr="007D50E1">
          <w:rPr>
            <w:rFonts w:ascii="a_FuturaOrto" w:hAnsi="a_FuturaOrto"/>
            <w:webHidden/>
          </w:rPr>
          <w:fldChar w:fldCharType="separate"/>
        </w:r>
        <w:r w:rsidR="002C15E8">
          <w:rPr>
            <w:rFonts w:ascii="a_FuturaOrto" w:hAnsi="a_FuturaOrto"/>
            <w:webHidden/>
          </w:rPr>
          <w:t>134</w:t>
        </w:r>
        <w:r w:rsidR="007D50E1" w:rsidRPr="007D50E1">
          <w:rPr>
            <w:rFonts w:ascii="a_FuturaOrto" w:hAnsi="a_FuturaOrto"/>
            <w:webHidden/>
          </w:rPr>
          <w:fldChar w:fldCharType="end"/>
        </w:r>
      </w:hyperlink>
    </w:p>
    <w:p w14:paraId="6204F3A4" w14:textId="26EB0A30" w:rsidR="007D50E1" w:rsidRPr="007D50E1" w:rsidRDefault="005377D7">
      <w:pPr>
        <w:pStyle w:val="TDC2"/>
        <w:rPr>
          <w:rFonts w:ascii="a_FuturaOrto" w:hAnsi="a_FuturaOrto" w:cstheme="minorBidi"/>
          <w:iCs w:val="0"/>
          <w:color w:val="auto"/>
          <w:sz w:val="22"/>
          <w:szCs w:val="22"/>
          <w:lang w:val="es-MX" w:eastAsia="es-MX"/>
        </w:rPr>
      </w:pPr>
      <w:hyperlink w:anchor="_Toc53409863" w:history="1">
        <w:r w:rsidR="007D50E1" w:rsidRPr="007D50E1">
          <w:rPr>
            <w:rStyle w:val="Hipervnculo"/>
            <w:rFonts w:ascii="a_FuturaOrto" w:hAnsi="a_FuturaOrto"/>
          </w:rPr>
          <w:t>Tema 2. Apoyos A La Permanencia En Educaci</w:t>
        </w:r>
        <w:r w:rsidR="007D50E1" w:rsidRPr="007D50E1">
          <w:rPr>
            <w:rStyle w:val="Hipervnculo"/>
            <w:rFonts w:ascii="Calibri" w:hAnsi="Calibri" w:cs="Calibri"/>
          </w:rPr>
          <w:t>ò</w:t>
        </w:r>
        <w:r w:rsidR="007D50E1" w:rsidRPr="007D50E1">
          <w:rPr>
            <w:rStyle w:val="Hipervnculo"/>
            <w:rFonts w:ascii="a_FuturaOrto" w:hAnsi="a_FuturaOrto"/>
          </w:rPr>
          <w:t>n B</w:t>
        </w:r>
        <w:r w:rsidR="007D50E1" w:rsidRPr="007D50E1">
          <w:rPr>
            <w:rStyle w:val="Hipervnculo"/>
            <w:rFonts w:ascii="Calibri" w:hAnsi="Calibri" w:cs="Calibri"/>
          </w:rPr>
          <w:t>á</w:t>
        </w:r>
        <w:r w:rsidR="007D50E1" w:rsidRPr="007D50E1">
          <w:rPr>
            <w:rStyle w:val="Hipervnculo"/>
            <w:rFonts w:ascii="a_FuturaOrto" w:hAnsi="a_FuturaOrto"/>
          </w:rPr>
          <w:t>sica</w:t>
        </w:r>
        <w:r w:rsidR="007D50E1" w:rsidRPr="007D50E1">
          <w:rPr>
            <w:rFonts w:ascii="a_FuturaOrto" w:hAnsi="a_FuturaOrto"/>
            <w:webHidden/>
          </w:rPr>
          <w:tab/>
        </w:r>
        <w:r w:rsidR="007D50E1" w:rsidRPr="007D50E1">
          <w:rPr>
            <w:rFonts w:ascii="a_FuturaOrto" w:hAnsi="a_FuturaOrto"/>
            <w:webHidden/>
          </w:rPr>
          <w:fldChar w:fldCharType="begin"/>
        </w:r>
        <w:r w:rsidR="007D50E1" w:rsidRPr="007D50E1">
          <w:rPr>
            <w:rFonts w:ascii="a_FuturaOrto" w:hAnsi="a_FuturaOrto"/>
            <w:webHidden/>
          </w:rPr>
          <w:instrText xml:space="preserve"> PAGEREF _Toc53409863 \h </w:instrText>
        </w:r>
        <w:r w:rsidR="007D50E1" w:rsidRPr="007D50E1">
          <w:rPr>
            <w:rFonts w:ascii="a_FuturaOrto" w:hAnsi="a_FuturaOrto"/>
            <w:webHidden/>
          </w:rPr>
        </w:r>
        <w:r w:rsidR="007D50E1" w:rsidRPr="007D50E1">
          <w:rPr>
            <w:rFonts w:ascii="a_FuturaOrto" w:hAnsi="a_FuturaOrto"/>
            <w:webHidden/>
          </w:rPr>
          <w:fldChar w:fldCharType="separate"/>
        </w:r>
        <w:r w:rsidR="002C15E8">
          <w:rPr>
            <w:rFonts w:ascii="a_FuturaOrto" w:hAnsi="a_FuturaOrto"/>
            <w:webHidden/>
          </w:rPr>
          <w:t>136</w:t>
        </w:r>
        <w:r w:rsidR="007D50E1" w:rsidRPr="007D50E1">
          <w:rPr>
            <w:rFonts w:ascii="a_FuturaOrto" w:hAnsi="a_FuturaOrto"/>
            <w:webHidden/>
          </w:rPr>
          <w:fldChar w:fldCharType="end"/>
        </w:r>
      </w:hyperlink>
    </w:p>
    <w:p w14:paraId="7303B35E" w14:textId="73EEA57B" w:rsidR="007D50E1" w:rsidRPr="007D50E1" w:rsidRDefault="005377D7">
      <w:pPr>
        <w:pStyle w:val="TDC2"/>
        <w:rPr>
          <w:rFonts w:ascii="a_FuturaOrto" w:hAnsi="a_FuturaOrto" w:cstheme="minorBidi"/>
          <w:iCs w:val="0"/>
          <w:color w:val="auto"/>
          <w:sz w:val="22"/>
          <w:szCs w:val="22"/>
          <w:lang w:val="es-MX" w:eastAsia="es-MX"/>
        </w:rPr>
      </w:pPr>
      <w:hyperlink w:anchor="_Toc53409864" w:history="1">
        <w:r w:rsidR="007D50E1" w:rsidRPr="007D50E1">
          <w:rPr>
            <w:rStyle w:val="Hipervnculo"/>
            <w:rFonts w:ascii="a_FuturaOrto" w:hAnsi="a_FuturaOrto"/>
          </w:rPr>
          <w:t>Tema 3. Programas De Apoyo A La Educaci</w:t>
        </w:r>
        <w:r w:rsidR="007D50E1" w:rsidRPr="007D50E1">
          <w:rPr>
            <w:rStyle w:val="Hipervnculo"/>
            <w:rFonts w:ascii="Calibri" w:hAnsi="Calibri" w:cs="Calibri"/>
          </w:rPr>
          <w:t>ó</w:t>
        </w:r>
        <w:r w:rsidR="007D50E1" w:rsidRPr="007D50E1">
          <w:rPr>
            <w:rStyle w:val="Hipervnculo"/>
            <w:rFonts w:ascii="a_FuturaOrto" w:hAnsi="a_FuturaOrto"/>
          </w:rPr>
          <w:t>n B</w:t>
        </w:r>
        <w:r w:rsidR="007D50E1" w:rsidRPr="007D50E1">
          <w:rPr>
            <w:rStyle w:val="Hipervnculo"/>
            <w:rFonts w:ascii="Calibri" w:hAnsi="Calibri" w:cs="Calibri"/>
          </w:rPr>
          <w:t>á</w:t>
        </w:r>
        <w:r w:rsidR="007D50E1" w:rsidRPr="007D50E1">
          <w:rPr>
            <w:rStyle w:val="Hipervnculo"/>
            <w:rFonts w:ascii="a_FuturaOrto" w:hAnsi="a_FuturaOrto"/>
          </w:rPr>
          <w:t>sica</w:t>
        </w:r>
        <w:r w:rsidR="007D50E1" w:rsidRPr="007D50E1">
          <w:rPr>
            <w:rFonts w:ascii="a_FuturaOrto" w:hAnsi="a_FuturaOrto"/>
            <w:webHidden/>
          </w:rPr>
          <w:tab/>
        </w:r>
        <w:r w:rsidR="007D50E1" w:rsidRPr="007D50E1">
          <w:rPr>
            <w:rFonts w:ascii="a_FuturaOrto" w:hAnsi="a_FuturaOrto"/>
            <w:webHidden/>
          </w:rPr>
          <w:fldChar w:fldCharType="begin"/>
        </w:r>
        <w:r w:rsidR="007D50E1" w:rsidRPr="007D50E1">
          <w:rPr>
            <w:rFonts w:ascii="a_FuturaOrto" w:hAnsi="a_FuturaOrto"/>
            <w:webHidden/>
          </w:rPr>
          <w:instrText xml:space="preserve"> PAGEREF _Toc53409864 \h </w:instrText>
        </w:r>
        <w:r w:rsidR="007D50E1" w:rsidRPr="007D50E1">
          <w:rPr>
            <w:rFonts w:ascii="a_FuturaOrto" w:hAnsi="a_FuturaOrto"/>
            <w:webHidden/>
          </w:rPr>
        </w:r>
        <w:r w:rsidR="007D50E1" w:rsidRPr="007D50E1">
          <w:rPr>
            <w:rFonts w:ascii="a_FuturaOrto" w:hAnsi="a_FuturaOrto"/>
            <w:webHidden/>
          </w:rPr>
          <w:fldChar w:fldCharType="separate"/>
        </w:r>
        <w:r w:rsidR="002C15E8">
          <w:rPr>
            <w:rFonts w:ascii="a_FuturaOrto" w:hAnsi="a_FuturaOrto"/>
            <w:webHidden/>
          </w:rPr>
          <w:t>137</w:t>
        </w:r>
        <w:r w:rsidR="007D50E1" w:rsidRPr="007D50E1">
          <w:rPr>
            <w:rFonts w:ascii="a_FuturaOrto" w:hAnsi="a_FuturaOrto"/>
            <w:webHidden/>
          </w:rPr>
          <w:fldChar w:fldCharType="end"/>
        </w:r>
      </w:hyperlink>
    </w:p>
    <w:p w14:paraId="7005005A" w14:textId="71BF51F7" w:rsidR="007D50E1" w:rsidRPr="007D50E1" w:rsidRDefault="005377D7">
      <w:pPr>
        <w:pStyle w:val="TDC2"/>
        <w:rPr>
          <w:rFonts w:ascii="a_FuturaOrto" w:hAnsi="a_FuturaOrto" w:cstheme="minorBidi"/>
          <w:iCs w:val="0"/>
          <w:color w:val="auto"/>
          <w:sz w:val="22"/>
          <w:szCs w:val="22"/>
          <w:lang w:val="es-MX" w:eastAsia="es-MX"/>
        </w:rPr>
      </w:pPr>
      <w:hyperlink w:anchor="_Toc53409865" w:history="1">
        <w:r w:rsidR="007D50E1" w:rsidRPr="007D50E1">
          <w:rPr>
            <w:rStyle w:val="Hipervnculo"/>
            <w:rFonts w:ascii="a_FuturaOrto" w:hAnsi="a_FuturaOrto"/>
          </w:rPr>
          <w:t>Tema 4. Fortalecimiento De Instituciones Formadoras De Docentes</w:t>
        </w:r>
        <w:r w:rsidR="007D50E1" w:rsidRPr="007D50E1">
          <w:rPr>
            <w:rFonts w:ascii="a_FuturaOrto" w:hAnsi="a_FuturaOrto"/>
            <w:webHidden/>
          </w:rPr>
          <w:tab/>
        </w:r>
        <w:r w:rsidR="007D50E1" w:rsidRPr="007D50E1">
          <w:rPr>
            <w:rFonts w:ascii="a_FuturaOrto" w:hAnsi="a_FuturaOrto"/>
            <w:webHidden/>
          </w:rPr>
          <w:fldChar w:fldCharType="begin"/>
        </w:r>
        <w:r w:rsidR="007D50E1" w:rsidRPr="007D50E1">
          <w:rPr>
            <w:rFonts w:ascii="a_FuturaOrto" w:hAnsi="a_FuturaOrto"/>
            <w:webHidden/>
          </w:rPr>
          <w:instrText xml:space="preserve"> PAGEREF _Toc53409865 \h </w:instrText>
        </w:r>
        <w:r w:rsidR="007D50E1" w:rsidRPr="007D50E1">
          <w:rPr>
            <w:rFonts w:ascii="a_FuturaOrto" w:hAnsi="a_FuturaOrto"/>
            <w:webHidden/>
          </w:rPr>
        </w:r>
        <w:r w:rsidR="007D50E1" w:rsidRPr="007D50E1">
          <w:rPr>
            <w:rFonts w:ascii="a_FuturaOrto" w:hAnsi="a_FuturaOrto"/>
            <w:webHidden/>
          </w:rPr>
          <w:fldChar w:fldCharType="separate"/>
        </w:r>
        <w:r w:rsidR="002C15E8">
          <w:rPr>
            <w:rFonts w:ascii="a_FuturaOrto" w:hAnsi="a_FuturaOrto"/>
            <w:webHidden/>
          </w:rPr>
          <w:t>138</w:t>
        </w:r>
        <w:r w:rsidR="007D50E1" w:rsidRPr="007D50E1">
          <w:rPr>
            <w:rFonts w:ascii="a_FuturaOrto" w:hAnsi="a_FuturaOrto"/>
            <w:webHidden/>
          </w:rPr>
          <w:fldChar w:fldCharType="end"/>
        </w:r>
      </w:hyperlink>
    </w:p>
    <w:p w14:paraId="0AEB696B" w14:textId="66B4686D" w:rsidR="007D50E1" w:rsidRPr="007D50E1" w:rsidRDefault="005377D7">
      <w:pPr>
        <w:pStyle w:val="TDC2"/>
        <w:rPr>
          <w:rFonts w:ascii="a_FuturaOrto" w:hAnsi="a_FuturaOrto" w:cstheme="minorBidi"/>
          <w:iCs w:val="0"/>
          <w:color w:val="auto"/>
          <w:sz w:val="22"/>
          <w:szCs w:val="22"/>
          <w:lang w:val="es-MX" w:eastAsia="es-MX"/>
        </w:rPr>
      </w:pPr>
      <w:hyperlink w:anchor="_Toc53409866" w:history="1">
        <w:r w:rsidR="007D50E1" w:rsidRPr="007D50E1">
          <w:rPr>
            <w:rStyle w:val="Hipervnculo"/>
            <w:rFonts w:ascii="a_FuturaOrto" w:hAnsi="a_FuturaOrto"/>
          </w:rPr>
          <w:t>Tema 5. Educaci</w:t>
        </w:r>
        <w:r w:rsidR="007D50E1" w:rsidRPr="007D50E1">
          <w:rPr>
            <w:rStyle w:val="Hipervnculo"/>
            <w:rFonts w:ascii="Calibri" w:hAnsi="Calibri" w:cs="Calibri"/>
          </w:rPr>
          <w:t>ó</w:t>
        </w:r>
        <w:r w:rsidR="007D50E1" w:rsidRPr="007D50E1">
          <w:rPr>
            <w:rStyle w:val="Hipervnculo"/>
            <w:rFonts w:ascii="a_FuturaOrto" w:hAnsi="a_FuturaOrto"/>
          </w:rPr>
          <w:t>n Media Superior</w:t>
        </w:r>
        <w:r w:rsidR="007D50E1" w:rsidRPr="007D50E1">
          <w:rPr>
            <w:rFonts w:ascii="a_FuturaOrto" w:hAnsi="a_FuturaOrto"/>
            <w:webHidden/>
          </w:rPr>
          <w:tab/>
        </w:r>
        <w:r w:rsidR="007D50E1" w:rsidRPr="007D50E1">
          <w:rPr>
            <w:rFonts w:ascii="a_FuturaOrto" w:hAnsi="a_FuturaOrto"/>
            <w:webHidden/>
          </w:rPr>
          <w:fldChar w:fldCharType="begin"/>
        </w:r>
        <w:r w:rsidR="007D50E1" w:rsidRPr="007D50E1">
          <w:rPr>
            <w:rFonts w:ascii="a_FuturaOrto" w:hAnsi="a_FuturaOrto"/>
            <w:webHidden/>
          </w:rPr>
          <w:instrText xml:space="preserve"> PAGEREF _Toc53409866 \h </w:instrText>
        </w:r>
        <w:r w:rsidR="007D50E1" w:rsidRPr="007D50E1">
          <w:rPr>
            <w:rFonts w:ascii="a_FuturaOrto" w:hAnsi="a_FuturaOrto"/>
            <w:webHidden/>
          </w:rPr>
        </w:r>
        <w:r w:rsidR="007D50E1" w:rsidRPr="007D50E1">
          <w:rPr>
            <w:rFonts w:ascii="a_FuturaOrto" w:hAnsi="a_FuturaOrto"/>
            <w:webHidden/>
          </w:rPr>
          <w:fldChar w:fldCharType="separate"/>
        </w:r>
        <w:r w:rsidR="002C15E8">
          <w:rPr>
            <w:rFonts w:ascii="a_FuturaOrto" w:hAnsi="a_FuturaOrto"/>
            <w:webHidden/>
          </w:rPr>
          <w:t>139</w:t>
        </w:r>
        <w:r w:rsidR="007D50E1" w:rsidRPr="007D50E1">
          <w:rPr>
            <w:rFonts w:ascii="a_FuturaOrto" w:hAnsi="a_FuturaOrto"/>
            <w:webHidden/>
          </w:rPr>
          <w:fldChar w:fldCharType="end"/>
        </w:r>
      </w:hyperlink>
    </w:p>
    <w:p w14:paraId="0437F6EE" w14:textId="3B18BC12" w:rsidR="007D50E1" w:rsidRPr="007D50E1" w:rsidRDefault="005377D7">
      <w:pPr>
        <w:pStyle w:val="TDC2"/>
        <w:rPr>
          <w:rFonts w:ascii="a_FuturaOrto" w:hAnsi="a_FuturaOrto" w:cstheme="minorBidi"/>
          <w:iCs w:val="0"/>
          <w:color w:val="auto"/>
          <w:sz w:val="22"/>
          <w:szCs w:val="22"/>
          <w:lang w:val="es-MX" w:eastAsia="es-MX"/>
        </w:rPr>
      </w:pPr>
      <w:hyperlink w:anchor="_Toc53409867" w:history="1">
        <w:r w:rsidR="007D50E1" w:rsidRPr="007D50E1">
          <w:rPr>
            <w:rStyle w:val="Hipervnculo"/>
            <w:rFonts w:ascii="a_FuturaOrto" w:hAnsi="a_FuturaOrto"/>
          </w:rPr>
          <w:t>Tema  6. Educaci</w:t>
        </w:r>
        <w:r w:rsidR="007D50E1" w:rsidRPr="007D50E1">
          <w:rPr>
            <w:rStyle w:val="Hipervnculo"/>
            <w:rFonts w:ascii="Calibri" w:hAnsi="Calibri" w:cs="Calibri"/>
          </w:rPr>
          <w:t>ó</w:t>
        </w:r>
        <w:r w:rsidR="007D50E1" w:rsidRPr="007D50E1">
          <w:rPr>
            <w:rStyle w:val="Hipervnculo"/>
            <w:rFonts w:ascii="a_FuturaOrto" w:hAnsi="a_FuturaOrto"/>
          </w:rPr>
          <w:t>n superior</w:t>
        </w:r>
        <w:r w:rsidR="007D50E1" w:rsidRPr="007D50E1">
          <w:rPr>
            <w:rFonts w:ascii="a_FuturaOrto" w:hAnsi="a_FuturaOrto"/>
            <w:webHidden/>
          </w:rPr>
          <w:tab/>
        </w:r>
        <w:r w:rsidR="007D50E1" w:rsidRPr="007D50E1">
          <w:rPr>
            <w:rFonts w:ascii="a_FuturaOrto" w:hAnsi="a_FuturaOrto"/>
            <w:webHidden/>
          </w:rPr>
          <w:fldChar w:fldCharType="begin"/>
        </w:r>
        <w:r w:rsidR="007D50E1" w:rsidRPr="007D50E1">
          <w:rPr>
            <w:rFonts w:ascii="a_FuturaOrto" w:hAnsi="a_FuturaOrto"/>
            <w:webHidden/>
          </w:rPr>
          <w:instrText xml:space="preserve"> PAGEREF _Toc53409867 \h </w:instrText>
        </w:r>
        <w:r w:rsidR="007D50E1" w:rsidRPr="007D50E1">
          <w:rPr>
            <w:rFonts w:ascii="a_FuturaOrto" w:hAnsi="a_FuturaOrto"/>
            <w:webHidden/>
          </w:rPr>
        </w:r>
        <w:r w:rsidR="007D50E1" w:rsidRPr="007D50E1">
          <w:rPr>
            <w:rFonts w:ascii="a_FuturaOrto" w:hAnsi="a_FuturaOrto"/>
            <w:webHidden/>
          </w:rPr>
          <w:fldChar w:fldCharType="separate"/>
        </w:r>
        <w:r w:rsidR="002C15E8">
          <w:rPr>
            <w:rFonts w:ascii="a_FuturaOrto" w:hAnsi="a_FuturaOrto"/>
            <w:webHidden/>
          </w:rPr>
          <w:t>141</w:t>
        </w:r>
        <w:r w:rsidR="007D50E1" w:rsidRPr="007D50E1">
          <w:rPr>
            <w:rFonts w:ascii="a_FuturaOrto" w:hAnsi="a_FuturaOrto"/>
            <w:webHidden/>
          </w:rPr>
          <w:fldChar w:fldCharType="end"/>
        </w:r>
      </w:hyperlink>
    </w:p>
    <w:p w14:paraId="7208BFC1" w14:textId="284E5A9D" w:rsidR="007D50E1" w:rsidRPr="007D50E1" w:rsidRDefault="005377D7">
      <w:pPr>
        <w:pStyle w:val="TDC2"/>
        <w:rPr>
          <w:rFonts w:ascii="a_FuturaOrto" w:hAnsi="a_FuturaOrto" w:cstheme="minorBidi"/>
          <w:iCs w:val="0"/>
          <w:color w:val="auto"/>
          <w:sz w:val="22"/>
          <w:szCs w:val="22"/>
          <w:lang w:val="es-MX" w:eastAsia="es-MX"/>
        </w:rPr>
      </w:pPr>
      <w:hyperlink w:anchor="_Toc53409868" w:history="1">
        <w:r w:rsidR="007D50E1" w:rsidRPr="007D50E1">
          <w:rPr>
            <w:rStyle w:val="Hipervnculo"/>
            <w:rFonts w:ascii="a_FuturaOrto" w:hAnsi="a_FuturaOrto"/>
          </w:rPr>
          <w:t>Tema 7. Infraestructura Educativa</w:t>
        </w:r>
        <w:r w:rsidR="007D50E1" w:rsidRPr="007D50E1">
          <w:rPr>
            <w:rFonts w:ascii="a_FuturaOrto" w:hAnsi="a_FuturaOrto"/>
            <w:webHidden/>
          </w:rPr>
          <w:tab/>
        </w:r>
        <w:r w:rsidR="007D50E1" w:rsidRPr="007D50E1">
          <w:rPr>
            <w:rFonts w:ascii="a_FuturaOrto" w:hAnsi="a_FuturaOrto"/>
            <w:webHidden/>
          </w:rPr>
          <w:fldChar w:fldCharType="begin"/>
        </w:r>
        <w:r w:rsidR="007D50E1" w:rsidRPr="007D50E1">
          <w:rPr>
            <w:rFonts w:ascii="a_FuturaOrto" w:hAnsi="a_FuturaOrto"/>
            <w:webHidden/>
          </w:rPr>
          <w:instrText xml:space="preserve"> PAGEREF _Toc53409868 \h </w:instrText>
        </w:r>
        <w:r w:rsidR="007D50E1" w:rsidRPr="007D50E1">
          <w:rPr>
            <w:rFonts w:ascii="a_FuturaOrto" w:hAnsi="a_FuturaOrto"/>
            <w:webHidden/>
          </w:rPr>
        </w:r>
        <w:r w:rsidR="007D50E1" w:rsidRPr="007D50E1">
          <w:rPr>
            <w:rFonts w:ascii="a_FuturaOrto" w:hAnsi="a_FuturaOrto"/>
            <w:webHidden/>
          </w:rPr>
          <w:fldChar w:fldCharType="separate"/>
        </w:r>
        <w:r w:rsidR="002C15E8">
          <w:rPr>
            <w:rFonts w:ascii="a_FuturaOrto" w:hAnsi="a_FuturaOrto"/>
            <w:webHidden/>
          </w:rPr>
          <w:t>143</w:t>
        </w:r>
        <w:r w:rsidR="007D50E1" w:rsidRPr="007D50E1">
          <w:rPr>
            <w:rFonts w:ascii="a_FuturaOrto" w:hAnsi="a_FuturaOrto"/>
            <w:webHidden/>
          </w:rPr>
          <w:fldChar w:fldCharType="end"/>
        </w:r>
      </w:hyperlink>
    </w:p>
    <w:p w14:paraId="54B15143" w14:textId="016B0F40" w:rsidR="007D50E1" w:rsidRPr="007D50E1" w:rsidRDefault="005377D7">
      <w:pPr>
        <w:pStyle w:val="TDC2"/>
        <w:rPr>
          <w:rFonts w:ascii="a_FuturaOrto" w:hAnsi="a_FuturaOrto" w:cstheme="minorBidi"/>
          <w:iCs w:val="0"/>
          <w:color w:val="auto"/>
          <w:sz w:val="22"/>
          <w:szCs w:val="22"/>
          <w:lang w:val="es-MX" w:eastAsia="es-MX"/>
        </w:rPr>
      </w:pPr>
      <w:hyperlink w:anchor="_Toc53409869" w:history="1">
        <w:r w:rsidR="007D50E1" w:rsidRPr="007D50E1">
          <w:rPr>
            <w:rStyle w:val="Hipervnculo"/>
            <w:rFonts w:ascii="a_FuturaOrto" w:hAnsi="a_FuturaOrto"/>
          </w:rPr>
          <w:t>Tema 8. Rezago Educativo</w:t>
        </w:r>
        <w:r w:rsidR="007D50E1" w:rsidRPr="007D50E1">
          <w:rPr>
            <w:rFonts w:ascii="a_FuturaOrto" w:hAnsi="a_FuturaOrto"/>
            <w:webHidden/>
          </w:rPr>
          <w:tab/>
        </w:r>
        <w:r w:rsidR="007D50E1" w:rsidRPr="007D50E1">
          <w:rPr>
            <w:rFonts w:ascii="a_FuturaOrto" w:hAnsi="a_FuturaOrto"/>
            <w:webHidden/>
          </w:rPr>
          <w:fldChar w:fldCharType="begin"/>
        </w:r>
        <w:r w:rsidR="007D50E1" w:rsidRPr="007D50E1">
          <w:rPr>
            <w:rFonts w:ascii="a_FuturaOrto" w:hAnsi="a_FuturaOrto"/>
            <w:webHidden/>
          </w:rPr>
          <w:instrText xml:space="preserve"> PAGEREF _Toc53409869 \h </w:instrText>
        </w:r>
        <w:r w:rsidR="007D50E1" w:rsidRPr="007D50E1">
          <w:rPr>
            <w:rFonts w:ascii="a_FuturaOrto" w:hAnsi="a_FuturaOrto"/>
            <w:webHidden/>
          </w:rPr>
        </w:r>
        <w:r w:rsidR="007D50E1" w:rsidRPr="007D50E1">
          <w:rPr>
            <w:rFonts w:ascii="a_FuturaOrto" w:hAnsi="a_FuturaOrto"/>
            <w:webHidden/>
          </w:rPr>
          <w:fldChar w:fldCharType="separate"/>
        </w:r>
        <w:r w:rsidR="002C15E8">
          <w:rPr>
            <w:rFonts w:ascii="a_FuturaOrto" w:hAnsi="a_FuturaOrto"/>
            <w:webHidden/>
          </w:rPr>
          <w:t>145</w:t>
        </w:r>
        <w:r w:rsidR="007D50E1" w:rsidRPr="007D50E1">
          <w:rPr>
            <w:rFonts w:ascii="a_FuturaOrto" w:hAnsi="a_FuturaOrto"/>
            <w:webHidden/>
          </w:rPr>
          <w:fldChar w:fldCharType="end"/>
        </w:r>
      </w:hyperlink>
    </w:p>
    <w:p w14:paraId="318764D0" w14:textId="184E4688" w:rsidR="007D50E1" w:rsidRPr="007D50E1" w:rsidRDefault="005377D7">
      <w:pPr>
        <w:pStyle w:val="TDC2"/>
        <w:rPr>
          <w:rFonts w:ascii="a_FuturaOrto" w:hAnsi="a_FuturaOrto" w:cstheme="minorBidi"/>
          <w:iCs w:val="0"/>
          <w:color w:val="auto"/>
          <w:sz w:val="22"/>
          <w:szCs w:val="22"/>
          <w:lang w:val="es-MX" w:eastAsia="es-MX"/>
        </w:rPr>
      </w:pPr>
      <w:hyperlink w:anchor="_Toc53409870" w:history="1">
        <w:r w:rsidR="007D50E1" w:rsidRPr="007D50E1">
          <w:rPr>
            <w:rStyle w:val="Hipervnculo"/>
            <w:rFonts w:ascii="a_FuturaOrto" w:hAnsi="a_FuturaOrto"/>
          </w:rPr>
          <w:t>Tema 9. Fomento a la investigaci</w:t>
        </w:r>
        <w:r w:rsidR="007D50E1" w:rsidRPr="007D50E1">
          <w:rPr>
            <w:rStyle w:val="Hipervnculo"/>
            <w:rFonts w:ascii="Calibri" w:hAnsi="Calibri" w:cs="Calibri"/>
          </w:rPr>
          <w:t>ó</w:t>
        </w:r>
        <w:r w:rsidR="007D50E1" w:rsidRPr="007D50E1">
          <w:rPr>
            <w:rStyle w:val="Hipervnculo"/>
            <w:rFonts w:ascii="a_FuturaOrto" w:hAnsi="a_FuturaOrto"/>
          </w:rPr>
          <w:t>n cient</w:t>
        </w:r>
        <w:r w:rsidR="007D50E1" w:rsidRPr="007D50E1">
          <w:rPr>
            <w:rStyle w:val="Hipervnculo"/>
            <w:rFonts w:ascii="Calibri" w:hAnsi="Calibri" w:cs="Calibri"/>
          </w:rPr>
          <w:t>í</w:t>
        </w:r>
        <w:r w:rsidR="007D50E1" w:rsidRPr="007D50E1">
          <w:rPr>
            <w:rStyle w:val="Hipervnculo"/>
            <w:rFonts w:ascii="a_FuturaOrto" w:hAnsi="a_FuturaOrto"/>
          </w:rPr>
          <w:t>fica, el desarrollo tecnol</w:t>
        </w:r>
        <w:r w:rsidR="007D50E1" w:rsidRPr="007D50E1">
          <w:rPr>
            <w:rStyle w:val="Hipervnculo"/>
            <w:rFonts w:ascii="Calibri" w:hAnsi="Calibri" w:cs="Calibri"/>
          </w:rPr>
          <w:t>ó</w:t>
        </w:r>
        <w:r w:rsidR="007D50E1" w:rsidRPr="007D50E1">
          <w:rPr>
            <w:rStyle w:val="Hipervnculo"/>
            <w:rFonts w:ascii="a_FuturaOrto" w:hAnsi="a_FuturaOrto"/>
          </w:rPr>
          <w:t>gico, la innovaci</w:t>
        </w:r>
        <w:r w:rsidR="007D50E1" w:rsidRPr="007D50E1">
          <w:rPr>
            <w:rStyle w:val="Hipervnculo"/>
            <w:rFonts w:ascii="Calibri" w:hAnsi="Calibri" w:cs="Calibri"/>
          </w:rPr>
          <w:t>ó</w:t>
        </w:r>
        <w:r w:rsidR="007D50E1" w:rsidRPr="007D50E1">
          <w:rPr>
            <w:rStyle w:val="Hipervnculo"/>
            <w:rFonts w:ascii="a_FuturaOrto" w:hAnsi="a_FuturaOrto"/>
          </w:rPr>
          <w:t>n y el posgrado.</w:t>
        </w:r>
        <w:r w:rsidR="007D50E1" w:rsidRPr="007D50E1">
          <w:rPr>
            <w:rFonts w:ascii="a_FuturaOrto" w:hAnsi="a_FuturaOrto"/>
            <w:webHidden/>
          </w:rPr>
          <w:tab/>
        </w:r>
        <w:r w:rsidR="007D50E1" w:rsidRPr="007D50E1">
          <w:rPr>
            <w:rFonts w:ascii="a_FuturaOrto" w:hAnsi="a_FuturaOrto"/>
            <w:webHidden/>
          </w:rPr>
          <w:fldChar w:fldCharType="begin"/>
        </w:r>
        <w:r w:rsidR="007D50E1" w:rsidRPr="007D50E1">
          <w:rPr>
            <w:rFonts w:ascii="a_FuturaOrto" w:hAnsi="a_FuturaOrto"/>
            <w:webHidden/>
          </w:rPr>
          <w:instrText xml:space="preserve"> PAGEREF _Toc53409870 \h </w:instrText>
        </w:r>
        <w:r w:rsidR="007D50E1" w:rsidRPr="007D50E1">
          <w:rPr>
            <w:rFonts w:ascii="a_FuturaOrto" w:hAnsi="a_FuturaOrto"/>
            <w:webHidden/>
          </w:rPr>
        </w:r>
        <w:r w:rsidR="007D50E1" w:rsidRPr="007D50E1">
          <w:rPr>
            <w:rFonts w:ascii="a_FuturaOrto" w:hAnsi="a_FuturaOrto"/>
            <w:webHidden/>
          </w:rPr>
          <w:fldChar w:fldCharType="separate"/>
        </w:r>
        <w:r w:rsidR="002C15E8">
          <w:rPr>
            <w:rFonts w:ascii="a_FuturaOrto" w:hAnsi="a_FuturaOrto"/>
            <w:webHidden/>
          </w:rPr>
          <w:t>146</w:t>
        </w:r>
        <w:r w:rsidR="007D50E1" w:rsidRPr="007D50E1">
          <w:rPr>
            <w:rFonts w:ascii="a_FuturaOrto" w:hAnsi="a_FuturaOrto"/>
            <w:webHidden/>
          </w:rPr>
          <w:fldChar w:fldCharType="end"/>
        </w:r>
      </w:hyperlink>
    </w:p>
    <w:p w14:paraId="32334180" w14:textId="7B23A21D" w:rsidR="007D50E1" w:rsidRPr="007D50E1" w:rsidRDefault="005377D7">
      <w:pPr>
        <w:pStyle w:val="TDC2"/>
        <w:rPr>
          <w:rFonts w:ascii="a_FuturaOrto" w:hAnsi="a_FuturaOrto" w:cstheme="minorBidi"/>
          <w:iCs w:val="0"/>
          <w:color w:val="auto"/>
          <w:sz w:val="22"/>
          <w:szCs w:val="22"/>
          <w:lang w:val="es-MX" w:eastAsia="es-MX"/>
        </w:rPr>
      </w:pPr>
      <w:hyperlink w:anchor="_Toc53409871" w:history="1">
        <w:r w:rsidR="007D50E1" w:rsidRPr="007D50E1">
          <w:rPr>
            <w:rStyle w:val="Hipervnculo"/>
            <w:rFonts w:ascii="a_FuturaOrto" w:hAnsi="a_FuturaOrto"/>
          </w:rPr>
          <w:t>tema 10. Capacitac</w:t>
        </w:r>
        <w:r w:rsidR="007D50E1" w:rsidRPr="007D50E1">
          <w:rPr>
            <w:rStyle w:val="Hipervnculo"/>
            <w:rFonts w:ascii="Calibri" w:hAnsi="Calibri" w:cs="Calibri"/>
          </w:rPr>
          <w:t>í</w:t>
        </w:r>
        <w:r w:rsidR="007D50E1" w:rsidRPr="007D50E1">
          <w:rPr>
            <w:rStyle w:val="Hipervnculo"/>
            <w:rFonts w:ascii="a_FuturaOrto" w:hAnsi="a_FuturaOrto"/>
          </w:rPr>
          <w:t>on Y Certificaci</w:t>
        </w:r>
        <w:r w:rsidR="007D50E1" w:rsidRPr="007D50E1">
          <w:rPr>
            <w:rStyle w:val="Hipervnculo"/>
            <w:rFonts w:ascii="Calibri" w:hAnsi="Calibri" w:cs="Calibri"/>
          </w:rPr>
          <w:t>ó</w:t>
        </w:r>
        <w:r w:rsidR="007D50E1" w:rsidRPr="007D50E1">
          <w:rPr>
            <w:rStyle w:val="Hipervnculo"/>
            <w:rFonts w:ascii="a_FuturaOrto" w:hAnsi="a_FuturaOrto"/>
          </w:rPr>
          <w:t>n Para Y En El Trabajo</w:t>
        </w:r>
        <w:r w:rsidR="007D50E1" w:rsidRPr="007D50E1">
          <w:rPr>
            <w:rFonts w:ascii="a_FuturaOrto" w:hAnsi="a_FuturaOrto"/>
            <w:webHidden/>
          </w:rPr>
          <w:tab/>
        </w:r>
        <w:r w:rsidR="007D50E1" w:rsidRPr="007D50E1">
          <w:rPr>
            <w:rFonts w:ascii="a_FuturaOrto" w:hAnsi="a_FuturaOrto"/>
            <w:webHidden/>
          </w:rPr>
          <w:fldChar w:fldCharType="begin"/>
        </w:r>
        <w:r w:rsidR="007D50E1" w:rsidRPr="007D50E1">
          <w:rPr>
            <w:rFonts w:ascii="a_FuturaOrto" w:hAnsi="a_FuturaOrto"/>
            <w:webHidden/>
          </w:rPr>
          <w:instrText xml:space="preserve"> PAGEREF _Toc53409871 \h </w:instrText>
        </w:r>
        <w:r w:rsidR="007D50E1" w:rsidRPr="007D50E1">
          <w:rPr>
            <w:rFonts w:ascii="a_FuturaOrto" w:hAnsi="a_FuturaOrto"/>
            <w:webHidden/>
          </w:rPr>
        </w:r>
        <w:r w:rsidR="007D50E1" w:rsidRPr="007D50E1">
          <w:rPr>
            <w:rFonts w:ascii="a_FuturaOrto" w:hAnsi="a_FuturaOrto"/>
            <w:webHidden/>
          </w:rPr>
          <w:fldChar w:fldCharType="separate"/>
        </w:r>
        <w:r w:rsidR="002C15E8">
          <w:rPr>
            <w:rFonts w:ascii="a_FuturaOrto" w:hAnsi="a_FuturaOrto"/>
            <w:webHidden/>
          </w:rPr>
          <w:t>148</w:t>
        </w:r>
        <w:r w:rsidR="007D50E1" w:rsidRPr="007D50E1">
          <w:rPr>
            <w:rFonts w:ascii="a_FuturaOrto" w:hAnsi="a_FuturaOrto"/>
            <w:webHidden/>
          </w:rPr>
          <w:fldChar w:fldCharType="end"/>
        </w:r>
      </w:hyperlink>
    </w:p>
    <w:p w14:paraId="73649F58" w14:textId="5CCE78E4" w:rsidR="007D50E1" w:rsidRPr="007D50E1" w:rsidRDefault="005377D7">
      <w:pPr>
        <w:pStyle w:val="TDC1"/>
        <w:rPr>
          <w:rFonts w:ascii="a_FuturaOrto" w:hAnsi="a_FuturaOrto" w:cstheme="minorBidi"/>
          <w:b w:val="0"/>
          <w:bCs w:val="0"/>
          <w:noProof/>
          <w:color w:val="auto"/>
          <w:sz w:val="22"/>
          <w:szCs w:val="22"/>
          <w:lang w:val="es-MX" w:eastAsia="es-MX"/>
        </w:rPr>
      </w:pPr>
      <w:hyperlink w:anchor="_Toc53409872" w:history="1">
        <w:r w:rsidR="007D50E1" w:rsidRPr="007D50E1">
          <w:rPr>
            <w:rStyle w:val="Hipervnculo"/>
            <w:rFonts w:ascii="a_FuturaOrto" w:hAnsi="a_FuturaOrto"/>
            <w:noProof/>
          </w:rPr>
          <w:t>XI. BASES PARA SU COORDINACI</w:t>
        </w:r>
        <w:r w:rsidR="007D50E1" w:rsidRPr="007D50E1">
          <w:rPr>
            <w:rStyle w:val="Hipervnculo"/>
            <w:rFonts w:ascii="Calibri" w:hAnsi="Calibri" w:cs="Calibri"/>
            <w:noProof/>
          </w:rPr>
          <w:t>Ó</w:t>
        </w:r>
        <w:r w:rsidR="007D50E1" w:rsidRPr="007D50E1">
          <w:rPr>
            <w:rStyle w:val="Hipervnculo"/>
            <w:rFonts w:ascii="a_FuturaOrto" w:hAnsi="a_FuturaOrto"/>
            <w:noProof/>
          </w:rPr>
          <w:t>N Y CONCERTACI</w:t>
        </w:r>
        <w:r w:rsidR="007D50E1" w:rsidRPr="007D50E1">
          <w:rPr>
            <w:rStyle w:val="Hipervnculo"/>
            <w:rFonts w:ascii="Calibri" w:hAnsi="Calibri" w:cs="Calibri"/>
            <w:noProof/>
          </w:rPr>
          <w:t>Ó</w:t>
        </w:r>
        <w:r w:rsidR="007D50E1" w:rsidRPr="007D50E1">
          <w:rPr>
            <w:rStyle w:val="Hipervnculo"/>
            <w:rFonts w:ascii="a_FuturaOrto" w:hAnsi="a_FuturaOrto"/>
            <w:noProof/>
          </w:rPr>
          <w:t>N</w:t>
        </w:r>
        <w:r w:rsidR="007D50E1" w:rsidRPr="007D50E1">
          <w:rPr>
            <w:rFonts w:ascii="a_FuturaOrto" w:hAnsi="a_FuturaOrto"/>
            <w:noProof/>
            <w:webHidden/>
          </w:rPr>
          <w:tab/>
        </w:r>
        <w:r w:rsidR="007D50E1" w:rsidRPr="007D50E1">
          <w:rPr>
            <w:rFonts w:ascii="a_FuturaOrto" w:hAnsi="a_FuturaOrto"/>
            <w:noProof/>
            <w:webHidden/>
          </w:rPr>
          <w:fldChar w:fldCharType="begin"/>
        </w:r>
        <w:r w:rsidR="007D50E1" w:rsidRPr="007D50E1">
          <w:rPr>
            <w:rFonts w:ascii="a_FuturaOrto" w:hAnsi="a_FuturaOrto"/>
            <w:noProof/>
            <w:webHidden/>
          </w:rPr>
          <w:instrText xml:space="preserve"> PAGEREF _Toc53409872 \h </w:instrText>
        </w:r>
        <w:r w:rsidR="007D50E1" w:rsidRPr="007D50E1">
          <w:rPr>
            <w:rFonts w:ascii="a_FuturaOrto" w:hAnsi="a_FuturaOrto"/>
            <w:noProof/>
            <w:webHidden/>
          </w:rPr>
        </w:r>
        <w:r w:rsidR="007D50E1" w:rsidRPr="007D50E1">
          <w:rPr>
            <w:rFonts w:ascii="a_FuturaOrto" w:hAnsi="a_FuturaOrto"/>
            <w:noProof/>
            <w:webHidden/>
          </w:rPr>
          <w:fldChar w:fldCharType="separate"/>
        </w:r>
        <w:r w:rsidR="002C15E8">
          <w:rPr>
            <w:rFonts w:ascii="a_FuturaOrto" w:hAnsi="a_FuturaOrto"/>
            <w:noProof/>
            <w:webHidden/>
          </w:rPr>
          <w:t>151</w:t>
        </w:r>
        <w:r w:rsidR="007D50E1" w:rsidRPr="007D50E1">
          <w:rPr>
            <w:rFonts w:ascii="a_FuturaOrto" w:hAnsi="a_FuturaOrto"/>
            <w:noProof/>
            <w:webHidden/>
          </w:rPr>
          <w:fldChar w:fldCharType="end"/>
        </w:r>
      </w:hyperlink>
    </w:p>
    <w:p w14:paraId="7641D69F" w14:textId="4BD76EA9" w:rsidR="007D50E1" w:rsidRPr="007D50E1" w:rsidRDefault="005377D7">
      <w:pPr>
        <w:pStyle w:val="TDC1"/>
        <w:rPr>
          <w:rFonts w:ascii="a_FuturaOrto" w:hAnsi="a_FuturaOrto" w:cstheme="minorBidi"/>
          <w:b w:val="0"/>
          <w:bCs w:val="0"/>
          <w:noProof/>
          <w:color w:val="auto"/>
          <w:sz w:val="22"/>
          <w:szCs w:val="22"/>
          <w:lang w:val="es-MX" w:eastAsia="es-MX"/>
        </w:rPr>
      </w:pPr>
      <w:hyperlink w:anchor="_Toc53409873" w:history="1">
        <w:r w:rsidR="007D50E1" w:rsidRPr="007D50E1">
          <w:rPr>
            <w:rStyle w:val="Hipervnculo"/>
            <w:rFonts w:ascii="a_FuturaOrto" w:hAnsi="a_FuturaOrto"/>
            <w:noProof/>
          </w:rPr>
          <w:t>XII. CONTROL, SEGUIMIENTO, EVALUACI</w:t>
        </w:r>
        <w:r w:rsidR="007D50E1" w:rsidRPr="007D50E1">
          <w:rPr>
            <w:rStyle w:val="Hipervnculo"/>
            <w:rFonts w:ascii="Calibri" w:hAnsi="Calibri" w:cs="Calibri"/>
            <w:noProof/>
          </w:rPr>
          <w:t>Ó</w:t>
        </w:r>
        <w:r w:rsidR="007D50E1" w:rsidRPr="007D50E1">
          <w:rPr>
            <w:rStyle w:val="Hipervnculo"/>
            <w:rFonts w:ascii="a_FuturaOrto" w:hAnsi="a_FuturaOrto"/>
            <w:noProof/>
          </w:rPr>
          <w:t>N Y ACTUALIZACI</w:t>
        </w:r>
        <w:r w:rsidR="007D50E1" w:rsidRPr="007D50E1">
          <w:rPr>
            <w:rStyle w:val="Hipervnculo"/>
            <w:rFonts w:ascii="Calibri" w:hAnsi="Calibri" w:cs="Calibri"/>
            <w:noProof/>
          </w:rPr>
          <w:t>Ó</w:t>
        </w:r>
        <w:r w:rsidR="007D50E1" w:rsidRPr="007D50E1">
          <w:rPr>
            <w:rStyle w:val="Hipervnculo"/>
            <w:rFonts w:ascii="a_FuturaOrto" w:hAnsi="a_FuturaOrto"/>
            <w:noProof/>
          </w:rPr>
          <w:t>N.</w:t>
        </w:r>
        <w:r w:rsidR="007D50E1" w:rsidRPr="007D50E1">
          <w:rPr>
            <w:rFonts w:ascii="a_FuturaOrto" w:hAnsi="a_FuturaOrto"/>
            <w:noProof/>
            <w:webHidden/>
          </w:rPr>
          <w:tab/>
        </w:r>
        <w:r w:rsidR="007D50E1" w:rsidRPr="007D50E1">
          <w:rPr>
            <w:rFonts w:ascii="a_FuturaOrto" w:hAnsi="a_FuturaOrto"/>
            <w:noProof/>
            <w:webHidden/>
          </w:rPr>
          <w:fldChar w:fldCharType="begin"/>
        </w:r>
        <w:r w:rsidR="007D50E1" w:rsidRPr="007D50E1">
          <w:rPr>
            <w:rFonts w:ascii="a_FuturaOrto" w:hAnsi="a_FuturaOrto"/>
            <w:noProof/>
            <w:webHidden/>
          </w:rPr>
          <w:instrText xml:space="preserve"> PAGEREF _Toc53409873 \h </w:instrText>
        </w:r>
        <w:r w:rsidR="007D50E1" w:rsidRPr="007D50E1">
          <w:rPr>
            <w:rFonts w:ascii="a_FuturaOrto" w:hAnsi="a_FuturaOrto"/>
            <w:noProof/>
            <w:webHidden/>
          </w:rPr>
        </w:r>
        <w:r w:rsidR="007D50E1" w:rsidRPr="007D50E1">
          <w:rPr>
            <w:rFonts w:ascii="a_FuturaOrto" w:hAnsi="a_FuturaOrto"/>
            <w:noProof/>
            <w:webHidden/>
          </w:rPr>
          <w:fldChar w:fldCharType="separate"/>
        </w:r>
        <w:r w:rsidR="002C15E8">
          <w:rPr>
            <w:rFonts w:ascii="a_FuturaOrto" w:hAnsi="a_FuturaOrto"/>
            <w:noProof/>
            <w:webHidden/>
          </w:rPr>
          <w:t>156</w:t>
        </w:r>
        <w:r w:rsidR="007D50E1" w:rsidRPr="007D50E1">
          <w:rPr>
            <w:rFonts w:ascii="a_FuturaOrto" w:hAnsi="a_FuturaOrto"/>
            <w:noProof/>
            <w:webHidden/>
          </w:rPr>
          <w:fldChar w:fldCharType="end"/>
        </w:r>
      </w:hyperlink>
    </w:p>
    <w:p w14:paraId="56D38214" w14:textId="4F6A6A89" w:rsidR="007D50E1" w:rsidRPr="007D50E1" w:rsidRDefault="005377D7">
      <w:pPr>
        <w:pStyle w:val="TDC1"/>
        <w:rPr>
          <w:rFonts w:ascii="a_FuturaOrto" w:hAnsi="a_FuturaOrto" w:cstheme="minorBidi"/>
          <w:b w:val="0"/>
          <w:bCs w:val="0"/>
          <w:noProof/>
          <w:color w:val="auto"/>
          <w:sz w:val="22"/>
          <w:szCs w:val="22"/>
          <w:lang w:val="es-MX" w:eastAsia="es-MX"/>
        </w:rPr>
      </w:pPr>
      <w:hyperlink w:anchor="_Toc53409874" w:history="1">
        <w:r w:rsidR="007D50E1" w:rsidRPr="007D50E1">
          <w:rPr>
            <w:rStyle w:val="Hipervnculo"/>
            <w:rFonts w:ascii="a_FuturaOrto" w:hAnsi="a_FuturaOrto"/>
            <w:noProof/>
          </w:rPr>
          <w:t>XIII. MECANISMOS DE FINANCIAMIENTO</w:t>
        </w:r>
        <w:r w:rsidR="007D50E1" w:rsidRPr="007D50E1">
          <w:rPr>
            <w:rFonts w:ascii="a_FuturaOrto" w:hAnsi="a_FuturaOrto"/>
            <w:noProof/>
            <w:webHidden/>
          </w:rPr>
          <w:tab/>
        </w:r>
        <w:r w:rsidR="007D50E1" w:rsidRPr="007D50E1">
          <w:rPr>
            <w:rFonts w:ascii="a_FuturaOrto" w:hAnsi="a_FuturaOrto"/>
            <w:noProof/>
            <w:webHidden/>
          </w:rPr>
          <w:fldChar w:fldCharType="begin"/>
        </w:r>
        <w:r w:rsidR="007D50E1" w:rsidRPr="007D50E1">
          <w:rPr>
            <w:rFonts w:ascii="a_FuturaOrto" w:hAnsi="a_FuturaOrto"/>
            <w:noProof/>
            <w:webHidden/>
          </w:rPr>
          <w:instrText xml:space="preserve"> PAGEREF _Toc53409874 \h </w:instrText>
        </w:r>
        <w:r w:rsidR="007D50E1" w:rsidRPr="007D50E1">
          <w:rPr>
            <w:rFonts w:ascii="a_FuturaOrto" w:hAnsi="a_FuturaOrto"/>
            <w:noProof/>
            <w:webHidden/>
          </w:rPr>
        </w:r>
        <w:r w:rsidR="007D50E1" w:rsidRPr="007D50E1">
          <w:rPr>
            <w:rFonts w:ascii="a_FuturaOrto" w:hAnsi="a_FuturaOrto"/>
            <w:noProof/>
            <w:webHidden/>
          </w:rPr>
          <w:fldChar w:fldCharType="separate"/>
        </w:r>
        <w:r w:rsidR="002C15E8">
          <w:rPr>
            <w:rFonts w:ascii="a_FuturaOrto" w:hAnsi="a_FuturaOrto"/>
            <w:noProof/>
            <w:webHidden/>
          </w:rPr>
          <w:t>172</w:t>
        </w:r>
        <w:r w:rsidR="007D50E1" w:rsidRPr="007D50E1">
          <w:rPr>
            <w:rFonts w:ascii="a_FuturaOrto" w:hAnsi="a_FuturaOrto"/>
            <w:noProof/>
            <w:webHidden/>
          </w:rPr>
          <w:fldChar w:fldCharType="end"/>
        </w:r>
      </w:hyperlink>
    </w:p>
    <w:p w14:paraId="0B321DE6" w14:textId="6A3D7791" w:rsidR="007D50E1" w:rsidRPr="007D50E1" w:rsidRDefault="005377D7">
      <w:pPr>
        <w:pStyle w:val="TDC1"/>
        <w:rPr>
          <w:rFonts w:ascii="a_FuturaOrto" w:hAnsi="a_FuturaOrto" w:cstheme="minorBidi"/>
          <w:b w:val="0"/>
          <w:bCs w:val="0"/>
          <w:noProof/>
          <w:color w:val="auto"/>
          <w:sz w:val="22"/>
          <w:szCs w:val="22"/>
          <w:lang w:val="es-MX" w:eastAsia="es-MX"/>
        </w:rPr>
      </w:pPr>
      <w:hyperlink w:anchor="_Toc53409875" w:history="1">
        <w:r w:rsidR="007D50E1" w:rsidRPr="007D50E1">
          <w:rPr>
            <w:rStyle w:val="Hipervnculo"/>
            <w:rFonts w:ascii="a_FuturaOrto" w:hAnsi="a_FuturaOrto"/>
            <w:noProof/>
          </w:rPr>
          <w:t>Anexo 1. Fichas de Indicadores del PED</w:t>
        </w:r>
        <w:r w:rsidR="007D50E1" w:rsidRPr="007D50E1">
          <w:rPr>
            <w:rFonts w:ascii="a_FuturaOrto" w:hAnsi="a_FuturaOrto"/>
            <w:noProof/>
            <w:webHidden/>
          </w:rPr>
          <w:tab/>
        </w:r>
        <w:r w:rsidR="007D50E1" w:rsidRPr="007D50E1">
          <w:rPr>
            <w:rFonts w:ascii="a_FuturaOrto" w:hAnsi="a_FuturaOrto"/>
            <w:noProof/>
            <w:webHidden/>
          </w:rPr>
          <w:fldChar w:fldCharType="begin"/>
        </w:r>
        <w:r w:rsidR="007D50E1" w:rsidRPr="007D50E1">
          <w:rPr>
            <w:rFonts w:ascii="a_FuturaOrto" w:hAnsi="a_FuturaOrto"/>
            <w:noProof/>
            <w:webHidden/>
          </w:rPr>
          <w:instrText xml:space="preserve"> PAGEREF _Toc53409875 \h </w:instrText>
        </w:r>
        <w:r w:rsidR="007D50E1" w:rsidRPr="007D50E1">
          <w:rPr>
            <w:rFonts w:ascii="a_FuturaOrto" w:hAnsi="a_FuturaOrto"/>
            <w:noProof/>
            <w:webHidden/>
          </w:rPr>
        </w:r>
        <w:r w:rsidR="007D50E1" w:rsidRPr="007D50E1">
          <w:rPr>
            <w:rFonts w:ascii="a_FuturaOrto" w:hAnsi="a_FuturaOrto"/>
            <w:noProof/>
            <w:webHidden/>
          </w:rPr>
          <w:fldChar w:fldCharType="separate"/>
        </w:r>
        <w:r w:rsidR="002C15E8">
          <w:rPr>
            <w:rFonts w:ascii="a_FuturaOrto" w:hAnsi="a_FuturaOrto"/>
            <w:noProof/>
            <w:webHidden/>
          </w:rPr>
          <w:t>181</w:t>
        </w:r>
        <w:r w:rsidR="007D50E1" w:rsidRPr="007D50E1">
          <w:rPr>
            <w:rFonts w:ascii="a_FuturaOrto" w:hAnsi="a_FuturaOrto"/>
            <w:noProof/>
            <w:webHidden/>
          </w:rPr>
          <w:fldChar w:fldCharType="end"/>
        </w:r>
      </w:hyperlink>
    </w:p>
    <w:p w14:paraId="1CB1B1DC" w14:textId="31661758" w:rsidR="007D50E1" w:rsidRPr="007D50E1" w:rsidRDefault="005377D7">
      <w:pPr>
        <w:pStyle w:val="TDC1"/>
        <w:rPr>
          <w:rFonts w:ascii="a_FuturaOrto" w:hAnsi="a_FuturaOrto" w:cstheme="minorBidi"/>
          <w:b w:val="0"/>
          <w:bCs w:val="0"/>
          <w:noProof/>
          <w:color w:val="auto"/>
          <w:sz w:val="22"/>
          <w:szCs w:val="22"/>
          <w:lang w:val="es-MX" w:eastAsia="es-MX"/>
        </w:rPr>
      </w:pPr>
      <w:hyperlink w:anchor="_Toc53409876" w:history="1">
        <w:r w:rsidR="007D50E1" w:rsidRPr="007D50E1">
          <w:rPr>
            <w:rStyle w:val="Hipervnculo"/>
            <w:rFonts w:ascii="a_FuturaOrto" w:hAnsi="a_FuturaOrto"/>
            <w:noProof/>
          </w:rPr>
          <w:t>Anexo 2. Fichas de Indicadores del PROGRAMA</w:t>
        </w:r>
        <w:r w:rsidR="007D50E1" w:rsidRPr="007D50E1">
          <w:rPr>
            <w:rFonts w:ascii="a_FuturaOrto" w:hAnsi="a_FuturaOrto"/>
            <w:noProof/>
            <w:webHidden/>
          </w:rPr>
          <w:tab/>
        </w:r>
        <w:r w:rsidR="007D50E1" w:rsidRPr="007D50E1">
          <w:rPr>
            <w:rFonts w:ascii="a_FuturaOrto" w:hAnsi="a_FuturaOrto"/>
            <w:noProof/>
            <w:webHidden/>
          </w:rPr>
          <w:fldChar w:fldCharType="begin"/>
        </w:r>
        <w:r w:rsidR="007D50E1" w:rsidRPr="007D50E1">
          <w:rPr>
            <w:rFonts w:ascii="a_FuturaOrto" w:hAnsi="a_FuturaOrto"/>
            <w:noProof/>
            <w:webHidden/>
          </w:rPr>
          <w:instrText xml:space="preserve"> PAGEREF _Toc53409876 \h </w:instrText>
        </w:r>
        <w:r w:rsidR="007D50E1" w:rsidRPr="007D50E1">
          <w:rPr>
            <w:rFonts w:ascii="a_FuturaOrto" w:hAnsi="a_FuturaOrto"/>
            <w:noProof/>
            <w:webHidden/>
          </w:rPr>
        </w:r>
        <w:r w:rsidR="007D50E1" w:rsidRPr="007D50E1">
          <w:rPr>
            <w:rFonts w:ascii="a_FuturaOrto" w:hAnsi="a_FuturaOrto"/>
            <w:noProof/>
            <w:webHidden/>
          </w:rPr>
          <w:fldChar w:fldCharType="separate"/>
        </w:r>
        <w:r w:rsidR="002C15E8">
          <w:rPr>
            <w:rFonts w:ascii="a_FuturaOrto" w:hAnsi="a_FuturaOrto"/>
            <w:noProof/>
            <w:webHidden/>
          </w:rPr>
          <w:t>183</w:t>
        </w:r>
        <w:r w:rsidR="007D50E1" w:rsidRPr="007D50E1">
          <w:rPr>
            <w:rFonts w:ascii="a_FuturaOrto" w:hAnsi="a_FuturaOrto"/>
            <w:noProof/>
            <w:webHidden/>
          </w:rPr>
          <w:fldChar w:fldCharType="end"/>
        </w:r>
      </w:hyperlink>
    </w:p>
    <w:p w14:paraId="68010C54" w14:textId="208D7CB8" w:rsidR="007D50E1" w:rsidRPr="007D50E1" w:rsidRDefault="005377D7">
      <w:pPr>
        <w:pStyle w:val="TDC1"/>
        <w:rPr>
          <w:rFonts w:ascii="a_FuturaOrto" w:hAnsi="a_FuturaOrto" w:cstheme="minorBidi"/>
          <w:b w:val="0"/>
          <w:bCs w:val="0"/>
          <w:noProof/>
          <w:color w:val="auto"/>
          <w:sz w:val="22"/>
          <w:szCs w:val="22"/>
          <w:lang w:val="es-MX" w:eastAsia="es-MX"/>
        </w:rPr>
      </w:pPr>
      <w:hyperlink w:anchor="_Toc53409877" w:history="1">
        <w:r w:rsidR="007D50E1" w:rsidRPr="007D50E1">
          <w:rPr>
            <w:rStyle w:val="Hipervnculo"/>
            <w:rFonts w:ascii="a_FuturaOrto" w:hAnsi="a_FuturaOrto"/>
            <w:noProof/>
          </w:rPr>
          <w:t>Anexo 3. Programas presupuestarios</w:t>
        </w:r>
        <w:r w:rsidR="007D50E1" w:rsidRPr="007D50E1">
          <w:rPr>
            <w:rFonts w:ascii="a_FuturaOrto" w:hAnsi="a_FuturaOrto"/>
            <w:noProof/>
            <w:webHidden/>
          </w:rPr>
          <w:tab/>
        </w:r>
        <w:r w:rsidR="007D50E1" w:rsidRPr="007D50E1">
          <w:rPr>
            <w:rFonts w:ascii="a_FuturaOrto" w:hAnsi="a_FuturaOrto"/>
            <w:noProof/>
            <w:webHidden/>
          </w:rPr>
          <w:fldChar w:fldCharType="begin"/>
        </w:r>
        <w:r w:rsidR="007D50E1" w:rsidRPr="007D50E1">
          <w:rPr>
            <w:rFonts w:ascii="a_FuturaOrto" w:hAnsi="a_FuturaOrto"/>
            <w:noProof/>
            <w:webHidden/>
          </w:rPr>
          <w:instrText xml:space="preserve"> PAGEREF _Toc53409877 \h </w:instrText>
        </w:r>
        <w:r w:rsidR="007D50E1" w:rsidRPr="007D50E1">
          <w:rPr>
            <w:rFonts w:ascii="a_FuturaOrto" w:hAnsi="a_FuturaOrto"/>
            <w:noProof/>
            <w:webHidden/>
          </w:rPr>
        </w:r>
        <w:r w:rsidR="007D50E1" w:rsidRPr="007D50E1">
          <w:rPr>
            <w:rFonts w:ascii="a_FuturaOrto" w:hAnsi="a_FuturaOrto"/>
            <w:noProof/>
            <w:webHidden/>
          </w:rPr>
          <w:fldChar w:fldCharType="separate"/>
        </w:r>
        <w:r w:rsidR="002C15E8">
          <w:rPr>
            <w:rFonts w:ascii="a_FuturaOrto" w:hAnsi="a_FuturaOrto"/>
            <w:noProof/>
            <w:webHidden/>
          </w:rPr>
          <w:t>205</w:t>
        </w:r>
        <w:r w:rsidR="007D50E1" w:rsidRPr="007D50E1">
          <w:rPr>
            <w:rFonts w:ascii="a_FuturaOrto" w:hAnsi="a_FuturaOrto"/>
            <w:noProof/>
            <w:webHidden/>
          </w:rPr>
          <w:fldChar w:fldCharType="end"/>
        </w:r>
      </w:hyperlink>
    </w:p>
    <w:p w14:paraId="54E2E5A7" w14:textId="0679BE0C" w:rsidR="004F6076" w:rsidRPr="009F66DF" w:rsidRDefault="00B31C47" w:rsidP="00905FAC">
      <w:pPr>
        <w:tabs>
          <w:tab w:val="left" w:pos="637"/>
          <w:tab w:val="left" w:leader="dot" w:pos="9498"/>
        </w:tabs>
        <w:spacing w:after="60" w:line="240" w:lineRule="auto"/>
        <w:jc w:val="left"/>
        <w:rPr>
          <w:lang w:val="es-ES"/>
        </w:rPr>
        <w:sectPr w:rsidR="004F6076" w:rsidRPr="009F66DF" w:rsidSect="001F771E">
          <w:pgSz w:w="12240" w:h="15840"/>
          <w:pgMar w:top="2977" w:right="1043" w:bottom="1701" w:left="1134" w:header="709" w:footer="709" w:gutter="0"/>
          <w:cols w:space="708"/>
          <w:docGrid w:linePitch="360"/>
        </w:sectPr>
      </w:pPr>
      <w:r w:rsidRPr="00905FAC">
        <w:rPr>
          <w:noProof/>
          <w:color w:val="auto"/>
        </w:rPr>
        <w:fldChar w:fldCharType="end"/>
      </w:r>
    </w:p>
    <w:p w14:paraId="6B2A7144" w14:textId="10C86671" w:rsidR="004F6076" w:rsidRDefault="00EF471D" w:rsidP="004F6076">
      <w:pPr>
        <w:pStyle w:val="Ttulo"/>
      </w:pPr>
      <w:r>
        <w:lastRenderedPageBreak/>
        <w:t>PRESENTACIÓN</w:t>
      </w:r>
      <w:bookmarkStart w:id="1" w:name="_Toc477971046"/>
    </w:p>
    <w:p w14:paraId="0D78D825" w14:textId="7D86C9E9" w:rsidR="004F6076" w:rsidRDefault="004F6076">
      <w:pPr>
        <w:spacing w:after="0" w:line="240" w:lineRule="auto"/>
        <w:jc w:val="left"/>
        <w:rPr>
          <w:rFonts w:eastAsia="Times New Roman" w:cs="Times New Roman"/>
          <w:b/>
          <w:color w:val="4BACC6"/>
          <w:sz w:val="44"/>
          <w:szCs w:val="20"/>
        </w:rPr>
      </w:pPr>
      <w:r>
        <w:br w:type="page"/>
      </w:r>
    </w:p>
    <w:p w14:paraId="04BF5B2A" w14:textId="77777777" w:rsidR="005A1156" w:rsidRDefault="005A1156" w:rsidP="00806D3F">
      <w:pPr>
        <w:pStyle w:val="Ttulo1"/>
      </w:pPr>
      <w:bookmarkStart w:id="2" w:name="_Toc486841597"/>
    </w:p>
    <w:p w14:paraId="6D887D09" w14:textId="2AAB328F" w:rsidR="00F765C3" w:rsidRDefault="00F765C3" w:rsidP="00806D3F">
      <w:pPr>
        <w:pStyle w:val="Ttulo1"/>
      </w:pPr>
      <w:bookmarkStart w:id="3" w:name="_Toc486858135"/>
      <w:bookmarkStart w:id="4" w:name="_Toc53409850"/>
      <w:r w:rsidRPr="00806D3F">
        <w:t xml:space="preserve">I. </w:t>
      </w:r>
      <w:r w:rsidR="005F7240" w:rsidRPr="00806D3F">
        <w:t>PRESENTACIÓN</w:t>
      </w:r>
      <w:bookmarkEnd w:id="1"/>
      <w:bookmarkEnd w:id="2"/>
      <w:bookmarkEnd w:id="3"/>
      <w:bookmarkEnd w:id="4"/>
      <w:r w:rsidR="005F7240" w:rsidRPr="00806D3F">
        <w:t xml:space="preserve"> </w:t>
      </w:r>
    </w:p>
    <w:p w14:paraId="4BE6D04D" w14:textId="77777777" w:rsidR="00681115" w:rsidRDefault="00681115" w:rsidP="00681115">
      <w:pPr>
        <w:rPr>
          <w:rFonts w:eastAsia="Times New Roman" w:cs="Futura"/>
        </w:rPr>
      </w:pPr>
      <w:r>
        <w:rPr>
          <w:rFonts w:eastAsia="Times New Roman" w:cs="Futura"/>
        </w:rPr>
        <w:t xml:space="preserve">Como nunca en nuestra historia en Quintana Roo, enfrentamos la presencia y efectos de la Pandemia </w:t>
      </w:r>
      <w:r w:rsidRPr="00DD76DB">
        <w:rPr>
          <w:rFonts w:eastAsia="Times New Roman" w:cs="Futura"/>
        </w:rPr>
        <w:t>virus SARS-CoV-2</w:t>
      </w:r>
      <w:r>
        <w:rPr>
          <w:rFonts w:eastAsia="Times New Roman" w:cs="Futura"/>
        </w:rPr>
        <w:t xml:space="preserve"> (COVID -19) declarada por la Organización Mundial de la Salud y como Emergencia Nacional por el Consejo de Salubridad General del Gobierno de México, cuyas medidas sanitarias, responsables y necesarias, aplicadas por el Gobernador Constitucional del Estado, Lic. Carlos Manuel Joaquín González, en consonancia con el Gobierno Federal, han tenido como finalidad salvaguardar la vida y la salud de nuestras comunidades educativas. Nuestro reconocimiento a todos los estudiantes, docentes, familias, trabajadores y organizaciones del sector educativo, por mantener, aunque a distancia, la prioridad de continuar con la educación de nuestras niñas, niños y jóvenes.  </w:t>
      </w:r>
    </w:p>
    <w:p w14:paraId="70D1F9BA" w14:textId="77777777" w:rsidR="00681115" w:rsidRDefault="00681115" w:rsidP="00681115">
      <w:pPr>
        <w:rPr>
          <w:rFonts w:eastAsia="Times New Roman" w:cs="Futura"/>
        </w:rPr>
      </w:pPr>
      <w:r w:rsidRPr="009469A1">
        <w:rPr>
          <w:rFonts w:eastAsia="Times New Roman" w:cs="Futura"/>
        </w:rPr>
        <w:t>La educaci</w:t>
      </w:r>
      <w:r>
        <w:rPr>
          <w:rFonts w:eastAsia="Times New Roman" w:cs="Futura"/>
        </w:rPr>
        <w:t xml:space="preserve">ón es un derecho humano fundamental que permite desarrollar las capacidades personales y profesionales para la construcción creativa e innovadora del presente y futuro, de una sociedad libre, </w:t>
      </w:r>
      <w:r w:rsidRPr="009469A1">
        <w:rPr>
          <w:rFonts w:eastAsia="Times New Roman" w:cs="Futura"/>
        </w:rPr>
        <w:t>i</w:t>
      </w:r>
      <w:r>
        <w:rPr>
          <w:rFonts w:eastAsia="Times New Roman" w:cs="Futura"/>
        </w:rPr>
        <w:t>nclusiva</w:t>
      </w:r>
      <w:r w:rsidRPr="009469A1">
        <w:rPr>
          <w:rFonts w:eastAsia="Times New Roman" w:cs="Futura"/>
        </w:rPr>
        <w:t xml:space="preserve"> y sostenible,</w:t>
      </w:r>
      <w:r>
        <w:rPr>
          <w:rFonts w:eastAsia="Times New Roman" w:cs="Futura"/>
        </w:rPr>
        <w:t xml:space="preserve"> que promueva los valores cívicos, culturales y democráticos en pro de una convivencia pacífica basada en el respeto, la paz, la solidaridad y la cooperación.</w:t>
      </w:r>
    </w:p>
    <w:p w14:paraId="42665A05" w14:textId="77777777" w:rsidR="00681115" w:rsidRPr="009469A1" w:rsidRDefault="00681115" w:rsidP="00681115">
      <w:pPr>
        <w:rPr>
          <w:rFonts w:eastAsia="Times New Roman" w:cs="Futura"/>
        </w:rPr>
      </w:pPr>
      <w:r w:rsidRPr="009469A1">
        <w:rPr>
          <w:rFonts w:eastAsia="Times New Roman" w:cs="Futura"/>
        </w:rPr>
        <w:t>La educación es una prioridad para el Gobi</w:t>
      </w:r>
      <w:r>
        <w:rPr>
          <w:rFonts w:eastAsia="Times New Roman" w:cs="Futura"/>
        </w:rPr>
        <w:t>erno del Estado de Quintana Roo.</w:t>
      </w:r>
      <w:r w:rsidRPr="009469A1">
        <w:rPr>
          <w:rFonts w:eastAsia="Times New Roman" w:cs="Futura"/>
        </w:rPr>
        <w:t xml:space="preserve"> </w:t>
      </w:r>
      <w:r>
        <w:rPr>
          <w:rFonts w:eastAsia="Times New Roman" w:cs="Futura"/>
        </w:rPr>
        <w:t>E</w:t>
      </w:r>
      <w:r w:rsidRPr="009469A1">
        <w:rPr>
          <w:rFonts w:eastAsia="Times New Roman" w:cs="Futura"/>
        </w:rPr>
        <w:t>s el instrumento para alcanzar mejores condiciones de vida, un crecimiento económico que ayude a nive</w:t>
      </w:r>
      <w:r>
        <w:rPr>
          <w:rFonts w:eastAsia="Times New Roman" w:cs="Futura"/>
        </w:rPr>
        <w:t xml:space="preserve">lar las desigualdades sociales y </w:t>
      </w:r>
      <w:r w:rsidRPr="009469A1">
        <w:rPr>
          <w:rFonts w:eastAsia="Times New Roman" w:cs="Futura"/>
        </w:rPr>
        <w:t>propiciar la movilidad ciudadana</w:t>
      </w:r>
      <w:r>
        <w:rPr>
          <w:rFonts w:eastAsia="Times New Roman" w:cs="Futura"/>
        </w:rPr>
        <w:t>,</w:t>
      </w:r>
      <w:r w:rsidRPr="009469A1">
        <w:rPr>
          <w:rFonts w:eastAsia="Times New Roman" w:cs="Futura"/>
        </w:rPr>
        <w:t xml:space="preserve"> para </w:t>
      </w:r>
      <w:r>
        <w:rPr>
          <w:rFonts w:eastAsia="Times New Roman" w:cs="Futura"/>
        </w:rPr>
        <w:t>t</w:t>
      </w:r>
      <w:r w:rsidRPr="009469A1">
        <w:rPr>
          <w:rFonts w:eastAsia="Times New Roman" w:cs="Futura"/>
        </w:rPr>
        <w:t xml:space="preserve">ener mejores oportunidades laborales y fortalecer </w:t>
      </w:r>
      <w:r>
        <w:rPr>
          <w:rFonts w:eastAsia="Times New Roman" w:cs="Futura"/>
        </w:rPr>
        <w:t xml:space="preserve">las </w:t>
      </w:r>
      <w:r w:rsidRPr="009469A1">
        <w:rPr>
          <w:rFonts w:eastAsia="Times New Roman" w:cs="Futura"/>
        </w:rPr>
        <w:t>relaciones sociales de los quintanarroenses.</w:t>
      </w:r>
    </w:p>
    <w:p w14:paraId="6B98389F" w14:textId="77777777" w:rsidR="00681115" w:rsidRDefault="00681115" w:rsidP="00681115">
      <w:pPr>
        <w:rPr>
          <w:rFonts w:eastAsia="Times New Roman" w:cs="Futura"/>
        </w:rPr>
      </w:pPr>
      <w:r>
        <w:rPr>
          <w:rFonts w:eastAsia="Times New Roman" w:cs="Futura"/>
        </w:rPr>
        <w:lastRenderedPageBreak/>
        <w:t xml:space="preserve">La actualización del </w:t>
      </w:r>
      <w:r w:rsidRPr="009469A1">
        <w:rPr>
          <w:rFonts w:eastAsia="Times New Roman" w:cs="Futura"/>
        </w:rPr>
        <w:t>Programa Sectorial de Educación Pública de Calidad contiene los objetivos</w:t>
      </w:r>
      <w:r>
        <w:rPr>
          <w:rFonts w:eastAsia="Times New Roman" w:cs="Futura"/>
        </w:rPr>
        <w:t xml:space="preserve"> y</w:t>
      </w:r>
      <w:r w:rsidRPr="009469A1">
        <w:rPr>
          <w:rFonts w:eastAsia="Times New Roman" w:cs="Futura"/>
        </w:rPr>
        <w:t xml:space="preserve"> metas a desarrollar en congruencia con</w:t>
      </w:r>
      <w:r>
        <w:rPr>
          <w:rFonts w:eastAsia="Times New Roman" w:cs="Futura"/>
        </w:rPr>
        <w:t xml:space="preserve"> la actualización del </w:t>
      </w:r>
      <w:r w:rsidRPr="009469A1">
        <w:rPr>
          <w:rFonts w:eastAsia="Times New Roman" w:cs="Futura"/>
        </w:rPr>
        <w:t>Plan Estatal de Desarrollo 2016-2022</w:t>
      </w:r>
      <w:r>
        <w:rPr>
          <w:rFonts w:eastAsia="Times New Roman" w:cs="Futura"/>
        </w:rPr>
        <w:t xml:space="preserve">, </w:t>
      </w:r>
      <w:r w:rsidRPr="009469A1">
        <w:rPr>
          <w:rFonts w:eastAsia="Times New Roman" w:cs="Futura"/>
        </w:rPr>
        <w:t xml:space="preserve">cuyo objetivo es garantizar el </w:t>
      </w:r>
      <w:r>
        <w:rPr>
          <w:rFonts w:eastAsia="Times New Roman" w:cs="Futura"/>
        </w:rPr>
        <w:t xml:space="preserve">acceso y permanencia a una educación inclusiva y de calidad en todos los niveles educativos, que promueva en los educandos aprendizajes para la vida. Así mismo,  otorga continuidad a la instrumentación del </w:t>
      </w:r>
      <w:r w:rsidRPr="00F90D5E">
        <w:rPr>
          <w:rFonts w:eastAsia="Times New Roman" w:cs="Futura"/>
        </w:rPr>
        <w:t>Eje 4: Desarrollo Social y Combate a l</w:t>
      </w:r>
      <w:r>
        <w:rPr>
          <w:rFonts w:eastAsia="Times New Roman" w:cs="Futura"/>
        </w:rPr>
        <w:t>a Desigualdad, mediante 10</w:t>
      </w:r>
      <w:r w:rsidRPr="00F90D5E">
        <w:rPr>
          <w:rFonts w:eastAsia="Times New Roman" w:cs="Futura"/>
        </w:rPr>
        <w:t xml:space="preserve"> grandes temas: Educación Básica</w:t>
      </w:r>
      <w:r>
        <w:rPr>
          <w:rFonts w:eastAsia="Times New Roman" w:cs="Futura"/>
        </w:rPr>
        <w:t>, Apoyos a la Permanencia en Educación Básica, Programas de Apoyo a la Educación Básica, Fortalecimiento de las Instituciones Formadoras de Docentes</w:t>
      </w:r>
      <w:r w:rsidRPr="00F90D5E">
        <w:rPr>
          <w:rFonts w:eastAsia="Times New Roman" w:cs="Futura"/>
        </w:rPr>
        <w:t>, Educación Media Superior, Educación Superior, Infraestructura Educativa, Rezago Educativo</w:t>
      </w:r>
      <w:r>
        <w:rPr>
          <w:rFonts w:eastAsia="Times New Roman" w:cs="Futura"/>
        </w:rPr>
        <w:t>, Fomento a</w:t>
      </w:r>
      <w:r w:rsidRPr="00F90D5E">
        <w:rPr>
          <w:rFonts w:eastAsia="Times New Roman" w:cs="Futura"/>
        </w:rPr>
        <w:t xml:space="preserve"> la Investiga</w:t>
      </w:r>
      <w:r>
        <w:rPr>
          <w:rFonts w:eastAsia="Times New Roman" w:cs="Futura"/>
        </w:rPr>
        <w:t xml:space="preserve">ción </w:t>
      </w:r>
      <w:r w:rsidRPr="00F90D5E">
        <w:rPr>
          <w:rFonts w:eastAsia="Times New Roman" w:cs="Futura"/>
        </w:rPr>
        <w:t>Científica</w:t>
      </w:r>
      <w:r>
        <w:rPr>
          <w:rFonts w:eastAsia="Times New Roman" w:cs="Futura"/>
        </w:rPr>
        <w:t>, el Desarrollo Tecnológico, la Innovación</w:t>
      </w:r>
      <w:r w:rsidRPr="00F90D5E">
        <w:rPr>
          <w:rFonts w:eastAsia="Times New Roman" w:cs="Futura"/>
        </w:rPr>
        <w:t xml:space="preserve"> y </w:t>
      </w:r>
      <w:r>
        <w:rPr>
          <w:rFonts w:eastAsia="Times New Roman" w:cs="Futura"/>
        </w:rPr>
        <w:t xml:space="preserve">el </w:t>
      </w:r>
      <w:r w:rsidRPr="00F90D5E">
        <w:rPr>
          <w:rFonts w:eastAsia="Times New Roman" w:cs="Futura"/>
        </w:rPr>
        <w:t>Posgrado y Capacitación</w:t>
      </w:r>
      <w:r>
        <w:rPr>
          <w:rFonts w:eastAsia="Times New Roman" w:cs="Futura"/>
        </w:rPr>
        <w:t xml:space="preserve"> y Certificación</w:t>
      </w:r>
      <w:r w:rsidRPr="00F90D5E">
        <w:rPr>
          <w:rFonts w:eastAsia="Times New Roman" w:cs="Futura"/>
        </w:rPr>
        <w:t xml:space="preserve"> para y en  el Trabajo. </w:t>
      </w:r>
      <w:r>
        <w:rPr>
          <w:rFonts w:eastAsia="Times New Roman" w:cs="Futura"/>
        </w:rPr>
        <w:t xml:space="preserve"> </w:t>
      </w:r>
    </w:p>
    <w:p w14:paraId="49C11E8D" w14:textId="77777777" w:rsidR="00681115" w:rsidRPr="00F90D5E" w:rsidRDefault="00681115" w:rsidP="00681115">
      <w:pPr>
        <w:rPr>
          <w:rFonts w:eastAsia="Times New Roman" w:cs="Futura"/>
        </w:rPr>
      </w:pPr>
      <w:r>
        <w:rPr>
          <w:rFonts w:eastAsia="Times New Roman" w:cs="Futura"/>
        </w:rPr>
        <w:t xml:space="preserve">Su contenido se alinea a la Agenda 2030 que aborda los Objetivos de Desarrollo Sostenible de la Organización de las Naciones Unidas (ONU), al Plan Nacional de Desarrollo 2019-2024, y al actualizado Programa Sectorial de Educación 2020-2024. </w:t>
      </w:r>
      <w:r w:rsidRPr="00F90D5E">
        <w:rPr>
          <w:rFonts w:eastAsia="Times New Roman" w:cs="Futura"/>
        </w:rPr>
        <w:t xml:space="preserve">Los objetivos, estrategias, metas y líneas de acción </w:t>
      </w:r>
      <w:r>
        <w:rPr>
          <w:rFonts w:eastAsia="Times New Roman" w:cs="Futura"/>
        </w:rPr>
        <w:t>son directrices para</w:t>
      </w:r>
      <w:r w:rsidRPr="00F90D5E">
        <w:rPr>
          <w:rFonts w:eastAsia="Times New Roman" w:cs="Futura"/>
        </w:rPr>
        <w:t xml:space="preserve"> los organismos de</w:t>
      </w:r>
      <w:r>
        <w:rPr>
          <w:rFonts w:eastAsia="Times New Roman" w:cs="Futura"/>
        </w:rPr>
        <w:t>scentralizados que integran el sector e</w:t>
      </w:r>
      <w:r w:rsidRPr="00F90D5E">
        <w:rPr>
          <w:rFonts w:eastAsia="Times New Roman" w:cs="Futura"/>
        </w:rPr>
        <w:t>ducati</w:t>
      </w:r>
      <w:r>
        <w:rPr>
          <w:rFonts w:eastAsia="Times New Roman" w:cs="Futura"/>
        </w:rPr>
        <w:t xml:space="preserve">vo quintanarroense, con lo cual se asume el </w:t>
      </w:r>
      <w:r w:rsidRPr="00F90D5E">
        <w:rPr>
          <w:rFonts w:eastAsia="Times New Roman" w:cs="Futura"/>
        </w:rPr>
        <w:t xml:space="preserve">compromiso social </w:t>
      </w:r>
      <w:r>
        <w:rPr>
          <w:rFonts w:eastAsia="Times New Roman" w:cs="Futura"/>
        </w:rPr>
        <w:t>de impulsar</w:t>
      </w:r>
      <w:r w:rsidRPr="00F90D5E">
        <w:rPr>
          <w:rFonts w:eastAsia="Times New Roman" w:cs="Futura"/>
        </w:rPr>
        <w:t xml:space="preserve"> acciones para reducir los niveles de marginación, desigualdad y pobreza.   </w:t>
      </w:r>
    </w:p>
    <w:p w14:paraId="10BDEB8E" w14:textId="77777777" w:rsidR="00681115" w:rsidRPr="00F90D5E" w:rsidRDefault="00681115" w:rsidP="00681115">
      <w:pPr>
        <w:rPr>
          <w:rFonts w:eastAsia="Times New Roman" w:cs="Futura"/>
        </w:rPr>
      </w:pPr>
      <w:r w:rsidRPr="00F90D5E">
        <w:rPr>
          <w:rFonts w:eastAsia="Times New Roman" w:cs="Futura"/>
        </w:rPr>
        <w:t>Invitamos a todos los actores del sector educativo</w:t>
      </w:r>
      <w:r>
        <w:rPr>
          <w:rFonts w:eastAsia="Times New Roman" w:cs="Futura"/>
        </w:rPr>
        <w:t xml:space="preserve"> hacer suya la actualización del </w:t>
      </w:r>
      <w:r w:rsidRPr="00F90D5E">
        <w:rPr>
          <w:rFonts w:eastAsia="Times New Roman" w:cs="Futura"/>
        </w:rPr>
        <w:t>Programa Sectorial de Educación Pública de Calidad, que convierte las más nobles aspiraciones de los quintanarroenses en políticas educativa</w:t>
      </w:r>
      <w:r>
        <w:rPr>
          <w:rFonts w:eastAsia="Times New Roman" w:cs="Futura"/>
        </w:rPr>
        <w:t>s pertinentes, generando así… ¡m</w:t>
      </w:r>
      <w:r w:rsidRPr="00F90D5E">
        <w:rPr>
          <w:rFonts w:eastAsia="Times New Roman" w:cs="Futura"/>
        </w:rPr>
        <w:t>ás y mejores oportunidades para todos!</w:t>
      </w:r>
    </w:p>
    <w:p w14:paraId="61026261" w14:textId="77777777" w:rsidR="00681115" w:rsidRPr="009B79C1" w:rsidRDefault="00681115" w:rsidP="00681115">
      <w:pPr>
        <w:rPr>
          <w:color w:val="FF0000"/>
          <w:lang w:val="es-MX" w:eastAsia="en-US"/>
        </w:rPr>
      </w:pPr>
    </w:p>
    <w:p w14:paraId="3384FB21" w14:textId="77777777" w:rsidR="00681115" w:rsidRPr="00F765C3" w:rsidRDefault="00681115" w:rsidP="00681115">
      <w:pPr>
        <w:spacing w:after="120"/>
        <w:ind w:firstLine="708"/>
        <w:jc w:val="right"/>
        <w:rPr>
          <w:noProof/>
          <w:color w:val="4BACC6" w:themeColor="accent5"/>
          <w:lang w:val="es-ES"/>
        </w:rPr>
      </w:pPr>
      <w:r>
        <w:rPr>
          <w:noProof/>
          <w:color w:val="4BACC6" w:themeColor="accent5"/>
          <w:lang w:val="es-ES"/>
        </w:rPr>
        <w:t>Mtra. Ana Isabel Vásquez Jiménez</w:t>
      </w:r>
    </w:p>
    <w:p w14:paraId="0FA2FD4E" w14:textId="2456DB14" w:rsidR="001A5CDE" w:rsidRDefault="00681115" w:rsidP="00681115">
      <w:pPr>
        <w:spacing w:after="120"/>
        <w:ind w:firstLine="708"/>
        <w:jc w:val="right"/>
        <w:rPr>
          <w:noProof/>
          <w:color w:val="4BACC6" w:themeColor="accent5"/>
          <w:lang w:val="es-ES"/>
        </w:rPr>
      </w:pPr>
      <w:r>
        <w:rPr>
          <w:noProof/>
          <w:color w:val="4BACC6" w:themeColor="accent5"/>
          <w:lang w:val="es-ES"/>
        </w:rPr>
        <w:t xml:space="preserve">Secretaria de Educación </w:t>
      </w:r>
    </w:p>
    <w:p w14:paraId="331F4231" w14:textId="77777777" w:rsidR="001A5CDE" w:rsidRDefault="001A5CDE">
      <w:pPr>
        <w:spacing w:after="0" w:line="240" w:lineRule="auto"/>
        <w:jc w:val="left"/>
        <w:rPr>
          <w:noProof/>
          <w:color w:val="4BACC6" w:themeColor="accent5"/>
          <w:lang w:val="es-ES"/>
        </w:rPr>
      </w:pPr>
      <w:r>
        <w:rPr>
          <w:noProof/>
          <w:color w:val="4BACC6" w:themeColor="accent5"/>
          <w:lang w:val="es-ES"/>
        </w:rPr>
        <w:br w:type="page"/>
      </w:r>
    </w:p>
    <w:p w14:paraId="15B7D297" w14:textId="77777777" w:rsidR="001A5CDE" w:rsidRDefault="001A5CDE" w:rsidP="00F84CFC">
      <w:pPr>
        <w:pStyle w:val="Ttulo"/>
      </w:pPr>
    </w:p>
    <w:p w14:paraId="1E0FE6AD" w14:textId="57132D25" w:rsidR="00E0460C" w:rsidRPr="00F84CFC" w:rsidRDefault="00E0460C" w:rsidP="00F84CFC">
      <w:pPr>
        <w:pStyle w:val="Ttulo"/>
      </w:pPr>
      <w:r w:rsidRPr="00F84CFC">
        <w:t>INTRODUCCIÓN</w:t>
      </w:r>
    </w:p>
    <w:p w14:paraId="08F163D8" w14:textId="059D4FEF" w:rsidR="00063D26" w:rsidRPr="00336906" w:rsidRDefault="00336906" w:rsidP="00063D26">
      <w:pPr>
        <w:spacing w:after="0" w:line="240" w:lineRule="auto"/>
        <w:jc w:val="left"/>
        <w:rPr>
          <w:rFonts w:eastAsia="Times New Roman" w:cs="Times New Roman"/>
          <w:b/>
          <w:color w:val="4BACC6"/>
          <w:sz w:val="44"/>
          <w:szCs w:val="20"/>
        </w:rPr>
      </w:pPr>
      <w:r>
        <w:rPr>
          <w:color w:val="4BACC6"/>
        </w:rPr>
        <w:br w:type="page"/>
      </w:r>
    </w:p>
    <w:p w14:paraId="6F153F63" w14:textId="77777777" w:rsidR="001A5CDE" w:rsidRDefault="001A5CDE" w:rsidP="00D54521">
      <w:pPr>
        <w:pStyle w:val="Ttulo1"/>
      </w:pPr>
      <w:bookmarkStart w:id="5" w:name="_Toc53409851"/>
      <w:bookmarkStart w:id="6" w:name="_Toc477971047"/>
      <w:bookmarkStart w:id="7" w:name="_Toc486841598"/>
      <w:bookmarkStart w:id="8" w:name="_Toc486858136"/>
    </w:p>
    <w:p w14:paraId="7D56ABCE" w14:textId="4273C9E5" w:rsidR="00D54521" w:rsidRDefault="00D54521" w:rsidP="00D54521">
      <w:pPr>
        <w:pStyle w:val="Ttulo1"/>
      </w:pPr>
      <w:r>
        <w:t xml:space="preserve">II. </w:t>
      </w:r>
      <w:r w:rsidRPr="00F765C3">
        <w:t>INTRODUCCIÓN</w:t>
      </w:r>
      <w:bookmarkEnd w:id="5"/>
    </w:p>
    <w:p w14:paraId="3DE65C31" w14:textId="77777777" w:rsidR="00287C37" w:rsidRPr="00CF28B5" w:rsidRDefault="00287C37" w:rsidP="00287C37">
      <w:pPr>
        <w:rPr>
          <w:rFonts w:eastAsia="Times New Roman" w:cs="Futura"/>
        </w:rPr>
      </w:pPr>
      <w:r>
        <w:rPr>
          <w:rFonts w:eastAsia="Times New Roman" w:cs="Futura"/>
          <w:lang w:val="es-MX"/>
        </w:rPr>
        <w:t>La</w:t>
      </w:r>
      <w:r w:rsidRPr="00CF28B5">
        <w:rPr>
          <w:rFonts w:eastAsia="Times New Roman" w:cs="Futura"/>
        </w:rPr>
        <w:t xml:space="preserve"> educación de calidad y excelencia </w:t>
      </w:r>
      <w:r>
        <w:rPr>
          <w:rFonts w:eastAsia="Times New Roman" w:cs="Futura"/>
        </w:rPr>
        <w:t>es prioridad del G</w:t>
      </w:r>
      <w:r w:rsidRPr="00CF28B5">
        <w:rPr>
          <w:rFonts w:eastAsia="Times New Roman" w:cs="Futura"/>
        </w:rPr>
        <w:t xml:space="preserve">obierno </w:t>
      </w:r>
      <w:r>
        <w:rPr>
          <w:rFonts w:eastAsia="Times New Roman" w:cs="Futura"/>
        </w:rPr>
        <w:t>del Estado de Quintana Roo para impulsar un</w:t>
      </w:r>
      <w:r w:rsidRPr="00CF28B5">
        <w:rPr>
          <w:rFonts w:eastAsia="Times New Roman" w:cs="Futura"/>
        </w:rPr>
        <w:t xml:space="preserve"> desarrollo</w:t>
      </w:r>
      <w:r>
        <w:rPr>
          <w:rFonts w:eastAsia="Times New Roman" w:cs="Futura"/>
        </w:rPr>
        <w:t xml:space="preserve"> </w:t>
      </w:r>
      <w:r w:rsidRPr="00CF28B5">
        <w:rPr>
          <w:rFonts w:eastAsia="Times New Roman" w:cs="Futura"/>
        </w:rPr>
        <w:t xml:space="preserve">individual </w:t>
      </w:r>
      <w:r>
        <w:rPr>
          <w:rFonts w:eastAsia="Times New Roman" w:cs="Futura"/>
        </w:rPr>
        <w:t xml:space="preserve">y colectivo que mejore los niveles de bienestar y </w:t>
      </w:r>
      <w:r w:rsidRPr="00CF28B5">
        <w:rPr>
          <w:rFonts w:eastAsia="Times New Roman" w:cs="Futura"/>
        </w:rPr>
        <w:t xml:space="preserve">crecimiento económico. </w:t>
      </w:r>
    </w:p>
    <w:p w14:paraId="496BAAC1" w14:textId="77777777" w:rsidR="00287C37" w:rsidRPr="00B21A48" w:rsidRDefault="00287C37" w:rsidP="00287C37">
      <w:pPr>
        <w:rPr>
          <w:color w:val="000000" w:themeColor="text1"/>
        </w:rPr>
      </w:pPr>
      <w:r>
        <w:rPr>
          <w:rFonts w:eastAsia="Times New Roman" w:cs="Futura"/>
        </w:rPr>
        <w:t>Los</w:t>
      </w:r>
      <w:r w:rsidRPr="00CF28B5">
        <w:rPr>
          <w:rFonts w:eastAsia="Times New Roman" w:cs="Futura"/>
        </w:rPr>
        <w:t xml:space="preserve"> desafío</w:t>
      </w:r>
      <w:r>
        <w:rPr>
          <w:rFonts w:eastAsia="Times New Roman" w:cs="Futura"/>
        </w:rPr>
        <w:t>s</w:t>
      </w:r>
      <w:r w:rsidRPr="00CF28B5">
        <w:rPr>
          <w:rFonts w:eastAsia="Times New Roman" w:cs="Futura"/>
        </w:rPr>
        <w:t xml:space="preserve"> </w:t>
      </w:r>
      <w:r>
        <w:rPr>
          <w:rFonts w:eastAsia="Times New Roman" w:cs="Futura"/>
        </w:rPr>
        <w:t xml:space="preserve">son: a) </w:t>
      </w:r>
      <w:r w:rsidRPr="00CF28B5">
        <w:rPr>
          <w:rFonts w:eastAsia="Times New Roman" w:cs="Futura"/>
        </w:rPr>
        <w:t>elevar la calidad de la educación bá</w:t>
      </w:r>
      <w:r>
        <w:rPr>
          <w:rFonts w:eastAsia="Times New Roman" w:cs="Futura"/>
        </w:rPr>
        <w:t>sica, media superior y superior;</w:t>
      </w:r>
      <w:r w:rsidRPr="00CF28B5">
        <w:rPr>
          <w:rFonts w:eastAsia="Times New Roman" w:cs="Futura"/>
        </w:rPr>
        <w:t xml:space="preserve"> </w:t>
      </w:r>
      <w:r>
        <w:rPr>
          <w:rFonts w:eastAsia="Times New Roman" w:cs="Futura"/>
        </w:rPr>
        <w:t xml:space="preserve">b) </w:t>
      </w:r>
      <w:r w:rsidRPr="00CF28B5">
        <w:rPr>
          <w:rFonts w:eastAsia="Times New Roman" w:cs="Futura"/>
        </w:rPr>
        <w:t>pr</w:t>
      </w:r>
      <w:r>
        <w:rPr>
          <w:rFonts w:eastAsia="Times New Roman" w:cs="Futura"/>
        </w:rPr>
        <w:t>ofesionalizar la planta docente;</w:t>
      </w:r>
      <w:r w:rsidRPr="00CF28B5">
        <w:rPr>
          <w:rFonts w:eastAsia="Times New Roman" w:cs="Futura"/>
        </w:rPr>
        <w:t xml:space="preserve"> </w:t>
      </w:r>
      <w:r>
        <w:rPr>
          <w:rFonts w:eastAsia="Times New Roman" w:cs="Futura"/>
        </w:rPr>
        <w:t xml:space="preserve">c) </w:t>
      </w:r>
      <w:r w:rsidRPr="00CF28B5">
        <w:rPr>
          <w:rFonts w:eastAsia="Times New Roman" w:cs="Futura"/>
        </w:rPr>
        <w:t xml:space="preserve">ampliar la atención a la </w:t>
      </w:r>
      <w:r>
        <w:rPr>
          <w:rFonts w:eastAsia="Times New Roman" w:cs="Futura"/>
        </w:rPr>
        <w:t>demanda de servicios educativos;</w:t>
      </w:r>
      <w:r w:rsidRPr="00CF28B5">
        <w:rPr>
          <w:rFonts w:eastAsia="Times New Roman" w:cs="Futura"/>
        </w:rPr>
        <w:t xml:space="preserve"> </w:t>
      </w:r>
      <w:r>
        <w:rPr>
          <w:rFonts w:eastAsia="Times New Roman" w:cs="Futura"/>
        </w:rPr>
        <w:t xml:space="preserve">d) </w:t>
      </w:r>
      <w:r w:rsidRPr="00CF28B5">
        <w:rPr>
          <w:rFonts w:eastAsia="Times New Roman" w:cs="Futura"/>
        </w:rPr>
        <w:t xml:space="preserve">promover una sana </w:t>
      </w:r>
      <w:r>
        <w:rPr>
          <w:rFonts w:eastAsia="Times New Roman" w:cs="Futura"/>
        </w:rPr>
        <w:t>convivencia y seguridad escolar; e) mejorar</w:t>
      </w:r>
      <w:r w:rsidRPr="00CF28B5">
        <w:rPr>
          <w:rFonts w:eastAsia="Times New Roman" w:cs="Futura"/>
        </w:rPr>
        <w:t xml:space="preserve"> las condiciones de infraes</w:t>
      </w:r>
      <w:r>
        <w:rPr>
          <w:rFonts w:eastAsia="Times New Roman" w:cs="Futura"/>
        </w:rPr>
        <w:t>tructura y equipamiento escolar;</w:t>
      </w:r>
      <w:r w:rsidRPr="00CF28B5">
        <w:rPr>
          <w:rFonts w:eastAsia="Times New Roman" w:cs="Futura"/>
        </w:rPr>
        <w:t xml:space="preserve"> </w:t>
      </w:r>
      <w:r>
        <w:rPr>
          <w:rFonts w:eastAsia="Times New Roman" w:cs="Futura"/>
        </w:rPr>
        <w:t>f) disminuir el rezago educativo:  g)</w:t>
      </w:r>
      <w:r w:rsidRPr="00CF28B5">
        <w:rPr>
          <w:rFonts w:eastAsia="Times New Roman" w:cs="Futura"/>
        </w:rPr>
        <w:t xml:space="preserve"> incrementar el desarrollo de la inve</w:t>
      </w:r>
      <w:r>
        <w:rPr>
          <w:rFonts w:eastAsia="Times New Roman" w:cs="Futura"/>
        </w:rPr>
        <w:t>stigación, ciencia y tecnología; y h)</w:t>
      </w:r>
      <w:r w:rsidRPr="00CF28B5">
        <w:rPr>
          <w:rFonts w:eastAsia="Times New Roman" w:cs="Futura"/>
        </w:rPr>
        <w:t xml:space="preserve"> </w:t>
      </w:r>
      <w:r>
        <w:rPr>
          <w:rFonts w:eastAsia="Times New Roman" w:cs="Futura"/>
        </w:rPr>
        <w:t xml:space="preserve">ampliar </w:t>
      </w:r>
      <w:r w:rsidRPr="00CF28B5">
        <w:rPr>
          <w:rFonts w:eastAsia="Times New Roman" w:cs="Futura"/>
        </w:rPr>
        <w:t>la capacitación para el t</w:t>
      </w:r>
      <w:r>
        <w:rPr>
          <w:rFonts w:eastAsia="Times New Roman" w:cs="Futura"/>
        </w:rPr>
        <w:t>rabajo,</w:t>
      </w:r>
      <w:r w:rsidRPr="00CF28B5">
        <w:rPr>
          <w:rFonts w:eastAsia="Times New Roman" w:cs="Futura"/>
        </w:rPr>
        <w:t xml:space="preserve"> con el fin de contribuir a que la población quintanarroense tenga más y mejores oportunidades</w:t>
      </w:r>
      <w:r w:rsidRPr="00B21A48">
        <w:rPr>
          <w:color w:val="000000" w:themeColor="text1"/>
        </w:rPr>
        <w:t xml:space="preserve">. </w:t>
      </w:r>
    </w:p>
    <w:p w14:paraId="4282779E" w14:textId="77777777" w:rsidR="00287C37" w:rsidRPr="00CF28B5" w:rsidRDefault="00287C37" w:rsidP="00287C37">
      <w:pPr>
        <w:rPr>
          <w:rFonts w:eastAsia="Times New Roman" w:cs="Futura"/>
        </w:rPr>
      </w:pPr>
      <w:r>
        <w:rPr>
          <w:rFonts w:eastAsia="Times New Roman" w:cs="Futura"/>
        </w:rPr>
        <w:t xml:space="preserve">La actualización del </w:t>
      </w:r>
      <w:r w:rsidRPr="00CF28B5">
        <w:rPr>
          <w:rFonts w:eastAsia="Times New Roman" w:cs="Futura"/>
        </w:rPr>
        <w:t xml:space="preserve">Programa Sectorial de Educación Pública de Calidad sustenta su elaboración en políticas, objetivos, estrategias, líneas de acción y metas que </w:t>
      </w:r>
      <w:r>
        <w:rPr>
          <w:rFonts w:eastAsia="Times New Roman" w:cs="Futura"/>
        </w:rPr>
        <w:t xml:space="preserve">derivan tanto del análisis del contexto externo y </w:t>
      </w:r>
      <w:r w:rsidRPr="00CF28B5">
        <w:rPr>
          <w:rFonts w:eastAsia="Times New Roman" w:cs="Futura"/>
        </w:rPr>
        <w:t>situacional</w:t>
      </w:r>
      <w:r>
        <w:rPr>
          <w:rFonts w:eastAsia="Times New Roman" w:cs="Futura"/>
        </w:rPr>
        <w:t>, como de l</w:t>
      </w:r>
      <w:r w:rsidRPr="00CF28B5">
        <w:rPr>
          <w:rFonts w:eastAsia="Times New Roman" w:cs="Futura"/>
        </w:rPr>
        <w:t>a experiencia y problemática expresada</w:t>
      </w:r>
      <w:r>
        <w:rPr>
          <w:rFonts w:eastAsia="Times New Roman" w:cs="Futura"/>
        </w:rPr>
        <w:t>s</w:t>
      </w:r>
      <w:r w:rsidRPr="00CF28B5">
        <w:rPr>
          <w:rFonts w:eastAsia="Times New Roman" w:cs="Futura"/>
        </w:rPr>
        <w:t xml:space="preserve"> por los distintos actores del </w:t>
      </w:r>
      <w:r>
        <w:rPr>
          <w:rFonts w:eastAsia="Times New Roman" w:cs="Futura"/>
        </w:rPr>
        <w:t xml:space="preserve">sistema educativo estatal </w:t>
      </w:r>
    </w:p>
    <w:p w14:paraId="2233C982" w14:textId="77777777" w:rsidR="00287C37" w:rsidRPr="00CF28B5" w:rsidRDefault="00287C37" w:rsidP="00287C37">
      <w:pPr>
        <w:rPr>
          <w:rFonts w:eastAsia="Times New Roman" w:cs="Futura"/>
        </w:rPr>
      </w:pPr>
      <w:r>
        <w:rPr>
          <w:rFonts w:eastAsia="Times New Roman" w:cs="Futura"/>
        </w:rPr>
        <w:t xml:space="preserve">Su elaboración es producto </w:t>
      </w:r>
      <w:r w:rsidRPr="00CF28B5">
        <w:rPr>
          <w:rFonts w:eastAsia="Times New Roman" w:cs="Futura"/>
        </w:rPr>
        <w:t xml:space="preserve">de un amplio proceso de consulta, discusión y trabajo colaborativo entre las distintas figuras del sistema educativo estatal, quienes, con su conocimiento y experiencia, hicieron aportes importantes acerca de las necesidades y problemas presentes en los diferentes tipos y niveles educativos, así como de las </w:t>
      </w:r>
      <w:r>
        <w:rPr>
          <w:rFonts w:eastAsia="Times New Roman" w:cs="Futura"/>
        </w:rPr>
        <w:t xml:space="preserve">futuras </w:t>
      </w:r>
      <w:r w:rsidRPr="00CF28B5">
        <w:rPr>
          <w:rFonts w:eastAsia="Times New Roman" w:cs="Futura"/>
        </w:rPr>
        <w:t xml:space="preserve">acciones y metas que son necesarias para que la educación en Quintana Roo supere los </w:t>
      </w:r>
      <w:r w:rsidRPr="00CF28B5">
        <w:rPr>
          <w:rFonts w:eastAsia="Times New Roman" w:cs="Futura"/>
        </w:rPr>
        <w:lastRenderedPageBreak/>
        <w:t>rezagos y mejore la calidad, la equidad y la pertinencia de los servic</w:t>
      </w:r>
      <w:r>
        <w:rPr>
          <w:rFonts w:eastAsia="Times New Roman" w:cs="Futura"/>
        </w:rPr>
        <w:t>ios que ofrece</w:t>
      </w:r>
      <w:r w:rsidRPr="00CF28B5">
        <w:rPr>
          <w:rFonts w:eastAsia="Times New Roman" w:cs="Futura"/>
        </w:rPr>
        <w:t xml:space="preserve"> a la ciudadanía. </w:t>
      </w:r>
    </w:p>
    <w:p w14:paraId="37C6434A" w14:textId="77777777" w:rsidR="00287C37" w:rsidRPr="00CF28B5" w:rsidRDefault="00287C37" w:rsidP="00287C37">
      <w:pPr>
        <w:rPr>
          <w:rFonts w:eastAsia="Times New Roman" w:cs="Futura"/>
        </w:rPr>
      </w:pPr>
      <w:r w:rsidRPr="00CF28B5">
        <w:rPr>
          <w:rFonts w:eastAsia="Times New Roman" w:cs="Futura"/>
        </w:rPr>
        <w:t>De conformidad con la Ley de Planeación para el Desarrollo del Estado de Quintana Roo, el presente instrumento se actualiza para redefinir el rumbo de las metas de la administración estatal</w:t>
      </w:r>
      <w:r>
        <w:rPr>
          <w:rFonts w:eastAsia="Times New Roman" w:cs="Futura"/>
        </w:rPr>
        <w:t xml:space="preserve">, en alineación con los nuevos o actualizados instrumentos de planeación nacionales e </w:t>
      </w:r>
      <w:r w:rsidRPr="00CF28B5">
        <w:rPr>
          <w:rFonts w:eastAsia="Times New Roman" w:cs="Futura"/>
        </w:rPr>
        <w:t xml:space="preserve">internacionales </w:t>
      </w:r>
      <w:r>
        <w:rPr>
          <w:rFonts w:eastAsia="Times New Roman" w:cs="Futura"/>
        </w:rPr>
        <w:t xml:space="preserve">en materia de desarrollo económico, social y sostenible. </w:t>
      </w:r>
    </w:p>
    <w:p w14:paraId="4C10372A" w14:textId="77777777" w:rsidR="00287C37" w:rsidRPr="00CF28B5" w:rsidRDefault="00287C37" w:rsidP="00287C37">
      <w:pPr>
        <w:rPr>
          <w:rFonts w:eastAsia="Times New Roman" w:cs="Futura"/>
        </w:rPr>
      </w:pPr>
      <w:r>
        <w:rPr>
          <w:rFonts w:eastAsia="Times New Roman" w:cs="Futura"/>
        </w:rPr>
        <w:t>Posterior a los apartados de presentación e introducción, e</w:t>
      </w:r>
      <w:r w:rsidRPr="00CF28B5">
        <w:rPr>
          <w:rFonts w:eastAsia="Times New Roman" w:cs="Futura"/>
        </w:rPr>
        <w:t>l tercer</w:t>
      </w:r>
      <w:r>
        <w:rPr>
          <w:rFonts w:eastAsia="Times New Roman" w:cs="Futura"/>
        </w:rPr>
        <w:t>o,</w:t>
      </w:r>
      <w:r w:rsidRPr="00CF28B5">
        <w:rPr>
          <w:rFonts w:eastAsia="Times New Roman" w:cs="Futura"/>
        </w:rPr>
        <w:t xml:space="preserve"> </w:t>
      </w:r>
      <w:r>
        <w:rPr>
          <w:rFonts w:eastAsia="Times New Roman" w:cs="Futura"/>
        </w:rPr>
        <w:t>integra los</w:t>
      </w:r>
      <w:r w:rsidRPr="00CF28B5">
        <w:rPr>
          <w:rFonts w:eastAsia="Times New Roman" w:cs="Futura"/>
        </w:rPr>
        <w:t xml:space="preserve"> antecedentes para la elaboración del programa. El cuarto</w:t>
      </w:r>
      <w:r>
        <w:rPr>
          <w:rFonts w:eastAsia="Times New Roman" w:cs="Futura"/>
        </w:rPr>
        <w:t>,</w:t>
      </w:r>
      <w:r w:rsidRPr="00CF28B5">
        <w:rPr>
          <w:rFonts w:eastAsia="Times New Roman" w:cs="Futura"/>
        </w:rPr>
        <w:t xml:space="preserve"> señala el marco legal sobre el cual se fundamenta su elaboración. </w:t>
      </w:r>
    </w:p>
    <w:p w14:paraId="25211276" w14:textId="77777777" w:rsidR="00287C37" w:rsidRPr="00CF28B5" w:rsidRDefault="00287C37" w:rsidP="00287C37">
      <w:pPr>
        <w:rPr>
          <w:rFonts w:eastAsia="Times New Roman" w:cs="Futura"/>
        </w:rPr>
      </w:pPr>
      <w:r w:rsidRPr="00CF28B5">
        <w:rPr>
          <w:rFonts w:eastAsia="Times New Roman" w:cs="Futura"/>
        </w:rPr>
        <w:t>En el quinto apartado</w:t>
      </w:r>
      <w:r>
        <w:rPr>
          <w:rFonts w:eastAsia="Times New Roman" w:cs="Futura"/>
        </w:rPr>
        <w:t>,</w:t>
      </w:r>
      <w:r w:rsidRPr="00CF28B5">
        <w:rPr>
          <w:rFonts w:eastAsia="Times New Roman" w:cs="Futura"/>
        </w:rPr>
        <w:t xml:space="preserve"> se expone el diagnóstico de la problemática del sector educativo, sustentado en cifras estadísticas oficiales actualizadas</w:t>
      </w:r>
      <w:r>
        <w:rPr>
          <w:rFonts w:eastAsia="Times New Roman" w:cs="Futura"/>
        </w:rPr>
        <w:t>,</w:t>
      </w:r>
      <w:r w:rsidRPr="00CF28B5">
        <w:rPr>
          <w:rFonts w:eastAsia="Times New Roman" w:cs="Futura"/>
        </w:rPr>
        <w:t xml:space="preserve"> además de un análisis crítico de la problemática </w:t>
      </w:r>
      <w:r>
        <w:rPr>
          <w:rFonts w:eastAsia="Times New Roman" w:cs="Futura"/>
        </w:rPr>
        <w:t>d</w:t>
      </w:r>
      <w:r w:rsidRPr="00CF28B5">
        <w:rPr>
          <w:rFonts w:eastAsia="Times New Roman" w:cs="Futura"/>
        </w:rPr>
        <w:t xml:space="preserve">el sector. </w:t>
      </w:r>
    </w:p>
    <w:p w14:paraId="00CE084C" w14:textId="77777777" w:rsidR="00287C37" w:rsidRPr="00CF28B5" w:rsidRDefault="00287C37" w:rsidP="00287C37">
      <w:pPr>
        <w:rPr>
          <w:rFonts w:eastAsia="Times New Roman" w:cs="Futura"/>
        </w:rPr>
      </w:pPr>
      <w:r w:rsidRPr="00CF28B5">
        <w:rPr>
          <w:rFonts w:eastAsia="Times New Roman" w:cs="Futura"/>
        </w:rPr>
        <w:t>En el sexto, se hace referencia al contexto en el que se desarrolla la educación en el Estado de Quintana Roo</w:t>
      </w:r>
      <w:r>
        <w:rPr>
          <w:rFonts w:eastAsia="Times New Roman" w:cs="Futura"/>
        </w:rPr>
        <w:t>.</w:t>
      </w:r>
      <w:r w:rsidRPr="00CF28B5">
        <w:rPr>
          <w:rFonts w:eastAsia="Times New Roman" w:cs="Futura"/>
        </w:rPr>
        <w:t xml:space="preserve"> </w:t>
      </w:r>
      <w:r>
        <w:rPr>
          <w:rFonts w:eastAsia="Times New Roman" w:cs="Futura"/>
        </w:rPr>
        <w:t>D</w:t>
      </w:r>
      <w:r w:rsidRPr="00CF28B5">
        <w:rPr>
          <w:rFonts w:eastAsia="Times New Roman" w:cs="Futura"/>
        </w:rPr>
        <w:t>e igual manera</w:t>
      </w:r>
      <w:r>
        <w:rPr>
          <w:rFonts w:eastAsia="Times New Roman" w:cs="Futura"/>
        </w:rPr>
        <w:t>,</w:t>
      </w:r>
      <w:r w:rsidRPr="00CF28B5">
        <w:rPr>
          <w:rFonts w:eastAsia="Times New Roman" w:cs="Futura"/>
        </w:rPr>
        <w:t xml:space="preserve"> se describe la alineación del Programa Sectorial con los diferentes objetivos de los instrumentos rectores de planeación como lo son: Plan Nacional de Desarrollo 2019-2024, el Programa Secto</w:t>
      </w:r>
      <w:r>
        <w:rPr>
          <w:rFonts w:eastAsia="Times New Roman" w:cs="Futura"/>
        </w:rPr>
        <w:t xml:space="preserve">rial de Educación 2020-2024 y la actualización del </w:t>
      </w:r>
      <w:r w:rsidRPr="00CF28B5">
        <w:rPr>
          <w:rFonts w:eastAsia="Times New Roman" w:cs="Futura"/>
        </w:rPr>
        <w:t xml:space="preserve">Plan Estatal de Desarrollo 2016-2022. </w:t>
      </w:r>
    </w:p>
    <w:p w14:paraId="7B20ED66" w14:textId="77777777" w:rsidR="00287C37" w:rsidRPr="00CF28B5" w:rsidRDefault="00287C37" w:rsidP="00287C37">
      <w:pPr>
        <w:rPr>
          <w:rFonts w:eastAsia="Times New Roman" w:cs="Futura"/>
        </w:rPr>
      </w:pPr>
      <w:r w:rsidRPr="00CF28B5">
        <w:rPr>
          <w:rFonts w:eastAsia="Times New Roman" w:cs="Futura"/>
        </w:rPr>
        <w:t>Los siguientes tres apartados ofrecen los elementos del diseño institucional</w:t>
      </w:r>
      <w:r>
        <w:rPr>
          <w:rFonts w:eastAsia="Times New Roman" w:cs="Futura"/>
        </w:rPr>
        <w:t xml:space="preserve"> del sistema educativo estatal: </w:t>
      </w:r>
      <w:r w:rsidRPr="00CF28B5">
        <w:rPr>
          <w:rFonts w:eastAsia="Times New Roman" w:cs="Futura"/>
        </w:rPr>
        <w:t>misión, visión, política, valo</w:t>
      </w:r>
      <w:r>
        <w:rPr>
          <w:rFonts w:eastAsia="Times New Roman" w:cs="Futura"/>
        </w:rPr>
        <w:t>res y filosofía</w:t>
      </w:r>
      <w:r w:rsidRPr="00CF28B5">
        <w:rPr>
          <w:rFonts w:eastAsia="Times New Roman" w:cs="Futura"/>
        </w:rPr>
        <w:t xml:space="preserve">. </w:t>
      </w:r>
    </w:p>
    <w:p w14:paraId="39405F30" w14:textId="77777777" w:rsidR="00287C37" w:rsidRPr="00CF28B5" w:rsidRDefault="00287C37" w:rsidP="00287C37">
      <w:pPr>
        <w:rPr>
          <w:rFonts w:eastAsia="Times New Roman" w:cs="Futura"/>
        </w:rPr>
      </w:pPr>
      <w:r w:rsidRPr="00CF28B5">
        <w:rPr>
          <w:rFonts w:eastAsia="Times New Roman" w:cs="Futura"/>
        </w:rPr>
        <w:t>En el décimo apartado se enuncian los temas, objetivos estratégicos y líneas de acción que regirán el desarrollo del</w:t>
      </w:r>
      <w:r>
        <w:rPr>
          <w:rFonts w:eastAsia="Times New Roman" w:cs="Futura"/>
        </w:rPr>
        <w:t xml:space="preserve"> sector educativo en la entidad.</w:t>
      </w:r>
      <w:r w:rsidRPr="00CF28B5">
        <w:rPr>
          <w:rFonts w:eastAsia="Times New Roman" w:cs="Futura"/>
        </w:rPr>
        <w:t xml:space="preserve"> </w:t>
      </w:r>
    </w:p>
    <w:p w14:paraId="7590807D" w14:textId="77777777" w:rsidR="00287C37" w:rsidRPr="00CF28B5" w:rsidRDefault="00287C37" w:rsidP="00287C37">
      <w:pPr>
        <w:rPr>
          <w:rFonts w:eastAsia="Times New Roman" w:cs="Futura"/>
        </w:rPr>
      </w:pPr>
      <w:r>
        <w:rPr>
          <w:rFonts w:eastAsia="Times New Roman" w:cs="Futura"/>
        </w:rPr>
        <w:t>El décimo primero, incluye</w:t>
      </w:r>
      <w:r w:rsidRPr="00CF28B5">
        <w:rPr>
          <w:rFonts w:eastAsia="Times New Roman" w:cs="Futura"/>
        </w:rPr>
        <w:t xml:space="preserve"> las bases para la coordinac</w:t>
      </w:r>
      <w:r>
        <w:rPr>
          <w:rFonts w:eastAsia="Times New Roman" w:cs="Futura"/>
        </w:rPr>
        <w:t>ión y concertación del programa.</w:t>
      </w:r>
      <w:r w:rsidRPr="00CF28B5">
        <w:rPr>
          <w:rFonts w:eastAsia="Times New Roman" w:cs="Futura"/>
        </w:rPr>
        <w:t xml:space="preserve"> </w:t>
      </w:r>
      <w:r>
        <w:rPr>
          <w:rFonts w:eastAsia="Times New Roman" w:cs="Futura"/>
        </w:rPr>
        <w:t>E</w:t>
      </w:r>
      <w:r w:rsidRPr="00CF28B5">
        <w:rPr>
          <w:rFonts w:eastAsia="Times New Roman" w:cs="Futura"/>
        </w:rPr>
        <w:t xml:space="preserve">stablece los mecanismos para garantizar </w:t>
      </w:r>
      <w:r>
        <w:rPr>
          <w:rFonts w:eastAsia="Times New Roman" w:cs="Futura"/>
        </w:rPr>
        <w:t xml:space="preserve">la ejecución de </w:t>
      </w:r>
      <w:r w:rsidRPr="00CF28B5">
        <w:rPr>
          <w:rFonts w:eastAsia="Times New Roman" w:cs="Futura"/>
        </w:rPr>
        <w:t xml:space="preserve">las acciones contenidas en el mismo, </w:t>
      </w:r>
      <w:r>
        <w:rPr>
          <w:rFonts w:eastAsia="Times New Roman" w:cs="Futura"/>
        </w:rPr>
        <w:t xml:space="preserve">considerando </w:t>
      </w:r>
      <w:r w:rsidRPr="00CF28B5">
        <w:rPr>
          <w:rFonts w:eastAsia="Times New Roman" w:cs="Futura"/>
        </w:rPr>
        <w:t>que los programas y ac</w:t>
      </w:r>
      <w:r>
        <w:rPr>
          <w:rFonts w:eastAsia="Times New Roman" w:cs="Futura"/>
        </w:rPr>
        <w:t>ciones no se contrapongan y que</w:t>
      </w:r>
      <w:r w:rsidRPr="00CF28B5">
        <w:rPr>
          <w:rFonts w:eastAsia="Times New Roman" w:cs="Futura"/>
        </w:rPr>
        <w:t xml:space="preserve"> los vínculos entre las dependencias del gobierno federal, estatal y municipal</w:t>
      </w:r>
      <w:r>
        <w:rPr>
          <w:rFonts w:eastAsia="Times New Roman" w:cs="Futura"/>
        </w:rPr>
        <w:t>,</w:t>
      </w:r>
      <w:r w:rsidRPr="00CF28B5">
        <w:rPr>
          <w:rFonts w:eastAsia="Times New Roman" w:cs="Futura"/>
        </w:rPr>
        <w:t xml:space="preserve"> así como</w:t>
      </w:r>
      <w:r>
        <w:rPr>
          <w:rFonts w:eastAsia="Times New Roman" w:cs="Futura"/>
        </w:rPr>
        <w:t xml:space="preserve">, entre </w:t>
      </w:r>
      <w:r w:rsidRPr="00CF28B5">
        <w:rPr>
          <w:rFonts w:eastAsia="Times New Roman" w:cs="Futura"/>
        </w:rPr>
        <w:t xml:space="preserve">los organismos descentralizados, organizaciones de la </w:t>
      </w:r>
      <w:r>
        <w:rPr>
          <w:rFonts w:eastAsia="Times New Roman" w:cs="Futura"/>
        </w:rPr>
        <w:t xml:space="preserve">sociedad civil y sector privado, </w:t>
      </w:r>
      <w:r w:rsidRPr="00CF28B5">
        <w:rPr>
          <w:rFonts w:eastAsia="Times New Roman" w:cs="Futura"/>
        </w:rPr>
        <w:t>coadyuven al cumplimiento de las metas y objetivos del sector educativo.</w:t>
      </w:r>
    </w:p>
    <w:p w14:paraId="439E2343" w14:textId="31AD4EDA" w:rsidR="00287C37" w:rsidRPr="00CF28B5" w:rsidRDefault="00287C37" w:rsidP="00287C37">
      <w:pPr>
        <w:pStyle w:val="Default"/>
        <w:spacing w:line="276" w:lineRule="auto"/>
        <w:jc w:val="both"/>
        <w:rPr>
          <w:rFonts w:ascii="Futura T OT" w:eastAsia="Times New Roman" w:hAnsi="Futura T OT" w:cs="Futura"/>
          <w:color w:val="595959"/>
          <w:lang w:val="es-ES_tradnl" w:eastAsia="es-ES"/>
        </w:rPr>
      </w:pPr>
      <w:r>
        <w:rPr>
          <w:rFonts w:ascii="Futura T OT" w:eastAsia="Times New Roman" w:hAnsi="Futura T OT" w:cs="Futura"/>
          <w:color w:val="595959"/>
          <w:lang w:val="es-ES_tradnl" w:eastAsia="es-ES"/>
        </w:rPr>
        <w:lastRenderedPageBreak/>
        <w:t>En el apartado décimo segundo,</w:t>
      </w:r>
      <w:r w:rsidRPr="00CF28B5">
        <w:rPr>
          <w:rFonts w:ascii="Futura T OT" w:eastAsia="Times New Roman" w:hAnsi="Futura T OT" w:cs="Futura"/>
          <w:color w:val="595959"/>
          <w:lang w:val="es-ES_tradnl" w:eastAsia="es-ES"/>
        </w:rPr>
        <w:t xml:space="preserve"> se describen los mecanismos de seguimiento, control y evaluación de los objetivos, estrategias y líneas de acción, con la finalidad de brin</w:t>
      </w:r>
      <w:r>
        <w:rPr>
          <w:rFonts w:ascii="Futura T OT" w:eastAsia="Times New Roman" w:hAnsi="Futura T OT" w:cs="Futura"/>
          <w:color w:val="595959"/>
          <w:lang w:val="es-ES_tradnl" w:eastAsia="es-ES"/>
        </w:rPr>
        <w:t>dar certeza a la ciudadanía sobre</w:t>
      </w:r>
      <w:r w:rsidRPr="00CF28B5">
        <w:rPr>
          <w:rFonts w:ascii="Futura T OT" w:eastAsia="Times New Roman" w:hAnsi="Futura T OT" w:cs="Futura"/>
          <w:color w:val="595959"/>
          <w:lang w:val="es-ES_tradnl" w:eastAsia="es-ES"/>
        </w:rPr>
        <w:t xml:space="preserve"> la </w:t>
      </w:r>
      <w:r>
        <w:rPr>
          <w:rFonts w:ascii="Futura T OT" w:eastAsia="Times New Roman" w:hAnsi="Futura T OT" w:cs="Futura"/>
          <w:color w:val="595959"/>
          <w:lang w:val="es-ES_tradnl" w:eastAsia="es-ES"/>
        </w:rPr>
        <w:t>medición de sus</w:t>
      </w:r>
      <w:r w:rsidRPr="00CF28B5">
        <w:rPr>
          <w:rFonts w:ascii="Futura T OT" w:eastAsia="Times New Roman" w:hAnsi="Futura T OT" w:cs="Futura"/>
          <w:color w:val="595959"/>
          <w:lang w:val="es-ES_tradnl" w:eastAsia="es-ES"/>
        </w:rPr>
        <w:t xml:space="preserve"> impactos sociales.</w:t>
      </w:r>
    </w:p>
    <w:p w14:paraId="4AD8956B" w14:textId="77777777" w:rsidR="00287C37" w:rsidRPr="00CF28B5" w:rsidRDefault="00287C37" w:rsidP="00287C37">
      <w:pPr>
        <w:pStyle w:val="Default"/>
        <w:spacing w:line="276" w:lineRule="auto"/>
        <w:jc w:val="both"/>
        <w:rPr>
          <w:rFonts w:ascii="Futura T OT" w:eastAsia="Times New Roman" w:hAnsi="Futura T OT" w:cs="Futura"/>
          <w:color w:val="595959"/>
          <w:lang w:val="es-ES_tradnl" w:eastAsia="es-ES"/>
        </w:rPr>
      </w:pPr>
      <w:r>
        <w:rPr>
          <w:rFonts w:ascii="Futura T OT" w:eastAsia="Times New Roman" w:hAnsi="Futura T OT" w:cs="Futura"/>
          <w:color w:val="595959"/>
          <w:lang w:val="es-ES_tradnl" w:eastAsia="es-ES"/>
        </w:rPr>
        <w:t>Finalmente, en el apartado décimo tercero,</w:t>
      </w:r>
      <w:r w:rsidRPr="00CF28B5">
        <w:rPr>
          <w:rFonts w:ascii="Futura T OT" w:eastAsia="Times New Roman" w:hAnsi="Futura T OT" w:cs="Futura"/>
          <w:color w:val="595959"/>
          <w:lang w:val="es-ES_tradnl" w:eastAsia="es-ES"/>
        </w:rPr>
        <w:t xml:space="preserve"> se describen los diversos fondos y programas de financiamiento </w:t>
      </w:r>
      <w:r>
        <w:rPr>
          <w:rFonts w:ascii="Futura T OT" w:eastAsia="Times New Roman" w:hAnsi="Futura T OT" w:cs="Futura"/>
          <w:color w:val="595959"/>
          <w:lang w:val="es-ES_tradnl" w:eastAsia="es-ES"/>
        </w:rPr>
        <w:t xml:space="preserve">que proveerán </w:t>
      </w:r>
      <w:r w:rsidRPr="00CF28B5">
        <w:rPr>
          <w:rFonts w:ascii="Futura T OT" w:eastAsia="Times New Roman" w:hAnsi="Futura T OT" w:cs="Futura"/>
          <w:color w:val="595959"/>
          <w:lang w:val="es-ES_tradnl" w:eastAsia="es-ES"/>
        </w:rPr>
        <w:t xml:space="preserve">los recursos para llevar cabo el programa. </w:t>
      </w:r>
    </w:p>
    <w:p w14:paraId="71E90F8C" w14:textId="2DB22749" w:rsidR="00913635" w:rsidRDefault="00913635">
      <w:pPr>
        <w:spacing w:after="0" w:line="240" w:lineRule="auto"/>
        <w:jc w:val="left"/>
      </w:pPr>
      <w:r>
        <w:br w:type="page"/>
      </w:r>
    </w:p>
    <w:bookmarkEnd w:id="6"/>
    <w:bookmarkEnd w:id="7"/>
    <w:bookmarkEnd w:id="8"/>
    <w:p w14:paraId="577E0892" w14:textId="77777777" w:rsidR="00287C37" w:rsidRDefault="00287C37">
      <w:pPr>
        <w:spacing w:after="0" w:line="240" w:lineRule="auto"/>
        <w:jc w:val="left"/>
        <w:rPr>
          <w:rFonts w:eastAsia="Times New Roman" w:cs="Times New Roman"/>
          <w:b/>
          <w:color w:val="4BACC6"/>
          <w:sz w:val="44"/>
          <w:szCs w:val="20"/>
        </w:rPr>
      </w:pPr>
    </w:p>
    <w:p w14:paraId="7802382B" w14:textId="063E6C79" w:rsidR="00DB5F3B" w:rsidRPr="00F84CFC" w:rsidRDefault="00BD65C7" w:rsidP="00F84CFC">
      <w:pPr>
        <w:pStyle w:val="Ttulo"/>
      </w:pPr>
      <w:r w:rsidRPr="00F84CFC">
        <w:t>ANTECEDENTES</w:t>
      </w:r>
      <w:bookmarkStart w:id="9" w:name="_Toc477971048"/>
    </w:p>
    <w:p w14:paraId="0A331B4A" w14:textId="77777777" w:rsidR="00F84CFC" w:rsidRDefault="00F84CFC">
      <w:pPr>
        <w:spacing w:after="0" w:line="240" w:lineRule="auto"/>
        <w:jc w:val="left"/>
        <w:rPr>
          <w:color w:val="4BACC6"/>
        </w:rPr>
      </w:pPr>
      <w:r>
        <w:rPr>
          <w:color w:val="4BACC6"/>
        </w:rPr>
        <w:br w:type="page"/>
      </w:r>
    </w:p>
    <w:p w14:paraId="0312B5EA" w14:textId="77777777" w:rsidR="00DB5F3B" w:rsidRDefault="00DB5F3B" w:rsidP="00DB5F3B">
      <w:pPr>
        <w:pStyle w:val="Ttulo"/>
      </w:pPr>
    </w:p>
    <w:p w14:paraId="6CD0B425" w14:textId="77777777" w:rsidR="00267D01" w:rsidRPr="005A1156" w:rsidRDefault="00267D01" w:rsidP="00267D01">
      <w:pPr>
        <w:pStyle w:val="Ttulo1"/>
      </w:pPr>
      <w:bookmarkStart w:id="10" w:name="_Toc53409852"/>
      <w:bookmarkStart w:id="11" w:name="_Toc486858137"/>
      <w:r w:rsidRPr="005A1156">
        <w:t>III. ANTECEDENTES</w:t>
      </w:r>
      <w:bookmarkEnd w:id="10"/>
    </w:p>
    <w:p w14:paraId="1D9BE35C" w14:textId="77777777" w:rsidR="00267D01" w:rsidRPr="00CF28B5" w:rsidRDefault="00267D01" w:rsidP="00267D01">
      <w:pPr>
        <w:rPr>
          <w:rFonts w:eastAsia="Times New Roman" w:cs="Futura"/>
        </w:rPr>
      </w:pPr>
      <w:r w:rsidRPr="00CF28B5">
        <w:rPr>
          <w:rFonts w:eastAsia="Times New Roman" w:cs="Futura"/>
        </w:rPr>
        <w:t>Emprender acciones encaminadas a mejorar la calidad educativa del Estado de Quintana Roo para garantizar que cada infante y cada joven tenga las mismas oportunidades de capacitación y aprendizaje es una tarea importante, enmarcada en el proceso de planeación. Para lograrlo se requiere necesariamente del conocimiento sistemático de lo realizado, a fin de valorar lo hecho y perfilar  las actividades institucionales con orientación a la optimización de los recursos humanos, materiales y financieros; este proceso permite que la toma de decisiones se efectúe de manera adecuada, racional y eficiente.</w:t>
      </w:r>
    </w:p>
    <w:p w14:paraId="006DF3E7" w14:textId="77777777" w:rsidR="00267D01" w:rsidRPr="00CF28B5" w:rsidRDefault="00267D01" w:rsidP="00267D01">
      <w:pPr>
        <w:rPr>
          <w:rFonts w:eastAsia="Times New Roman" w:cs="Futura"/>
        </w:rPr>
      </w:pPr>
      <w:r w:rsidRPr="00CF28B5">
        <w:rPr>
          <w:rFonts w:eastAsia="Times New Roman" w:cs="Futura"/>
        </w:rPr>
        <w:t>En este sentido, la Ley de Planeación para el Desarrollo del Estado de Quintana Roo establece los lineamientos y principios básicos para la integración y funcionamiento de los principales instrumentos de la planeación estatal. Con fundamento en esta Ley se derivan el Plan Estatal de Desarrollo 2016-2022 (alineado a su homólogo nacional) y los programas sectoriales, especiales e institucionales. Estos últimos son instrumentos de carácter más específico a través de los cuales se coordinan las acciones de gobierno y vinculan el funcionamiento de las diversas instituciones públicas, sociales y privadas que comparten fines similares en el contexto de un sector del desarrollo.</w:t>
      </w:r>
    </w:p>
    <w:p w14:paraId="1532903B" w14:textId="77777777" w:rsidR="00267D01" w:rsidRPr="00CF28B5" w:rsidRDefault="00267D01" w:rsidP="00267D01">
      <w:pPr>
        <w:rPr>
          <w:rFonts w:eastAsia="Times New Roman" w:cs="Futura"/>
        </w:rPr>
      </w:pPr>
      <w:r w:rsidRPr="00CF28B5">
        <w:rPr>
          <w:rFonts w:eastAsia="Times New Roman" w:cs="Futura"/>
        </w:rPr>
        <w:t xml:space="preserve">Para la elaboración e integración de los programas sectoriales, la Ley de Planeación para el Desarrollo del Estado de Quintana Roo reformada el 04 de julio de 2017, establece las bases metodológicas y mecanismos de participación social en los cuales se ha de </w:t>
      </w:r>
      <w:r w:rsidRPr="00CF28B5">
        <w:rPr>
          <w:rFonts w:eastAsia="Times New Roman" w:cs="Futura"/>
        </w:rPr>
        <w:lastRenderedPageBreak/>
        <w:t>fundamentar su integración que permitan definir los principales objetivos, las estrategias y las áreas de oportunidad.</w:t>
      </w:r>
    </w:p>
    <w:p w14:paraId="4FD3DA76" w14:textId="77777777" w:rsidR="00267D01" w:rsidRPr="00CF28B5" w:rsidRDefault="00267D01" w:rsidP="00267D01">
      <w:pPr>
        <w:rPr>
          <w:rFonts w:eastAsia="Times New Roman" w:cs="Futura"/>
        </w:rPr>
      </w:pPr>
      <w:r w:rsidRPr="00CF28B5">
        <w:rPr>
          <w:rFonts w:eastAsia="Times New Roman" w:cs="Futura"/>
        </w:rPr>
        <w:t>El presente Programa Sectorial de Educación Pública de Calidad fue elaborado a partir del esquema metodológico fundamentado en esta disposición, así como los lineamientos definidos por la Secretaría de Finanzas y Planeación a través del Comité de Planeación para el Desarrollo del Estado de Quintana Roo (COPLADE). Para la elaboración y actualización del Programa Sectorial de Educación Pública de Calidad 2016-2022, se desarrolló un proceso que consistió en las siguientes fases:</w:t>
      </w:r>
    </w:p>
    <w:tbl>
      <w:tblPr>
        <w:tblStyle w:val="TablaSectorial"/>
        <w:tblW w:w="0" w:type="auto"/>
        <w:jc w:val="left"/>
        <w:tblLook w:val="04A0" w:firstRow="1" w:lastRow="0" w:firstColumn="1" w:lastColumn="0" w:noHBand="0" w:noVBand="1"/>
      </w:tblPr>
      <w:tblGrid>
        <w:gridCol w:w="1951"/>
        <w:gridCol w:w="1723"/>
      </w:tblGrid>
      <w:tr w:rsidR="00267D01" w:rsidRPr="009B79C1" w14:paraId="4DCEB737" w14:textId="77777777" w:rsidTr="007308C3">
        <w:trPr>
          <w:cnfStyle w:val="100000000000" w:firstRow="1" w:lastRow="0" w:firstColumn="0" w:lastColumn="0" w:oddVBand="0" w:evenVBand="0" w:oddHBand="0" w:evenHBand="0" w:firstRowFirstColumn="0" w:firstRowLastColumn="0" w:lastRowFirstColumn="0" w:lastRowLastColumn="0"/>
          <w:trHeight w:val="266"/>
          <w:jc w:val="left"/>
        </w:trPr>
        <w:tc>
          <w:tcPr>
            <w:tcW w:w="1951" w:type="dxa"/>
          </w:tcPr>
          <w:p w14:paraId="0D70BA99" w14:textId="77777777" w:rsidR="00267D01" w:rsidRPr="00E07B00" w:rsidRDefault="00267D01" w:rsidP="00FD731A">
            <w:pPr>
              <w:spacing w:after="0" w:line="240" w:lineRule="auto"/>
              <w:jc w:val="center"/>
              <w:rPr>
                <w:rFonts w:eastAsia="Times New Roman" w:cs="Futura"/>
                <w:szCs w:val="20"/>
              </w:rPr>
            </w:pPr>
            <w:r w:rsidRPr="00E07B00">
              <w:rPr>
                <w:rFonts w:eastAsia="Times New Roman" w:cs="Futura"/>
                <w:szCs w:val="20"/>
              </w:rPr>
              <w:t>Fase 1</w:t>
            </w:r>
          </w:p>
        </w:tc>
        <w:tc>
          <w:tcPr>
            <w:tcW w:w="1723" w:type="dxa"/>
          </w:tcPr>
          <w:p w14:paraId="38B33395" w14:textId="77777777" w:rsidR="00267D01" w:rsidRPr="00E07B00" w:rsidRDefault="00267D01" w:rsidP="00FD731A">
            <w:pPr>
              <w:spacing w:after="0" w:line="240" w:lineRule="auto"/>
              <w:jc w:val="center"/>
              <w:rPr>
                <w:rFonts w:eastAsia="Times New Roman" w:cs="Futura"/>
                <w:szCs w:val="20"/>
              </w:rPr>
            </w:pPr>
            <w:r w:rsidRPr="00E07B00">
              <w:rPr>
                <w:rFonts w:eastAsia="Times New Roman" w:cs="Futura"/>
                <w:szCs w:val="20"/>
              </w:rPr>
              <w:t>Insumos</w:t>
            </w:r>
          </w:p>
        </w:tc>
      </w:tr>
      <w:tr w:rsidR="00267D01" w:rsidRPr="009B79C1" w14:paraId="272B75CB" w14:textId="77777777" w:rsidTr="007308C3">
        <w:trPr>
          <w:trHeight w:val="266"/>
          <w:jc w:val="left"/>
        </w:trPr>
        <w:tc>
          <w:tcPr>
            <w:tcW w:w="3674" w:type="dxa"/>
            <w:gridSpan w:val="2"/>
          </w:tcPr>
          <w:p w14:paraId="0E579BE4" w14:textId="77777777" w:rsidR="00267D01" w:rsidRPr="00E07B00" w:rsidRDefault="00267D01" w:rsidP="007308C3">
            <w:pPr>
              <w:spacing w:after="0" w:line="240" w:lineRule="auto"/>
              <w:jc w:val="center"/>
              <w:rPr>
                <w:rFonts w:eastAsia="Times New Roman" w:cs="Futura"/>
                <w:szCs w:val="20"/>
              </w:rPr>
            </w:pPr>
            <w:r w:rsidRPr="00E07B00">
              <w:rPr>
                <w:rFonts w:eastAsia="Times New Roman" w:cs="Futura"/>
                <w:szCs w:val="20"/>
              </w:rPr>
              <w:t>Alineación al PND 2019-2024</w:t>
            </w:r>
          </w:p>
          <w:p w14:paraId="52042450" w14:textId="77777777" w:rsidR="00267D01" w:rsidRPr="00E07B00" w:rsidRDefault="00267D01" w:rsidP="007308C3">
            <w:pPr>
              <w:spacing w:after="0" w:line="240" w:lineRule="auto"/>
              <w:jc w:val="center"/>
              <w:rPr>
                <w:rFonts w:eastAsia="Times New Roman" w:cs="Futura"/>
                <w:szCs w:val="20"/>
              </w:rPr>
            </w:pPr>
            <w:r w:rsidRPr="00E07B00">
              <w:rPr>
                <w:rFonts w:eastAsia="Times New Roman" w:cs="Futura"/>
                <w:szCs w:val="20"/>
              </w:rPr>
              <w:t>Alineación objetivo 4 Agenda 2030</w:t>
            </w:r>
          </w:p>
          <w:p w14:paraId="03F1EA88" w14:textId="77777777" w:rsidR="00267D01" w:rsidRPr="00E07B00" w:rsidRDefault="00267D01" w:rsidP="007308C3">
            <w:pPr>
              <w:spacing w:after="0" w:line="240" w:lineRule="auto"/>
              <w:jc w:val="center"/>
              <w:rPr>
                <w:rFonts w:eastAsia="Times New Roman" w:cs="Futura"/>
                <w:szCs w:val="20"/>
              </w:rPr>
            </w:pPr>
            <w:r w:rsidRPr="00E07B00">
              <w:rPr>
                <w:rFonts w:eastAsia="Times New Roman" w:cs="Futura"/>
                <w:szCs w:val="20"/>
              </w:rPr>
              <w:t>PSE 2019-2024</w:t>
            </w:r>
          </w:p>
          <w:p w14:paraId="72BF123C" w14:textId="77777777" w:rsidR="00267D01" w:rsidRPr="00E07B00" w:rsidRDefault="00267D01" w:rsidP="007308C3">
            <w:pPr>
              <w:spacing w:after="120" w:line="240" w:lineRule="auto"/>
              <w:jc w:val="center"/>
              <w:rPr>
                <w:rFonts w:eastAsia="Times New Roman" w:cs="Futura"/>
                <w:szCs w:val="20"/>
              </w:rPr>
            </w:pPr>
            <w:r w:rsidRPr="00E07B00">
              <w:rPr>
                <w:rFonts w:eastAsia="Times New Roman" w:cs="Futura"/>
                <w:szCs w:val="20"/>
              </w:rPr>
              <w:t>PED 2016-2022</w:t>
            </w:r>
          </w:p>
        </w:tc>
      </w:tr>
    </w:tbl>
    <w:tbl>
      <w:tblPr>
        <w:tblStyle w:val="TablaSectorial"/>
        <w:tblpPr w:leftFromText="141" w:rightFromText="141" w:vertAnchor="text" w:horzAnchor="page" w:tblpX="5485" w:tblpY="-1130"/>
        <w:tblW w:w="0" w:type="auto"/>
        <w:jc w:val="left"/>
        <w:tblLook w:val="04A0" w:firstRow="1" w:lastRow="0" w:firstColumn="1" w:lastColumn="0" w:noHBand="0" w:noVBand="1"/>
      </w:tblPr>
      <w:tblGrid>
        <w:gridCol w:w="1951"/>
        <w:gridCol w:w="3119"/>
      </w:tblGrid>
      <w:tr w:rsidR="00267D01" w:rsidRPr="009B79C1" w14:paraId="12D6C255" w14:textId="77777777" w:rsidTr="007308C3">
        <w:trPr>
          <w:cnfStyle w:val="100000000000" w:firstRow="1" w:lastRow="0" w:firstColumn="0" w:lastColumn="0" w:oddVBand="0" w:evenVBand="0" w:oddHBand="0" w:evenHBand="0" w:firstRowFirstColumn="0" w:firstRowLastColumn="0" w:lastRowFirstColumn="0" w:lastRowLastColumn="0"/>
          <w:jc w:val="left"/>
        </w:trPr>
        <w:tc>
          <w:tcPr>
            <w:tcW w:w="1951" w:type="dxa"/>
          </w:tcPr>
          <w:p w14:paraId="4952B919" w14:textId="77777777" w:rsidR="00267D01" w:rsidRPr="00E07B00" w:rsidRDefault="00267D01" w:rsidP="007308C3">
            <w:pPr>
              <w:spacing w:after="0" w:line="240" w:lineRule="auto"/>
              <w:jc w:val="center"/>
              <w:rPr>
                <w:rFonts w:eastAsia="Times New Roman" w:cs="Futura"/>
                <w:szCs w:val="20"/>
              </w:rPr>
            </w:pPr>
            <w:r w:rsidRPr="00E07B00">
              <w:rPr>
                <w:rFonts w:eastAsia="Times New Roman" w:cs="Futura"/>
                <w:szCs w:val="20"/>
              </w:rPr>
              <w:t>Fase 2</w:t>
            </w:r>
          </w:p>
        </w:tc>
        <w:tc>
          <w:tcPr>
            <w:tcW w:w="3119" w:type="dxa"/>
          </w:tcPr>
          <w:p w14:paraId="0593D172" w14:textId="77777777" w:rsidR="00267D01" w:rsidRPr="00E07B00" w:rsidRDefault="00267D01" w:rsidP="007308C3">
            <w:pPr>
              <w:spacing w:after="0" w:line="240" w:lineRule="auto"/>
              <w:jc w:val="center"/>
              <w:rPr>
                <w:rFonts w:eastAsia="Times New Roman" w:cs="Futura"/>
                <w:szCs w:val="20"/>
              </w:rPr>
            </w:pPr>
            <w:r w:rsidRPr="00E07B00">
              <w:rPr>
                <w:rFonts w:eastAsia="Times New Roman" w:cs="Futura"/>
                <w:szCs w:val="20"/>
              </w:rPr>
              <w:t>Elaboración de Diagnóstico</w:t>
            </w:r>
          </w:p>
        </w:tc>
      </w:tr>
      <w:tr w:rsidR="00267D01" w:rsidRPr="009B79C1" w14:paraId="4F775ABD" w14:textId="77777777" w:rsidTr="007308C3">
        <w:trPr>
          <w:jc w:val="left"/>
        </w:trPr>
        <w:tc>
          <w:tcPr>
            <w:tcW w:w="5070" w:type="dxa"/>
            <w:gridSpan w:val="2"/>
          </w:tcPr>
          <w:p w14:paraId="53E9E808" w14:textId="77777777" w:rsidR="00267D01" w:rsidRPr="00E07B00" w:rsidRDefault="00267D01" w:rsidP="00E07B00">
            <w:pPr>
              <w:spacing w:after="0" w:line="240" w:lineRule="auto"/>
              <w:jc w:val="center"/>
              <w:rPr>
                <w:rFonts w:eastAsia="Times New Roman" w:cs="Futura"/>
                <w:szCs w:val="20"/>
              </w:rPr>
            </w:pPr>
            <w:r w:rsidRPr="00E07B00">
              <w:rPr>
                <w:rFonts w:eastAsia="Times New Roman" w:cs="Futura"/>
                <w:szCs w:val="20"/>
              </w:rPr>
              <w:t xml:space="preserve">Construcción de un diagnóstico basado en un análisis crítico de la situación del sector educativo, partiendo de un contexto estatal y nacional, identificando de esta manera la problemática del sector, en el cual se contó con la participación de cada área, nivel y actor del sector educativo. </w:t>
            </w:r>
          </w:p>
        </w:tc>
      </w:tr>
    </w:tbl>
    <w:p w14:paraId="30E0EAB7" w14:textId="77777777" w:rsidR="00267D01" w:rsidRPr="00E07B00" w:rsidRDefault="00267D01" w:rsidP="00267D01">
      <w:pPr>
        <w:pStyle w:val="Textonotapie"/>
        <w:spacing w:before="0" w:after="0"/>
        <w:jc w:val="left"/>
        <w:rPr>
          <w:rFonts w:ascii="Futura T OT" w:eastAsia="Times New Roman" w:hAnsi="Futura T OT" w:cs="Futura"/>
          <w:szCs w:val="16"/>
          <w:lang w:val="es-ES_tradnl" w:eastAsia="es-ES"/>
        </w:rPr>
      </w:pPr>
      <w:r w:rsidRPr="00E07B00">
        <w:rPr>
          <w:rFonts w:ascii="Futura T OT" w:eastAsia="Times New Roman" w:hAnsi="Futura T OT" w:cs="Futura"/>
          <w:szCs w:val="16"/>
          <w:lang w:val="es-ES_tradnl" w:eastAsia="es-ES"/>
        </w:rPr>
        <w:t>PND: Plan Nacional de Desarrollo 2019- 2024</w:t>
      </w:r>
    </w:p>
    <w:p w14:paraId="3F993118" w14:textId="77777777" w:rsidR="00267D01" w:rsidRPr="00E07B00" w:rsidRDefault="00267D01" w:rsidP="00267D01">
      <w:pPr>
        <w:pStyle w:val="Textonotapie"/>
        <w:spacing w:before="0" w:after="0"/>
        <w:jc w:val="left"/>
        <w:rPr>
          <w:rFonts w:ascii="Futura T OT" w:eastAsia="Times New Roman" w:hAnsi="Futura T OT" w:cs="Futura"/>
          <w:szCs w:val="16"/>
          <w:lang w:val="es-ES_tradnl" w:eastAsia="es-ES"/>
        </w:rPr>
      </w:pPr>
      <w:r w:rsidRPr="00E07B00">
        <w:rPr>
          <w:rFonts w:ascii="Futura T OT" w:eastAsia="Times New Roman" w:hAnsi="Futura T OT" w:cs="Futura"/>
          <w:szCs w:val="16"/>
          <w:lang w:val="es-ES_tradnl" w:eastAsia="es-ES"/>
        </w:rPr>
        <w:t>PSE: Programa Sectorial de Educación 2019-2024</w:t>
      </w:r>
    </w:p>
    <w:p w14:paraId="72FD2B8D" w14:textId="77777777" w:rsidR="00267D01" w:rsidRPr="00E07B00" w:rsidRDefault="00267D01" w:rsidP="00267D01">
      <w:pPr>
        <w:pStyle w:val="Textonotapie"/>
        <w:spacing w:before="0" w:after="0"/>
        <w:jc w:val="left"/>
        <w:rPr>
          <w:rFonts w:ascii="Futura T OT" w:eastAsia="Times New Roman" w:hAnsi="Futura T OT" w:cs="Futura"/>
          <w:szCs w:val="16"/>
          <w:lang w:val="es-ES_tradnl" w:eastAsia="es-ES"/>
        </w:rPr>
      </w:pPr>
      <w:r w:rsidRPr="00E07B00">
        <w:rPr>
          <w:rFonts w:ascii="Futura T OT" w:eastAsia="Times New Roman" w:hAnsi="Futura T OT" w:cs="Futura"/>
          <w:szCs w:val="16"/>
          <w:lang w:val="es-ES_tradnl" w:eastAsia="es-ES"/>
        </w:rPr>
        <w:t>PED: Plan Estatal de Desarrollo 2016-20122</w:t>
      </w:r>
    </w:p>
    <w:p w14:paraId="757CA526" w14:textId="77777777" w:rsidR="00267D01" w:rsidRPr="009B79C1" w:rsidRDefault="00267D01" w:rsidP="00267D01">
      <w:pPr>
        <w:spacing w:after="0" w:line="240" w:lineRule="auto"/>
        <w:jc w:val="left"/>
        <w:rPr>
          <w:color w:val="FF0000"/>
          <w:sz w:val="16"/>
          <w:szCs w:val="16"/>
        </w:rPr>
      </w:pPr>
    </w:p>
    <w:tbl>
      <w:tblPr>
        <w:tblStyle w:val="TablaSectorial"/>
        <w:tblW w:w="5000" w:type="pct"/>
        <w:tblLook w:val="04A0" w:firstRow="1" w:lastRow="0" w:firstColumn="1" w:lastColumn="0" w:noHBand="0" w:noVBand="1"/>
      </w:tblPr>
      <w:tblGrid>
        <w:gridCol w:w="4297"/>
        <w:gridCol w:w="5240"/>
      </w:tblGrid>
      <w:tr w:rsidR="00267D01" w:rsidRPr="00E07B00" w14:paraId="0B9065B0" w14:textId="77777777" w:rsidTr="007308C3">
        <w:trPr>
          <w:cnfStyle w:val="100000000000" w:firstRow="1" w:lastRow="0" w:firstColumn="0" w:lastColumn="0" w:oddVBand="0" w:evenVBand="0" w:oddHBand="0" w:evenHBand="0" w:firstRowFirstColumn="0" w:firstRowLastColumn="0" w:lastRowFirstColumn="0" w:lastRowLastColumn="0"/>
        </w:trPr>
        <w:tc>
          <w:tcPr>
            <w:tcW w:w="2253" w:type="pct"/>
          </w:tcPr>
          <w:p w14:paraId="49D8966B" w14:textId="77777777" w:rsidR="00267D01" w:rsidRPr="00E07B00" w:rsidRDefault="00267D01" w:rsidP="007308C3">
            <w:pPr>
              <w:spacing w:after="0" w:line="240" w:lineRule="auto"/>
              <w:jc w:val="center"/>
              <w:rPr>
                <w:rFonts w:eastAsia="Times New Roman" w:cs="Futura"/>
                <w:szCs w:val="20"/>
              </w:rPr>
            </w:pPr>
            <w:r w:rsidRPr="00E07B00">
              <w:rPr>
                <w:rFonts w:eastAsia="Times New Roman" w:cs="Futura"/>
                <w:szCs w:val="20"/>
              </w:rPr>
              <w:t>Fase 3</w:t>
            </w:r>
          </w:p>
        </w:tc>
        <w:tc>
          <w:tcPr>
            <w:tcW w:w="2747" w:type="pct"/>
          </w:tcPr>
          <w:p w14:paraId="150F6B34" w14:textId="77777777" w:rsidR="00267D01" w:rsidRPr="00E07B00" w:rsidRDefault="00267D01" w:rsidP="007308C3">
            <w:pPr>
              <w:spacing w:after="0" w:line="240" w:lineRule="auto"/>
              <w:jc w:val="center"/>
              <w:rPr>
                <w:rFonts w:eastAsia="Times New Roman" w:cs="Futura"/>
                <w:szCs w:val="20"/>
              </w:rPr>
            </w:pPr>
            <w:r w:rsidRPr="00E07B00">
              <w:rPr>
                <w:rFonts w:eastAsia="Times New Roman" w:cs="Futura"/>
                <w:szCs w:val="20"/>
              </w:rPr>
              <w:t>Proceso de Consulta</w:t>
            </w:r>
          </w:p>
        </w:tc>
      </w:tr>
      <w:tr w:rsidR="00267D01" w:rsidRPr="00E07B00" w14:paraId="2263D295" w14:textId="77777777" w:rsidTr="007308C3">
        <w:tc>
          <w:tcPr>
            <w:tcW w:w="5000" w:type="pct"/>
            <w:gridSpan w:val="2"/>
          </w:tcPr>
          <w:p w14:paraId="3D99C277" w14:textId="77777777" w:rsidR="00267D01" w:rsidRPr="00E07B00" w:rsidRDefault="00267D01" w:rsidP="007308C3">
            <w:pPr>
              <w:spacing w:after="0" w:line="240" w:lineRule="auto"/>
              <w:rPr>
                <w:rFonts w:eastAsia="Times New Roman" w:cs="Futura"/>
                <w:szCs w:val="20"/>
              </w:rPr>
            </w:pPr>
            <w:r w:rsidRPr="00E07B00">
              <w:rPr>
                <w:rFonts w:eastAsia="Times New Roman" w:cs="Futura"/>
                <w:szCs w:val="20"/>
              </w:rPr>
              <w:t>Se realizaron mesas de trabajo temáticas específicas con los Comités de Planeación integrados en el sector educativo:</w:t>
            </w:r>
          </w:p>
          <w:p w14:paraId="4EC62B8B" w14:textId="77777777" w:rsidR="00267D01" w:rsidRPr="00E07B00" w:rsidRDefault="00267D01" w:rsidP="007308C3">
            <w:pPr>
              <w:spacing w:after="0" w:line="240" w:lineRule="auto"/>
              <w:rPr>
                <w:rFonts w:eastAsia="Times New Roman" w:cs="Futura"/>
                <w:szCs w:val="20"/>
              </w:rPr>
            </w:pPr>
            <w:r w:rsidRPr="00E07B00">
              <w:rPr>
                <w:rFonts w:eastAsia="Times New Roman" w:cs="Futura"/>
                <w:szCs w:val="20"/>
              </w:rPr>
              <w:t>Comité de Planeación para la Educación Básica (CEPEB)</w:t>
            </w:r>
          </w:p>
          <w:p w14:paraId="238144F2" w14:textId="77777777" w:rsidR="00267D01" w:rsidRPr="00E07B00" w:rsidRDefault="00267D01" w:rsidP="007308C3">
            <w:pPr>
              <w:spacing w:after="0" w:line="240" w:lineRule="auto"/>
              <w:rPr>
                <w:rFonts w:eastAsia="Times New Roman" w:cs="Futura"/>
                <w:szCs w:val="20"/>
              </w:rPr>
            </w:pPr>
            <w:r w:rsidRPr="00E07B00">
              <w:rPr>
                <w:rFonts w:eastAsia="Times New Roman" w:cs="Futura"/>
                <w:szCs w:val="20"/>
              </w:rPr>
              <w:t>Comité de Planeación y Programación para la Educación Media Superior (CEPPEMS)</w:t>
            </w:r>
          </w:p>
          <w:p w14:paraId="313EBC66" w14:textId="2C124C3D" w:rsidR="00267D01" w:rsidRPr="00E07B00" w:rsidRDefault="00B0058B" w:rsidP="007308C3">
            <w:pPr>
              <w:spacing w:after="0" w:line="240" w:lineRule="auto"/>
              <w:rPr>
                <w:rFonts w:eastAsia="Times New Roman" w:cs="Futura"/>
                <w:szCs w:val="20"/>
              </w:rPr>
            </w:pPr>
            <w:r>
              <w:rPr>
                <w:rFonts w:eastAsia="Times New Roman" w:cs="Futura"/>
                <w:szCs w:val="20"/>
              </w:rPr>
              <w:t xml:space="preserve">Comité Estatal de </w:t>
            </w:r>
            <w:r w:rsidR="00267D01" w:rsidRPr="00E07B00">
              <w:rPr>
                <w:rFonts w:eastAsia="Times New Roman" w:cs="Futura"/>
                <w:szCs w:val="20"/>
              </w:rPr>
              <w:t xml:space="preserve"> Planeación para la Educación Superior (COEPES).</w:t>
            </w:r>
          </w:p>
          <w:p w14:paraId="4ECE6FA4" w14:textId="77777777" w:rsidR="00267D01" w:rsidRPr="00E07B00" w:rsidRDefault="00267D01" w:rsidP="007308C3">
            <w:pPr>
              <w:spacing w:after="0" w:line="240" w:lineRule="auto"/>
              <w:rPr>
                <w:rFonts w:eastAsia="Times New Roman" w:cs="Futura"/>
                <w:szCs w:val="20"/>
              </w:rPr>
            </w:pPr>
            <w:r w:rsidRPr="00E07B00">
              <w:rPr>
                <w:rFonts w:eastAsia="Times New Roman" w:cs="Futura"/>
                <w:szCs w:val="20"/>
              </w:rPr>
              <w:t>Se utilizaron las aportaciones de la sociedad civil en el sector educativo derivado de los Foros de Consulta del Plan Estatal de Desarrollo.</w:t>
            </w:r>
          </w:p>
          <w:p w14:paraId="609DD791" w14:textId="77777777" w:rsidR="00267D01" w:rsidRPr="00E07B00" w:rsidRDefault="00267D01" w:rsidP="007308C3">
            <w:pPr>
              <w:spacing w:after="120" w:line="240" w:lineRule="auto"/>
              <w:rPr>
                <w:rFonts w:eastAsia="Times New Roman" w:cs="Futura"/>
                <w:szCs w:val="20"/>
              </w:rPr>
            </w:pPr>
            <w:r w:rsidRPr="00E07B00">
              <w:rPr>
                <w:rFonts w:eastAsia="Times New Roman" w:cs="Futura"/>
                <w:szCs w:val="20"/>
              </w:rPr>
              <w:t xml:space="preserve">Se integraron opiniones y aportaciones de los miembros del sector educativo que integran el Subcomité Sectorial, así como los insumos del Congreso para la Planeación de la Educación en Quintana Roo 2017. </w:t>
            </w:r>
          </w:p>
        </w:tc>
      </w:tr>
    </w:tbl>
    <w:p w14:paraId="6A927019" w14:textId="77777777" w:rsidR="00267D01" w:rsidRPr="00E07B00" w:rsidRDefault="00267D01" w:rsidP="00267D01">
      <w:pPr>
        <w:autoSpaceDE w:val="0"/>
        <w:autoSpaceDN w:val="0"/>
        <w:adjustRightInd w:val="0"/>
        <w:spacing w:after="0" w:line="240" w:lineRule="auto"/>
        <w:rPr>
          <w:rFonts w:eastAsia="Times New Roman" w:cs="Futura"/>
          <w:sz w:val="20"/>
          <w:szCs w:val="20"/>
        </w:rPr>
      </w:pPr>
    </w:p>
    <w:tbl>
      <w:tblPr>
        <w:tblStyle w:val="TablaSectorial"/>
        <w:tblW w:w="5000" w:type="pct"/>
        <w:tblLook w:val="04A0" w:firstRow="1" w:lastRow="0" w:firstColumn="1" w:lastColumn="0" w:noHBand="0" w:noVBand="1"/>
      </w:tblPr>
      <w:tblGrid>
        <w:gridCol w:w="4297"/>
        <w:gridCol w:w="5240"/>
      </w:tblGrid>
      <w:tr w:rsidR="00267D01" w:rsidRPr="00E07B00" w14:paraId="7FDE6E26" w14:textId="77777777" w:rsidTr="007308C3">
        <w:trPr>
          <w:cnfStyle w:val="100000000000" w:firstRow="1" w:lastRow="0" w:firstColumn="0" w:lastColumn="0" w:oddVBand="0" w:evenVBand="0" w:oddHBand="0" w:evenHBand="0" w:firstRowFirstColumn="0" w:firstRowLastColumn="0" w:lastRowFirstColumn="0" w:lastRowLastColumn="0"/>
        </w:trPr>
        <w:tc>
          <w:tcPr>
            <w:tcW w:w="2253" w:type="pct"/>
          </w:tcPr>
          <w:p w14:paraId="0EE36459" w14:textId="77777777" w:rsidR="00267D01" w:rsidRPr="00E07B00" w:rsidRDefault="00267D01" w:rsidP="007308C3">
            <w:pPr>
              <w:spacing w:after="0" w:line="240" w:lineRule="auto"/>
              <w:jc w:val="center"/>
              <w:rPr>
                <w:rFonts w:eastAsia="Times New Roman" w:cs="Futura"/>
                <w:szCs w:val="20"/>
              </w:rPr>
            </w:pPr>
            <w:r w:rsidRPr="00E07B00">
              <w:rPr>
                <w:rFonts w:eastAsia="Times New Roman" w:cs="Futura"/>
                <w:szCs w:val="20"/>
              </w:rPr>
              <w:t>Fase 4</w:t>
            </w:r>
          </w:p>
        </w:tc>
        <w:tc>
          <w:tcPr>
            <w:tcW w:w="2747" w:type="pct"/>
          </w:tcPr>
          <w:p w14:paraId="448D6813" w14:textId="77777777" w:rsidR="00267D01" w:rsidRPr="00E07B00" w:rsidRDefault="00267D01" w:rsidP="007308C3">
            <w:pPr>
              <w:spacing w:after="0" w:line="240" w:lineRule="auto"/>
              <w:jc w:val="center"/>
              <w:rPr>
                <w:rFonts w:eastAsia="Times New Roman" w:cs="Futura"/>
                <w:szCs w:val="20"/>
              </w:rPr>
            </w:pPr>
            <w:r w:rsidRPr="00E07B00">
              <w:rPr>
                <w:rFonts w:eastAsia="Times New Roman" w:cs="Futura"/>
                <w:szCs w:val="20"/>
              </w:rPr>
              <w:t>Integración del Documento</w:t>
            </w:r>
          </w:p>
        </w:tc>
      </w:tr>
      <w:tr w:rsidR="00267D01" w:rsidRPr="00E07B00" w14:paraId="60A0F996" w14:textId="77777777" w:rsidTr="007308C3">
        <w:tc>
          <w:tcPr>
            <w:tcW w:w="5000" w:type="pct"/>
            <w:gridSpan w:val="2"/>
          </w:tcPr>
          <w:p w14:paraId="1334B26D" w14:textId="77777777" w:rsidR="00267D01" w:rsidRPr="00E07B00" w:rsidRDefault="00267D01" w:rsidP="007308C3">
            <w:pPr>
              <w:spacing w:after="0" w:line="240" w:lineRule="auto"/>
              <w:jc w:val="center"/>
              <w:rPr>
                <w:rFonts w:eastAsia="Times New Roman" w:cs="Futura"/>
                <w:szCs w:val="20"/>
              </w:rPr>
            </w:pPr>
            <w:r w:rsidRPr="00E07B00">
              <w:rPr>
                <w:rFonts w:eastAsia="Times New Roman" w:cs="Futura"/>
                <w:szCs w:val="20"/>
              </w:rPr>
              <w:t>Objetivos</w:t>
            </w:r>
          </w:p>
          <w:p w14:paraId="67ADB492" w14:textId="77777777" w:rsidR="00267D01" w:rsidRPr="00E07B00" w:rsidRDefault="00267D01" w:rsidP="007308C3">
            <w:pPr>
              <w:spacing w:after="0" w:line="240" w:lineRule="auto"/>
              <w:jc w:val="center"/>
              <w:rPr>
                <w:rFonts w:eastAsia="Times New Roman" w:cs="Futura"/>
                <w:szCs w:val="20"/>
              </w:rPr>
            </w:pPr>
            <w:r w:rsidRPr="00E07B00">
              <w:rPr>
                <w:rFonts w:eastAsia="Times New Roman" w:cs="Futura"/>
                <w:szCs w:val="20"/>
              </w:rPr>
              <w:t>Estrategias y Líneas de Acción</w:t>
            </w:r>
          </w:p>
          <w:p w14:paraId="0DF52EFE" w14:textId="77777777" w:rsidR="00267D01" w:rsidRPr="00E07B00" w:rsidRDefault="00267D01" w:rsidP="007308C3">
            <w:pPr>
              <w:spacing w:after="0" w:line="240" w:lineRule="auto"/>
              <w:jc w:val="center"/>
              <w:rPr>
                <w:rFonts w:eastAsia="Times New Roman" w:cs="Futura"/>
                <w:szCs w:val="20"/>
              </w:rPr>
            </w:pPr>
            <w:r w:rsidRPr="00E07B00">
              <w:rPr>
                <w:rFonts w:eastAsia="Times New Roman" w:cs="Futura"/>
                <w:szCs w:val="20"/>
              </w:rPr>
              <w:t>Metas</w:t>
            </w:r>
          </w:p>
          <w:p w14:paraId="1218739C" w14:textId="77777777" w:rsidR="00267D01" w:rsidRPr="00E07B00" w:rsidRDefault="00267D01" w:rsidP="007308C3">
            <w:pPr>
              <w:spacing w:after="0" w:line="240" w:lineRule="auto"/>
              <w:jc w:val="center"/>
              <w:rPr>
                <w:rFonts w:eastAsia="Times New Roman" w:cs="Futura"/>
                <w:szCs w:val="20"/>
              </w:rPr>
            </w:pPr>
            <w:r w:rsidRPr="00E07B00">
              <w:rPr>
                <w:rFonts w:eastAsia="Times New Roman" w:cs="Futura"/>
                <w:szCs w:val="20"/>
              </w:rPr>
              <w:t>Indicadores</w:t>
            </w:r>
          </w:p>
          <w:p w14:paraId="4F17D707" w14:textId="77777777" w:rsidR="00267D01" w:rsidRPr="00E07B00" w:rsidRDefault="00267D01" w:rsidP="007308C3">
            <w:pPr>
              <w:spacing w:after="0" w:line="240" w:lineRule="auto"/>
              <w:jc w:val="center"/>
              <w:rPr>
                <w:rFonts w:eastAsia="Times New Roman" w:cs="Futura"/>
                <w:szCs w:val="20"/>
              </w:rPr>
            </w:pPr>
            <w:r w:rsidRPr="00E07B00">
              <w:rPr>
                <w:rFonts w:eastAsia="Times New Roman" w:cs="Futura"/>
                <w:szCs w:val="20"/>
              </w:rPr>
              <w:t xml:space="preserve">Análisis de la versión preliminar del Programa Sectorial de Educación Pública de Calidad en el Taller “Planeación Participativa del Programa Sectorial de Educación Pública de Calidad” en el marco del 1er Congreso para la Planeación de la Educación en Quintana Roo 2017. </w:t>
            </w:r>
          </w:p>
        </w:tc>
      </w:tr>
    </w:tbl>
    <w:p w14:paraId="0CFB0DBB" w14:textId="77777777" w:rsidR="00E07B00" w:rsidRDefault="00E07B00" w:rsidP="00CF28B5">
      <w:pPr>
        <w:rPr>
          <w:rFonts w:eastAsia="Times New Roman" w:cs="Futura"/>
        </w:rPr>
      </w:pPr>
    </w:p>
    <w:p w14:paraId="1A93EBBA" w14:textId="4E79740F" w:rsidR="00267D01" w:rsidRPr="00CF28B5" w:rsidRDefault="00267D01" w:rsidP="00CF28B5">
      <w:pPr>
        <w:rPr>
          <w:rFonts w:eastAsia="Times New Roman" w:cs="Futura"/>
        </w:rPr>
      </w:pPr>
      <w:r w:rsidRPr="00CF28B5">
        <w:rPr>
          <w:rFonts w:eastAsia="Times New Roman" w:cs="Futura"/>
        </w:rPr>
        <w:t xml:space="preserve">En la primera fase del proceso de planeación e integración del Programa Sectorial de Educación Pública de Calidad se realizaron las alineaciones de los objetivos plasmados en los diferentes documentos rectores en el sistema de planeación como lo son el Plan </w:t>
      </w:r>
      <w:r w:rsidR="00991BD0">
        <w:rPr>
          <w:rFonts w:eastAsia="Times New Roman" w:cs="Futura"/>
        </w:rPr>
        <w:lastRenderedPageBreak/>
        <w:t>Nacional de Desarrollo 2019-2024</w:t>
      </w:r>
      <w:r w:rsidRPr="00CF28B5">
        <w:rPr>
          <w:rFonts w:eastAsia="Times New Roman" w:cs="Futura"/>
        </w:rPr>
        <w:t>, el Prog</w:t>
      </w:r>
      <w:r w:rsidR="00991BD0">
        <w:rPr>
          <w:rFonts w:eastAsia="Times New Roman" w:cs="Futura"/>
        </w:rPr>
        <w:t>rama Sectorial de Educación 2019-2024, la Agenda 2030</w:t>
      </w:r>
      <w:r w:rsidRPr="00CF28B5">
        <w:rPr>
          <w:rFonts w:eastAsia="Times New Roman" w:cs="Futura"/>
        </w:rPr>
        <w:t xml:space="preserve"> y finalmente los objetivos y directrices del proyecto de desar</w:t>
      </w:r>
      <w:r w:rsidR="00734946">
        <w:rPr>
          <w:rFonts w:eastAsia="Times New Roman" w:cs="Futura"/>
        </w:rPr>
        <w:t xml:space="preserve">rollo estatal contempladas en la actualización del </w:t>
      </w:r>
      <w:r w:rsidRPr="00CF28B5">
        <w:rPr>
          <w:rFonts w:eastAsia="Times New Roman" w:cs="Futura"/>
        </w:rPr>
        <w:t xml:space="preserve"> Plan Estatal de Desarrollo 2016-2022.</w:t>
      </w:r>
    </w:p>
    <w:p w14:paraId="37C6F831" w14:textId="72FAB2E8" w:rsidR="00267D01" w:rsidRPr="00CF28B5" w:rsidRDefault="00267D01" w:rsidP="00267D01">
      <w:pPr>
        <w:rPr>
          <w:rFonts w:eastAsia="Times New Roman" w:cs="Futura"/>
        </w:rPr>
      </w:pPr>
      <w:r w:rsidRPr="00CF28B5">
        <w:rPr>
          <w:rFonts w:eastAsia="Times New Roman" w:cs="Futura"/>
        </w:rPr>
        <w:t>La segunda etapa de integración del diagnóstico, consis</w:t>
      </w:r>
      <w:r w:rsidR="00734946">
        <w:rPr>
          <w:rFonts w:eastAsia="Times New Roman" w:cs="Futura"/>
        </w:rPr>
        <w:t xml:space="preserve">tió en revisar el contenido de la actualización del </w:t>
      </w:r>
      <w:r w:rsidRPr="00CF28B5">
        <w:rPr>
          <w:rFonts w:eastAsia="Times New Roman" w:cs="Futura"/>
        </w:rPr>
        <w:t>Plan Estatal de Desarrollo 2016-2022, en donde las líneas de acción se subdividieron por temáticas específicas: Educación Básica</w:t>
      </w:r>
      <w:r w:rsidR="007622F6">
        <w:rPr>
          <w:rFonts w:eastAsia="Times New Roman" w:cs="Futura"/>
        </w:rPr>
        <w:t>, Apoyos a la Permanencia en Educación Básica, Programas de Apoyo a la Educación Básica, Fortalecimiento de Instituciones Formadoras de Docentes</w:t>
      </w:r>
      <w:r w:rsidRPr="00CF28B5">
        <w:rPr>
          <w:rFonts w:eastAsia="Times New Roman" w:cs="Futura"/>
        </w:rPr>
        <w:t>, Educación Media Superior, Educación Superior, Infraestructura Educativa, Rezago Educativo, Profesionalización de las Figuras Educativas, Desarrollo de la Investigación e Innovación Científica y Posgrado y Capacitación para</w:t>
      </w:r>
      <w:r w:rsidR="00693C79">
        <w:rPr>
          <w:rFonts w:eastAsia="Times New Roman" w:cs="Futura"/>
        </w:rPr>
        <w:t xml:space="preserve"> y en</w:t>
      </w:r>
      <w:r w:rsidRPr="00CF28B5">
        <w:rPr>
          <w:rFonts w:eastAsia="Times New Roman" w:cs="Futura"/>
        </w:rPr>
        <w:t xml:space="preserve"> el Trabajo. La Secretaría de Educación realizó la actualización de cifras oficiales y los responsables de áreas, niveles educativos, estructura académica y diversos actores del sector educativo se involucraron en el fortalecimiento, ampliación de la información y detección de problemáticas específicas. </w:t>
      </w:r>
    </w:p>
    <w:p w14:paraId="672C3D6D" w14:textId="77777777" w:rsidR="00267D01" w:rsidRPr="00CF28B5" w:rsidRDefault="00267D01" w:rsidP="00267D01">
      <w:pPr>
        <w:rPr>
          <w:rFonts w:eastAsia="Times New Roman" w:cs="Futura"/>
        </w:rPr>
      </w:pPr>
      <w:r w:rsidRPr="00CF28B5">
        <w:rPr>
          <w:rFonts w:eastAsia="Times New Roman" w:cs="Futura"/>
        </w:rPr>
        <w:t xml:space="preserve">A este ejercicio de planeación, siguió una tercera fase de planeación democrática. Como parte de las actividades de esta fase, se organizaron mesas de trabajo por temáticas con los comités de planeación existentes: Comité de Planeación para la Educación Básica (CEPEB), Comité de Planeación y Programación para la Educación Media Superior (CEPPEMS) y el Comité de Planeación para la Educación Superior (COEPES), mediante las cuales se realizó un análisis causal de problemas relevantes del sector, propuesta de estrategias específicas y acciones a emprender. </w:t>
      </w:r>
    </w:p>
    <w:p w14:paraId="273D5F55" w14:textId="77777777" w:rsidR="00267D01" w:rsidRPr="00CF28B5" w:rsidRDefault="00267D01" w:rsidP="00267D01">
      <w:pPr>
        <w:rPr>
          <w:rFonts w:eastAsia="Times New Roman" w:cs="Futura"/>
        </w:rPr>
      </w:pPr>
      <w:r w:rsidRPr="00CF28B5">
        <w:rPr>
          <w:rFonts w:eastAsia="Times New Roman" w:cs="Futura"/>
        </w:rPr>
        <w:t xml:space="preserve">En la cuarta fase del proceso se analizaron los insumos recabados de la participación democrática y se definieron objetivos por temática en el sector, estrategias y líneas de acción específicas, alineándolos a los diversos instrumentos del ámbito de planeación federal y estatal. De igual manera se realizó la validación de la propuesta preliminar del apartado estratégico del Programa Sectorial en el 1er Congreso para la Planeación de la Educación en Quintana Roo, mediante un taller denominado “Taller de Planeación Participativa del Programa Sectorial de Educación Pública de Calidad”, en el cual participaron los actores públicos y privados del sector educativo, con la finalidad de enriquecer las estrategias, líneas de acción propuestas. </w:t>
      </w:r>
    </w:p>
    <w:p w14:paraId="787F0675" w14:textId="77777777" w:rsidR="00267D01" w:rsidRPr="00AF5DDC" w:rsidRDefault="00267D01" w:rsidP="00267D01">
      <w:pPr>
        <w:spacing w:after="0" w:line="240" w:lineRule="auto"/>
        <w:jc w:val="left"/>
        <w:rPr>
          <w:rFonts w:eastAsia="Times New Roman" w:cs="Futura"/>
          <w:color w:val="000000" w:themeColor="text1"/>
        </w:rPr>
      </w:pPr>
      <w:r w:rsidRPr="00AF5DDC">
        <w:rPr>
          <w:rFonts w:eastAsia="Times New Roman" w:cs="Futura"/>
          <w:color w:val="000000" w:themeColor="text1"/>
        </w:rPr>
        <w:br w:type="page"/>
      </w:r>
    </w:p>
    <w:bookmarkEnd w:id="9"/>
    <w:bookmarkEnd w:id="11"/>
    <w:p w14:paraId="186457C8" w14:textId="6DD6D6ED" w:rsidR="009F0658" w:rsidRDefault="009F0658" w:rsidP="00BD65C7">
      <w:pPr>
        <w:pStyle w:val="Ttulo"/>
        <w:rPr>
          <w:rFonts w:eastAsiaTheme="minorEastAsia" w:cstheme="minorBidi"/>
          <w:b w:val="0"/>
          <w:color w:val="595959"/>
          <w:sz w:val="24"/>
          <w:szCs w:val="24"/>
        </w:rPr>
      </w:pPr>
    </w:p>
    <w:p w14:paraId="137AE645" w14:textId="222C4BCA" w:rsidR="00BD65C7" w:rsidRDefault="009F0658" w:rsidP="00BD65C7">
      <w:pPr>
        <w:pStyle w:val="Ttulo"/>
      </w:pPr>
      <w:r>
        <w:t>MA</w:t>
      </w:r>
      <w:r w:rsidR="00BD65C7">
        <w:t>RCO JURÍDICO</w:t>
      </w:r>
    </w:p>
    <w:p w14:paraId="405F630B" w14:textId="4903A056" w:rsidR="005441E8" w:rsidRPr="00FF3A0E" w:rsidRDefault="00BD65C7" w:rsidP="00FF3A0E">
      <w:pPr>
        <w:spacing w:after="0" w:line="240" w:lineRule="auto"/>
        <w:jc w:val="left"/>
        <w:rPr>
          <w:rFonts w:eastAsia="Times New Roman" w:cs="Times New Roman"/>
          <w:b/>
          <w:bCs/>
          <w:caps/>
          <w:color w:val="4BACC6"/>
          <w:sz w:val="32"/>
          <w:szCs w:val="28"/>
          <w:lang w:val="es-MX" w:eastAsia="en-US"/>
        </w:rPr>
      </w:pPr>
      <w:r>
        <w:rPr>
          <w:color w:val="4BACC6"/>
        </w:rPr>
        <w:br w:type="page"/>
      </w:r>
    </w:p>
    <w:p w14:paraId="0DA0A8DA" w14:textId="77777777" w:rsidR="00C14117" w:rsidRDefault="00C14117" w:rsidP="00472433">
      <w:pPr>
        <w:pStyle w:val="Ttulo1"/>
      </w:pPr>
      <w:bookmarkStart w:id="12" w:name="_Toc477971049"/>
      <w:bookmarkStart w:id="13" w:name="_Toc486841599"/>
      <w:bookmarkStart w:id="14" w:name="_Toc486858138"/>
    </w:p>
    <w:p w14:paraId="5FC3366C" w14:textId="04F03151" w:rsidR="00472433" w:rsidRPr="00713576" w:rsidRDefault="00472433" w:rsidP="00472433">
      <w:pPr>
        <w:pStyle w:val="Ttulo1"/>
      </w:pPr>
      <w:bookmarkStart w:id="15" w:name="_Toc53409853"/>
      <w:r w:rsidRPr="00713576">
        <w:t>IV. MARCO JURÍDICO</w:t>
      </w:r>
      <w:bookmarkEnd w:id="15"/>
    </w:p>
    <w:p w14:paraId="5F0BB0D0" w14:textId="4B774260" w:rsidR="00472433" w:rsidRPr="00CF28B5" w:rsidRDefault="00CF2266" w:rsidP="00472433">
      <w:pPr>
        <w:rPr>
          <w:rFonts w:eastAsia="Times New Roman" w:cs="Futura"/>
        </w:rPr>
      </w:pPr>
      <w:r>
        <w:rPr>
          <w:rFonts w:eastAsia="Times New Roman" w:cs="Futura"/>
        </w:rPr>
        <w:t xml:space="preserve">El Plan </w:t>
      </w:r>
      <w:r w:rsidR="00472433" w:rsidRPr="00CF28B5">
        <w:rPr>
          <w:rFonts w:eastAsia="Times New Roman" w:cs="Futura"/>
        </w:rPr>
        <w:t>Estatal de Desarrollo 2016-2022 aprobado por Decreto publicado en el Periódico Oficial del Estado de Quintana Roo el 25 de enero de 2017, y actualizado el 17 de enero de 2020, establece 5 ejes:</w:t>
      </w:r>
    </w:p>
    <w:p w14:paraId="5E8B04C3" w14:textId="77777777" w:rsidR="00472433" w:rsidRPr="00CF28B5" w:rsidRDefault="00472433" w:rsidP="00CF28B5">
      <w:pPr>
        <w:rPr>
          <w:rFonts w:eastAsia="Times New Roman" w:cs="Futura"/>
        </w:rPr>
      </w:pPr>
      <w:r w:rsidRPr="00CF28B5">
        <w:rPr>
          <w:rFonts w:eastAsia="Times New Roman" w:cs="Futura"/>
        </w:rPr>
        <w:t>1.- Desarrollo y diversificación económica con oportunidades para todos;</w:t>
      </w:r>
    </w:p>
    <w:p w14:paraId="16428795" w14:textId="77777777" w:rsidR="00472433" w:rsidRPr="00CF28B5" w:rsidRDefault="00472433" w:rsidP="00CF28B5">
      <w:pPr>
        <w:rPr>
          <w:rFonts w:eastAsia="Times New Roman" w:cs="Futura"/>
        </w:rPr>
      </w:pPr>
      <w:r w:rsidRPr="00CF28B5">
        <w:rPr>
          <w:rFonts w:eastAsia="Times New Roman" w:cs="Futura"/>
        </w:rPr>
        <w:t xml:space="preserve">2.- Gobernabilidad, seguridad y estado de derecho; </w:t>
      </w:r>
    </w:p>
    <w:p w14:paraId="11581156" w14:textId="77777777" w:rsidR="00472433" w:rsidRPr="00CF28B5" w:rsidRDefault="00472433" w:rsidP="00CF28B5">
      <w:pPr>
        <w:rPr>
          <w:rFonts w:eastAsia="Times New Roman" w:cs="Futura"/>
        </w:rPr>
      </w:pPr>
      <w:r w:rsidRPr="00CF28B5">
        <w:rPr>
          <w:rFonts w:eastAsia="Times New Roman" w:cs="Futura"/>
        </w:rPr>
        <w:t xml:space="preserve">3.- Gobierno moderno, confiable y cercano a la gente; </w:t>
      </w:r>
    </w:p>
    <w:p w14:paraId="7A9DB82D" w14:textId="77777777" w:rsidR="00472433" w:rsidRPr="00CF28B5" w:rsidRDefault="00472433" w:rsidP="00CF28B5">
      <w:pPr>
        <w:rPr>
          <w:rFonts w:eastAsia="Times New Roman" w:cs="Futura"/>
        </w:rPr>
      </w:pPr>
      <w:r w:rsidRPr="00CF28B5">
        <w:rPr>
          <w:rFonts w:eastAsia="Times New Roman" w:cs="Futura"/>
        </w:rPr>
        <w:t xml:space="preserve">4.- Desarrollo social y combate a la desigualdad; </w:t>
      </w:r>
    </w:p>
    <w:p w14:paraId="0FAF8F6F" w14:textId="77777777" w:rsidR="00472433" w:rsidRPr="00CF28B5" w:rsidRDefault="00472433" w:rsidP="00472433">
      <w:pPr>
        <w:rPr>
          <w:rFonts w:eastAsia="Times New Roman" w:cs="Futura"/>
        </w:rPr>
      </w:pPr>
      <w:r w:rsidRPr="00CF28B5">
        <w:rPr>
          <w:rFonts w:eastAsia="Times New Roman" w:cs="Futura"/>
        </w:rPr>
        <w:t>5.- Crecimiento ordenado con sustentabilidad ambiental;</w:t>
      </w:r>
    </w:p>
    <w:p w14:paraId="5D1E5D2E" w14:textId="77777777" w:rsidR="00472433" w:rsidRPr="00CF28B5" w:rsidRDefault="00472433" w:rsidP="00472433">
      <w:pPr>
        <w:rPr>
          <w:rFonts w:eastAsia="Times New Roman" w:cs="Futura"/>
        </w:rPr>
      </w:pPr>
      <w:r w:rsidRPr="00CF28B5">
        <w:rPr>
          <w:rFonts w:eastAsia="Times New Roman" w:cs="Futura"/>
        </w:rPr>
        <w:t>En el eje 4 “Desarrollo social y combate a la desigualdad”, se implementa el programa denominado “Educación pública de calidad” que tiene como objetivo “Garantizar el acceso y permanencia a una educación inclusiva y de calidad en todos los niveles educativos que promueva en los educandos aprendizajes para la vida”.</w:t>
      </w:r>
    </w:p>
    <w:p w14:paraId="70E98EF7" w14:textId="77777777" w:rsidR="00472433" w:rsidRPr="00CF28B5" w:rsidRDefault="00472433" w:rsidP="00472433">
      <w:pPr>
        <w:rPr>
          <w:rFonts w:eastAsia="Times New Roman" w:cs="Futura"/>
        </w:rPr>
      </w:pPr>
      <w:r w:rsidRPr="00CF28B5">
        <w:rPr>
          <w:rFonts w:eastAsia="Times New Roman" w:cs="Futura"/>
        </w:rPr>
        <w:t xml:space="preserve">Cabe señalar que la educación pública es un derecho que se instituye en una de las funciones del Estado quien deberá garantizar la calidad en la educación obligatoria, de manera que los materiales y métodos educativos, la organización escolar, la infraestructura educativa y la idoneidad de los docentes y los directivos garanticen el máximo logro de aprendizaje de los educandos, tal como se establece en el Artículo 3° de la Constitución </w:t>
      </w:r>
      <w:r w:rsidRPr="00CF28B5">
        <w:rPr>
          <w:rFonts w:eastAsia="Times New Roman" w:cs="Futura"/>
        </w:rPr>
        <w:lastRenderedPageBreak/>
        <w:t>Política de los Estados Unidos Mexicanos y 32 de la Constitución Política del Estado Libre y Soberano de Quintana Roo.</w:t>
      </w:r>
    </w:p>
    <w:p w14:paraId="4B1E9117" w14:textId="77777777" w:rsidR="00472433" w:rsidRPr="00CF28B5" w:rsidRDefault="00472433" w:rsidP="00472433">
      <w:pPr>
        <w:rPr>
          <w:rFonts w:eastAsia="Times New Roman" w:cs="Futura"/>
        </w:rPr>
      </w:pPr>
      <w:r w:rsidRPr="00CF28B5">
        <w:rPr>
          <w:rFonts w:eastAsia="Times New Roman" w:cs="Futura"/>
        </w:rPr>
        <w:t>En este sentido, el Artículo 40 fracción V de la Ley Orgánica de la Administración Pública del Estado de Quintana Roo establece que a la Secretaría de Educación  le corresponde vigilar la observancia del Artículo 3º de la Constitución Política de los Estados Unidos Mexicanos y 32 de la Constitución Política del Estado y las disposiciones jurídicas aplicables en materia educativa; asimismo, coordinar, planear, desarrollar, dirigir y supervisar la educación a cargo del Gobierno del Estado y de los particulares en todos los tipos, niveles y modalidades en los términos de la Legislación correspondiente.</w:t>
      </w:r>
    </w:p>
    <w:p w14:paraId="6EB106D4" w14:textId="77777777" w:rsidR="00472433" w:rsidRPr="00CF28B5" w:rsidRDefault="00472433" w:rsidP="00472433">
      <w:pPr>
        <w:rPr>
          <w:rFonts w:eastAsia="Times New Roman" w:cs="Futura"/>
        </w:rPr>
      </w:pPr>
      <w:r w:rsidRPr="00CF28B5">
        <w:rPr>
          <w:rFonts w:eastAsia="Times New Roman" w:cs="Futura"/>
        </w:rPr>
        <w:t>Por otra parte, el Artículo 20 de la Ley de Educación del Estado de Quintana Roo, señala que la autoridad educativa estatal es quien deberá elaborar y poner en práctica dentro de los tres meses siguientes a la publicación del Plan Estatal de Desarrollo, el Programa Sectorial de Educación, que será elaborado con sujeción a los objetivos y prioridades previstos en dicho plan estatal y en congruencia con la normatividad aplicable, el Plan Nacional de Desarrollo y el Programa Sectorial Nacional.</w:t>
      </w:r>
    </w:p>
    <w:p w14:paraId="185FED4D" w14:textId="7892684A" w:rsidR="00472433" w:rsidRPr="00CF28B5" w:rsidRDefault="00472433" w:rsidP="00472433">
      <w:pPr>
        <w:rPr>
          <w:rFonts w:eastAsia="Times New Roman" w:cs="Futura"/>
        </w:rPr>
      </w:pPr>
      <w:r w:rsidRPr="00CF28B5">
        <w:rPr>
          <w:rFonts w:eastAsia="Times New Roman" w:cs="Futura"/>
        </w:rPr>
        <w:t>Por lo tanto, la elaboración e integración y actualización del Programa Sectorial de Educación Pública de Calidad recae en la Secretaría de Educación de Quintana Roo, quien para ello articula las actividades de las instituciones y organismos que integran al sector educativo de manera congruente con el conte</w:t>
      </w:r>
      <w:r w:rsidR="00CF2266">
        <w:rPr>
          <w:rFonts w:eastAsia="Times New Roman" w:cs="Futura"/>
        </w:rPr>
        <w:t xml:space="preserve">nido de la actualización del </w:t>
      </w:r>
      <w:r w:rsidRPr="00CF28B5">
        <w:rPr>
          <w:rFonts w:eastAsia="Times New Roman" w:cs="Futura"/>
        </w:rPr>
        <w:t xml:space="preserve"> Plan Estatal de Desarrollo 2016-2022. </w:t>
      </w:r>
    </w:p>
    <w:p w14:paraId="331F673C" w14:textId="77777777" w:rsidR="00472433" w:rsidRPr="00CF28B5" w:rsidRDefault="00472433" w:rsidP="00472433">
      <w:pPr>
        <w:rPr>
          <w:rFonts w:eastAsia="Times New Roman" w:cs="Futura"/>
        </w:rPr>
      </w:pPr>
      <w:r w:rsidRPr="00CF28B5">
        <w:rPr>
          <w:rFonts w:eastAsia="Times New Roman" w:cs="Futura"/>
        </w:rPr>
        <w:t>El Programa Sectorial de Educación Pública de Calidad 2016-2022 detalla los objetivos, estrategias y líneas de acción en materia de Educación Básica, Media Superior, Superior, Infraestructura Educativa, Rezago Educativo, Desarrollo de la Investigación e Innovación Científica y Posgrado y Capacitación y Certificación para y en el trabajo; con la perspectiva de Calidad Educativa. Asimismo, atiende a lo señalado en el Apartado “Derecho a la Educación” del Plan Nacional de Desarrollo 2019-2024, incidiendo de esta manera en la calidad, equidad y pertinencia.</w:t>
      </w:r>
    </w:p>
    <w:p w14:paraId="56C82E7B" w14:textId="77777777" w:rsidR="00472433" w:rsidRPr="00CF28B5" w:rsidRDefault="00472433" w:rsidP="00472433">
      <w:pPr>
        <w:rPr>
          <w:rFonts w:eastAsia="Times New Roman" w:cs="Futura"/>
        </w:rPr>
      </w:pPr>
      <w:r w:rsidRPr="00CF28B5">
        <w:rPr>
          <w:rFonts w:eastAsia="Times New Roman" w:cs="Futura"/>
        </w:rPr>
        <w:t xml:space="preserve">Aunado a lo anterior los instrumentos jurídicos que respaldan la función educativa y la planeación democrática del Estado son los siguientes: </w:t>
      </w:r>
    </w:p>
    <w:p w14:paraId="58ABFBAD" w14:textId="77777777" w:rsidR="00472433" w:rsidRPr="00CF28B5" w:rsidRDefault="00472433" w:rsidP="00472433">
      <w:pPr>
        <w:rPr>
          <w:rFonts w:eastAsia="Times New Roman" w:cs="Futura"/>
        </w:rPr>
      </w:pPr>
      <w:r w:rsidRPr="00CF28B5">
        <w:rPr>
          <w:rFonts w:eastAsia="Times New Roman" w:cs="Futura"/>
        </w:rPr>
        <w:t xml:space="preserve">Artículos 3°, 25 y 26 de la Constitución Política de los Estados Unidos Mexicanos; Artículos 9 y 32 de la Constitución Política del Estado Libre y Soberano de Quintana Roo; Artículos </w:t>
      </w:r>
      <w:r w:rsidRPr="00CF28B5">
        <w:rPr>
          <w:rFonts w:eastAsia="Times New Roman" w:cs="Futura"/>
        </w:rPr>
        <w:lastRenderedPageBreak/>
        <w:t>2 y 3 Fracción XIII del Artículo 9 de la Ley General de Educación, Ley General del Sistema para la Carrera de las Maestras y Maestros, Artículos 24, 25, 27, 85, 110 y 111 de la Ley Federal de Presupuesto y Responsabilidad Hacendaria, Artículo 54 de la Ley General de Contabilidad Gubernamental, Artículo 5 de La Ley de Disciplina Financiera de las Entidades Federativas y los Municipios, Artículo 24, 34 de la Ley de Planeación, Artículos 21, 35, 58, 73, 74 y 75 de la Ley de Educación del estado de Quintana Roo; y Artículos 14 y 40 de la Ley Orgánica de la Administración Pública del Estado de Quintana Roo.</w:t>
      </w:r>
    </w:p>
    <w:p w14:paraId="037FFC84" w14:textId="77777777" w:rsidR="00472433" w:rsidRPr="00CF28B5" w:rsidRDefault="00472433" w:rsidP="00472433">
      <w:pPr>
        <w:rPr>
          <w:rFonts w:eastAsia="Times New Roman" w:cs="Futura"/>
        </w:rPr>
      </w:pPr>
      <w:r w:rsidRPr="00CF28B5">
        <w:rPr>
          <w:rFonts w:eastAsia="Times New Roman" w:cs="Futura"/>
        </w:rPr>
        <w:t xml:space="preserve">En Infraestructura Educativa, la construcción, rehabilitación y equipamiento de los centros escolares está fundamentado en los artículos 3° y 134 de la Constitución Política de los Estados Unidos Mexicanos, 24, 25, 27, 85, 110 y 111 de la Ley Federal de Presupuesto y Responsabilidad Hacendaria; artículos 54, 79, 80 de la Ley General de Contabilidad Gubernamental; artículo 5 de la Ley de Disciplina Financiera de las Entidades Federativas y los Municipios; artículos del 1 al 104 de la Ley de Obras Públicas y Servicios relacionados con las mismas; artículos del 1 al 86 de la Ley de Adquisiciones, arrendamientos y servicios del Sector Público.  En cuanto a la legislación local, artículos del 1 al 95 de la Ley de Obras Públicas y Servicios relacionados con las mismas del Estado de Quintana Roo; artículos 1 al 62 de la Ley de Adquisiciones, arrendamientos y prestación de Servicios relacionados con bienes muebles del Estado de Quintana Roo; son aplicables los artículos 13,25 fracción V, 39, 40, 41, 49 fracción III de la Ley de Coordinación Fiscal del Estado de Quintana Roo; en el artículo 1 rubro 8.2.00 (aportaciones) de la Ley de Ingresos del Estado de Quintana Roo para el Ejercicio Fiscal 2020; artículos 1,2,3,14,15,24 y 29 de la Ley de Entidades de la Administración Pública Paraestatal del Estado de Quintana Roo y los artículos 1,6,7 Fracción II de la Ley Orgánica de la Administración Pública del Estado de Quintana Roo. </w:t>
      </w:r>
    </w:p>
    <w:p w14:paraId="60070C13" w14:textId="005FD6C0" w:rsidR="00472433" w:rsidRPr="00CF28B5" w:rsidRDefault="00472433" w:rsidP="00472433">
      <w:pPr>
        <w:rPr>
          <w:rFonts w:eastAsia="Times New Roman" w:cs="Futura"/>
        </w:rPr>
      </w:pPr>
      <w:r w:rsidRPr="00CF28B5">
        <w:rPr>
          <w:rFonts w:eastAsia="Times New Roman" w:cs="Futura"/>
        </w:rPr>
        <w:t>En el rub</w:t>
      </w:r>
      <w:r w:rsidR="003B7D9B" w:rsidRPr="00CF28B5">
        <w:rPr>
          <w:rFonts w:eastAsia="Times New Roman" w:cs="Futura"/>
        </w:rPr>
        <w:t>r</w:t>
      </w:r>
      <w:r w:rsidRPr="00CF28B5">
        <w:rPr>
          <w:rFonts w:eastAsia="Times New Roman" w:cs="Futura"/>
        </w:rPr>
        <w:t xml:space="preserve">o del Desarrollo de la Investigación e Innovación Científica y Posgrado; </w:t>
      </w:r>
      <w:r>
        <w:rPr>
          <w:rFonts w:eastAsia="Times New Roman" w:cs="Futura"/>
        </w:rPr>
        <w:t xml:space="preserve"> las acciones enmarcadas se desarrollan d</w:t>
      </w:r>
      <w:r w:rsidRPr="00D44EE2">
        <w:rPr>
          <w:rFonts w:eastAsia="Times New Roman" w:cs="Futura"/>
        </w:rPr>
        <w:t xml:space="preserve">e conformidad </w:t>
      </w:r>
      <w:r>
        <w:rPr>
          <w:rFonts w:eastAsia="Times New Roman" w:cs="Futura"/>
        </w:rPr>
        <w:t xml:space="preserve">a lo establecido en el </w:t>
      </w:r>
      <w:r w:rsidRPr="00D44EE2">
        <w:rPr>
          <w:rFonts w:eastAsia="Times New Roman" w:cs="Futura"/>
        </w:rPr>
        <w:t xml:space="preserve">artículo </w:t>
      </w:r>
      <w:r>
        <w:rPr>
          <w:rFonts w:eastAsia="Times New Roman" w:cs="Futura"/>
        </w:rPr>
        <w:t xml:space="preserve">9 Bis de la Ley de Ciencia y Tecnología Federal; </w:t>
      </w:r>
      <w:r w:rsidRPr="00D44EE2">
        <w:rPr>
          <w:rFonts w:eastAsia="Times New Roman" w:cs="Futura"/>
        </w:rPr>
        <w:t xml:space="preserve">39 de la Ley de Ciencia y Tecnología del Estado de Quintana Roo, sujetándose a las disposiciones de la Ley de Presupuesto, Contabilidad y Gasto Público del Estado; a lo establecido en los artículos 59 de la Ley de Planeación para el Desarrollo Estatal y </w:t>
      </w:r>
      <w:r>
        <w:rPr>
          <w:rFonts w:eastAsia="Times New Roman" w:cs="Futura"/>
        </w:rPr>
        <w:t>12</w:t>
      </w:r>
      <w:r w:rsidRPr="00D44EE2">
        <w:rPr>
          <w:rFonts w:eastAsia="Times New Roman" w:cs="Futura"/>
        </w:rPr>
        <w:t xml:space="preserve"> de su reglamento</w:t>
      </w:r>
      <w:r>
        <w:rPr>
          <w:rFonts w:eastAsia="Times New Roman" w:cs="Futura"/>
        </w:rPr>
        <w:t xml:space="preserve">; a lo dispuesto en el artículo 3º del decreto de creación del COPLADE; y al artículo 26 de la </w:t>
      </w:r>
      <w:r w:rsidRPr="00355F8E">
        <w:rPr>
          <w:rFonts w:eastAsia="Times New Roman" w:cs="Futura"/>
        </w:rPr>
        <w:t xml:space="preserve">Ley </w:t>
      </w:r>
      <w:r>
        <w:rPr>
          <w:rFonts w:eastAsia="Times New Roman" w:cs="Futura"/>
        </w:rPr>
        <w:t>d</w:t>
      </w:r>
      <w:r w:rsidRPr="00355F8E">
        <w:rPr>
          <w:rFonts w:eastAsia="Times New Roman" w:cs="Futura"/>
        </w:rPr>
        <w:t xml:space="preserve">e Desarrollo Económico </w:t>
      </w:r>
      <w:r>
        <w:rPr>
          <w:rFonts w:eastAsia="Times New Roman" w:cs="Futura"/>
        </w:rPr>
        <w:t>y</w:t>
      </w:r>
      <w:r w:rsidRPr="00355F8E">
        <w:rPr>
          <w:rFonts w:eastAsia="Times New Roman" w:cs="Futura"/>
        </w:rPr>
        <w:t xml:space="preserve"> Competitividad </w:t>
      </w:r>
      <w:r>
        <w:rPr>
          <w:rFonts w:eastAsia="Times New Roman" w:cs="Futura"/>
        </w:rPr>
        <w:t>p</w:t>
      </w:r>
      <w:r w:rsidRPr="00355F8E">
        <w:rPr>
          <w:rFonts w:eastAsia="Times New Roman" w:cs="Futura"/>
        </w:rPr>
        <w:t xml:space="preserve">ara </w:t>
      </w:r>
      <w:r>
        <w:rPr>
          <w:rFonts w:eastAsia="Times New Roman" w:cs="Futura"/>
        </w:rPr>
        <w:t>el Estado d</w:t>
      </w:r>
      <w:r w:rsidRPr="00355F8E">
        <w:rPr>
          <w:rFonts w:eastAsia="Times New Roman" w:cs="Futura"/>
        </w:rPr>
        <w:t>e Quintana Roo</w:t>
      </w:r>
      <w:r>
        <w:rPr>
          <w:rFonts w:eastAsia="Times New Roman" w:cs="Futura"/>
        </w:rPr>
        <w:t xml:space="preserve">, </w:t>
      </w:r>
      <w:r w:rsidRPr="00D44EE2">
        <w:rPr>
          <w:rFonts w:eastAsia="Times New Roman" w:cs="Futura"/>
        </w:rPr>
        <w:t xml:space="preserve">así como de las demás disposiciones </w:t>
      </w:r>
      <w:r w:rsidRPr="00D44EE2">
        <w:rPr>
          <w:rFonts w:eastAsia="Times New Roman" w:cs="Futura"/>
        </w:rPr>
        <w:lastRenderedPageBreak/>
        <w:t xml:space="preserve">aplicables al caso, </w:t>
      </w:r>
      <w:r>
        <w:rPr>
          <w:rFonts w:eastAsia="Times New Roman" w:cs="Futura"/>
        </w:rPr>
        <w:t xml:space="preserve">al mismo tiempo que se orienta a coadyuvar al cumplimiento de los objetivos y metas establecidos en </w:t>
      </w:r>
      <w:r w:rsidRPr="00D44EE2">
        <w:rPr>
          <w:rFonts w:eastAsia="Times New Roman" w:cs="Futura"/>
        </w:rPr>
        <w:t xml:space="preserve">el Plan </w:t>
      </w:r>
      <w:r>
        <w:rPr>
          <w:rFonts w:eastAsia="Times New Roman" w:cs="Futura"/>
        </w:rPr>
        <w:t>Estatal de Desarrollo 2016</w:t>
      </w:r>
      <w:r w:rsidRPr="00D44EE2">
        <w:rPr>
          <w:rFonts w:eastAsia="Times New Roman" w:cs="Futura"/>
        </w:rPr>
        <w:t>–20</w:t>
      </w:r>
      <w:r>
        <w:rPr>
          <w:rFonts w:eastAsia="Times New Roman" w:cs="Futura"/>
        </w:rPr>
        <w:t>22</w:t>
      </w:r>
      <w:r w:rsidRPr="00D44EE2">
        <w:rPr>
          <w:rFonts w:eastAsia="Times New Roman" w:cs="Futura"/>
        </w:rPr>
        <w:t xml:space="preserve">. </w:t>
      </w:r>
    </w:p>
    <w:p w14:paraId="0967109E" w14:textId="77777777" w:rsidR="00472433" w:rsidRPr="00CF28B5" w:rsidRDefault="00472433" w:rsidP="00CF28B5">
      <w:pPr>
        <w:rPr>
          <w:rFonts w:eastAsia="Times New Roman" w:cs="Futura"/>
        </w:rPr>
      </w:pPr>
      <w:r w:rsidRPr="00CF28B5">
        <w:rPr>
          <w:rFonts w:eastAsia="Times New Roman" w:cs="Futura"/>
        </w:rPr>
        <w:t xml:space="preserve">La operación del Instituto de Capacitación para el Trabajo del Estado de Quintana Roo, está sustentado en los artículos 46°,69°,71°,141° Y 145° de la Ley General de Educación, a fin de que el egresado se incorpore en el campo ocupacional y forme parte del mundo productivo; </w:t>
      </w:r>
    </w:p>
    <w:p w14:paraId="51F53D76" w14:textId="77777777" w:rsidR="00472433" w:rsidRPr="00CF28B5" w:rsidRDefault="00472433" w:rsidP="00CF28B5">
      <w:pPr>
        <w:rPr>
          <w:rFonts w:eastAsia="Times New Roman" w:cs="Futura"/>
        </w:rPr>
      </w:pPr>
      <w:r w:rsidRPr="00CF28B5">
        <w:rPr>
          <w:rFonts w:eastAsia="Times New Roman" w:cs="Futura"/>
        </w:rPr>
        <w:t>De manera particular es el Decreto por el que se Modifica Integralmente el Decreto de Creación del Instituto de Capacitación para el Trabajo del Estado de Quintana Roo en su artículo 1°, que da origen a este Instituto Capacitador y lo sujeta a la Ley Orgánica de la Administración Pública del Estado de Quintana Roo (art 6° y 14° 7°,23°,27°); a la vez que lo sectoriza a las disposiciones de la Secretaria de Educación Pública del Estado de Quintana Roo; y por ende, sujeto a La Ley de Educación del Estado de Quintana Roo, como señala en sus artículos 1°,19° y 103°</w:t>
      </w:r>
    </w:p>
    <w:p w14:paraId="4843BD52" w14:textId="77777777" w:rsidR="00472433" w:rsidRPr="00CF28B5" w:rsidRDefault="00472433" w:rsidP="00CF28B5">
      <w:pPr>
        <w:rPr>
          <w:rFonts w:eastAsia="Times New Roman" w:cs="Futura"/>
        </w:rPr>
      </w:pPr>
      <w:r w:rsidRPr="00CF28B5">
        <w:rPr>
          <w:rFonts w:eastAsia="Times New Roman" w:cs="Futura"/>
        </w:rPr>
        <w:t>Es precisamente por sus atribuciones enmarcadas en naturaleza que el ICATQR, queda sujeto como ente descentralizado del poder ejecutivo, por ello enmarcado en los artículos 1°,9° y 103° de la Ley Orgánica de la Administración Pública del Estado de Quintana Roo y sujeto a La Ley de las Entidades de la Administración Publica Paraestatal del Estado de Quintana Roo, como se especifica en los artículos 2° y 10°.</w:t>
      </w:r>
    </w:p>
    <w:bookmarkEnd w:id="12"/>
    <w:bookmarkEnd w:id="13"/>
    <w:bookmarkEnd w:id="14"/>
    <w:p w14:paraId="1C977D0A" w14:textId="3D0B6C30" w:rsidR="00913635" w:rsidRDefault="00913635">
      <w:pPr>
        <w:spacing w:after="0" w:line="240" w:lineRule="auto"/>
        <w:jc w:val="left"/>
      </w:pPr>
      <w:r>
        <w:rPr>
          <w:b/>
        </w:rPr>
        <w:br w:type="page"/>
      </w:r>
    </w:p>
    <w:p w14:paraId="7A424C71" w14:textId="77777777" w:rsidR="00CC421D" w:rsidRDefault="00CC421D" w:rsidP="00BD65C7">
      <w:pPr>
        <w:pStyle w:val="Ttulo"/>
        <w:rPr>
          <w:rFonts w:eastAsiaTheme="minorEastAsia" w:cstheme="minorBidi"/>
          <w:b w:val="0"/>
          <w:color w:val="595959"/>
          <w:sz w:val="24"/>
          <w:szCs w:val="24"/>
        </w:rPr>
      </w:pPr>
    </w:p>
    <w:p w14:paraId="7887037F" w14:textId="121DCEE9" w:rsidR="00F84CFC" w:rsidRDefault="00BD65C7" w:rsidP="00BD65C7">
      <w:pPr>
        <w:pStyle w:val="Ttulo"/>
      </w:pPr>
      <w:r>
        <w:t>DIAGNÓSTICO</w:t>
      </w:r>
    </w:p>
    <w:p w14:paraId="385CF583" w14:textId="77777777" w:rsidR="00F84CFC" w:rsidRDefault="00F84CFC">
      <w:pPr>
        <w:spacing w:after="0" w:line="240" w:lineRule="auto"/>
        <w:jc w:val="left"/>
        <w:rPr>
          <w:rFonts w:eastAsia="Times New Roman" w:cs="Times New Roman"/>
          <w:b/>
          <w:color w:val="4BACC6"/>
          <w:sz w:val="44"/>
          <w:szCs w:val="20"/>
        </w:rPr>
      </w:pPr>
      <w:r>
        <w:br w:type="page"/>
      </w:r>
    </w:p>
    <w:p w14:paraId="6D8A44CE" w14:textId="77777777" w:rsidR="009F0658" w:rsidRDefault="009F0658" w:rsidP="006D148B">
      <w:pPr>
        <w:pStyle w:val="Ttulo1"/>
        <w:spacing w:after="0"/>
      </w:pPr>
      <w:bookmarkStart w:id="16" w:name="_Toc477971050"/>
      <w:bookmarkStart w:id="17" w:name="_Toc486841600"/>
      <w:bookmarkStart w:id="18" w:name="_Toc486858139"/>
    </w:p>
    <w:p w14:paraId="5FEA61D7" w14:textId="794F2D50" w:rsidR="006D148B" w:rsidRDefault="006D148B" w:rsidP="006D148B">
      <w:pPr>
        <w:pStyle w:val="Ttulo1"/>
        <w:spacing w:after="0"/>
      </w:pPr>
      <w:bookmarkStart w:id="19" w:name="_Toc53409854"/>
      <w:r>
        <w:t xml:space="preserve">V. </w:t>
      </w:r>
      <w:r w:rsidRPr="00F765C3">
        <w:t>DIAGNÓSTICO</w:t>
      </w:r>
      <w:bookmarkEnd w:id="19"/>
    </w:p>
    <w:p w14:paraId="3DB86D97" w14:textId="77777777" w:rsidR="006D148B" w:rsidRDefault="006D148B" w:rsidP="006D148B">
      <w:pPr>
        <w:spacing w:after="0"/>
        <w:rPr>
          <w:rFonts w:eastAsia="Times New Roman" w:cs="Futura"/>
          <w:b/>
        </w:rPr>
      </w:pPr>
    </w:p>
    <w:p w14:paraId="675116B1" w14:textId="77777777" w:rsidR="006D148B" w:rsidRPr="002D485B" w:rsidRDefault="006D148B" w:rsidP="006D148B">
      <w:pPr>
        <w:spacing w:after="0"/>
        <w:rPr>
          <w:rFonts w:eastAsia="Times New Roman" w:cs="Futura"/>
          <w:b/>
        </w:rPr>
      </w:pPr>
      <w:r w:rsidRPr="002D485B">
        <w:rPr>
          <w:rFonts w:eastAsia="Times New Roman" w:cs="Futura"/>
          <w:b/>
        </w:rPr>
        <w:t>Sistema Educativo Estatal</w:t>
      </w:r>
    </w:p>
    <w:p w14:paraId="2CE0602A" w14:textId="77777777" w:rsidR="006D148B" w:rsidRPr="002D485B" w:rsidRDefault="006D148B" w:rsidP="006D148B">
      <w:pPr>
        <w:spacing w:after="0"/>
        <w:rPr>
          <w:rFonts w:eastAsia="Times New Roman" w:cs="Futura"/>
        </w:rPr>
      </w:pPr>
    </w:p>
    <w:p w14:paraId="49C83630" w14:textId="06FDAB1E" w:rsidR="006D148B" w:rsidRPr="009A0452" w:rsidRDefault="006D148B" w:rsidP="009A0452">
      <w:pPr>
        <w:rPr>
          <w:rFonts w:eastAsia="Times New Roman" w:cs="Futura"/>
        </w:rPr>
      </w:pPr>
      <w:r w:rsidRPr="002D485B">
        <w:rPr>
          <w:rFonts w:eastAsia="Times New Roman" w:cs="Futura"/>
        </w:rPr>
        <w:t>La estructura del sistema educativo estatal, comprende los seis niveles de educación conforme a la Clasificación Internacional Normalizada de la Educación (CINE), dentro de este esquema se imparten otros servicios como educación para adultos, inicial, especial y preparatoria abi</w:t>
      </w:r>
      <w:r w:rsidR="009A0452">
        <w:rPr>
          <w:rFonts w:eastAsia="Times New Roman" w:cs="Futura"/>
        </w:rPr>
        <w:t>erta y a distancia, (Cuadro 1).</w:t>
      </w:r>
    </w:p>
    <w:p w14:paraId="20D3A7C8" w14:textId="48F5FB1A" w:rsidR="006D148B" w:rsidRPr="00531554" w:rsidRDefault="00FB5763" w:rsidP="009A0452">
      <w:pPr>
        <w:pStyle w:val="Ttulo4"/>
        <w:numPr>
          <w:ilvl w:val="0"/>
          <w:numId w:val="0"/>
        </w:numPr>
        <w:ind w:left="864"/>
        <w:jc w:val="center"/>
        <w:rPr>
          <w:rFonts w:eastAsiaTheme="minorEastAsia" w:cstheme="minorBidi"/>
          <w:b w:val="0"/>
          <w:i w:val="0"/>
          <w:iCs w:val="0"/>
          <w:color w:val="4BACC6" w:themeColor="accent5"/>
        </w:rPr>
      </w:pPr>
      <w:r>
        <w:rPr>
          <w:rFonts w:eastAsiaTheme="minorEastAsia" w:cstheme="minorBidi"/>
          <w:i w:val="0"/>
          <w:iCs w:val="0"/>
          <w:color w:val="4BACC6" w:themeColor="accent5"/>
        </w:rPr>
        <w:t>Cuadro 1. Esquema G</w:t>
      </w:r>
      <w:r w:rsidR="006D148B" w:rsidRPr="002D485B">
        <w:rPr>
          <w:rFonts w:eastAsiaTheme="minorEastAsia" w:cstheme="minorBidi"/>
          <w:i w:val="0"/>
          <w:iCs w:val="0"/>
          <w:color w:val="4BACC6" w:themeColor="accent5"/>
        </w:rPr>
        <w:t>ener</w:t>
      </w:r>
      <w:r w:rsidR="006D148B">
        <w:rPr>
          <w:rFonts w:eastAsiaTheme="minorEastAsia" w:cstheme="minorBidi"/>
          <w:i w:val="0"/>
          <w:iCs w:val="0"/>
          <w:color w:val="4BACC6" w:themeColor="accent5"/>
        </w:rPr>
        <w:t>al del Sistema Educativo Estatal</w:t>
      </w:r>
    </w:p>
    <w:tbl>
      <w:tblPr>
        <w:tblStyle w:val="TablaSectorial"/>
        <w:tblW w:w="0" w:type="auto"/>
        <w:tblLayout w:type="fixed"/>
        <w:tblLook w:val="02A0" w:firstRow="1" w:lastRow="0" w:firstColumn="1" w:lastColumn="0" w:noHBand="1" w:noVBand="0"/>
      </w:tblPr>
      <w:tblGrid>
        <w:gridCol w:w="1815"/>
        <w:gridCol w:w="2001"/>
        <w:gridCol w:w="3261"/>
        <w:gridCol w:w="2164"/>
      </w:tblGrid>
      <w:tr w:rsidR="006D148B" w:rsidRPr="00FD731A" w14:paraId="0D2DDF72" w14:textId="77777777" w:rsidTr="009E3B2F">
        <w:trPr>
          <w:cnfStyle w:val="100000000000" w:firstRow="1" w:lastRow="0" w:firstColumn="0" w:lastColumn="0" w:oddVBand="0" w:evenVBand="0" w:oddHBand="0" w:evenHBand="0" w:firstRowFirstColumn="0" w:firstRowLastColumn="0" w:lastRowFirstColumn="0" w:lastRowLastColumn="0"/>
          <w:trHeight w:val="268"/>
        </w:trPr>
        <w:tc>
          <w:tcPr>
            <w:tcW w:w="1815" w:type="dxa"/>
          </w:tcPr>
          <w:p w14:paraId="72D85D0C" w14:textId="77777777" w:rsidR="006D148B" w:rsidRPr="001B6A07" w:rsidRDefault="006D148B" w:rsidP="00FD731A">
            <w:pPr>
              <w:spacing w:line="240" w:lineRule="auto"/>
              <w:jc w:val="center"/>
              <w:rPr>
                <w:rFonts w:ascii="Futura Std Condensed Light" w:eastAsia="Calibri" w:hAnsi="Futura Std Condensed Light" w:cs="Calibri"/>
                <w:bCs/>
                <w:szCs w:val="18"/>
              </w:rPr>
            </w:pPr>
            <w:r w:rsidRPr="001B6A07">
              <w:rPr>
                <w:rFonts w:ascii="Futura Std Condensed Light" w:eastAsia="Calibri" w:hAnsi="Futura Std Condensed Light" w:cs="Calibri"/>
                <w:bCs/>
                <w:szCs w:val="18"/>
              </w:rPr>
              <w:t>Tipo Educativo</w:t>
            </w:r>
          </w:p>
        </w:tc>
        <w:tc>
          <w:tcPr>
            <w:tcW w:w="2001" w:type="dxa"/>
          </w:tcPr>
          <w:p w14:paraId="71769ACE" w14:textId="77777777" w:rsidR="006D148B" w:rsidRPr="001B6A07" w:rsidRDefault="006D148B" w:rsidP="00FD731A">
            <w:pPr>
              <w:spacing w:line="240" w:lineRule="auto"/>
              <w:jc w:val="center"/>
              <w:rPr>
                <w:rFonts w:ascii="Futura Std Condensed Light" w:eastAsia="Calibri" w:hAnsi="Futura Std Condensed Light" w:cs="Calibri"/>
                <w:bCs/>
                <w:szCs w:val="18"/>
              </w:rPr>
            </w:pPr>
            <w:r w:rsidRPr="001B6A07">
              <w:rPr>
                <w:rFonts w:ascii="Futura Std Condensed Light" w:eastAsia="Calibri" w:hAnsi="Futura Std Condensed Light" w:cs="Calibri"/>
                <w:bCs/>
                <w:szCs w:val="18"/>
              </w:rPr>
              <w:t>Nivel</w:t>
            </w:r>
          </w:p>
        </w:tc>
        <w:tc>
          <w:tcPr>
            <w:tcW w:w="3261" w:type="dxa"/>
          </w:tcPr>
          <w:p w14:paraId="6E1DBE01" w14:textId="77777777" w:rsidR="006D148B" w:rsidRPr="001B6A07" w:rsidRDefault="006D148B" w:rsidP="00FD731A">
            <w:pPr>
              <w:spacing w:line="240" w:lineRule="auto"/>
              <w:jc w:val="center"/>
              <w:rPr>
                <w:rFonts w:ascii="Futura Std Condensed Light" w:eastAsia="Calibri" w:hAnsi="Futura Std Condensed Light" w:cs="Calibri"/>
                <w:bCs/>
                <w:szCs w:val="18"/>
              </w:rPr>
            </w:pPr>
            <w:r w:rsidRPr="001B6A07">
              <w:rPr>
                <w:rFonts w:ascii="Futura Std Condensed Light" w:eastAsia="Calibri" w:hAnsi="Futura Std Condensed Light" w:cs="Calibri"/>
                <w:bCs/>
                <w:szCs w:val="18"/>
              </w:rPr>
              <w:t>Escolarizado</w:t>
            </w:r>
          </w:p>
        </w:tc>
        <w:tc>
          <w:tcPr>
            <w:tcW w:w="2164" w:type="dxa"/>
          </w:tcPr>
          <w:p w14:paraId="060F1F3B" w14:textId="77777777" w:rsidR="006D148B" w:rsidRPr="001B6A07" w:rsidRDefault="006D148B" w:rsidP="00FD731A">
            <w:pPr>
              <w:spacing w:line="240" w:lineRule="auto"/>
              <w:jc w:val="center"/>
              <w:rPr>
                <w:rFonts w:ascii="Futura Std Condensed Light" w:eastAsia="Calibri" w:hAnsi="Futura Std Condensed Light" w:cs="Calibri"/>
                <w:bCs/>
                <w:szCs w:val="18"/>
              </w:rPr>
            </w:pPr>
            <w:r w:rsidRPr="001B6A07">
              <w:rPr>
                <w:rFonts w:ascii="Futura Std Condensed Light" w:eastAsia="Calibri" w:hAnsi="Futura Std Condensed Light" w:cs="Calibri"/>
                <w:bCs/>
                <w:szCs w:val="18"/>
              </w:rPr>
              <w:t>No escolarizado</w:t>
            </w:r>
          </w:p>
        </w:tc>
      </w:tr>
      <w:tr w:rsidR="006D148B" w:rsidRPr="00FD731A" w14:paraId="302AEBED" w14:textId="77777777" w:rsidTr="009E3B2F">
        <w:trPr>
          <w:trHeight w:hRule="exact" w:val="1818"/>
        </w:trPr>
        <w:tc>
          <w:tcPr>
            <w:tcW w:w="1815" w:type="dxa"/>
          </w:tcPr>
          <w:p w14:paraId="33E1D70E" w14:textId="77777777" w:rsidR="006D148B" w:rsidRPr="001B6A07" w:rsidRDefault="006D148B" w:rsidP="009E3B2F">
            <w:pPr>
              <w:spacing w:after="0" w:line="240" w:lineRule="auto"/>
              <w:jc w:val="center"/>
              <w:rPr>
                <w:rFonts w:ascii="Futura Std Condensed Light" w:eastAsia="Calibri" w:hAnsi="Futura Std Condensed Light" w:cs="Calibri"/>
                <w:bCs/>
                <w:szCs w:val="18"/>
              </w:rPr>
            </w:pPr>
          </w:p>
        </w:tc>
        <w:tc>
          <w:tcPr>
            <w:tcW w:w="2001" w:type="dxa"/>
          </w:tcPr>
          <w:p w14:paraId="7A04083A" w14:textId="77777777" w:rsidR="006D148B" w:rsidRPr="001B6A07" w:rsidRDefault="006D148B" w:rsidP="009E3B2F">
            <w:pPr>
              <w:spacing w:after="0" w:line="240" w:lineRule="auto"/>
              <w:rPr>
                <w:rFonts w:ascii="Futura Std Condensed Light" w:eastAsia="Calibri" w:hAnsi="Futura Std Condensed Light" w:cs="Calibri"/>
                <w:szCs w:val="18"/>
              </w:rPr>
            </w:pPr>
            <w:r w:rsidRPr="001B6A07">
              <w:rPr>
                <w:rFonts w:ascii="Futura Std Condensed Light" w:eastAsia="Calibri" w:hAnsi="Futura Std Condensed Light" w:cs="Calibri"/>
                <w:szCs w:val="18"/>
              </w:rPr>
              <w:t>Educación Inicial</w:t>
            </w:r>
          </w:p>
        </w:tc>
        <w:tc>
          <w:tcPr>
            <w:tcW w:w="3261" w:type="dxa"/>
          </w:tcPr>
          <w:p w14:paraId="07BC989A" w14:textId="77777777" w:rsidR="006D148B" w:rsidRPr="001B6A07" w:rsidRDefault="006D148B" w:rsidP="009E3B2F">
            <w:pPr>
              <w:spacing w:after="0" w:line="240" w:lineRule="auto"/>
              <w:rPr>
                <w:rFonts w:ascii="Futura Std Condensed Light" w:eastAsia="Calibri" w:hAnsi="Futura Std Condensed Light" w:cs="Calibri"/>
                <w:szCs w:val="18"/>
              </w:rPr>
            </w:pPr>
            <w:r w:rsidRPr="001B6A07">
              <w:rPr>
                <w:rFonts w:ascii="Futura Std Condensed Light" w:eastAsia="Calibri" w:hAnsi="Futura Std Condensed Light" w:cs="Calibri"/>
                <w:szCs w:val="18"/>
              </w:rPr>
              <w:t xml:space="preserve">Educación inicial </w:t>
            </w:r>
          </w:p>
          <w:p w14:paraId="6937056A" w14:textId="77777777" w:rsidR="006D148B" w:rsidRPr="001B6A07" w:rsidRDefault="006D148B" w:rsidP="009E3B2F">
            <w:pPr>
              <w:spacing w:after="0" w:line="240" w:lineRule="auto"/>
              <w:rPr>
                <w:rFonts w:ascii="Futura Std Condensed Light" w:eastAsia="Calibri" w:hAnsi="Futura Std Condensed Light" w:cs="Calibri"/>
                <w:szCs w:val="18"/>
              </w:rPr>
            </w:pPr>
            <w:r w:rsidRPr="001B6A07">
              <w:rPr>
                <w:rFonts w:ascii="Futura Std Condensed Light" w:eastAsia="Calibri" w:hAnsi="Futura Std Condensed Light" w:cs="Calibri"/>
                <w:szCs w:val="18"/>
              </w:rPr>
              <w:t>Centros de Desarrollo Infantil (CENDI)</w:t>
            </w:r>
          </w:p>
        </w:tc>
        <w:tc>
          <w:tcPr>
            <w:tcW w:w="2164" w:type="dxa"/>
          </w:tcPr>
          <w:p w14:paraId="7ED7998E" w14:textId="77777777" w:rsidR="006D148B" w:rsidRPr="00FD731A" w:rsidRDefault="006D148B" w:rsidP="009E3B2F">
            <w:pPr>
              <w:spacing w:after="0" w:line="240" w:lineRule="auto"/>
              <w:rPr>
                <w:rFonts w:ascii="Futura Std Condensed Light" w:eastAsia="Calibri" w:hAnsi="Futura Std Condensed Light" w:cs="Calibri"/>
                <w:szCs w:val="18"/>
              </w:rPr>
            </w:pPr>
            <w:r w:rsidRPr="00FD731A">
              <w:rPr>
                <w:rFonts w:ascii="Futura Std Condensed Light" w:eastAsia="Calibri" w:hAnsi="Futura Std Condensed Light" w:cs="Calibri"/>
                <w:szCs w:val="18"/>
              </w:rPr>
              <w:t>Educación vía padres de familia. (Federal Transferido, Dirección General de Educación Indígena, DIN) Inicial comunitario (CONAFE), (Apoyo, Módulo de Atención y Servicio, FEI)</w:t>
            </w:r>
          </w:p>
        </w:tc>
      </w:tr>
      <w:tr w:rsidR="006D148B" w:rsidRPr="00FD731A" w14:paraId="7F5622DF" w14:textId="77777777" w:rsidTr="009E3B2F">
        <w:trPr>
          <w:trHeight w:hRule="exact" w:val="863"/>
        </w:trPr>
        <w:tc>
          <w:tcPr>
            <w:tcW w:w="1815" w:type="dxa"/>
            <w:vMerge w:val="restart"/>
          </w:tcPr>
          <w:p w14:paraId="79A9A901" w14:textId="77777777" w:rsidR="006D148B" w:rsidRPr="001B6A07" w:rsidRDefault="006D148B" w:rsidP="00FF77CB">
            <w:pPr>
              <w:spacing w:after="0" w:line="240" w:lineRule="auto"/>
              <w:jc w:val="left"/>
              <w:rPr>
                <w:rFonts w:ascii="Futura Std Condensed Light" w:eastAsia="Calibri" w:hAnsi="Futura Std Condensed Light" w:cs="Calibri"/>
                <w:bCs/>
                <w:szCs w:val="18"/>
              </w:rPr>
            </w:pPr>
            <w:r w:rsidRPr="001B6A07">
              <w:rPr>
                <w:rFonts w:ascii="Futura Std Condensed Light" w:eastAsia="Calibri" w:hAnsi="Futura Std Condensed Light" w:cs="Calibri"/>
                <w:bCs/>
                <w:szCs w:val="18"/>
              </w:rPr>
              <w:t>Educación Básica</w:t>
            </w:r>
          </w:p>
        </w:tc>
        <w:tc>
          <w:tcPr>
            <w:tcW w:w="2001" w:type="dxa"/>
          </w:tcPr>
          <w:p w14:paraId="7CC57742" w14:textId="77777777" w:rsidR="006D148B" w:rsidRPr="001B6A07" w:rsidRDefault="006D148B" w:rsidP="009E3B2F">
            <w:pPr>
              <w:spacing w:after="0" w:line="240" w:lineRule="auto"/>
              <w:rPr>
                <w:rFonts w:ascii="Futura Std Condensed Light" w:eastAsia="Calibri" w:hAnsi="Futura Std Condensed Light" w:cs="Calibri"/>
                <w:szCs w:val="18"/>
              </w:rPr>
            </w:pPr>
            <w:r w:rsidRPr="001B6A07">
              <w:rPr>
                <w:rFonts w:ascii="Futura Std Condensed Light" w:eastAsia="Calibri" w:hAnsi="Futura Std Condensed Light" w:cs="Calibri"/>
                <w:szCs w:val="18"/>
              </w:rPr>
              <w:t>Preescolar</w:t>
            </w:r>
          </w:p>
        </w:tc>
        <w:tc>
          <w:tcPr>
            <w:tcW w:w="3261" w:type="dxa"/>
          </w:tcPr>
          <w:p w14:paraId="3E7D0E65" w14:textId="77777777" w:rsidR="006D148B" w:rsidRPr="001B6A07" w:rsidRDefault="006D148B" w:rsidP="009E3B2F">
            <w:pPr>
              <w:spacing w:after="0" w:line="240" w:lineRule="auto"/>
              <w:rPr>
                <w:rFonts w:ascii="Futura Std Condensed Light" w:eastAsia="Calibri" w:hAnsi="Futura Std Condensed Light" w:cs="Calibri"/>
                <w:szCs w:val="18"/>
              </w:rPr>
            </w:pPr>
            <w:r w:rsidRPr="001B6A07">
              <w:rPr>
                <w:rFonts w:ascii="Futura Std Condensed Light" w:eastAsia="Calibri" w:hAnsi="Futura Std Condensed Light" w:cs="Calibri"/>
                <w:szCs w:val="18"/>
              </w:rPr>
              <w:t>General</w:t>
            </w:r>
          </w:p>
          <w:p w14:paraId="5E9E166D" w14:textId="77777777" w:rsidR="006D148B" w:rsidRPr="001B6A07" w:rsidRDefault="006D148B" w:rsidP="009E3B2F">
            <w:pPr>
              <w:spacing w:after="0" w:line="240" w:lineRule="auto"/>
              <w:rPr>
                <w:rFonts w:ascii="Futura Std Condensed Light" w:eastAsia="Calibri" w:hAnsi="Futura Std Condensed Light" w:cs="Calibri"/>
                <w:szCs w:val="18"/>
              </w:rPr>
            </w:pPr>
            <w:r w:rsidRPr="001B6A07">
              <w:rPr>
                <w:rFonts w:ascii="Futura Std Condensed Light" w:eastAsia="Calibri" w:hAnsi="Futura Std Condensed Light" w:cs="Calibri"/>
                <w:szCs w:val="18"/>
              </w:rPr>
              <w:t>Comunitario (CONAFE)</w:t>
            </w:r>
          </w:p>
          <w:p w14:paraId="71CF365A" w14:textId="77777777" w:rsidR="006D148B" w:rsidRPr="001B6A07" w:rsidRDefault="006D148B" w:rsidP="009E3B2F">
            <w:pPr>
              <w:spacing w:after="0" w:line="240" w:lineRule="auto"/>
              <w:rPr>
                <w:rFonts w:ascii="Futura Std Condensed Light" w:eastAsia="Calibri" w:hAnsi="Futura Std Condensed Light" w:cs="Calibri"/>
                <w:szCs w:val="18"/>
              </w:rPr>
            </w:pPr>
            <w:r w:rsidRPr="001B6A07">
              <w:rPr>
                <w:rFonts w:ascii="Futura Std Condensed Light" w:eastAsia="Calibri" w:hAnsi="Futura Std Condensed Light" w:cs="Calibri"/>
                <w:szCs w:val="18"/>
              </w:rPr>
              <w:t>Indígena</w:t>
            </w:r>
          </w:p>
        </w:tc>
        <w:tc>
          <w:tcPr>
            <w:tcW w:w="2164" w:type="dxa"/>
          </w:tcPr>
          <w:p w14:paraId="356503F8" w14:textId="77777777" w:rsidR="006D148B" w:rsidRPr="00FD731A" w:rsidRDefault="006D148B" w:rsidP="009E3B2F">
            <w:pPr>
              <w:spacing w:after="0" w:line="240" w:lineRule="auto"/>
              <w:rPr>
                <w:rFonts w:ascii="Futura Std Condensed Light" w:eastAsia="Calibri" w:hAnsi="Futura Std Condensed Light" w:cs="Calibri"/>
                <w:szCs w:val="18"/>
              </w:rPr>
            </w:pPr>
          </w:p>
        </w:tc>
      </w:tr>
      <w:tr w:rsidR="006D148B" w:rsidRPr="00772EB3" w14:paraId="314DBDF0" w14:textId="77777777" w:rsidTr="009E3B2F">
        <w:trPr>
          <w:trHeight w:hRule="exact" w:val="836"/>
        </w:trPr>
        <w:tc>
          <w:tcPr>
            <w:tcW w:w="1815" w:type="dxa"/>
            <w:vMerge/>
          </w:tcPr>
          <w:p w14:paraId="2684C6CA" w14:textId="77777777" w:rsidR="006D148B" w:rsidRPr="00F039A6" w:rsidRDefault="006D148B" w:rsidP="009E3B2F">
            <w:pPr>
              <w:spacing w:after="0" w:line="240" w:lineRule="auto"/>
              <w:rPr>
                <w:rFonts w:ascii="Futura Std Condensed Light" w:eastAsia="Calibri" w:hAnsi="Futura Std Condensed Light" w:cs="Calibri"/>
                <w:b/>
                <w:bCs/>
                <w:sz w:val="18"/>
                <w:szCs w:val="18"/>
              </w:rPr>
            </w:pPr>
          </w:p>
        </w:tc>
        <w:tc>
          <w:tcPr>
            <w:tcW w:w="2001" w:type="dxa"/>
          </w:tcPr>
          <w:p w14:paraId="4ECAFDF0" w14:textId="77777777" w:rsidR="006D148B" w:rsidRPr="00FD731A" w:rsidRDefault="006D148B" w:rsidP="009E3B2F">
            <w:pPr>
              <w:spacing w:after="0" w:line="240" w:lineRule="auto"/>
              <w:rPr>
                <w:rFonts w:ascii="Futura Std Condensed Light" w:eastAsia="Calibri" w:hAnsi="Futura Std Condensed Light" w:cs="Calibri"/>
                <w:szCs w:val="18"/>
              </w:rPr>
            </w:pPr>
            <w:r w:rsidRPr="00FD731A">
              <w:rPr>
                <w:rFonts w:ascii="Futura Std Condensed Light" w:eastAsia="Calibri" w:hAnsi="Futura Std Condensed Light" w:cs="Calibri"/>
                <w:szCs w:val="18"/>
              </w:rPr>
              <w:t>Primaria</w:t>
            </w:r>
          </w:p>
        </w:tc>
        <w:tc>
          <w:tcPr>
            <w:tcW w:w="3261" w:type="dxa"/>
          </w:tcPr>
          <w:p w14:paraId="5C7CAFC3" w14:textId="77777777" w:rsidR="006D148B" w:rsidRPr="00FD731A" w:rsidRDefault="006D148B" w:rsidP="009E3B2F">
            <w:pPr>
              <w:spacing w:after="0" w:line="240" w:lineRule="auto"/>
              <w:rPr>
                <w:rFonts w:ascii="Futura Std Condensed Light" w:eastAsia="Calibri" w:hAnsi="Futura Std Condensed Light" w:cs="Calibri"/>
                <w:szCs w:val="18"/>
              </w:rPr>
            </w:pPr>
            <w:r w:rsidRPr="00FD731A">
              <w:rPr>
                <w:rFonts w:ascii="Futura Std Condensed Light" w:eastAsia="Calibri" w:hAnsi="Futura Std Condensed Light" w:cs="Calibri"/>
                <w:szCs w:val="18"/>
              </w:rPr>
              <w:t>General</w:t>
            </w:r>
          </w:p>
          <w:p w14:paraId="366FA1EF" w14:textId="77777777" w:rsidR="006D148B" w:rsidRPr="00FD731A" w:rsidRDefault="006D148B" w:rsidP="009E3B2F">
            <w:pPr>
              <w:spacing w:after="0" w:line="240" w:lineRule="auto"/>
              <w:rPr>
                <w:rFonts w:ascii="Futura Std Condensed Light" w:eastAsia="Calibri" w:hAnsi="Futura Std Condensed Light" w:cs="Calibri"/>
                <w:szCs w:val="18"/>
              </w:rPr>
            </w:pPr>
            <w:r w:rsidRPr="00FD731A">
              <w:rPr>
                <w:rFonts w:ascii="Futura Std Condensed Light" w:eastAsia="Calibri" w:hAnsi="Futura Std Condensed Light" w:cs="Calibri"/>
                <w:szCs w:val="18"/>
              </w:rPr>
              <w:t>Comunitario (CONAFE)</w:t>
            </w:r>
          </w:p>
          <w:p w14:paraId="73A41C59" w14:textId="77777777" w:rsidR="006D148B" w:rsidRPr="00FD731A" w:rsidRDefault="006D148B" w:rsidP="009E3B2F">
            <w:pPr>
              <w:spacing w:after="0" w:line="240" w:lineRule="auto"/>
              <w:rPr>
                <w:rFonts w:ascii="Futura Std Condensed Light" w:eastAsia="Calibri" w:hAnsi="Futura Std Condensed Light" w:cs="Calibri"/>
                <w:szCs w:val="18"/>
              </w:rPr>
            </w:pPr>
            <w:r w:rsidRPr="00FD731A">
              <w:rPr>
                <w:rFonts w:ascii="Futura Std Condensed Light" w:eastAsia="Calibri" w:hAnsi="Futura Std Condensed Light" w:cs="Calibri"/>
                <w:szCs w:val="18"/>
              </w:rPr>
              <w:t>Indígena</w:t>
            </w:r>
          </w:p>
        </w:tc>
        <w:tc>
          <w:tcPr>
            <w:tcW w:w="2164" w:type="dxa"/>
          </w:tcPr>
          <w:p w14:paraId="79E069F4" w14:textId="77777777" w:rsidR="006D148B" w:rsidRPr="00FD731A" w:rsidRDefault="006D148B" w:rsidP="009E3B2F">
            <w:pPr>
              <w:spacing w:after="0" w:line="240" w:lineRule="auto"/>
              <w:rPr>
                <w:rFonts w:ascii="Futura Std Condensed Light" w:eastAsia="Calibri" w:hAnsi="Futura Std Condensed Light" w:cs="Calibri"/>
                <w:szCs w:val="18"/>
              </w:rPr>
            </w:pPr>
            <w:r w:rsidRPr="00FD731A">
              <w:rPr>
                <w:rFonts w:ascii="Futura Std Condensed Light" w:eastAsia="Calibri" w:hAnsi="Futura Std Condensed Light" w:cs="Calibri"/>
                <w:szCs w:val="18"/>
              </w:rPr>
              <w:t>Primaria para adultos</w:t>
            </w:r>
          </w:p>
        </w:tc>
      </w:tr>
      <w:tr w:rsidR="006D148B" w:rsidRPr="00772EB3" w14:paraId="73B1006E" w14:textId="77777777" w:rsidTr="009E3B2F">
        <w:trPr>
          <w:trHeight w:hRule="exact" w:val="1145"/>
        </w:trPr>
        <w:tc>
          <w:tcPr>
            <w:tcW w:w="1815" w:type="dxa"/>
            <w:vMerge/>
          </w:tcPr>
          <w:p w14:paraId="0E7C6340" w14:textId="77777777" w:rsidR="006D148B" w:rsidRPr="00F039A6" w:rsidRDefault="006D148B" w:rsidP="009E3B2F">
            <w:pPr>
              <w:spacing w:after="0" w:line="240" w:lineRule="auto"/>
              <w:rPr>
                <w:rFonts w:ascii="Futura Std Condensed Light" w:eastAsia="Calibri" w:hAnsi="Futura Std Condensed Light" w:cs="Calibri"/>
                <w:b/>
                <w:bCs/>
                <w:sz w:val="18"/>
                <w:szCs w:val="18"/>
              </w:rPr>
            </w:pPr>
          </w:p>
        </w:tc>
        <w:tc>
          <w:tcPr>
            <w:tcW w:w="2001" w:type="dxa"/>
          </w:tcPr>
          <w:p w14:paraId="54F85787" w14:textId="77777777" w:rsidR="006D148B" w:rsidRPr="00FD731A" w:rsidRDefault="006D148B" w:rsidP="009E3B2F">
            <w:pPr>
              <w:spacing w:after="0" w:line="240" w:lineRule="auto"/>
              <w:rPr>
                <w:rFonts w:ascii="Futura Std Condensed Light" w:eastAsia="Calibri" w:hAnsi="Futura Std Condensed Light" w:cs="Calibri"/>
                <w:szCs w:val="18"/>
              </w:rPr>
            </w:pPr>
            <w:r w:rsidRPr="00FD731A">
              <w:rPr>
                <w:rFonts w:ascii="Futura Std Condensed Light" w:eastAsia="Calibri" w:hAnsi="Futura Std Condensed Light" w:cs="Calibri"/>
                <w:szCs w:val="18"/>
              </w:rPr>
              <w:t>Secundaria</w:t>
            </w:r>
          </w:p>
        </w:tc>
        <w:tc>
          <w:tcPr>
            <w:tcW w:w="3261" w:type="dxa"/>
          </w:tcPr>
          <w:p w14:paraId="5642C89B" w14:textId="77777777" w:rsidR="006D148B" w:rsidRPr="00FD731A" w:rsidRDefault="006D148B" w:rsidP="009E3B2F">
            <w:pPr>
              <w:spacing w:after="0" w:line="240" w:lineRule="auto"/>
              <w:rPr>
                <w:rFonts w:ascii="Futura Std Condensed Light" w:eastAsia="Calibri" w:hAnsi="Futura Std Condensed Light" w:cs="Calibri"/>
                <w:szCs w:val="18"/>
              </w:rPr>
            </w:pPr>
            <w:r w:rsidRPr="00FD731A">
              <w:rPr>
                <w:rFonts w:ascii="Futura Std Condensed Light" w:eastAsia="Calibri" w:hAnsi="Futura Std Condensed Light" w:cs="Calibri"/>
                <w:szCs w:val="18"/>
              </w:rPr>
              <w:t>General</w:t>
            </w:r>
          </w:p>
          <w:p w14:paraId="5B16D818" w14:textId="77777777" w:rsidR="006D148B" w:rsidRPr="00FD731A" w:rsidRDefault="006D148B" w:rsidP="009E3B2F">
            <w:pPr>
              <w:spacing w:after="0" w:line="240" w:lineRule="auto"/>
              <w:rPr>
                <w:rFonts w:ascii="Futura Std Condensed Light" w:eastAsia="Calibri" w:hAnsi="Futura Std Condensed Light" w:cs="Calibri"/>
                <w:szCs w:val="18"/>
              </w:rPr>
            </w:pPr>
            <w:r w:rsidRPr="00FD731A">
              <w:rPr>
                <w:rFonts w:ascii="Futura Std Condensed Light" w:eastAsia="Calibri" w:hAnsi="Futura Std Condensed Light" w:cs="Calibri"/>
                <w:szCs w:val="18"/>
              </w:rPr>
              <w:t>Técnica</w:t>
            </w:r>
          </w:p>
          <w:p w14:paraId="166CFF3E" w14:textId="77777777" w:rsidR="006D148B" w:rsidRPr="00FD731A" w:rsidRDefault="006D148B" w:rsidP="009E3B2F">
            <w:pPr>
              <w:spacing w:after="0" w:line="240" w:lineRule="auto"/>
              <w:rPr>
                <w:rFonts w:ascii="Futura Std Condensed Light" w:eastAsia="Calibri" w:hAnsi="Futura Std Condensed Light" w:cs="Calibri"/>
                <w:szCs w:val="18"/>
              </w:rPr>
            </w:pPr>
            <w:r w:rsidRPr="00FD731A">
              <w:rPr>
                <w:rFonts w:ascii="Futura Std Condensed Light" w:eastAsia="Calibri" w:hAnsi="Futura Std Condensed Light" w:cs="Calibri"/>
                <w:szCs w:val="18"/>
              </w:rPr>
              <w:t>Telesecundaria</w:t>
            </w:r>
          </w:p>
          <w:p w14:paraId="6E889DED" w14:textId="77777777" w:rsidR="006D148B" w:rsidRPr="00FD731A" w:rsidRDefault="006D148B" w:rsidP="009E3B2F">
            <w:pPr>
              <w:spacing w:after="0" w:line="240" w:lineRule="auto"/>
              <w:rPr>
                <w:rFonts w:ascii="Futura Std Condensed Light" w:eastAsia="Calibri" w:hAnsi="Futura Std Condensed Light" w:cs="Calibri"/>
                <w:szCs w:val="18"/>
              </w:rPr>
            </w:pPr>
            <w:r w:rsidRPr="00FD731A">
              <w:rPr>
                <w:rFonts w:ascii="Futura Std Condensed Light" w:eastAsia="Calibri" w:hAnsi="Futura Std Condensed Light" w:cs="Calibri"/>
                <w:szCs w:val="18"/>
              </w:rPr>
              <w:t>Comunitario (CONAFE)</w:t>
            </w:r>
          </w:p>
        </w:tc>
        <w:tc>
          <w:tcPr>
            <w:tcW w:w="2164" w:type="dxa"/>
          </w:tcPr>
          <w:p w14:paraId="0A1F73FA" w14:textId="77777777" w:rsidR="006D148B" w:rsidRPr="00FD731A" w:rsidRDefault="006D148B" w:rsidP="009E3B2F">
            <w:pPr>
              <w:spacing w:after="0" w:line="240" w:lineRule="auto"/>
              <w:rPr>
                <w:rFonts w:ascii="Futura Std Condensed Light" w:eastAsia="Calibri" w:hAnsi="Futura Std Condensed Light" w:cs="Calibri"/>
                <w:szCs w:val="18"/>
              </w:rPr>
            </w:pPr>
            <w:r w:rsidRPr="00FD731A">
              <w:rPr>
                <w:rFonts w:ascii="Futura Std Condensed Light" w:eastAsia="Calibri" w:hAnsi="Futura Std Condensed Light" w:cs="Calibri"/>
                <w:szCs w:val="18"/>
              </w:rPr>
              <w:t>Secundaria para adultos (Instituto Estatal de Educación para Jóvenes y Adultos, IEEA)</w:t>
            </w:r>
          </w:p>
        </w:tc>
      </w:tr>
      <w:tr w:rsidR="006D148B" w:rsidRPr="00772EB3" w14:paraId="57B7F377" w14:textId="77777777" w:rsidTr="009E3B2F">
        <w:trPr>
          <w:trHeight w:hRule="exact" w:val="419"/>
        </w:trPr>
        <w:tc>
          <w:tcPr>
            <w:tcW w:w="1815" w:type="dxa"/>
            <w:vMerge w:val="restart"/>
          </w:tcPr>
          <w:p w14:paraId="686A6828" w14:textId="77777777" w:rsidR="006D148B" w:rsidRPr="001B6A07" w:rsidRDefault="006D148B" w:rsidP="00FF77CB">
            <w:pPr>
              <w:spacing w:after="0" w:line="240" w:lineRule="auto"/>
              <w:jc w:val="left"/>
              <w:rPr>
                <w:rFonts w:ascii="Futura Std Condensed Light" w:eastAsia="Calibri" w:hAnsi="Futura Std Condensed Light" w:cs="Calibri"/>
                <w:bCs/>
                <w:szCs w:val="18"/>
              </w:rPr>
            </w:pPr>
            <w:r w:rsidRPr="001B6A07">
              <w:rPr>
                <w:rFonts w:ascii="Futura Std Condensed Light" w:eastAsia="Calibri" w:hAnsi="Futura Std Condensed Light" w:cs="Calibri"/>
                <w:bCs/>
                <w:szCs w:val="18"/>
              </w:rPr>
              <w:t>Educación Media</w:t>
            </w:r>
          </w:p>
        </w:tc>
        <w:tc>
          <w:tcPr>
            <w:tcW w:w="2001" w:type="dxa"/>
          </w:tcPr>
          <w:p w14:paraId="552AAB75" w14:textId="77777777" w:rsidR="006D148B" w:rsidRPr="00FD731A" w:rsidRDefault="006D148B" w:rsidP="009E3B2F">
            <w:pPr>
              <w:spacing w:after="0" w:line="240" w:lineRule="auto"/>
              <w:rPr>
                <w:rFonts w:ascii="Futura Std Condensed Light" w:eastAsia="Calibri" w:hAnsi="Futura Std Condensed Light" w:cs="Calibri"/>
                <w:szCs w:val="18"/>
              </w:rPr>
            </w:pPr>
            <w:r w:rsidRPr="00FD731A">
              <w:rPr>
                <w:rFonts w:ascii="Futura Std Condensed Light" w:eastAsia="Calibri" w:hAnsi="Futura Std Condensed Light" w:cs="Calibri"/>
                <w:szCs w:val="18"/>
              </w:rPr>
              <w:t>Profesional técnico</w:t>
            </w:r>
          </w:p>
        </w:tc>
        <w:tc>
          <w:tcPr>
            <w:tcW w:w="3261" w:type="dxa"/>
          </w:tcPr>
          <w:p w14:paraId="61009B0B" w14:textId="77777777" w:rsidR="006D148B" w:rsidRPr="00FD731A" w:rsidRDefault="006D148B" w:rsidP="009E3B2F">
            <w:pPr>
              <w:spacing w:after="0" w:line="240" w:lineRule="auto"/>
              <w:rPr>
                <w:rFonts w:ascii="Futura Std Condensed Light" w:eastAsia="Calibri" w:hAnsi="Futura Std Condensed Light" w:cs="Calibri"/>
                <w:szCs w:val="18"/>
              </w:rPr>
            </w:pPr>
            <w:r w:rsidRPr="00FD731A">
              <w:rPr>
                <w:rFonts w:ascii="Futura Std Condensed Light" w:eastAsia="Calibri" w:hAnsi="Futura Std Condensed Light" w:cs="Calibri"/>
                <w:szCs w:val="18"/>
              </w:rPr>
              <w:t>Profesional técnico</w:t>
            </w:r>
          </w:p>
        </w:tc>
        <w:tc>
          <w:tcPr>
            <w:tcW w:w="2164" w:type="dxa"/>
            <w:vMerge w:val="restart"/>
          </w:tcPr>
          <w:p w14:paraId="6F48D247" w14:textId="77777777" w:rsidR="006D148B" w:rsidRPr="00FD731A" w:rsidRDefault="006D148B" w:rsidP="009E3B2F">
            <w:pPr>
              <w:spacing w:after="0" w:line="240" w:lineRule="auto"/>
              <w:rPr>
                <w:rFonts w:ascii="Futura Std Condensed Light" w:eastAsia="Calibri" w:hAnsi="Futura Std Condensed Light" w:cs="Calibri"/>
                <w:szCs w:val="18"/>
              </w:rPr>
            </w:pPr>
            <w:r w:rsidRPr="00FD731A">
              <w:rPr>
                <w:rFonts w:ascii="Futura Std Condensed Light" w:eastAsia="Calibri" w:hAnsi="Futura Std Condensed Light" w:cs="Calibri"/>
                <w:szCs w:val="18"/>
              </w:rPr>
              <w:t>Educación abierta y a distancia</w:t>
            </w:r>
          </w:p>
        </w:tc>
      </w:tr>
      <w:tr w:rsidR="006D148B" w:rsidRPr="00772EB3" w14:paraId="0ED4AB51" w14:textId="77777777" w:rsidTr="009E3B2F">
        <w:trPr>
          <w:trHeight w:hRule="exact" w:val="557"/>
        </w:trPr>
        <w:tc>
          <w:tcPr>
            <w:tcW w:w="1815" w:type="dxa"/>
            <w:vMerge/>
          </w:tcPr>
          <w:p w14:paraId="4703F7DE" w14:textId="77777777" w:rsidR="006D148B" w:rsidRPr="001B6A07" w:rsidRDefault="006D148B" w:rsidP="00FF77CB">
            <w:pPr>
              <w:spacing w:after="0" w:line="240" w:lineRule="auto"/>
              <w:jc w:val="left"/>
              <w:rPr>
                <w:rFonts w:ascii="Futura Std Condensed Light" w:eastAsia="Calibri" w:hAnsi="Futura Std Condensed Light" w:cs="Calibri"/>
                <w:bCs/>
                <w:szCs w:val="18"/>
              </w:rPr>
            </w:pPr>
          </w:p>
        </w:tc>
        <w:tc>
          <w:tcPr>
            <w:tcW w:w="2001" w:type="dxa"/>
          </w:tcPr>
          <w:p w14:paraId="7E48DF1B" w14:textId="77777777" w:rsidR="006D148B" w:rsidRPr="00FD731A" w:rsidRDefault="006D148B" w:rsidP="009E3B2F">
            <w:pPr>
              <w:spacing w:after="0" w:line="240" w:lineRule="auto"/>
              <w:rPr>
                <w:rFonts w:ascii="Futura Std Condensed Light" w:eastAsia="Calibri" w:hAnsi="Futura Std Condensed Light" w:cs="Calibri"/>
                <w:szCs w:val="18"/>
              </w:rPr>
            </w:pPr>
            <w:r w:rsidRPr="00FD731A">
              <w:rPr>
                <w:rFonts w:ascii="Futura Std Condensed Light" w:eastAsia="Calibri" w:hAnsi="Futura Std Condensed Light" w:cs="Calibri"/>
                <w:szCs w:val="18"/>
              </w:rPr>
              <w:t>Bachillerato</w:t>
            </w:r>
          </w:p>
        </w:tc>
        <w:tc>
          <w:tcPr>
            <w:tcW w:w="3261" w:type="dxa"/>
          </w:tcPr>
          <w:p w14:paraId="4CA3F862" w14:textId="77777777" w:rsidR="006D148B" w:rsidRPr="00FD731A" w:rsidRDefault="006D148B" w:rsidP="009E3B2F">
            <w:pPr>
              <w:spacing w:after="0" w:line="240" w:lineRule="auto"/>
              <w:rPr>
                <w:rFonts w:ascii="Futura Std Condensed Light" w:eastAsia="Calibri" w:hAnsi="Futura Std Condensed Light" w:cs="Calibri"/>
                <w:szCs w:val="18"/>
              </w:rPr>
            </w:pPr>
            <w:r w:rsidRPr="00FD731A">
              <w:rPr>
                <w:rFonts w:ascii="Futura Std Condensed Light" w:eastAsia="Calibri" w:hAnsi="Futura Std Condensed Light" w:cs="Calibri"/>
                <w:szCs w:val="18"/>
              </w:rPr>
              <w:t>General</w:t>
            </w:r>
          </w:p>
          <w:p w14:paraId="497C9EE5" w14:textId="77777777" w:rsidR="006D148B" w:rsidRPr="00FD731A" w:rsidRDefault="006D148B" w:rsidP="009E3B2F">
            <w:pPr>
              <w:spacing w:after="0" w:line="240" w:lineRule="auto"/>
              <w:rPr>
                <w:rFonts w:ascii="Futura Std Condensed Light" w:eastAsia="Calibri" w:hAnsi="Futura Std Condensed Light" w:cs="Calibri"/>
                <w:szCs w:val="18"/>
              </w:rPr>
            </w:pPr>
            <w:r w:rsidRPr="00FD731A">
              <w:rPr>
                <w:rFonts w:ascii="Futura Std Condensed Light" w:eastAsia="Calibri" w:hAnsi="Futura Std Condensed Light" w:cs="Calibri"/>
                <w:szCs w:val="18"/>
              </w:rPr>
              <w:t>Técnico</w:t>
            </w:r>
          </w:p>
        </w:tc>
        <w:tc>
          <w:tcPr>
            <w:tcW w:w="2164" w:type="dxa"/>
            <w:vMerge/>
          </w:tcPr>
          <w:p w14:paraId="4CE8821F" w14:textId="77777777" w:rsidR="006D148B" w:rsidRPr="00FD731A" w:rsidRDefault="006D148B" w:rsidP="009E3B2F">
            <w:pPr>
              <w:spacing w:after="0" w:line="240" w:lineRule="auto"/>
              <w:rPr>
                <w:rFonts w:ascii="Futura Std Condensed Light" w:eastAsia="Calibri" w:hAnsi="Futura Std Condensed Light" w:cs="Calibri"/>
                <w:szCs w:val="18"/>
              </w:rPr>
            </w:pPr>
          </w:p>
        </w:tc>
      </w:tr>
      <w:tr w:rsidR="006D148B" w:rsidRPr="00772EB3" w14:paraId="7A3E18AF" w14:textId="77777777" w:rsidTr="009E3B2F">
        <w:trPr>
          <w:trHeight w:hRule="exact" w:val="579"/>
        </w:trPr>
        <w:tc>
          <w:tcPr>
            <w:tcW w:w="1815" w:type="dxa"/>
            <w:vMerge w:val="restart"/>
          </w:tcPr>
          <w:p w14:paraId="0FBD03EB" w14:textId="77777777" w:rsidR="006D148B" w:rsidRPr="001B6A07" w:rsidRDefault="006D148B" w:rsidP="00FF77CB">
            <w:pPr>
              <w:spacing w:after="0" w:line="240" w:lineRule="auto"/>
              <w:jc w:val="left"/>
              <w:rPr>
                <w:rFonts w:ascii="Futura Std Condensed Light" w:eastAsia="Calibri" w:hAnsi="Futura Std Condensed Light" w:cs="Calibri"/>
                <w:bCs/>
                <w:szCs w:val="18"/>
              </w:rPr>
            </w:pPr>
            <w:r w:rsidRPr="001B6A07">
              <w:rPr>
                <w:rFonts w:ascii="Futura Std Condensed Light" w:eastAsia="Calibri" w:hAnsi="Futura Std Condensed Light" w:cs="Calibri"/>
                <w:bCs/>
                <w:szCs w:val="18"/>
              </w:rPr>
              <w:t>Educación Superior</w:t>
            </w:r>
          </w:p>
          <w:p w14:paraId="614BF867" w14:textId="77777777" w:rsidR="006D148B" w:rsidRPr="001B6A07" w:rsidRDefault="006D148B" w:rsidP="00FF77CB">
            <w:pPr>
              <w:spacing w:after="0" w:line="240" w:lineRule="auto"/>
              <w:jc w:val="left"/>
              <w:rPr>
                <w:rFonts w:ascii="Futura Std Condensed Light" w:eastAsia="Calibri" w:hAnsi="Futura Std Condensed Light" w:cs="Calibri"/>
                <w:bCs/>
                <w:szCs w:val="18"/>
              </w:rPr>
            </w:pPr>
          </w:p>
        </w:tc>
        <w:tc>
          <w:tcPr>
            <w:tcW w:w="2001" w:type="dxa"/>
          </w:tcPr>
          <w:p w14:paraId="3A8583CD" w14:textId="77777777" w:rsidR="006D148B" w:rsidRPr="00FD731A" w:rsidRDefault="006D148B" w:rsidP="009E3B2F">
            <w:pPr>
              <w:spacing w:after="0" w:line="240" w:lineRule="auto"/>
              <w:rPr>
                <w:rFonts w:ascii="Futura Std Condensed Light" w:eastAsia="Calibri" w:hAnsi="Futura Std Condensed Light" w:cs="Calibri"/>
                <w:szCs w:val="18"/>
              </w:rPr>
            </w:pPr>
            <w:r w:rsidRPr="00FD731A">
              <w:rPr>
                <w:rFonts w:ascii="Futura Std Condensed Light" w:eastAsia="Calibri" w:hAnsi="Futura Std Condensed Light" w:cs="Calibri"/>
                <w:szCs w:val="18"/>
              </w:rPr>
              <w:t>Técnico Superior</w:t>
            </w:r>
          </w:p>
        </w:tc>
        <w:tc>
          <w:tcPr>
            <w:tcW w:w="3261" w:type="dxa"/>
          </w:tcPr>
          <w:p w14:paraId="2F1E1708" w14:textId="77777777" w:rsidR="006D148B" w:rsidRPr="00FD731A" w:rsidRDefault="006D148B" w:rsidP="009E3B2F">
            <w:pPr>
              <w:spacing w:after="0" w:line="240" w:lineRule="auto"/>
              <w:rPr>
                <w:rFonts w:ascii="Futura Std Condensed Light" w:eastAsia="Calibri" w:hAnsi="Futura Std Condensed Light" w:cs="Calibri"/>
                <w:szCs w:val="18"/>
              </w:rPr>
            </w:pPr>
            <w:r w:rsidRPr="00FD731A">
              <w:rPr>
                <w:rFonts w:ascii="Futura Std Condensed Light" w:eastAsia="Calibri" w:hAnsi="Futura Std Condensed Light" w:cs="Calibri"/>
                <w:szCs w:val="18"/>
              </w:rPr>
              <w:t>Técnico Superior o Profesional Asociado</w:t>
            </w:r>
          </w:p>
        </w:tc>
        <w:tc>
          <w:tcPr>
            <w:tcW w:w="2164" w:type="dxa"/>
            <w:vMerge w:val="restart"/>
          </w:tcPr>
          <w:p w14:paraId="3066534B" w14:textId="77777777" w:rsidR="006D148B" w:rsidRPr="00FD731A" w:rsidRDefault="006D148B" w:rsidP="009E3B2F">
            <w:pPr>
              <w:spacing w:after="0" w:line="240" w:lineRule="auto"/>
              <w:rPr>
                <w:rFonts w:ascii="Futura Std Condensed Light" w:eastAsia="Calibri" w:hAnsi="Futura Std Condensed Light" w:cs="Calibri"/>
                <w:szCs w:val="18"/>
              </w:rPr>
            </w:pPr>
            <w:r w:rsidRPr="00FD731A">
              <w:rPr>
                <w:rFonts w:ascii="Futura Std Condensed Light" w:eastAsia="Calibri" w:hAnsi="Futura Std Condensed Light" w:cs="Calibri"/>
                <w:szCs w:val="18"/>
              </w:rPr>
              <w:t>Educación Abierta y a distancia.</w:t>
            </w:r>
          </w:p>
          <w:p w14:paraId="60961F5D" w14:textId="77777777" w:rsidR="006D148B" w:rsidRPr="00FD731A" w:rsidRDefault="006D148B" w:rsidP="009E3B2F">
            <w:pPr>
              <w:spacing w:after="0" w:line="240" w:lineRule="auto"/>
              <w:rPr>
                <w:rFonts w:ascii="Futura Std Condensed Light" w:eastAsia="Calibri" w:hAnsi="Futura Std Condensed Light" w:cs="Calibri"/>
                <w:szCs w:val="18"/>
              </w:rPr>
            </w:pPr>
          </w:p>
        </w:tc>
      </w:tr>
      <w:tr w:rsidR="006D148B" w:rsidRPr="00772EB3" w14:paraId="742E9A0E" w14:textId="77777777" w:rsidTr="009E3B2F">
        <w:trPr>
          <w:trHeight w:hRule="exact" w:val="842"/>
        </w:trPr>
        <w:tc>
          <w:tcPr>
            <w:tcW w:w="1815" w:type="dxa"/>
            <w:vMerge/>
          </w:tcPr>
          <w:p w14:paraId="3B45F2FA" w14:textId="77777777" w:rsidR="006D148B" w:rsidRPr="001B6A07" w:rsidRDefault="006D148B" w:rsidP="00FF77CB">
            <w:pPr>
              <w:spacing w:after="0" w:line="240" w:lineRule="auto"/>
              <w:jc w:val="left"/>
              <w:rPr>
                <w:rFonts w:ascii="Futura Std Condensed Light" w:eastAsia="Calibri" w:hAnsi="Futura Std Condensed Light" w:cs="Calibri"/>
                <w:bCs/>
                <w:szCs w:val="18"/>
              </w:rPr>
            </w:pPr>
          </w:p>
        </w:tc>
        <w:tc>
          <w:tcPr>
            <w:tcW w:w="2001" w:type="dxa"/>
          </w:tcPr>
          <w:p w14:paraId="05872EF9" w14:textId="77777777" w:rsidR="006D148B" w:rsidRPr="00FD731A" w:rsidRDefault="006D148B" w:rsidP="009E3B2F">
            <w:pPr>
              <w:spacing w:after="0" w:line="240" w:lineRule="auto"/>
              <w:rPr>
                <w:rFonts w:ascii="Futura Std Condensed Light" w:eastAsia="Calibri" w:hAnsi="Futura Std Condensed Light" w:cs="Calibri"/>
                <w:szCs w:val="18"/>
              </w:rPr>
            </w:pPr>
            <w:r w:rsidRPr="00FD731A">
              <w:rPr>
                <w:rFonts w:ascii="Futura Std Condensed Light" w:eastAsia="Calibri" w:hAnsi="Futura Std Condensed Light" w:cs="Calibri"/>
                <w:szCs w:val="18"/>
              </w:rPr>
              <w:t>Licenciatura</w:t>
            </w:r>
          </w:p>
        </w:tc>
        <w:tc>
          <w:tcPr>
            <w:tcW w:w="3261" w:type="dxa"/>
          </w:tcPr>
          <w:p w14:paraId="2E21CB3E" w14:textId="77777777" w:rsidR="006D148B" w:rsidRPr="00FD731A" w:rsidRDefault="006D148B" w:rsidP="009E3B2F">
            <w:pPr>
              <w:spacing w:after="0" w:line="240" w:lineRule="auto"/>
              <w:rPr>
                <w:rFonts w:ascii="Futura Std Condensed Light" w:eastAsia="Calibri" w:hAnsi="Futura Std Condensed Light" w:cs="Calibri"/>
                <w:szCs w:val="18"/>
              </w:rPr>
            </w:pPr>
            <w:r w:rsidRPr="00FD731A">
              <w:rPr>
                <w:rFonts w:ascii="Futura Std Condensed Light" w:eastAsia="Calibri" w:hAnsi="Futura Std Condensed Light" w:cs="Calibri"/>
                <w:szCs w:val="18"/>
              </w:rPr>
              <w:t>Educación Normal</w:t>
            </w:r>
          </w:p>
          <w:p w14:paraId="617ED99F" w14:textId="77777777" w:rsidR="006D148B" w:rsidRPr="00FD731A" w:rsidRDefault="006D148B" w:rsidP="009E3B2F">
            <w:pPr>
              <w:spacing w:after="0" w:line="240" w:lineRule="auto"/>
              <w:rPr>
                <w:rFonts w:ascii="Futura Std Condensed Light" w:eastAsia="Calibri" w:hAnsi="Futura Std Condensed Light" w:cs="Calibri"/>
                <w:szCs w:val="18"/>
              </w:rPr>
            </w:pPr>
            <w:r w:rsidRPr="00FD731A">
              <w:rPr>
                <w:rFonts w:ascii="Futura Std Condensed Light" w:eastAsia="Calibri" w:hAnsi="Futura Std Condensed Light" w:cs="Calibri"/>
                <w:szCs w:val="18"/>
              </w:rPr>
              <w:t>Licenciatura Universitaria</w:t>
            </w:r>
          </w:p>
          <w:p w14:paraId="5A6F8945" w14:textId="77777777" w:rsidR="006D148B" w:rsidRPr="00FD731A" w:rsidRDefault="006D148B" w:rsidP="009E3B2F">
            <w:pPr>
              <w:spacing w:after="0" w:line="240" w:lineRule="auto"/>
              <w:rPr>
                <w:rFonts w:ascii="Futura Std Condensed Light" w:eastAsia="Calibri" w:hAnsi="Futura Std Condensed Light" w:cs="Calibri"/>
                <w:szCs w:val="18"/>
              </w:rPr>
            </w:pPr>
            <w:r w:rsidRPr="00FD731A">
              <w:rPr>
                <w:rFonts w:ascii="Futura Std Condensed Light" w:eastAsia="Calibri" w:hAnsi="Futura Std Condensed Light" w:cs="Calibri"/>
                <w:szCs w:val="18"/>
              </w:rPr>
              <w:t>Licenciatura Tecnológica</w:t>
            </w:r>
          </w:p>
        </w:tc>
        <w:tc>
          <w:tcPr>
            <w:tcW w:w="2164" w:type="dxa"/>
            <w:vMerge/>
          </w:tcPr>
          <w:p w14:paraId="03F1F41C" w14:textId="77777777" w:rsidR="006D148B" w:rsidRPr="00FD731A" w:rsidRDefault="006D148B" w:rsidP="009E3B2F">
            <w:pPr>
              <w:spacing w:after="0" w:line="240" w:lineRule="auto"/>
              <w:rPr>
                <w:rFonts w:ascii="Futura Std Condensed Light" w:eastAsia="Calibri" w:hAnsi="Futura Std Condensed Light" w:cs="Calibri"/>
                <w:szCs w:val="18"/>
              </w:rPr>
            </w:pPr>
          </w:p>
        </w:tc>
      </w:tr>
      <w:tr w:rsidR="006D148B" w:rsidRPr="00772EB3" w14:paraId="260AE317" w14:textId="77777777" w:rsidTr="009E3B2F">
        <w:trPr>
          <w:trHeight w:hRule="exact" w:val="708"/>
        </w:trPr>
        <w:tc>
          <w:tcPr>
            <w:tcW w:w="1815" w:type="dxa"/>
            <w:vMerge/>
          </w:tcPr>
          <w:p w14:paraId="3AD8FAA8" w14:textId="77777777" w:rsidR="006D148B" w:rsidRPr="001B6A07" w:rsidRDefault="006D148B" w:rsidP="00FF77CB">
            <w:pPr>
              <w:spacing w:after="0" w:line="240" w:lineRule="auto"/>
              <w:jc w:val="left"/>
              <w:rPr>
                <w:rFonts w:ascii="Futura Std Condensed Light" w:eastAsia="Calibri" w:hAnsi="Futura Std Condensed Light" w:cs="Calibri"/>
                <w:bCs/>
                <w:szCs w:val="18"/>
              </w:rPr>
            </w:pPr>
          </w:p>
        </w:tc>
        <w:tc>
          <w:tcPr>
            <w:tcW w:w="2001" w:type="dxa"/>
          </w:tcPr>
          <w:p w14:paraId="3114C457" w14:textId="77777777" w:rsidR="006D148B" w:rsidRPr="00FD731A" w:rsidRDefault="006D148B" w:rsidP="009E3B2F">
            <w:pPr>
              <w:spacing w:after="0" w:line="240" w:lineRule="auto"/>
              <w:rPr>
                <w:rFonts w:ascii="Futura Std Condensed Light" w:eastAsia="Calibri" w:hAnsi="Futura Std Condensed Light" w:cs="Calibri"/>
                <w:szCs w:val="18"/>
              </w:rPr>
            </w:pPr>
            <w:r w:rsidRPr="00FD731A">
              <w:rPr>
                <w:rFonts w:ascii="Futura Std Condensed Light" w:eastAsia="Calibri" w:hAnsi="Futura Std Condensed Light" w:cs="Calibri"/>
                <w:szCs w:val="18"/>
              </w:rPr>
              <w:t>Posgrado</w:t>
            </w:r>
          </w:p>
        </w:tc>
        <w:tc>
          <w:tcPr>
            <w:tcW w:w="3261" w:type="dxa"/>
          </w:tcPr>
          <w:p w14:paraId="04BD181F" w14:textId="77777777" w:rsidR="006D148B" w:rsidRPr="00FD731A" w:rsidRDefault="006D148B" w:rsidP="009E3B2F">
            <w:pPr>
              <w:spacing w:after="0" w:line="240" w:lineRule="auto"/>
              <w:rPr>
                <w:rFonts w:ascii="Futura Std Condensed Light" w:eastAsia="Calibri" w:hAnsi="Futura Std Condensed Light" w:cs="Calibri"/>
                <w:szCs w:val="18"/>
              </w:rPr>
            </w:pPr>
            <w:r w:rsidRPr="00FD731A">
              <w:rPr>
                <w:rFonts w:ascii="Futura Std Condensed Light" w:eastAsia="Calibri" w:hAnsi="Futura Std Condensed Light" w:cs="Calibri"/>
                <w:szCs w:val="18"/>
              </w:rPr>
              <w:t>Especialidad</w:t>
            </w:r>
          </w:p>
          <w:p w14:paraId="655320EC" w14:textId="77777777" w:rsidR="006D148B" w:rsidRPr="00FD731A" w:rsidRDefault="006D148B" w:rsidP="009E3B2F">
            <w:pPr>
              <w:spacing w:after="0" w:line="240" w:lineRule="auto"/>
              <w:rPr>
                <w:rFonts w:ascii="Futura Std Condensed Light" w:eastAsia="Calibri" w:hAnsi="Futura Std Condensed Light" w:cs="Calibri"/>
                <w:szCs w:val="18"/>
              </w:rPr>
            </w:pPr>
            <w:r w:rsidRPr="00FD731A">
              <w:rPr>
                <w:rFonts w:ascii="Futura Std Condensed Light" w:eastAsia="Calibri" w:hAnsi="Futura Std Condensed Light" w:cs="Calibri"/>
                <w:szCs w:val="18"/>
              </w:rPr>
              <w:t>Maestría</w:t>
            </w:r>
          </w:p>
          <w:p w14:paraId="4122D866" w14:textId="77777777" w:rsidR="006D148B" w:rsidRPr="00FD731A" w:rsidRDefault="006D148B" w:rsidP="009E3B2F">
            <w:pPr>
              <w:spacing w:after="0" w:line="240" w:lineRule="auto"/>
              <w:rPr>
                <w:rFonts w:ascii="Futura Std Condensed Light" w:eastAsia="Calibri" w:hAnsi="Futura Std Condensed Light" w:cs="Calibri"/>
                <w:szCs w:val="18"/>
              </w:rPr>
            </w:pPr>
            <w:r w:rsidRPr="00FD731A">
              <w:rPr>
                <w:rFonts w:ascii="Futura Std Condensed Light" w:eastAsia="Calibri" w:hAnsi="Futura Std Condensed Light" w:cs="Calibri"/>
                <w:szCs w:val="18"/>
              </w:rPr>
              <w:t>Doctorado</w:t>
            </w:r>
          </w:p>
        </w:tc>
        <w:tc>
          <w:tcPr>
            <w:tcW w:w="2164" w:type="dxa"/>
            <w:vMerge/>
          </w:tcPr>
          <w:p w14:paraId="70D492A6" w14:textId="77777777" w:rsidR="006D148B" w:rsidRPr="00FD731A" w:rsidRDefault="006D148B" w:rsidP="009E3B2F">
            <w:pPr>
              <w:spacing w:after="0" w:line="240" w:lineRule="auto"/>
              <w:rPr>
                <w:rFonts w:ascii="Futura Std Condensed Light" w:eastAsia="Calibri" w:hAnsi="Futura Std Condensed Light" w:cs="Calibri"/>
                <w:szCs w:val="18"/>
              </w:rPr>
            </w:pPr>
          </w:p>
        </w:tc>
      </w:tr>
      <w:tr w:rsidR="006D148B" w:rsidRPr="00772EB3" w14:paraId="6A0B1DB2" w14:textId="77777777" w:rsidTr="009E3B2F">
        <w:trPr>
          <w:trHeight w:hRule="exact" w:val="1416"/>
        </w:trPr>
        <w:tc>
          <w:tcPr>
            <w:tcW w:w="1815" w:type="dxa"/>
          </w:tcPr>
          <w:p w14:paraId="0AB6BBB5" w14:textId="77777777" w:rsidR="006D148B" w:rsidRPr="001B6A07" w:rsidRDefault="006D148B" w:rsidP="00FF77CB">
            <w:pPr>
              <w:spacing w:after="0" w:line="240" w:lineRule="auto"/>
              <w:jc w:val="left"/>
              <w:rPr>
                <w:rFonts w:ascii="Futura Std Condensed Light" w:eastAsia="Calibri" w:hAnsi="Futura Std Condensed Light" w:cs="Calibri"/>
                <w:bCs/>
                <w:szCs w:val="18"/>
              </w:rPr>
            </w:pPr>
            <w:r w:rsidRPr="001B6A07">
              <w:rPr>
                <w:rFonts w:ascii="Futura Std Condensed Light" w:eastAsia="Calibri" w:hAnsi="Futura Std Condensed Light" w:cs="Calibri"/>
                <w:bCs/>
                <w:szCs w:val="18"/>
              </w:rPr>
              <w:t>Otros servicios ofrecidos en el Estado</w:t>
            </w:r>
          </w:p>
        </w:tc>
        <w:tc>
          <w:tcPr>
            <w:tcW w:w="2001" w:type="dxa"/>
          </w:tcPr>
          <w:p w14:paraId="1F4BB3C5" w14:textId="77777777" w:rsidR="006D148B" w:rsidRPr="00FD731A" w:rsidRDefault="006D148B" w:rsidP="009E3B2F">
            <w:pPr>
              <w:spacing w:after="0" w:line="240" w:lineRule="auto"/>
              <w:rPr>
                <w:rFonts w:ascii="Futura Std Condensed Light" w:eastAsia="Calibri" w:hAnsi="Futura Std Condensed Light" w:cs="Calibri"/>
                <w:szCs w:val="18"/>
              </w:rPr>
            </w:pPr>
            <w:r w:rsidRPr="00FD731A">
              <w:rPr>
                <w:rFonts w:ascii="Futura Std Condensed Light" w:eastAsia="Calibri" w:hAnsi="Futura Std Condensed Light" w:cs="Calibri"/>
                <w:szCs w:val="18"/>
              </w:rPr>
              <w:t>Capacitación para el Trabajo</w:t>
            </w:r>
          </w:p>
          <w:p w14:paraId="363C5C11" w14:textId="77777777" w:rsidR="006D148B" w:rsidRPr="00FD731A" w:rsidRDefault="006D148B" w:rsidP="009E3B2F">
            <w:pPr>
              <w:spacing w:after="0" w:line="240" w:lineRule="auto"/>
              <w:rPr>
                <w:rFonts w:ascii="Futura Std Condensed Light" w:eastAsia="Calibri" w:hAnsi="Futura Std Condensed Light" w:cs="Calibri"/>
                <w:szCs w:val="18"/>
              </w:rPr>
            </w:pPr>
            <w:r w:rsidRPr="00FD731A">
              <w:rPr>
                <w:rFonts w:ascii="Futura Std Condensed Light" w:eastAsia="Calibri" w:hAnsi="Futura Std Condensed Light" w:cs="Calibri"/>
                <w:szCs w:val="18"/>
              </w:rPr>
              <w:t>Educación Especial</w:t>
            </w:r>
          </w:p>
        </w:tc>
        <w:tc>
          <w:tcPr>
            <w:tcW w:w="3261" w:type="dxa"/>
          </w:tcPr>
          <w:p w14:paraId="44A4C74D" w14:textId="77777777" w:rsidR="006D148B" w:rsidRPr="00FD731A" w:rsidRDefault="006D148B" w:rsidP="009E3B2F">
            <w:pPr>
              <w:spacing w:after="0" w:line="240" w:lineRule="auto"/>
              <w:rPr>
                <w:rFonts w:ascii="Futura Std Condensed Light" w:eastAsia="Calibri" w:hAnsi="Futura Std Condensed Light" w:cs="Calibri"/>
                <w:szCs w:val="18"/>
              </w:rPr>
            </w:pPr>
            <w:r w:rsidRPr="00FD731A">
              <w:rPr>
                <w:rFonts w:ascii="Futura Std Condensed Light" w:eastAsia="Calibri" w:hAnsi="Futura Std Condensed Light" w:cs="Calibri"/>
                <w:szCs w:val="18"/>
              </w:rPr>
              <w:t>Instituciones Capacitación para el Trabajo</w:t>
            </w:r>
          </w:p>
          <w:p w14:paraId="007EA79F" w14:textId="77777777" w:rsidR="006D148B" w:rsidRPr="00FD731A" w:rsidRDefault="006D148B" w:rsidP="009E3B2F">
            <w:pPr>
              <w:spacing w:after="0" w:line="240" w:lineRule="auto"/>
              <w:rPr>
                <w:rFonts w:ascii="Futura Std Condensed Light" w:eastAsia="Calibri" w:hAnsi="Futura Std Condensed Light" w:cs="Calibri"/>
                <w:szCs w:val="18"/>
              </w:rPr>
            </w:pPr>
            <w:r w:rsidRPr="00FD731A">
              <w:rPr>
                <w:rFonts w:ascii="Futura Std Condensed Light" w:eastAsia="Calibri" w:hAnsi="Futura Std Condensed Light" w:cs="Calibri"/>
                <w:szCs w:val="18"/>
              </w:rPr>
              <w:t>Centros de atención múltiple (CAM)</w:t>
            </w:r>
          </w:p>
          <w:p w14:paraId="15F13FA7" w14:textId="77777777" w:rsidR="006D148B" w:rsidRPr="00FD731A" w:rsidRDefault="006D148B" w:rsidP="009E3B2F">
            <w:pPr>
              <w:spacing w:after="0" w:line="240" w:lineRule="auto"/>
              <w:rPr>
                <w:rFonts w:ascii="Futura Std Condensed Light" w:eastAsia="Calibri" w:hAnsi="Futura Std Condensed Light" w:cs="Calibri"/>
                <w:szCs w:val="18"/>
              </w:rPr>
            </w:pPr>
            <w:r w:rsidRPr="00FD731A">
              <w:rPr>
                <w:rFonts w:ascii="Futura Std Condensed Light" w:eastAsia="Calibri" w:hAnsi="Futura Std Condensed Light" w:cs="Calibri"/>
                <w:szCs w:val="18"/>
              </w:rPr>
              <w:t>Unidad de servicios de apoyo a la educación regular (USAER)</w:t>
            </w:r>
          </w:p>
        </w:tc>
        <w:tc>
          <w:tcPr>
            <w:tcW w:w="2164" w:type="dxa"/>
          </w:tcPr>
          <w:p w14:paraId="6323A8AF" w14:textId="77777777" w:rsidR="006D148B" w:rsidRPr="00FD731A" w:rsidRDefault="006D148B" w:rsidP="009E3B2F">
            <w:pPr>
              <w:spacing w:after="0" w:line="240" w:lineRule="auto"/>
              <w:rPr>
                <w:rFonts w:ascii="Futura Std Condensed Light" w:eastAsia="Calibri" w:hAnsi="Futura Std Condensed Light" w:cs="Calibri"/>
                <w:szCs w:val="18"/>
              </w:rPr>
            </w:pPr>
          </w:p>
        </w:tc>
      </w:tr>
    </w:tbl>
    <w:p w14:paraId="477F2F33" w14:textId="77777777" w:rsidR="006D148B" w:rsidRPr="002D485B" w:rsidRDefault="006D148B" w:rsidP="006D148B">
      <w:pPr>
        <w:pStyle w:val="Textoindependiente"/>
        <w:spacing w:after="0"/>
        <w:rPr>
          <w:sz w:val="16"/>
          <w:szCs w:val="16"/>
        </w:rPr>
      </w:pPr>
      <w:r w:rsidRPr="002D485B">
        <w:rPr>
          <w:sz w:val="16"/>
          <w:szCs w:val="16"/>
        </w:rPr>
        <w:t>Fuente: Esquema general del sistema educativo de acuerdo a la Clasificación Internacional Normalizada de la Educación (CINE), SEP</w:t>
      </w:r>
    </w:p>
    <w:p w14:paraId="754282D4" w14:textId="77777777" w:rsidR="006D148B" w:rsidRPr="002D485B" w:rsidRDefault="006D148B" w:rsidP="006D148B">
      <w:pPr>
        <w:pStyle w:val="Textoindependiente"/>
        <w:spacing w:after="0"/>
        <w:rPr>
          <w:sz w:val="16"/>
          <w:szCs w:val="16"/>
        </w:rPr>
      </w:pPr>
    </w:p>
    <w:p w14:paraId="7B6FC156" w14:textId="7A206BC2" w:rsidR="00244B40" w:rsidRPr="00531554" w:rsidRDefault="006D148B" w:rsidP="00C14117">
      <w:pPr>
        <w:rPr>
          <w:rFonts w:eastAsia="Times New Roman" w:cs="Futura"/>
        </w:rPr>
      </w:pPr>
      <w:r w:rsidRPr="00244B40">
        <w:rPr>
          <w:rFonts w:eastAsia="Times New Roman" w:cs="Futura"/>
        </w:rPr>
        <w:t>Existen diversas modalidades con enfoques especiales, planes y programas estructurados de tal manera que, el demandante del servicio tiene varias opciones a elegir según sus condiciones particulares, estos esquemas están diseñados tomando en cuenta, zonas urbanas o rurales, lengua materna, sistema escolarizado o no escolarizado, o para ingresar al sector laboral; y tienen como objetivo el brindar educación de calidad, con equidad y pertinencia.</w:t>
      </w:r>
    </w:p>
    <w:p w14:paraId="2A22ACCF" w14:textId="5D69AECD" w:rsidR="00913635" w:rsidRDefault="00913635">
      <w:pPr>
        <w:spacing w:after="0" w:line="240" w:lineRule="auto"/>
        <w:jc w:val="left"/>
        <w:rPr>
          <w:rFonts w:eastAsia="Times New Roman" w:cs="Futura"/>
          <w:b/>
        </w:rPr>
      </w:pPr>
      <w:r>
        <w:rPr>
          <w:rFonts w:eastAsia="Times New Roman" w:cs="Futura"/>
          <w:b/>
        </w:rPr>
        <w:br w:type="page"/>
      </w:r>
    </w:p>
    <w:p w14:paraId="5AB0BB19" w14:textId="0BA4E156" w:rsidR="006D148B" w:rsidRPr="00382832" w:rsidRDefault="006D148B" w:rsidP="006D148B">
      <w:pPr>
        <w:spacing w:after="0"/>
        <w:rPr>
          <w:rFonts w:eastAsia="Times New Roman" w:cs="Futura"/>
          <w:b/>
        </w:rPr>
      </w:pPr>
      <w:r w:rsidRPr="00382832">
        <w:rPr>
          <w:rFonts w:eastAsia="Times New Roman" w:cs="Futura"/>
          <w:b/>
        </w:rPr>
        <w:lastRenderedPageBreak/>
        <w:t>Educación Inicial</w:t>
      </w:r>
    </w:p>
    <w:p w14:paraId="490698DB" w14:textId="77777777" w:rsidR="006D148B" w:rsidRPr="00382832" w:rsidRDefault="006D148B" w:rsidP="006D148B">
      <w:pPr>
        <w:spacing w:after="0"/>
        <w:rPr>
          <w:rFonts w:eastAsia="Times New Roman" w:cs="Futura"/>
        </w:rPr>
      </w:pPr>
    </w:p>
    <w:p w14:paraId="1D22DD2E" w14:textId="77777777" w:rsidR="006D148B" w:rsidRDefault="006D148B" w:rsidP="00244B40">
      <w:pPr>
        <w:rPr>
          <w:rFonts w:eastAsia="Times New Roman" w:cs="Futura"/>
        </w:rPr>
      </w:pPr>
      <w:r w:rsidRPr="00382832">
        <w:rPr>
          <w:rFonts w:eastAsia="Times New Roman" w:cs="Futura"/>
        </w:rPr>
        <w:t xml:space="preserve">Educación Inicial es el servicio educativo que </w:t>
      </w:r>
      <w:r>
        <w:rPr>
          <w:rFonts w:eastAsia="Times New Roman" w:cs="Futura"/>
        </w:rPr>
        <w:t xml:space="preserve">tiene como propósito favorecer el desarrollo físico, cognoscitivo, afectivo y social de los niños con edades desde los 43 días de nacidos hasta los 3 años de edad, </w:t>
      </w:r>
      <w:r w:rsidRPr="00382832">
        <w:rPr>
          <w:rFonts w:eastAsia="Times New Roman" w:cs="Futura"/>
        </w:rPr>
        <w:t>lo que les permitirá adquirir habilidades, hábitos, valores, así como desarrollar su autonomía, creatividad y actitudes necesarias en su desempeño personal y social; además de orientar la responsabilidad y participación de la familia en el proceso educativo.</w:t>
      </w:r>
    </w:p>
    <w:p w14:paraId="5E611108" w14:textId="08E61B62" w:rsidR="006D148B" w:rsidRDefault="006D148B" w:rsidP="00244B40">
      <w:pPr>
        <w:rPr>
          <w:rFonts w:eastAsia="Times New Roman" w:cs="Futura"/>
        </w:rPr>
      </w:pPr>
      <w:r w:rsidRPr="00382832">
        <w:rPr>
          <w:rFonts w:eastAsia="Times New Roman" w:cs="Futura"/>
        </w:rPr>
        <w:t xml:space="preserve">De acuerdo </w:t>
      </w:r>
      <w:r>
        <w:rPr>
          <w:rFonts w:eastAsia="Times New Roman" w:cs="Futura"/>
        </w:rPr>
        <w:t>con el</w:t>
      </w:r>
      <w:r w:rsidRPr="00382832">
        <w:rPr>
          <w:rFonts w:eastAsia="Times New Roman" w:cs="Futura"/>
        </w:rPr>
        <w:t xml:space="preserve"> catálogo de servicios educativos del estado, existen en la entidad </w:t>
      </w:r>
      <w:r w:rsidRPr="0017484D">
        <w:rPr>
          <w:rFonts w:eastAsia="Times New Roman" w:cs="Futura"/>
        </w:rPr>
        <w:t>109</w:t>
      </w:r>
      <w:r w:rsidRPr="00382832">
        <w:rPr>
          <w:rFonts w:eastAsia="Times New Roman" w:cs="Futura"/>
        </w:rPr>
        <w:t xml:space="preserve"> servicios</w:t>
      </w:r>
      <w:r>
        <w:rPr>
          <w:rFonts w:eastAsia="Times New Roman" w:cs="Futura"/>
        </w:rPr>
        <w:t xml:space="preserve"> </w:t>
      </w:r>
      <w:r w:rsidRPr="00382832">
        <w:rPr>
          <w:rFonts w:eastAsia="Times New Roman" w:cs="Futura"/>
        </w:rPr>
        <w:t xml:space="preserve">de educación Inicial de los cuales, 70 corresponden al Programa de Educación Inicial no Escolarizada que se opera a través de dos vertientes: el Consejo Nacional de Fomento Educativo (CONAFE) con 32 servicios en el estado y la Educación Indígena (SEQ) con 38; </w:t>
      </w:r>
      <w:r>
        <w:rPr>
          <w:rFonts w:eastAsia="Times New Roman" w:cs="Futura"/>
        </w:rPr>
        <w:t>se implementa en sesiones semanales grupales; proporciona orientación y apoyo a 5 mil 234 madres y padres de famil</w:t>
      </w:r>
      <w:r w:rsidR="00545DDD">
        <w:rPr>
          <w:rFonts w:eastAsia="Times New Roman" w:cs="Futura"/>
        </w:rPr>
        <w:t xml:space="preserve">ia de los menores de 0 a 3 años 11 meses de edad. </w:t>
      </w:r>
    </w:p>
    <w:p w14:paraId="7CE82B57" w14:textId="77777777" w:rsidR="006D148B" w:rsidRDefault="006D148B" w:rsidP="00244B40">
      <w:pPr>
        <w:rPr>
          <w:rFonts w:eastAsia="Times New Roman" w:cs="Futura"/>
        </w:rPr>
      </w:pPr>
      <w:r w:rsidRPr="00382832">
        <w:rPr>
          <w:rFonts w:eastAsia="Times New Roman" w:cs="Futura"/>
        </w:rPr>
        <w:t xml:space="preserve">En el ciclo escolar 2019-2020, los servicios de educación inicial no escolarizada </w:t>
      </w:r>
      <w:r>
        <w:rPr>
          <w:rFonts w:eastAsia="Times New Roman" w:cs="Futura"/>
        </w:rPr>
        <w:t>atendieron a 5 mil 263 niños(as)</w:t>
      </w:r>
      <w:r w:rsidRPr="00382832">
        <w:rPr>
          <w:rFonts w:eastAsia="Times New Roman" w:cs="Futura"/>
        </w:rPr>
        <w:t xml:space="preserve"> </w:t>
      </w:r>
      <w:r>
        <w:rPr>
          <w:rFonts w:eastAsia="Times New Roman" w:cs="Futura"/>
        </w:rPr>
        <w:t>en sus dos modalidades,</w:t>
      </w:r>
      <w:r w:rsidRPr="00382832">
        <w:rPr>
          <w:rFonts w:eastAsia="Times New Roman" w:cs="Futura"/>
        </w:rPr>
        <w:t xml:space="preserve"> 2 mil 648 son niños y 2 mil 615 son niñas</w:t>
      </w:r>
      <w:r>
        <w:rPr>
          <w:rFonts w:eastAsia="Times New Roman" w:cs="Futura"/>
        </w:rPr>
        <w:t>, la modalidad</w:t>
      </w:r>
      <w:r w:rsidRPr="00382832">
        <w:rPr>
          <w:rFonts w:eastAsia="Times New Roman" w:cs="Futura"/>
        </w:rPr>
        <w:t xml:space="preserve"> CONAFE </w:t>
      </w:r>
      <w:r>
        <w:rPr>
          <w:rFonts w:eastAsia="Times New Roman" w:cs="Futura"/>
        </w:rPr>
        <w:t>atendió</w:t>
      </w:r>
      <w:r w:rsidRPr="00382832">
        <w:rPr>
          <w:rFonts w:eastAsia="Times New Roman" w:cs="Futura"/>
        </w:rPr>
        <w:t xml:space="preserve"> a 4 mil 2</w:t>
      </w:r>
      <w:r>
        <w:rPr>
          <w:rFonts w:eastAsia="Times New Roman" w:cs="Futura"/>
        </w:rPr>
        <w:t xml:space="preserve">09 niños(as), y </w:t>
      </w:r>
      <w:r w:rsidRPr="00382832">
        <w:rPr>
          <w:rFonts w:eastAsia="Times New Roman" w:cs="Futura"/>
        </w:rPr>
        <w:t>a través del programa de educación indígena que coordina la Secretaria de Educación, atien</w:t>
      </w:r>
      <w:r>
        <w:rPr>
          <w:rFonts w:eastAsia="Times New Roman" w:cs="Futura"/>
        </w:rPr>
        <w:t>de a 1 mil 054 niños(as)</w:t>
      </w:r>
      <w:r w:rsidRPr="00382832">
        <w:rPr>
          <w:rFonts w:eastAsia="Times New Roman" w:cs="Futura"/>
        </w:rPr>
        <w:t xml:space="preserve">; </w:t>
      </w:r>
      <w:r>
        <w:rPr>
          <w:rFonts w:eastAsia="Times New Roman" w:cs="Futura"/>
        </w:rPr>
        <w:t>e</w:t>
      </w:r>
      <w:r w:rsidRPr="00382832">
        <w:rPr>
          <w:rFonts w:eastAsia="Times New Roman" w:cs="Futura"/>
        </w:rPr>
        <w:t xml:space="preserve">l programa no escolarizado </w:t>
      </w:r>
      <w:r>
        <w:rPr>
          <w:rFonts w:eastAsia="Times New Roman" w:cs="Futura"/>
        </w:rPr>
        <w:t xml:space="preserve">es atendido por 358 docentes, 311 en la modalidad CONAFE  y 47 en la indígena, </w:t>
      </w:r>
      <w:r w:rsidRPr="00382832">
        <w:rPr>
          <w:rFonts w:eastAsia="Times New Roman" w:cs="Futura"/>
        </w:rPr>
        <w:t>brinda</w:t>
      </w:r>
      <w:r>
        <w:rPr>
          <w:rFonts w:eastAsia="Times New Roman" w:cs="Futura"/>
        </w:rPr>
        <w:t>ndo</w:t>
      </w:r>
      <w:r w:rsidRPr="00382832">
        <w:rPr>
          <w:rFonts w:eastAsia="Times New Roman" w:cs="Futura"/>
        </w:rPr>
        <w:t xml:space="preserve"> servicio a 230 localidades</w:t>
      </w:r>
      <w:r>
        <w:rPr>
          <w:rFonts w:eastAsia="Times New Roman" w:cs="Futura"/>
        </w:rPr>
        <w:t>;</w:t>
      </w:r>
      <w:r w:rsidRPr="00382832">
        <w:rPr>
          <w:rFonts w:eastAsia="Times New Roman" w:cs="Futura"/>
        </w:rPr>
        <w:t xml:space="preserve"> </w:t>
      </w:r>
      <w:r>
        <w:rPr>
          <w:rFonts w:eastAsia="Times New Roman" w:cs="Futura"/>
        </w:rPr>
        <w:t xml:space="preserve">e integrando de esta manera a los niños de grupos vulnerables (indígenas, migrantes). </w:t>
      </w:r>
    </w:p>
    <w:p w14:paraId="10124029" w14:textId="75F61C24" w:rsidR="00C9487D" w:rsidRDefault="006D148B" w:rsidP="00FB22EA">
      <w:pPr>
        <w:rPr>
          <w:rFonts w:eastAsia="Times New Roman" w:cs="Futura"/>
        </w:rPr>
      </w:pPr>
      <w:r w:rsidRPr="0017484D">
        <w:rPr>
          <w:rFonts w:eastAsia="Times New Roman" w:cs="Futura"/>
        </w:rPr>
        <w:t>La Entidad cuenta con 39 servicios</w:t>
      </w:r>
      <w:r w:rsidRPr="00382832">
        <w:rPr>
          <w:rFonts w:eastAsia="Times New Roman" w:cs="Futura"/>
        </w:rPr>
        <w:t xml:space="preserve"> de Educación Inicial Escolarizada que corresponden a 11 </w:t>
      </w:r>
      <w:r w:rsidRPr="0017484D">
        <w:rPr>
          <w:rFonts w:eastAsia="Times New Roman" w:cs="Futura"/>
        </w:rPr>
        <w:t>públicos y 28</w:t>
      </w:r>
      <w:r>
        <w:rPr>
          <w:rFonts w:eastAsia="Times New Roman" w:cs="Futura"/>
        </w:rPr>
        <w:t xml:space="preserve"> escuelas privadas, la cual además de promover el desarrollo integral de los infantes, proporciona servicio médico básico y alimentación; de esta manera se atiende</w:t>
      </w:r>
      <w:r w:rsidRPr="00382832">
        <w:rPr>
          <w:rFonts w:eastAsia="Times New Roman" w:cs="Futura"/>
        </w:rPr>
        <w:t xml:space="preserve"> de forma directa a los niños; en el ciclo escolar 2019-2020, se atendió a 2 mil 459 niños(as), de los cuales 1 mil 267 son niños y 1 mil 192 son niñas; y son atendidos por u</w:t>
      </w:r>
      <w:r>
        <w:rPr>
          <w:rFonts w:eastAsia="Times New Roman" w:cs="Futura"/>
        </w:rPr>
        <w:t>n total de 38 docentes (Cuadro 2</w:t>
      </w:r>
      <w:r w:rsidRPr="00382832">
        <w:rPr>
          <w:rFonts w:eastAsia="Times New Roman" w:cs="Futura"/>
        </w:rPr>
        <w:t>).</w:t>
      </w:r>
    </w:p>
    <w:p w14:paraId="7DA27CF9" w14:textId="07F0259F" w:rsidR="00C40895" w:rsidRDefault="00C40895">
      <w:pPr>
        <w:spacing w:after="0" w:line="240" w:lineRule="auto"/>
        <w:jc w:val="left"/>
        <w:rPr>
          <w:rFonts w:eastAsia="Times New Roman" w:cs="Futura"/>
        </w:rPr>
      </w:pPr>
      <w:r>
        <w:rPr>
          <w:rFonts w:eastAsia="Times New Roman" w:cs="Futura"/>
        </w:rPr>
        <w:br w:type="page"/>
      </w:r>
    </w:p>
    <w:p w14:paraId="5E888AFB" w14:textId="77777777" w:rsidR="00E608A6" w:rsidRDefault="006D148B" w:rsidP="00E608A6">
      <w:pPr>
        <w:spacing w:after="0" w:line="240" w:lineRule="auto"/>
        <w:jc w:val="center"/>
        <w:rPr>
          <w:b/>
          <w:color w:val="4BACC6" w:themeColor="accent5"/>
        </w:rPr>
      </w:pPr>
      <w:r>
        <w:rPr>
          <w:b/>
          <w:color w:val="4BACC6" w:themeColor="accent5"/>
        </w:rPr>
        <w:lastRenderedPageBreak/>
        <w:t>Cuadro 2</w:t>
      </w:r>
      <w:r w:rsidRPr="00382832">
        <w:rPr>
          <w:b/>
          <w:color w:val="4BACC6" w:themeColor="accent5"/>
        </w:rPr>
        <w:t>. Matrícula, docentes y servicios/escuelas de educación inicial por modalidad</w:t>
      </w:r>
      <w:r w:rsidR="00E608A6">
        <w:rPr>
          <w:b/>
          <w:color w:val="4BACC6" w:themeColor="accent5"/>
        </w:rPr>
        <w:t xml:space="preserve"> </w:t>
      </w:r>
    </w:p>
    <w:p w14:paraId="785D5C1D" w14:textId="77504C35" w:rsidR="006D148B" w:rsidRDefault="006D148B" w:rsidP="00E608A6">
      <w:pPr>
        <w:spacing w:after="0" w:line="240" w:lineRule="auto"/>
        <w:jc w:val="center"/>
        <w:rPr>
          <w:b/>
          <w:color w:val="4BACC6" w:themeColor="accent5"/>
        </w:rPr>
      </w:pPr>
      <w:r w:rsidRPr="00382832">
        <w:rPr>
          <w:b/>
          <w:color w:val="4BACC6" w:themeColor="accent5"/>
        </w:rPr>
        <w:t>Ciclo escolar 2019-2020</w:t>
      </w:r>
    </w:p>
    <w:p w14:paraId="30A3ADBC" w14:textId="77777777" w:rsidR="006D148B" w:rsidRDefault="006D148B" w:rsidP="006D148B">
      <w:pPr>
        <w:spacing w:after="0"/>
        <w:jc w:val="center"/>
        <w:rPr>
          <w:rFonts w:asciiTheme="minorHAnsi" w:eastAsiaTheme="minorHAnsi" w:hAnsiTheme="minorHAnsi"/>
          <w:sz w:val="22"/>
          <w:szCs w:val="22"/>
          <w:lang w:val="es-MX" w:eastAsia="en-US"/>
        </w:rPr>
      </w:pPr>
    </w:p>
    <w:tbl>
      <w:tblPr>
        <w:tblW w:w="76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682"/>
        <w:gridCol w:w="1284"/>
        <w:gridCol w:w="1108"/>
        <w:gridCol w:w="968"/>
        <w:gridCol w:w="1340"/>
        <w:gridCol w:w="1273"/>
      </w:tblGrid>
      <w:tr w:rsidR="006D148B" w:rsidRPr="005F53A6" w14:paraId="0C47A7B4" w14:textId="77777777" w:rsidTr="00152649">
        <w:trPr>
          <w:trHeight w:val="402"/>
          <w:jc w:val="center"/>
        </w:trPr>
        <w:tc>
          <w:tcPr>
            <w:tcW w:w="1682" w:type="dxa"/>
            <w:vMerge w:val="restart"/>
            <w:shd w:val="clear" w:color="auto" w:fill="A6A6A6" w:themeFill="background1" w:themeFillShade="A6"/>
            <w:noWrap/>
            <w:vAlign w:val="center"/>
            <w:hideMark/>
          </w:tcPr>
          <w:p w14:paraId="124CE00A" w14:textId="49A9A106" w:rsidR="006D148B" w:rsidRPr="003E741B" w:rsidRDefault="003E741B" w:rsidP="003E741B">
            <w:pPr>
              <w:spacing w:line="240" w:lineRule="auto"/>
              <w:jc w:val="center"/>
              <w:rPr>
                <w:rFonts w:ascii="Futura Std Condensed Light" w:eastAsia="Calibri" w:hAnsi="Futura Std Condensed Light" w:cs="Calibri"/>
                <w:b/>
                <w:sz w:val="20"/>
                <w:szCs w:val="20"/>
              </w:rPr>
            </w:pPr>
            <w:r w:rsidRPr="003E741B">
              <w:rPr>
                <w:rFonts w:ascii="Futura Std Condensed Light" w:eastAsia="Calibri" w:hAnsi="Futura Std Condensed Light" w:cs="Calibri"/>
                <w:b/>
                <w:sz w:val="20"/>
                <w:szCs w:val="20"/>
              </w:rPr>
              <w:t>Modalidad</w:t>
            </w:r>
          </w:p>
        </w:tc>
        <w:tc>
          <w:tcPr>
            <w:tcW w:w="3360" w:type="dxa"/>
            <w:gridSpan w:val="3"/>
            <w:shd w:val="clear" w:color="auto" w:fill="A6A6A6" w:themeFill="background1" w:themeFillShade="A6"/>
            <w:noWrap/>
            <w:vAlign w:val="center"/>
            <w:hideMark/>
          </w:tcPr>
          <w:p w14:paraId="2A3B91D6" w14:textId="1DC19ACD" w:rsidR="006D148B" w:rsidRPr="003E741B" w:rsidRDefault="003E741B" w:rsidP="003E741B">
            <w:pPr>
              <w:spacing w:line="240" w:lineRule="auto"/>
              <w:jc w:val="center"/>
              <w:rPr>
                <w:rFonts w:ascii="Futura Std Condensed Light" w:eastAsia="Calibri" w:hAnsi="Futura Std Condensed Light" w:cs="Calibri"/>
                <w:b/>
                <w:sz w:val="20"/>
                <w:szCs w:val="20"/>
              </w:rPr>
            </w:pPr>
            <w:r w:rsidRPr="003E741B">
              <w:rPr>
                <w:rFonts w:ascii="Futura Std Condensed Light" w:eastAsia="Calibri" w:hAnsi="Futura Std Condensed Light" w:cs="Calibri"/>
                <w:b/>
                <w:sz w:val="20"/>
                <w:szCs w:val="20"/>
              </w:rPr>
              <w:t>Matrícula</w:t>
            </w:r>
          </w:p>
        </w:tc>
        <w:tc>
          <w:tcPr>
            <w:tcW w:w="1340" w:type="dxa"/>
            <w:vMerge w:val="restart"/>
            <w:shd w:val="clear" w:color="auto" w:fill="A6A6A6" w:themeFill="background1" w:themeFillShade="A6"/>
            <w:noWrap/>
            <w:vAlign w:val="center"/>
            <w:hideMark/>
          </w:tcPr>
          <w:p w14:paraId="4A568D0B" w14:textId="6BC314F1" w:rsidR="006D148B" w:rsidRPr="003E741B" w:rsidRDefault="003E741B" w:rsidP="003E741B">
            <w:pPr>
              <w:spacing w:line="240" w:lineRule="auto"/>
              <w:jc w:val="center"/>
              <w:rPr>
                <w:rFonts w:ascii="Futura Std Condensed Light" w:eastAsia="Calibri" w:hAnsi="Futura Std Condensed Light" w:cs="Calibri"/>
                <w:b/>
                <w:sz w:val="20"/>
                <w:szCs w:val="20"/>
              </w:rPr>
            </w:pPr>
            <w:r w:rsidRPr="003E741B">
              <w:rPr>
                <w:rFonts w:ascii="Futura Std Condensed Light" w:eastAsia="Calibri" w:hAnsi="Futura Std Condensed Light" w:cs="Calibri"/>
                <w:b/>
                <w:sz w:val="20"/>
                <w:szCs w:val="20"/>
              </w:rPr>
              <w:t>Docentes</w:t>
            </w:r>
          </w:p>
        </w:tc>
        <w:tc>
          <w:tcPr>
            <w:tcW w:w="1273" w:type="dxa"/>
            <w:vMerge w:val="restart"/>
            <w:shd w:val="clear" w:color="auto" w:fill="A6A6A6" w:themeFill="background1" w:themeFillShade="A6"/>
            <w:vAlign w:val="center"/>
            <w:hideMark/>
          </w:tcPr>
          <w:p w14:paraId="756DB1B7" w14:textId="0209AAC4" w:rsidR="006D148B" w:rsidRPr="003E741B" w:rsidRDefault="003E741B" w:rsidP="003E741B">
            <w:pPr>
              <w:spacing w:line="240" w:lineRule="auto"/>
              <w:jc w:val="center"/>
              <w:rPr>
                <w:rFonts w:ascii="Futura Std Condensed Light" w:eastAsia="Calibri" w:hAnsi="Futura Std Condensed Light" w:cs="Calibri"/>
                <w:b/>
                <w:sz w:val="16"/>
                <w:szCs w:val="20"/>
              </w:rPr>
            </w:pPr>
            <w:r w:rsidRPr="003E741B">
              <w:rPr>
                <w:rFonts w:ascii="Futura Std Condensed Light" w:eastAsia="Calibri" w:hAnsi="Futura Std Condensed Light" w:cs="Calibri"/>
                <w:b/>
                <w:sz w:val="16"/>
                <w:szCs w:val="20"/>
              </w:rPr>
              <w:t>Servicios</w:t>
            </w:r>
          </w:p>
        </w:tc>
      </w:tr>
      <w:tr w:rsidR="006D148B" w:rsidRPr="005F53A6" w14:paraId="183BFA87" w14:textId="77777777" w:rsidTr="00152649">
        <w:trPr>
          <w:trHeight w:val="402"/>
          <w:jc w:val="center"/>
        </w:trPr>
        <w:tc>
          <w:tcPr>
            <w:tcW w:w="1682" w:type="dxa"/>
            <w:vMerge/>
            <w:vAlign w:val="center"/>
            <w:hideMark/>
          </w:tcPr>
          <w:p w14:paraId="33F95F5C" w14:textId="77777777" w:rsidR="006D148B" w:rsidRPr="005F53A6" w:rsidRDefault="006D148B" w:rsidP="009E3B2F">
            <w:pPr>
              <w:spacing w:after="0" w:line="240" w:lineRule="auto"/>
              <w:jc w:val="left"/>
              <w:rPr>
                <w:rFonts w:ascii="Futura Bk BT" w:eastAsia="Times New Roman" w:hAnsi="Futura Bk BT" w:cs="Calibri"/>
                <w:b/>
                <w:bCs/>
                <w:color w:val="000000"/>
                <w:sz w:val="20"/>
                <w:szCs w:val="20"/>
                <w:lang w:val="es-MX" w:eastAsia="es-MX"/>
              </w:rPr>
            </w:pPr>
          </w:p>
        </w:tc>
        <w:tc>
          <w:tcPr>
            <w:tcW w:w="1284" w:type="dxa"/>
            <w:shd w:val="clear" w:color="auto" w:fill="A6A6A6" w:themeFill="background1" w:themeFillShade="A6"/>
            <w:noWrap/>
            <w:vAlign w:val="center"/>
            <w:hideMark/>
          </w:tcPr>
          <w:p w14:paraId="00CC2464" w14:textId="77777777" w:rsidR="006D148B" w:rsidRPr="003E741B" w:rsidRDefault="006D148B" w:rsidP="003E741B">
            <w:pPr>
              <w:spacing w:line="240" w:lineRule="auto"/>
              <w:jc w:val="center"/>
              <w:rPr>
                <w:rFonts w:ascii="Futura Std Condensed Light" w:eastAsia="Calibri" w:hAnsi="Futura Std Condensed Light" w:cs="Calibri"/>
                <w:b/>
                <w:sz w:val="20"/>
                <w:szCs w:val="20"/>
              </w:rPr>
            </w:pPr>
            <w:r w:rsidRPr="003E741B">
              <w:rPr>
                <w:rFonts w:ascii="Futura Std Condensed Light" w:eastAsia="Calibri" w:hAnsi="Futura Std Condensed Light" w:cs="Calibri"/>
                <w:b/>
                <w:sz w:val="20"/>
                <w:szCs w:val="20"/>
              </w:rPr>
              <w:t>Hombres</w:t>
            </w:r>
          </w:p>
        </w:tc>
        <w:tc>
          <w:tcPr>
            <w:tcW w:w="1108" w:type="dxa"/>
            <w:shd w:val="clear" w:color="auto" w:fill="A6A6A6" w:themeFill="background1" w:themeFillShade="A6"/>
            <w:noWrap/>
            <w:vAlign w:val="center"/>
            <w:hideMark/>
          </w:tcPr>
          <w:p w14:paraId="329CCD3F" w14:textId="77777777" w:rsidR="006D148B" w:rsidRPr="003E741B" w:rsidRDefault="006D148B" w:rsidP="003E741B">
            <w:pPr>
              <w:spacing w:line="240" w:lineRule="auto"/>
              <w:jc w:val="center"/>
              <w:rPr>
                <w:rFonts w:ascii="Futura Std Condensed Light" w:eastAsia="Calibri" w:hAnsi="Futura Std Condensed Light" w:cs="Calibri"/>
                <w:b/>
                <w:sz w:val="20"/>
                <w:szCs w:val="20"/>
              </w:rPr>
            </w:pPr>
            <w:r w:rsidRPr="003E741B">
              <w:rPr>
                <w:rFonts w:ascii="Futura Std Condensed Light" w:eastAsia="Calibri" w:hAnsi="Futura Std Condensed Light" w:cs="Calibri"/>
                <w:b/>
                <w:sz w:val="20"/>
                <w:szCs w:val="20"/>
              </w:rPr>
              <w:t>Mujeres</w:t>
            </w:r>
          </w:p>
        </w:tc>
        <w:tc>
          <w:tcPr>
            <w:tcW w:w="968" w:type="dxa"/>
            <w:shd w:val="clear" w:color="auto" w:fill="A6A6A6" w:themeFill="background1" w:themeFillShade="A6"/>
            <w:noWrap/>
            <w:vAlign w:val="center"/>
            <w:hideMark/>
          </w:tcPr>
          <w:p w14:paraId="447AB737" w14:textId="4F1CA438" w:rsidR="006D148B" w:rsidRPr="003E741B" w:rsidRDefault="003E741B" w:rsidP="003E741B">
            <w:pPr>
              <w:spacing w:line="240" w:lineRule="auto"/>
              <w:jc w:val="center"/>
              <w:rPr>
                <w:rFonts w:ascii="Futura Std Condensed Light" w:eastAsia="Calibri" w:hAnsi="Futura Std Condensed Light" w:cs="Calibri"/>
                <w:b/>
                <w:sz w:val="20"/>
                <w:szCs w:val="20"/>
              </w:rPr>
            </w:pPr>
            <w:r w:rsidRPr="003E741B">
              <w:rPr>
                <w:rFonts w:ascii="Futura Std Condensed Light" w:eastAsia="Calibri" w:hAnsi="Futura Std Condensed Light" w:cs="Calibri"/>
                <w:b/>
                <w:sz w:val="20"/>
                <w:szCs w:val="20"/>
              </w:rPr>
              <w:t>Total</w:t>
            </w:r>
          </w:p>
        </w:tc>
        <w:tc>
          <w:tcPr>
            <w:tcW w:w="1340" w:type="dxa"/>
            <w:vMerge/>
            <w:vAlign w:val="center"/>
            <w:hideMark/>
          </w:tcPr>
          <w:p w14:paraId="32D38958" w14:textId="77777777" w:rsidR="006D148B" w:rsidRPr="005F53A6" w:rsidRDefault="006D148B" w:rsidP="009E3B2F">
            <w:pPr>
              <w:spacing w:after="0" w:line="240" w:lineRule="auto"/>
              <w:jc w:val="left"/>
              <w:rPr>
                <w:rFonts w:ascii="Futura Bk BT" w:eastAsia="Times New Roman" w:hAnsi="Futura Bk BT" w:cs="Calibri"/>
                <w:b/>
                <w:bCs/>
                <w:color w:val="000000"/>
                <w:sz w:val="20"/>
                <w:szCs w:val="20"/>
                <w:lang w:val="es-MX" w:eastAsia="es-MX"/>
              </w:rPr>
            </w:pPr>
          </w:p>
        </w:tc>
        <w:tc>
          <w:tcPr>
            <w:tcW w:w="1273" w:type="dxa"/>
            <w:vMerge/>
            <w:vAlign w:val="center"/>
            <w:hideMark/>
          </w:tcPr>
          <w:p w14:paraId="7848B45B" w14:textId="77777777" w:rsidR="006D148B" w:rsidRPr="005F53A6" w:rsidRDefault="006D148B" w:rsidP="009E3B2F">
            <w:pPr>
              <w:spacing w:after="0" w:line="240" w:lineRule="auto"/>
              <w:jc w:val="left"/>
              <w:rPr>
                <w:rFonts w:ascii="Futura Bk BT" w:eastAsia="Times New Roman" w:hAnsi="Futura Bk BT" w:cs="Calibri"/>
                <w:b/>
                <w:bCs/>
                <w:color w:val="000000"/>
                <w:sz w:val="20"/>
                <w:szCs w:val="20"/>
                <w:lang w:val="es-MX" w:eastAsia="es-MX"/>
              </w:rPr>
            </w:pPr>
          </w:p>
        </w:tc>
      </w:tr>
      <w:tr w:rsidR="006D148B" w:rsidRPr="008B5E6D" w14:paraId="5C493E00" w14:textId="77777777" w:rsidTr="003E741B">
        <w:trPr>
          <w:trHeight w:val="600"/>
          <w:jc w:val="center"/>
        </w:trPr>
        <w:tc>
          <w:tcPr>
            <w:tcW w:w="1682" w:type="dxa"/>
            <w:shd w:val="clear" w:color="auto" w:fill="auto"/>
            <w:vAlign w:val="center"/>
            <w:hideMark/>
          </w:tcPr>
          <w:p w14:paraId="5006BD12" w14:textId="77777777" w:rsidR="006D148B" w:rsidRPr="003E741B" w:rsidRDefault="006D148B" w:rsidP="003E741B">
            <w:pPr>
              <w:spacing w:after="100" w:afterAutospacing="1" w:line="240" w:lineRule="auto"/>
              <w:rPr>
                <w:rFonts w:ascii="Futura Std Condensed Light" w:eastAsia="Calibri" w:hAnsi="Futura Std Condensed Light" w:cs="Calibri"/>
                <w:sz w:val="20"/>
                <w:szCs w:val="20"/>
              </w:rPr>
            </w:pPr>
            <w:r w:rsidRPr="003E741B">
              <w:rPr>
                <w:rFonts w:ascii="Futura Std Condensed Light" w:eastAsia="Calibri" w:hAnsi="Futura Std Condensed Light" w:cs="Calibri"/>
                <w:sz w:val="20"/>
                <w:szCs w:val="20"/>
              </w:rPr>
              <w:t xml:space="preserve">Educación Inicial </w:t>
            </w:r>
            <w:r w:rsidRPr="003E741B">
              <w:rPr>
                <w:rFonts w:ascii="Futura Std Condensed Light" w:eastAsia="Calibri" w:hAnsi="Futura Std Condensed Light" w:cs="Calibri"/>
                <w:sz w:val="20"/>
                <w:szCs w:val="20"/>
              </w:rPr>
              <w:br/>
              <w:t>no escolarizada</w:t>
            </w:r>
          </w:p>
        </w:tc>
        <w:tc>
          <w:tcPr>
            <w:tcW w:w="1284" w:type="dxa"/>
            <w:shd w:val="clear" w:color="auto" w:fill="auto"/>
            <w:noWrap/>
            <w:vAlign w:val="center"/>
            <w:hideMark/>
          </w:tcPr>
          <w:p w14:paraId="2D9045F0" w14:textId="77777777" w:rsidR="006D148B" w:rsidRPr="008B5E6D" w:rsidRDefault="006D148B" w:rsidP="003E741B">
            <w:pPr>
              <w:spacing w:after="0" w:line="240" w:lineRule="auto"/>
              <w:jc w:val="center"/>
              <w:rPr>
                <w:rFonts w:ascii="Futura Std Condensed Light" w:eastAsia="Calibri" w:hAnsi="Futura Std Condensed Light" w:cs="Calibri"/>
                <w:sz w:val="20"/>
                <w:szCs w:val="20"/>
              </w:rPr>
            </w:pPr>
            <w:r w:rsidRPr="008B5E6D">
              <w:rPr>
                <w:rFonts w:ascii="Futura Std Condensed Light" w:eastAsia="Calibri" w:hAnsi="Futura Std Condensed Light" w:cs="Calibri"/>
                <w:sz w:val="20"/>
                <w:szCs w:val="20"/>
              </w:rPr>
              <w:t>2,648</w:t>
            </w:r>
          </w:p>
        </w:tc>
        <w:tc>
          <w:tcPr>
            <w:tcW w:w="1108" w:type="dxa"/>
            <w:shd w:val="clear" w:color="auto" w:fill="auto"/>
            <w:noWrap/>
            <w:vAlign w:val="center"/>
            <w:hideMark/>
          </w:tcPr>
          <w:p w14:paraId="12D7DF55" w14:textId="77777777" w:rsidR="006D148B" w:rsidRPr="008B5E6D" w:rsidRDefault="006D148B" w:rsidP="003E741B">
            <w:pPr>
              <w:spacing w:after="0" w:line="240" w:lineRule="auto"/>
              <w:jc w:val="center"/>
              <w:rPr>
                <w:rFonts w:ascii="Futura Std Condensed Light" w:eastAsia="Calibri" w:hAnsi="Futura Std Condensed Light" w:cs="Calibri"/>
                <w:sz w:val="20"/>
                <w:szCs w:val="20"/>
              </w:rPr>
            </w:pPr>
            <w:r w:rsidRPr="008B5E6D">
              <w:rPr>
                <w:rFonts w:ascii="Futura Std Condensed Light" w:eastAsia="Calibri" w:hAnsi="Futura Std Condensed Light" w:cs="Calibri"/>
                <w:sz w:val="20"/>
                <w:szCs w:val="20"/>
              </w:rPr>
              <w:t>2,615</w:t>
            </w:r>
          </w:p>
        </w:tc>
        <w:tc>
          <w:tcPr>
            <w:tcW w:w="968" w:type="dxa"/>
            <w:shd w:val="clear" w:color="auto" w:fill="auto"/>
            <w:noWrap/>
            <w:vAlign w:val="center"/>
            <w:hideMark/>
          </w:tcPr>
          <w:p w14:paraId="7E9F7CDE" w14:textId="77777777" w:rsidR="006D148B" w:rsidRPr="008B5E6D" w:rsidRDefault="006D148B" w:rsidP="003E741B">
            <w:pPr>
              <w:spacing w:after="0" w:line="240" w:lineRule="auto"/>
              <w:jc w:val="center"/>
              <w:rPr>
                <w:rFonts w:ascii="Futura Std Condensed Light" w:eastAsia="Calibri" w:hAnsi="Futura Std Condensed Light" w:cs="Calibri"/>
                <w:sz w:val="20"/>
                <w:szCs w:val="20"/>
              </w:rPr>
            </w:pPr>
            <w:r w:rsidRPr="008B5E6D">
              <w:rPr>
                <w:rFonts w:ascii="Futura Std Condensed Light" w:eastAsia="Calibri" w:hAnsi="Futura Std Condensed Light" w:cs="Calibri"/>
                <w:sz w:val="20"/>
                <w:szCs w:val="20"/>
              </w:rPr>
              <w:t>5,263</w:t>
            </w:r>
          </w:p>
        </w:tc>
        <w:tc>
          <w:tcPr>
            <w:tcW w:w="1340" w:type="dxa"/>
            <w:shd w:val="clear" w:color="auto" w:fill="auto"/>
            <w:noWrap/>
            <w:vAlign w:val="center"/>
            <w:hideMark/>
          </w:tcPr>
          <w:p w14:paraId="47864B4E" w14:textId="77777777" w:rsidR="006D148B" w:rsidRPr="008B5E6D" w:rsidRDefault="006D148B" w:rsidP="003E741B">
            <w:pPr>
              <w:spacing w:after="0" w:line="240" w:lineRule="auto"/>
              <w:jc w:val="center"/>
              <w:rPr>
                <w:rFonts w:ascii="Futura Std Condensed Light" w:eastAsia="Calibri" w:hAnsi="Futura Std Condensed Light" w:cs="Calibri"/>
                <w:sz w:val="20"/>
                <w:szCs w:val="20"/>
              </w:rPr>
            </w:pPr>
            <w:r w:rsidRPr="008B5E6D">
              <w:rPr>
                <w:rFonts w:ascii="Futura Std Condensed Light" w:eastAsia="Calibri" w:hAnsi="Futura Std Condensed Light" w:cs="Calibri"/>
                <w:sz w:val="20"/>
                <w:szCs w:val="20"/>
              </w:rPr>
              <w:t>358</w:t>
            </w:r>
          </w:p>
        </w:tc>
        <w:tc>
          <w:tcPr>
            <w:tcW w:w="1273" w:type="dxa"/>
            <w:shd w:val="clear" w:color="auto" w:fill="auto"/>
            <w:noWrap/>
            <w:vAlign w:val="center"/>
            <w:hideMark/>
          </w:tcPr>
          <w:p w14:paraId="0603D684" w14:textId="77777777" w:rsidR="006D148B" w:rsidRPr="008B5E6D" w:rsidRDefault="006D148B" w:rsidP="003E741B">
            <w:pPr>
              <w:spacing w:after="0" w:line="240" w:lineRule="auto"/>
              <w:jc w:val="center"/>
              <w:rPr>
                <w:rFonts w:ascii="Futura Std Condensed Light" w:eastAsia="Calibri" w:hAnsi="Futura Std Condensed Light" w:cs="Calibri"/>
                <w:sz w:val="20"/>
                <w:szCs w:val="20"/>
              </w:rPr>
            </w:pPr>
            <w:r w:rsidRPr="008B5E6D">
              <w:rPr>
                <w:rFonts w:ascii="Futura Std Condensed Light" w:eastAsia="Calibri" w:hAnsi="Futura Std Condensed Light" w:cs="Calibri"/>
                <w:sz w:val="20"/>
                <w:szCs w:val="20"/>
              </w:rPr>
              <w:t>70</w:t>
            </w:r>
          </w:p>
        </w:tc>
      </w:tr>
      <w:tr w:rsidR="006D148B" w:rsidRPr="008B5E6D" w14:paraId="76AA90CC" w14:textId="77777777" w:rsidTr="003E741B">
        <w:trPr>
          <w:trHeight w:val="300"/>
          <w:jc w:val="center"/>
        </w:trPr>
        <w:tc>
          <w:tcPr>
            <w:tcW w:w="1682" w:type="dxa"/>
            <w:shd w:val="clear" w:color="auto" w:fill="auto"/>
            <w:vAlign w:val="center"/>
            <w:hideMark/>
          </w:tcPr>
          <w:p w14:paraId="00DC5AC0" w14:textId="7642B5EB" w:rsidR="006D148B" w:rsidRPr="003E741B" w:rsidRDefault="008B5E6D" w:rsidP="003E741B">
            <w:pPr>
              <w:spacing w:after="100" w:afterAutospacing="1" w:line="240" w:lineRule="auto"/>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CONAFE</w:t>
            </w:r>
          </w:p>
        </w:tc>
        <w:tc>
          <w:tcPr>
            <w:tcW w:w="1284" w:type="dxa"/>
            <w:shd w:val="clear" w:color="auto" w:fill="auto"/>
            <w:noWrap/>
            <w:vAlign w:val="center"/>
            <w:hideMark/>
          </w:tcPr>
          <w:p w14:paraId="20921593" w14:textId="77777777" w:rsidR="006D148B" w:rsidRPr="008B5E6D" w:rsidRDefault="006D148B" w:rsidP="003E741B">
            <w:pPr>
              <w:spacing w:after="0" w:line="240" w:lineRule="auto"/>
              <w:jc w:val="center"/>
              <w:rPr>
                <w:rFonts w:ascii="Futura Std Condensed Light" w:eastAsia="Calibri" w:hAnsi="Futura Std Condensed Light" w:cs="Calibri"/>
                <w:sz w:val="20"/>
                <w:szCs w:val="20"/>
              </w:rPr>
            </w:pPr>
            <w:r w:rsidRPr="008B5E6D">
              <w:rPr>
                <w:rFonts w:ascii="Futura Std Condensed Light" w:eastAsia="Calibri" w:hAnsi="Futura Std Condensed Light" w:cs="Calibri"/>
                <w:sz w:val="20"/>
                <w:szCs w:val="20"/>
              </w:rPr>
              <w:t>2,126</w:t>
            </w:r>
          </w:p>
        </w:tc>
        <w:tc>
          <w:tcPr>
            <w:tcW w:w="1108" w:type="dxa"/>
            <w:shd w:val="clear" w:color="auto" w:fill="auto"/>
            <w:noWrap/>
            <w:vAlign w:val="center"/>
            <w:hideMark/>
          </w:tcPr>
          <w:p w14:paraId="1F52671F" w14:textId="77777777" w:rsidR="006D148B" w:rsidRPr="008B5E6D" w:rsidRDefault="006D148B" w:rsidP="003E741B">
            <w:pPr>
              <w:spacing w:after="0" w:line="240" w:lineRule="auto"/>
              <w:jc w:val="center"/>
              <w:rPr>
                <w:rFonts w:ascii="Futura Std Condensed Light" w:eastAsia="Calibri" w:hAnsi="Futura Std Condensed Light" w:cs="Calibri"/>
                <w:sz w:val="20"/>
                <w:szCs w:val="20"/>
              </w:rPr>
            </w:pPr>
            <w:r w:rsidRPr="008B5E6D">
              <w:rPr>
                <w:rFonts w:ascii="Futura Std Condensed Light" w:eastAsia="Calibri" w:hAnsi="Futura Std Condensed Light" w:cs="Calibri"/>
                <w:sz w:val="20"/>
                <w:szCs w:val="20"/>
              </w:rPr>
              <w:t>2,083</w:t>
            </w:r>
          </w:p>
        </w:tc>
        <w:tc>
          <w:tcPr>
            <w:tcW w:w="968" w:type="dxa"/>
            <w:shd w:val="clear" w:color="auto" w:fill="auto"/>
            <w:noWrap/>
            <w:vAlign w:val="center"/>
            <w:hideMark/>
          </w:tcPr>
          <w:p w14:paraId="374AD083" w14:textId="77777777" w:rsidR="006D148B" w:rsidRPr="008B5E6D" w:rsidRDefault="006D148B" w:rsidP="003E741B">
            <w:pPr>
              <w:spacing w:after="0" w:line="240" w:lineRule="auto"/>
              <w:jc w:val="center"/>
              <w:rPr>
                <w:rFonts w:ascii="Futura Std Condensed Light" w:eastAsia="Calibri" w:hAnsi="Futura Std Condensed Light" w:cs="Calibri"/>
                <w:sz w:val="20"/>
                <w:szCs w:val="20"/>
              </w:rPr>
            </w:pPr>
            <w:r w:rsidRPr="008B5E6D">
              <w:rPr>
                <w:rFonts w:ascii="Futura Std Condensed Light" w:eastAsia="Calibri" w:hAnsi="Futura Std Condensed Light" w:cs="Calibri"/>
                <w:sz w:val="20"/>
                <w:szCs w:val="20"/>
              </w:rPr>
              <w:t>4,209</w:t>
            </w:r>
          </w:p>
        </w:tc>
        <w:tc>
          <w:tcPr>
            <w:tcW w:w="1340" w:type="dxa"/>
            <w:shd w:val="clear" w:color="auto" w:fill="auto"/>
            <w:noWrap/>
            <w:vAlign w:val="center"/>
            <w:hideMark/>
          </w:tcPr>
          <w:p w14:paraId="4C2E1548" w14:textId="77777777" w:rsidR="006D148B" w:rsidRPr="008B5E6D" w:rsidRDefault="006D148B" w:rsidP="003E741B">
            <w:pPr>
              <w:spacing w:after="0" w:line="240" w:lineRule="auto"/>
              <w:jc w:val="center"/>
              <w:rPr>
                <w:rFonts w:ascii="Futura Std Condensed Light" w:eastAsia="Calibri" w:hAnsi="Futura Std Condensed Light" w:cs="Calibri"/>
                <w:sz w:val="20"/>
                <w:szCs w:val="20"/>
              </w:rPr>
            </w:pPr>
            <w:r w:rsidRPr="008B5E6D">
              <w:rPr>
                <w:rFonts w:ascii="Futura Std Condensed Light" w:eastAsia="Calibri" w:hAnsi="Futura Std Condensed Light" w:cs="Calibri"/>
                <w:sz w:val="20"/>
                <w:szCs w:val="20"/>
              </w:rPr>
              <w:t>311</w:t>
            </w:r>
          </w:p>
        </w:tc>
        <w:tc>
          <w:tcPr>
            <w:tcW w:w="1273" w:type="dxa"/>
            <w:shd w:val="clear" w:color="auto" w:fill="auto"/>
            <w:noWrap/>
            <w:vAlign w:val="center"/>
            <w:hideMark/>
          </w:tcPr>
          <w:p w14:paraId="1EF34BAB" w14:textId="77777777" w:rsidR="006D148B" w:rsidRPr="008B5E6D" w:rsidRDefault="006D148B" w:rsidP="003E741B">
            <w:pPr>
              <w:spacing w:after="0" w:line="240" w:lineRule="auto"/>
              <w:jc w:val="center"/>
              <w:rPr>
                <w:rFonts w:ascii="Futura Std Condensed Light" w:eastAsia="Calibri" w:hAnsi="Futura Std Condensed Light" w:cs="Calibri"/>
                <w:sz w:val="20"/>
                <w:szCs w:val="20"/>
              </w:rPr>
            </w:pPr>
            <w:r w:rsidRPr="008B5E6D">
              <w:rPr>
                <w:rFonts w:ascii="Futura Std Condensed Light" w:eastAsia="Calibri" w:hAnsi="Futura Std Condensed Light" w:cs="Calibri"/>
                <w:sz w:val="20"/>
                <w:szCs w:val="20"/>
              </w:rPr>
              <w:t>32</w:t>
            </w:r>
          </w:p>
        </w:tc>
      </w:tr>
      <w:tr w:rsidR="006D148B" w:rsidRPr="008B5E6D" w14:paraId="14985B06" w14:textId="77777777" w:rsidTr="003E741B">
        <w:trPr>
          <w:trHeight w:val="300"/>
          <w:jc w:val="center"/>
        </w:trPr>
        <w:tc>
          <w:tcPr>
            <w:tcW w:w="1682" w:type="dxa"/>
            <w:shd w:val="clear" w:color="auto" w:fill="auto"/>
            <w:noWrap/>
            <w:vAlign w:val="bottom"/>
            <w:hideMark/>
          </w:tcPr>
          <w:p w14:paraId="0881CC5D" w14:textId="77777777" w:rsidR="006D148B" w:rsidRPr="003E741B" w:rsidRDefault="006D148B" w:rsidP="003E741B">
            <w:pPr>
              <w:spacing w:after="100" w:afterAutospacing="1" w:line="240" w:lineRule="auto"/>
              <w:rPr>
                <w:rFonts w:ascii="Futura Std Condensed Light" w:eastAsia="Calibri" w:hAnsi="Futura Std Condensed Light" w:cs="Calibri"/>
                <w:sz w:val="20"/>
                <w:szCs w:val="20"/>
              </w:rPr>
            </w:pPr>
            <w:r w:rsidRPr="003E741B">
              <w:rPr>
                <w:rFonts w:ascii="Futura Std Condensed Light" w:eastAsia="Calibri" w:hAnsi="Futura Std Condensed Light" w:cs="Calibri"/>
                <w:sz w:val="20"/>
                <w:szCs w:val="20"/>
              </w:rPr>
              <w:t>Indígena</w:t>
            </w:r>
          </w:p>
        </w:tc>
        <w:tc>
          <w:tcPr>
            <w:tcW w:w="1284" w:type="dxa"/>
            <w:shd w:val="clear" w:color="auto" w:fill="auto"/>
            <w:noWrap/>
            <w:vAlign w:val="center"/>
            <w:hideMark/>
          </w:tcPr>
          <w:p w14:paraId="7689AEC6" w14:textId="77777777" w:rsidR="006D148B" w:rsidRPr="008B5E6D" w:rsidRDefault="006D148B" w:rsidP="003E741B">
            <w:pPr>
              <w:spacing w:after="0" w:line="240" w:lineRule="auto"/>
              <w:jc w:val="center"/>
              <w:rPr>
                <w:rFonts w:ascii="Futura Std Condensed Light" w:eastAsia="Calibri" w:hAnsi="Futura Std Condensed Light" w:cs="Calibri"/>
                <w:sz w:val="20"/>
                <w:szCs w:val="20"/>
              </w:rPr>
            </w:pPr>
            <w:r w:rsidRPr="008B5E6D">
              <w:rPr>
                <w:rFonts w:ascii="Futura Std Condensed Light" w:eastAsia="Calibri" w:hAnsi="Futura Std Condensed Light" w:cs="Calibri"/>
                <w:sz w:val="20"/>
                <w:szCs w:val="20"/>
              </w:rPr>
              <w:t>522</w:t>
            </w:r>
          </w:p>
        </w:tc>
        <w:tc>
          <w:tcPr>
            <w:tcW w:w="1108" w:type="dxa"/>
            <w:shd w:val="clear" w:color="auto" w:fill="auto"/>
            <w:noWrap/>
            <w:vAlign w:val="center"/>
            <w:hideMark/>
          </w:tcPr>
          <w:p w14:paraId="1B02DB77" w14:textId="77777777" w:rsidR="006D148B" w:rsidRPr="008B5E6D" w:rsidRDefault="006D148B" w:rsidP="003E741B">
            <w:pPr>
              <w:spacing w:after="0" w:line="240" w:lineRule="auto"/>
              <w:jc w:val="center"/>
              <w:rPr>
                <w:rFonts w:ascii="Futura Std Condensed Light" w:eastAsia="Calibri" w:hAnsi="Futura Std Condensed Light" w:cs="Calibri"/>
                <w:sz w:val="20"/>
                <w:szCs w:val="20"/>
              </w:rPr>
            </w:pPr>
            <w:r w:rsidRPr="008B5E6D">
              <w:rPr>
                <w:rFonts w:ascii="Futura Std Condensed Light" w:eastAsia="Calibri" w:hAnsi="Futura Std Condensed Light" w:cs="Calibri"/>
                <w:sz w:val="20"/>
                <w:szCs w:val="20"/>
              </w:rPr>
              <w:t>532</w:t>
            </w:r>
          </w:p>
        </w:tc>
        <w:tc>
          <w:tcPr>
            <w:tcW w:w="968" w:type="dxa"/>
            <w:shd w:val="clear" w:color="auto" w:fill="auto"/>
            <w:noWrap/>
            <w:vAlign w:val="center"/>
            <w:hideMark/>
          </w:tcPr>
          <w:p w14:paraId="57AA2FAF" w14:textId="77777777" w:rsidR="006D148B" w:rsidRPr="008B5E6D" w:rsidRDefault="006D148B" w:rsidP="003E741B">
            <w:pPr>
              <w:spacing w:after="0" w:line="240" w:lineRule="auto"/>
              <w:jc w:val="center"/>
              <w:rPr>
                <w:rFonts w:ascii="Futura Std Condensed Light" w:eastAsia="Calibri" w:hAnsi="Futura Std Condensed Light" w:cs="Calibri"/>
                <w:sz w:val="20"/>
                <w:szCs w:val="20"/>
              </w:rPr>
            </w:pPr>
            <w:r w:rsidRPr="008B5E6D">
              <w:rPr>
                <w:rFonts w:ascii="Futura Std Condensed Light" w:eastAsia="Calibri" w:hAnsi="Futura Std Condensed Light" w:cs="Calibri"/>
                <w:sz w:val="20"/>
                <w:szCs w:val="20"/>
              </w:rPr>
              <w:t>1,054</w:t>
            </w:r>
          </w:p>
        </w:tc>
        <w:tc>
          <w:tcPr>
            <w:tcW w:w="1340" w:type="dxa"/>
            <w:shd w:val="clear" w:color="auto" w:fill="auto"/>
            <w:noWrap/>
            <w:vAlign w:val="center"/>
            <w:hideMark/>
          </w:tcPr>
          <w:p w14:paraId="36F4230B" w14:textId="77777777" w:rsidR="006D148B" w:rsidRPr="008B5E6D" w:rsidRDefault="006D148B" w:rsidP="003E741B">
            <w:pPr>
              <w:spacing w:after="0" w:line="240" w:lineRule="auto"/>
              <w:jc w:val="center"/>
              <w:rPr>
                <w:rFonts w:ascii="Futura Std Condensed Light" w:eastAsia="Calibri" w:hAnsi="Futura Std Condensed Light" w:cs="Calibri"/>
                <w:sz w:val="20"/>
                <w:szCs w:val="20"/>
              </w:rPr>
            </w:pPr>
            <w:r w:rsidRPr="008B5E6D">
              <w:rPr>
                <w:rFonts w:ascii="Futura Std Condensed Light" w:eastAsia="Calibri" w:hAnsi="Futura Std Condensed Light" w:cs="Calibri"/>
                <w:sz w:val="20"/>
                <w:szCs w:val="20"/>
              </w:rPr>
              <w:t>47</w:t>
            </w:r>
          </w:p>
        </w:tc>
        <w:tc>
          <w:tcPr>
            <w:tcW w:w="1273" w:type="dxa"/>
            <w:shd w:val="clear" w:color="auto" w:fill="auto"/>
            <w:noWrap/>
            <w:vAlign w:val="center"/>
            <w:hideMark/>
          </w:tcPr>
          <w:p w14:paraId="4EF12800" w14:textId="77777777" w:rsidR="006D148B" w:rsidRPr="008B5E6D" w:rsidRDefault="006D148B" w:rsidP="003E741B">
            <w:pPr>
              <w:spacing w:after="0" w:line="240" w:lineRule="auto"/>
              <w:jc w:val="center"/>
              <w:rPr>
                <w:rFonts w:ascii="Futura Std Condensed Light" w:eastAsia="Calibri" w:hAnsi="Futura Std Condensed Light" w:cs="Calibri"/>
                <w:sz w:val="20"/>
                <w:szCs w:val="20"/>
              </w:rPr>
            </w:pPr>
            <w:r w:rsidRPr="008B5E6D">
              <w:rPr>
                <w:rFonts w:ascii="Futura Std Condensed Light" w:eastAsia="Calibri" w:hAnsi="Futura Std Condensed Light" w:cs="Calibri"/>
                <w:sz w:val="20"/>
                <w:szCs w:val="20"/>
              </w:rPr>
              <w:t>38</w:t>
            </w:r>
          </w:p>
        </w:tc>
      </w:tr>
      <w:tr w:rsidR="006D148B" w:rsidRPr="008B5E6D" w14:paraId="24A45E50" w14:textId="77777777" w:rsidTr="00152649">
        <w:trPr>
          <w:trHeight w:val="199"/>
          <w:jc w:val="center"/>
        </w:trPr>
        <w:tc>
          <w:tcPr>
            <w:tcW w:w="1682" w:type="dxa"/>
            <w:shd w:val="clear" w:color="auto" w:fill="A6A6A6" w:themeFill="background1" w:themeFillShade="A6"/>
            <w:vAlign w:val="center"/>
            <w:hideMark/>
          </w:tcPr>
          <w:p w14:paraId="33E8B28C" w14:textId="77777777" w:rsidR="006D148B" w:rsidRPr="003E741B" w:rsidRDefault="006D148B" w:rsidP="003E741B">
            <w:pPr>
              <w:spacing w:after="100" w:afterAutospacing="1" w:line="240" w:lineRule="auto"/>
              <w:rPr>
                <w:rFonts w:ascii="Futura Std Condensed Light" w:eastAsia="Calibri" w:hAnsi="Futura Std Condensed Light" w:cs="Calibri"/>
                <w:sz w:val="20"/>
                <w:szCs w:val="20"/>
              </w:rPr>
            </w:pPr>
            <w:r w:rsidRPr="003E741B">
              <w:rPr>
                <w:rFonts w:ascii="Futura Std Condensed Light" w:eastAsia="Calibri" w:hAnsi="Futura Std Condensed Light" w:cs="Calibri"/>
                <w:sz w:val="20"/>
                <w:szCs w:val="20"/>
              </w:rPr>
              <w:t> </w:t>
            </w:r>
          </w:p>
        </w:tc>
        <w:tc>
          <w:tcPr>
            <w:tcW w:w="1284" w:type="dxa"/>
            <w:shd w:val="clear" w:color="auto" w:fill="A6A6A6" w:themeFill="background1" w:themeFillShade="A6"/>
            <w:noWrap/>
            <w:vAlign w:val="center"/>
            <w:hideMark/>
          </w:tcPr>
          <w:p w14:paraId="011675A3" w14:textId="77777777" w:rsidR="006D148B" w:rsidRPr="003E741B" w:rsidRDefault="006D148B" w:rsidP="003E741B">
            <w:pPr>
              <w:spacing w:after="100" w:afterAutospacing="1" w:line="240" w:lineRule="auto"/>
              <w:jc w:val="center"/>
              <w:rPr>
                <w:rFonts w:ascii="Futura Std Condensed Light" w:eastAsia="Calibri" w:hAnsi="Futura Std Condensed Light" w:cs="Calibri"/>
                <w:sz w:val="20"/>
                <w:szCs w:val="20"/>
              </w:rPr>
            </w:pPr>
            <w:r w:rsidRPr="003E741B">
              <w:rPr>
                <w:rFonts w:ascii="Futura Std Condensed Light" w:eastAsia="Calibri" w:hAnsi="Futura Std Condensed Light" w:cs="Calibri"/>
                <w:sz w:val="20"/>
                <w:szCs w:val="20"/>
              </w:rPr>
              <w:t> </w:t>
            </w:r>
          </w:p>
        </w:tc>
        <w:tc>
          <w:tcPr>
            <w:tcW w:w="1108" w:type="dxa"/>
            <w:shd w:val="clear" w:color="auto" w:fill="A6A6A6" w:themeFill="background1" w:themeFillShade="A6"/>
            <w:noWrap/>
            <w:vAlign w:val="center"/>
            <w:hideMark/>
          </w:tcPr>
          <w:p w14:paraId="55AB9A59" w14:textId="77777777" w:rsidR="006D148B" w:rsidRPr="003E741B" w:rsidRDefault="006D148B" w:rsidP="003E741B">
            <w:pPr>
              <w:spacing w:after="100" w:afterAutospacing="1" w:line="240" w:lineRule="auto"/>
              <w:jc w:val="center"/>
              <w:rPr>
                <w:rFonts w:ascii="Futura Std Condensed Light" w:eastAsia="Calibri" w:hAnsi="Futura Std Condensed Light" w:cs="Calibri"/>
                <w:sz w:val="20"/>
                <w:szCs w:val="20"/>
              </w:rPr>
            </w:pPr>
            <w:r w:rsidRPr="003E741B">
              <w:rPr>
                <w:rFonts w:ascii="Futura Std Condensed Light" w:eastAsia="Calibri" w:hAnsi="Futura Std Condensed Light" w:cs="Calibri"/>
                <w:sz w:val="20"/>
                <w:szCs w:val="20"/>
              </w:rPr>
              <w:t> </w:t>
            </w:r>
          </w:p>
        </w:tc>
        <w:tc>
          <w:tcPr>
            <w:tcW w:w="968" w:type="dxa"/>
            <w:shd w:val="clear" w:color="auto" w:fill="A6A6A6" w:themeFill="background1" w:themeFillShade="A6"/>
            <w:noWrap/>
            <w:vAlign w:val="center"/>
            <w:hideMark/>
          </w:tcPr>
          <w:p w14:paraId="334D21A6" w14:textId="77777777" w:rsidR="006D148B" w:rsidRPr="003E741B" w:rsidRDefault="006D148B" w:rsidP="003E741B">
            <w:pPr>
              <w:spacing w:after="100" w:afterAutospacing="1" w:line="240" w:lineRule="auto"/>
              <w:jc w:val="center"/>
              <w:rPr>
                <w:rFonts w:ascii="Futura Std Condensed Light" w:eastAsia="Calibri" w:hAnsi="Futura Std Condensed Light" w:cs="Calibri"/>
                <w:sz w:val="20"/>
                <w:szCs w:val="20"/>
              </w:rPr>
            </w:pPr>
            <w:r w:rsidRPr="003E741B">
              <w:rPr>
                <w:rFonts w:ascii="Futura Std Condensed Light" w:eastAsia="Calibri" w:hAnsi="Futura Std Condensed Light" w:cs="Calibri"/>
                <w:sz w:val="20"/>
                <w:szCs w:val="20"/>
              </w:rPr>
              <w:t> </w:t>
            </w:r>
          </w:p>
        </w:tc>
        <w:tc>
          <w:tcPr>
            <w:tcW w:w="1340" w:type="dxa"/>
            <w:shd w:val="clear" w:color="auto" w:fill="A6A6A6" w:themeFill="background1" w:themeFillShade="A6"/>
            <w:noWrap/>
            <w:vAlign w:val="center"/>
            <w:hideMark/>
          </w:tcPr>
          <w:p w14:paraId="3110B007" w14:textId="77777777" w:rsidR="006D148B" w:rsidRPr="003E741B" w:rsidRDefault="006D148B" w:rsidP="003E741B">
            <w:pPr>
              <w:spacing w:after="100" w:afterAutospacing="1" w:line="240" w:lineRule="auto"/>
              <w:jc w:val="center"/>
              <w:rPr>
                <w:rFonts w:ascii="Futura Std Condensed Light" w:eastAsia="Calibri" w:hAnsi="Futura Std Condensed Light" w:cs="Calibri"/>
                <w:sz w:val="20"/>
                <w:szCs w:val="20"/>
              </w:rPr>
            </w:pPr>
            <w:r w:rsidRPr="003E741B">
              <w:rPr>
                <w:rFonts w:ascii="Futura Std Condensed Light" w:eastAsia="Calibri" w:hAnsi="Futura Std Condensed Light" w:cs="Calibri"/>
                <w:sz w:val="20"/>
                <w:szCs w:val="20"/>
              </w:rPr>
              <w:t> </w:t>
            </w:r>
          </w:p>
        </w:tc>
        <w:tc>
          <w:tcPr>
            <w:tcW w:w="1273" w:type="dxa"/>
            <w:shd w:val="clear" w:color="auto" w:fill="A6A6A6" w:themeFill="background1" w:themeFillShade="A6"/>
            <w:noWrap/>
            <w:vAlign w:val="center"/>
            <w:hideMark/>
          </w:tcPr>
          <w:p w14:paraId="683DC466" w14:textId="77777777" w:rsidR="006D148B" w:rsidRPr="003E741B" w:rsidRDefault="006D148B" w:rsidP="003E741B">
            <w:pPr>
              <w:spacing w:after="100" w:afterAutospacing="1" w:line="240" w:lineRule="auto"/>
              <w:jc w:val="center"/>
              <w:rPr>
                <w:rFonts w:ascii="Futura Std Condensed Light" w:eastAsia="Calibri" w:hAnsi="Futura Std Condensed Light" w:cs="Calibri"/>
                <w:sz w:val="20"/>
                <w:szCs w:val="20"/>
              </w:rPr>
            </w:pPr>
            <w:r w:rsidRPr="003E741B">
              <w:rPr>
                <w:rFonts w:ascii="Futura Std Condensed Light" w:eastAsia="Calibri" w:hAnsi="Futura Std Condensed Light" w:cs="Calibri"/>
                <w:sz w:val="20"/>
                <w:szCs w:val="20"/>
              </w:rPr>
              <w:t> </w:t>
            </w:r>
          </w:p>
        </w:tc>
      </w:tr>
      <w:tr w:rsidR="006D148B" w:rsidRPr="008B5E6D" w14:paraId="38CBE415" w14:textId="77777777" w:rsidTr="003E741B">
        <w:trPr>
          <w:trHeight w:val="600"/>
          <w:jc w:val="center"/>
        </w:trPr>
        <w:tc>
          <w:tcPr>
            <w:tcW w:w="1682" w:type="dxa"/>
            <w:shd w:val="clear" w:color="auto" w:fill="auto"/>
            <w:vAlign w:val="center"/>
            <w:hideMark/>
          </w:tcPr>
          <w:p w14:paraId="50C2F40F" w14:textId="77777777" w:rsidR="006D148B" w:rsidRPr="003E741B" w:rsidRDefault="006D148B" w:rsidP="003E741B">
            <w:pPr>
              <w:spacing w:after="100" w:afterAutospacing="1" w:line="240" w:lineRule="auto"/>
              <w:rPr>
                <w:rFonts w:ascii="Futura Std Condensed Light" w:eastAsia="Calibri" w:hAnsi="Futura Std Condensed Light" w:cs="Calibri"/>
                <w:sz w:val="20"/>
                <w:szCs w:val="20"/>
              </w:rPr>
            </w:pPr>
            <w:r w:rsidRPr="003E741B">
              <w:rPr>
                <w:rFonts w:ascii="Futura Std Condensed Light" w:eastAsia="Calibri" w:hAnsi="Futura Std Condensed Light" w:cs="Calibri"/>
                <w:sz w:val="20"/>
                <w:szCs w:val="20"/>
              </w:rPr>
              <w:t>Educación Inicial</w:t>
            </w:r>
            <w:r w:rsidRPr="003E741B">
              <w:rPr>
                <w:rFonts w:ascii="Futura Std Condensed Light" w:eastAsia="Calibri" w:hAnsi="Futura Std Condensed Light" w:cs="Calibri"/>
                <w:sz w:val="20"/>
                <w:szCs w:val="20"/>
              </w:rPr>
              <w:br/>
              <w:t>escolarizada</w:t>
            </w:r>
          </w:p>
        </w:tc>
        <w:tc>
          <w:tcPr>
            <w:tcW w:w="1284" w:type="dxa"/>
            <w:shd w:val="clear" w:color="auto" w:fill="auto"/>
            <w:noWrap/>
            <w:vAlign w:val="center"/>
            <w:hideMark/>
          </w:tcPr>
          <w:p w14:paraId="6219CAD9" w14:textId="77777777" w:rsidR="006D148B" w:rsidRPr="008B5E6D" w:rsidRDefault="006D148B" w:rsidP="003E741B">
            <w:pPr>
              <w:spacing w:after="0" w:line="240" w:lineRule="auto"/>
              <w:jc w:val="center"/>
              <w:rPr>
                <w:rFonts w:ascii="Futura Std Condensed Light" w:eastAsia="Calibri" w:hAnsi="Futura Std Condensed Light" w:cs="Calibri"/>
                <w:sz w:val="20"/>
                <w:szCs w:val="20"/>
              </w:rPr>
            </w:pPr>
            <w:r w:rsidRPr="008B5E6D">
              <w:rPr>
                <w:rFonts w:ascii="Futura Std Condensed Light" w:eastAsia="Calibri" w:hAnsi="Futura Std Condensed Light" w:cs="Calibri"/>
                <w:sz w:val="20"/>
                <w:szCs w:val="20"/>
              </w:rPr>
              <w:t>1,267</w:t>
            </w:r>
          </w:p>
        </w:tc>
        <w:tc>
          <w:tcPr>
            <w:tcW w:w="1108" w:type="dxa"/>
            <w:shd w:val="clear" w:color="auto" w:fill="auto"/>
            <w:noWrap/>
            <w:vAlign w:val="center"/>
            <w:hideMark/>
          </w:tcPr>
          <w:p w14:paraId="1287DA26" w14:textId="77777777" w:rsidR="006D148B" w:rsidRPr="008B5E6D" w:rsidRDefault="006D148B" w:rsidP="003E741B">
            <w:pPr>
              <w:spacing w:after="0" w:line="240" w:lineRule="auto"/>
              <w:jc w:val="center"/>
              <w:rPr>
                <w:rFonts w:ascii="Futura Std Condensed Light" w:eastAsia="Calibri" w:hAnsi="Futura Std Condensed Light" w:cs="Calibri"/>
                <w:sz w:val="20"/>
                <w:szCs w:val="20"/>
              </w:rPr>
            </w:pPr>
            <w:r w:rsidRPr="008B5E6D">
              <w:rPr>
                <w:rFonts w:ascii="Futura Std Condensed Light" w:eastAsia="Calibri" w:hAnsi="Futura Std Condensed Light" w:cs="Calibri"/>
                <w:sz w:val="20"/>
                <w:szCs w:val="20"/>
              </w:rPr>
              <w:t>1,192</w:t>
            </w:r>
          </w:p>
        </w:tc>
        <w:tc>
          <w:tcPr>
            <w:tcW w:w="968" w:type="dxa"/>
            <w:shd w:val="clear" w:color="auto" w:fill="auto"/>
            <w:noWrap/>
            <w:vAlign w:val="center"/>
            <w:hideMark/>
          </w:tcPr>
          <w:p w14:paraId="00C8AC31" w14:textId="77777777" w:rsidR="006D148B" w:rsidRPr="008B5E6D" w:rsidRDefault="006D148B" w:rsidP="003E741B">
            <w:pPr>
              <w:spacing w:after="0" w:line="240" w:lineRule="auto"/>
              <w:jc w:val="center"/>
              <w:rPr>
                <w:rFonts w:ascii="Futura Std Condensed Light" w:eastAsia="Calibri" w:hAnsi="Futura Std Condensed Light" w:cs="Calibri"/>
                <w:sz w:val="20"/>
                <w:szCs w:val="20"/>
              </w:rPr>
            </w:pPr>
            <w:r w:rsidRPr="008B5E6D">
              <w:rPr>
                <w:rFonts w:ascii="Futura Std Condensed Light" w:eastAsia="Calibri" w:hAnsi="Futura Std Condensed Light" w:cs="Calibri"/>
                <w:sz w:val="20"/>
                <w:szCs w:val="20"/>
              </w:rPr>
              <w:t>2,459</w:t>
            </w:r>
          </w:p>
        </w:tc>
        <w:tc>
          <w:tcPr>
            <w:tcW w:w="1340" w:type="dxa"/>
            <w:shd w:val="clear" w:color="auto" w:fill="auto"/>
            <w:noWrap/>
            <w:vAlign w:val="center"/>
            <w:hideMark/>
          </w:tcPr>
          <w:p w14:paraId="2D8272BF" w14:textId="77777777" w:rsidR="006D148B" w:rsidRPr="008B5E6D" w:rsidRDefault="006D148B" w:rsidP="003E741B">
            <w:pPr>
              <w:spacing w:after="0" w:line="240" w:lineRule="auto"/>
              <w:jc w:val="center"/>
              <w:rPr>
                <w:rFonts w:ascii="Futura Std Condensed Light" w:eastAsia="Calibri" w:hAnsi="Futura Std Condensed Light" w:cs="Calibri"/>
                <w:sz w:val="20"/>
                <w:szCs w:val="20"/>
              </w:rPr>
            </w:pPr>
            <w:r w:rsidRPr="008B5E6D">
              <w:rPr>
                <w:rFonts w:ascii="Futura Std Condensed Light" w:eastAsia="Calibri" w:hAnsi="Futura Std Condensed Light" w:cs="Calibri"/>
                <w:sz w:val="20"/>
                <w:szCs w:val="20"/>
              </w:rPr>
              <w:t>38</w:t>
            </w:r>
          </w:p>
        </w:tc>
        <w:tc>
          <w:tcPr>
            <w:tcW w:w="1273" w:type="dxa"/>
            <w:shd w:val="clear" w:color="auto" w:fill="auto"/>
            <w:noWrap/>
            <w:vAlign w:val="center"/>
            <w:hideMark/>
          </w:tcPr>
          <w:p w14:paraId="0078E3E8" w14:textId="77777777" w:rsidR="006D148B" w:rsidRPr="008B5E6D" w:rsidRDefault="006D148B" w:rsidP="003E741B">
            <w:pPr>
              <w:spacing w:after="0" w:line="240" w:lineRule="auto"/>
              <w:jc w:val="center"/>
              <w:rPr>
                <w:rFonts w:ascii="Futura Std Condensed Light" w:eastAsia="Calibri" w:hAnsi="Futura Std Condensed Light" w:cs="Calibri"/>
                <w:sz w:val="20"/>
                <w:szCs w:val="20"/>
              </w:rPr>
            </w:pPr>
            <w:r w:rsidRPr="008B5E6D">
              <w:rPr>
                <w:rFonts w:ascii="Futura Std Condensed Light" w:eastAsia="Calibri" w:hAnsi="Futura Std Condensed Light" w:cs="Calibri"/>
                <w:sz w:val="20"/>
                <w:szCs w:val="20"/>
              </w:rPr>
              <w:t>39</w:t>
            </w:r>
          </w:p>
        </w:tc>
      </w:tr>
      <w:tr w:rsidR="006D148B" w:rsidRPr="008B5E6D" w14:paraId="7FB384F9" w14:textId="77777777" w:rsidTr="003E741B">
        <w:trPr>
          <w:trHeight w:val="402"/>
          <w:jc w:val="center"/>
        </w:trPr>
        <w:tc>
          <w:tcPr>
            <w:tcW w:w="1682" w:type="dxa"/>
            <w:shd w:val="clear" w:color="auto" w:fill="auto"/>
            <w:noWrap/>
            <w:vAlign w:val="center"/>
            <w:hideMark/>
          </w:tcPr>
          <w:p w14:paraId="00F9BC95" w14:textId="1CB1C85F" w:rsidR="006D148B" w:rsidRPr="008B5E6D" w:rsidRDefault="003E741B" w:rsidP="00AC4CE6">
            <w:pPr>
              <w:spacing w:after="0" w:line="240" w:lineRule="auto"/>
              <w:jc w:val="left"/>
              <w:rPr>
                <w:rFonts w:ascii="Futura Std Condensed Light" w:eastAsia="Calibri" w:hAnsi="Futura Std Condensed Light" w:cs="Calibri"/>
                <w:sz w:val="20"/>
                <w:szCs w:val="20"/>
              </w:rPr>
            </w:pPr>
            <w:r w:rsidRPr="008B5E6D">
              <w:rPr>
                <w:rFonts w:ascii="Futura Std Condensed Light" w:eastAsia="Calibri" w:hAnsi="Futura Std Condensed Light" w:cs="Calibri"/>
                <w:sz w:val="20"/>
                <w:szCs w:val="20"/>
              </w:rPr>
              <w:t>Total</w:t>
            </w:r>
          </w:p>
        </w:tc>
        <w:tc>
          <w:tcPr>
            <w:tcW w:w="1284" w:type="dxa"/>
            <w:shd w:val="clear" w:color="auto" w:fill="auto"/>
            <w:noWrap/>
            <w:vAlign w:val="center"/>
            <w:hideMark/>
          </w:tcPr>
          <w:p w14:paraId="07C45748" w14:textId="77777777" w:rsidR="006D148B" w:rsidRPr="008B5E6D" w:rsidRDefault="006D148B" w:rsidP="003E741B">
            <w:pPr>
              <w:spacing w:after="0" w:line="240" w:lineRule="auto"/>
              <w:jc w:val="center"/>
              <w:rPr>
                <w:rFonts w:ascii="Futura Std Condensed Light" w:eastAsia="Calibri" w:hAnsi="Futura Std Condensed Light" w:cs="Calibri"/>
                <w:sz w:val="20"/>
                <w:szCs w:val="20"/>
              </w:rPr>
            </w:pPr>
            <w:r w:rsidRPr="008B5E6D">
              <w:rPr>
                <w:rFonts w:ascii="Futura Std Condensed Light" w:eastAsia="Calibri" w:hAnsi="Futura Std Condensed Light" w:cs="Calibri"/>
                <w:sz w:val="20"/>
                <w:szCs w:val="20"/>
              </w:rPr>
              <w:t>3,915</w:t>
            </w:r>
          </w:p>
        </w:tc>
        <w:tc>
          <w:tcPr>
            <w:tcW w:w="1108" w:type="dxa"/>
            <w:shd w:val="clear" w:color="auto" w:fill="auto"/>
            <w:noWrap/>
            <w:vAlign w:val="center"/>
            <w:hideMark/>
          </w:tcPr>
          <w:p w14:paraId="12550CA6" w14:textId="77777777" w:rsidR="006D148B" w:rsidRPr="008B5E6D" w:rsidRDefault="006D148B" w:rsidP="003E741B">
            <w:pPr>
              <w:spacing w:after="0" w:line="240" w:lineRule="auto"/>
              <w:jc w:val="center"/>
              <w:rPr>
                <w:rFonts w:ascii="Futura Std Condensed Light" w:eastAsia="Calibri" w:hAnsi="Futura Std Condensed Light" w:cs="Calibri"/>
                <w:sz w:val="20"/>
                <w:szCs w:val="20"/>
              </w:rPr>
            </w:pPr>
            <w:r w:rsidRPr="008B5E6D">
              <w:rPr>
                <w:rFonts w:ascii="Futura Std Condensed Light" w:eastAsia="Calibri" w:hAnsi="Futura Std Condensed Light" w:cs="Calibri"/>
                <w:sz w:val="20"/>
                <w:szCs w:val="20"/>
              </w:rPr>
              <w:t>3,807</w:t>
            </w:r>
          </w:p>
        </w:tc>
        <w:tc>
          <w:tcPr>
            <w:tcW w:w="968" w:type="dxa"/>
            <w:shd w:val="clear" w:color="auto" w:fill="auto"/>
            <w:noWrap/>
            <w:vAlign w:val="center"/>
            <w:hideMark/>
          </w:tcPr>
          <w:p w14:paraId="63D2F0B7" w14:textId="77777777" w:rsidR="006D148B" w:rsidRPr="008B5E6D" w:rsidRDefault="006D148B" w:rsidP="003E741B">
            <w:pPr>
              <w:spacing w:after="0" w:line="240" w:lineRule="auto"/>
              <w:jc w:val="center"/>
              <w:rPr>
                <w:rFonts w:ascii="Futura Std Condensed Light" w:eastAsia="Calibri" w:hAnsi="Futura Std Condensed Light" w:cs="Calibri"/>
                <w:sz w:val="20"/>
                <w:szCs w:val="20"/>
              </w:rPr>
            </w:pPr>
            <w:r w:rsidRPr="008B5E6D">
              <w:rPr>
                <w:rFonts w:ascii="Futura Std Condensed Light" w:eastAsia="Calibri" w:hAnsi="Futura Std Condensed Light" w:cs="Calibri"/>
                <w:sz w:val="20"/>
                <w:szCs w:val="20"/>
              </w:rPr>
              <w:t>7,722</w:t>
            </w:r>
          </w:p>
        </w:tc>
        <w:tc>
          <w:tcPr>
            <w:tcW w:w="1340" w:type="dxa"/>
            <w:shd w:val="clear" w:color="auto" w:fill="auto"/>
            <w:noWrap/>
            <w:vAlign w:val="center"/>
            <w:hideMark/>
          </w:tcPr>
          <w:p w14:paraId="2E698BB7" w14:textId="77777777" w:rsidR="006D148B" w:rsidRPr="008B5E6D" w:rsidRDefault="006D148B" w:rsidP="003E741B">
            <w:pPr>
              <w:spacing w:after="0" w:line="240" w:lineRule="auto"/>
              <w:jc w:val="center"/>
              <w:rPr>
                <w:rFonts w:ascii="Futura Std Condensed Light" w:eastAsia="Calibri" w:hAnsi="Futura Std Condensed Light" w:cs="Calibri"/>
                <w:sz w:val="20"/>
                <w:szCs w:val="20"/>
              </w:rPr>
            </w:pPr>
            <w:r w:rsidRPr="008B5E6D">
              <w:rPr>
                <w:rFonts w:ascii="Futura Std Condensed Light" w:eastAsia="Calibri" w:hAnsi="Futura Std Condensed Light" w:cs="Calibri"/>
                <w:sz w:val="20"/>
                <w:szCs w:val="20"/>
              </w:rPr>
              <w:t>396</w:t>
            </w:r>
          </w:p>
        </w:tc>
        <w:tc>
          <w:tcPr>
            <w:tcW w:w="1273" w:type="dxa"/>
            <w:shd w:val="clear" w:color="auto" w:fill="auto"/>
            <w:noWrap/>
            <w:vAlign w:val="center"/>
            <w:hideMark/>
          </w:tcPr>
          <w:p w14:paraId="2221A494" w14:textId="77777777" w:rsidR="006D148B" w:rsidRPr="008B5E6D" w:rsidRDefault="006D148B" w:rsidP="003E741B">
            <w:pPr>
              <w:spacing w:after="0" w:line="240" w:lineRule="auto"/>
              <w:jc w:val="center"/>
              <w:rPr>
                <w:rFonts w:ascii="Futura Std Condensed Light" w:eastAsia="Calibri" w:hAnsi="Futura Std Condensed Light" w:cs="Calibri"/>
                <w:sz w:val="20"/>
                <w:szCs w:val="20"/>
              </w:rPr>
            </w:pPr>
            <w:r w:rsidRPr="008B5E6D">
              <w:rPr>
                <w:rFonts w:ascii="Futura Std Condensed Light" w:eastAsia="Calibri" w:hAnsi="Futura Std Condensed Light" w:cs="Calibri"/>
                <w:sz w:val="20"/>
                <w:szCs w:val="20"/>
              </w:rPr>
              <w:t>109</w:t>
            </w:r>
          </w:p>
        </w:tc>
      </w:tr>
    </w:tbl>
    <w:p w14:paraId="3C4F3D98" w14:textId="1A8F84C5" w:rsidR="006D148B" w:rsidRPr="00382832" w:rsidRDefault="006D148B" w:rsidP="008B5E6D">
      <w:pPr>
        <w:spacing w:after="0"/>
        <w:jc w:val="center"/>
        <w:rPr>
          <w:rFonts w:ascii="Futura Bk BT" w:hAnsi="Futura Bk BT"/>
        </w:rPr>
      </w:pPr>
      <w:r w:rsidRPr="000E1464">
        <w:rPr>
          <w:rFonts w:ascii="Futura Bk BT" w:hAnsi="Futura Bk BT"/>
          <w:b/>
          <w:sz w:val="16"/>
          <w:szCs w:val="16"/>
        </w:rPr>
        <w:t>Fuente:</w:t>
      </w:r>
      <w:r w:rsidRPr="00C124B2">
        <w:rPr>
          <w:rFonts w:ascii="Futura Bk BT" w:hAnsi="Futura Bk BT"/>
          <w:sz w:val="16"/>
          <w:szCs w:val="16"/>
        </w:rPr>
        <w:t xml:space="preserve"> Estadísticas continúas del formato 911 (inicio de ciclo escolar), SEQ.</w:t>
      </w:r>
    </w:p>
    <w:p w14:paraId="690A2E46" w14:textId="088B0482" w:rsidR="00096023" w:rsidRDefault="00096023" w:rsidP="006D148B">
      <w:pPr>
        <w:spacing w:after="0"/>
        <w:rPr>
          <w:rFonts w:eastAsia="Times New Roman" w:cs="Futura"/>
          <w:b/>
        </w:rPr>
      </w:pPr>
    </w:p>
    <w:p w14:paraId="329FE9C2" w14:textId="43E95261" w:rsidR="006D148B" w:rsidRPr="00382832" w:rsidRDefault="006D148B" w:rsidP="006D148B">
      <w:pPr>
        <w:spacing w:after="0"/>
        <w:rPr>
          <w:rFonts w:eastAsia="Times New Roman" w:cs="Futura"/>
          <w:b/>
        </w:rPr>
      </w:pPr>
      <w:r w:rsidRPr="00382832">
        <w:rPr>
          <w:rFonts w:eastAsia="Times New Roman" w:cs="Futura"/>
          <w:b/>
        </w:rPr>
        <w:t>Educación Preescolar</w:t>
      </w:r>
    </w:p>
    <w:p w14:paraId="3BD77BBD" w14:textId="77777777" w:rsidR="006D148B" w:rsidRPr="00382832" w:rsidRDefault="006D148B" w:rsidP="006D148B">
      <w:pPr>
        <w:spacing w:after="0"/>
        <w:rPr>
          <w:rFonts w:eastAsia="Times New Roman" w:cs="Futura"/>
        </w:rPr>
      </w:pPr>
    </w:p>
    <w:p w14:paraId="54B2C758" w14:textId="0A981FEA" w:rsidR="006D148B" w:rsidRPr="00382832" w:rsidRDefault="006D148B" w:rsidP="00244B40">
      <w:pPr>
        <w:rPr>
          <w:rFonts w:eastAsia="Times New Roman" w:cs="Futura"/>
        </w:rPr>
      </w:pPr>
      <w:r w:rsidRPr="00382832">
        <w:rPr>
          <w:rFonts w:eastAsia="Times New Roman" w:cs="Futura"/>
        </w:rPr>
        <w:t xml:space="preserve">La educación preescolar </w:t>
      </w:r>
      <w:r>
        <w:rPr>
          <w:rFonts w:eastAsia="Times New Roman" w:cs="Futura"/>
        </w:rPr>
        <w:t xml:space="preserve">constituye la fase inicial de la educación formal, </w:t>
      </w:r>
      <w:r w:rsidRPr="00382832">
        <w:rPr>
          <w:rFonts w:eastAsia="Times New Roman" w:cs="Futura"/>
        </w:rPr>
        <w:t>atiende a niños de 3 a 5 años con 11 meses de edad, se conforma de tres grados</w:t>
      </w:r>
      <w:r>
        <w:rPr>
          <w:rFonts w:eastAsia="Times New Roman" w:cs="Futura"/>
        </w:rPr>
        <w:t xml:space="preserve"> </w:t>
      </w:r>
      <w:r w:rsidRPr="00382832">
        <w:rPr>
          <w:rFonts w:eastAsia="Times New Roman" w:cs="Futura"/>
        </w:rPr>
        <w:t xml:space="preserve">y se cursa en las modalidades de </w:t>
      </w:r>
      <w:r w:rsidR="00922031">
        <w:rPr>
          <w:rFonts w:eastAsia="Times New Roman" w:cs="Futura"/>
        </w:rPr>
        <w:t>General, Indígena, Conafe, Centros de Atención Infantil (CAI)</w:t>
      </w:r>
      <w:r w:rsidRPr="00382832">
        <w:rPr>
          <w:rFonts w:eastAsia="Times New Roman" w:cs="Futura"/>
        </w:rPr>
        <w:t xml:space="preserve"> y Particular. La educación preescolar permite a los niños y a las niñas </w:t>
      </w:r>
      <w:r>
        <w:rPr>
          <w:rFonts w:eastAsia="Times New Roman" w:cs="Futura"/>
        </w:rPr>
        <w:t xml:space="preserve">desarrollarse de manera integral y armónica sus capacidades afectivas, sociales, cognoscitivas, artísticas y físicas, atendiendo las características propias de su edad y entorno social. </w:t>
      </w:r>
    </w:p>
    <w:p w14:paraId="0E4F68E0" w14:textId="1168D077" w:rsidR="00FB22EA" w:rsidRDefault="006D148B" w:rsidP="00244B40">
      <w:pPr>
        <w:rPr>
          <w:rFonts w:eastAsia="Times New Roman" w:cs="Futura"/>
        </w:rPr>
      </w:pPr>
      <w:r w:rsidRPr="00382832">
        <w:rPr>
          <w:rFonts w:eastAsia="Times New Roman" w:cs="Futura"/>
        </w:rPr>
        <w:t>La matrícula de preescolar en el ciclo escolar 2019-2020 fue de 60 mil 058 alumnos(as), 30 mil 229 niño</w:t>
      </w:r>
      <w:r>
        <w:rPr>
          <w:rFonts w:eastAsia="Times New Roman" w:cs="Futura"/>
        </w:rPr>
        <w:t>s y 29 mil 829 niñas; representando</w:t>
      </w:r>
      <w:r w:rsidRPr="00382832">
        <w:rPr>
          <w:rFonts w:eastAsia="Times New Roman" w:cs="Futura"/>
        </w:rPr>
        <w:t xml:space="preserve"> el </w:t>
      </w:r>
      <w:r w:rsidRPr="000C3358">
        <w:rPr>
          <w:rFonts w:eastAsia="Times New Roman" w:cs="Futura"/>
        </w:rPr>
        <w:t>12.68</w:t>
      </w:r>
      <w:r w:rsidRPr="00382832">
        <w:rPr>
          <w:rFonts w:eastAsia="Times New Roman" w:cs="Futura"/>
        </w:rPr>
        <w:t xml:space="preserve"> por ciento de la matrícula total </w:t>
      </w:r>
      <w:r>
        <w:rPr>
          <w:rFonts w:eastAsia="Times New Roman" w:cs="Futura"/>
        </w:rPr>
        <w:t>atendida en el</w:t>
      </w:r>
      <w:r w:rsidRPr="00382832">
        <w:rPr>
          <w:rFonts w:eastAsia="Times New Roman" w:cs="Futura"/>
        </w:rPr>
        <w:t xml:space="preserve"> estado,</w:t>
      </w:r>
      <w:r>
        <w:rPr>
          <w:rFonts w:eastAsia="Times New Roman" w:cs="Futura"/>
        </w:rPr>
        <w:t xml:space="preserve"> la cual</w:t>
      </w:r>
      <w:r w:rsidRPr="00382832">
        <w:rPr>
          <w:rFonts w:eastAsia="Times New Roman" w:cs="Futura"/>
        </w:rPr>
        <w:t xml:space="preserve"> tuvo un incremento con relación al ciclo anterior de 1.01 por ciento, esto es 603 alumnos más. La matrícula de la modalidad general fue de 42 mil 934 alumnos(as), indígena 4 </w:t>
      </w:r>
      <w:r w:rsidR="00922031">
        <w:rPr>
          <w:rFonts w:eastAsia="Times New Roman" w:cs="Futura"/>
        </w:rPr>
        <w:t>mil 498, Conafe 1 mil 137, CAI</w:t>
      </w:r>
      <w:r w:rsidRPr="00382832">
        <w:rPr>
          <w:rFonts w:eastAsia="Times New Roman" w:cs="Futura"/>
        </w:rPr>
        <w:t xml:space="preserve"> 1 mil 419 y la modalidad particu</w:t>
      </w:r>
      <w:r>
        <w:rPr>
          <w:rFonts w:eastAsia="Times New Roman" w:cs="Futura"/>
        </w:rPr>
        <w:t xml:space="preserve">lar con 10 mil 070 alumnos(as). </w:t>
      </w:r>
      <w:r w:rsidRPr="00382832">
        <w:rPr>
          <w:rFonts w:eastAsia="Times New Roman" w:cs="Futura"/>
        </w:rPr>
        <w:t>Para atender este nivel educativo se cuenta con 2 mil 6</w:t>
      </w:r>
      <w:r>
        <w:rPr>
          <w:rFonts w:eastAsia="Times New Roman" w:cs="Futura"/>
        </w:rPr>
        <w:t>15</w:t>
      </w:r>
      <w:r w:rsidRPr="00382832">
        <w:rPr>
          <w:rFonts w:eastAsia="Times New Roman" w:cs="Futura"/>
        </w:rPr>
        <w:t xml:space="preserve"> docentes, y 785 esc</w:t>
      </w:r>
      <w:r>
        <w:rPr>
          <w:rFonts w:eastAsia="Times New Roman" w:cs="Futura"/>
        </w:rPr>
        <w:t>uelas (Cuadro 3</w:t>
      </w:r>
      <w:r w:rsidRPr="00382832">
        <w:rPr>
          <w:rFonts w:eastAsia="Times New Roman" w:cs="Futura"/>
        </w:rPr>
        <w:t>).</w:t>
      </w:r>
    </w:p>
    <w:p w14:paraId="7D12279D" w14:textId="572FF499" w:rsidR="00C40895" w:rsidRDefault="00C40895">
      <w:pPr>
        <w:spacing w:after="0" w:line="240" w:lineRule="auto"/>
        <w:jc w:val="left"/>
        <w:rPr>
          <w:rFonts w:eastAsia="Times New Roman" w:cs="Futura"/>
        </w:rPr>
      </w:pPr>
      <w:r>
        <w:rPr>
          <w:rFonts w:eastAsia="Times New Roman" w:cs="Futura"/>
        </w:rPr>
        <w:br w:type="page"/>
      </w:r>
    </w:p>
    <w:p w14:paraId="3DAEDCAC" w14:textId="77777777" w:rsidR="006D148B" w:rsidRPr="00382832" w:rsidRDefault="006D148B" w:rsidP="006D148B">
      <w:pPr>
        <w:spacing w:after="0" w:line="240" w:lineRule="auto"/>
        <w:jc w:val="center"/>
        <w:rPr>
          <w:b/>
          <w:color w:val="4BACC6" w:themeColor="accent5"/>
        </w:rPr>
      </w:pPr>
      <w:r>
        <w:rPr>
          <w:b/>
          <w:color w:val="4BACC6" w:themeColor="accent5"/>
        </w:rPr>
        <w:lastRenderedPageBreak/>
        <w:t>Cuadro 3</w:t>
      </w:r>
      <w:r w:rsidRPr="00382832">
        <w:rPr>
          <w:b/>
          <w:color w:val="4BACC6" w:themeColor="accent5"/>
        </w:rPr>
        <w:t>. Matrícula, docentes y escuelas de educación preescolar por modalidad</w:t>
      </w:r>
    </w:p>
    <w:p w14:paraId="78548E45" w14:textId="77777777" w:rsidR="006D148B" w:rsidRDefault="006D148B" w:rsidP="006D148B">
      <w:pPr>
        <w:spacing w:after="0" w:line="240" w:lineRule="auto"/>
        <w:jc w:val="center"/>
        <w:rPr>
          <w:b/>
          <w:color w:val="4BACC6" w:themeColor="accent5"/>
        </w:rPr>
      </w:pPr>
      <w:r w:rsidRPr="00382832">
        <w:rPr>
          <w:b/>
          <w:color w:val="4BACC6" w:themeColor="accent5"/>
        </w:rPr>
        <w:t>Ciclo escolar 2019-2020</w:t>
      </w:r>
    </w:p>
    <w:p w14:paraId="5EE2DA76" w14:textId="77777777" w:rsidR="006D148B" w:rsidRDefault="006D148B" w:rsidP="006D148B">
      <w:pPr>
        <w:spacing w:after="0" w:line="240" w:lineRule="auto"/>
        <w:jc w:val="center"/>
      </w:pPr>
    </w:p>
    <w:tbl>
      <w:tblPr>
        <w:tblW w:w="8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40"/>
        <w:gridCol w:w="1498"/>
        <w:gridCol w:w="1292"/>
        <w:gridCol w:w="1230"/>
        <w:gridCol w:w="1340"/>
        <w:gridCol w:w="1180"/>
      </w:tblGrid>
      <w:tr w:rsidR="006D148B" w:rsidRPr="001B6A07" w14:paraId="2952B05E" w14:textId="77777777" w:rsidTr="00152649">
        <w:trPr>
          <w:trHeight w:val="402"/>
          <w:jc w:val="center"/>
        </w:trPr>
        <w:tc>
          <w:tcPr>
            <w:tcW w:w="1540" w:type="dxa"/>
            <w:vMerge w:val="restart"/>
            <w:shd w:val="clear" w:color="auto" w:fill="A6A6A6" w:themeFill="background1" w:themeFillShade="A6"/>
            <w:noWrap/>
            <w:vAlign w:val="center"/>
            <w:hideMark/>
          </w:tcPr>
          <w:p w14:paraId="3FE3C233" w14:textId="2DC16339" w:rsidR="006D148B" w:rsidRPr="004536EA" w:rsidRDefault="00152649" w:rsidP="004536EA">
            <w:pPr>
              <w:spacing w:after="100" w:afterAutospacing="1" w:line="240" w:lineRule="auto"/>
              <w:jc w:val="center"/>
              <w:rPr>
                <w:rFonts w:ascii="Futura Std Condensed Light" w:eastAsia="Calibri" w:hAnsi="Futura Std Condensed Light" w:cs="Calibri"/>
                <w:b/>
                <w:sz w:val="20"/>
                <w:szCs w:val="20"/>
              </w:rPr>
            </w:pPr>
            <w:r w:rsidRPr="004536EA">
              <w:rPr>
                <w:rFonts w:ascii="Futura Std Condensed Light" w:eastAsia="Calibri" w:hAnsi="Futura Std Condensed Light" w:cs="Calibri"/>
                <w:b/>
                <w:sz w:val="20"/>
                <w:szCs w:val="20"/>
              </w:rPr>
              <w:t>Modalidad</w:t>
            </w:r>
          </w:p>
        </w:tc>
        <w:tc>
          <w:tcPr>
            <w:tcW w:w="4020" w:type="dxa"/>
            <w:gridSpan w:val="3"/>
            <w:shd w:val="clear" w:color="auto" w:fill="A6A6A6" w:themeFill="background1" w:themeFillShade="A6"/>
            <w:noWrap/>
            <w:vAlign w:val="bottom"/>
            <w:hideMark/>
          </w:tcPr>
          <w:p w14:paraId="1F9DF67F" w14:textId="2C7F349F" w:rsidR="006D148B" w:rsidRPr="004536EA" w:rsidRDefault="00152649" w:rsidP="004536EA">
            <w:pPr>
              <w:spacing w:after="100" w:afterAutospacing="1" w:line="240" w:lineRule="auto"/>
              <w:jc w:val="center"/>
              <w:rPr>
                <w:rFonts w:ascii="Futura Std Condensed Light" w:eastAsia="Calibri" w:hAnsi="Futura Std Condensed Light" w:cs="Calibri"/>
                <w:b/>
                <w:sz w:val="20"/>
                <w:szCs w:val="20"/>
              </w:rPr>
            </w:pPr>
            <w:r w:rsidRPr="004536EA">
              <w:rPr>
                <w:rFonts w:ascii="Futura Std Condensed Light" w:eastAsia="Calibri" w:hAnsi="Futura Std Condensed Light" w:cs="Calibri"/>
                <w:b/>
                <w:sz w:val="20"/>
                <w:szCs w:val="20"/>
              </w:rPr>
              <w:t>Matrícula</w:t>
            </w:r>
          </w:p>
        </w:tc>
        <w:tc>
          <w:tcPr>
            <w:tcW w:w="1340" w:type="dxa"/>
            <w:vMerge w:val="restart"/>
            <w:shd w:val="clear" w:color="auto" w:fill="A6A6A6" w:themeFill="background1" w:themeFillShade="A6"/>
            <w:noWrap/>
            <w:vAlign w:val="center"/>
            <w:hideMark/>
          </w:tcPr>
          <w:p w14:paraId="0A06230F" w14:textId="0D6B9E00" w:rsidR="006D148B" w:rsidRPr="004536EA" w:rsidRDefault="00152649" w:rsidP="004536EA">
            <w:pPr>
              <w:spacing w:after="100" w:afterAutospacing="1" w:line="240" w:lineRule="auto"/>
              <w:jc w:val="center"/>
              <w:rPr>
                <w:rFonts w:ascii="Futura Std Condensed Light" w:eastAsia="Calibri" w:hAnsi="Futura Std Condensed Light" w:cs="Calibri"/>
                <w:b/>
                <w:sz w:val="20"/>
                <w:szCs w:val="20"/>
              </w:rPr>
            </w:pPr>
            <w:r w:rsidRPr="004536EA">
              <w:rPr>
                <w:rFonts w:ascii="Futura Std Condensed Light" w:eastAsia="Calibri" w:hAnsi="Futura Std Condensed Light" w:cs="Calibri"/>
                <w:b/>
                <w:sz w:val="20"/>
                <w:szCs w:val="20"/>
              </w:rPr>
              <w:t>Docentes</w:t>
            </w:r>
          </w:p>
        </w:tc>
        <w:tc>
          <w:tcPr>
            <w:tcW w:w="1180" w:type="dxa"/>
            <w:vMerge w:val="restart"/>
            <w:shd w:val="clear" w:color="auto" w:fill="A6A6A6" w:themeFill="background1" w:themeFillShade="A6"/>
            <w:noWrap/>
            <w:vAlign w:val="center"/>
            <w:hideMark/>
          </w:tcPr>
          <w:p w14:paraId="287B9D6A" w14:textId="32FCD1C4" w:rsidR="006D148B" w:rsidRPr="004536EA" w:rsidRDefault="00152649" w:rsidP="004536EA">
            <w:pPr>
              <w:spacing w:after="100" w:afterAutospacing="1" w:line="240" w:lineRule="auto"/>
              <w:jc w:val="center"/>
              <w:rPr>
                <w:rFonts w:ascii="Futura Std Condensed Light" w:eastAsia="Calibri" w:hAnsi="Futura Std Condensed Light" w:cs="Calibri"/>
                <w:b/>
                <w:sz w:val="20"/>
                <w:szCs w:val="20"/>
              </w:rPr>
            </w:pPr>
            <w:r w:rsidRPr="004536EA">
              <w:rPr>
                <w:rFonts w:ascii="Futura Std Condensed Light" w:eastAsia="Calibri" w:hAnsi="Futura Std Condensed Light" w:cs="Calibri"/>
                <w:b/>
                <w:sz w:val="20"/>
                <w:szCs w:val="20"/>
              </w:rPr>
              <w:t>Escuelas</w:t>
            </w:r>
          </w:p>
        </w:tc>
      </w:tr>
      <w:tr w:rsidR="006D148B" w:rsidRPr="001B6A07" w14:paraId="1CFBB251" w14:textId="77777777" w:rsidTr="00CB4577">
        <w:trPr>
          <w:trHeight w:val="402"/>
          <w:jc w:val="center"/>
        </w:trPr>
        <w:tc>
          <w:tcPr>
            <w:tcW w:w="1540" w:type="dxa"/>
            <w:vMerge/>
            <w:vAlign w:val="center"/>
            <w:hideMark/>
          </w:tcPr>
          <w:p w14:paraId="6444DD37" w14:textId="77777777" w:rsidR="006D148B" w:rsidRPr="004536EA" w:rsidRDefault="006D148B" w:rsidP="004536EA">
            <w:pPr>
              <w:spacing w:after="100" w:afterAutospacing="1" w:line="240" w:lineRule="auto"/>
              <w:rPr>
                <w:rFonts w:ascii="Futura Std Condensed Light" w:eastAsia="Calibri" w:hAnsi="Futura Std Condensed Light" w:cs="Calibri"/>
                <w:sz w:val="20"/>
                <w:szCs w:val="20"/>
              </w:rPr>
            </w:pPr>
          </w:p>
        </w:tc>
        <w:tc>
          <w:tcPr>
            <w:tcW w:w="1498" w:type="dxa"/>
            <w:shd w:val="clear" w:color="auto" w:fill="A6A6A6" w:themeFill="background1" w:themeFillShade="A6"/>
            <w:noWrap/>
            <w:vAlign w:val="center"/>
            <w:hideMark/>
          </w:tcPr>
          <w:p w14:paraId="40E7635E" w14:textId="77777777" w:rsidR="006D148B" w:rsidRPr="004536EA" w:rsidRDefault="006D148B" w:rsidP="004536EA">
            <w:pPr>
              <w:spacing w:after="100" w:afterAutospacing="1" w:line="240" w:lineRule="auto"/>
              <w:jc w:val="center"/>
              <w:rPr>
                <w:rFonts w:ascii="Futura Std Condensed Light" w:eastAsia="Calibri" w:hAnsi="Futura Std Condensed Light" w:cs="Calibri"/>
                <w:b/>
                <w:sz w:val="20"/>
                <w:szCs w:val="20"/>
              </w:rPr>
            </w:pPr>
            <w:r w:rsidRPr="004536EA">
              <w:rPr>
                <w:rFonts w:ascii="Futura Std Condensed Light" w:eastAsia="Calibri" w:hAnsi="Futura Std Condensed Light" w:cs="Calibri"/>
                <w:b/>
                <w:sz w:val="20"/>
                <w:szCs w:val="20"/>
              </w:rPr>
              <w:t>Hombres</w:t>
            </w:r>
          </w:p>
        </w:tc>
        <w:tc>
          <w:tcPr>
            <w:tcW w:w="1292" w:type="dxa"/>
            <w:shd w:val="clear" w:color="auto" w:fill="A6A6A6" w:themeFill="background1" w:themeFillShade="A6"/>
            <w:noWrap/>
            <w:vAlign w:val="center"/>
            <w:hideMark/>
          </w:tcPr>
          <w:p w14:paraId="07DBE591" w14:textId="77777777" w:rsidR="006D148B" w:rsidRPr="004536EA" w:rsidRDefault="006D148B" w:rsidP="004536EA">
            <w:pPr>
              <w:spacing w:after="100" w:afterAutospacing="1" w:line="240" w:lineRule="auto"/>
              <w:jc w:val="center"/>
              <w:rPr>
                <w:rFonts w:ascii="Futura Std Condensed Light" w:eastAsia="Calibri" w:hAnsi="Futura Std Condensed Light" w:cs="Calibri"/>
                <w:b/>
                <w:sz w:val="20"/>
                <w:szCs w:val="20"/>
              </w:rPr>
            </w:pPr>
            <w:r w:rsidRPr="004536EA">
              <w:rPr>
                <w:rFonts w:ascii="Futura Std Condensed Light" w:eastAsia="Calibri" w:hAnsi="Futura Std Condensed Light" w:cs="Calibri"/>
                <w:b/>
                <w:sz w:val="20"/>
                <w:szCs w:val="20"/>
              </w:rPr>
              <w:t>Mujeres</w:t>
            </w:r>
          </w:p>
        </w:tc>
        <w:tc>
          <w:tcPr>
            <w:tcW w:w="1230" w:type="dxa"/>
            <w:shd w:val="clear" w:color="auto" w:fill="A6A6A6" w:themeFill="background1" w:themeFillShade="A6"/>
            <w:noWrap/>
            <w:vAlign w:val="center"/>
            <w:hideMark/>
          </w:tcPr>
          <w:p w14:paraId="1A02AC0B" w14:textId="77777777" w:rsidR="006D148B" w:rsidRPr="004536EA" w:rsidRDefault="006D148B" w:rsidP="004536EA">
            <w:pPr>
              <w:spacing w:after="100" w:afterAutospacing="1" w:line="240" w:lineRule="auto"/>
              <w:jc w:val="center"/>
              <w:rPr>
                <w:rFonts w:ascii="Futura Std Condensed Light" w:eastAsia="Calibri" w:hAnsi="Futura Std Condensed Light" w:cs="Calibri"/>
                <w:b/>
                <w:sz w:val="20"/>
                <w:szCs w:val="20"/>
              </w:rPr>
            </w:pPr>
            <w:r w:rsidRPr="004536EA">
              <w:rPr>
                <w:rFonts w:ascii="Futura Std Condensed Light" w:eastAsia="Calibri" w:hAnsi="Futura Std Condensed Light" w:cs="Calibri"/>
                <w:b/>
                <w:sz w:val="20"/>
                <w:szCs w:val="20"/>
              </w:rPr>
              <w:t>Total</w:t>
            </w:r>
          </w:p>
        </w:tc>
        <w:tc>
          <w:tcPr>
            <w:tcW w:w="1340" w:type="dxa"/>
            <w:vMerge/>
            <w:vAlign w:val="center"/>
            <w:hideMark/>
          </w:tcPr>
          <w:p w14:paraId="738ED698" w14:textId="77777777" w:rsidR="006D148B" w:rsidRPr="004536EA" w:rsidRDefault="006D148B" w:rsidP="004536EA">
            <w:pPr>
              <w:spacing w:after="100" w:afterAutospacing="1" w:line="240" w:lineRule="auto"/>
              <w:rPr>
                <w:rFonts w:ascii="Futura Std Condensed Light" w:eastAsia="Calibri" w:hAnsi="Futura Std Condensed Light" w:cs="Calibri"/>
                <w:sz w:val="20"/>
                <w:szCs w:val="20"/>
              </w:rPr>
            </w:pPr>
          </w:p>
        </w:tc>
        <w:tc>
          <w:tcPr>
            <w:tcW w:w="1180" w:type="dxa"/>
            <w:vMerge/>
            <w:vAlign w:val="center"/>
            <w:hideMark/>
          </w:tcPr>
          <w:p w14:paraId="49CB72B0" w14:textId="77777777" w:rsidR="006D148B" w:rsidRPr="004536EA" w:rsidRDefault="006D148B" w:rsidP="004536EA">
            <w:pPr>
              <w:spacing w:after="100" w:afterAutospacing="1" w:line="240" w:lineRule="auto"/>
              <w:rPr>
                <w:rFonts w:ascii="Futura Std Condensed Light" w:eastAsia="Calibri" w:hAnsi="Futura Std Condensed Light" w:cs="Calibri"/>
                <w:sz w:val="20"/>
                <w:szCs w:val="20"/>
              </w:rPr>
            </w:pPr>
          </w:p>
        </w:tc>
      </w:tr>
      <w:tr w:rsidR="006D148B" w:rsidRPr="006119DB" w14:paraId="0D20E82F" w14:textId="77777777" w:rsidTr="00152649">
        <w:trPr>
          <w:trHeight w:val="402"/>
          <w:jc w:val="center"/>
        </w:trPr>
        <w:tc>
          <w:tcPr>
            <w:tcW w:w="1540" w:type="dxa"/>
            <w:shd w:val="clear" w:color="auto" w:fill="auto"/>
            <w:noWrap/>
            <w:vAlign w:val="center"/>
            <w:hideMark/>
          </w:tcPr>
          <w:p w14:paraId="7EF481DF" w14:textId="77777777" w:rsidR="006D148B" w:rsidRPr="004536EA" w:rsidRDefault="006D148B" w:rsidP="004536EA">
            <w:pPr>
              <w:spacing w:after="100" w:afterAutospacing="1" w:line="240" w:lineRule="auto"/>
              <w:rPr>
                <w:rFonts w:ascii="Futura Std Condensed Light" w:eastAsia="Calibri" w:hAnsi="Futura Std Condensed Light" w:cs="Calibri"/>
                <w:sz w:val="20"/>
                <w:szCs w:val="20"/>
              </w:rPr>
            </w:pPr>
            <w:r w:rsidRPr="004536EA">
              <w:rPr>
                <w:rFonts w:ascii="Futura Std Condensed Light" w:eastAsia="Calibri" w:hAnsi="Futura Std Condensed Light" w:cs="Calibri"/>
                <w:sz w:val="20"/>
                <w:szCs w:val="20"/>
              </w:rPr>
              <w:t>General</w:t>
            </w:r>
          </w:p>
        </w:tc>
        <w:tc>
          <w:tcPr>
            <w:tcW w:w="1498" w:type="dxa"/>
            <w:shd w:val="clear" w:color="auto" w:fill="auto"/>
            <w:noWrap/>
            <w:vAlign w:val="center"/>
            <w:hideMark/>
          </w:tcPr>
          <w:p w14:paraId="05274DEA" w14:textId="77777777" w:rsidR="006D148B" w:rsidRPr="004536EA" w:rsidRDefault="006D148B" w:rsidP="004536EA">
            <w:pPr>
              <w:spacing w:after="100" w:afterAutospacing="1" w:line="240" w:lineRule="auto"/>
              <w:jc w:val="center"/>
              <w:rPr>
                <w:rFonts w:ascii="Futura Std Condensed Light" w:eastAsia="Calibri" w:hAnsi="Futura Std Condensed Light" w:cs="Calibri"/>
                <w:sz w:val="20"/>
                <w:szCs w:val="20"/>
              </w:rPr>
            </w:pPr>
            <w:r w:rsidRPr="004536EA">
              <w:rPr>
                <w:rFonts w:ascii="Futura Std Condensed Light" w:eastAsia="Calibri" w:hAnsi="Futura Std Condensed Light" w:cs="Calibri"/>
                <w:sz w:val="20"/>
                <w:szCs w:val="20"/>
              </w:rPr>
              <w:t>21,543</w:t>
            </w:r>
          </w:p>
        </w:tc>
        <w:tc>
          <w:tcPr>
            <w:tcW w:w="1292" w:type="dxa"/>
            <w:shd w:val="clear" w:color="auto" w:fill="auto"/>
            <w:noWrap/>
            <w:vAlign w:val="center"/>
            <w:hideMark/>
          </w:tcPr>
          <w:p w14:paraId="4FE4ADE6" w14:textId="77777777" w:rsidR="006D148B" w:rsidRPr="004536EA" w:rsidRDefault="006D148B" w:rsidP="004536EA">
            <w:pPr>
              <w:spacing w:after="100" w:afterAutospacing="1" w:line="240" w:lineRule="auto"/>
              <w:jc w:val="center"/>
              <w:rPr>
                <w:rFonts w:ascii="Futura Std Condensed Light" w:eastAsia="Calibri" w:hAnsi="Futura Std Condensed Light" w:cs="Calibri"/>
                <w:sz w:val="20"/>
                <w:szCs w:val="20"/>
              </w:rPr>
            </w:pPr>
            <w:r w:rsidRPr="004536EA">
              <w:rPr>
                <w:rFonts w:ascii="Futura Std Condensed Light" w:eastAsia="Calibri" w:hAnsi="Futura Std Condensed Light" w:cs="Calibri"/>
                <w:sz w:val="20"/>
                <w:szCs w:val="20"/>
              </w:rPr>
              <w:t>21,391</w:t>
            </w:r>
          </w:p>
        </w:tc>
        <w:tc>
          <w:tcPr>
            <w:tcW w:w="1230" w:type="dxa"/>
            <w:shd w:val="clear" w:color="auto" w:fill="auto"/>
            <w:noWrap/>
            <w:vAlign w:val="center"/>
            <w:hideMark/>
          </w:tcPr>
          <w:p w14:paraId="12F02A9F" w14:textId="77777777" w:rsidR="006D148B" w:rsidRPr="004536EA" w:rsidRDefault="006D148B" w:rsidP="004536EA">
            <w:pPr>
              <w:spacing w:after="100" w:afterAutospacing="1" w:line="240" w:lineRule="auto"/>
              <w:jc w:val="center"/>
              <w:rPr>
                <w:rFonts w:ascii="Futura Std Condensed Light" w:eastAsia="Calibri" w:hAnsi="Futura Std Condensed Light" w:cs="Calibri"/>
                <w:sz w:val="20"/>
                <w:szCs w:val="20"/>
              </w:rPr>
            </w:pPr>
            <w:r w:rsidRPr="004536EA">
              <w:rPr>
                <w:rFonts w:ascii="Futura Std Condensed Light" w:eastAsia="Calibri" w:hAnsi="Futura Std Condensed Light" w:cs="Calibri"/>
                <w:sz w:val="20"/>
                <w:szCs w:val="20"/>
              </w:rPr>
              <w:t>42,934</w:t>
            </w:r>
          </w:p>
        </w:tc>
        <w:tc>
          <w:tcPr>
            <w:tcW w:w="1340" w:type="dxa"/>
            <w:shd w:val="clear" w:color="auto" w:fill="auto"/>
            <w:noWrap/>
            <w:vAlign w:val="center"/>
            <w:hideMark/>
          </w:tcPr>
          <w:p w14:paraId="229FD5FA" w14:textId="77777777" w:rsidR="006D148B" w:rsidRPr="004536EA" w:rsidRDefault="006D148B" w:rsidP="004536EA">
            <w:pPr>
              <w:spacing w:after="100" w:afterAutospacing="1" w:line="240" w:lineRule="auto"/>
              <w:jc w:val="center"/>
              <w:rPr>
                <w:rFonts w:ascii="Futura Std Condensed Light" w:eastAsia="Calibri" w:hAnsi="Futura Std Condensed Light" w:cs="Calibri"/>
                <w:sz w:val="20"/>
                <w:szCs w:val="20"/>
              </w:rPr>
            </w:pPr>
            <w:r w:rsidRPr="004536EA">
              <w:rPr>
                <w:rFonts w:ascii="Futura Std Condensed Light" w:eastAsia="Calibri" w:hAnsi="Futura Std Condensed Light" w:cs="Calibri"/>
                <w:sz w:val="20"/>
                <w:szCs w:val="20"/>
              </w:rPr>
              <w:t>1,630</w:t>
            </w:r>
          </w:p>
        </w:tc>
        <w:tc>
          <w:tcPr>
            <w:tcW w:w="1180" w:type="dxa"/>
            <w:shd w:val="clear" w:color="auto" w:fill="auto"/>
            <w:noWrap/>
            <w:vAlign w:val="center"/>
            <w:hideMark/>
          </w:tcPr>
          <w:p w14:paraId="68E0A4D8" w14:textId="77777777" w:rsidR="006D148B" w:rsidRPr="004536EA" w:rsidRDefault="006D148B" w:rsidP="004536EA">
            <w:pPr>
              <w:spacing w:after="100" w:afterAutospacing="1" w:line="240" w:lineRule="auto"/>
              <w:jc w:val="center"/>
              <w:rPr>
                <w:rFonts w:ascii="Futura Std Condensed Light" w:eastAsia="Calibri" w:hAnsi="Futura Std Condensed Light" w:cs="Calibri"/>
                <w:sz w:val="20"/>
                <w:szCs w:val="20"/>
              </w:rPr>
            </w:pPr>
            <w:r w:rsidRPr="004536EA">
              <w:rPr>
                <w:rFonts w:ascii="Futura Std Condensed Light" w:eastAsia="Calibri" w:hAnsi="Futura Std Condensed Light" w:cs="Calibri"/>
                <w:sz w:val="20"/>
                <w:szCs w:val="20"/>
              </w:rPr>
              <w:t>389</w:t>
            </w:r>
          </w:p>
        </w:tc>
      </w:tr>
      <w:tr w:rsidR="006D148B" w:rsidRPr="006119DB" w14:paraId="6DF49847" w14:textId="77777777" w:rsidTr="00152649">
        <w:trPr>
          <w:trHeight w:val="402"/>
          <w:jc w:val="center"/>
        </w:trPr>
        <w:tc>
          <w:tcPr>
            <w:tcW w:w="1540" w:type="dxa"/>
            <w:shd w:val="clear" w:color="auto" w:fill="auto"/>
            <w:noWrap/>
            <w:vAlign w:val="center"/>
            <w:hideMark/>
          </w:tcPr>
          <w:p w14:paraId="42781443" w14:textId="77777777" w:rsidR="006D148B" w:rsidRPr="004536EA" w:rsidRDefault="006D148B" w:rsidP="004536EA">
            <w:pPr>
              <w:spacing w:after="100" w:afterAutospacing="1" w:line="240" w:lineRule="auto"/>
              <w:rPr>
                <w:rFonts w:ascii="Futura Std Condensed Light" w:eastAsia="Calibri" w:hAnsi="Futura Std Condensed Light" w:cs="Calibri"/>
                <w:sz w:val="20"/>
                <w:szCs w:val="20"/>
              </w:rPr>
            </w:pPr>
            <w:r w:rsidRPr="004536EA">
              <w:rPr>
                <w:rFonts w:ascii="Futura Std Condensed Light" w:eastAsia="Calibri" w:hAnsi="Futura Std Condensed Light" w:cs="Calibri"/>
                <w:sz w:val="20"/>
                <w:szCs w:val="20"/>
              </w:rPr>
              <w:t>Indígena</w:t>
            </w:r>
          </w:p>
        </w:tc>
        <w:tc>
          <w:tcPr>
            <w:tcW w:w="1498" w:type="dxa"/>
            <w:shd w:val="clear" w:color="auto" w:fill="auto"/>
            <w:noWrap/>
            <w:vAlign w:val="center"/>
            <w:hideMark/>
          </w:tcPr>
          <w:p w14:paraId="13AE293B" w14:textId="77777777" w:rsidR="006D148B" w:rsidRPr="004536EA" w:rsidRDefault="006D148B" w:rsidP="004536EA">
            <w:pPr>
              <w:spacing w:after="100" w:afterAutospacing="1" w:line="240" w:lineRule="auto"/>
              <w:jc w:val="center"/>
              <w:rPr>
                <w:rFonts w:ascii="Futura Std Condensed Light" w:eastAsia="Calibri" w:hAnsi="Futura Std Condensed Light" w:cs="Calibri"/>
                <w:sz w:val="20"/>
                <w:szCs w:val="20"/>
              </w:rPr>
            </w:pPr>
            <w:r w:rsidRPr="004536EA">
              <w:rPr>
                <w:rFonts w:ascii="Futura Std Condensed Light" w:eastAsia="Calibri" w:hAnsi="Futura Std Condensed Light" w:cs="Calibri"/>
                <w:sz w:val="20"/>
                <w:szCs w:val="20"/>
              </w:rPr>
              <w:t>2,326</w:t>
            </w:r>
          </w:p>
        </w:tc>
        <w:tc>
          <w:tcPr>
            <w:tcW w:w="1292" w:type="dxa"/>
            <w:shd w:val="clear" w:color="auto" w:fill="auto"/>
            <w:noWrap/>
            <w:vAlign w:val="center"/>
            <w:hideMark/>
          </w:tcPr>
          <w:p w14:paraId="1B707C93" w14:textId="77777777" w:rsidR="006D148B" w:rsidRPr="004536EA" w:rsidRDefault="006D148B" w:rsidP="004536EA">
            <w:pPr>
              <w:spacing w:after="100" w:afterAutospacing="1" w:line="240" w:lineRule="auto"/>
              <w:jc w:val="center"/>
              <w:rPr>
                <w:rFonts w:ascii="Futura Std Condensed Light" w:eastAsia="Calibri" w:hAnsi="Futura Std Condensed Light" w:cs="Calibri"/>
                <w:sz w:val="20"/>
                <w:szCs w:val="20"/>
              </w:rPr>
            </w:pPr>
            <w:r w:rsidRPr="004536EA">
              <w:rPr>
                <w:rFonts w:ascii="Futura Std Condensed Light" w:eastAsia="Calibri" w:hAnsi="Futura Std Condensed Light" w:cs="Calibri"/>
                <w:sz w:val="20"/>
                <w:szCs w:val="20"/>
              </w:rPr>
              <w:t>2,172</w:t>
            </w:r>
          </w:p>
        </w:tc>
        <w:tc>
          <w:tcPr>
            <w:tcW w:w="1230" w:type="dxa"/>
            <w:shd w:val="clear" w:color="auto" w:fill="auto"/>
            <w:noWrap/>
            <w:vAlign w:val="center"/>
            <w:hideMark/>
          </w:tcPr>
          <w:p w14:paraId="4567D976" w14:textId="77777777" w:rsidR="006D148B" w:rsidRPr="004536EA" w:rsidRDefault="006D148B" w:rsidP="004536EA">
            <w:pPr>
              <w:spacing w:after="100" w:afterAutospacing="1" w:line="240" w:lineRule="auto"/>
              <w:jc w:val="center"/>
              <w:rPr>
                <w:rFonts w:ascii="Futura Std Condensed Light" w:eastAsia="Calibri" w:hAnsi="Futura Std Condensed Light" w:cs="Calibri"/>
                <w:sz w:val="20"/>
                <w:szCs w:val="20"/>
              </w:rPr>
            </w:pPr>
            <w:r w:rsidRPr="004536EA">
              <w:rPr>
                <w:rFonts w:ascii="Futura Std Condensed Light" w:eastAsia="Calibri" w:hAnsi="Futura Std Condensed Light" w:cs="Calibri"/>
                <w:sz w:val="20"/>
                <w:szCs w:val="20"/>
              </w:rPr>
              <w:t>4,498</w:t>
            </w:r>
          </w:p>
        </w:tc>
        <w:tc>
          <w:tcPr>
            <w:tcW w:w="1340" w:type="dxa"/>
            <w:shd w:val="clear" w:color="auto" w:fill="auto"/>
            <w:noWrap/>
            <w:vAlign w:val="center"/>
            <w:hideMark/>
          </w:tcPr>
          <w:p w14:paraId="3C0E5756" w14:textId="77777777" w:rsidR="006D148B" w:rsidRPr="004536EA" w:rsidRDefault="006D148B" w:rsidP="004536EA">
            <w:pPr>
              <w:spacing w:after="100" w:afterAutospacing="1" w:line="240" w:lineRule="auto"/>
              <w:jc w:val="center"/>
              <w:rPr>
                <w:rFonts w:ascii="Futura Std Condensed Light" w:eastAsia="Calibri" w:hAnsi="Futura Std Condensed Light" w:cs="Calibri"/>
                <w:sz w:val="20"/>
                <w:szCs w:val="20"/>
              </w:rPr>
            </w:pPr>
            <w:r w:rsidRPr="004536EA">
              <w:rPr>
                <w:rFonts w:ascii="Futura Std Condensed Light" w:eastAsia="Calibri" w:hAnsi="Futura Std Condensed Light" w:cs="Calibri"/>
                <w:sz w:val="20"/>
                <w:szCs w:val="20"/>
              </w:rPr>
              <w:t>213</w:t>
            </w:r>
          </w:p>
        </w:tc>
        <w:tc>
          <w:tcPr>
            <w:tcW w:w="1180" w:type="dxa"/>
            <w:shd w:val="clear" w:color="auto" w:fill="auto"/>
            <w:noWrap/>
            <w:vAlign w:val="center"/>
            <w:hideMark/>
          </w:tcPr>
          <w:p w14:paraId="0D39656C" w14:textId="77777777" w:rsidR="006D148B" w:rsidRPr="004536EA" w:rsidRDefault="006D148B" w:rsidP="004536EA">
            <w:pPr>
              <w:spacing w:after="100" w:afterAutospacing="1" w:line="240" w:lineRule="auto"/>
              <w:jc w:val="center"/>
              <w:rPr>
                <w:rFonts w:ascii="Futura Std Condensed Light" w:eastAsia="Calibri" w:hAnsi="Futura Std Condensed Light" w:cs="Calibri"/>
                <w:sz w:val="20"/>
                <w:szCs w:val="20"/>
              </w:rPr>
            </w:pPr>
            <w:r w:rsidRPr="004536EA">
              <w:rPr>
                <w:rFonts w:ascii="Futura Std Condensed Light" w:eastAsia="Calibri" w:hAnsi="Futura Std Condensed Light" w:cs="Calibri"/>
                <w:sz w:val="20"/>
                <w:szCs w:val="20"/>
              </w:rPr>
              <w:t>103</w:t>
            </w:r>
          </w:p>
        </w:tc>
      </w:tr>
      <w:tr w:rsidR="006D148B" w:rsidRPr="006119DB" w14:paraId="04B7EC8E" w14:textId="77777777" w:rsidTr="00152649">
        <w:trPr>
          <w:trHeight w:val="402"/>
          <w:jc w:val="center"/>
        </w:trPr>
        <w:tc>
          <w:tcPr>
            <w:tcW w:w="1540" w:type="dxa"/>
            <w:shd w:val="clear" w:color="auto" w:fill="auto"/>
            <w:noWrap/>
            <w:vAlign w:val="center"/>
            <w:hideMark/>
          </w:tcPr>
          <w:p w14:paraId="5B82D6E6" w14:textId="5CFB3BC5" w:rsidR="006D148B" w:rsidRPr="004536EA" w:rsidRDefault="004536EA" w:rsidP="004536EA">
            <w:pPr>
              <w:spacing w:after="100" w:afterAutospacing="1" w:line="240" w:lineRule="auto"/>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CONAFE</w:t>
            </w:r>
          </w:p>
        </w:tc>
        <w:tc>
          <w:tcPr>
            <w:tcW w:w="1498" w:type="dxa"/>
            <w:shd w:val="clear" w:color="auto" w:fill="auto"/>
            <w:noWrap/>
            <w:vAlign w:val="center"/>
            <w:hideMark/>
          </w:tcPr>
          <w:p w14:paraId="457B202D" w14:textId="77777777" w:rsidR="006D148B" w:rsidRPr="004536EA" w:rsidRDefault="006D148B" w:rsidP="004536EA">
            <w:pPr>
              <w:spacing w:after="100" w:afterAutospacing="1" w:line="240" w:lineRule="auto"/>
              <w:jc w:val="center"/>
              <w:rPr>
                <w:rFonts w:ascii="Futura Std Condensed Light" w:eastAsia="Calibri" w:hAnsi="Futura Std Condensed Light" w:cs="Calibri"/>
                <w:sz w:val="20"/>
                <w:szCs w:val="20"/>
              </w:rPr>
            </w:pPr>
            <w:r w:rsidRPr="004536EA">
              <w:rPr>
                <w:rFonts w:ascii="Futura Std Condensed Light" w:eastAsia="Calibri" w:hAnsi="Futura Std Condensed Light" w:cs="Calibri"/>
                <w:sz w:val="20"/>
                <w:szCs w:val="20"/>
              </w:rPr>
              <w:t>583</w:t>
            </w:r>
          </w:p>
        </w:tc>
        <w:tc>
          <w:tcPr>
            <w:tcW w:w="1292" w:type="dxa"/>
            <w:shd w:val="clear" w:color="auto" w:fill="auto"/>
            <w:noWrap/>
            <w:vAlign w:val="center"/>
            <w:hideMark/>
          </w:tcPr>
          <w:p w14:paraId="1F8E4A66" w14:textId="77777777" w:rsidR="006D148B" w:rsidRPr="004536EA" w:rsidRDefault="006D148B" w:rsidP="004536EA">
            <w:pPr>
              <w:spacing w:after="100" w:afterAutospacing="1" w:line="240" w:lineRule="auto"/>
              <w:jc w:val="center"/>
              <w:rPr>
                <w:rFonts w:ascii="Futura Std Condensed Light" w:eastAsia="Calibri" w:hAnsi="Futura Std Condensed Light" w:cs="Calibri"/>
                <w:sz w:val="20"/>
                <w:szCs w:val="20"/>
              </w:rPr>
            </w:pPr>
            <w:r w:rsidRPr="004536EA">
              <w:rPr>
                <w:rFonts w:ascii="Futura Std Condensed Light" w:eastAsia="Calibri" w:hAnsi="Futura Std Condensed Light" w:cs="Calibri"/>
                <w:sz w:val="20"/>
                <w:szCs w:val="20"/>
              </w:rPr>
              <w:t>554</w:t>
            </w:r>
          </w:p>
        </w:tc>
        <w:tc>
          <w:tcPr>
            <w:tcW w:w="1230" w:type="dxa"/>
            <w:shd w:val="clear" w:color="auto" w:fill="auto"/>
            <w:noWrap/>
            <w:vAlign w:val="center"/>
            <w:hideMark/>
          </w:tcPr>
          <w:p w14:paraId="30C8DBAF" w14:textId="77777777" w:rsidR="006D148B" w:rsidRPr="004536EA" w:rsidRDefault="006D148B" w:rsidP="004536EA">
            <w:pPr>
              <w:spacing w:after="100" w:afterAutospacing="1" w:line="240" w:lineRule="auto"/>
              <w:jc w:val="center"/>
              <w:rPr>
                <w:rFonts w:ascii="Futura Std Condensed Light" w:eastAsia="Calibri" w:hAnsi="Futura Std Condensed Light" w:cs="Calibri"/>
                <w:sz w:val="20"/>
                <w:szCs w:val="20"/>
              </w:rPr>
            </w:pPr>
            <w:r w:rsidRPr="004536EA">
              <w:rPr>
                <w:rFonts w:ascii="Futura Std Condensed Light" w:eastAsia="Calibri" w:hAnsi="Futura Std Condensed Light" w:cs="Calibri"/>
                <w:sz w:val="20"/>
                <w:szCs w:val="20"/>
              </w:rPr>
              <w:t>1,137</w:t>
            </w:r>
          </w:p>
        </w:tc>
        <w:tc>
          <w:tcPr>
            <w:tcW w:w="1340" w:type="dxa"/>
            <w:shd w:val="clear" w:color="auto" w:fill="auto"/>
            <w:noWrap/>
            <w:vAlign w:val="center"/>
            <w:hideMark/>
          </w:tcPr>
          <w:p w14:paraId="24A09DFF" w14:textId="77777777" w:rsidR="006D148B" w:rsidRPr="004536EA" w:rsidRDefault="006D148B" w:rsidP="004536EA">
            <w:pPr>
              <w:spacing w:after="100" w:afterAutospacing="1" w:line="240" w:lineRule="auto"/>
              <w:jc w:val="center"/>
              <w:rPr>
                <w:rFonts w:ascii="Futura Std Condensed Light" w:eastAsia="Calibri" w:hAnsi="Futura Std Condensed Light" w:cs="Calibri"/>
                <w:sz w:val="20"/>
                <w:szCs w:val="20"/>
              </w:rPr>
            </w:pPr>
            <w:r w:rsidRPr="004536EA">
              <w:rPr>
                <w:rFonts w:ascii="Futura Std Condensed Light" w:eastAsia="Calibri" w:hAnsi="Futura Std Condensed Light" w:cs="Calibri"/>
                <w:sz w:val="20"/>
                <w:szCs w:val="20"/>
              </w:rPr>
              <w:t>116</w:t>
            </w:r>
          </w:p>
        </w:tc>
        <w:tc>
          <w:tcPr>
            <w:tcW w:w="1180" w:type="dxa"/>
            <w:shd w:val="clear" w:color="auto" w:fill="auto"/>
            <w:noWrap/>
            <w:vAlign w:val="center"/>
            <w:hideMark/>
          </w:tcPr>
          <w:p w14:paraId="40D9F5CF" w14:textId="77777777" w:rsidR="006D148B" w:rsidRPr="004536EA" w:rsidRDefault="006D148B" w:rsidP="004536EA">
            <w:pPr>
              <w:spacing w:after="100" w:afterAutospacing="1" w:line="240" w:lineRule="auto"/>
              <w:jc w:val="center"/>
              <w:rPr>
                <w:rFonts w:ascii="Futura Std Condensed Light" w:eastAsia="Calibri" w:hAnsi="Futura Std Condensed Light" w:cs="Calibri"/>
                <w:sz w:val="20"/>
                <w:szCs w:val="20"/>
              </w:rPr>
            </w:pPr>
            <w:r w:rsidRPr="004536EA">
              <w:rPr>
                <w:rFonts w:ascii="Futura Std Condensed Light" w:eastAsia="Calibri" w:hAnsi="Futura Std Condensed Light" w:cs="Calibri"/>
                <w:sz w:val="20"/>
                <w:szCs w:val="20"/>
              </w:rPr>
              <w:t>121</w:t>
            </w:r>
          </w:p>
        </w:tc>
      </w:tr>
      <w:tr w:rsidR="006D148B" w:rsidRPr="006119DB" w14:paraId="11627263" w14:textId="77777777" w:rsidTr="00152649">
        <w:trPr>
          <w:trHeight w:val="402"/>
          <w:jc w:val="center"/>
        </w:trPr>
        <w:tc>
          <w:tcPr>
            <w:tcW w:w="1540" w:type="dxa"/>
            <w:shd w:val="clear" w:color="auto" w:fill="auto"/>
            <w:noWrap/>
            <w:vAlign w:val="center"/>
            <w:hideMark/>
          </w:tcPr>
          <w:p w14:paraId="1EFABBB6" w14:textId="46AB6272" w:rsidR="006D148B" w:rsidRPr="004536EA" w:rsidRDefault="00922031" w:rsidP="004536EA">
            <w:pPr>
              <w:spacing w:after="100" w:afterAutospacing="1" w:line="240" w:lineRule="auto"/>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CAI</w:t>
            </w:r>
          </w:p>
        </w:tc>
        <w:tc>
          <w:tcPr>
            <w:tcW w:w="1498" w:type="dxa"/>
            <w:shd w:val="clear" w:color="auto" w:fill="auto"/>
            <w:noWrap/>
            <w:vAlign w:val="center"/>
            <w:hideMark/>
          </w:tcPr>
          <w:p w14:paraId="13FFEA78" w14:textId="77777777" w:rsidR="006D148B" w:rsidRPr="004536EA" w:rsidRDefault="006D148B" w:rsidP="004536EA">
            <w:pPr>
              <w:spacing w:after="100" w:afterAutospacing="1" w:line="240" w:lineRule="auto"/>
              <w:jc w:val="center"/>
              <w:rPr>
                <w:rFonts w:ascii="Futura Std Condensed Light" w:eastAsia="Calibri" w:hAnsi="Futura Std Condensed Light" w:cs="Calibri"/>
                <w:sz w:val="20"/>
                <w:szCs w:val="20"/>
              </w:rPr>
            </w:pPr>
            <w:r w:rsidRPr="004536EA">
              <w:rPr>
                <w:rFonts w:ascii="Futura Std Condensed Light" w:eastAsia="Calibri" w:hAnsi="Futura Std Condensed Light" w:cs="Calibri"/>
                <w:sz w:val="20"/>
                <w:szCs w:val="20"/>
              </w:rPr>
              <w:t>761</w:t>
            </w:r>
          </w:p>
        </w:tc>
        <w:tc>
          <w:tcPr>
            <w:tcW w:w="1292" w:type="dxa"/>
            <w:shd w:val="clear" w:color="auto" w:fill="auto"/>
            <w:noWrap/>
            <w:vAlign w:val="center"/>
            <w:hideMark/>
          </w:tcPr>
          <w:p w14:paraId="5BD2BDA8" w14:textId="77777777" w:rsidR="006D148B" w:rsidRPr="004536EA" w:rsidRDefault="006D148B" w:rsidP="004536EA">
            <w:pPr>
              <w:spacing w:after="100" w:afterAutospacing="1" w:line="240" w:lineRule="auto"/>
              <w:jc w:val="center"/>
              <w:rPr>
                <w:rFonts w:ascii="Futura Std Condensed Light" w:eastAsia="Calibri" w:hAnsi="Futura Std Condensed Light" w:cs="Calibri"/>
                <w:sz w:val="20"/>
                <w:szCs w:val="20"/>
              </w:rPr>
            </w:pPr>
            <w:r w:rsidRPr="004536EA">
              <w:rPr>
                <w:rFonts w:ascii="Futura Std Condensed Light" w:eastAsia="Calibri" w:hAnsi="Futura Std Condensed Light" w:cs="Calibri"/>
                <w:sz w:val="20"/>
                <w:szCs w:val="20"/>
              </w:rPr>
              <w:t>658</w:t>
            </w:r>
          </w:p>
        </w:tc>
        <w:tc>
          <w:tcPr>
            <w:tcW w:w="1230" w:type="dxa"/>
            <w:shd w:val="clear" w:color="auto" w:fill="auto"/>
            <w:noWrap/>
            <w:vAlign w:val="center"/>
            <w:hideMark/>
          </w:tcPr>
          <w:p w14:paraId="3EC2BB7C" w14:textId="77777777" w:rsidR="006D148B" w:rsidRPr="004536EA" w:rsidRDefault="006D148B" w:rsidP="004536EA">
            <w:pPr>
              <w:spacing w:after="100" w:afterAutospacing="1" w:line="240" w:lineRule="auto"/>
              <w:jc w:val="center"/>
              <w:rPr>
                <w:rFonts w:ascii="Futura Std Condensed Light" w:eastAsia="Calibri" w:hAnsi="Futura Std Condensed Light" w:cs="Calibri"/>
                <w:sz w:val="20"/>
                <w:szCs w:val="20"/>
              </w:rPr>
            </w:pPr>
            <w:r w:rsidRPr="004536EA">
              <w:rPr>
                <w:rFonts w:ascii="Futura Std Condensed Light" w:eastAsia="Calibri" w:hAnsi="Futura Std Condensed Light" w:cs="Calibri"/>
                <w:sz w:val="20"/>
                <w:szCs w:val="20"/>
              </w:rPr>
              <w:t>1,419</w:t>
            </w:r>
          </w:p>
        </w:tc>
        <w:tc>
          <w:tcPr>
            <w:tcW w:w="1340" w:type="dxa"/>
            <w:shd w:val="clear" w:color="auto" w:fill="auto"/>
            <w:noWrap/>
            <w:vAlign w:val="center"/>
            <w:hideMark/>
          </w:tcPr>
          <w:p w14:paraId="4F9F5BA3" w14:textId="77777777" w:rsidR="006D148B" w:rsidRPr="004536EA" w:rsidRDefault="006D148B" w:rsidP="004536EA">
            <w:pPr>
              <w:spacing w:after="100" w:afterAutospacing="1" w:line="240" w:lineRule="auto"/>
              <w:jc w:val="center"/>
              <w:rPr>
                <w:rFonts w:ascii="Futura Std Condensed Light" w:eastAsia="Calibri" w:hAnsi="Futura Std Condensed Light" w:cs="Calibri"/>
                <w:sz w:val="20"/>
                <w:szCs w:val="20"/>
              </w:rPr>
            </w:pPr>
            <w:r w:rsidRPr="004536EA">
              <w:rPr>
                <w:rFonts w:ascii="Futura Std Condensed Light" w:eastAsia="Calibri" w:hAnsi="Futura Std Condensed Light" w:cs="Calibri"/>
                <w:sz w:val="20"/>
                <w:szCs w:val="20"/>
              </w:rPr>
              <w:t>56</w:t>
            </w:r>
          </w:p>
        </w:tc>
        <w:tc>
          <w:tcPr>
            <w:tcW w:w="1180" w:type="dxa"/>
            <w:shd w:val="clear" w:color="auto" w:fill="auto"/>
            <w:noWrap/>
            <w:vAlign w:val="center"/>
            <w:hideMark/>
          </w:tcPr>
          <w:p w14:paraId="2F8B6305" w14:textId="77777777" w:rsidR="006D148B" w:rsidRPr="004536EA" w:rsidRDefault="006D148B" w:rsidP="004536EA">
            <w:pPr>
              <w:spacing w:after="100" w:afterAutospacing="1" w:line="240" w:lineRule="auto"/>
              <w:jc w:val="center"/>
              <w:rPr>
                <w:rFonts w:ascii="Futura Std Condensed Light" w:eastAsia="Calibri" w:hAnsi="Futura Std Condensed Light" w:cs="Calibri"/>
                <w:sz w:val="20"/>
                <w:szCs w:val="20"/>
              </w:rPr>
            </w:pPr>
            <w:r w:rsidRPr="004536EA">
              <w:rPr>
                <w:rFonts w:ascii="Futura Std Condensed Light" w:eastAsia="Calibri" w:hAnsi="Futura Std Condensed Light" w:cs="Calibri"/>
                <w:sz w:val="20"/>
                <w:szCs w:val="20"/>
              </w:rPr>
              <w:t>N.A.</w:t>
            </w:r>
          </w:p>
        </w:tc>
      </w:tr>
      <w:tr w:rsidR="006D148B" w:rsidRPr="006119DB" w14:paraId="78ECFE40" w14:textId="77777777" w:rsidTr="00152649">
        <w:trPr>
          <w:trHeight w:val="402"/>
          <w:jc w:val="center"/>
        </w:trPr>
        <w:tc>
          <w:tcPr>
            <w:tcW w:w="1540" w:type="dxa"/>
            <w:shd w:val="clear" w:color="auto" w:fill="auto"/>
            <w:noWrap/>
            <w:vAlign w:val="center"/>
            <w:hideMark/>
          </w:tcPr>
          <w:p w14:paraId="08CB02F4" w14:textId="77777777" w:rsidR="006D148B" w:rsidRPr="004536EA" w:rsidRDefault="006D148B" w:rsidP="004536EA">
            <w:pPr>
              <w:spacing w:after="100" w:afterAutospacing="1" w:line="240" w:lineRule="auto"/>
              <w:rPr>
                <w:rFonts w:ascii="Futura Std Condensed Light" w:eastAsia="Calibri" w:hAnsi="Futura Std Condensed Light" w:cs="Calibri"/>
                <w:sz w:val="20"/>
                <w:szCs w:val="20"/>
              </w:rPr>
            </w:pPr>
            <w:r w:rsidRPr="004536EA">
              <w:rPr>
                <w:rFonts w:ascii="Futura Std Condensed Light" w:eastAsia="Calibri" w:hAnsi="Futura Std Condensed Light" w:cs="Calibri"/>
                <w:sz w:val="20"/>
                <w:szCs w:val="20"/>
              </w:rPr>
              <w:t>Particular</w:t>
            </w:r>
          </w:p>
        </w:tc>
        <w:tc>
          <w:tcPr>
            <w:tcW w:w="1498" w:type="dxa"/>
            <w:shd w:val="clear" w:color="auto" w:fill="auto"/>
            <w:noWrap/>
            <w:vAlign w:val="center"/>
            <w:hideMark/>
          </w:tcPr>
          <w:p w14:paraId="6F3D0CF3" w14:textId="77777777" w:rsidR="006D148B" w:rsidRPr="004536EA" w:rsidRDefault="006D148B" w:rsidP="004536EA">
            <w:pPr>
              <w:spacing w:after="100" w:afterAutospacing="1" w:line="240" w:lineRule="auto"/>
              <w:jc w:val="center"/>
              <w:rPr>
                <w:rFonts w:ascii="Futura Std Condensed Light" w:eastAsia="Calibri" w:hAnsi="Futura Std Condensed Light" w:cs="Calibri"/>
                <w:sz w:val="20"/>
                <w:szCs w:val="20"/>
              </w:rPr>
            </w:pPr>
            <w:r w:rsidRPr="004536EA">
              <w:rPr>
                <w:rFonts w:ascii="Futura Std Condensed Light" w:eastAsia="Calibri" w:hAnsi="Futura Std Condensed Light" w:cs="Calibri"/>
                <w:sz w:val="20"/>
                <w:szCs w:val="20"/>
              </w:rPr>
              <w:t>5,016</w:t>
            </w:r>
          </w:p>
        </w:tc>
        <w:tc>
          <w:tcPr>
            <w:tcW w:w="1292" w:type="dxa"/>
            <w:shd w:val="clear" w:color="auto" w:fill="auto"/>
            <w:noWrap/>
            <w:vAlign w:val="center"/>
            <w:hideMark/>
          </w:tcPr>
          <w:p w14:paraId="1426BCF7" w14:textId="77777777" w:rsidR="006D148B" w:rsidRPr="004536EA" w:rsidRDefault="006D148B" w:rsidP="004536EA">
            <w:pPr>
              <w:spacing w:after="100" w:afterAutospacing="1" w:line="240" w:lineRule="auto"/>
              <w:jc w:val="center"/>
              <w:rPr>
                <w:rFonts w:ascii="Futura Std Condensed Light" w:eastAsia="Calibri" w:hAnsi="Futura Std Condensed Light" w:cs="Calibri"/>
                <w:sz w:val="20"/>
                <w:szCs w:val="20"/>
              </w:rPr>
            </w:pPr>
            <w:r w:rsidRPr="004536EA">
              <w:rPr>
                <w:rFonts w:ascii="Futura Std Condensed Light" w:eastAsia="Calibri" w:hAnsi="Futura Std Condensed Light" w:cs="Calibri"/>
                <w:sz w:val="20"/>
                <w:szCs w:val="20"/>
              </w:rPr>
              <w:t>5,054</w:t>
            </w:r>
          </w:p>
        </w:tc>
        <w:tc>
          <w:tcPr>
            <w:tcW w:w="1230" w:type="dxa"/>
            <w:shd w:val="clear" w:color="auto" w:fill="auto"/>
            <w:noWrap/>
            <w:vAlign w:val="center"/>
            <w:hideMark/>
          </w:tcPr>
          <w:p w14:paraId="2D2C1EC8" w14:textId="77777777" w:rsidR="006D148B" w:rsidRPr="004536EA" w:rsidRDefault="006D148B" w:rsidP="004536EA">
            <w:pPr>
              <w:spacing w:after="100" w:afterAutospacing="1" w:line="240" w:lineRule="auto"/>
              <w:jc w:val="center"/>
              <w:rPr>
                <w:rFonts w:ascii="Futura Std Condensed Light" w:eastAsia="Calibri" w:hAnsi="Futura Std Condensed Light" w:cs="Calibri"/>
                <w:sz w:val="20"/>
                <w:szCs w:val="20"/>
              </w:rPr>
            </w:pPr>
            <w:r w:rsidRPr="004536EA">
              <w:rPr>
                <w:rFonts w:ascii="Futura Std Condensed Light" w:eastAsia="Calibri" w:hAnsi="Futura Std Condensed Light" w:cs="Calibri"/>
                <w:sz w:val="20"/>
                <w:szCs w:val="20"/>
              </w:rPr>
              <w:t>10,070</w:t>
            </w:r>
          </w:p>
        </w:tc>
        <w:tc>
          <w:tcPr>
            <w:tcW w:w="1340" w:type="dxa"/>
            <w:shd w:val="clear" w:color="auto" w:fill="auto"/>
            <w:noWrap/>
            <w:vAlign w:val="center"/>
            <w:hideMark/>
          </w:tcPr>
          <w:p w14:paraId="10A5AA56" w14:textId="77777777" w:rsidR="006D148B" w:rsidRPr="004536EA" w:rsidRDefault="006D148B" w:rsidP="004536EA">
            <w:pPr>
              <w:spacing w:after="100" w:afterAutospacing="1" w:line="240" w:lineRule="auto"/>
              <w:jc w:val="center"/>
              <w:rPr>
                <w:rFonts w:ascii="Futura Std Condensed Light" w:eastAsia="Calibri" w:hAnsi="Futura Std Condensed Light" w:cs="Calibri"/>
                <w:sz w:val="20"/>
                <w:szCs w:val="20"/>
              </w:rPr>
            </w:pPr>
            <w:r w:rsidRPr="004536EA">
              <w:rPr>
                <w:rFonts w:ascii="Futura Std Condensed Light" w:eastAsia="Calibri" w:hAnsi="Futura Std Condensed Light" w:cs="Calibri"/>
                <w:sz w:val="20"/>
                <w:szCs w:val="20"/>
              </w:rPr>
              <w:t>600</w:t>
            </w:r>
          </w:p>
        </w:tc>
        <w:tc>
          <w:tcPr>
            <w:tcW w:w="1180" w:type="dxa"/>
            <w:shd w:val="clear" w:color="auto" w:fill="auto"/>
            <w:noWrap/>
            <w:vAlign w:val="center"/>
            <w:hideMark/>
          </w:tcPr>
          <w:p w14:paraId="3E846A40" w14:textId="77777777" w:rsidR="006D148B" w:rsidRPr="004536EA" w:rsidRDefault="006D148B" w:rsidP="004536EA">
            <w:pPr>
              <w:spacing w:after="100" w:afterAutospacing="1" w:line="240" w:lineRule="auto"/>
              <w:jc w:val="center"/>
              <w:rPr>
                <w:rFonts w:ascii="Futura Std Condensed Light" w:eastAsia="Calibri" w:hAnsi="Futura Std Condensed Light" w:cs="Calibri"/>
                <w:sz w:val="20"/>
                <w:szCs w:val="20"/>
              </w:rPr>
            </w:pPr>
            <w:r w:rsidRPr="004536EA">
              <w:rPr>
                <w:rFonts w:ascii="Futura Std Condensed Light" w:eastAsia="Calibri" w:hAnsi="Futura Std Condensed Light" w:cs="Calibri"/>
                <w:sz w:val="20"/>
                <w:szCs w:val="20"/>
              </w:rPr>
              <w:t>172</w:t>
            </w:r>
          </w:p>
        </w:tc>
      </w:tr>
      <w:tr w:rsidR="006D148B" w:rsidRPr="006119DB" w14:paraId="176A1FBF" w14:textId="77777777" w:rsidTr="00152649">
        <w:trPr>
          <w:trHeight w:val="499"/>
          <w:jc w:val="center"/>
        </w:trPr>
        <w:tc>
          <w:tcPr>
            <w:tcW w:w="1540" w:type="dxa"/>
            <w:shd w:val="clear" w:color="auto" w:fill="auto"/>
            <w:noWrap/>
            <w:vAlign w:val="center"/>
            <w:hideMark/>
          </w:tcPr>
          <w:p w14:paraId="36E2D7C2" w14:textId="77777777" w:rsidR="006D148B" w:rsidRPr="004536EA" w:rsidRDefault="006D148B" w:rsidP="004536EA">
            <w:pPr>
              <w:spacing w:after="100" w:afterAutospacing="1" w:line="240" w:lineRule="auto"/>
              <w:rPr>
                <w:rFonts w:ascii="Futura Std Condensed Light" w:eastAsia="Calibri" w:hAnsi="Futura Std Condensed Light" w:cs="Calibri"/>
                <w:b/>
                <w:sz w:val="20"/>
                <w:szCs w:val="20"/>
              </w:rPr>
            </w:pPr>
            <w:r w:rsidRPr="004536EA">
              <w:rPr>
                <w:rFonts w:ascii="Futura Std Condensed Light" w:eastAsia="Calibri" w:hAnsi="Futura Std Condensed Light" w:cs="Calibri"/>
                <w:b/>
                <w:sz w:val="20"/>
                <w:szCs w:val="20"/>
              </w:rPr>
              <w:t>Total</w:t>
            </w:r>
          </w:p>
        </w:tc>
        <w:tc>
          <w:tcPr>
            <w:tcW w:w="1498" w:type="dxa"/>
            <w:shd w:val="clear" w:color="auto" w:fill="auto"/>
            <w:noWrap/>
            <w:vAlign w:val="center"/>
            <w:hideMark/>
          </w:tcPr>
          <w:p w14:paraId="377C06B8" w14:textId="77777777" w:rsidR="006D148B" w:rsidRPr="004536EA" w:rsidRDefault="006D148B" w:rsidP="004536EA">
            <w:pPr>
              <w:spacing w:after="100" w:afterAutospacing="1" w:line="240" w:lineRule="auto"/>
              <w:jc w:val="center"/>
              <w:rPr>
                <w:rFonts w:ascii="Futura Std Condensed Light" w:eastAsia="Calibri" w:hAnsi="Futura Std Condensed Light" w:cs="Calibri"/>
                <w:b/>
                <w:sz w:val="20"/>
                <w:szCs w:val="20"/>
              </w:rPr>
            </w:pPr>
            <w:r w:rsidRPr="004536EA">
              <w:rPr>
                <w:rFonts w:ascii="Futura Std Condensed Light" w:eastAsia="Calibri" w:hAnsi="Futura Std Condensed Light" w:cs="Calibri"/>
                <w:b/>
                <w:sz w:val="20"/>
                <w:szCs w:val="20"/>
              </w:rPr>
              <w:t>30,229</w:t>
            </w:r>
          </w:p>
        </w:tc>
        <w:tc>
          <w:tcPr>
            <w:tcW w:w="1292" w:type="dxa"/>
            <w:shd w:val="clear" w:color="auto" w:fill="auto"/>
            <w:noWrap/>
            <w:vAlign w:val="center"/>
            <w:hideMark/>
          </w:tcPr>
          <w:p w14:paraId="2C1A8122" w14:textId="77777777" w:rsidR="006D148B" w:rsidRPr="004536EA" w:rsidRDefault="006D148B" w:rsidP="004536EA">
            <w:pPr>
              <w:spacing w:after="100" w:afterAutospacing="1" w:line="240" w:lineRule="auto"/>
              <w:jc w:val="center"/>
              <w:rPr>
                <w:rFonts w:ascii="Futura Std Condensed Light" w:eastAsia="Calibri" w:hAnsi="Futura Std Condensed Light" w:cs="Calibri"/>
                <w:b/>
                <w:sz w:val="20"/>
                <w:szCs w:val="20"/>
              </w:rPr>
            </w:pPr>
            <w:r w:rsidRPr="004536EA">
              <w:rPr>
                <w:rFonts w:ascii="Futura Std Condensed Light" w:eastAsia="Calibri" w:hAnsi="Futura Std Condensed Light" w:cs="Calibri"/>
                <w:b/>
                <w:sz w:val="20"/>
                <w:szCs w:val="20"/>
              </w:rPr>
              <w:t>29,829</w:t>
            </w:r>
          </w:p>
        </w:tc>
        <w:tc>
          <w:tcPr>
            <w:tcW w:w="1230" w:type="dxa"/>
            <w:shd w:val="clear" w:color="auto" w:fill="auto"/>
            <w:noWrap/>
            <w:vAlign w:val="center"/>
            <w:hideMark/>
          </w:tcPr>
          <w:p w14:paraId="0FD8C959" w14:textId="77777777" w:rsidR="006D148B" w:rsidRPr="004536EA" w:rsidRDefault="006D148B" w:rsidP="004536EA">
            <w:pPr>
              <w:spacing w:after="100" w:afterAutospacing="1" w:line="240" w:lineRule="auto"/>
              <w:jc w:val="center"/>
              <w:rPr>
                <w:rFonts w:ascii="Futura Std Condensed Light" w:eastAsia="Calibri" w:hAnsi="Futura Std Condensed Light" w:cs="Calibri"/>
                <w:b/>
                <w:sz w:val="20"/>
                <w:szCs w:val="20"/>
              </w:rPr>
            </w:pPr>
            <w:r w:rsidRPr="004536EA">
              <w:rPr>
                <w:rFonts w:ascii="Futura Std Condensed Light" w:eastAsia="Calibri" w:hAnsi="Futura Std Condensed Light" w:cs="Calibri"/>
                <w:b/>
                <w:sz w:val="20"/>
                <w:szCs w:val="20"/>
              </w:rPr>
              <w:t>60,058</w:t>
            </w:r>
          </w:p>
        </w:tc>
        <w:tc>
          <w:tcPr>
            <w:tcW w:w="1340" w:type="dxa"/>
            <w:shd w:val="clear" w:color="auto" w:fill="auto"/>
            <w:noWrap/>
            <w:vAlign w:val="center"/>
            <w:hideMark/>
          </w:tcPr>
          <w:p w14:paraId="0AB12690" w14:textId="77777777" w:rsidR="006D148B" w:rsidRPr="004536EA" w:rsidRDefault="006D148B" w:rsidP="004536EA">
            <w:pPr>
              <w:spacing w:after="100" w:afterAutospacing="1" w:line="240" w:lineRule="auto"/>
              <w:jc w:val="center"/>
              <w:rPr>
                <w:rFonts w:ascii="Futura Std Condensed Light" w:eastAsia="Calibri" w:hAnsi="Futura Std Condensed Light" w:cs="Calibri"/>
                <w:b/>
                <w:sz w:val="20"/>
                <w:szCs w:val="20"/>
              </w:rPr>
            </w:pPr>
            <w:r w:rsidRPr="004536EA">
              <w:rPr>
                <w:rFonts w:ascii="Futura Std Condensed Light" w:eastAsia="Calibri" w:hAnsi="Futura Std Condensed Light" w:cs="Calibri"/>
                <w:b/>
                <w:sz w:val="20"/>
                <w:szCs w:val="20"/>
              </w:rPr>
              <w:t>2,615</w:t>
            </w:r>
          </w:p>
        </w:tc>
        <w:tc>
          <w:tcPr>
            <w:tcW w:w="1180" w:type="dxa"/>
            <w:shd w:val="clear" w:color="auto" w:fill="auto"/>
            <w:noWrap/>
            <w:vAlign w:val="center"/>
            <w:hideMark/>
          </w:tcPr>
          <w:p w14:paraId="492123E0" w14:textId="77777777" w:rsidR="006D148B" w:rsidRPr="004536EA" w:rsidRDefault="006D148B" w:rsidP="004536EA">
            <w:pPr>
              <w:spacing w:after="100" w:afterAutospacing="1" w:line="240" w:lineRule="auto"/>
              <w:jc w:val="center"/>
              <w:rPr>
                <w:rFonts w:ascii="Futura Std Condensed Light" w:eastAsia="Calibri" w:hAnsi="Futura Std Condensed Light" w:cs="Calibri"/>
                <w:b/>
                <w:sz w:val="20"/>
                <w:szCs w:val="20"/>
              </w:rPr>
            </w:pPr>
            <w:r w:rsidRPr="004536EA">
              <w:rPr>
                <w:rFonts w:ascii="Futura Std Condensed Light" w:eastAsia="Calibri" w:hAnsi="Futura Std Condensed Light" w:cs="Calibri"/>
                <w:b/>
                <w:sz w:val="20"/>
                <w:szCs w:val="20"/>
              </w:rPr>
              <w:t>785</w:t>
            </w:r>
          </w:p>
        </w:tc>
      </w:tr>
    </w:tbl>
    <w:p w14:paraId="76615EAA" w14:textId="52FEAFB2" w:rsidR="006D148B" w:rsidRDefault="006D148B" w:rsidP="004536EA">
      <w:pPr>
        <w:spacing w:after="0"/>
        <w:jc w:val="center"/>
        <w:rPr>
          <w:rFonts w:ascii="Futura Bk BT" w:hAnsi="Futura Bk BT"/>
          <w:sz w:val="16"/>
          <w:szCs w:val="16"/>
        </w:rPr>
      </w:pPr>
      <w:r w:rsidRPr="000E1464">
        <w:rPr>
          <w:rFonts w:ascii="Futura Bk BT" w:hAnsi="Futura Bk BT"/>
          <w:b/>
          <w:sz w:val="16"/>
          <w:szCs w:val="16"/>
        </w:rPr>
        <w:t>Fuente:</w:t>
      </w:r>
      <w:r w:rsidRPr="00C124B2">
        <w:rPr>
          <w:rFonts w:ascii="Futura Bk BT" w:hAnsi="Futura Bk BT"/>
          <w:sz w:val="16"/>
          <w:szCs w:val="16"/>
        </w:rPr>
        <w:t xml:space="preserve"> Estadísticas continúas del formato 911 (inicio de ciclo escolar), SEQ.</w:t>
      </w:r>
    </w:p>
    <w:p w14:paraId="42C73602" w14:textId="4F256635" w:rsidR="00922031" w:rsidRPr="00922031" w:rsidRDefault="00922031" w:rsidP="00922031">
      <w:pPr>
        <w:spacing w:after="0"/>
        <w:jc w:val="center"/>
        <w:rPr>
          <w:rFonts w:ascii="Futura Bk BT" w:hAnsi="Futura Bk BT"/>
          <w:sz w:val="16"/>
          <w:szCs w:val="16"/>
        </w:rPr>
      </w:pPr>
      <w:r w:rsidRPr="00922031">
        <w:rPr>
          <w:rFonts w:ascii="Futura Bk BT" w:hAnsi="Futura Bk BT"/>
          <w:b/>
          <w:sz w:val="16"/>
          <w:szCs w:val="16"/>
        </w:rPr>
        <w:t>CAI:</w:t>
      </w:r>
      <w:r>
        <w:rPr>
          <w:rFonts w:ascii="Futura Bk BT" w:hAnsi="Futura Bk BT"/>
          <w:sz w:val="16"/>
          <w:szCs w:val="16"/>
        </w:rPr>
        <w:t xml:space="preserve"> Centros de Atención Infantil.</w:t>
      </w:r>
    </w:p>
    <w:p w14:paraId="107987FC" w14:textId="61720C94" w:rsidR="006D148B" w:rsidRDefault="006D148B" w:rsidP="006D148B">
      <w:pPr>
        <w:spacing w:after="0" w:line="240" w:lineRule="auto"/>
        <w:rPr>
          <w:rFonts w:ascii="Futura Bk BT" w:hAnsi="Futura Bk BT"/>
          <w:sz w:val="16"/>
          <w:szCs w:val="16"/>
        </w:rPr>
      </w:pPr>
      <w:r w:rsidRPr="000E1464">
        <w:rPr>
          <w:rFonts w:ascii="Futura Bk BT" w:hAnsi="Futura Bk BT"/>
          <w:b/>
          <w:sz w:val="16"/>
          <w:szCs w:val="16"/>
        </w:rPr>
        <w:t>N.A.:</w:t>
      </w:r>
      <w:r w:rsidRPr="000E1464">
        <w:rPr>
          <w:rFonts w:ascii="Futura Bk BT" w:hAnsi="Futura Bk BT"/>
          <w:sz w:val="16"/>
          <w:szCs w:val="16"/>
        </w:rPr>
        <w:t xml:space="preserve"> No aplica, ya que </w:t>
      </w:r>
      <w:r w:rsidR="00103AE7">
        <w:rPr>
          <w:rFonts w:ascii="Futura Bk BT" w:hAnsi="Futura Bk BT"/>
          <w:sz w:val="16"/>
          <w:szCs w:val="16"/>
        </w:rPr>
        <w:t>las escuelas de preescolar CAI</w:t>
      </w:r>
      <w:r>
        <w:rPr>
          <w:rFonts w:ascii="Futura Bk BT" w:hAnsi="Futura Bk BT"/>
          <w:sz w:val="16"/>
          <w:szCs w:val="16"/>
        </w:rPr>
        <w:t xml:space="preserve"> se registran en educación inicial por que tienen la misma clave de centro de trabajo.</w:t>
      </w:r>
    </w:p>
    <w:p w14:paraId="62019D91" w14:textId="3B5335B9" w:rsidR="00FB22EA" w:rsidRDefault="00FB22EA" w:rsidP="006D148B">
      <w:pPr>
        <w:spacing w:after="0"/>
        <w:rPr>
          <w:rFonts w:ascii="Futura Bk BT" w:hAnsi="Futura Bk BT"/>
          <w:b/>
        </w:rPr>
      </w:pPr>
    </w:p>
    <w:p w14:paraId="1A55B923" w14:textId="77777777" w:rsidR="00FB22EA" w:rsidRDefault="00FB22EA" w:rsidP="006D148B">
      <w:pPr>
        <w:spacing w:after="0"/>
        <w:rPr>
          <w:rFonts w:ascii="Futura Bk BT" w:hAnsi="Futura Bk BT"/>
          <w:b/>
        </w:rPr>
      </w:pPr>
    </w:p>
    <w:p w14:paraId="5EF445E1" w14:textId="77777777" w:rsidR="006D148B" w:rsidRPr="00382832" w:rsidRDefault="006D148B" w:rsidP="006D148B">
      <w:pPr>
        <w:spacing w:after="0"/>
        <w:rPr>
          <w:rFonts w:eastAsia="Times New Roman" w:cs="Futura"/>
          <w:b/>
        </w:rPr>
      </w:pPr>
      <w:r w:rsidRPr="00382832">
        <w:rPr>
          <w:rFonts w:eastAsia="Times New Roman" w:cs="Futura"/>
          <w:b/>
        </w:rPr>
        <w:t>Atención a la demanda de educación preescolar (Cobertura)</w:t>
      </w:r>
    </w:p>
    <w:p w14:paraId="5C29B469" w14:textId="77777777" w:rsidR="006D148B" w:rsidRPr="00382832" w:rsidRDefault="006D148B" w:rsidP="006D148B">
      <w:pPr>
        <w:spacing w:after="0"/>
        <w:rPr>
          <w:rFonts w:eastAsia="Times New Roman" w:cs="Futura"/>
        </w:rPr>
      </w:pPr>
    </w:p>
    <w:p w14:paraId="4D80CED3" w14:textId="1FC7A713" w:rsidR="00C9487D" w:rsidRDefault="006D148B" w:rsidP="00FB22EA">
      <w:pPr>
        <w:rPr>
          <w:rFonts w:eastAsia="Times New Roman" w:cs="Futura"/>
        </w:rPr>
      </w:pPr>
      <w:r w:rsidRPr="00382832">
        <w:rPr>
          <w:rFonts w:eastAsia="Times New Roman" w:cs="Futura"/>
        </w:rPr>
        <w:t>En el ciclo escolar 2018-2019, la atención al grupo de edad de 3 a 5 años que corresponde a la formación preescolar, fue de 60.5 por ciento</w:t>
      </w:r>
      <w:r>
        <w:rPr>
          <w:rFonts w:eastAsia="Times New Roman" w:cs="Futura"/>
        </w:rPr>
        <w:t xml:space="preserve"> el estatal y 72.1 por ciento el nacional</w:t>
      </w:r>
      <w:r w:rsidRPr="00382832">
        <w:rPr>
          <w:rFonts w:eastAsia="Times New Roman" w:cs="Futura"/>
        </w:rPr>
        <w:t>, para el ciclo escolar 2019-2020 la cobertura fue de 65.9 por ciento, un incremento de 5.4 por ciento con relación al ciclo anterior, situándose por debajo de la media nacional que fue de 72.3 por ciento. Se requiere impulsar estrategias innovadoras y aplicación de mayores recursos tanto financieros como humanos, para reducir la brecha existente respecto a la atención de</w:t>
      </w:r>
      <w:r>
        <w:rPr>
          <w:rFonts w:eastAsia="Times New Roman" w:cs="Futura"/>
        </w:rPr>
        <w:t xml:space="preserve"> la demanda potencial (Gráfica 1</w:t>
      </w:r>
      <w:r w:rsidRPr="00382832">
        <w:rPr>
          <w:rFonts w:eastAsia="Times New Roman" w:cs="Futura"/>
        </w:rPr>
        <w:t>).</w:t>
      </w:r>
    </w:p>
    <w:p w14:paraId="496152BA" w14:textId="0B6046AD" w:rsidR="00C40895" w:rsidRDefault="00C40895">
      <w:pPr>
        <w:spacing w:after="0" w:line="240" w:lineRule="auto"/>
        <w:jc w:val="left"/>
        <w:rPr>
          <w:rFonts w:eastAsia="Times New Roman" w:cs="Futura"/>
        </w:rPr>
      </w:pPr>
      <w:r>
        <w:rPr>
          <w:rFonts w:eastAsia="Times New Roman" w:cs="Futura"/>
        </w:rPr>
        <w:br w:type="page"/>
      </w:r>
    </w:p>
    <w:p w14:paraId="256EE90F" w14:textId="77777777" w:rsidR="006D148B" w:rsidRPr="00121E3F" w:rsidRDefault="006D148B" w:rsidP="006D148B">
      <w:pPr>
        <w:spacing w:after="0"/>
        <w:jc w:val="center"/>
        <w:rPr>
          <w:b/>
          <w:color w:val="4BACC6" w:themeColor="accent5"/>
        </w:rPr>
      </w:pPr>
      <w:r>
        <w:rPr>
          <w:b/>
          <w:color w:val="4BACC6" w:themeColor="accent5"/>
        </w:rPr>
        <w:lastRenderedPageBreak/>
        <w:t>Gráfica 1</w:t>
      </w:r>
      <w:r w:rsidRPr="00121E3F">
        <w:rPr>
          <w:b/>
          <w:color w:val="4BACC6" w:themeColor="accent5"/>
        </w:rPr>
        <w:t xml:space="preserve">. Cobertura de educación preescolar, </w:t>
      </w:r>
      <w:r>
        <w:rPr>
          <w:b/>
          <w:color w:val="4BACC6" w:themeColor="accent5"/>
        </w:rPr>
        <w:t xml:space="preserve">comparativo </w:t>
      </w:r>
      <w:r w:rsidRPr="00121E3F">
        <w:rPr>
          <w:b/>
          <w:color w:val="4BACC6" w:themeColor="accent5"/>
        </w:rPr>
        <w:t>estatal y nacional</w:t>
      </w:r>
    </w:p>
    <w:p w14:paraId="2AEF98C0" w14:textId="77777777" w:rsidR="006D148B" w:rsidRDefault="006D148B" w:rsidP="006D148B">
      <w:pPr>
        <w:spacing w:after="0"/>
        <w:jc w:val="center"/>
        <w:rPr>
          <w:rFonts w:ascii="Futura Bk BT" w:hAnsi="Futura Bk BT"/>
        </w:rPr>
      </w:pPr>
      <w:r w:rsidRPr="00121E3F">
        <w:rPr>
          <w:b/>
          <w:color w:val="4BACC6" w:themeColor="accent5"/>
        </w:rPr>
        <w:t>Ciclo escolar 2018-2019 y 2019-2020</w:t>
      </w:r>
    </w:p>
    <w:p w14:paraId="44C3CF59" w14:textId="77777777" w:rsidR="006D148B" w:rsidRDefault="006D148B" w:rsidP="006D148B">
      <w:pPr>
        <w:spacing w:after="0"/>
        <w:rPr>
          <w:rFonts w:ascii="Futura Bk BT" w:hAnsi="Futura Bk BT"/>
          <w:b/>
          <w:sz w:val="16"/>
          <w:szCs w:val="16"/>
        </w:rPr>
      </w:pPr>
      <w:r>
        <w:rPr>
          <w:noProof/>
          <w:lang w:val="es-MX" w:eastAsia="es-MX"/>
        </w:rPr>
        <w:drawing>
          <wp:anchor distT="0" distB="0" distL="114300" distR="114300" simplePos="0" relativeHeight="251695104" behindDoc="0" locked="0" layoutInCell="1" allowOverlap="1" wp14:anchorId="19B9436E" wp14:editId="735C84EF">
            <wp:simplePos x="0" y="0"/>
            <wp:positionH relativeFrom="column">
              <wp:posOffset>520065</wp:posOffset>
            </wp:positionH>
            <wp:positionV relativeFrom="paragraph">
              <wp:posOffset>53340</wp:posOffset>
            </wp:positionV>
            <wp:extent cx="4572000" cy="2209800"/>
            <wp:effectExtent l="0" t="0" r="0" b="0"/>
            <wp:wrapSquare wrapText="bothSides"/>
            <wp:docPr id="32" name="Gráfico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V relativeFrom="margin">
              <wp14:pctHeight>0</wp14:pctHeight>
            </wp14:sizeRelV>
          </wp:anchor>
        </w:drawing>
      </w:r>
    </w:p>
    <w:p w14:paraId="26F65BC1" w14:textId="77777777" w:rsidR="006D148B" w:rsidRDefault="006D148B" w:rsidP="006D148B">
      <w:pPr>
        <w:spacing w:after="0"/>
        <w:rPr>
          <w:rFonts w:ascii="Futura Bk BT" w:hAnsi="Futura Bk BT"/>
          <w:b/>
          <w:sz w:val="16"/>
          <w:szCs w:val="16"/>
        </w:rPr>
      </w:pPr>
    </w:p>
    <w:p w14:paraId="542ACD75" w14:textId="77777777" w:rsidR="006D148B" w:rsidRDefault="006D148B" w:rsidP="006D148B">
      <w:pPr>
        <w:spacing w:after="0"/>
        <w:rPr>
          <w:rFonts w:ascii="Futura Bk BT" w:hAnsi="Futura Bk BT"/>
          <w:b/>
          <w:sz w:val="16"/>
          <w:szCs w:val="16"/>
        </w:rPr>
      </w:pPr>
    </w:p>
    <w:p w14:paraId="0918F340" w14:textId="77777777" w:rsidR="006D148B" w:rsidRDefault="006D148B" w:rsidP="006D148B">
      <w:pPr>
        <w:spacing w:after="0"/>
        <w:rPr>
          <w:rFonts w:ascii="Futura Bk BT" w:hAnsi="Futura Bk BT"/>
          <w:b/>
          <w:sz w:val="16"/>
          <w:szCs w:val="16"/>
        </w:rPr>
      </w:pPr>
    </w:p>
    <w:p w14:paraId="1D388763" w14:textId="77777777" w:rsidR="006D148B" w:rsidRDefault="006D148B" w:rsidP="006D148B">
      <w:pPr>
        <w:spacing w:after="0"/>
        <w:rPr>
          <w:rFonts w:ascii="Futura Bk BT" w:hAnsi="Futura Bk BT"/>
          <w:b/>
          <w:sz w:val="16"/>
          <w:szCs w:val="16"/>
        </w:rPr>
      </w:pPr>
    </w:p>
    <w:p w14:paraId="1CAEB017" w14:textId="77777777" w:rsidR="006D148B" w:rsidRDefault="006D148B" w:rsidP="006D148B">
      <w:pPr>
        <w:spacing w:after="0"/>
        <w:rPr>
          <w:rFonts w:ascii="Futura Bk BT" w:hAnsi="Futura Bk BT"/>
          <w:b/>
          <w:sz w:val="16"/>
          <w:szCs w:val="16"/>
        </w:rPr>
      </w:pPr>
    </w:p>
    <w:p w14:paraId="74A63500" w14:textId="77777777" w:rsidR="006D148B" w:rsidRDefault="006D148B" w:rsidP="006D148B">
      <w:pPr>
        <w:rPr>
          <w:rFonts w:ascii="Futura Bk BT" w:hAnsi="Futura Bk BT"/>
          <w:b/>
          <w:sz w:val="16"/>
          <w:szCs w:val="16"/>
        </w:rPr>
      </w:pPr>
    </w:p>
    <w:p w14:paraId="274C2841" w14:textId="77777777" w:rsidR="006D148B" w:rsidRDefault="006D148B" w:rsidP="006D148B">
      <w:pPr>
        <w:rPr>
          <w:rFonts w:ascii="Futura Bk BT" w:hAnsi="Futura Bk BT"/>
          <w:b/>
          <w:sz w:val="16"/>
          <w:szCs w:val="16"/>
        </w:rPr>
      </w:pPr>
    </w:p>
    <w:p w14:paraId="2FB104C7" w14:textId="77777777" w:rsidR="006D148B" w:rsidRDefault="006D148B" w:rsidP="006D148B">
      <w:pPr>
        <w:rPr>
          <w:rFonts w:ascii="Futura Bk BT" w:hAnsi="Futura Bk BT"/>
          <w:b/>
          <w:sz w:val="16"/>
          <w:szCs w:val="16"/>
        </w:rPr>
      </w:pPr>
    </w:p>
    <w:p w14:paraId="351124DA" w14:textId="77777777" w:rsidR="006D148B" w:rsidRDefault="006D148B" w:rsidP="006D148B">
      <w:pPr>
        <w:rPr>
          <w:rFonts w:ascii="Futura Bk BT" w:hAnsi="Futura Bk BT"/>
          <w:b/>
          <w:sz w:val="16"/>
          <w:szCs w:val="16"/>
        </w:rPr>
      </w:pPr>
    </w:p>
    <w:p w14:paraId="6DBFA1E0" w14:textId="77777777" w:rsidR="006D148B" w:rsidRDefault="006D148B" w:rsidP="006D148B">
      <w:pPr>
        <w:rPr>
          <w:rFonts w:ascii="Futura Bk BT" w:hAnsi="Futura Bk BT"/>
          <w:b/>
          <w:sz w:val="16"/>
          <w:szCs w:val="16"/>
        </w:rPr>
      </w:pPr>
    </w:p>
    <w:p w14:paraId="2C748D8A" w14:textId="77777777" w:rsidR="006A1236" w:rsidRDefault="006A1236" w:rsidP="006D148B">
      <w:pPr>
        <w:rPr>
          <w:rFonts w:ascii="Futura Bk BT" w:hAnsi="Futura Bk BT"/>
          <w:b/>
          <w:sz w:val="16"/>
          <w:szCs w:val="16"/>
        </w:rPr>
      </w:pPr>
    </w:p>
    <w:p w14:paraId="6BB1F0AE" w14:textId="1B51CEBB" w:rsidR="006D148B" w:rsidRPr="000E1464" w:rsidRDefault="006D148B" w:rsidP="006D148B">
      <w:pPr>
        <w:rPr>
          <w:rFonts w:ascii="Futura Bk BT" w:hAnsi="Futura Bk BT" w:cstheme="minorHAnsi"/>
          <w:sz w:val="16"/>
          <w:szCs w:val="16"/>
        </w:rPr>
      </w:pPr>
      <w:r w:rsidRPr="000E1464">
        <w:rPr>
          <w:rFonts w:ascii="Futura Bk BT" w:hAnsi="Futura Bk BT"/>
          <w:b/>
          <w:sz w:val="16"/>
          <w:szCs w:val="16"/>
        </w:rPr>
        <w:t>Fuente:</w:t>
      </w:r>
      <w:r>
        <w:rPr>
          <w:rFonts w:ascii="Futura Bk BT" w:hAnsi="Futura Bk BT"/>
          <w:sz w:val="16"/>
          <w:szCs w:val="16"/>
        </w:rPr>
        <w:t xml:space="preserve"> </w:t>
      </w:r>
      <w:r w:rsidRPr="000E1464">
        <w:rPr>
          <w:rFonts w:ascii="Futura Bk BT" w:hAnsi="Futura Bk BT"/>
          <w:sz w:val="16"/>
          <w:szCs w:val="16"/>
        </w:rPr>
        <w:t>Estadísticas continúas del formato 911 (inicio de ciclo escolar)</w:t>
      </w:r>
      <w:r>
        <w:rPr>
          <w:rFonts w:ascii="Futura Bk BT" w:hAnsi="Futura Bk BT"/>
          <w:sz w:val="16"/>
          <w:szCs w:val="16"/>
        </w:rPr>
        <w:t xml:space="preserve"> 2018-2019 y 2019-2020</w:t>
      </w:r>
      <w:r w:rsidRPr="000E1464">
        <w:rPr>
          <w:rFonts w:ascii="Futura Bk BT" w:hAnsi="Futura Bk BT"/>
          <w:sz w:val="16"/>
          <w:szCs w:val="16"/>
        </w:rPr>
        <w:t>, SEQ.</w:t>
      </w:r>
      <w:r>
        <w:rPr>
          <w:rFonts w:ascii="Futura Bk BT" w:hAnsi="Futura Bk BT"/>
          <w:sz w:val="16"/>
          <w:szCs w:val="16"/>
        </w:rPr>
        <w:t xml:space="preserve"> </w:t>
      </w:r>
      <w:r w:rsidRPr="000E1464">
        <w:rPr>
          <w:rFonts w:ascii="Futura Bk BT" w:hAnsi="Futura Bk BT" w:cstheme="minorHAnsi"/>
          <w:sz w:val="16"/>
          <w:szCs w:val="16"/>
        </w:rPr>
        <w:t xml:space="preserve">Proyecciones de la Población </w:t>
      </w:r>
      <w:r>
        <w:rPr>
          <w:rFonts w:ascii="Futura Bk BT" w:hAnsi="Futura Bk BT" w:cstheme="minorHAnsi"/>
          <w:sz w:val="16"/>
          <w:szCs w:val="16"/>
        </w:rPr>
        <w:t>por</w:t>
      </w:r>
      <w:r w:rsidRPr="000E1464">
        <w:rPr>
          <w:rFonts w:ascii="Futura Bk BT" w:hAnsi="Futura Bk BT" w:cstheme="minorHAnsi"/>
          <w:sz w:val="16"/>
          <w:szCs w:val="16"/>
        </w:rPr>
        <w:t xml:space="preserve"> </w:t>
      </w:r>
      <w:r>
        <w:rPr>
          <w:rFonts w:ascii="Futura Bk BT" w:hAnsi="Futura Bk BT" w:cstheme="minorHAnsi"/>
          <w:sz w:val="16"/>
          <w:szCs w:val="16"/>
        </w:rPr>
        <w:t>e</w:t>
      </w:r>
      <w:r w:rsidRPr="000E1464">
        <w:rPr>
          <w:rFonts w:ascii="Futura Bk BT" w:hAnsi="Futura Bk BT" w:cstheme="minorHAnsi"/>
          <w:sz w:val="16"/>
          <w:szCs w:val="16"/>
        </w:rPr>
        <w:t xml:space="preserve">ntidad </w:t>
      </w:r>
      <w:r>
        <w:rPr>
          <w:rFonts w:ascii="Futura Bk BT" w:hAnsi="Futura Bk BT" w:cstheme="minorHAnsi"/>
          <w:sz w:val="16"/>
          <w:szCs w:val="16"/>
        </w:rPr>
        <w:t>f</w:t>
      </w:r>
      <w:r w:rsidRPr="000E1464">
        <w:rPr>
          <w:rFonts w:ascii="Futura Bk BT" w:hAnsi="Futura Bk BT" w:cstheme="minorHAnsi"/>
          <w:sz w:val="16"/>
          <w:szCs w:val="16"/>
        </w:rPr>
        <w:t>ederativa</w:t>
      </w:r>
      <w:r>
        <w:rPr>
          <w:rFonts w:ascii="Futura Bk BT" w:hAnsi="Futura Bk BT" w:cstheme="minorHAnsi"/>
          <w:sz w:val="16"/>
          <w:szCs w:val="16"/>
        </w:rPr>
        <w:t xml:space="preserve"> 1970-2050</w:t>
      </w:r>
      <w:r w:rsidRPr="000E1464">
        <w:rPr>
          <w:rFonts w:ascii="Futura Bk BT" w:hAnsi="Futura Bk BT" w:cstheme="minorHAnsi"/>
          <w:sz w:val="16"/>
          <w:szCs w:val="16"/>
        </w:rPr>
        <w:t>, CONAPO.</w:t>
      </w:r>
    </w:p>
    <w:p w14:paraId="4AC14DF8" w14:textId="77777777" w:rsidR="006A1236" w:rsidRDefault="006A1236" w:rsidP="006D148B">
      <w:pPr>
        <w:spacing w:after="0"/>
        <w:rPr>
          <w:rFonts w:eastAsia="Times New Roman" w:cs="Futura"/>
          <w:b/>
        </w:rPr>
      </w:pPr>
    </w:p>
    <w:p w14:paraId="246B290A" w14:textId="3DB7AEFF" w:rsidR="006D148B" w:rsidRPr="00967977" w:rsidRDefault="006D148B" w:rsidP="006D148B">
      <w:pPr>
        <w:spacing w:after="0"/>
        <w:rPr>
          <w:rFonts w:eastAsia="Times New Roman" w:cs="Futura"/>
          <w:b/>
        </w:rPr>
      </w:pPr>
      <w:r w:rsidRPr="00967977">
        <w:rPr>
          <w:rFonts w:eastAsia="Times New Roman" w:cs="Futura"/>
          <w:b/>
        </w:rPr>
        <w:t>Educación Primaria</w:t>
      </w:r>
    </w:p>
    <w:p w14:paraId="3E1238C7" w14:textId="77777777" w:rsidR="006D148B" w:rsidRPr="00967977" w:rsidRDefault="006D148B" w:rsidP="006D148B">
      <w:pPr>
        <w:spacing w:after="0"/>
        <w:rPr>
          <w:rFonts w:eastAsia="Times New Roman" w:cs="Futura"/>
        </w:rPr>
      </w:pPr>
    </w:p>
    <w:p w14:paraId="5C190375" w14:textId="77777777" w:rsidR="006D148B" w:rsidRDefault="006D148B" w:rsidP="00A42440">
      <w:pPr>
        <w:rPr>
          <w:rFonts w:eastAsia="Times New Roman" w:cs="Futura"/>
        </w:rPr>
      </w:pPr>
      <w:r w:rsidRPr="00967977">
        <w:rPr>
          <w:rFonts w:eastAsia="Times New Roman" w:cs="Futura"/>
        </w:rPr>
        <w:t>La Educación Primaria constituye el segundo nivel de la Educación Básica</w:t>
      </w:r>
      <w:r>
        <w:rPr>
          <w:rFonts w:eastAsia="Times New Roman" w:cs="Futura"/>
        </w:rPr>
        <w:t xml:space="preserve">, se cursa en seis grados en un rango de edad comprendida de 6 a 11 años, se acredita mediante un certificado oficial </w:t>
      </w:r>
      <w:r w:rsidRPr="00967977">
        <w:rPr>
          <w:rFonts w:eastAsia="Times New Roman" w:cs="Futura"/>
        </w:rPr>
        <w:t>y su conclusión es requisito indispensabl</w:t>
      </w:r>
      <w:r>
        <w:rPr>
          <w:rFonts w:eastAsia="Times New Roman" w:cs="Futura"/>
        </w:rPr>
        <w:t xml:space="preserve">e para ingresar a la secundaria. En él se atiende a los estudiantes en tres tipos de servicios: </w:t>
      </w:r>
      <w:r w:rsidRPr="00967977">
        <w:rPr>
          <w:rFonts w:eastAsia="Times New Roman" w:cs="Futura"/>
        </w:rPr>
        <w:t>General, Indígena, Conafe y Particular.</w:t>
      </w:r>
      <w:r>
        <w:rPr>
          <w:rFonts w:eastAsia="Times New Roman" w:cs="Futura"/>
        </w:rPr>
        <w:t xml:space="preserve"> En la educación primaria se brinda a los alumnos una preparación general que comprende los conocimientos necesarios que desarrollen cimientos sólidos para la educación a lo largo de la vida. Las áreas curriculares básicas son Lectura, Escritura y Matemáticas, que se complementan con conocimientos de Tecnologías, Ciencias Naturales, Ciencias Sociales, Historia, Geografía, Arte y Música. </w:t>
      </w:r>
    </w:p>
    <w:p w14:paraId="7C6A2C8D" w14:textId="77777777" w:rsidR="006D148B" w:rsidRDefault="006D148B" w:rsidP="00A42440">
      <w:pPr>
        <w:rPr>
          <w:rFonts w:eastAsia="Times New Roman" w:cs="Futura"/>
        </w:rPr>
      </w:pPr>
      <w:r w:rsidRPr="00967977">
        <w:rPr>
          <w:rFonts w:eastAsia="Times New Roman" w:cs="Futura"/>
        </w:rPr>
        <w:t>Para el ciclo escolar 2019-2020 la matrícula de primaria fue de 194 mil 728 alumnos(as), 99 mil 168 son niños y 95 mil 560 son niñas;</w:t>
      </w:r>
      <w:r>
        <w:rPr>
          <w:rFonts w:eastAsia="Times New Roman" w:cs="Futura"/>
        </w:rPr>
        <w:t xml:space="preserve"> este nivel representa el 40.81 </w:t>
      </w:r>
      <w:r w:rsidRPr="00967977">
        <w:rPr>
          <w:rFonts w:eastAsia="Times New Roman" w:cs="Futura"/>
        </w:rPr>
        <w:t xml:space="preserve">por ciento del total de la matrícula </w:t>
      </w:r>
      <w:r>
        <w:rPr>
          <w:rFonts w:eastAsia="Times New Roman" w:cs="Futura"/>
        </w:rPr>
        <w:t>atendida en el estado</w:t>
      </w:r>
      <w:r w:rsidRPr="00967977">
        <w:rPr>
          <w:rFonts w:eastAsia="Times New Roman" w:cs="Futura"/>
        </w:rPr>
        <w:t xml:space="preserve">, un incremento de 1.81 por ciento, esto es 3 mil 460 alumnos más con relación al ciclo anterior. La matrícula de la modalidad general fue de 165 mil 654 alumnos(as), particular con 24 mil 920, indígena con 3 mil 651 y la </w:t>
      </w:r>
      <w:r w:rsidRPr="00967977">
        <w:rPr>
          <w:rFonts w:eastAsia="Times New Roman" w:cs="Futura"/>
        </w:rPr>
        <w:lastRenderedPageBreak/>
        <w:t xml:space="preserve">modalidad Conafe con 503 alumnos(as), estas dos últimas son dirigidas a sectores de la población ubicados en el medio rural-indígena. </w:t>
      </w:r>
    </w:p>
    <w:p w14:paraId="7BDFC51D" w14:textId="4CEE17A7" w:rsidR="00C9487D" w:rsidRDefault="006D148B" w:rsidP="000427E6">
      <w:pPr>
        <w:rPr>
          <w:rFonts w:eastAsia="Times New Roman" w:cs="Futura"/>
        </w:rPr>
      </w:pPr>
      <w:r w:rsidRPr="00967977">
        <w:rPr>
          <w:rFonts w:eastAsia="Times New Roman" w:cs="Futura"/>
        </w:rPr>
        <w:t>Por sostenimiento, la matrícula pública de educación primaria es de 169 mil 808 alumnos(as) y la privada es de 24 mil 920 alumnos(as). Para atender este nivel educativo, se cuenta con 6 mil 783 d</w:t>
      </w:r>
      <w:r>
        <w:rPr>
          <w:rFonts w:eastAsia="Times New Roman" w:cs="Futura"/>
        </w:rPr>
        <w:t xml:space="preserve">ocentes y </w:t>
      </w:r>
      <w:r w:rsidRPr="00D663A6">
        <w:rPr>
          <w:rFonts w:eastAsia="Times New Roman" w:cs="Futura"/>
        </w:rPr>
        <w:t>901</w:t>
      </w:r>
      <w:r>
        <w:rPr>
          <w:rFonts w:eastAsia="Times New Roman" w:cs="Futura"/>
        </w:rPr>
        <w:t xml:space="preserve"> escuelas (Cuadro 4</w:t>
      </w:r>
      <w:r w:rsidRPr="00967977">
        <w:rPr>
          <w:rFonts w:eastAsia="Times New Roman" w:cs="Futura"/>
        </w:rPr>
        <w:t>).</w:t>
      </w:r>
    </w:p>
    <w:p w14:paraId="65144631" w14:textId="77777777" w:rsidR="006D148B" w:rsidRPr="00B33749" w:rsidRDefault="006D148B" w:rsidP="006D148B">
      <w:pPr>
        <w:spacing w:after="0" w:line="240" w:lineRule="auto"/>
        <w:jc w:val="center"/>
        <w:rPr>
          <w:b/>
          <w:color w:val="4BACC6" w:themeColor="accent5"/>
        </w:rPr>
      </w:pPr>
      <w:r>
        <w:rPr>
          <w:b/>
          <w:color w:val="4BACC6" w:themeColor="accent5"/>
        </w:rPr>
        <w:t>Cuadro 4</w:t>
      </w:r>
      <w:r w:rsidRPr="00B33749">
        <w:rPr>
          <w:b/>
          <w:color w:val="4BACC6" w:themeColor="accent5"/>
        </w:rPr>
        <w:t>. Matrícula, docentes y escuelas de educación primaria por modalidad</w:t>
      </w:r>
    </w:p>
    <w:p w14:paraId="55D5B837" w14:textId="77777777" w:rsidR="006D148B" w:rsidRPr="00B33749" w:rsidRDefault="006D148B" w:rsidP="006D148B">
      <w:pPr>
        <w:spacing w:after="0" w:line="240" w:lineRule="auto"/>
        <w:jc w:val="center"/>
        <w:rPr>
          <w:b/>
          <w:color w:val="4BACC6" w:themeColor="accent5"/>
        </w:rPr>
      </w:pPr>
      <w:r w:rsidRPr="00B33749">
        <w:rPr>
          <w:b/>
          <w:color w:val="4BACC6" w:themeColor="accent5"/>
        </w:rPr>
        <w:t>Ciclo escolar 2019-2020</w:t>
      </w:r>
    </w:p>
    <w:p w14:paraId="0308FDD6" w14:textId="77777777" w:rsidR="006D148B" w:rsidRDefault="006D148B" w:rsidP="006D148B">
      <w:pPr>
        <w:spacing w:after="0"/>
      </w:pPr>
    </w:p>
    <w:tbl>
      <w:tblPr>
        <w:tblW w:w="8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40"/>
        <w:gridCol w:w="1422"/>
        <w:gridCol w:w="1227"/>
        <w:gridCol w:w="1371"/>
        <w:gridCol w:w="1340"/>
        <w:gridCol w:w="1340"/>
      </w:tblGrid>
      <w:tr w:rsidR="006D148B" w:rsidRPr="00CB4577" w14:paraId="22D62D2C" w14:textId="77777777" w:rsidTr="00CB4577">
        <w:trPr>
          <w:trHeight w:val="402"/>
          <w:jc w:val="center"/>
        </w:trPr>
        <w:tc>
          <w:tcPr>
            <w:tcW w:w="1540" w:type="dxa"/>
            <w:vMerge w:val="restart"/>
            <w:shd w:val="clear" w:color="auto" w:fill="A6A6A6" w:themeFill="background1" w:themeFillShade="A6"/>
            <w:noWrap/>
            <w:vAlign w:val="center"/>
            <w:hideMark/>
          </w:tcPr>
          <w:p w14:paraId="0AFEA4C8" w14:textId="0225E676" w:rsidR="006D148B" w:rsidRPr="000427E6" w:rsidRDefault="00CB4577" w:rsidP="000427E6">
            <w:pPr>
              <w:spacing w:after="100" w:afterAutospacing="1" w:line="240" w:lineRule="auto"/>
              <w:jc w:val="center"/>
              <w:rPr>
                <w:rFonts w:ascii="Futura Std Condensed Light" w:eastAsia="Calibri" w:hAnsi="Futura Std Condensed Light" w:cs="Calibri"/>
                <w:b/>
                <w:sz w:val="20"/>
                <w:szCs w:val="20"/>
              </w:rPr>
            </w:pPr>
            <w:r w:rsidRPr="000427E6">
              <w:rPr>
                <w:rFonts w:ascii="Futura Std Condensed Light" w:eastAsia="Calibri" w:hAnsi="Futura Std Condensed Light" w:cs="Calibri"/>
                <w:b/>
                <w:sz w:val="20"/>
                <w:szCs w:val="20"/>
              </w:rPr>
              <w:t>Modalidad</w:t>
            </w:r>
          </w:p>
        </w:tc>
        <w:tc>
          <w:tcPr>
            <w:tcW w:w="4020" w:type="dxa"/>
            <w:gridSpan w:val="3"/>
            <w:shd w:val="clear" w:color="auto" w:fill="A6A6A6" w:themeFill="background1" w:themeFillShade="A6"/>
            <w:noWrap/>
            <w:vAlign w:val="bottom"/>
            <w:hideMark/>
          </w:tcPr>
          <w:p w14:paraId="66043C50" w14:textId="3BF754E0" w:rsidR="006D148B" w:rsidRPr="000427E6" w:rsidRDefault="00CB4577" w:rsidP="000427E6">
            <w:pPr>
              <w:spacing w:after="100" w:afterAutospacing="1" w:line="240" w:lineRule="auto"/>
              <w:jc w:val="center"/>
              <w:rPr>
                <w:rFonts w:ascii="Futura Std Condensed Light" w:eastAsia="Calibri" w:hAnsi="Futura Std Condensed Light" w:cs="Calibri"/>
                <w:b/>
                <w:sz w:val="20"/>
                <w:szCs w:val="20"/>
              </w:rPr>
            </w:pPr>
            <w:r w:rsidRPr="000427E6">
              <w:rPr>
                <w:rFonts w:ascii="Futura Std Condensed Light" w:eastAsia="Calibri" w:hAnsi="Futura Std Condensed Light" w:cs="Calibri"/>
                <w:b/>
                <w:sz w:val="20"/>
                <w:szCs w:val="20"/>
              </w:rPr>
              <w:t>Matrícula</w:t>
            </w:r>
          </w:p>
        </w:tc>
        <w:tc>
          <w:tcPr>
            <w:tcW w:w="1340" w:type="dxa"/>
            <w:vMerge w:val="restart"/>
            <w:shd w:val="clear" w:color="auto" w:fill="A6A6A6" w:themeFill="background1" w:themeFillShade="A6"/>
            <w:noWrap/>
            <w:vAlign w:val="center"/>
            <w:hideMark/>
          </w:tcPr>
          <w:p w14:paraId="4B8AA79D" w14:textId="5CBEC331" w:rsidR="006D148B" w:rsidRPr="000427E6" w:rsidRDefault="00CB4577" w:rsidP="000427E6">
            <w:pPr>
              <w:spacing w:after="100" w:afterAutospacing="1" w:line="240" w:lineRule="auto"/>
              <w:jc w:val="center"/>
              <w:rPr>
                <w:rFonts w:ascii="Futura Std Condensed Light" w:eastAsia="Calibri" w:hAnsi="Futura Std Condensed Light" w:cs="Calibri"/>
                <w:b/>
                <w:sz w:val="20"/>
                <w:szCs w:val="20"/>
              </w:rPr>
            </w:pPr>
            <w:r w:rsidRPr="000427E6">
              <w:rPr>
                <w:rFonts w:ascii="Futura Std Condensed Light" w:eastAsia="Calibri" w:hAnsi="Futura Std Condensed Light" w:cs="Calibri"/>
                <w:b/>
                <w:sz w:val="20"/>
                <w:szCs w:val="20"/>
              </w:rPr>
              <w:t>Docentes</w:t>
            </w:r>
          </w:p>
        </w:tc>
        <w:tc>
          <w:tcPr>
            <w:tcW w:w="1340" w:type="dxa"/>
            <w:vMerge w:val="restart"/>
            <w:shd w:val="clear" w:color="auto" w:fill="A6A6A6" w:themeFill="background1" w:themeFillShade="A6"/>
            <w:noWrap/>
            <w:vAlign w:val="center"/>
            <w:hideMark/>
          </w:tcPr>
          <w:p w14:paraId="214D056F" w14:textId="1A089901" w:rsidR="006D148B" w:rsidRPr="000427E6" w:rsidRDefault="00CB4577" w:rsidP="000427E6">
            <w:pPr>
              <w:spacing w:after="100" w:afterAutospacing="1" w:line="240" w:lineRule="auto"/>
              <w:jc w:val="center"/>
              <w:rPr>
                <w:rFonts w:ascii="Futura Std Condensed Light" w:eastAsia="Calibri" w:hAnsi="Futura Std Condensed Light" w:cs="Calibri"/>
                <w:b/>
                <w:sz w:val="20"/>
                <w:szCs w:val="20"/>
              </w:rPr>
            </w:pPr>
            <w:r w:rsidRPr="000427E6">
              <w:rPr>
                <w:rFonts w:ascii="Futura Std Condensed Light" w:eastAsia="Calibri" w:hAnsi="Futura Std Condensed Light" w:cs="Calibri"/>
                <w:b/>
                <w:sz w:val="20"/>
                <w:szCs w:val="20"/>
              </w:rPr>
              <w:t>Escuelas</w:t>
            </w:r>
          </w:p>
        </w:tc>
      </w:tr>
      <w:tr w:rsidR="006D148B" w:rsidRPr="00CB4577" w14:paraId="76A181FB" w14:textId="77777777" w:rsidTr="00CB4577">
        <w:trPr>
          <w:trHeight w:val="402"/>
          <w:jc w:val="center"/>
        </w:trPr>
        <w:tc>
          <w:tcPr>
            <w:tcW w:w="1540" w:type="dxa"/>
            <w:vMerge/>
            <w:vAlign w:val="center"/>
            <w:hideMark/>
          </w:tcPr>
          <w:p w14:paraId="0D8FAD28" w14:textId="77777777" w:rsidR="006D148B" w:rsidRPr="000427E6" w:rsidRDefault="006D148B" w:rsidP="000427E6">
            <w:pPr>
              <w:spacing w:after="100" w:afterAutospacing="1" w:line="240" w:lineRule="auto"/>
              <w:rPr>
                <w:rFonts w:ascii="Futura Std Condensed Light" w:eastAsia="Calibri" w:hAnsi="Futura Std Condensed Light" w:cs="Calibri"/>
                <w:sz w:val="20"/>
                <w:szCs w:val="20"/>
              </w:rPr>
            </w:pPr>
          </w:p>
        </w:tc>
        <w:tc>
          <w:tcPr>
            <w:tcW w:w="1422" w:type="dxa"/>
            <w:shd w:val="clear" w:color="auto" w:fill="A6A6A6" w:themeFill="background1" w:themeFillShade="A6"/>
            <w:noWrap/>
            <w:vAlign w:val="center"/>
            <w:hideMark/>
          </w:tcPr>
          <w:p w14:paraId="5BF28589" w14:textId="77777777" w:rsidR="006D148B" w:rsidRPr="000427E6" w:rsidRDefault="006D148B" w:rsidP="000427E6">
            <w:pPr>
              <w:spacing w:after="100" w:afterAutospacing="1" w:line="240" w:lineRule="auto"/>
              <w:jc w:val="center"/>
              <w:rPr>
                <w:rFonts w:ascii="Futura Std Condensed Light" w:eastAsia="Calibri" w:hAnsi="Futura Std Condensed Light" w:cs="Calibri"/>
                <w:b/>
                <w:sz w:val="20"/>
                <w:szCs w:val="20"/>
              </w:rPr>
            </w:pPr>
            <w:r w:rsidRPr="000427E6">
              <w:rPr>
                <w:rFonts w:ascii="Futura Std Condensed Light" w:eastAsia="Calibri" w:hAnsi="Futura Std Condensed Light" w:cs="Calibri"/>
                <w:b/>
                <w:sz w:val="20"/>
                <w:szCs w:val="20"/>
              </w:rPr>
              <w:t>Hombres</w:t>
            </w:r>
          </w:p>
        </w:tc>
        <w:tc>
          <w:tcPr>
            <w:tcW w:w="1227" w:type="dxa"/>
            <w:shd w:val="clear" w:color="auto" w:fill="A6A6A6" w:themeFill="background1" w:themeFillShade="A6"/>
            <w:noWrap/>
            <w:vAlign w:val="center"/>
            <w:hideMark/>
          </w:tcPr>
          <w:p w14:paraId="01F9C6D8" w14:textId="77777777" w:rsidR="006D148B" w:rsidRPr="000427E6" w:rsidRDefault="006D148B" w:rsidP="000427E6">
            <w:pPr>
              <w:spacing w:after="100" w:afterAutospacing="1" w:line="240" w:lineRule="auto"/>
              <w:jc w:val="center"/>
              <w:rPr>
                <w:rFonts w:ascii="Futura Std Condensed Light" w:eastAsia="Calibri" w:hAnsi="Futura Std Condensed Light" w:cs="Calibri"/>
                <w:b/>
                <w:sz w:val="20"/>
                <w:szCs w:val="20"/>
              </w:rPr>
            </w:pPr>
            <w:r w:rsidRPr="000427E6">
              <w:rPr>
                <w:rFonts w:ascii="Futura Std Condensed Light" w:eastAsia="Calibri" w:hAnsi="Futura Std Condensed Light" w:cs="Calibri"/>
                <w:b/>
                <w:sz w:val="20"/>
                <w:szCs w:val="20"/>
              </w:rPr>
              <w:t>Mujeres</w:t>
            </w:r>
          </w:p>
        </w:tc>
        <w:tc>
          <w:tcPr>
            <w:tcW w:w="1371" w:type="dxa"/>
            <w:shd w:val="clear" w:color="auto" w:fill="A6A6A6" w:themeFill="background1" w:themeFillShade="A6"/>
            <w:noWrap/>
            <w:vAlign w:val="center"/>
            <w:hideMark/>
          </w:tcPr>
          <w:p w14:paraId="664DF96C" w14:textId="77777777" w:rsidR="006D148B" w:rsidRPr="000427E6" w:rsidRDefault="006D148B" w:rsidP="000427E6">
            <w:pPr>
              <w:spacing w:after="100" w:afterAutospacing="1" w:line="240" w:lineRule="auto"/>
              <w:jc w:val="center"/>
              <w:rPr>
                <w:rFonts w:ascii="Futura Std Condensed Light" w:eastAsia="Calibri" w:hAnsi="Futura Std Condensed Light" w:cs="Calibri"/>
                <w:b/>
                <w:sz w:val="20"/>
                <w:szCs w:val="20"/>
              </w:rPr>
            </w:pPr>
            <w:r w:rsidRPr="000427E6">
              <w:rPr>
                <w:rFonts w:ascii="Futura Std Condensed Light" w:eastAsia="Calibri" w:hAnsi="Futura Std Condensed Light" w:cs="Calibri"/>
                <w:b/>
                <w:sz w:val="20"/>
                <w:szCs w:val="20"/>
              </w:rPr>
              <w:t>Total</w:t>
            </w:r>
          </w:p>
        </w:tc>
        <w:tc>
          <w:tcPr>
            <w:tcW w:w="1340" w:type="dxa"/>
            <w:vMerge/>
            <w:vAlign w:val="center"/>
            <w:hideMark/>
          </w:tcPr>
          <w:p w14:paraId="5866A3D7" w14:textId="77777777" w:rsidR="006D148B" w:rsidRPr="000427E6" w:rsidRDefault="006D148B" w:rsidP="000427E6">
            <w:pPr>
              <w:spacing w:after="100" w:afterAutospacing="1" w:line="240" w:lineRule="auto"/>
              <w:rPr>
                <w:rFonts w:ascii="Futura Std Condensed Light" w:eastAsia="Calibri" w:hAnsi="Futura Std Condensed Light" w:cs="Calibri"/>
                <w:b/>
                <w:sz w:val="20"/>
                <w:szCs w:val="20"/>
              </w:rPr>
            </w:pPr>
          </w:p>
        </w:tc>
        <w:tc>
          <w:tcPr>
            <w:tcW w:w="1340" w:type="dxa"/>
            <w:vMerge/>
            <w:vAlign w:val="center"/>
            <w:hideMark/>
          </w:tcPr>
          <w:p w14:paraId="74A84665" w14:textId="77777777" w:rsidR="006D148B" w:rsidRPr="000427E6" w:rsidRDefault="006D148B" w:rsidP="000427E6">
            <w:pPr>
              <w:spacing w:after="100" w:afterAutospacing="1" w:line="240" w:lineRule="auto"/>
              <w:rPr>
                <w:rFonts w:ascii="Futura Std Condensed Light" w:eastAsia="Calibri" w:hAnsi="Futura Std Condensed Light" w:cs="Calibri"/>
                <w:b/>
                <w:sz w:val="20"/>
                <w:szCs w:val="20"/>
              </w:rPr>
            </w:pPr>
          </w:p>
        </w:tc>
      </w:tr>
      <w:tr w:rsidR="006D148B" w:rsidRPr="00CB4577" w14:paraId="6DE4FC4A" w14:textId="77777777" w:rsidTr="00CB4577">
        <w:trPr>
          <w:trHeight w:val="402"/>
          <w:jc w:val="center"/>
        </w:trPr>
        <w:tc>
          <w:tcPr>
            <w:tcW w:w="1540" w:type="dxa"/>
            <w:shd w:val="clear" w:color="auto" w:fill="auto"/>
            <w:noWrap/>
            <w:vAlign w:val="center"/>
            <w:hideMark/>
          </w:tcPr>
          <w:p w14:paraId="2D046C9A" w14:textId="77777777" w:rsidR="006D148B" w:rsidRPr="000427E6" w:rsidRDefault="006D148B" w:rsidP="000427E6">
            <w:pPr>
              <w:spacing w:after="100" w:afterAutospacing="1" w:line="240" w:lineRule="auto"/>
              <w:rPr>
                <w:rFonts w:ascii="Futura Std Condensed Light" w:eastAsia="Calibri" w:hAnsi="Futura Std Condensed Light" w:cs="Calibri"/>
                <w:sz w:val="20"/>
                <w:szCs w:val="20"/>
              </w:rPr>
            </w:pPr>
            <w:r w:rsidRPr="000427E6">
              <w:rPr>
                <w:rFonts w:ascii="Futura Std Condensed Light" w:eastAsia="Calibri" w:hAnsi="Futura Std Condensed Light" w:cs="Calibri"/>
                <w:sz w:val="20"/>
                <w:szCs w:val="20"/>
              </w:rPr>
              <w:t>General</w:t>
            </w:r>
          </w:p>
        </w:tc>
        <w:tc>
          <w:tcPr>
            <w:tcW w:w="1422" w:type="dxa"/>
            <w:shd w:val="clear" w:color="auto" w:fill="auto"/>
            <w:noWrap/>
            <w:vAlign w:val="center"/>
            <w:hideMark/>
          </w:tcPr>
          <w:p w14:paraId="1DC71183" w14:textId="77777777" w:rsidR="006D148B" w:rsidRPr="000427E6" w:rsidRDefault="006D148B" w:rsidP="000427E6">
            <w:pPr>
              <w:spacing w:after="100" w:afterAutospacing="1" w:line="240" w:lineRule="auto"/>
              <w:jc w:val="center"/>
              <w:rPr>
                <w:rFonts w:ascii="Futura Std Condensed Light" w:eastAsia="Calibri" w:hAnsi="Futura Std Condensed Light" w:cs="Calibri"/>
                <w:sz w:val="20"/>
                <w:szCs w:val="20"/>
              </w:rPr>
            </w:pPr>
            <w:r w:rsidRPr="000427E6">
              <w:rPr>
                <w:rFonts w:ascii="Futura Std Condensed Light" w:eastAsia="Calibri" w:hAnsi="Futura Std Condensed Light" w:cs="Calibri"/>
                <w:sz w:val="20"/>
                <w:szCs w:val="20"/>
              </w:rPr>
              <w:t>84,524</w:t>
            </w:r>
          </w:p>
        </w:tc>
        <w:tc>
          <w:tcPr>
            <w:tcW w:w="1227" w:type="dxa"/>
            <w:shd w:val="clear" w:color="auto" w:fill="auto"/>
            <w:noWrap/>
            <w:vAlign w:val="center"/>
            <w:hideMark/>
          </w:tcPr>
          <w:p w14:paraId="78F77F97" w14:textId="77777777" w:rsidR="006D148B" w:rsidRPr="000427E6" w:rsidRDefault="006D148B" w:rsidP="000427E6">
            <w:pPr>
              <w:spacing w:after="100" w:afterAutospacing="1" w:line="240" w:lineRule="auto"/>
              <w:jc w:val="center"/>
              <w:rPr>
                <w:rFonts w:ascii="Futura Std Condensed Light" w:eastAsia="Calibri" w:hAnsi="Futura Std Condensed Light" w:cs="Calibri"/>
                <w:sz w:val="20"/>
                <w:szCs w:val="20"/>
              </w:rPr>
            </w:pPr>
            <w:r w:rsidRPr="000427E6">
              <w:rPr>
                <w:rFonts w:ascii="Futura Std Condensed Light" w:eastAsia="Calibri" w:hAnsi="Futura Std Condensed Light" w:cs="Calibri"/>
                <w:sz w:val="20"/>
                <w:szCs w:val="20"/>
              </w:rPr>
              <w:t>81,130</w:t>
            </w:r>
          </w:p>
        </w:tc>
        <w:tc>
          <w:tcPr>
            <w:tcW w:w="1371" w:type="dxa"/>
            <w:shd w:val="clear" w:color="auto" w:fill="auto"/>
            <w:noWrap/>
            <w:vAlign w:val="center"/>
            <w:hideMark/>
          </w:tcPr>
          <w:p w14:paraId="49E6BC1D" w14:textId="77777777" w:rsidR="006D148B" w:rsidRPr="000427E6" w:rsidRDefault="006D148B" w:rsidP="000427E6">
            <w:pPr>
              <w:spacing w:after="100" w:afterAutospacing="1" w:line="240" w:lineRule="auto"/>
              <w:jc w:val="center"/>
              <w:rPr>
                <w:rFonts w:ascii="Futura Std Condensed Light" w:eastAsia="Calibri" w:hAnsi="Futura Std Condensed Light" w:cs="Calibri"/>
                <w:sz w:val="20"/>
                <w:szCs w:val="20"/>
              </w:rPr>
            </w:pPr>
            <w:r w:rsidRPr="000427E6">
              <w:rPr>
                <w:rFonts w:ascii="Futura Std Condensed Light" w:eastAsia="Calibri" w:hAnsi="Futura Std Condensed Light" w:cs="Calibri"/>
                <w:sz w:val="20"/>
                <w:szCs w:val="20"/>
              </w:rPr>
              <w:t>165,654</w:t>
            </w:r>
          </w:p>
        </w:tc>
        <w:tc>
          <w:tcPr>
            <w:tcW w:w="1340" w:type="dxa"/>
            <w:shd w:val="clear" w:color="auto" w:fill="auto"/>
            <w:noWrap/>
            <w:vAlign w:val="center"/>
            <w:hideMark/>
          </w:tcPr>
          <w:p w14:paraId="33CB92E8" w14:textId="77777777" w:rsidR="006D148B" w:rsidRPr="000427E6" w:rsidRDefault="006D148B" w:rsidP="000427E6">
            <w:pPr>
              <w:spacing w:after="100" w:afterAutospacing="1" w:line="240" w:lineRule="auto"/>
              <w:jc w:val="center"/>
              <w:rPr>
                <w:rFonts w:ascii="Futura Std Condensed Light" w:eastAsia="Calibri" w:hAnsi="Futura Std Condensed Light" w:cs="Calibri"/>
                <w:sz w:val="20"/>
                <w:szCs w:val="20"/>
              </w:rPr>
            </w:pPr>
            <w:r w:rsidRPr="000427E6">
              <w:rPr>
                <w:rFonts w:ascii="Futura Std Condensed Light" w:eastAsia="Calibri" w:hAnsi="Futura Std Condensed Light" w:cs="Calibri"/>
                <w:sz w:val="20"/>
                <w:szCs w:val="20"/>
              </w:rPr>
              <w:t>5,401</w:t>
            </w:r>
          </w:p>
        </w:tc>
        <w:tc>
          <w:tcPr>
            <w:tcW w:w="1340" w:type="dxa"/>
            <w:shd w:val="clear" w:color="auto" w:fill="auto"/>
            <w:noWrap/>
            <w:vAlign w:val="center"/>
            <w:hideMark/>
          </w:tcPr>
          <w:p w14:paraId="23CF971D" w14:textId="77777777" w:rsidR="006D148B" w:rsidRPr="000427E6" w:rsidRDefault="006D148B" w:rsidP="000427E6">
            <w:pPr>
              <w:spacing w:after="100" w:afterAutospacing="1" w:line="240" w:lineRule="auto"/>
              <w:jc w:val="center"/>
              <w:rPr>
                <w:rFonts w:ascii="Futura Std Condensed Light" w:eastAsia="Calibri" w:hAnsi="Futura Std Condensed Light" w:cs="Calibri"/>
                <w:sz w:val="20"/>
                <w:szCs w:val="20"/>
              </w:rPr>
            </w:pPr>
            <w:r w:rsidRPr="000427E6">
              <w:rPr>
                <w:rFonts w:ascii="Futura Std Condensed Light" w:eastAsia="Calibri" w:hAnsi="Futura Std Condensed Light" w:cs="Calibri"/>
                <w:sz w:val="20"/>
                <w:szCs w:val="20"/>
              </w:rPr>
              <w:t>629</w:t>
            </w:r>
          </w:p>
        </w:tc>
      </w:tr>
      <w:tr w:rsidR="006D148B" w:rsidRPr="00CB4577" w14:paraId="53B169A0" w14:textId="77777777" w:rsidTr="00CB4577">
        <w:trPr>
          <w:trHeight w:val="402"/>
          <w:jc w:val="center"/>
        </w:trPr>
        <w:tc>
          <w:tcPr>
            <w:tcW w:w="1540" w:type="dxa"/>
            <w:shd w:val="clear" w:color="auto" w:fill="auto"/>
            <w:noWrap/>
            <w:vAlign w:val="center"/>
            <w:hideMark/>
          </w:tcPr>
          <w:p w14:paraId="04AF8B09" w14:textId="77777777" w:rsidR="006D148B" w:rsidRPr="000427E6" w:rsidRDefault="006D148B" w:rsidP="000427E6">
            <w:pPr>
              <w:spacing w:after="100" w:afterAutospacing="1" w:line="240" w:lineRule="auto"/>
              <w:rPr>
                <w:rFonts w:ascii="Futura Std Condensed Light" w:eastAsia="Calibri" w:hAnsi="Futura Std Condensed Light" w:cs="Calibri"/>
                <w:sz w:val="20"/>
                <w:szCs w:val="20"/>
              </w:rPr>
            </w:pPr>
            <w:r w:rsidRPr="000427E6">
              <w:rPr>
                <w:rFonts w:ascii="Futura Std Condensed Light" w:eastAsia="Calibri" w:hAnsi="Futura Std Condensed Light" w:cs="Calibri"/>
                <w:sz w:val="20"/>
                <w:szCs w:val="20"/>
              </w:rPr>
              <w:t>Indígena</w:t>
            </w:r>
          </w:p>
        </w:tc>
        <w:tc>
          <w:tcPr>
            <w:tcW w:w="1422" w:type="dxa"/>
            <w:shd w:val="clear" w:color="auto" w:fill="auto"/>
            <w:noWrap/>
            <w:vAlign w:val="center"/>
            <w:hideMark/>
          </w:tcPr>
          <w:p w14:paraId="5D759E53" w14:textId="77777777" w:rsidR="006D148B" w:rsidRPr="000427E6" w:rsidRDefault="006D148B" w:rsidP="000427E6">
            <w:pPr>
              <w:spacing w:after="100" w:afterAutospacing="1" w:line="240" w:lineRule="auto"/>
              <w:jc w:val="center"/>
              <w:rPr>
                <w:rFonts w:ascii="Futura Std Condensed Light" w:eastAsia="Calibri" w:hAnsi="Futura Std Condensed Light" w:cs="Calibri"/>
                <w:sz w:val="20"/>
                <w:szCs w:val="20"/>
              </w:rPr>
            </w:pPr>
            <w:r w:rsidRPr="000427E6">
              <w:rPr>
                <w:rFonts w:ascii="Futura Std Condensed Light" w:eastAsia="Calibri" w:hAnsi="Futura Std Condensed Light" w:cs="Calibri"/>
                <w:sz w:val="20"/>
                <w:szCs w:val="20"/>
              </w:rPr>
              <w:t>1,890</w:t>
            </w:r>
          </w:p>
        </w:tc>
        <w:tc>
          <w:tcPr>
            <w:tcW w:w="1227" w:type="dxa"/>
            <w:shd w:val="clear" w:color="auto" w:fill="auto"/>
            <w:noWrap/>
            <w:vAlign w:val="center"/>
            <w:hideMark/>
          </w:tcPr>
          <w:p w14:paraId="0447CFFD" w14:textId="77777777" w:rsidR="006D148B" w:rsidRPr="000427E6" w:rsidRDefault="006D148B" w:rsidP="000427E6">
            <w:pPr>
              <w:spacing w:after="100" w:afterAutospacing="1" w:line="240" w:lineRule="auto"/>
              <w:jc w:val="center"/>
              <w:rPr>
                <w:rFonts w:ascii="Futura Std Condensed Light" w:eastAsia="Calibri" w:hAnsi="Futura Std Condensed Light" w:cs="Calibri"/>
                <w:sz w:val="20"/>
                <w:szCs w:val="20"/>
              </w:rPr>
            </w:pPr>
            <w:r w:rsidRPr="000427E6">
              <w:rPr>
                <w:rFonts w:ascii="Futura Std Condensed Light" w:eastAsia="Calibri" w:hAnsi="Futura Std Condensed Light" w:cs="Calibri"/>
                <w:sz w:val="20"/>
                <w:szCs w:val="20"/>
              </w:rPr>
              <w:t>1,761</w:t>
            </w:r>
          </w:p>
        </w:tc>
        <w:tc>
          <w:tcPr>
            <w:tcW w:w="1371" w:type="dxa"/>
            <w:shd w:val="clear" w:color="auto" w:fill="auto"/>
            <w:noWrap/>
            <w:vAlign w:val="center"/>
            <w:hideMark/>
          </w:tcPr>
          <w:p w14:paraId="5202DDB9" w14:textId="77777777" w:rsidR="006D148B" w:rsidRPr="000427E6" w:rsidRDefault="006D148B" w:rsidP="000427E6">
            <w:pPr>
              <w:spacing w:after="100" w:afterAutospacing="1" w:line="240" w:lineRule="auto"/>
              <w:jc w:val="center"/>
              <w:rPr>
                <w:rFonts w:ascii="Futura Std Condensed Light" w:eastAsia="Calibri" w:hAnsi="Futura Std Condensed Light" w:cs="Calibri"/>
                <w:sz w:val="20"/>
                <w:szCs w:val="20"/>
              </w:rPr>
            </w:pPr>
            <w:r w:rsidRPr="000427E6">
              <w:rPr>
                <w:rFonts w:ascii="Futura Std Condensed Light" w:eastAsia="Calibri" w:hAnsi="Futura Std Condensed Light" w:cs="Calibri"/>
                <w:sz w:val="20"/>
                <w:szCs w:val="20"/>
              </w:rPr>
              <w:t>3,651</w:t>
            </w:r>
          </w:p>
        </w:tc>
        <w:tc>
          <w:tcPr>
            <w:tcW w:w="1340" w:type="dxa"/>
            <w:shd w:val="clear" w:color="auto" w:fill="auto"/>
            <w:noWrap/>
            <w:vAlign w:val="center"/>
            <w:hideMark/>
          </w:tcPr>
          <w:p w14:paraId="5300E09E" w14:textId="77777777" w:rsidR="006D148B" w:rsidRPr="000427E6" w:rsidRDefault="006D148B" w:rsidP="000427E6">
            <w:pPr>
              <w:spacing w:after="100" w:afterAutospacing="1" w:line="240" w:lineRule="auto"/>
              <w:jc w:val="center"/>
              <w:rPr>
                <w:rFonts w:ascii="Futura Std Condensed Light" w:eastAsia="Calibri" w:hAnsi="Futura Std Condensed Light" w:cs="Calibri"/>
                <w:sz w:val="20"/>
                <w:szCs w:val="20"/>
              </w:rPr>
            </w:pPr>
            <w:r w:rsidRPr="000427E6">
              <w:rPr>
                <w:rFonts w:ascii="Futura Std Condensed Light" w:eastAsia="Calibri" w:hAnsi="Futura Std Condensed Light" w:cs="Calibri"/>
                <w:sz w:val="20"/>
                <w:szCs w:val="20"/>
              </w:rPr>
              <w:t>184</w:t>
            </w:r>
          </w:p>
        </w:tc>
        <w:tc>
          <w:tcPr>
            <w:tcW w:w="1340" w:type="dxa"/>
            <w:shd w:val="clear" w:color="auto" w:fill="auto"/>
            <w:noWrap/>
            <w:vAlign w:val="center"/>
            <w:hideMark/>
          </w:tcPr>
          <w:p w14:paraId="63B5E224" w14:textId="77777777" w:rsidR="006D148B" w:rsidRPr="000427E6" w:rsidRDefault="006D148B" w:rsidP="000427E6">
            <w:pPr>
              <w:spacing w:after="100" w:afterAutospacing="1" w:line="240" w:lineRule="auto"/>
              <w:jc w:val="center"/>
              <w:rPr>
                <w:rFonts w:ascii="Futura Std Condensed Light" w:eastAsia="Calibri" w:hAnsi="Futura Std Condensed Light" w:cs="Calibri"/>
                <w:sz w:val="20"/>
                <w:szCs w:val="20"/>
              </w:rPr>
            </w:pPr>
            <w:r w:rsidRPr="000427E6">
              <w:rPr>
                <w:rFonts w:ascii="Futura Std Condensed Light" w:eastAsia="Calibri" w:hAnsi="Futura Std Condensed Light" w:cs="Calibri"/>
                <w:sz w:val="20"/>
                <w:szCs w:val="20"/>
              </w:rPr>
              <w:t>74</w:t>
            </w:r>
          </w:p>
        </w:tc>
      </w:tr>
      <w:tr w:rsidR="006D148B" w:rsidRPr="00CB4577" w14:paraId="7060EFBC" w14:textId="77777777" w:rsidTr="00CB4577">
        <w:trPr>
          <w:trHeight w:val="402"/>
          <w:jc w:val="center"/>
        </w:trPr>
        <w:tc>
          <w:tcPr>
            <w:tcW w:w="1540" w:type="dxa"/>
            <w:shd w:val="clear" w:color="auto" w:fill="auto"/>
            <w:noWrap/>
            <w:vAlign w:val="center"/>
            <w:hideMark/>
          </w:tcPr>
          <w:p w14:paraId="582E0434" w14:textId="77777777" w:rsidR="006D148B" w:rsidRPr="000427E6" w:rsidRDefault="006D148B" w:rsidP="000427E6">
            <w:pPr>
              <w:spacing w:after="100" w:afterAutospacing="1" w:line="240" w:lineRule="auto"/>
              <w:rPr>
                <w:rFonts w:ascii="Futura Std Condensed Light" w:eastAsia="Calibri" w:hAnsi="Futura Std Condensed Light" w:cs="Calibri"/>
                <w:sz w:val="20"/>
                <w:szCs w:val="20"/>
              </w:rPr>
            </w:pPr>
            <w:r w:rsidRPr="000427E6">
              <w:rPr>
                <w:rFonts w:ascii="Futura Std Condensed Light" w:eastAsia="Calibri" w:hAnsi="Futura Std Condensed Light" w:cs="Calibri"/>
                <w:sz w:val="20"/>
                <w:szCs w:val="20"/>
              </w:rPr>
              <w:t>Conafe</w:t>
            </w:r>
          </w:p>
        </w:tc>
        <w:tc>
          <w:tcPr>
            <w:tcW w:w="1422" w:type="dxa"/>
            <w:shd w:val="clear" w:color="auto" w:fill="auto"/>
            <w:noWrap/>
            <w:vAlign w:val="center"/>
            <w:hideMark/>
          </w:tcPr>
          <w:p w14:paraId="78641A00" w14:textId="77777777" w:rsidR="006D148B" w:rsidRPr="000427E6" w:rsidRDefault="006D148B" w:rsidP="000427E6">
            <w:pPr>
              <w:spacing w:after="100" w:afterAutospacing="1" w:line="240" w:lineRule="auto"/>
              <w:jc w:val="center"/>
              <w:rPr>
                <w:rFonts w:ascii="Futura Std Condensed Light" w:eastAsia="Calibri" w:hAnsi="Futura Std Condensed Light" w:cs="Calibri"/>
                <w:sz w:val="20"/>
                <w:szCs w:val="20"/>
              </w:rPr>
            </w:pPr>
            <w:r w:rsidRPr="000427E6">
              <w:rPr>
                <w:rFonts w:ascii="Futura Std Condensed Light" w:eastAsia="Calibri" w:hAnsi="Futura Std Condensed Light" w:cs="Calibri"/>
                <w:sz w:val="20"/>
                <w:szCs w:val="20"/>
              </w:rPr>
              <w:t>235</w:t>
            </w:r>
          </w:p>
        </w:tc>
        <w:tc>
          <w:tcPr>
            <w:tcW w:w="1227" w:type="dxa"/>
            <w:shd w:val="clear" w:color="auto" w:fill="auto"/>
            <w:noWrap/>
            <w:vAlign w:val="center"/>
            <w:hideMark/>
          </w:tcPr>
          <w:p w14:paraId="33466D68" w14:textId="77777777" w:rsidR="006D148B" w:rsidRPr="000427E6" w:rsidRDefault="006D148B" w:rsidP="000427E6">
            <w:pPr>
              <w:spacing w:after="100" w:afterAutospacing="1" w:line="240" w:lineRule="auto"/>
              <w:jc w:val="center"/>
              <w:rPr>
                <w:rFonts w:ascii="Futura Std Condensed Light" w:eastAsia="Calibri" w:hAnsi="Futura Std Condensed Light" w:cs="Calibri"/>
                <w:sz w:val="20"/>
                <w:szCs w:val="20"/>
              </w:rPr>
            </w:pPr>
            <w:r w:rsidRPr="000427E6">
              <w:rPr>
                <w:rFonts w:ascii="Futura Std Condensed Light" w:eastAsia="Calibri" w:hAnsi="Futura Std Condensed Light" w:cs="Calibri"/>
                <w:sz w:val="20"/>
                <w:szCs w:val="20"/>
              </w:rPr>
              <w:t>268</w:t>
            </w:r>
          </w:p>
        </w:tc>
        <w:tc>
          <w:tcPr>
            <w:tcW w:w="1371" w:type="dxa"/>
            <w:shd w:val="clear" w:color="auto" w:fill="auto"/>
            <w:noWrap/>
            <w:vAlign w:val="center"/>
            <w:hideMark/>
          </w:tcPr>
          <w:p w14:paraId="2FE00EEA" w14:textId="77777777" w:rsidR="006D148B" w:rsidRPr="000427E6" w:rsidRDefault="006D148B" w:rsidP="000427E6">
            <w:pPr>
              <w:spacing w:after="100" w:afterAutospacing="1" w:line="240" w:lineRule="auto"/>
              <w:jc w:val="center"/>
              <w:rPr>
                <w:rFonts w:ascii="Futura Std Condensed Light" w:eastAsia="Calibri" w:hAnsi="Futura Std Condensed Light" w:cs="Calibri"/>
                <w:sz w:val="20"/>
                <w:szCs w:val="20"/>
              </w:rPr>
            </w:pPr>
            <w:r w:rsidRPr="000427E6">
              <w:rPr>
                <w:rFonts w:ascii="Futura Std Condensed Light" w:eastAsia="Calibri" w:hAnsi="Futura Std Condensed Light" w:cs="Calibri"/>
                <w:sz w:val="20"/>
                <w:szCs w:val="20"/>
              </w:rPr>
              <w:t>503</w:t>
            </w:r>
          </w:p>
        </w:tc>
        <w:tc>
          <w:tcPr>
            <w:tcW w:w="1340" w:type="dxa"/>
            <w:shd w:val="clear" w:color="auto" w:fill="auto"/>
            <w:noWrap/>
            <w:vAlign w:val="center"/>
            <w:hideMark/>
          </w:tcPr>
          <w:p w14:paraId="41A90292" w14:textId="77777777" w:rsidR="006D148B" w:rsidRPr="000427E6" w:rsidRDefault="006D148B" w:rsidP="000427E6">
            <w:pPr>
              <w:spacing w:after="100" w:afterAutospacing="1" w:line="240" w:lineRule="auto"/>
              <w:jc w:val="center"/>
              <w:rPr>
                <w:rFonts w:ascii="Futura Std Condensed Light" w:eastAsia="Calibri" w:hAnsi="Futura Std Condensed Light" w:cs="Calibri"/>
                <w:sz w:val="20"/>
                <w:szCs w:val="20"/>
              </w:rPr>
            </w:pPr>
            <w:r w:rsidRPr="000427E6">
              <w:rPr>
                <w:rFonts w:ascii="Futura Std Condensed Light" w:eastAsia="Calibri" w:hAnsi="Futura Std Condensed Light" w:cs="Calibri"/>
                <w:sz w:val="20"/>
                <w:szCs w:val="20"/>
              </w:rPr>
              <w:t>55</w:t>
            </w:r>
          </w:p>
        </w:tc>
        <w:tc>
          <w:tcPr>
            <w:tcW w:w="1340" w:type="dxa"/>
            <w:shd w:val="clear" w:color="auto" w:fill="auto"/>
            <w:noWrap/>
            <w:vAlign w:val="center"/>
            <w:hideMark/>
          </w:tcPr>
          <w:p w14:paraId="0BD47388" w14:textId="77777777" w:rsidR="006D148B" w:rsidRPr="000427E6" w:rsidRDefault="006D148B" w:rsidP="000427E6">
            <w:pPr>
              <w:spacing w:after="100" w:afterAutospacing="1" w:line="240" w:lineRule="auto"/>
              <w:jc w:val="center"/>
              <w:rPr>
                <w:rFonts w:ascii="Futura Std Condensed Light" w:eastAsia="Calibri" w:hAnsi="Futura Std Condensed Light" w:cs="Calibri"/>
                <w:sz w:val="20"/>
                <w:szCs w:val="20"/>
              </w:rPr>
            </w:pPr>
            <w:r w:rsidRPr="000427E6">
              <w:rPr>
                <w:rFonts w:ascii="Futura Std Condensed Light" w:eastAsia="Calibri" w:hAnsi="Futura Std Condensed Light" w:cs="Calibri"/>
                <w:sz w:val="20"/>
                <w:szCs w:val="20"/>
              </w:rPr>
              <w:t>47</w:t>
            </w:r>
          </w:p>
        </w:tc>
      </w:tr>
      <w:tr w:rsidR="006D148B" w:rsidRPr="00CB4577" w14:paraId="02A3A25E" w14:textId="77777777" w:rsidTr="00CB4577">
        <w:trPr>
          <w:trHeight w:val="402"/>
          <w:jc w:val="center"/>
        </w:trPr>
        <w:tc>
          <w:tcPr>
            <w:tcW w:w="1540" w:type="dxa"/>
            <w:shd w:val="clear" w:color="auto" w:fill="auto"/>
            <w:noWrap/>
            <w:vAlign w:val="center"/>
            <w:hideMark/>
          </w:tcPr>
          <w:p w14:paraId="51D9FC80" w14:textId="77777777" w:rsidR="006D148B" w:rsidRPr="000427E6" w:rsidRDefault="006D148B" w:rsidP="000427E6">
            <w:pPr>
              <w:spacing w:after="100" w:afterAutospacing="1" w:line="240" w:lineRule="auto"/>
              <w:rPr>
                <w:rFonts w:ascii="Futura Std Condensed Light" w:eastAsia="Calibri" w:hAnsi="Futura Std Condensed Light" w:cs="Calibri"/>
                <w:sz w:val="20"/>
                <w:szCs w:val="20"/>
              </w:rPr>
            </w:pPr>
            <w:r w:rsidRPr="000427E6">
              <w:rPr>
                <w:rFonts w:ascii="Futura Std Condensed Light" w:eastAsia="Calibri" w:hAnsi="Futura Std Condensed Light" w:cs="Calibri"/>
                <w:sz w:val="20"/>
                <w:szCs w:val="20"/>
              </w:rPr>
              <w:t>Particular</w:t>
            </w:r>
          </w:p>
        </w:tc>
        <w:tc>
          <w:tcPr>
            <w:tcW w:w="1422" w:type="dxa"/>
            <w:shd w:val="clear" w:color="auto" w:fill="auto"/>
            <w:noWrap/>
            <w:vAlign w:val="center"/>
            <w:hideMark/>
          </w:tcPr>
          <w:p w14:paraId="32B8A86C" w14:textId="77777777" w:rsidR="006D148B" w:rsidRPr="000427E6" w:rsidRDefault="006D148B" w:rsidP="000427E6">
            <w:pPr>
              <w:spacing w:after="100" w:afterAutospacing="1" w:line="240" w:lineRule="auto"/>
              <w:jc w:val="center"/>
              <w:rPr>
                <w:rFonts w:ascii="Futura Std Condensed Light" w:eastAsia="Calibri" w:hAnsi="Futura Std Condensed Light" w:cs="Calibri"/>
                <w:sz w:val="20"/>
                <w:szCs w:val="20"/>
              </w:rPr>
            </w:pPr>
            <w:r w:rsidRPr="000427E6">
              <w:rPr>
                <w:rFonts w:ascii="Futura Std Condensed Light" w:eastAsia="Calibri" w:hAnsi="Futura Std Condensed Light" w:cs="Calibri"/>
                <w:sz w:val="20"/>
                <w:szCs w:val="20"/>
              </w:rPr>
              <w:t>12,519</w:t>
            </w:r>
          </w:p>
        </w:tc>
        <w:tc>
          <w:tcPr>
            <w:tcW w:w="1227" w:type="dxa"/>
            <w:shd w:val="clear" w:color="auto" w:fill="auto"/>
            <w:noWrap/>
            <w:vAlign w:val="center"/>
            <w:hideMark/>
          </w:tcPr>
          <w:p w14:paraId="7121FC9E" w14:textId="77777777" w:rsidR="006D148B" w:rsidRPr="000427E6" w:rsidRDefault="006D148B" w:rsidP="000427E6">
            <w:pPr>
              <w:spacing w:after="100" w:afterAutospacing="1" w:line="240" w:lineRule="auto"/>
              <w:jc w:val="center"/>
              <w:rPr>
                <w:rFonts w:ascii="Futura Std Condensed Light" w:eastAsia="Calibri" w:hAnsi="Futura Std Condensed Light" w:cs="Calibri"/>
                <w:sz w:val="20"/>
                <w:szCs w:val="20"/>
              </w:rPr>
            </w:pPr>
            <w:r w:rsidRPr="000427E6">
              <w:rPr>
                <w:rFonts w:ascii="Futura Std Condensed Light" w:eastAsia="Calibri" w:hAnsi="Futura Std Condensed Light" w:cs="Calibri"/>
                <w:sz w:val="20"/>
                <w:szCs w:val="20"/>
              </w:rPr>
              <w:t>12,401</w:t>
            </w:r>
          </w:p>
        </w:tc>
        <w:tc>
          <w:tcPr>
            <w:tcW w:w="1371" w:type="dxa"/>
            <w:shd w:val="clear" w:color="auto" w:fill="auto"/>
            <w:noWrap/>
            <w:vAlign w:val="center"/>
            <w:hideMark/>
          </w:tcPr>
          <w:p w14:paraId="3FE51AE1" w14:textId="77777777" w:rsidR="006D148B" w:rsidRPr="000427E6" w:rsidRDefault="006D148B" w:rsidP="000427E6">
            <w:pPr>
              <w:spacing w:after="100" w:afterAutospacing="1" w:line="240" w:lineRule="auto"/>
              <w:jc w:val="center"/>
              <w:rPr>
                <w:rFonts w:ascii="Futura Std Condensed Light" w:eastAsia="Calibri" w:hAnsi="Futura Std Condensed Light" w:cs="Calibri"/>
                <w:sz w:val="20"/>
                <w:szCs w:val="20"/>
              </w:rPr>
            </w:pPr>
            <w:r w:rsidRPr="000427E6">
              <w:rPr>
                <w:rFonts w:ascii="Futura Std Condensed Light" w:eastAsia="Calibri" w:hAnsi="Futura Std Condensed Light" w:cs="Calibri"/>
                <w:sz w:val="20"/>
                <w:szCs w:val="20"/>
              </w:rPr>
              <w:t>24,920</w:t>
            </w:r>
          </w:p>
        </w:tc>
        <w:tc>
          <w:tcPr>
            <w:tcW w:w="1340" w:type="dxa"/>
            <w:shd w:val="clear" w:color="auto" w:fill="auto"/>
            <w:noWrap/>
            <w:vAlign w:val="center"/>
            <w:hideMark/>
          </w:tcPr>
          <w:p w14:paraId="53450FB7" w14:textId="77777777" w:rsidR="006D148B" w:rsidRPr="000427E6" w:rsidRDefault="006D148B" w:rsidP="000427E6">
            <w:pPr>
              <w:spacing w:after="100" w:afterAutospacing="1" w:line="240" w:lineRule="auto"/>
              <w:jc w:val="center"/>
              <w:rPr>
                <w:rFonts w:ascii="Futura Std Condensed Light" w:eastAsia="Calibri" w:hAnsi="Futura Std Condensed Light" w:cs="Calibri"/>
                <w:sz w:val="20"/>
                <w:szCs w:val="20"/>
              </w:rPr>
            </w:pPr>
            <w:r w:rsidRPr="000427E6">
              <w:rPr>
                <w:rFonts w:ascii="Futura Std Condensed Light" w:eastAsia="Calibri" w:hAnsi="Futura Std Condensed Light" w:cs="Calibri"/>
                <w:sz w:val="20"/>
                <w:szCs w:val="20"/>
              </w:rPr>
              <w:t>1,143</w:t>
            </w:r>
          </w:p>
        </w:tc>
        <w:tc>
          <w:tcPr>
            <w:tcW w:w="1340" w:type="dxa"/>
            <w:shd w:val="clear" w:color="auto" w:fill="auto"/>
            <w:noWrap/>
            <w:vAlign w:val="center"/>
            <w:hideMark/>
          </w:tcPr>
          <w:p w14:paraId="1B78C17D" w14:textId="77777777" w:rsidR="006D148B" w:rsidRPr="000427E6" w:rsidRDefault="006D148B" w:rsidP="000427E6">
            <w:pPr>
              <w:spacing w:after="100" w:afterAutospacing="1" w:line="240" w:lineRule="auto"/>
              <w:jc w:val="center"/>
              <w:rPr>
                <w:rFonts w:ascii="Futura Std Condensed Light" w:eastAsia="Calibri" w:hAnsi="Futura Std Condensed Light" w:cs="Calibri"/>
                <w:sz w:val="20"/>
                <w:szCs w:val="20"/>
              </w:rPr>
            </w:pPr>
            <w:r w:rsidRPr="000427E6">
              <w:rPr>
                <w:rFonts w:ascii="Futura Std Condensed Light" w:eastAsia="Calibri" w:hAnsi="Futura Std Condensed Light" w:cs="Calibri"/>
                <w:sz w:val="20"/>
                <w:szCs w:val="20"/>
              </w:rPr>
              <w:t>151</w:t>
            </w:r>
          </w:p>
        </w:tc>
      </w:tr>
      <w:tr w:rsidR="006D148B" w:rsidRPr="00CB4577" w14:paraId="1BD37306" w14:textId="77777777" w:rsidTr="00CB4577">
        <w:trPr>
          <w:trHeight w:val="499"/>
          <w:jc w:val="center"/>
        </w:trPr>
        <w:tc>
          <w:tcPr>
            <w:tcW w:w="1540" w:type="dxa"/>
            <w:shd w:val="clear" w:color="auto" w:fill="auto"/>
            <w:noWrap/>
            <w:vAlign w:val="center"/>
            <w:hideMark/>
          </w:tcPr>
          <w:p w14:paraId="5A98AE56" w14:textId="77777777" w:rsidR="006D148B" w:rsidRPr="000427E6" w:rsidRDefault="006D148B" w:rsidP="000427E6">
            <w:pPr>
              <w:spacing w:after="100" w:afterAutospacing="1" w:line="240" w:lineRule="auto"/>
              <w:rPr>
                <w:rFonts w:ascii="Futura Std Condensed Light" w:eastAsia="Calibri" w:hAnsi="Futura Std Condensed Light" w:cs="Calibri"/>
                <w:b/>
                <w:sz w:val="20"/>
                <w:szCs w:val="20"/>
              </w:rPr>
            </w:pPr>
            <w:r w:rsidRPr="000427E6">
              <w:rPr>
                <w:rFonts w:ascii="Futura Std Condensed Light" w:eastAsia="Calibri" w:hAnsi="Futura Std Condensed Light" w:cs="Calibri"/>
                <w:b/>
                <w:sz w:val="20"/>
                <w:szCs w:val="20"/>
              </w:rPr>
              <w:t>Total</w:t>
            </w:r>
          </w:p>
        </w:tc>
        <w:tc>
          <w:tcPr>
            <w:tcW w:w="1422" w:type="dxa"/>
            <w:shd w:val="clear" w:color="auto" w:fill="auto"/>
            <w:noWrap/>
            <w:vAlign w:val="center"/>
            <w:hideMark/>
          </w:tcPr>
          <w:p w14:paraId="2E65104F" w14:textId="77777777" w:rsidR="006D148B" w:rsidRPr="000427E6" w:rsidRDefault="006D148B" w:rsidP="000427E6">
            <w:pPr>
              <w:spacing w:after="100" w:afterAutospacing="1" w:line="240" w:lineRule="auto"/>
              <w:jc w:val="center"/>
              <w:rPr>
                <w:rFonts w:ascii="Futura Std Condensed Light" w:eastAsia="Calibri" w:hAnsi="Futura Std Condensed Light" w:cs="Calibri"/>
                <w:b/>
                <w:sz w:val="20"/>
                <w:szCs w:val="20"/>
              </w:rPr>
            </w:pPr>
            <w:r w:rsidRPr="000427E6">
              <w:rPr>
                <w:rFonts w:ascii="Futura Std Condensed Light" w:eastAsia="Calibri" w:hAnsi="Futura Std Condensed Light" w:cs="Calibri"/>
                <w:b/>
                <w:sz w:val="20"/>
                <w:szCs w:val="20"/>
              </w:rPr>
              <w:t>99,168</w:t>
            </w:r>
          </w:p>
        </w:tc>
        <w:tc>
          <w:tcPr>
            <w:tcW w:w="1227" w:type="dxa"/>
            <w:shd w:val="clear" w:color="auto" w:fill="auto"/>
            <w:noWrap/>
            <w:vAlign w:val="center"/>
            <w:hideMark/>
          </w:tcPr>
          <w:p w14:paraId="762F62DD" w14:textId="77777777" w:rsidR="006D148B" w:rsidRPr="000427E6" w:rsidRDefault="006D148B" w:rsidP="000427E6">
            <w:pPr>
              <w:spacing w:after="100" w:afterAutospacing="1" w:line="240" w:lineRule="auto"/>
              <w:jc w:val="center"/>
              <w:rPr>
                <w:rFonts w:ascii="Futura Std Condensed Light" w:eastAsia="Calibri" w:hAnsi="Futura Std Condensed Light" w:cs="Calibri"/>
                <w:b/>
                <w:sz w:val="20"/>
                <w:szCs w:val="20"/>
              </w:rPr>
            </w:pPr>
            <w:r w:rsidRPr="000427E6">
              <w:rPr>
                <w:rFonts w:ascii="Futura Std Condensed Light" w:eastAsia="Calibri" w:hAnsi="Futura Std Condensed Light" w:cs="Calibri"/>
                <w:b/>
                <w:sz w:val="20"/>
                <w:szCs w:val="20"/>
              </w:rPr>
              <w:t>95,560</w:t>
            </w:r>
          </w:p>
        </w:tc>
        <w:tc>
          <w:tcPr>
            <w:tcW w:w="1371" w:type="dxa"/>
            <w:shd w:val="clear" w:color="auto" w:fill="auto"/>
            <w:noWrap/>
            <w:vAlign w:val="center"/>
            <w:hideMark/>
          </w:tcPr>
          <w:p w14:paraId="12F0B305" w14:textId="77777777" w:rsidR="006D148B" w:rsidRPr="000427E6" w:rsidRDefault="006D148B" w:rsidP="000427E6">
            <w:pPr>
              <w:spacing w:after="100" w:afterAutospacing="1" w:line="240" w:lineRule="auto"/>
              <w:jc w:val="center"/>
              <w:rPr>
                <w:rFonts w:ascii="Futura Std Condensed Light" w:eastAsia="Calibri" w:hAnsi="Futura Std Condensed Light" w:cs="Calibri"/>
                <w:b/>
                <w:sz w:val="20"/>
                <w:szCs w:val="20"/>
              </w:rPr>
            </w:pPr>
            <w:r w:rsidRPr="000427E6">
              <w:rPr>
                <w:rFonts w:ascii="Futura Std Condensed Light" w:eastAsia="Calibri" w:hAnsi="Futura Std Condensed Light" w:cs="Calibri"/>
                <w:b/>
                <w:sz w:val="20"/>
                <w:szCs w:val="20"/>
              </w:rPr>
              <w:t>194,728</w:t>
            </w:r>
          </w:p>
        </w:tc>
        <w:tc>
          <w:tcPr>
            <w:tcW w:w="1340" w:type="dxa"/>
            <w:shd w:val="clear" w:color="auto" w:fill="auto"/>
            <w:noWrap/>
            <w:vAlign w:val="center"/>
            <w:hideMark/>
          </w:tcPr>
          <w:p w14:paraId="37108EAC" w14:textId="77777777" w:rsidR="006D148B" w:rsidRPr="000427E6" w:rsidRDefault="006D148B" w:rsidP="000427E6">
            <w:pPr>
              <w:spacing w:after="100" w:afterAutospacing="1" w:line="240" w:lineRule="auto"/>
              <w:jc w:val="center"/>
              <w:rPr>
                <w:rFonts w:ascii="Futura Std Condensed Light" w:eastAsia="Calibri" w:hAnsi="Futura Std Condensed Light" w:cs="Calibri"/>
                <w:b/>
                <w:sz w:val="20"/>
                <w:szCs w:val="20"/>
              </w:rPr>
            </w:pPr>
            <w:r w:rsidRPr="000427E6">
              <w:rPr>
                <w:rFonts w:ascii="Futura Std Condensed Light" w:eastAsia="Calibri" w:hAnsi="Futura Std Condensed Light" w:cs="Calibri"/>
                <w:b/>
                <w:sz w:val="20"/>
                <w:szCs w:val="20"/>
              </w:rPr>
              <w:t>6,783</w:t>
            </w:r>
          </w:p>
        </w:tc>
        <w:tc>
          <w:tcPr>
            <w:tcW w:w="1340" w:type="dxa"/>
            <w:shd w:val="clear" w:color="auto" w:fill="auto"/>
            <w:noWrap/>
            <w:vAlign w:val="center"/>
            <w:hideMark/>
          </w:tcPr>
          <w:p w14:paraId="113E3DBF" w14:textId="77777777" w:rsidR="006D148B" w:rsidRPr="000427E6" w:rsidRDefault="006D148B" w:rsidP="000427E6">
            <w:pPr>
              <w:spacing w:after="100" w:afterAutospacing="1" w:line="240" w:lineRule="auto"/>
              <w:jc w:val="center"/>
              <w:rPr>
                <w:rFonts w:ascii="Futura Std Condensed Light" w:eastAsia="Calibri" w:hAnsi="Futura Std Condensed Light" w:cs="Calibri"/>
                <w:b/>
                <w:sz w:val="20"/>
                <w:szCs w:val="20"/>
              </w:rPr>
            </w:pPr>
            <w:r w:rsidRPr="000427E6">
              <w:rPr>
                <w:rFonts w:ascii="Futura Std Condensed Light" w:eastAsia="Calibri" w:hAnsi="Futura Std Condensed Light" w:cs="Calibri"/>
                <w:b/>
                <w:sz w:val="20"/>
                <w:szCs w:val="20"/>
              </w:rPr>
              <w:t>901</w:t>
            </w:r>
          </w:p>
        </w:tc>
      </w:tr>
    </w:tbl>
    <w:p w14:paraId="19F06E38" w14:textId="77777777" w:rsidR="006D148B" w:rsidRPr="00F55B1E" w:rsidRDefault="006D148B" w:rsidP="006D148B">
      <w:pPr>
        <w:spacing w:after="0"/>
        <w:rPr>
          <w:rFonts w:ascii="Futura Bk BT" w:hAnsi="Futura Bk BT"/>
          <w:sz w:val="16"/>
          <w:szCs w:val="16"/>
        </w:rPr>
      </w:pPr>
    </w:p>
    <w:p w14:paraId="37C1274C" w14:textId="77777777" w:rsidR="006D148B" w:rsidRDefault="006D148B" w:rsidP="006D148B">
      <w:pPr>
        <w:spacing w:after="0"/>
        <w:jc w:val="center"/>
        <w:rPr>
          <w:rFonts w:ascii="Futura Bk BT" w:hAnsi="Futura Bk BT"/>
        </w:rPr>
      </w:pPr>
      <w:r w:rsidRPr="000E1464">
        <w:rPr>
          <w:rFonts w:ascii="Futura Bk BT" w:hAnsi="Futura Bk BT"/>
          <w:b/>
          <w:sz w:val="16"/>
          <w:szCs w:val="16"/>
        </w:rPr>
        <w:t>Fuente:</w:t>
      </w:r>
      <w:r w:rsidRPr="00C124B2">
        <w:rPr>
          <w:rFonts w:ascii="Futura Bk BT" w:hAnsi="Futura Bk BT"/>
          <w:sz w:val="16"/>
          <w:szCs w:val="16"/>
        </w:rPr>
        <w:t xml:space="preserve"> Estadísticas continúas del formato 911 (inicio de ciclo escolar), SEQ.</w:t>
      </w:r>
    </w:p>
    <w:p w14:paraId="02CF1396" w14:textId="62DD62EB" w:rsidR="006D148B" w:rsidRDefault="006D148B" w:rsidP="006D148B">
      <w:pPr>
        <w:spacing w:after="0"/>
        <w:rPr>
          <w:rFonts w:ascii="Futura Bk BT" w:hAnsi="Futura Bk BT"/>
        </w:rPr>
      </w:pPr>
    </w:p>
    <w:p w14:paraId="5D2F15A4" w14:textId="77777777" w:rsidR="006D148B" w:rsidRPr="0054589D" w:rsidRDefault="006D148B" w:rsidP="006D148B">
      <w:pPr>
        <w:spacing w:after="0"/>
        <w:rPr>
          <w:rFonts w:eastAsia="Times New Roman" w:cs="Futura"/>
          <w:b/>
        </w:rPr>
      </w:pPr>
      <w:r w:rsidRPr="0054589D">
        <w:rPr>
          <w:rFonts w:eastAsia="Times New Roman" w:cs="Futura"/>
          <w:b/>
        </w:rPr>
        <w:t>Atención a la demanda de educación primaria (cobertura)</w:t>
      </w:r>
    </w:p>
    <w:p w14:paraId="725E1E9A" w14:textId="77777777" w:rsidR="006D148B" w:rsidRPr="0054589D" w:rsidRDefault="006D148B" w:rsidP="006D148B">
      <w:pPr>
        <w:spacing w:after="0"/>
        <w:rPr>
          <w:rFonts w:eastAsia="Times New Roman" w:cs="Futura"/>
        </w:rPr>
      </w:pPr>
    </w:p>
    <w:p w14:paraId="745469AE" w14:textId="1E28AF2C" w:rsidR="00C40895" w:rsidRDefault="006D148B" w:rsidP="00923758">
      <w:pPr>
        <w:rPr>
          <w:rFonts w:eastAsia="Times New Roman" w:cs="Futura"/>
        </w:rPr>
      </w:pPr>
      <w:r w:rsidRPr="0054589D">
        <w:rPr>
          <w:rFonts w:eastAsia="Times New Roman" w:cs="Futura"/>
        </w:rPr>
        <w:t xml:space="preserve">En lo que respecta a la cobertura de educación primaria para el ciclo escolar 2018-2019, se atendió </w:t>
      </w:r>
      <w:r>
        <w:rPr>
          <w:rFonts w:eastAsia="Times New Roman" w:cs="Futura"/>
        </w:rPr>
        <w:t xml:space="preserve">en el estado </w:t>
      </w:r>
      <w:r w:rsidRPr="0054589D">
        <w:rPr>
          <w:rFonts w:eastAsia="Times New Roman" w:cs="Futura"/>
        </w:rPr>
        <w:t>al 100.2 por ciento de los niños en edad de 6 a 11 años</w:t>
      </w:r>
      <w:r>
        <w:rPr>
          <w:rFonts w:eastAsia="Times New Roman" w:cs="Futura"/>
        </w:rPr>
        <w:t xml:space="preserve"> y al 104.8 por ciento a nivel nacional</w:t>
      </w:r>
      <w:r w:rsidRPr="0054589D">
        <w:rPr>
          <w:rFonts w:eastAsia="Times New Roman" w:cs="Futura"/>
        </w:rPr>
        <w:t>, para el ciclo escolar 2019-2020 la cobertura fue de 111.6 por ciento, un incremento de 11.4 por ciento con relación al ciclo anterior, situándose por arriba de la media nacional que fue de 104.7 por ciento. Cabe mencionar que hay otras variables que inciden en el comportamiento de la cobertura, la atención a población con edad fuera del rango establecido como idóneo (6 a 11 años), la población inmigrante, alumnos de otras cohortes generacionales, estos u otros factores afectan directamente el comportamiento de la matrícula, ocasionando que tenga variaciones que aumentan o disminuyen su crecimiento porcentual. A pesar de esas variaciones la cobertura en este nivel educativo mantiene una atención promedio en términos porcentuales de cien por cien</w:t>
      </w:r>
      <w:r>
        <w:rPr>
          <w:rFonts w:eastAsia="Times New Roman" w:cs="Futura"/>
        </w:rPr>
        <w:t>to. (Gráfica 2</w:t>
      </w:r>
      <w:r w:rsidRPr="0054589D">
        <w:rPr>
          <w:rFonts w:eastAsia="Times New Roman" w:cs="Futura"/>
        </w:rPr>
        <w:t>).</w:t>
      </w:r>
      <w:r w:rsidR="00C40895">
        <w:rPr>
          <w:rFonts w:eastAsia="Times New Roman" w:cs="Futura"/>
        </w:rPr>
        <w:br w:type="page"/>
      </w:r>
    </w:p>
    <w:p w14:paraId="7A4FA3CA" w14:textId="77777777" w:rsidR="006D148B" w:rsidRPr="0054589D" w:rsidRDefault="006D148B" w:rsidP="006D148B">
      <w:pPr>
        <w:spacing w:after="0"/>
        <w:jc w:val="center"/>
        <w:rPr>
          <w:b/>
          <w:color w:val="4BACC6" w:themeColor="accent5"/>
        </w:rPr>
      </w:pPr>
      <w:r>
        <w:rPr>
          <w:b/>
          <w:color w:val="4BACC6" w:themeColor="accent5"/>
        </w:rPr>
        <w:lastRenderedPageBreak/>
        <w:t>Gráfica 2</w:t>
      </w:r>
      <w:r w:rsidRPr="0054589D">
        <w:rPr>
          <w:b/>
          <w:color w:val="4BACC6" w:themeColor="accent5"/>
        </w:rPr>
        <w:t xml:space="preserve">. Cobertura de educación primaria, </w:t>
      </w:r>
      <w:r>
        <w:rPr>
          <w:b/>
          <w:color w:val="4BACC6" w:themeColor="accent5"/>
        </w:rPr>
        <w:t xml:space="preserve">comparativo </w:t>
      </w:r>
      <w:r w:rsidRPr="0054589D">
        <w:rPr>
          <w:b/>
          <w:color w:val="4BACC6" w:themeColor="accent5"/>
        </w:rPr>
        <w:t>estatal y nacional</w:t>
      </w:r>
    </w:p>
    <w:p w14:paraId="5C4B70E5" w14:textId="77777777" w:rsidR="006D148B" w:rsidRPr="0054589D" w:rsidRDefault="006D148B" w:rsidP="006D148B">
      <w:pPr>
        <w:spacing w:after="0"/>
        <w:jc w:val="center"/>
        <w:rPr>
          <w:b/>
          <w:color w:val="4BACC6" w:themeColor="accent5"/>
        </w:rPr>
      </w:pPr>
      <w:r>
        <w:rPr>
          <w:noProof/>
          <w:lang w:val="es-MX" w:eastAsia="es-MX"/>
        </w:rPr>
        <w:drawing>
          <wp:anchor distT="0" distB="0" distL="114300" distR="114300" simplePos="0" relativeHeight="251696128" behindDoc="0" locked="0" layoutInCell="1" allowOverlap="1" wp14:anchorId="3F64CAF2" wp14:editId="18CA8527">
            <wp:simplePos x="0" y="0"/>
            <wp:positionH relativeFrom="column">
              <wp:align>center</wp:align>
            </wp:positionH>
            <wp:positionV relativeFrom="paragraph">
              <wp:posOffset>320675</wp:posOffset>
            </wp:positionV>
            <wp:extent cx="5208905" cy="2228850"/>
            <wp:effectExtent l="0" t="0" r="0" b="0"/>
            <wp:wrapSquare wrapText="bothSides"/>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r w:rsidRPr="0054589D">
        <w:rPr>
          <w:b/>
          <w:color w:val="4BACC6" w:themeColor="accent5"/>
        </w:rPr>
        <w:t>Ciclo escolar 2018-2019 y 2019-2020</w:t>
      </w:r>
    </w:p>
    <w:p w14:paraId="5536EC6A" w14:textId="77777777" w:rsidR="006D148B" w:rsidRPr="004C6B3B" w:rsidRDefault="006D148B" w:rsidP="006D148B">
      <w:pPr>
        <w:spacing w:after="0"/>
        <w:rPr>
          <w:rFonts w:ascii="Futura Bk BT" w:hAnsi="Futura Bk BT"/>
          <w:sz w:val="16"/>
          <w:szCs w:val="16"/>
        </w:rPr>
      </w:pPr>
    </w:p>
    <w:p w14:paraId="37187593" w14:textId="77777777" w:rsidR="006D148B" w:rsidRPr="000E1464" w:rsidRDefault="006D148B" w:rsidP="006D148B">
      <w:pPr>
        <w:rPr>
          <w:rFonts w:ascii="Futura Bk BT" w:hAnsi="Futura Bk BT" w:cstheme="minorHAnsi"/>
          <w:sz w:val="16"/>
          <w:szCs w:val="16"/>
        </w:rPr>
      </w:pPr>
      <w:r w:rsidRPr="000E1464">
        <w:rPr>
          <w:rFonts w:ascii="Futura Bk BT" w:hAnsi="Futura Bk BT"/>
          <w:b/>
          <w:sz w:val="16"/>
          <w:szCs w:val="16"/>
        </w:rPr>
        <w:t>Fuente:</w:t>
      </w:r>
      <w:r w:rsidRPr="000E1464">
        <w:rPr>
          <w:rFonts w:ascii="Futura Bk BT" w:hAnsi="Futura Bk BT"/>
          <w:sz w:val="16"/>
          <w:szCs w:val="16"/>
        </w:rPr>
        <w:t xml:space="preserve"> Estadísticas continúas del formato 911 (inicio de ciclo escolar)</w:t>
      </w:r>
      <w:r>
        <w:rPr>
          <w:rFonts w:ascii="Futura Bk BT" w:hAnsi="Futura Bk BT"/>
          <w:sz w:val="16"/>
          <w:szCs w:val="16"/>
        </w:rPr>
        <w:t xml:space="preserve"> 2018-2019 y 2019-2020</w:t>
      </w:r>
      <w:r w:rsidRPr="000E1464">
        <w:rPr>
          <w:rFonts w:ascii="Futura Bk BT" w:hAnsi="Futura Bk BT"/>
          <w:sz w:val="16"/>
          <w:szCs w:val="16"/>
        </w:rPr>
        <w:t>, SEQ.</w:t>
      </w:r>
      <w:r>
        <w:rPr>
          <w:rFonts w:ascii="Futura Bk BT" w:hAnsi="Futura Bk BT"/>
          <w:sz w:val="16"/>
          <w:szCs w:val="16"/>
        </w:rPr>
        <w:t xml:space="preserve"> </w:t>
      </w:r>
      <w:r w:rsidRPr="000E1464">
        <w:rPr>
          <w:rFonts w:ascii="Futura Bk BT" w:hAnsi="Futura Bk BT" w:cstheme="minorHAnsi"/>
          <w:sz w:val="16"/>
          <w:szCs w:val="16"/>
        </w:rPr>
        <w:t xml:space="preserve">Proyecciones de la Población </w:t>
      </w:r>
      <w:r>
        <w:rPr>
          <w:rFonts w:ascii="Futura Bk BT" w:hAnsi="Futura Bk BT" w:cstheme="minorHAnsi"/>
          <w:sz w:val="16"/>
          <w:szCs w:val="16"/>
        </w:rPr>
        <w:t>por</w:t>
      </w:r>
      <w:r w:rsidRPr="000E1464">
        <w:rPr>
          <w:rFonts w:ascii="Futura Bk BT" w:hAnsi="Futura Bk BT" w:cstheme="minorHAnsi"/>
          <w:sz w:val="16"/>
          <w:szCs w:val="16"/>
        </w:rPr>
        <w:t xml:space="preserve"> </w:t>
      </w:r>
      <w:r>
        <w:rPr>
          <w:rFonts w:ascii="Futura Bk BT" w:hAnsi="Futura Bk BT" w:cstheme="minorHAnsi"/>
          <w:sz w:val="16"/>
          <w:szCs w:val="16"/>
        </w:rPr>
        <w:t>e</w:t>
      </w:r>
      <w:r w:rsidRPr="000E1464">
        <w:rPr>
          <w:rFonts w:ascii="Futura Bk BT" w:hAnsi="Futura Bk BT" w:cstheme="minorHAnsi"/>
          <w:sz w:val="16"/>
          <w:szCs w:val="16"/>
        </w:rPr>
        <w:t xml:space="preserve">ntidad </w:t>
      </w:r>
      <w:r>
        <w:rPr>
          <w:rFonts w:ascii="Futura Bk BT" w:hAnsi="Futura Bk BT" w:cstheme="minorHAnsi"/>
          <w:sz w:val="16"/>
          <w:szCs w:val="16"/>
        </w:rPr>
        <w:t>f</w:t>
      </w:r>
      <w:r w:rsidRPr="000E1464">
        <w:rPr>
          <w:rFonts w:ascii="Futura Bk BT" w:hAnsi="Futura Bk BT" w:cstheme="minorHAnsi"/>
          <w:sz w:val="16"/>
          <w:szCs w:val="16"/>
        </w:rPr>
        <w:t>ederativa</w:t>
      </w:r>
      <w:r>
        <w:rPr>
          <w:rFonts w:ascii="Futura Bk BT" w:hAnsi="Futura Bk BT" w:cstheme="minorHAnsi"/>
          <w:sz w:val="16"/>
          <w:szCs w:val="16"/>
        </w:rPr>
        <w:t xml:space="preserve"> 1970-2050</w:t>
      </w:r>
      <w:r w:rsidRPr="000E1464">
        <w:rPr>
          <w:rFonts w:ascii="Futura Bk BT" w:hAnsi="Futura Bk BT" w:cstheme="minorHAnsi"/>
          <w:sz w:val="16"/>
          <w:szCs w:val="16"/>
        </w:rPr>
        <w:t>, CONAPO.</w:t>
      </w:r>
    </w:p>
    <w:p w14:paraId="406364CA" w14:textId="77777777" w:rsidR="006D148B" w:rsidRDefault="006D148B" w:rsidP="006D148B">
      <w:pPr>
        <w:spacing w:after="0"/>
        <w:rPr>
          <w:rFonts w:ascii="Futura Bk BT" w:hAnsi="Futura Bk BT"/>
        </w:rPr>
      </w:pPr>
    </w:p>
    <w:p w14:paraId="401E71CC" w14:textId="77777777" w:rsidR="006D148B" w:rsidRPr="0054589D" w:rsidRDefault="006D148B" w:rsidP="006D148B">
      <w:pPr>
        <w:spacing w:after="0"/>
        <w:rPr>
          <w:rFonts w:eastAsia="Times New Roman" w:cs="Futura"/>
          <w:b/>
        </w:rPr>
      </w:pPr>
      <w:r w:rsidRPr="0054589D">
        <w:rPr>
          <w:rFonts w:eastAsia="Times New Roman" w:cs="Futura"/>
          <w:b/>
        </w:rPr>
        <w:t>Indicadores educativos de educación primaria</w:t>
      </w:r>
    </w:p>
    <w:p w14:paraId="6B0085D5" w14:textId="77777777" w:rsidR="006D148B" w:rsidRPr="0054589D" w:rsidRDefault="006D148B" w:rsidP="006D148B">
      <w:pPr>
        <w:spacing w:after="0"/>
        <w:rPr>
          <w:rFonts w:eastAsia="Times New Roman" w:cs="Futura"/>
        </w:rPr>
      </w:pPr>
    </w:p>
    <w:p w14:paraId="0E1B3DB5" w14:textId="77777777" w:rsidR="006D148B" w:rsidRDefault="006D148B" w:rsidP="00A42440">
      <w:pPr>
        <w:rPr>
          <w:rFonts w:eastAsia="Times New Roman" w:cs="Futura"/>
        </w:rPr>
      </w:pPr>
      <w:r w:rsidRPr="0054589D">
        <w:rPr>
          <w:rFonts w:eastAsia="Times New Roman" w:cs="Futura"/>
        </w:rPr>
        <w:t xml:space="preserve">En el ciclo escolar 2017-2018, el abandono escolar en educación primaria fue de -0.7 por ciento y para el ciclo escolar 2018-2019 fue </w:t>
      </w:r>
      <w:r w:rsidRPr="0041384A">
        <w:rPr>
          <w:rFonts w:eastAsia="Times New Roman" w:cs="Futura"/>
        </w:rPr>
        <w:t>de -0.3</w:t>
      </w:r>
      <w:r w:rsidRPr="0054589D">
        <w:rPr>
          <w:rFonts w:eastAsia="Times New Roman" w:cs="Futura"/>
        </w:rPr>
        <w:t xml:space="preserve"> por ciento, por debajo de la media nacional que fue de 0.6 por ciento; con respecto al porcentaje de alumnos que se ven obligados a repetir algún grado escolar por no alcanzar los conocimientos básicos establecidos en los planes o programas de estudios, encontramos que la reprobación a nivel estatal fue de 1.9 por ciento en el ciclo 2017-2018 y 1.7 por ciento en el ciclo 2018-2019, por arriba de la media nacional que fue de 0.9 por ciento. La eficiencia terminal en el ciclo 2017-2018 fue de 103.2 por ciento y </w:t>
      </w:r>
      <w:r w:rsidRPr="0041384A">
        <w:rPr>
          <w:rFonts w:eastAsia="Times New Roman" w:cs="Futura"/>
        </w:rPr>
        <w:t>de 103.9 por</w:t>
      </w:r>
      <w:r w:rsidRPr="0054589D">
        <w:rPr>
          <w:rFonts w:eastAsia="Times New Roman" w:cs="Futura"/>
        </w:rPr>
        <w:t xml:space="preserve"> ciento en el ciclo escolar 2018-2019, por arriba de la media nacional que </w:t>
      </w:r>
      <w:r>
        <w:rPr>
          <w:rFonts w:eastAsia="Times New Roman" w:cs="Futura"/>
        </w:rPr>
        <w:t>fue de 96.7 por ciento (Cuadro 5</w:t>
      </w:r>
      <w:r w:rsidRPr="0054589D">
        <w:rPr>
          <w:rFonts w:eastAsia="Times New Roman" w:cs="Futura"/>
        </w:rPr>
        <w:t>).</w:t>
      </w:r>
    </w:p>
    <w:p w14:paraId="461B1003" w14:textId="215F1F0B" w:rsidR="00913635" w:rsidRDefault="00913635">
      <w:pPr>
        <w:spacing w:after="0" w:line="240" w:lineRule="auto"/>
        <w:jc w:val="left"/>
        <w:rPr>
          <w:rFonts w:eastAsia="Times New Roman" w:cs="Futura"/>
        </w:rPr>
      </w:pPr>
      <w:r>
        <w:rPr>
          <w:rFonts w:eastAsia="Times New Roman" w:cs="Futura"/>
        </w:rPr>
        <w:br w:type="page"/>
      </w:r>
    </w:p>
    <w:p w14:paraId="174212F7" w14:textId="4AB8AC3C" w:rsidR="006D148B" w:rsidRDefault="006D148B" w:rsidP="006D148B">
      <w:pPr>
        <w:spacing w:after="0"/>
        <w:rPr>
          <w:b/>
          <w:color w:val="4BACC6" w:themeColor="accent5"/>
        </w:rPr>
      </w:pPr>
      <w:r>
        <w:rPr>
          <w:b/>
          <w:color w:val="4BACC6" w:themeColor="accent5"/>
        </w:rPr>
        <w:lastRenderedPageBreak/>
        <w:t>Cuadro 5</w:t>
      </w:r>
      <w:r w:rsidRPr="0054589D">
        <w:rPr>
          <w:b/>
          <w:color w:val="4BACC6" w:themeColor="accent5"/>
        </w:rPr>
        <w:t>. Principales indicadores de educación primaria, evolución y comparativo nacional</w:t>
      </w:r>
    </w:p>
    <w:p w14:paraId="29B467A5" w14:textId="77777777" w:rsidR="00CB4577" w:rsidRDefault="00CB4577" w:rsidP="006D148B">
      <w:pPr>
        <w:spacing w:after="0"/>
      </w:pPr>
    </w:p>
    <w:tbl>
      <w:tblPr>
        <w:tblW w:w="58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13"/>
        <w:gridCol w:w="1340"/>
        <w:gridCol w:w="1340"/>
        <w:gridCol w:w="1251"/>
      </w:tblGrid>
      <w:tr w:rsidR="006D148B" w:rsidRPr="006119DB" w14:paraId="2A21CAEE" w14:textId="77777777" w:rsidTr="00CB4577">
        <w:trPr>
          <w:trHeight w:val="402"/>
          <w:jc w:val="center"/>
        </w:trPr>
        <w:tc>
          <w:tcPr>
            <w:tcW w:w="1913" w:type="dxa"/>
            <w:vMerge w:val="restart"/>
            <w:shd w:val="clear" w:color="auto" w:fill="A6A6A6" w:themeFill="background1" w:themeFillShade="A6"/>
            <w:vAlign w:val="center"/>
            <w:hideMark/>
          </w:tcPr>
          <w:p w14:paraId="5CDE5955" w14:textId="77777777" w:rsidR="006D148B" w:rsidRPr="00CA3ABD" w:rsidRDefault="006D148B" w:rsidP="00CA3ABD">
            <w:pPr>
              <w:spacing w:after="100" w:afterAutospacing="1" w:line="240" w:lineRule="auto"/>
              <w:jc w:val="center"/>
              <w:rPr>
                <w:rFonts w:ascii="Futura Std Condensed Light" w:eastAsia="Calibri" w:hAnsi="Futura Std Condensed Light" w:cs="Calibri"/>
                <w:b/>
                <w:sz w:val="20"/>
                <w:szCs w:val="20"/>
              </w:rPr>
            </w:pPr>
            <w:r w:rsidRPr="00CA3ABD">
              <w:rPr>
                <w:rFonts w:ascii="Futura Std Condensed Light" w:eastAsia="Calibri" w:hAnsi="Futura Std Condensed Light" w:cs="Calibri"/>
                <w:b/>
                <w:sz w:val="20"/>
                <w:szCs w:val="20"/>
              </w:rPr>
              <w:t>Indicador</w:t>
            </w:r>
          </w:p>
        </w:tc>
        <w:tc>
          <w:tcPr>
            <w:tcW w:w="2680" w:type="dxa"/>
            <w:gridSpan w:val="2"/>
            <w:shd w:val="clear" w:color="auto" w:fill="A6A6A6" w:themeFill="background1" w:themeFillShade="A6"/>
            <w:noWrap/>
            <w:vAlign w:val="center"/>
            <w:hideMark/>
          </w:tcPr>
          <w:p w14:paraId="5915F648" w14:textId="77777777" w:rsidR="006D148B" w:rsidRPr="00CA3ABD" w:rsidRDefault="006D148B" w:rsidP="00CA3ABD">
            <w:pPr>
              <w:spacing w:after="100" w:afterAutospacing="1" w:line="240" w:lineRule="auto"/>
              <w:jc w:val="center"/>
              <w:rPr>
                <w:rFonts w:ascii="Futura Std Condensed Light" w:eastAsia="Calibri" w:hAnsi="Futura Std Condensed Light" w:cs="Calibri"/>
                <w:b/>
                <w:sz w:val="20"/>
                <w:szCs w:val="20"/>
              </w:rPr>
            </w:pPr>
            <w:r w:rsidRPr="00CA3ABD">
              <w:rPr>
                <w:rFonts w:ascii="Futura Std Condensed Light" w:eastAsia="Calibri" w:hAnsi="Futura Std Condensed Light" w:cs="Calibri"/>
                <w:b/>
                <w:sz w:val="20"/>
                <w:szCs w:val="20"/>
              </w:rPr>
              <w:t>Ciclo Escolar</w:t>
            </w:r>
          </w:p>
        </w:tc>
        <w:tc>
          <w:tcPr>
            <w:tcW w:w="1251" w:type="dxa"/>
            <w:shd w:val="clear" w:color="auto" w:fill="A6A6A6" w:themeFill="background1" w:themeFillShade="A6"/>
            <w:vAlign w:val="center"/>
            <w:hideMark/>
          </w:tcPr>
          <w:p w14:paraId="3A961148" w14:textId="77777777" w:rsidR="006D148B" w:rsidRPr="00CA3ABD" w:rsidRDefault="006D148B" w:rsidP="00CA3ABD">
            <w:pPr>
              <w:spacing w:after="100" w:afterAutospacing="1" w:line="240" w:lineRule="auto"/>
              <w:jc w:val="center"/>
              <w:rPr>
                <w:rFonts w:ascii="Futura Std Condensed Light" w:eastAsia="Calibri" w:hAnsi="Futura Std Condensed Light" w:cs="Calibri"/>
                <w:b/>
                <w:sz w:val="20"/>
                <w:szCs w:val="20"/>
              </w:rPr>
            </w:pPr>
            <w:r w:rsidRPr="00CA3ABD">
              <w:rPr>
                <w:rFonts w:ascii="Futura Std Condensed Light" w:eastAsia="Calibri" w:hAnsi="Futura Std Condensed Light" w:cs="Calibri"/>
                <w:b/>
                <w:sz w:val="20"/>
                <w:szCs w:val="20"/>
              </w:rPr>
              <w:t xml:space="preserve">*Nacional </w:t>
            </w:r>
          </w:p>
        </w:tc>
      </w:tr>
      <w:tr w:rsidR="006D148B" w:rsidRPr="006119DB" w14:paraId="181C89A9" w14:textId="77777777" w:rsidTr="00CB4577">
        <w:trPr>
          <w:trHeight w:val="402"/>
          <w:jc w:val="center"/>
        </w:trPr>
        <w:tc>
          <w:tcPr>
            <w:tcW w:w="1913" w:type="dxa"/>
            <w:vMerge/>
            <w:shd w:val="clear" w:color="auto" w:fill="A6A6A6" w:themeFill="background1" w:themeFillShade="A6"/>
            <w:vAlign w:val="center"/>
            <w:hideMark/>
          </w:tcPr>
          <w:p w14:paraId="6D72C2C8" w14:textId="77777777" w:rsidR="006D148B" w:rsidRPr="00CA3ABD" w:rsidRDefault="006D148B" w:rsidP="00CA3ABD">
            <w:pPr>
              <w:spacing w:after="100" w:afterAutospacing="1" w:line="240" w:lineRule="auto"/>
              <w:jc w:val="center"/>
              <w:rPr>
                <w:rFonts w:ascii="Futura Std Condensed Light" w:eastAsia="Calibri" w:hAnsi="Futura Std Condensed Light" w:cs="Calibri"/>
                <w:b/>
                <w:sz w:val="20"/>
                <w:szCs w:val="20"/>
              </w:rPr>
            </w:pPr>
          </w:p>
        </w:tc>
        <w:tc>
          <w:tcPr>
            <w:tcW w:w="1340" w:type="dxa"/>
            <w:shd w:val="clear" w:color="auto" w:fill="A6A6A6" w:themeFill="background1" w:themeFillShade="A6"/>
            <w:vAlign w:val="center"/>
            <w:hideMark/>
          </w:tcPr>
          <w:p w14:paraId="66A766F1" w14:textId="77777777" w:rsidR="006D148B" w:rsidRPr="00CA3ABD" w:rsidRDefault="006D148B" w:rsidP="00CA3ABD">
            <w:pPr>
              <w:spacing w:after="100" w:afterAutospacing="1" w:line="240" w:lineRule="auto"/>
              <w:jc w:val="center"/>
              <w:rPr>
                <w:rFonts w:ascii="Futura Std Condensed Light" w:eastAsia="Calibri" w:hAnsi="Futura Std Condensed Light" w:cs="Calibri"/>
                <w:b/>
                <w:sz w:val="20"/>
                <w:szCs w:val="20"/>
              </w:rPr>
            </w:pPr>
            <w:r w:rsidRPr="00CA3ABD">
              <w:rPr>
                <w:rFonts w:ascii="Futura Std Condensed Light" w:eastAsia="Calibri" w:hAnsi="Futura Std Condensed Light" w:cs="Calibri"/>
                <w:b/>
                <w:sz w:val="20"/>
                <w:szCs w:val="20"/>
              </w:rPr>
              <w:t>2017-2018</w:t>
            </w:r>
          </w:p>
        </w:tc>
        <w:tc>
          <w:tcPr>
            <w:tcW w:w="1340" w:type="dxa"/>
            <w:shd w:val="clear" w:color="auto" w:fill="A6A6A6" w:themeFill="background1" w:themeFillShade="A6"/>
            <w:vAlign w:val="center"/>
            <w:hideMark/>
          </w:tcPr>
          <w:p w14:paraId="3F252828" w14:textId="77777777" w:rsidR="006D148B" w:rsidRPr="00CA3ABD" w:rsidRDefault="006D148B" w:rsidP="00CA3ABD">
            <w:pPr>
              <w:spacing w:after="100" w:afterAutospacing="1" w:line="240" w:lineRule="auto"/>
              <w:jc w:val="center"/>
              <w:rPr>
                <w:rFonts w:ascii="Futura Std Condensed Light" w:eastAsia="Calibri" w:hAnsi="Futura Std Condensed Light" w:cs="Calibri"/>
                <w:b/>
                <w:sz w:val="20"/>
                <w:szCs w:val="20"/>
              </w:rPr>
            </w:pPr>
            <w:r w:rsidRPr="00CA3ABD">
              <w:rPr>
                <w:rFonts w:ascii="Futura Std Condensed Light" w:eastAsia="Calibri" w:hAnsi="Futura Std Condensed Light" w:cs="Calibri"/>
                <w:b/>
                <w:sz w:val="20"/>
                <w:szCs w:val="20"/>
              </w:rPr>
              <w:t>2018-2019</w:t>
            </w:r>
          </w:p>
        </w:tc>
        <w:tc>
          <w:tcPr>
            <w:tcW w:w="1251" w:type="dxa"/>
            <w:shd w:val="clear" w:color="auto" w:fill="A6A6A6" w:themeFill="background1" w:themeFillShade="A6"/>
            <w:vAlign w:val="center"/>
            <w:hideMark/>
          </w:tcPr>
          <w:p w14:paraId="0F8262FF" w14:textId="77777777" w:rsidR="006D148B" w:rsidRPr="00CA3ABD" w:rsidRDefault="006D148B" w:rsidP="00CA3ABD">
            <w:pPr>
              <w:spacing w:after="100" w:afterAutospacing="1" w:line="240" w:lineRule="auto"/>
              <w:jc w:val="center"/>
              <w:rPr>
                <w:rFonts w:ascii="Futura Std Condensed Light" w:eastAsia="Calibri" w:hAnsi="Futura Std Condensed Light" w:cs="Calibri"/>
                <w:b/>
                <w:sz w:val="20"/>
                <w:szCs w:val="20"/>
              </w:rPr>
            </w:pPr>
            <w:r w:rsidRPr="00CA3ABD">
              <w:rPr>
                <w:rFonts w:ascii="Futura Std Condensed Light" w:eastAsia="Calibri" w:hAnsi="Futura Std Condensed Light" w:cs="Calibri"/>
                <w:b/>
                <w:sz w:val="20"/>
                <w:szCs w:val="20"/>
              </w:rPr>
              <w:t>2018-2019</w:t>
            </w:r>
          </w:p>
        </w:tc>
      </w:tr>
      <w:tr w:rsidR="006D148B" w:rsidRPr="006119DB" w14:paraId="370CE6EE" w14:textId="77777777" w:rsidTr="00CB4577">
        <w:trPr>
          <w:trHeight w:val="402"/>
          <w:jc w:val="center"/>
        </w:trPr>
        <w:tc>
          <w:tcPr>
            <w:tcW w:w="1913" w:type="dxa"/>
            <w:shd w:val="clear" w:color="auto" w:fill="auto"/>
            <w:noWrap/>
            <w:vAlign w:val="center"/>
            <w:hideMark/>
          </w:tcPr>
          <w:p w14:paraId="19D9D4A4" w14:textId="77777777" w:rsidR="006D148B" w:rsidRPr="00CA3ABD" w:rsidRDefault="006D148B" w:rsidP="00CA3ABD">
            <w:pPr>
              <w:spacing w:after="100" w:afterAutospacing="1" w:line="240" w:lineRule="auto"/>
              <w:jc w:val="center"/>
              <w:rPr>
                <w:rFonts w:ascii="Futura Std Condensed Light" w:eastAsia="Calibri" w:hAnsi="Futura Std Condensed Light" w:cs="Calibri"/>
                <w:sz w:val="20"/>
                <w:szCs w:val="20"/>
              </w:rPr>
            </w:pPr>
            <w:r w:rsidRPr="00CA3ABD">
              <w:rPr>
                <w:rFonts w:ascii="Futura Std Condensed Light" w:eastAsia="Calibri" w:hAnsi="Futura Std Condensed Light" w:cs="Calibri"/>
                <w:sz w:val="20"/>
                <w:szCs w:val="20"/>
              </w:rPr>
              <w:t>Abandono Escolar</w:t>
            </w:r>
          </w:p>
        </w:tc>
        <w:tc>
          <w:tcPr>
            <w:tcW w:w="1340" w:type="dxa"/>
            <w:shd w:val="clear" w:color="auto" w:fill="auto"/>
            <w:vAlign w:val="center"/>
            <w:hideMark/>
          </w:tcPr>
          <w:p w14:paraId="54BF4C8D" w14:textId="77777777" w:rsidR="006D148B" w:rsidRPr="00CA3ABD" w:rsidRDefault="006D148B" w:rsidP="00CA3ABD">
            <w:pPr>
              <w:spacing w:after="100" w:afterAutospacing="1" w:line="240" w:lineRule="auto"/>
              <w:jc w:val="center"/>
              <w:rPr>
                <w:rFonts w:ascii="Futura Std Condensed Light" w:eastAsia="Calibri" w:hAnsi="Futura Std Condensed Light" w:cs="Calibri"/>
                <w:sz w:val="20"/>
                <w:szCs w:val="20"/>
              </w:rPr>
            </w:pPr>
            <w:r w:rsidRPr="00CA3ABD">
              <w:rPr>
                <w:rFonts w:ascii="Futura Std Condensed Light" w:eastAsia="Calibri" w:hAnsi="Futura Std Condensed Light" w:cs="Calibri"/>
                <w:sz w:val="20"/>
                <w:szCs w:val="20"/>
              </w:rPr>
              <w:t>-0.7%</w:t>
            </w:r>
          </w:p>
        </w:tc>
        <w:tc>
          <w:tcPr>
            <w:tcW w:w="1340" w:type="dxa"/>
            <w:shd w:val="clear" w:color="auto" w:fill="auto"/>
            <w:vAlign w:val="center"/>
            <w:hideMark/>
          </w:tcPr>
          <w:p w14:paraId="49E8A72C" w14:textId="77777777" w:rsidR="006D148B" w:rsidRPr="00CA3ABD" w:rsidRDefault="006D148B" w:rsidP="00CA3ABD">
            <w:pPr>
              <w:spacing w:after="100" w:afterAutospacing="1" w:line="240" w:lineRule="auto"/>
              <w:jc w:val="center"/>
              <w:rPr>
                <w:rFonts w:ascii="Futura Std Condensed Light" w:eastAsia="Calibri" w:hAnsi="Futura Std Condensed Light" w:cs="Calibri"/>
                <w:sz w:val="20"/>
                <w:szCs w:val="20"/>
              </w:rPr>
            </w:pPr>
            <w:r w:rsidRPr="00CA3ABD">
              <w:rPr>
                <w:rFonts w:ascii="Futura Std Condensed Light" w:eastAsia="Calibri" w:hAnsi="Futura Std Condensed Light" w:cs="Calibri"/>
                <w:sz w:val="20"/>
                <w:szCs w:val="20"/>
              </w:rPr>
              <w:t>-0.3%</w:t>
            </w:r>
          </w:p>
        </w:tc>
        <w:tc>
          <w:tcPr>
            <w:tcW w:w="1251" w:type="dxa"/>
            <w:shd w:val="clear" w:color="auto" w:fill="auto"/>
            <w:noWrap/>
            <w:vAlign w:val="center"/>
            <w:hideMark/>
          </w:tcPr>
          <w:p w14:paraId="7D6216AD" w14:textId="77777777" w:rsidR="006D148B" w:rsidRPr="00CA3ABD" w:rsidRDefault="006D148B" w:rsidP="00CA3ABD">
            <w:pPr>
              <w:spacing w:after="100" w:afterAutospacing="1" w:line="240" w:lineRule="auto"/>
              <w:jc w:val="center"/>
              <w:rPr>
                <w:rFonts w:ascii="Futura Std Condensed Light" w:eastAsia="Calibri" w:hAnsi="Futura Std Condensed Light" w:cs="Calibri"/>
                <w:sz w:val="20"/>
                <w:szCs w:val="20"/>
              </w:rPr>
            </w:pPr>
            <w:r w:rsidRPr="00CA3ABD">
              <w:rPr>
                <w:rFonts w:ascii="Futura Std Condensed Light" w:eastAsia="Calibri" w:hAnsi="Futura Std Condensed Light" w:cs="Calibri"/>
                <w:sz w:val="20"/>
                <w:szCs w:val="20"/>
              </w:rPr>
              <w:t>0.6%</w:t>
            </w:r>
          </w:p>
        </w:tc>
      </w:tr>
      <w:tr w:rsidR="006D148B" w:rsidRPr="006119DB" w14:paraId="52CCBC2F" w14:textId="77777777" w:rsidTr="00CB4577">
        <w:trPr>
          <w:trHeight w:val="402"/>
          <w:jc w:val="center"/>
        </w:trPr>
        <w:tc>
          <w:tcPr>
            <w:tcW w:w="1913" w:type="dxa"/>
            <w:shd w:val="clear" w:color="auto" w:fill="auto"/>
            <w:noWrap/>
            <w:vAlign w:val="center"/>
            <w:hideMark/>
          </w:tcPr>
          <w:p w14:paraId="05040A83" w14:textId="77777777" w:rsidR="006D148B" w:rsidRPr="00CA3ABD" w:rsidRDefault="006D148B" w:rsidP="00CA3ABD">
            <w:pPr>
              <w:spacing w:after="100" w:afterAutospacing="1" w:line="240" w:lineRule="auto"/>
              <w:jc w:val="center"/>
              <w:rPr>
                <w:rFonts w:ascii="Futura Std Condensed Light" w:eastAsia="Calibri" w:hAnsi="Futura Std Condensed Light" w:cs="Calibri"/>
                <w:sz w:val="20"/>
                <w:szCs w:val="20"/>
              </w:rPr>
            </w:pPr>
            <w:r w:rsidRPr="00CA3ABD">
              <w:rPr>
                <w:rFonts w:ascii="Futura Std Condensed Light" w:eastAsia="Calibri" w:hAnsi="Futura Std Condensed Light" w:cs="Calibri"/>
                <w:sz w:val="20"/>
                <w:szCs w:val="20"/>
              </w:rPr>
              <w:t>Reprobación</w:t>
            </w:r>
          </w:p>
        </w:tc>
        <w:tc>
          <w:tcPr>
            <w:tcW w:w="1340" w:type="dxa"/>
            <w:shd w:val="clear" w:color="auto" w:fill="auto"/>
            <w:vAlign w:val="center"/>
            <w:hideMark/>
          </w:tcPr>
          <w:p w14:paraId="0713F319" w14:textId="77777777" w:rsidR="006D148B" w:rsidRPr="00CA3ABD" w:rsidRDefault="006D148B" w:rsidP="00CA3ABD">
            <w:pPr>
              <w:spacing w:after="100" w:afterAutospacing="1" w:line="240" w:lineRule="auto"/>
              <w:jc w:val="center"/>
              <w:rPr>
                <w:rFonts w:ascii="Futura Std Condensed Light" w:eastAsia="Calibri" w:hAnsi="Futura Std Condensed Light" w:cs="Calibri"/>
                <w:sz w:val="20"/>
                <w:szCs w:val="20"/>
              </w:rPr>
            </w:pPr>
            <w:r w:rsidRPr="00CA3ABD">
              <w:rPr>
                <w:rFonts w:ascii="Futura Std Condensed Light" w:eastAsia="Calibri" w:hAnsi="Futura Std Condensed Light" w:cs="Calibri"/>
                <w:sz w:val="20"/>
                <w:szCs w:val="20"/>
              </w:rPr>
              <w:t>1.9%</w:t>
            </w:r>
          </w:p>
        </w:tc>
        <w:tc>
          <w:tcPr>
            <w:tcW w:w="1340" w:type="dxa"/>
            <w:shd w:val="clear" w:color="auto" w:fill="auto"/>
            <w:vAlign w:val="center"/>
            <w:hideMark/>
          </w:tcPr>
          <w:p w14:paraId="2361BFB4" w14:textId="77777777" w:rsidR="006D148B" w:rsidRPr="00CA3ABD" w:rsidRDefault="006D148B" w:rsidP="00CA3ABD">
            <w:pPr>
              <w:spacing w:after="100" w:afterAutospacing="1" w:line="240" w:lineRule="auto"/>
              <w:jc w:val="center"/>
              <w:rPr>
                <w:rFonts w:ascii="Futura Std Condensed Light" w:eastAsia="Calibri" w:hAnsi="Futura Std Condensed Light" w:cs="Calibri"/>
                <w:sz w:val="20"/>
                <w:szCs w:val="20"/>
              </w:rPr>
            </w:pPr>
            <w:r w:rsidRPr="00CA3ABD">
              <w:rPr>
                <w:rFonts w:ascii="Futura Std Condensed Light" w:eastAsia="Calibri" w:hAnsi="Futura Std Condensed Light" w:cs="Calibri"/>
                <w:sz w:val="20"/>
                <w:szCs w:val="20"/>
              </w:rPr>
              <w:t>1.7%</w:t>
            </w:r>
          </w:p>
        </w:tc>
        <w:tc>
          <w:tcPr>
            <w:tcW w:w="1251" w:type="dxa"/>
            <w:shd w:val="clear" w:color="auto" w:fill="auto"/>
            <w:noWrap/>
            <w:vAlign w:val="center"/>
            <w:hideMark/>
          </w:tcPr>
          <w:p w14:paraId="78042A03" w14:textId="77777777" w:rsidR="006D148B" w:rsidRPr="00CA3ABD" w:rsidRDefault="006D148B" w:rsidP="00CA3ABD">
            <w:pPr>
              <w:spacing w:after="100" w:afterAutospacing="1" w:line="240" w:lineRule="auto"/>
              <w:jc w:val="center"/>
              <w:rPr>
                <w:rFonts w:ascii="Futura Std Condensed Light" w:eastAsia="Calibri" w:hAnsi="Futura Std Condensed Light" w:cs="Calibri"/>
                <w:sz w:val="20"/>
                <w:szCs w:val="20"/>
              </w:rPr>
            </w:pPr>
            <w:r w:rsidRPr="00CA3ABD">
              <w:rPr>
                <w:rFonts w:ascii="Futura Std Condensed Light" w:eastAsia="Calibri" w:hAnsi="Futura Std Condensed Light" w:cs="Calibri"/>
                <w:sz w:val="20"/>
                <w:szCs w:val="20"/>
              </w:rPr>
              <w:t>0.9%</w:t>
            </w:r>
          </w:p>
        </w:tc>
      </w:tr>
      <w:tr w:rsidR="006D148B" w:rsidRPr="006119DB" w14:paraId="295DC234" w14:textId="77777777" w:rsidTr="00CB4577">
        <w:trPr>
          <w:trHeight w:val="402"/>
          <w:jc w:val="center"/>
        </w:trPr>
        <w:tc>
          <w:tcPr>
            <w:tcW w:w="1913" w:type="dxa"/>
            <w:shd w:val="clear" w:color="auto" w:fill="auto"/>
            <w:noWrap/>
            <w:vAlign w:val="center"/>
            <w:hideMark/>
          </w:tcPr>
          <w:p w14:paraId="135C4419" w14:textId="77777777" w:rsidR="006D148B" w:rsidRPr="00CA3ABD" w:rsidRDefault="006D148B" w:rsidP="00CA3ABD">
            <w:pPr>
              <w:spacing w:after="100" w:afterAutospacing="1" w:line="240" w:lineRule="auto"/>
              <w:jc w:val="center"/>
              <w:rPr>
                <w:rFonts w:ascii="Futura Std Condensed Light" w:eastAsia="Calibri" w:hAnsi="Futura Std Condensed Light" w:cs="Calibri"/>
                <w:sz w:val="20"/>
                <w:szCs w:val="20"/>
              </w:rPr>
            </w:pPr>
            <w:r w:rsidRPr="00CA3ABD">
              <w:rPr>
                <w:rFonts w:ascii="Futura Std Condensed Light" w:eastAsia="Calibri" w:hAnsi="Futura Std Condensed Light" w:cs="Calibri"/>
                <w:sz w:val="20"/>
                <w:szCs w:val="20"/>
              </w:rPr>
              <w:t>Eficiencia terminal</w:t>
            </w:r>
          </w:p>
        </w:tc>
        <w:tc>
          <w:tcPr>
            <w:tcW w:w="1340" w:type="dxa"/>
            <w:shd w:val="clear" w:color="auto" w:fill="auto"/>
            <w:vAlign w:val="center"/>
            <w:hideMark/>
          </w:tcPr>
          <w:p w14:paraId="55AD3192" w14:textId="77777777" w:rsidR="006D148B" w:rsidRPr="00CA3ABD" w:rsidRDefault="006D148B" w:rsidP="00CA3ABD">
            <w:pPr>
              <w:spacing w:after="100" w:afterAutospacing="1" w:line="240" w:lineRule="auto"/>
              <w:jc w:val="center"/>
              <w:rPr>
                <w:rFonts w:ascii="Futura Std Condensed Light" w:eastAsia="Calibri" w:hAnsi="Futura Std Condensed Light" w:cs="Calibri"/>
                <w:sz w:val="20"/>
                <w:szCs w:val="20"/>
              </w:rPr>
            </w:pPr>
            <w:r w:rsidRPr="00CA3ABD">
              <w:rPr>
                <w:rFonts w:ascii="Futura Std Condensed Light" w:eastAsia="Calibri" w:hAnsi="Futura Std Condensed Light" w:cs="Calibri"/>
                <w:sz w:val="20"/>
                <w:szCs w:val="20"/>
              </w:rPr>
              <w:t>103.2%</w:t>
            </w:r>
          </w:p>
        </w:tc>
        <w:tc>
          <w:tcPr>
            <w:tcW w:w="1340" w:type="dxa"/>
            <w:shd w:val="clear" w:color="auto" w:fill="auto"/>
            <w:vAlign w:val="center"/>
            <w:hideMark/>
          </w:tcPr>
          <w:p w14:paraId="70539A9C" w14:textId="77777777" w:rsidR="006D148B" w:rsidRPr="00CA3ABD" w:rsidRDefault="006D148B" w:rsidP="00CA3ABD">
            <w:pPr>
              <w:spacing w:after="100" w:afterAutospacing="1" w:line="240" w:lineRule="auto"/>
              <w:jc w:val="center"/>
              <w:rPr>
                <w:rFonts w:ascii="Futura Std Condensed Light" w:eastAsia="Calibri" w:hAnsi="Futura Std Condensed Light" w:cs="Calibri"/>
                <w:sz w:val="20"/>
                <w:szCs w:val="20"/>
              </w:rPr>
            </w:pPr>
            <w:r w:rsidRPr="00CA3ABD">
              <w:rPr>
                <w:rFonts w:ascii="Futura Std Condensed Light" w:eastAsia="Calibri" w:hAnsi="Futura Std Condensed Light" w:cs="Calibri"/>
                <w:sz w:val="20"/>
                <w:szCs w:val="20"/>
              </w:rPr>
              <w:t>103.9%</w:t>
            </w:r>
          </w:p>
        </w:tc>
        <w:tc>
          <w:tcPr>
            <w:tcW w:w="1251" w:type="dxa"/>
            <w:shd w:val="clear" w:color="auto" w:fill="auto"/>
            <w:noWrap/>
            <w:vAlign w:val="center"/>
            <w:hideMark/>
          </w:tcPr>
          <w:p w14:paraId="525F3414" w14:textId="77777777" w:rsidR="006D148B" w:rsidRPr="00CA3ABD" w:rsidRDefault="006D148B" w:rsidP="00CA3ABD">
            <w:pPr>
              <w:spacing w:after="100" w:afterAutospacing="1" w:line="240" w:lineRule="auto"/>
              <w:jc w:val="center"/>
              <w:rPr>
                <w:rFonts w:ascii="Futura Std Condensed Light" w:eastAsia="Calibri" w:hAnsi="Futura Std Condensed Light" w:cs="Calibri"/>
                <w:sz w:val="20"/>
                <w:szCs w:val="20"/>
              </w:rPr>
            </w:pPr>
            <w:r w:rsidRPr="00CA3ABD">
              <w:rPr>
                <w:rFonts w:ascii="Futura Std Condensed Light" w:eastAsia="Calibri" w:hAnsi="Futura Std Condensed Light" w:cs="Calibri"/>
                <w:sz w:val="20"/>
                <w:szCs w:val="20"/>
              </w:rPr>
              <w:t>96.7%</w:t>
            </w:r>
          </w:p>
        </w:tc>
      </w:tr>
    </w:tbl>
    <w:p w14:paraId="0CEFFDB1" w14:textId="77777777" w:rsidR="006D148B" w:rsidRDefault="006D148B" w:rsidP="006D148B">
      <w:pPr>
        <w:spacing w:after="0"/>
        <w:rPr>
          <w:rFonts w:ascii="Futura Bk BT" w:hAnsi="Futura Bk BT"/>
        </w:rPr>
      </w:pPr>
    </w:p>
    <w:p w14:paraId="6DE416A3" w14:textId="77777777" w:rsidR="006D148B" w:rsidRPr="008248F3" w:rsidRDefault="006D148B" w:rsidP="006D148B">
      <w:pPr>
        <w:spacing w:after="0"/>
        <w:rPr>
          <w:rFonts w:ascii="Futura Bk BT" w:hAnsi="Futura Bk BT"/>
          <w:sz w:val="16"/>
          <w:szCs w:val="16"/>
        </w:rPr>
      </w:pPr>
      <w:r w:rsidRPr="008248F3">
        <w:rPr>
          <w:rFonts w:ascii="Futura Bk BT" w:hAnsi="Futura Bk BT"/>
          <w:b/>
          <w:sz w:val="16"/>
          <w:szCs w:val="16"/>
        </w:rPr>
        <w:t>Fuente:</w:t>
      </w:r>
      <w:r w:rsidRPr="008248F3">
        <w:rPr>
          <w:rFonts w:ascii="Futura Bk BT" w:hAnsi="Futura Bk BT"/>
          <w:sz w:val="16"/>
          <w:szCs w:val="16"/>
        </w:rPr>
        <w:t xml:space="preserve"> Indicadores de Educación Básica del Departamento de Estadística</w:t>
      </w:r>
      <w:r>
        <w:rPr>
          <w:rFonts w:ascii="Futura Bk BT" w:hAnsi="Futura Bk BT"/>
          <w:sz w:val="16"/>
          <w:szCs w:val="16"/>
        </w:rPr>
        <w:t>, ciclo escolar 2017-2018 y 2018-2019, SEQ.</w:t>
      </w:r>
      <w:r w:rsidRPr="008248F3">
        <w:rPr>
          <w:rFonts w:ascii="Futura Bk BT" w:hAnsi="Futura Bk BT"/>
          <w:sz w:val="16"/>
          <w:szCs w:val="16"/>
        </w:rPr>
        <w:t xml:space="preserve"> *Reporte de Indicadores educativos versión </w:t>
      </w:r>
      <w:r>
        <w:rPr>
          <w:rFonts w:ascii="Futura Bk BT" w:hAnsi="Futura Bk BT"/>
          <w:sz w:val="16"/>
          <w:szCs w:val="16"/>
        </w:rPr>
        <w:t xml:space="preserve">septiembre </w:t>
      </w:r>
      <w:r w:rsidRPr="008248F3">
        <w:rPr>
          <w:rFonts w:ascii="Futura Bk BT" w:hAnsi="Futura Bk BT"/>
          <w:sz w:val="16"/>
          <w:szCs w:val="16"/>
        </w:rPr>
        <w:t>201</w:t>
      </w:r>
      <w:r>
        <w:rPr>
          <w:rFonts w:ascii="Futura Bk BT" w:hAnsi="Futura Bk BT"/>
          <w:sz w:val="16"/>
          <w:szCs w:val="16"/>
        </w:rPr>
        <w:t>9</w:t>
      </w:r>
      <w:r w:rsidRPr="008248F3">
        <w:rPr>
          <w:rFonts w:ascii="Futura Bk BT" w:hAnsi="Futura Bk BT"/>
          <w:sz w:val="16"/>
          <w:szCs w:val="16"/>
        </w:rPr>
        <w:t>, SE</w:t>
      </w:r>
      <w:r>
        <w:rPr>
          <w:rFonts w:ascii="Futura Bk BT" w:hAnsi="Futura Bk BT"/>
          <w:sz w:val="16"/>
          <w:szCs w:val="16"/>
        </w:rPr>
        <w:t>P</w:t>
      </w:r>
      <w:r w:rsidRPr="008248F3">
        <w:rPr>
          <w:rFonts w:ascii="Futura Bk BT" w:hAnsi="Futura Bk BT"/>
          <w:sz w:val="16"/>
          <w:szCs w:val="16"/>
        </w:rPr>
        <w:t xml:space="preserve">.  </w:t>
      </w:r>
    </w:p>
    <w:p w14:paraId="624552EA" w14:textId="77777777" w:rsidR="006D148B" w:rsidRDefault="006D148B" w:rsidP="006D148B">
      <w:pPr>
        <w:spacing w:after="0"/>
        <w:rPr>
          <w:rFonts w:ascii="Futura Bk BT" w:hAnsi="Futura Bk BT"/>
        </w:rPr>
      </w:pPr>
    </w:p>
    <w:p w14:paraId="1E87A0A4" w14:textId="77777777" w:rsidR="006D148B" w:rsidRPr="0054589D" w:rsidRDefault="006D148B" w:rsidP="006D148B">
      <w:pPr>
        <w:spacing w:after="0"/>
        <w:rPr>
          <w:rFonts w:eastAsia="Times New Roman" w:cs="Futura"/>
          <w:b/>
        </w:rPr>
      </w:pPr>
      <w:r w:rsidRPr="0054589D">
        <w:rPr>
          <w:rFonts w:eastAsia="Times New Roman" w:cs="Futura"/>
          <w:b/>
        </w:rPr>
        <w:t>Resultados del Plan Nacional para las Evaluaciones de los Aprendizajes (PLANEA), en primaria.</w:t>
      </w:r>
    </w:p>
    <w:p w14:paraId="542A7A62" w14:textId="77777777" w:rsidR="006D148B" w:rsidRPr="0054589D" w:rsidRDefault="006D148B" w:rsidP="006D148B">
      <w:pPr>
        <w:spacing w:after="0"/>
        <w:rPr>
          <w:rFonts w:eastAsia="Times New Roman" w:cs="Futura"/>
        </w:rPr>
      </w:pPr>
    </w:p>
    <w:p w14:paraId="7CA5F463" w14:textId="4C4B2905" w:rsidR="006D148B" w:rsidRPr="0054589D" w:rsidRDefault="006D148B" w:rsidP="00A42440">
      <w:pPr>
        <w:rPr>
          <w:rFonts w:eastAsia="Times New Roman" w:cs="Futura"/>
        </w:rPr>
      </w:pPr>
      <w:r w:rsidRPr="0054589D">
        <w:rPr>
          <w:rFonts w:eastAsia="Times New Roman" w:cs="Futura"/>
        </w:rPr>
        <w:t>La prueba PLANEA en 2018, evaluó en lenguaje y comunicación a 22 mil 404 alumnos de sexto grado de primaria, el 44.9 por ciento de los alumnos evaluados se encontraban en el nivel de logro I (insuficiente), el 34.1 por ciento en el nivel de logro II (básico), el 16.9 por ciento en el nivel III (satisfactorio), y el 4.1 por ciento de los alumnos en el nivel de logro IV (sobresaliente). En matemáticas se evaluaron a 20 mil 712 alumnos de sexto grado de primaria, el 60.7 por ciento se ubicaban en el nivel de logro I</w:t>
      </w:r>
      <w:r>
        <w:rPr>
          <w:rFonts w:eastAsia="Times New Roman" w:cs="Futura"/>
        </w:rPr>
        <w:t xml:space="preserve"> (insuficiente)</w:t>
      </w:r>
      <w:r w:rsidRPr="0054589D">
        <w:rPr>
          <w:rFonts w:eastAsia="Times New Roman" w:cs="Futura"/>
        </w:rPr>
        <w:t>, el 18.0 por ciento en el nivel II, el 13.6 por ciento en el nivel III, y el 7.7 por ciento de los alumnos evaluados en</w:t>
      </w:r>
      <w:r>
        <w:rPr>
          <w:rFonts w:eastAsia="Times New Roman" w:cs="Futura"/>
        </w:rPr>
        <w:t xml:space="preserve"> el nivel de logro IV (Gráfica 3</w:t>
      </w:r>
      <w:r w:rsidRPr="0054589D">
        <w:rPr>
          <w:rFonts w:eastAsia="Times New Roman" w:cs="Futura"/>
        </w:rPr>
        <w:t>).</w:t>
      </w:r>
    </w:p>
    <w:p w14:paraId="059D84A9" w14:textId="77777777" w:rsidR="006D148B" w:rsidRDefault="006D148B" w:rsidP="006D148B">
      <w:pPr>
        <w:spacing w:after="0"/>
        <w:rPr>
          <w:b/>
          <w:color w:val="4BACC6" w:themeColor="accent5"/>
        </w:rPr>
      </w:pPr>
    </w:p>
    <w:p w14:paraId="06F70344" w14:textId="77777777" w:rsidR="006D148B" w:rsidRDefault="006D148B" w:rsidP="006D148B">
      <w:pPr>
        <w:spacing w:after="160" w:line="259" w:lineRule="auto"/>
        <w:jc w:val="left"/>
        <w:rPr>
          <w:b/>
          <w:color w:val="4BACC6" w:themeColor="accent5"/>
        </w:rPr>
      </w:pPr>
      <w:r>
        <w:rPr>
          <w:b/>
          <w:color w:val="4BACC6" w:themeColor="accent5"/>
        </w:rPr>
        <w:br w:type="page"/>
      </w:r>
    </w:p>
    <w:p w14:paraId="4D450033" w14:textId="77777777" w:rsidR="006D148B" w:rsidRDefault="006D148B" w:rsidP="00876563">
      <w:pPr>
        <w:spacing w:after="0"/>
        <w:jc w:val="center"/>
        <w:rPr>
          <w:b/>
          <w:color w:val="4BACC6" w:themeColor="accent5"/>
        </w:rPr>
      </w:pPr>
      <w:r>
        <w:rPr>
          <w:b/>
          <w:color w:val="4BACC6" w:themeColor="accent5"/>
        </w:rPr>
        <w:lastRenderedPageBreak/>
        <w:t>Gráfica 3</w:t>
      </w:r>
      <w:r w:rsidRPr="00CC5F45">
        <w:rPr>
          <w:b/>
          <w:color w:val="4BACC6" w:themeColor="accent5"/>
        </w:rPr>
        <w:t>. Porcentaje de alumnos de 6° de primaria según nivel de logro alcanzado en lenguaje y comunicación, y matemáticas, de la prueba PLANEA 2018</w:t>
      </w:r>
    </w:p>
    <w:p w14:paraId="6B257CB7" w14:textId="77777777" w:rsidR="006D148B" w:rsidRDefault="006D148B" w:rsidP="006D148B">
      <w:pPr>
        <w:spacing w:after="0"/>
        <w:rPr>
          <w:b/>
          <w:color w:val="4BACC6" w:themeColor="accent5"/>
        </w:rPr>
      </w:pPr>
      <w:r>
        <w:rPr>
          <w:noProof/>
          <w:lang w:val="es-MX" w:eastAsia="es-MX"/>
        </w:rPr>
        <w:drawing>
          <wp:anchor distT="0" distB="0" distL="114300" distR="114300" simplePos="0" relativeHeight="251697152" behindDoc="0" locked="0" layoutInCell="1" allowOverlap="1" wp14:anchorId="2C62D77A" wp14:editId="66F12089">
            <wp:simplePos x="0" y="0"/>
            <wp:positionH relativeFrom="margin">
              <wp:posOffset>453390</wp:posOffset>
            </wp:positionH>
            <wp:positionV relativeFrom="paragraph">
              <wp:posOffset>47625</wp:posOffset>
            </wp:positionV>
            <wp:extent cx="4704715" cy="2220595"/>
            <wp:effectExtent l="0" t="0" r="635" b="8255"/>
            <wp:wrapSquare wrapText="bothSides"/>
            <wp:docPr id="33" name="Gráfico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14:paraId="182E70AB" w14:textId="77777777" w:rsidR="006D148B" w:rsidRDefault="006D148B" w:rsidP="006D148B">
      <w:pPr>
        <w:spacing w:after="0"/>
        <w:rPr>
          <w:b/>
          <w:color w:val="4BACC6" w:themeColor="accent5"/>
        </w:rPr>
      </w:pPr>
    </w:p>
    <w:p w14:paraId="48A51115" w14:textId="77777777" w:rsidR="006D148B" w:rsidRDefault="006D148B" w:rsidP="006D148B">
      <w:pPr>
        <w:spacing w:after="0"/>
        <w:rPr>
          <w:b/>
          <w:color w:val="4BACC6" w:themeColor="accent5"/>
        </w:rPr>
      </w:pPr>
    </w:p>
    <w:p w14:paraId="7F8D3EF9" w14:textId="77777777" w:rsidR="006D148B" w:rsidRDefault="006D148B" w:rsidP="006D148B">
      <w:pPr>
        <w:spacing w:after="0"/>
        <w:rPr>
          <w:b/>
          <w:color w:val="4BACC6" w:themeColor="accent5"/>
        </w:rPr>
      </w:pPr>
    </w:p>
    <w:p w14:paraId="68B5C952" w14:textId="77777777" w:rsidR="006D148B" w:rsidRDefault="006D148B" w:rsidP="006D148B">
      <w:pPr>
        <w:spacing w:after="0"/>
        <w:rPr>
          <w:b/>
          <w:color w:val="4BACC6" w:themeColor="accent5"/>
        </w:rPr>
      </w:pPr>
    </w:p>
    <w:p w14:paraId="20F93A2A" w14:textId="77777777" w:rsidR="006D148B" w:rsidRDefault="006D148B" w:rsidP="006D148B">
      <w:pPr>
        <w:spacing w:after="0"/>
        <w:rPr>
          <w:b/>
          <w:color w:val="4BACC6" w:themeColor="accent5"/>
        </w:rPr>
      </w:pPr>
    </w:p>
    <w:p w14:paraId="14391BE7" w14:textId="77777777" w:rsidR="006D148B" w:rsidRDefault="006D148B" w:rsidP="006D148B">
      <w:pPr>
        <w:spacing w:after="0"/>
        <w:rPr>
          <w:b/>
          <w:color w:val="4BACC6" w:themeColor="accent5"/>
        </w:rPr>
      </w:pPr>
    </w:p>
    <w:p w14:paraId="6DF01AB2" w14:textId="77777777" w:rsidR="006D148B" w:rsidRDefault="006D148B" w:rsidP="006D148B">
      <w:pPr>
        <w:spacing w:after="0"/>
        <w:rPr>
          <w:b/>
          <w:color w:val="4BACC6" w:themeColor="accent5"/>
        </w:rPr>
      </w:pPr>
    </w:p>
    <w:p w14:paraId="2F3D1E32" w14:textId="77777777" w:rsidR="006D148B" w:rsidRDefault="006D148B" w:rsidP="006D148B">
      <w:pPr>
        <w:spacing w:after="0"/>
        <w:rPr>
          <w:b/>
          <w:color w:val="4BACC6" w:themeColor="accent5"/>
        </w:rPr>
      </w:pPr>
    </w:p>
    <w:p w14:paraId="56BC1DA2" w14:textId="77777777" w:rsidR="006D148B" w:rsidRDefault="006D148B" w:rsidP="006D148B">
      <w:pPr>
        <w:spacing w:after="0"/>
        <w:rPr>
          <w:b/>
          <w:color w:val="4BACC6" w:themeColor="accent5"/>
        </w:rPr>
      </w:pPr>
    </w:p>
    <w:p w14:paraId="09C9B5E8" w14:textId="77777777" w:rsidR="006D148B" w:rsidRDefault="006D148B" w:rsidP="006D148B">
      <w:pPr>
        <w:spacing w:after="0"/>
        <w:rPr>
          <w:b/>
          <w:color w:val="4BACC6" w:themeColor="accent5"/>
        </w:rPr>
      </w:pPr>
    </w:p>
    <w:p w14:paraId="1A5447E5" w14:textId="77777777" w:rsidR="006D148B" w:rsidRDefault="006D148B" w:rsidP="006D148B">
      <w:pPr>
        <w:spacing w:after="0"/>
        <w:rPr>
          <w:b/>
          <w:color w:val="4BACC6" w:themeColor="accent5"/>
        </w:rPr>
      </w:pPr>
    </w:p>
    <w:p w14:paraId="2E56E207" w14:textId="77777777" w:rsidR="006D148B" w:rsidRPr="00EB6AC6" w:rsidRDefault="006D148B" w:rsidP="006D148B">
      <w:pPr>
        <w:spacing w:after="160" w:line="259" w:lineRule="auto"/>
        <w:jc w:val="center"/>
        <w:rPr>
          <w:rFonts w:eastAsia="Times New Roman" w:cs="Futura"/>
          <w:sz w:val="16"/>
          <w:szCs w:val="16"/>
        </w:rPr>
      </w:pPr>
      <w:r w:rsidRPr="00EB6AC6">
        <w:rPr>
          <w:rFonts w:eastAsia="Times New Roman" w:cs="Futura"/>
          <w:sz w:val="16"/>
          <w:szCs w:val="16"/>
        </w:rPr>
        <w:t>Fuente: Resultados</w:t>
      </w:r>
      <w:r>
        <w:rPr>
          <w:rFonts w:eastAsia="Times New Roman" w:cs="Futura"/>
          <w:sz w:val="16"/>
          <w:szCs w:val="16"/>
        </w:rPr>
        <w:t xml:space="preserve"> por nivel de logro</w:t>
      </w:r>
      <w:r w:rsidRPr="00EB6AC6">
        <w:rPr>
          <w:rFonts w:eastAsia="Times New Roman" w:cs="Futura"/>
          <w:sz w:val="16"/>
          <w:szCs w:val="16"/>
        </w:rPr>
        <w:t xml:space="preserve"> </w:t>
      </w:r>
      <w:r>
        <w:rPr>
          <w:rFonts w:eastAsia="Times New Roman" w:cs="Futura"/>
          <w:sz w:val="16"/>
          <w:szCs w:val="16"/>
        </w:rPr>
        <w:t>PLANEA básica</w:t>
      </w:r>
      <w:r w:rsidRPr="00EB6AC6">
        <w:rPr>
          <w:rFonts w:eastAsia="Times New Roman" w:cs="Futura"/>
          <w:sz w:val="16"/>
          <w:szCs w:val="16"/>
        </w:rPr>
        <w:t xml:space="preserve"> 2018, </w:t>
      </w:r>
      <w:r>
        <w:rPr>
          <w:rFonts w:eastAsia="Times New Roman" w:cs="Futura"/>
          <w:sz w:val="16"/>
          <w:szCs w:val="16"/>
        </w:rPr>
        <w:t>SEP-</w:t>
      </w:r>
      <w:r w:rsidRPr="00EB6AC6">
        <w:rPr>
          <w:rFonts w:eastAsia="Times New Roman" w:cs="Futura"/>
          <w:sz w:val="16"/>
          <w:szCs w:val="16"/>
        </w:rPr>
        <w:t>INEE.</w:t>
      </w:r>
    </w:p>
    <w:p w14:paraId="2047305A" w14:textId="77777777" w:rsidR="006D148B" w:rsidRDefault="006D148B" w:rsidP="006D148B">
      <w:pPr>
        <w:spacing w:after="0"/>
        <w:rPr>
          <w:rFonts w:eastAsia="Times New Roman" w:cs="Futura"/>
          <w:b/>
        </w:rPr>
      </w:pPr>
    </w:p>
    <w:p w14:paraId="6616A39E" w14:textId="77777777" w:rsidR="006D148B" w:rsidRPr="00021C9D" w:rsidRDefault="006D148B" w:rsidP="006D148B">
      <w:pPr>
        <w:spacing w:after="0"/>
        <w:rPr>
          <w:rFonts w:eastAsia="Times New Roman" w:cs="Futura"/>
          <w:b/>
        </w:rPr>
      </w:pPr>
      <w:r w:rsidRPr="00021C9D">
        <w:rPr>
          <w:rFonts w:eastAsia="Times New Roman" w:cs="Futura"/>
          <w:b/>
        </w:rPr>
        <w:t>Educación Secundaria</w:t>
      </w:r>
    </w:p>
    <w:p w14:paraId="0D8FC3B6" w14:textId="77777777" w:rsidR="006D148B" w:rsidRPr="00021C9D" w:rsidRDefault="006D148B" w:rsidP="006D148B">
      <w:pPr>
        <w:spacing w:after="0"/>
        <w:rPr>
          <w:rFonts w:eastAsia="Times New Roman" w:cs="Futura"/>
        </w:rPr>
      </w:pPr>
    </w:p>
    <w:p w14:paraId="5F53D264" w14:textId="77777777" w:rsidR="006D148B" w:rsidRDefault="006D148B" w:rsidP="00A42440">
      <w:pPr>
        <w:rPr>
          <w:rFonts w:eastAsia="Times New Roman" w:cs="Futura"/>
        </w:rPr>
      </w:pPr>
      <w:r w:rsidRPr="00021C9D">
        <w:rPr>
          <w:rFonts w:eastAsia="Times New Roman" w:cs="Futura"/>
        </w:rPr>
        <w:t xml:space="preserve">La Educación Secundaria constituye el último nivel de la Educación Básica, en él los estudiantes consolidan el perfil de egreso para contribuir con el desarrollo de las competencias </w:t>
      </w:r>
      <w:r w:rsidRPr="00262E4B">
        <w:rPr>
          <w:rFonts w:eastAsia="Times New Roman" w:cs="Futura"/>
        </w:rPr>
        <w:t>para</w:t>
      </w:r>
      <w:r w:rsidRPr="00021C9D">
        <w:rPr>
          <w:rFonts w:eastAsia="Times New Roman" w:cs="Futura"/>
        </w:rPr>
        <w:t xml:space="preserve"> la vida que desde la Educación Preescolar han trabajado. Se cursa en tres grados, es obligatoria y de carácter propedéutica, es decir, necesaria para ingresar al nivel medio </w:t>
      </w:r>
      <w:r w:rsidRPr="00262E4B">
        <w:rPr>
          <w:rFonts w:eastAsia="Times New Roman" w:cs="Futura"/>
        </w:rPr>
        <w:t>superior</w:t>
      </w:r>
      <w:r w:rsidRPr="00021C9D">
        <w:rPr>
          <w:rFonts w:eastAsia="Times New Roman" w:cs="Futura"/>
        </w:rPr>
        <w:t>. Se imparte en las modalidades de secundaria general, telesecundaria, secundaria técnica, particular incorporada y cursos comunitarios del CONAFE.</w:t>
      </w:r>
    </w:p>
    <w:p w14:paraId="46CC0697" w14:textId="1B9E15F1" w:rsidR="00C40895" w:rsidRDefault="006D148B" w:rsidP="00CD7EA4">
      <w:pPr>
        <w:rPr>
          <w:rFonts w:eastAsia="Times New Roman" w:cs="Futura"/>
        </w:rPr>
      </w:pPr>
      <w:r w:rsidRPr="00021C9D">
        <w:rPr>
          <w:rFonts w:eastAsia="Times New Roman" w:cs="Futura"/>
        </w:rPr>
        <w:t xml:space="preserve">En el ciclo escolar 2019-2020 la matrícula de educación secundaria fue de 87 mil 069 alumnos, 43 mil 977 niños y 43 mil 092 niñas; representa el </w:t>
      </w:r>
      <w:r>
        <w:rPr>
          <w:rFonts w:eastAsia="Times New Roman" w:cs="Futura"/>
        </w:rPr>
        <w:t>18.38</w:t>
      </w:r>
      <w:r w:rsidRPr="00021C9D">
        <w:rPr>
          <w:rFonts w:eastAsia="Times New Roman" w:cs="Futura"/>
        </w:rPr>
        <w:t xml:space="preserve"> por ciento del total de la matrícula </w:t>
      </w:r>
      <w:r>
        <w:rPr>
          <w:rFonts w:eastAsia="Times New Roman" w:cs="Futura"/>
        </w:rPr>
        <w:t>atendida en el estado</w:t>
      </w:r>
      <w:r w:rsidRPr="00021C9D">
        <w:rPr>
          <w:rFonts w:eastAsia="Times New Roman" w:cs="Futura"/>
        </w:rPr>
        <w:t>, un incremento de 2.12 por ciento, 1 mil 808 alumnos más que el ciclo escolar anterior. La matrícula de la modalidad general fue de 32 mil 581 alumnos(as), técnica con 29 mil 556, telesecundaria con 13 mil 449 alumnos, particular con 10 mil 820 y la modalidad Conafe con 663 alumnos(as). Por sostenimiento, la matrícula pública de educación secundaria es de 76 mil 249 alumnos(as) y la privada es de 10 mil 820 alumnos(as). Participan en la formación de los alumnos un total de 6 mil 162 docentes, en 470</w:t>
      </w:r>
      <w:r>
        <w:rPr>
          <w:rFonts w:eastAsia="Times New Roman" w:cs="Futura"/>
        </w:rPr>
        <w:t xml:space="preserve"> escuelas en el estado (Cuadro 6</w:t>
      </w:r>
      <w:r w:rsidRPr="00021C9D">
        <w:rPr>
          <w:rFonts w:eastAsia="Times New Roman" w:cs="Futura"/>
        </w:rPr>
        <w:t>).</w:t>
      </w:r>
      <w:r w:rsidR="00C40895">
        <w:rPr>
          <w:rFonts w:eastAsia="Times New Roman" w:cs="Futura"/>
        </w:rPr>
        <w:br w:type="page"/>
      </w:r>
    </w:p>
    <w:p w14:paraId="36A76808" w14:textId="77777777" w:rsidR="006D148B" w:rsidRPr="00021C9D" w:rsidRDefault="006D148B" w:rsidP="006D148B">
      <w:pPr>
        <w:spacing w:after="0" w:line="240" w:lineRule="auto"/>
        <w:jc w:val="center"/>
        <w:rPr>
          <w:b/>
          <w:color w:val="4BACC6" w:themeColor="accent5"/>
        </w:rPr>
      </w:pPr>
      <w:r>
        <w:rPr>
          <w:b/>
          <w:color w:val="4BACC6" w:themeColor="accent5"/>
        </w:rPr>
        <w:lastRenderedPageBreak/>
        <w:t>Cuadro 6</w:t>
      </w:r>
      <w:r w:rsidRPr="00021C9D">
        <w:rPr>
          <w:b/>
          <w:color w:val="4BACC6" w:themeColor="accent5"/>
        </w:rPr>
        <w:t>. Matrícula, docentes y escuelas de educación secundaria por modalidad</w:t>
      </w:r>
    </w:p>
    <w:p w14:paraId="4F4EBF2A" w14:textId="77777777" w:rsidR="006D148B" w:rsidRPr="00021C9D" w:rsidRDefault="006D148B" w:rsidP="006D148B">
      <w:pPr>
        <w:spacing w:after="0"/>
        <w:jc w:val="center"/>
        <w:rPr>
          <w:b/>
          <w:color w:val="4BACC6" w:themeColor="accent5"/>
        </w:rPr>
      </w:pPr>
      <w:r w:rsidRPr="00021C9D">
        <w:rPr>
          <w:b/>
          <w:color w:val="4BACC6" w:themeColor="accent5"/>
        </w:rPr>
        <w:t>Ciclo escolar 2019-2020</w:t>
      </w:r>
    </w:p>
    <w:p w14:paraId="1B089A4F" w14:textId="77777777" w:rsidR="006D148B" w:rsidRDefault="006D148B" w:rsidP="006D148B">
      <w:pPr>
        <w:spacing w:after="0"/>
      </w:pPr>
    </w:p>
    <w:tbl>
      <w:tblPr>
        <w:tblW w:w="8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17"/>
        <w:gridCol w:w="1498"/>
        <w:gridCol w:w="1292"/>
        <w:gridCol w:w="1230"/>
        <w:gridCol w:w="1340"/>
        <w:gridCol w:w="1340"/>
      </w:tblGrid>
      <w:tr w:rsidR="006D148B" w:rsidRPr="006119DB" w14:paraId="3B43D26B" w14:textId="77777777" w:rsidTr="008E112B">
        <w:trPr>
          <w:trHeight w:val="402"/>
          <w:jc w:val="center"/>
        </w:trPr>
        <w:tc>
          <w:tcPr>
            <w:tcW w:w="1540" w:type="dxa"/>
            <w:vMerge w:val="restart"/>
            <w:shd w:val="clear" w:color="auto" w:fill="A6A6A6" w:themeFill="background1" w:themeFillShade="A6"/>
            <w:noWrap/>
            <w:vAlign w:val="center"/>
            <w:hideMark/>
          </w:tcPr>
          <w:p w14:paraId="34147954" w14:textId="665AF76F" w:rsidR="006D148B" w:rsidRPr="00D554C7" w:rsidRDefault="001B6A07" w:rsidP="00D554C7">
            <w:pPr>
              <w:spacing w:after="100" w:afterAutospacing="1" w:line="240" w:lineRule="auto"/>
              <w:jc w:val="center"/>
              <w:rPr>
                <w:rFonts w:ascii="Futura Std Condensed Light" w:eastAsia="Calibri" w:hAnsi="Futura Std Condensed Light" w:cs="Calibri"/>
                <w:b/>
                <w:sz w:val="20"/>
                <w:szCs w:val="20"/>
              </w:rPr>
            </w:pPr>
            <w:r w:rsidRPr="00D554C7">
              <w:rPr>
                <w:rFonts w:ascii="Futura Std Condensed Light" w:eastAsia="Calibri" w:hAnsi="Futura Std Condensed Light" w:cs="Calibri"/>
                <w:b/>
                <w:sz w:val="20"/>
                <w:szCs w:val="20"/>
              </w:rPr>
              <w:t>Modalidad</w:t>
            </w:r>
          </w:p>
        </w:tc>
        <w:tc>
          <w:tcPr>
            <w:tcW w:w="4020" w:type="dxa"/>
            <w:gridSpan w:val="3"/>
            <w:shd w:val="clear" w:color="auto" w:fill="A6A6A6" w:themeFill="background1" w:themeFillShade="A6"/>
            <w:noWrap/>
            <w:vAlign w:val="bottom"/>
            <w:hideMark/>
          </w:tcPr>
          <w:p w14:paraId="107F60F0" w14:textId="257386DC" w:rsidR="006D148B" w:rsidRPr="00D554C7" w:rsidRDefault="001B6A07" w:rsidP="00D554C7">
            <w:pPr>
              <w:spacing w:after="100" w:afterAutospacing="1" w:line="240" w:lineRule="auto"/>
              <w:jc w:val="center"/>
              <w:rPr>
                <w:rFonts w:ascii="Futura Std Condensed Light" w:eastAsia="Calibri" w:hAnsi="Futura Std Condensed Light" w:cs="Calibri"/>
                <w:b/>
                <w:sz w:val="20"/>
                <w:szCs w:val="20"/>
              </w:rPr>
            </w:pPr>
            <w:r w:rsidRPr="00D554C7">
              <w:rPr>
                <w:rFonts w:ascii="Futura Std Condensed Light" w:eastAsia="Calibri" w:hAnsi="Futura Std Condensed Light" w:cs="Calibri"/>
                <w:b/>
                <w:sz w:val="20"/>
                <w:szCs w:val="20"/>
              </w:rPr>
              <w:t>Matrícula</w:t>
            </w:r>
          </w:p>
        </w:tc>
        <w:tc>
          <w:tcPr>
            <w:tcW w:w="1340" w:type="dxa"/>
            <w:vMerge w:val="restart"/>
            <w:shd w:val="clear" w:color="auto" w:fill="A6A6A6" w:themeFill="background1" w:themeFillShade="A6"/>
            <w:noWrap/>
            <w:vAlign w:val="center"/>
            <w:hideMark/>
          </w:tcPr>
          <w:p w14:paraId="01B68D5D" w14:textId="725D7A2F" w:rsidR="006D148B" w:rsidRPr="00D554C7" w:rsidRDefault="001B6A07" w:rsidP="00D554C7">
            <w:pPr>
              <w:spacing w:after="100" w:afterAutospacing="1" w:line="240" w:lineRule="auto"/>
              <w:jc w:val="center"/>
              <w:rPr>
                <w:rFonts w:ascii="Futura Std Condensed Light" w:eastAsia="Calibri" w:hAnsi="Futura Std Condensed Light" w:cs="Calibri"/>
                <w:b/>
                <w:sz w:val="20"/>
                <w:szCs w:val="20"/>
              </w:rPr>
            </w:pPr>
            <w:r w:rsidRPr="00D554C7">
              <w:rPr>
                <w:rFonts w:ascii="Futura Std Condensed Light" w:eastAsia="Calibri" w:hAnsi="Futura Std Condensed Light" w:cs="Calibri"/>
                <w:b/>
                <w:sz w:val="20"/>
                <w:szCs w:val="20"/>
              </w:rPr>
              <w:t>Docentes</w:t>
            </w:r>
          </w:p>
        </w:tc>
        <w:tc>
          <w:tcPr>
            <w:tcW w:w="1340" w:type="dxa"/>
            <w:vMerge w:val="restart"/>
            <w:shd w:val="clear" w:color="auto" w:fill="A6A6A6" w:themeFill="background1" w:themeFillShade="A6"/>
            <w:noWrap/>
            <w:vAlign w:val="center"/>
            <w:hideMark/>
          </w:tcPr>
          <w:p w14:paraId="5359E8C6" w14:textId="3CAF5E9D" w:rsidR="006D148B" w:rsidRPr="00D554C7" w:rsidRDefault="001B6A07" w:rsidP="00D554C7">
            <w:pPr>
              <w:spacing w:after="100" w:afterAutospacing="1" w:line="240" w:lineRule="auto"/>
              <w:jc w:val="center"/>
              <w:rPr>
                <w:rFonts w:ascii="Futura Std Condensed Light" w:eastAsia="Calibri" w:hAnsi="Futura Std Condensed Light" w:cs="Calibri"/>
                <w:b/>
                <w:sz w:val="20"/>
                <w:szCs w:val="20"/>
              </w:rPr>
            </w:pPr>
            <w:r w:rsidRPr="00D554C7">
              <w:rPr>
                <w:rFonts w:ascii="Futura Std Condensed Light" w:eastAsia="Calibri" w:hAnsi="Futura Std Condensed Light" w:cs="Calibri"/>
                <w:b/>
                <w:sz w:val="20"/>
                <w:szCs w:val="20"/>
              </w:rPr>
              <w:t>Escuelas</w:t>
            </w:r>
          </w:p>
        </w:tc>
      </w:tr>
      <w:tr w:rsidR="006D148B" w:rsidRPr="006119DB" w14:paraId="5A310A16" w14:textId="77777777" w:rsidTr="008E112B">
        <w:trPr>
          <w:trHeight w:val="402"/>
          <w:jc w:val="center"/>
        </w:trPr>
        <w:tc>
          <w:tcPr>
            <w:tcW w:w="1540" w:type="dxa"/>
            <w:vMerge/>
            <w:vAlign w:val="center"/>
            <w:hideMark/>
          </w:tcPr>
          <w:p w14:paraId="33EC1F39" w14:textId="77777777" w:rsidR="006D148B" w:rsidRPr="00D554C7" w:rsidRDefault="006D148B" w:rsidP="00D554C7">
            <w:pPr>
              <w:spacing w:after="100" w:afterAutospacing="1" w:line="240" w:lineRule="auto"/>
              <w:jc w:val="center"/>
              <w:rPr>
                <w:rFonts w:ascii="Futura Std Condensed Light" w:eastAsia="Calibri" w:hAnsi="Futura Std Condensed Light" w:cs="Calibri"/>
                <w:sz w:val="20"/>
                <w:szCs w:val="20"/>
              </w:rPr>
            </w:pPr>
          </w:p>
        </w:tc>
        <w:tc>
          <w:tcPr>
            <w:tcW w:w="1498" w:type="dxa"/>
            <w:shd w:val="clear" w:color="auto" w:fill="A6A6A6" w:themeFill="background1" w:themeFillShade="A6"/>
            <w:noWrap/>
            <w:vAlign w:val="center"/>
            <w:hideMark/>
          </w:tcPr>
          <w:p w14:paraId="0476AB12" w14:textId="77777777" w:rsidR="006D148B" w:rsidRPr="00D554C7" w:rsidRDefault="006D148B" w:rsidP="00D554C7">
            <w:pPr>
              <w:spacing w:after="100" w:afterAutospacing="1" w:line="240" w:lineRule="auto"/>
              <w:jc w:val="center"/>
              <w:rPr>
                <w:rFonts w:ascii="Futura Std Condensed Light" w:eastAsia="Calibri" w:hAnsi="Futura Std Condensed Light" w:cs="Calibri"/>
                <w:b/>
                <w:sz w:val="20"/>
                <w:szCs w:val="20"/>
              </w:rPr>
            </w:pPr>
            <w:r w:rsidRPr="00D554C7">
              <w:rPr>
                <w:rFonts w:ascii="Futura Std Condensed Light" w:eastAsia="Calibri" w:hAnsi="Futura Std Condensed Light" w:cs="Calibri"/>
                <w:b/>
                <w:sz w:val="20"/>
                <w:szCs w:val="20"/>
              </w:rPr>
              <w:t>Hombres</w:t>
            </w:r>
          </w:p>
        </w:tc>
        <w:tc>
          <w:tcPr>
            <w:tcW w:w="1292" w:type="dxa"/>
            <w:shd w:val="clear" w:color="auto" w:fill="A6A6A6" w:themeFill="background1" w:themeFillShade="A6"/>
            <w:noWrap/>
            <w:vAlign w:val="center"/>
            <w:hideMark/>
          </w:tcPr>
          <w:p w14:paraId="578D9174" w14:textId="77777777" w:rsidR="006D148B" w:rsidRPr="00D554C7" w:rsidRDefault="006D148B" w:rsidP="00D554C7">
            <w:pPr>
              <w:spacing w:after="100" w:afterAutospacing="1" w:line="240" w:lineRule="auto"/>
              <w:jc w:val="center"/>
              <w:rPr>
                <w:rFonts w:ascii="Futura Std Condensed Light" w:eastAsia="Calibri" w:hAnsi="Futura Std Condensed Light" w:cs="Calibri"/>
                <w:b/>
                <w:sz w:val="20"/>
                <w:szCs w:val="20"/>
              </w:rPr>
            </w:pPr>
            <w:r w:rsidRPr="00D554C7">
              <w:rPr>
                <w:rFonts w:ascii="Futura Std Condensed Light" w:eastAsia="Calibri" w:hAnsi="Futura Std Condensed Light" w:cs="Calibri"/>
                <w:b/>
                <w:sz w:val="20"/>
                <w:szCs w:val="20"/>
              </w:rPr>
              <w:t>Mujeres</w:t>
            </w:r>
          </w:p>
        </w:tc>
        <w:tc>
          <w:tcPr>
            <w:tcW w:w="1230" w:type="dxa"/>
            <w:shd w:val="clear" w:color="auto" w:fill="A6A6A6" w:themeFill="background1" w:themeFillShade="A6"/>
            <w:noWrap/>
            <w:vAlign w:val="center"/>
            <w:hideMark/>
          </w:tcPr>
          <w:p w14:paraId="6D11E6A8" w14:textId="77777777" w:rsidR="006D148B" w:rsidRPr="00D554C7" w:rsidRDefault="006D148B" w:rsidP="00D554C7">
            <w:pPr>
              <w:spacing w:after="100" w:afterAutospacing="1" w:line="240" w:lineRule="auto"/>
              <w:jc w:val="center"/>
              <w:rPr>
                <w:rFonts w:ascii="Futura Std Condensed Light" w:eastAsia="Calibri" w:hAnsi="Futura Std Condensed Light" w:cs="Calibri"/>
                <w:b/>
                <w:sz w:val="20"/>
                <w:szCs w:val="20"/>
              </w:rPr>
            </w:pPr>
            <w:r w:rsidRPr="00D554C7">
              <w:rPr>
                <w:rFonts w:ascii="Futura Std Condensed Light" w:eastAsia="Calibri" w:hAnsi="Futura Std Condensed Light" w:cs="Calibri"/>
                <w:b/>
                <w:sz w:val="20"/>
                <w:szCs w:val="20"/>
              </w:rPr>
              <w:t>Total</w:t>
            </w:r>
          </w:p>
        </w:tc>
        <w:tc>
          <w:tcPr>
            <w:tcW w:w="1340" w:type="dxa"/>
            <w:vMerge/>
            <w:vAlign w:val="center"/>
            <w:hideMark/>
          </w:tcPr>
          <w:p w14:paraId="62CA9ADD" w14:textId="77777777" w:rsidR="006D148B" w:rsidRPr="00D554C7" w:rsidRDefault="006D148B" w:rsidP="00D554C7">
            <w:pPr>
              <w:spacing w:after="100" w:afterAutospacing="1" w:line="240" w:lineRule="auto"/>
              <w:jc w:val="center"/>
              <w:rPr>
                <w:rFonts w:ascii="Futura Std Condensed Light" w:eastAsia="Calibri" w:hAnsi="Futura Std Condensed Light" w:cs="Calibri"/>
                <w:sz w:val="20"/>
                <w:szCs w:val="20"/>
              </w:rPr>
            </w:pPr>
          </w:p>
        </w:tc>
        <w:tc>
          <w:tcPr>
            <w:tcW w:w="1340" w:type="dxa"/>
            <w:vMerge/>
            <w:vAlign w:val="center"/>
            <w:hideMark/>
          </w:tcPr>
          <w:p w14:paraId="11A3F66A" w14:textId="77777777" w:rsidR="006D148B" w:rsidRPr="00D554C7" w:rsidRDefault="006D148B" w:rsidP="00D554C7">
            <w:pPr>
              <w:spacing w:after="100" w:afterAutospacing="1" w:line="240" w:lineRule="auto"/>
              <w:jc w:val="center"/>
              <w:rPr>
                <w:rFonts w:ascii="Futura Std Condensed Light" w:eastAsia="Calibri" w:hAnsi="Futura Std Condensed Light" w:cs="Calibri"/>
                <w:sz w:val="20"/>
                <w:szCs w:val="20"/>
              </w:rPr>
            </w:pPr>
          </w:p>
        </w:tc>
      </w:tr>
      <w:tr w:rsidR="006D148B" w:rsidRPr="006119DB" w14:paraId="344F3965" w14:textId="77777777" w:rsidTr="001B6A07">
        <w:trPr>
          <w:trHeight w:val="402"/>
          <w:jc w:val="center"/>
        </w:trPr>
        <w:tc>
          <w:tcPr>
            <w:tcW w:w="1540" w:type="dxa"/>
            <w:shd w:val="clear" w:color="auto" w:fill="auto"/>
            <w:noWrap/>
            <w:vAlign w:val="center"/>
            <w:hideMark/>
          </w:tcPr>
          <w:p w14:paraId="265CD612" w14:textId="77777777" w:rsidR="006D148B" w:rsidRPr="00D554C7" w:rsidRDefault="006D148B" w:rsidP="00D554C7">
            <w:pPr>
              <w:spacing w:after="100" w:afterAutospacing="1" w:line="240" w:lineRule="auto"/>
              <w:jc w:val="center"/>
              <w:rPr>
                <w:rFonts w:ascii="Futura Std Condensed Light" w:eastAsia="Calibri" w:hAnsi="Futura Std Condensed Light" w:cs="Calibri"/>
                <w:sz w:val="20"/>
                <w:szCs w:val="20"/>
              </w:rPr>
            </w:pPr>
            <w:r w:rsidRPr="00D554C7">
              <w:rPr>
                <w:rFonts w:ascii="Futura Std Condensed Light" w:eastAsia="Calibri" w:hAnsi="Futura Std Condensed Light" w:cs="Calibri"/>
                <w:sz w:val="20"/>
                <w:szCs w:val="20"/>
              </w:rPr>
              <w:t>General</w:t>
            </w:r>
          </w:p>
        </w:tc>
        <w:tc>
          <w:tcPr>
            <w:tcW w:w="1498" w:type="dxa"/>
            <w:shd w:val="clear" w:color="auto" w:fill="auto"/>
            <w:noWrap/>
            <w:vAlign w:val="center"/>
            <w:hideMark/>
          </w:tcPr>
          <w:p w14:paraId="528D2F7A" w14:textId="77777777" w:rsidR="006D148B" w:rsidRPr="00D554C7" w:rsidRDefault="006D148B" w:rsidP="00D554C7">
            <w:pPr>
              <w:spacing w:after="100" w:afterAutospacing="1" w:line="240" w:lineRule="auto"/>
              <w:jc w:val="center"/>
              <w:rPr>
                <w:rFonts w:ascii="Futura Std Condensed Light" w:eastAsia="Calibri" w:hAnsi="Futura Std Condensed Light" w:cs="Calibri"/>
                <w:sz w:val="20"/>
                <w:szCs w:val="20"/>
              </w:rPr>
            </w:pPr>
            <w:r w:rsidRPr="00D554C7">
              <w:rPr>
                <w:rFonts w:ascii="Futura Std Condensed Light" w:eastAsia="Calibri" w:hAnsi="Futura Std Condensed Light" w:cs="Calibri"/>
                <w:sz w:val="20"/>
                <w:szCs w:val="20"/>
              </w:rPr>
              <w:t>16,319</w:t>
            </w:r>
          </w:p>
        </w:tc>
        <w:tc>
          <w:tcPr>
            <w:tcW w:w="1292" w:type="dxa"/>
            <w:shd w:val="clear" w:color="auto" w:fill="auto"/>
            <w:noWrap/>
            <w:vAlign w:val="center"/>
            <w:hideMark/>
          </w:tcPr>
          <w:p w14:paraId="0D634B57" w14:textId="77777777" w:rsidR="006D148B" w:rsidRPr="00D554C7" w:rsidRDefault="006D148B" w:rsidP="00D554C7">
            <w:pPr>
              <w:spacing w:after="100" w:afterAutospacing="1" w:line="240" w:lineRule="auto"/>
              <w:jc w:val="center"/>
              <w:rPr>
                <w:rFonts w:ascii="Futura Std Condensed Light" w:eastAsia="Calibri" w:hAnsi="Futura Std Condensed Light" w:cs="Calibri"/>
                <w:sz w:val="20"/>
                <w:szCs w:val="20"/>
              </w:rPr>
            </w:pPr>
            <w:r w:rsidRPr="00D554C7">
              <w:rPr>
                <w:rFonts w:ascii="Futura Std Condensed Light" w:eastAsia="Calibri" w:hAnsi="Futura Std Condensed Light" w:cs="Calibri"/>
                <w:sz w:val="20"/>
                <w:szCs w:val="20"/>
              </w:rPr>
              <w:t>16,262</w:t>
            </w:r>
          </w:p>
        </w:tc>
        <w:tc>
          <w:tcPr>
            <w:tcW w:w="1230" w:type="dxa"/>
            <w:shd w:val="clear" w:color="auto" w:fill="auto"/>
            <w:noWrap/>
            <w:vAlign w:val="center"/>
            <w:hideMark/>
          </w:tcPr>
          <w:p w14:paraId="354E1149" w14:textId="77777777" w:rsidR="006D148B" w:rsidRPr="00D554C7" w:rsidRDefault="006D148B" w:rsidP="00D554C7">
            <w:pPr>
              <w:spacing w:after="100" w:afterAutospacing="1" w:line="240" w:lineRule="auto"/>
              <w:jc w:val="center"/>
              <w:rPr>
                <w:rFonts w:ascii="Futura Std Condensed Light" w:eastAsia="Calibri" w:hAnsi="Futura Std Condensed Light" w:cs="Calibri"/>
                <w:sz w:val="20"/>
                <w:szCs w:val="20"/>
              </w:rPr>
            </w:pPr>
            <w:r w:rsidRPr="00D554C7">
              <w:rPr>
                <w:rFonts w:ascii="Futura Std Condensed Light" w:eastAsia="Calibri" w:hAnsi="Futura Std Condensed Light" w:cs="Calibri"/>
                <w:sz w:val="20"/>
                <w:szCs w:val="20"/>
              </w:rPr>
              <w:t>32,581</w:t>
            </w:r>
          </w:p>
        </w:tc>
        <w:tc>
          <w:tcPr>
            <w:tcW w:w="1340" w:type="dxa"/>
            <w:shd w:val="clear" w:color="auto" w:fill="auto"/>
            <w:noWrap/>
            <w:vAlign w:val="center"/>
            <w:hideMark/>
          </w:tcPr>
          <w:p w14:paraId="0EF9FEB4" w14:textId="77777777" w:rsidR="006D148B" w:rsidRPr="00D554C7" w:rsidRDefault="006D148B" w:rsidP="00D554C7">
            <w:pPr>
              <w:spacing w:after="100" w:afterAutospacing="1" w:line="240" w:lineRule="auto"/>
              <w:jc w:val="center"/>
              <w:rPr>
                <w:rFonts w:ascii="Futura Std Condensed Light" w:eastAsia="Calibri" w:hAnsi="Futura Std Condensed Light" w:cs="Calibri"/>
                <w:sz w:val="20"/>
                <w:szCs w:val="20"/>
              </w:rPr>
            </w:pPr>
            <w:r w:rsidRPr="00D554C7">
              <w:rPr>
                <w:rFonts w:ascii="Futura Std Condensed Light" w:eastAsia="Calibri" w:hAnsi="Futura Std Condensed Light" w:cs="Calibri"/>
                <w:sz w:val="20"/>
                <w:szCs w:val="20"/>
              </w:rPr>
              <w:t>2,185</w:t>
            </w:r>
          </w:p>
        </w:tc>
        <w:tc>
          <w:tcPr>
            <w:tcW w:w="1340" w:type="dxa"/>
            <w:shd w:val="clear" w:color="auto" w:fill="auto"/>
            <w:noWrap/>
            <w:vAlign w:val="center"/>
            <w:hideMark/>
          </w:tcPr>
          <w:p w14:paraId="27AD096C" w14:textId="77777777" w:rsidR="006D148B" w:rsidRPr="00D554C7" w:rsidRDefault="006D148B" w:rsidP="00D554C7">
            <w:pPr>
              <w:spacing w:after="100" w:afterAutospacing="1" w:line="240" w:lineRule="auto"/>
              <w:jc w:val="center"/>
              <w:rPr>
                <w:rFonts w:ascii="Futura Std Condensed Light" w:eastAsia="Calibri" w:hAnsi="Futura Std Condensed Light" w:cs="Calibri"/>
                <w:sz w:val="20"/>
                <w:szCs w:val="20"/>
              </w:rPr>
            </w:pPr>
            <w:r w:rsidRPr="00D554C7">
              <w:rPr>
                <w:rFonts w:ascii="Futura Std Condensed Light" w:eastAsia="Calibri" w:hAnsi="Futura Std Condensed Light" w:cs="Calibri"/>
                <w:sz w:val="20"/>
                <w:szCs w:val="20"/>
              </w:rPr>
              <w:t>66</w:t>
            </w:r>
          </w:p>
        </w:tc>
      </w:tr>
      <w:tr w:rsidR="006D148B" w:rsidRPr="006119DB" w14:paraId="474AEA5B" w14:textId="77777777" w:rsidTr="001B6A07">
        <w:trPr>
          <w:trHeight w:val="402"/>
          <w:jc w:val="center"/>
        </w:trPr>
        <w:tc>
          <w:tcPr>
            <w:tcW w:w="1540" w:type="dxa"/>
            <w:shd w:val="clear" w:color="auto" w:fill="auto"/>
            <w:noWrap/>
            <w:vAlign w:val="center"/>
            <w:hideMark/>
          </w:tcPr>
          <w:p w14:paraId="5E59A444" w14:textId="77777777" w:rsidR="006D148B" w:rsidRPr="00D554C7" w:rsidRDefault="006D148B" w:rsidP="00D554C7">
            <w:pPr>
              <w:spacing w:after="100" w:afterAutospacing="1" w:line="240" w:lineRule="auto"/>
              <w:jc w:val="center"/>
              <w:rPr>
                <w:rFonts w:ascii="Futura Std Condensed Light" w:eastAsia="Calibri" w:hAnsi="Futura Std Condensed Light" w:cs="Calibri"/>
                <w:sz w:val="20"/>
                <w:szCs w:val="20"/>
              </w:rPr>
            </w:pPr>
            <w:r w:rsidRPr="00D554C7">
              <w:rPr>
                <w:rFonts w:ascii="Futura Std Condensed Light" w:eastAsia="Calibri" w:hAnsi="Futura Std Condensed Light" w:cs="Calibri"/>
                <w:sz w:val="20"/>
                <w:szCs w:val="20"/>
              </w:rPr>
              <w:t>Telesecundaria</w:t>
            </w:r>
          </w:p>
        </w:tc>
        <w:tc>
          <w:tcPr>
            <w:tcW w:w="1498" w:type="dxa"/>
            <w:shd w:val="clear" w:color="auto" w:fill="auto"/>
            <w:noWrap/>
            <w:vAlign w:val="center"/>
            <w:hideMark/>
          </w:tcPr>
          <w:p w14:paraId="2FFFB6F8" w14:textId="77777777" w:rsidR="006D148B" w:rsidRPr="00D554C7" w:rsidRDefault="006D148B" w:rsidP="00D554C7">
            <w:pPr>
              <w:spacing w:after="100" w:afterAutospacing="1" w:line="240" w:lineRule="auto"/>
              <w:jc w:val="center"/>
              <w:rPr>
                <w:rFonts w:ascii="Futura Std Condensed Light" w:eastAsia="Calibri" w:hAnsi="Futura Std Condensed Light" w:cs="Calibri"/>
                <w:sz w:val="20"/>
                <w:szCs w:val="20"/>
              </w:rPr>
            </w:pPr>
            <w:r w:rsidRPr="00D554C7">
              <w:rPr>
                <w:rFonts w:ascii="Futura Std Condensed Light" w:eastAsia="Calibri" w:hAnsi="Futura Std Condensed Light" w:cs="Calibri"/>
                <w:sz w:val="20"/>
                <w:szCs w:val="20"/>
              </w:rPr>
              <w:t>6,937</w:t>
            </w:r>
          </w:p>
        </w:tc>
        <w:tc>
          <w:tcPr>
            <w:tcW w:w="1292" w:type="dxa"/>
            <w:shd w:val="clear" w:color="auto" w:fill="auto"/>
            <w:noWrap/>
            <w:vAlign w:val="center"/>
            <w:hideMark/>
          </w:tcPr>
          <w:p w14:paraId="001B2203" w14:textId="77777777" w:rsidR="006D148B" w:rsidRPr="00D554C7" w:rsidRDefault="006D148B" w:rsidP="00D554C7">
            <w:pPr>
              <w:spacing w:after="100" w:afterAutospacing="1" w:line="240" w:lineRule="auto"/>
              <w:jc w:val="center"/>
              <w:rPr>
                <w:rFonts w:ascii="Futura Std Condensed Light" w:eastAsia="Calibri" w:hAnsi="Futura Std Condensed Light" w:cs="Calibri"/>
                <w:sz w:val="20"/>
                <w:szCs w:val="20"/>
              </w:rPr>
            </w:pPr>
            <w:r w:rsidRPr="00D554C7">
              <w:rPr>
                <w:rFonts w:ascii="Futura Std Condensed Light" w:eastAsia="Calibri" w:hAnsi="Futura Std Condensed Light" w:cs="Calibri"/>
                <w:sz w:val="20"/>
                <w:szCs w:val="20"/>
              </w:rPr>
              <w:t>6,512</w:t>
            </w:r>
          </w:p>
        </w:tc>
        <w:tc>
          <w:tcPr>
            <w:tcW w:w="1230" w:type="dxa"/>
            <w:shd w:val="clear" w:color="auto" w:fill="auto"/>
            <w:noWrap/>
            <w:vAlign w:val="center"/>
            <w:hideMark/>
          </w:tcPr>
          <w:p w14:paraId="2BF47F5E" w14:textId="77777777" w:rsidR="006D148B" w:rsidRPr="00D554C7" w:rsidRDefault="006D148B" w:rsidP="00D554C7">
            <w:pPr>
              <w:spacing w:after="100" w:afterAutospacing="1" w:line="240" w:lineRule="auto"/>
              <w:jc w:val="center"/>
              <w:rPr>
                <w:rFonts w:ascii="Futura Std Condensed Light" w:eastAsia="Calibri" w:hAnsi="Futura Std Condensed Light" w:cs="Calibri"/>
                <w:sz w:val="20"/>
                <w:szCs w:val="20"/>
              </w:rPr>
            </w:pPr>
            <w:r w:rsidRPr="00D554C7">
              <w:rPr>
                <w:rFonts w:ascii="Futura Std Condensed Light" w:eastAsia="Calibri" w:hAnsi="Futura Std Condensed Light" w:cs="Calibri"/>
                <w:sz w:val="20"/>
                <w:szCs w:val="20"/>
              </w:rPr>
              <w:t>13,449</w:t>
            </w:r>
          </w:p>
        </w:tc>
        <w:tc>
          <w:tcPr>
            <w:tcW w:w="1340" w:type="dxa"/>
            <w:shd w:val="clear" w:color="auto" w:fill="auto"/>
            <w:noWrap/>
            <w:vAlign w:val="center"/>
            <w:hideMark/>
          </w:tcPr>
          <w:p w14:paraId="5DC70E6B" w14:textId="77777777" w:rsidR="006D148B" w:rsidRPr="00D554C7" w:rsidRDefault="006D148B" w:rsidP="00D554C7">
            <w:pPr>
              <w:spacing w:after="100" w:afterAutospacing="1" w:line="240" w:lineRule="auto"/>
              <w:jc w:val="center"/>
              <w:rPr>
                <w:rFonts w:ascii="Futura Std Condensed Light" w:eastAsia="Calibri" w:hAnsi="Futura Std Condensed Light" w:cs="Calibri"/>
                <w:sz w:val="20"/>
                <w:szCs w:val="20"/>
              </w:rPr>
            </w:pPr>
            <w:r w:rsidRPr="00D554C7">
              <w:rPr>
                <w:rFonts w:ascii="Futura Std Condensed Light" w:eastAsia="Calibri" w:hAnsi="Futura Std Condensed Light" w:cs="Calibri"/>
                <w:sz w:val="20"/>
                <w:szCs w:val="20"/>
              </w:rPr>
              <w:t>710</w:t>
            </w:r>
          </w:p>
        </w:tc>
        <w:tc>
          <w:tcPr>
            <w:tcW w:w="1340" w:type="dxa"/>
            <w:shd w:val="clear" w:color="auto" w:fill="auto"/>
            <w:noWrap/>
            <w:vAlign w:val="center"/>
            <w:hideMark/>
          </w:tcPr>
          <w:p w14:paraId="3880FBDC" w14:textId="77777777" w:rsidR="006D148B" w:rsidRPr="00D554C7" w:rsidRDefault="006D148B" w:rsidP="00D554C7">
            <w:pPr>
              <w:spacing w:after="100" w:afterAutospacing="1" w:line="240" w:lineRule="auto"/>
              <w:jc w:val="center"/>
              <w:rPr>
                <w:rFonts w:ascii="Futura Std Condensed Light" w:eastAsia="Calibri" w:hAnsi="Futura Std Condensed Light" w:cs="Calibri"/>
                <w:sz w:val="20"/>
                <w:szCs w:val="20"/>
              </w:rPr>
            </w:pPr>
            <w:r w:rsidRPr="00D554C7">
              <w:rPr>
                <w:rFonts w:ascii="Futura Std Condensed Light" w:eastAsia="Calibri" w:hAnsi="Futura Std Condensed Light" w:cs="Calibri"/>
                <w:sz w:val="20"/>
                <w:szCs w:val="20"/>
              </w:rPr>
              <w:t>176</w:t>
            </w:r>
          </w:p>
        </w:tc>
      </w:tr>
      <w:tr w:rsidR="006D148B" w:rsidRPr="006119DB" w14:paraId="49847265" w14:textId="77777777" w:rsidTr="001B6A07">
        <w:trPr>
          <w:trHeight w:val="402"/>
          <w:jc w:val="center"/>
        </w:trPr>
        <w:tc>
          <w:tcPr>
            <w:tcW w:w="1540" w:type="dxa"/>
            <w:shd w:val="clear" w:color="auto" w:fill="auto"/>
            <w:noWrap/>
            <w:vAlign w:val="center"/>
            <w:hideMark/>
          </w:tcPr>
          <w:p w14:paraId="200D912F" w14:textId="77777777" w:rsidR="006D148B" w:rsidRPr="00D554C7" w:rsidRDefault="006D148B" w:rsidP="00D554C7">
            <w:pPr>
              <w:spacing w:after="100" w:afterAutospacing="1" w:line="240" w:lineRule="auto"/>
              <w:jc w:val="center"/>
              <w:rPr>
                <w:rFonts w:ascii="Futura Std Condensed Light" w:eastAsia="Calibri" w:hAnsi="Futura Std Condensed Light" w:cs="Calibri"/>
                <w:sz w:val="20"/>
                <w:szCs w:val="20"/>
              </w:rPr>
            </w:pPr>
            <w:r w:rsidRPr="00D554C7">
              <w:rPr>
                <w:rFonts w:ascii="Futura Std Condensed Light" w:eastAsia="Calibri" w:hAnsi="Futura Std Condensed Light" w:cs="Calibri"/>
                <w:sz w:val="20"/>
                <w:szCs w:val="20"/>
              </w:rPr>
              <w:t>Técnica</w:t>
            </w:r>
          </w:p>
        </w:tc>
        <w:tc>
          <w:tcPr>
            <w:tcW w:w="1498" w:type="dxa"/>
            <w:shd w:val="clear" w:color="auto" w:fill="auto"/>
            <w:noWrap/>
            <w:vAlign w:val="center"/>
            <w:hideMark/>
          </w:tcPr>
          <w:p w14:paraId="43876FAC" w14:textId="77777777" w:rsidR="006D148B" w:rsidRPr="00D554C7" w:rsidRDefault="006D148B" w:rsidP="00D554C7">
            <w:pPr>
              <w:spacing w:after="100" w:afterAutospacing="1" w:line="240" w:lineRule="auto"/>
              <w:jc w:val="center"/>
              <w:rPr>
                <w:rFonts w:ascii="Futura Std Condensed Light" w:eastAsia="Calibri" w:hAnsi="Futura Std Condensed Light" w:cs="Calibri"/>
                <w:sz w:val="20"/>
                <w:szCs w:val="20"/>
              </w:rPr>
            </w:pPr>
            <w:r w:rsidRPr="00D554C7">
              <w:rPr>
                <w:rFonts w:ascii="Futura Std Condensed Light" w:eastAsia="Calibri" w:hAnsi="Futura Std Condensed Light" w:cs="Calibri"/>
                <w:sz w:val="20"/>
                <w:szCs w:val="20"/>
              </w:rPr>
              <w:t>14,908</w:t>
            </w:r>
          </w:p>
        </w:tc>
        <w:tc>
          <w:tcPr>
            <w:tcW w:w="1292" w:type="dxa"/>
            <w:shd w:val="clear" w:color="auto" w:fill="auto"/>
            <w:noWrap/>
            <w:vAlign w:val="center"/>
            <w:hideMark/>
          </w:tcPr>
          <w:p w14:paraId="3DD3EAC8" w14:textId="77777777" w:rsidR="006D148B" w:rsidRPr="00D554C7" w:rsidRDefault="006D148B" w:rsidP="00D554C7">
            <w:pPr>
              <w:spacing w:after="100" w:afterAutospacing="1" w:line="240" w:lineRule="auto"/>
              <w:jc w:val="center"/>
              <w:rPr>
                <w:rFonts w:ascii="Futura Std Condensed Light" w:eastAsia="Calibri" w:hAnsi="Futura Std Condensed Light" w:cs="Calibri"/>
                <w:sz w:val="20"/>
                <w:szCs w:val="20"/>
              </w:rPr>
            </w:pPr>
            <w:r w:rsidRPr="00D554C7">
              <w:rPr>
                <w:rFonts w:ascii="Futura Std Condensed Light" w:eastAsia="Calibri" w:hAnsi="Futura Std Condensed Light" w:cs="Calibri"/>
                <w:sz w:val="20"/>
                <w:szCs w:val="20"/>
              </w:rPr>
              <w:t>14,648</w:t>
            </w:r>
          </w:p>
        </w:tc>
        <w:tc>
          <w:tcPr>
            <w:tcW w:w="1230" w:type="dxa"/>
            <w:shd w:val="clear" w:color="auto" w:fill="auto"/>
            <w:noWrap/>
            <w:vAlign w:val="center"/>
            <w:hideMark/>
          </w:tcPr>
          <w:p w14:paraId="05E2D792" w14:textId="77777777" w:rsidR="006D148B" w:rsidRPr="00D554C7" w:rsidRDefault="006D148B" w:rsidP="00D554C7">
            <w:pPr>
              <w:spacing w:after="100" w:afterAutospacing="1" w:line="240" w:lineRule="auto"/>
              <w:jc w:val="center"/>
              <w:rPr>
                <w:rFonts w:ascii="Futura Std Condensed Light" w:eastAsia="Calibri" w:hAnsi="Futura Std Condensed Light" w:cs="Calibri"/>
                <w:sz w:val="20"/>
                <w:szCs w:val="20"/>
              </w:rPr>
            </w:pPr>
            <w:r w:rsidRPr="00D554C7">
              <w:rPr>
                <w:rFonts w:ascii="Futura Std Condensed Light" w:eastAsia="Calibri" w:hAnsi="Futura Std Condensed Light" w:cs="Calibri"/>
                <w:sz w:val="20"/>
                <w:szCs w:val="20"/>
              </w:rPr>
              <w:t>29,556</w:t>
            </w:r>
          </w:p>
        </w:tc>
        <w:tc>
          <w:tcPr>
            <w:tcW w:w="1340" w:type="dxa"/>
            <w:shd w:val="clear" w:color="auto" w:fill="auto"/>
            <w:noWrap/>
            <w:vAlign w:val="center"/>
            <w:hideMark/>
          </w:tcPr>
          <w:p w14:paraId="6A74B881" w14:textId="77777777" w:rsidR="006D148B" w:rsidRPr="00D554C7" w:rsidRDefault="006D148B" w:rsidP="00D554C7">
            <w:pPr>
              <w:spacing w:after="100" w:afterAutospacing="1" w:line="240" w:lineRule="auto"/>
              <w:jc w:val="center"/>
              <w:rPr>
                <w:rFonts w:ascii="Futura Std Condensed Light" w:eastAsia="Calibri" w:hAnsi="Futura Std Condensed Light" w:cs="Calibri"/>
                <w:sz w:val="20"/>
                <w:szCs w:val="20"/>
              </w:rPr>
            </w:pPr>
            <w:r w:rsidRPr="00D554C7">
              <w:rPr>
                <w:rFonts w:ascii="Futura Std Condensed Light" w:eastAsia="Calibri" w:hAnsi="Futura Std Condensed Light" w:cs="Calibri"/>
                <w:sz w:val="20"/>
                <w:szCs w:val="20"/>
              </w:rPr>
              <w:t>1,958</w:t>
            </w:r>
          </w:p>
        </w:tc>
        <w:tc>
          <w:tcPr>
            <w:tcW w:w="1340" w:type="dxa"/>
            <w:shd w:val="clear" w:color="auto" w:fill="auto"/>
            <w:noWrap/>
            <w:vAlign w:val="center"/>
            <w:hideMark/>
          </w:tcPr>
          <w:p w14:paraId="1AD71D1C" w14:textId="77777777" w:rsidR="006D148B" w:rsidRPr="00D554C7" w:rsidRDefault="006D148B" w:rsidP="00D554C7">
            <w:pPr>
              <w:spacing w:after="100" w:afterAutospacing="1" w:line="240" w:lineRule="auto"/>
              <w:jc w:val="center"/>
              <w:rPr>
                <w:rFonts w:ascii="Futura Std Condensed Light" w:eastAsia="Calibri" w:hAnsi="Futura Std Condensed Light" w:cs="Calibri"/>
                <w:sz w:val="20"/>
                <w:szCs w:val="20"/>
              </w:rPr>
            </w:pPr>
            <w:r w:rsidRPr="00D554C7">
              <w:rPr>
                <w:rFonts w:ascii="Futura Std Condensed Light" w:eastAsia="Calibri" w:hAnsi="Futura Std Condensed Light" w:cs="Calibri"/>
                <w:sz w:val="20"/>
                <w:szCs w:val="20"/>
              </w:rPr>
              <w:t>62</w:t>
            </w:r>
          </w:p>
        </w:tc>
      </w:tr>
      <w:tr w:rsidR="006D148B" w:rsidRPr="006119DB" w14:paraId="58A5F86B" w14:textId="77777777" w:rsidTr="001B6A07">
        <w:trPr>
          <w:trHeight w:val="402"/>
          <w:jc w:val="center"/>
        </w:trPr>
        <w:tc>
          <w:tcPr>
            <w:tcW w:w="1540" w:type="dxa"/>
            <w:shd w:val="clear" w:color="auto" w:fill="auto"/>
            <w:noWrap/>
            <w:vAlign w:val="center"/>
            <w:hideMark/>
          </w:tcPr>
          <w:p w14:paraId="79256182" w14:textId="7A7BE610" w:rsidR="006D148B" w:rsidRPr="00D554C7" w:rsidRDefault="00D554C7" w:rsidP="00D554C7">
            <w:pPr>
              <w:spacing w:after="100" w:afterAutospacing="1" w:line="240" w:lineRule="auto"/>
              <w:jc w:val="center"/>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CONAFE</w:t>
            </w:r>
          </w:p>
        </w:tc>
        <w:tc>
          <w:tcPr>
            <w:tcW w:w="1498" w:type="dxa"/>
            <w:shd w:val="clear" w:color="auto" w:fill="auto"/>
            <w:noWrap/>
            <w:vAlign w:val="center"/>
            <w:hideMark/>
          </w:tcPr>
          <w:p w14:paraId="2A1AA9BF" w14:textId="77777777" w:rsidR="006D148B" w:rsidRPr="00D554C7" w:rsidRDefault="006D148B" w:rsidP="00D554C7">
            <w:pPr>
              <w:spacing w:after="100" w:afterAutospacing="1" w:line="240" w:lineRule="auto"/>
              <w:jc w:val="center"/>
              <w:rPr>
                <w:rFonts w:ascii="Futura Std Condensed Light" w:eastAsia="Calibri" w:hAnsi="Futura Std Condensed Light" w:cs="Calibri"/>
                <w:sz w:val="20"/>
                <w:szCs w:val="20"/>
              </w:rPr>
            </w:pPr>
            <w:r w:rsidRPr="00D554C7">
              <w:rPr>
                <w:rFonts w:ascii="Futura Std Condensed Light" w:eastAsia="Calibri" w:hAnsi="Futura Std Condensed Light" w:cs="Calibri"/>
                <w:sz w:val="20"/>
                <w:szCs w:val="20"/>
              </w:rPr>
              <w:t>360</w:t>
            </w:r>
          </w:p>
        </w:tc>
        <w:tc>
          <w:tcPr>
            <w:tcW w:w="1292" w:type="dxa"/>
            <w:shd w:val="clear" w:color="auto" w:fill="auto"/>
            <w:noWrap/>
            <w:vAlign w:val="center"/>
            <w:hideMark/>
          </w:tcPr>
          <w:p w14:paraId="5BEEBF0E" w14:textId="77777777" w:rsidR="006D148B" w:rsidRPr="00D554C7" w:rsidRDefault="006D148B" w:rsidP="00D554C7">
            <w:pPr>
              <w:spacing w:after="100" w:afterAutospacing="1" w:line="240" w:lineRule="auto"/>
              <w:jc w:val="center"/>
              <w:rPr>
                <w:rFonts w:ascii="Futura Std Condensed Light" w:eastAsia="Calibri" w:hAnsi="Futura Std Condensed Light" w:cs="Calibri"/>
                <w:sz w:val="20"/>
                <w:szCs w:val="20"/>
              </w:rPr>
            </w:pPr>
            <w:r w:rsidRPr="00D554C7">
              <w:rPr>
                <w:rFonts w:ascii="Futura Std Condensed Light" w:eastAsia="Calibri" w:hAnsi="Futura Std Condensed Light" w:cs="Calibri"/>
                <w:sz w:val="20"/>
                <w:szCs w:val="20"/>
              </w:rPr>
              <w:t>303</w:t>
            </w:r>
          </w:p>
        </w:tc>
        <w:tc>
          <w:tcPr>
            <w:tcW w:w="1230" w:type="dxa"/>
            <w:shd w:val="clear" w:color="auto" w:fill="auto"/>
            <w:noWrap/>
            <w:vAlign w:val="center"/>
            <w:hideMark/>
          </w:tcPr>
          <w:p w14:paraId="71245E8A" w14:textId="77777777" w:rsidR="006D148B" w:rsidRPr="00D554C7" w:rsidRDefault="006D148B" w:rsidP="00D554C7">
            <w:pPr>
              <w:spacing w:after="100" w:afterAutospacing="1" w:line="240" w:lineRule="auto"/>
              <w:jc w:val="center"/>
              <w:rPr>
                <w:rFonts w:ascii="Futura Std Condensed Light" w:eastAsia="Calibri" w:hAnsi="Futura Std Condensed Light" w:cs="Calibri"/>
                <w:sz w:val="20"/>
                <w:szCs w:val="20"/>
              </w:rPr>
            </w:pPr>
            <w:r w:rsidRPr="00D554C7">
              <w:rPr>
                <w:rFonts w:ascii="Futura Std Condensed Light" w:eastAsia="Calibri" w:hAnsi="Futura Std Condensed Light" w:cs="Calibri"/>
                <w:sz w:val="20"/>
                <w:szCs w:val="20"/>
              </w:rPr>
              <w:t>663</w:t>
            </w:r>
          </w:p>
        </w:tc>
        <w:tc>
          <w:tcPr>
            <w:tcW w:w="1340" w:type="dxa"/>
            <w:shd w:val="clear" w:color="auto" w:fill="auto"/>
            <w:noWrap/>
            <w:vAlign w:val="center"/>
            <w:hideMark/>
          </w:tcPr>
          <w:p w14:paraId="1B4BC7E6" w14:textId="77777777" w:rsidR="006D148B" w:rsidRPr="00D554C7" w:rsidRDefault="006D148B" w:rsidP="00D554C7">
            <w:pPr>
              <w:spacing w:after="100" w:afterAutospacing="1" w:line="240" w:lineRule="auto"/>
              <w:jc w:val="center"/>
              <w:rPr>
                <w:rFonts w:ascii="Futura Std Condensed Light" w:eastAsia="Calibri" w:hAnsi="Futura Std Condensed Light" w:cs="Calibri"/>
                <w:sz w:val="20"/>
                <w:szCs w:val="20"/>
              </w:rPr>
            </w:pPr>
            <w:r w:rsidRPr="00D554C7">
              <w:rPr>
                <w:rFonts w:ascii="Futura Std Condensed Light" w:eastAsia="Calibri" w:hAnsi="Futura Std Condensed Light" w:cs="Calibri"/>
                <w:sz w:val="20"/>
                <w:szCs w:val="20"/>
              </w:rPr>
              <w:t>70</w:t>
            </w:r>
          </w:p>
        </w:tc>
        <w:tc>
          <w:tcPr>
            <w:tcW w:w="1340" w:type="dxa"/>
            <w:shd w:val="clear" w:color="auto" w:fill="auto"/>
            <w:noWrap/>
            <w:vAlign w:val="center"/>
            <w:hideMark/>
          </w:tcPr>
          <w:p w14:paraId="45408E75" w14:textId="77777777" w:rsidR="006D148B" w:rsidRPr="00D554C7" w:rsidRDefault="006D148B" w:rsidP="00D554C7">
            <w:pPr>
              <w:spacing w:after="100" w:afterAutospacing="1" w:line="240" w:lineRule="auto"/>
              <w:jc w:val="center"/>
              <w:rPr>
                <w:rFonts w:ascii="Futura Std Condensed Light" w:eastAsia="Calibri" w:hAnsi="Futura Std Condensed Light" w:cs="Calibri"/>
                <w:sz w:val="20"/>
                <w:szCs w:val="20"/>
              </w:rPr>
            </w:pPr>
            <w:r w:rsidRPr="00D554C7">
              <w:rPr>
                <w:rFonts w:ascii="Futura Std Condensed Light" w:eastAsia="Calibri" w:hAnsi="Futura Std Condensed Light" w:cs="Calibri"/>
                <w:sz w:val="20"/>
                <w:szCs w:val="20"/>
              </w:rPr>
              <w:t>61</w:t>
            </w:r>
          </w:p>
        </w:tc>
      </w:tr>
      <w:tr w:rsidR="006D148B" w:rsidRPr="006119DB" w14:paraId="73821048" w14:textId="77777777" w:rsidTr="001B6A07">
        <w:trPr>
          <w:trHeight w:val="402"/>
          <w:jc w:val="center"/>
        </w:trPr>
        <w:tc>
          <w:tcPr>
            <w:tcW w:w="1540" w:type="dxa"/>
            <w:shd w:val="clear" w:color="auto" w:fill="auto"/>
            <w:noWrap/>
            <w:vAlign w:val="center"/>
            <w:hideMark/>
          </w:tcPr>
          <w:p w14:paraId="7237F982" w14:textId="77777777" w:rsidR="006D148B" w:rsidRPr="00D554C7" w:rsidRDefault="006D148B" w:rsidP="00D554C7">
            <w:pPr>
              <w:spacing w:after="100" w:afterAutospacing="1" w:line="240" w:lineRule="auto"/>
              <w:jc w:val="center"/>
              <w:rPr>
                <w:rFonts w:ascii="Futura Std Condensed Light" w:eastAsia="Calibri" w:hAnsi="Futura Std Condensed Light" w:cs="Calibri"/>
                <w:sz w:val="20"/>
                <w:szCs w:val="20"/>
              </w:rPr>
            </w:pPr>
            <w:r w:rsidRPr="00D554C7">
              <w:rPr>
                <w:rFonts w:ascii="Futura Std Condensed Light" w:eastAsia="Calibri" w:hAnsi="Futura Std Condensed Light" w:cs="Calibri"/>
                <w:sz w:val="20"/>
                <w:szCs w:val="20"/>
              </w:rPr>
              <w:t>Particular</w:t>
            </w:r>
          </w:p>
        </w:tc>
        <w:tc>
          <w:tcPr>
            <w:tcW w:w="1498" w:type="dxa"/>
            <w:shd w:val="clear" w:color="auto" w:fill="auto"/>
            <w:noWrap/>
            <w:vAlign w:val="center"/>
            <w:hideMark/>
          </w:tcPr>
          <w:p w14:paraId="686BEBDB" w14:textId="77777777" w:rsidR="006D148B" w:rsidRPr="00D554C7" w:rsidRDefault="006D148B" w:rsidP="00D554C7">
            <w:pPr>
              <w:spacing w:after="100" w:afterAutospacing="1" w:line="240" w:lineRule="auto"/>
              <w:jc w:val="center"/>
              <w:rPr>
                <w:rFonts w:ascii="Futura Std Condensed Light" w:eastAsia="Calibri" w:hAnsi="Futura Std Condensed Light" w:cs="Calibri"/>
                <w:sz w:val="20"/>
                <w:szCs w:val="20"/>
              </w:rPr>
            </w:pPr>
            <w:r w:rsidRPr="00D554C7">
              <w:rPr>
                <w:rFonts w:ascii="Futura Std Condensed Light" w:eastAsia="Calibri" w:hAnsi="Futura Std Condensed Light" w:cs="Calibri"/>
                <w:sz w:val="20"/>
                <w:szCs w:val="20"/>
              </w:rPr>
              <w:t>5,453</w:t>
            </w:r>
          </w:p>
        </w:tc>
        <w:tc>
          <w:tcPr>
            <w:tcW w:w="1292" w:type="dxa"/>
            <w:shd w:val="clear" w:color="auto" w:fill="auto"/>
            <w:noWrap/>
            <w:vAlign w:val="center"/>
            <w:hideMark/>
          </w:tcPr>
          <w:p w14:paraId="0F4425AD" w14:textId="77777777" w:rsidR="006D148B" w:rsidRPr="00D554C7" w:rsidRDefault="006D148B" w:rsidP="00D554C7">
            <w:pPr>
              <w:spacing w:after="100" w:afterAutospacing="1" w:line="240" w:lineRule="auto"/>
              <w:jc w:val="center"/>
              <w:rPr>
                <w:rFonts w:ascii="Futura Std Condensed Light" w:eastAsia="Calibri" w:hAnsi="Futura Std Condensed Light" w:cs="Calibri"/>
                <w:sz w:val="20"/>
                <w:szCs w:val="20"/>
              </w:rPr>
            </w:pPr>
            <w:r w:rsidRPr="00D554C7">
              <w:rPr>
                <w:rFonts w:ascii="Futura Std Condensed Light" w:eastAsia="Calibri" w:hAnsi="Futura Std Condensed Light" w:cs="Calibri"/>
                <w:sz w:val="20"/>
                <w:szCs w:val="20"/>
              </w:rPr>
              <w:t>5,367</w:t>
            </w:r>
          </w:p>
        </w:tc>
        <w:tc>
          <w:tcPr>
            <w:tcW w:w="1230" w:type="dxa"/>
            <w:shd w:val="clear" w:color="auto" w:fill="auto"/>
            <w:noWrap/>
            <w:vAlign w:val="center"/>
            <w:hideMark/>
          </w:tcPr>
          <w:p w14:paraId="44660DA7" w14:textId="77777777" w:rsidR="006D148B" w:rsidRPr="00D554C7" w:rsidRDefault="006D148B" w:rsidP="00D554C7">
            <w:pPr>
              <w:spacing w:after="100" w:afterAutospacing="1" w:line="240" w:lineRule="auto"/>
              <w:jc w:val="center"/>
              <w:rPr>
                <w:rFonts w:ascii="Futura Std Condensed Light" w:eastAsia="Calibri" w:hAnsi="Futura Std Condensed Light" w:cs="Calibri"/>
                <w:sz w:val="20"/>
                <w:szCs w:val="20"/>
              </w:rPr>
            </w:pPr>
            <w:r w:rsidRPr="00D554C7">
              <w:rPr>
                <w:rFonts w:ascii="Futura Std Condensed Light" w:eastAsia="Calibri" w:hAnsi="Futura Std Condensed Light" w:cs="Calibri"/>
                <w:sz w:val="20"/>
                <w:szCs w:val="20"/>
              </w:rPr>
              <w:t>10,820</w:t>
            </w:r>
          </w:p>
        </w:tc>
        <w:tc>
          <w:tcPr>
            <w:tcW w:w="1340" w:type="dxa"/>
            <w:shd w:val="clear" w:color="auto" w:fill="auto"/>
            <w:noWrap/>
            <w:vAlign w:val="center"/>
            <w:hideMark/>
          </w:tcPr>
          <w:p w14:paraId="1A26952A" w14:textId="77777777" w:rsidR="006D148B" w:rsidRPr="00D554C7" w:rsidRDefault="006D148B" w:rsidP="00D554C7">
            <w:pPr>
              <w:spacing w:after="100" w:afterAutospacing="1" w:line="240" w:lineRule="auto"/>
              <w:jc w:val="center"/>
              <w:rPr>
                <w:rFonts w:ascii="Futura Std Condensed Light" w:eastAsia="Calibri" w:hAnsi="Futura Std Condensed Light" w:cs="Calibri"/>
                <w:sz w:val="20"/>
                <w:szCs w:val="20"/>
              </w:rPr>
            </w:pPr>
            <w:r w:rsidRPr="00D554C7">
              <w:rPr>
                <w:rFonts w:ascii="Futura Std Condensed Light" w:eastAsia="Calibri" w:hAnsi="Futura Std Condensed Light" w:cs="Calibri"/>
                <w:sz w:val="20"/>
                <w:szCs w:val="20"/>
              </w:rPr>
              <w:t>1,239</w:t>
            </w:r>
          </w:p>
        </w:tc>
        <w:tc>
          <w:tcPr>
            <w:tcW w:w="1340" w:type="dxa"/>
            <w:shd w:val="clear" w:color="auto" w:fill="auto"/>
            <w:noWrap/>
            <w:vAlign w:val="center"/>
            <w:hideMark/>
          </w:tcPr>
          <w:p w14:paraId="55352966" w14:textId="77777777" w:rsidR="006D148B" w:rsidRPr="00D554C7" w:rsidRDefault="006D148B" w:rsidP="00D554C7">
            <w:pPr>
              <w:spacing w:after="100" w:afterAutospacing="1" w:line="240" w:lineRule="auto"/>
              <w:jc w:val="center"/>
              <w:rPr>
                <w:rFonts w:ascii="Futura Std Condensed Light" w:eastAsia="Calibri" w:hAnsi="Futura Std Condensed Light" w:cs="Calibri"/>
                <w:sz w:val="20"/>
                <w:szCs w:val="20"/>
              </w:rPr>
            </w:pPr>
            <w:r w:rsidRPr="00D554C7">
              <w:rPr>
                <w:rFonts w:ascii="Futura Std Condensed Light" w:eastAsia="Calibri" w:hAnsi="Futura Std Condensed Light" w:cs="Calibri"/>
                <w:sz w:val="20"/>
                <w:szCs w:val="20"/>
              </w:rPr>
              <w:t>105</w:t>
            </w:r>
          </w:p>
        </w:tc>
      </w:tr>
      <w:tr w:rsidR="006D148B" w:rsidRPr="006119DB" w14:paraId="7B32AB64" w14:textId="77777777" w:rsidTr="001B6A07">
        <w:trPr>
          <w:trHeight w:val="499"/>
          <w:jc w:val="center"/>
        </w:trPr>
        <w:tc>
          <w:tcPr>
            <w:tcW w:w="1540" w:type="dxa"/>
            <w:shd w:val="clear" w:color="auto" w:fill="auto"/>
            <w:noWrap/>
            <w:vAlign w:val="center"/>
            <w:hideMark/>
          </w:tcPr>
          <w:p w14:paraId="5FB79F61" w14:textId="77777777" w:rsidR="006D148B" w:rsidRPr="00D554C7" w:rsidRDefault="006D148B" w:rsidP="00D554C7">
            <w:pPr>
              <w:spacing w:after="100" w:afterAutospacing="1" w:line="240" w:lineRule="auto"/>
              <w:jc w:val="center"/>
              <w:rPr>
                <w:rFonts w:ascii="Futura Std Condensed Light" w:eastAsia="Calibri" w:hAnsi="Futura Std Condensed Light" w:cs="Calibri"/>
                <w:b/>
                <w:sz w:val="20"/>
                <w:szCs w:val="20"/>
              </w:rPr>
            </w:pPr>
            <w:r w:rsidRPr="00D554C7">
              <w:rPr>
                <w:rFonts w:ascii="Futura Std Condensed Light" w:eastAsia="Calibri" w:hAnsi="Futura Std Condensed Light" w:cs="Calibri"/>
                <w:b/>
                <w:sz w:val="20"/>
                <w:szCs w:val="20"/>
              </w:rPr>
              <w:t>Total</w:t>
            </w:r>
          </w:p>
        </w:tc>
        <w:tc>
          <w:tcPr>
            <w:tcW w:w="1498" w:type="dxa"/>
            <w:shd w:val="clear" w:color="auto" w:fill="auto"/>
            <w:noWrap/>
            <w:vAlign w:val="center"/>
            <w:hideMark/>
          </w:tcPr>
          <w:p w14:paraId="226A2495" w14:textId="77777777" w:rsidR="006D148B" w:rsidRPr="00D554C7" w:rsidRDefault="006D148B" w:rsidP="00D554C7">
            <w:pPr>
              <w:spacing w:after="100" w:afterAutospacing="1" w:line="240" w:lineRule="auto"/>
              <w:jc w:val="center"/>
              <w:rPr>
                <w:rFonts w:ascii="Futura Std Condensed Light" w:eastAsia="Calibri" w:hAnsi="Futura Std Condensed Light" w:cs="Calibri"/>
                <w:b/>
                <w:sz w:val="20"/>
                <w:szCs w:val="20"/>
              </w:rPr>
            </w:pPr>
            <w:r w:rsidRPr="00D554C7">
              <w:rPr>
                <w:rFonts w:ascii="Futura Std Condensed Light" w:eastAsia="Calibri" w:hAnsi="Futura Std Condensed Light" w:cs="Calibri"/>
                <w:b/>
                <w:sz w:val="20"/>
                <w:szCs w:val="20"/>
              </w:rPr>
              <w:t>43,977</w:t>
            </w:r>
          </w:p>
        </w:tc>
        <w:tc>
          <w:tcPr>
            <w:tcW w:w="1292" w:type="dxa"/>
            <w:shd w:val="clear" w:color="auto" w:fill="auto"/>
            <w:noWrap/>
            <w:vAlign w:val="center"/>
            <w:hideMark/>
          </w:tcPr>
          <w:p w14:paraId="5D0A2186" w14:textId="77777777" w:rsidR="006D148B" w:rsidRPr="00D554C7" w:rsidRDefault="006D148B" w:rsidP="00D554C7">
            <w:pPr>
              <w:spacing w:after="100" w:afterAutospacing="1" w:line="240" w:lineRule="auto"/>
              <w:jc w:val="center"/>
              <w:rPr>
                <w:rFonts w:ascii="Futura Std Condensed Light" w:eastAsia="Calibri" w:hAnsi="Futura Std Condensed Light" w:cs="Calibri"/>
                <w:b/>
                <w:sz w:val="20"/>
                <w:szCs w:val="20"/>
              </w:rPr>
            </w:pPr>
            <w:r w:rsidRPr="00D554C7">
              <w:rPr>
                <w:rFonts w:ascii="Futura Std Condensed Light" w:eastAsia="Calibri" w:hAnsi="Futura Std Condensed Light" w:cs="Calibri"/>
                <w:b/>
                <w:sz w:val="20"/>
                <w:szCs w:val="20"/>
              </w:rPr>
              <w:t>43,092</w:t>
            </w:r>
          </w:p>
        </w:tc>
        <w:tc>
          <w:tcPr>
            <w:tcW w:w="1230" w:type="dxa"/>
            <w:shd w:val="clear" w:color="auto" w:fill="auto"/>
            <w:noWrap/>
            <w:vAlign w:val="center"/>
            <w:hideMark/>
          </w:tcPr>
          <w:p w14:paraId="68B4F0C3" w14:textId="77777777" w:rsidR="006D148B" w:rsidRPr="00D554C7" w:rsidRDefault="006D148B" w:rsidP="00D554C7">
            <w:pPr>
              <w:spacing w:after="100" w:afterAutospacing="1" w:line="240" w:lineRule="auto"/>
              <w:jc w:val="center"/>
              <w:rPr>
                <w:rFonts w:ascii="Futura Std Condensed Light" w:eastAsia="Calibri" w:hAnsi="Futura Std Condensed Light" w:cs="Calibri"/>
                <w:b/>
                <w:sz w:val="20"/>
                <w:szCs w:val="20"/>
              </w:rPr>
            </w:pPr>
            <w:r w:rsidRPr="00D554C7">
              <w:rPr>
                <w:rFonts w:ascii="Futura Std Condensed Light" w:eastAsia="Calibri" w:hAnsi="Futura Std Condensed Light" w:cs="Calibri"/>
                <w:b/>
                <w:sz w:val="20"/>
                <w:szCs w:val="20"/>
              </w:rPr>
              <w:t>87,069</w:t>
            </w:r>
          </w:p>
        </w:tc>
        <w:tc>
          <w:tcPr>
            <w:tcW w:w="1340" w:type="dxa"/>
            <w:shd w:val="clear" w:color="auto" w:fill="auto"/>
            <w:noWrap/>
            <w:vAlign w:val="center"/>
            <w:hideMark/>
          </w:tcPr>
          <w:p w14:paraId="008555F1" w14:textId="77777777" w:rsidR="006D148B" w:rsidRPr="00D554C7" w:rsidRDefault="006D148B" w:rsidP="00D554C7">
            <w:pPr>
              <w:spacing w:after="100" w:afterAutospacing="1" w:line="240" w:lineRule="auto"/>
              <w:jc w:val="center"/>
              <w:rPr>
                <w:rFonts w:ascii="Futura Std Condensed Light" w:eastAsia="Calibri" w:hAnsi="Futura Std Condensed Light" w:cs="Calibri"/>
                <w:b/>
                <w:sz w:val="20"/>
                <w:szCs w:val="20"/>
              </w:rPr>
            </w:pPr>
            <w:r w:rsidRPr="00D554C7">
              <w:rPr>
                <w:rFonts w:ascii="Futura Std Condensed Light" w:eastAsia="Calibri" w:hAnsi="Futura Std Condensed Light" w:cs="Calibri"/>
                <w:b/>
                <w:sz w:val="20"/>
                <w:szCs w:val="20"/>
              </w:rPr>
              <w:t>6,162</w:t>
            </w:r>
          </w:p>
        </w:tc>
        <w:tc>
          <w:tcPr>
            <w:tcW w:w="1340" w:type="dxa"/>
            <w:shd w:val="clear" w:color="auto" w:fill="auto"/>
            <w:noWrap/>
            <w:vAlign w:val="center"/>
            <w:hideMark/>
          </w:tcPr>
          <w:p w14:paraId="163E9DA6" w14:textId="77777777" w:rsidR="006D148B" w:rsidRPr="00D554C7" w:rsidRDefault="006D148B" w:rsidP="00D554C7">
            <w:pPr>
              <w:spacing w:after="100" w:afterAutospacing="1" w:line="240" w:lineRule="auto"/>
              <w:jc w:val="center"/>
              <w:rPr>
                <w:rFonts w:ascii="Futura Std Condensed Light" w:eastAsia="Calibri" w:hAnsi="Futura Std Condensed Light" w:cs="Calibri"/>
                <w:b/>
                <w:sz w:val="20"/>
                <w:szCs w:val="20"/>
              </w:rPr>
            </w:pPr>
            <w:r w:rsidRPr="00D554C7">
              <w:rPr>
                <w:rFonts w:ascii="Futura Std Condensed Light" w:eastAsia="Calibri" w:hAnsi="Futura Std Condensed Light" w:cs="Calibri"/>
                <w:b/>
                <w:sz w:val="20"/>
                <w:szCs w:val="20"/>
              </w:rPr>
              <w:t>470</w:t>
            </w:r>
          </w:p>
        </w:tc>
      </w:tr>
    </w:tbl>
    <w:p w14:paraId="61E6089C" w14:textId="77777777" w:rsidR="006D148B" w:rsidRPr="00D06985" w:rsidRDefault="006D148B" w:rsidP="006D148B">
      <w:pPr>
        <w:spacing w:after="0"/>
        <w:rPr>
          <w:rFonts w:ascii="Futura Bk BT" w:hAnsi="Futura Bk BT"/>
          <w:sz w:val="16"/>
          <w:szCs w:val="16"/>
        </w:rPr>
      </w:pPr>
    </w:p>
    <w:p w14:paraId="50E532D8" w14:textId="49B96FA1" w:rsidR="006D148B" w:rsidRDefault="006D148B" w:rsidP="006D148B">
      <w:pPr>
        <w:spacing w:after="0"/>
        <w:jc w:val="center"/>
        <w:rPr>
          <w:rFonts w:ascii="Futura Bk BT" w:hAnsi="Futura Bk BT"/>
          <w:sz w:val="16"/>
          <w:szCs w:val="16"/>
        </w:rPr>
      </w:pPr>
      <w:r w:rsidRPr="000E1464">
        <w:rPr>
          <w:rFonts w:ascii="Futura Bk BT" w:hAnsi="Futura Bk BT"/>
          <w:b/>
          <w:sz w:val="16"/>
          <w:szCs w:val="16"/>
        </w:rPr>
        <w:t>Fuente:</w:t>
      </w:r>
      <w:r w:rsidRPr="00C124B2">
        <w:rPr>
          <w:rFonts w:ascii="Futura Bk BT" w:hAnsi="Futura Bk BT"/>
          <w:sz w:val="16"/>
          <w:szCs w:val="16"/>
        </w:rPr>
        <w:t xml:space="preserve"> Estadísticas continúas del formato 911 (inicio de ciclo escolar), SEQ.</w:t>
      </w:r>
    </w:p>
    <w:p w14:paraId="69FC59EA" w14:textId="693625F2" w:rsidR="00E07551" w:rsidRDefault="00E07551" w:rsidP="006D148B">
      <w:pPr>
        <w:spacing w:after="0"/>
        <w:jc w:val="center"/>
        <w:rPr>
          <w:rFonts w:ascii="Futura Bk BT" w:hAnsi="Futura Bk BT"/>
          <w:sz w:val="16"/>
          <w:szCs w:val="16"/>
        </w:rPr>
      </w:pPr>
    </w:p>
    <w:p w14:paraId="5D5AABC0" w14:textId="77777777" w:rsidR="00E07551" w:rsidRDefault="00E07551" w:rsidP="006D148B">
      <w:pPr>
        <w:spacing w:after="0"/>
        <w:jc w:val="center"/>
        <w:rPr>
          <w:rFonts w:ascii="Futura Bk BT" w:hAnsi="Futura Bk BT"/>
        </w:rPr>
      </w:pPr>
    </w:p>
    <w:p w14:paraId="03DC7113" w14:textId="77777777" w:rsidR="006D148B" w:rsidRDefault="006D148B" w:rsidP="006D148B">
      <w:pPr>
        <w:spacing w:after="0"/>
        <w:rPr>
          <w:rFonts w:eastAsia="Times New Roman" w:cs="Futura"/>
          <w:b/>
        </w:rPr>
      </w:pPr>
    </w:p>
    <w:p w14:paraId="3AEA88E5" w14:textId="77777777" w:rsidR="006D148B" w:rsidRPr="00021C9D" w:rsidRDefault="006D148B" w:rsidP="006D148B">
      <w:pPr>
        <w:spacing w:after="0"/>
        <w:rPr>
          <w:rFonts w:eastAsia="Times New Roman" w:cs="Futura"/>
          <w:b/>
        </w:rPr>
      </w:pPr>
      <w:r w:rsidRPr="00021C9D">
        <w:rPr>
          <w:rFonts w:eastAsia="Times New Roman" w:cs="Futura"/>
          <w:b/>
        </w:rPr>
        <w:t>Atención a la demanda de educación secundaria (Cobertura)</w:t>
      </w:r>
    </w:p>
    <w:p w14:paraId="52928C5C" w14:textId="77777777" w:rsidR="006D148B" w:rsidRPr="00021C9D" w:rsidRDefault="006D148B" w:rsidP="006D148B">
      <w:pPr>
        <w:spacing w:after="0"/>
        <w:rPr>
          <w:rFonts w:eastAsia="Times New Roman" w:cs="Futura"/>
          <w:b/>
        </w:rPr>
      </w:pPr>
    </w:p>
    <w:p w14:paraId="5B1F9716" w14:textId="2AFAEF1A" w:rsidR="006D148B" w:rsidRDefault="006D148B" w:rsidP="00A42440">
      <w:pPr>
        <w:rPr>
          <w:rFonts w:eastAsia="Times New Roman" w:cs="Futura"/>
        </w:rPr>
      </w:pPr>
      <w:r w:rsidRPr="00021C9D">
        <w:rPr>
          <w:rFonts w:eastAsia="Times New Roman" w:cs="Futura"/>
        </w:rPr>
        <w:t xml:space="preserve">En lo que respecta a la cobertura de educación secundaria para el ciclo escolar 2018-2019, </w:t>
      </w:r>
      <w:r>
        <w:rPr>
          <w:rFonts w:eastAsia="Times New Roman" w:cs="Futura"/>
        </w:rPr>
        <w:t xml:space="preserve">en el estado </w:t>
      </w:r>
      <w:r w:rsidRPr="00021C9D">
        <w:rPr>
          <w:rFonts w:eastAsia="Times New Roman" w:cs="Futura"/>
        </w:rPr>
        <w:t xml:space="preserve">se atendió </w:t>
      </w:r>
      <w:r>
        <w:rPr>
          <w:rFonts w:eastAsia="Times New Roman" w:cs="Futura"/>
        </w:rPr>
        <w:t>a</w:t>
      </w:r>
      <w:r w:rsidRPr="00021C9D">
        <w:rPr>
          <w:rFonts w:eastAsia="Times New Roman" w:cs="Futura"/>
        </w:rPr>
        <w:t>l 97.8 por ciento de los niños en edad de 12 a 14 años</w:t>
      </w:r>
      <w:r>
        <w:rPr>
          <w:rFonts w:eastAsia="Times New Roman" w:cs="Futura"/>
        </w:rPr>
        <w:t xml:space="preserve"> y a nivel nacional al 96.5 por ciento</w:t>
      </w:r>
      <w:r w:rsidRPr="00021C9D">
        <w:rPr>
          <w:rFonts w:eastAsia="Times New Roman" w:cs="Futura"/>
        </w:rPr>
        <w:t>, para el ciclo escolar 2019-2020 la cobertura fue de 100.5 por ciento, un incremento de 2.7 por ciento con relación al ciclo anterior, situándose por arriba de la media nacional que f</w:t>
      </w:r>
      <w:r>
        <w:rPr>
          <w:rFonts w:eastAsia="Times New Roman" w:cs="Futura"/>
        </w:rPr>
        <w:t>ue de 96.1 por ciento (Gráfica 4</w:t>
      </w:r>
      <w:r w:rsidRPr="00021C9D">
        <w:rPr>
          <w:rFonts w:eastAsia="Times New Roman" w:cs="Futura"/>
        </w:rPr>
        <w:t>).</w:t>
      </w:r>
    </w:p>
    <w:p w14:paraId="77B38B17" w14:textId="5385F368" w:rsidR="00913635" w:rsidRDefault="00913635">
      <w:pPr>
        <w:spacing w:after="0" w:line="240" w:lineRule="auto"/>
        <w:jc w:val="left"/>
        <w:rPr>
          <w:rFonts w:eastAsia="Times New Roman" w:cs="Futura"/>
        </w:rPr>
      </w:pPr>
      <w:r>
        <w:rPr>
          <w:rFonts w:eastAsia="Times New Roman" w:cs="Futura"/>
        </w:rPr>
        <w:br w:type="page"/>
      </w:r>
    </w:p>
    <w:p w14:paraId="5FF878B5" w14:textId="77777777" w:rsidR="006D148B" w:rsidRPr="00021C9D" w:rsidRDefault="006D148B" w:rsidP="006D148B">
      <w:pPr>
        <w:spacing w:after="0"/>
        <w:jc w:val="center"/>
        <w:rPr>
          <w:b/>
          <w:color w:val="4BACC6" w:themeColor="accent5"/>
        </w:rPr>
      </w:pPr>
      <w:r>
        <w:rPr>
          <w:b/>
          <w:color w:val="4BACC6" w:themeColor="accent5"/>
        </w:rPr>
        <w:lastRenderedPageBreak/>
        <w:t>Gráfica 4</w:t>
      </w:r>
      <w:r w:rsidRPr="00021C9D">
        <w:rPr>
          <w:b/>
          <w:color w:val="4BACC6" w:themeColor="accent5"/>
        </w:rPr>
        <w:t xml:space="preserve">. Cobertura de educación secundaria, </w:t>
      </w:r>
      <w:r>
        <w:rPr>
          <w:b/>
          <w:color w:val="4BACC6" w:themeColor="accent5"/>
        </w:rPr>
        <w:t xml:space="preserve">comparativo </w:t>
      </w:r>
      <w:r w:rsidRPr="00021C9D">
        <w:rPr>
          <w:b/>
          <w:color w:val="4BACC6" w:themeColor="accent5"/>
        </w:rPr>
        <w:t>estatal y nacional</w:t>
      </w:r>
    </w:p>
    <w:p w14:paraId="5A3BB063" w14:textId="77777777" w:rsidR="006D148B" w:rsidRPr="00FF0991" w:rsidRDefault="006D148B" w:rsidP="006D148B">
      <w:pPr>
        <w:spacing w:after="0"/>
        <w:jc w:val="center"/>
        <w:rPr>
          <w:b/>
          <w:color w:val="4BACC6" w:themeColor="accent5"/>
        </w:rPr>
      </w:pPr>
      <w:r w:rsidRPr="00021C9D">
        <w:rPr>
          <w:b/>
          <w:color w:val="4BACC6" w:themeColor="accent5"/>
        </w:rPr>
        <w:t>Ciclo escolar 2018-2019 y 2019-2020</w:t>
      </w:r>
    </w:p>
    <w:p w14:paraId="3EEAB0BD" w14:textId="77777777" w:rsidR="006D148B" w:rsidRDefault="006D148B" w:rsidP="006D148B">
      <w:pPr>
        <w:spacing w:after="0"/>
        <w:jc w:val="center"/>
        <w:rPr>
          <w:rFonts w:ascii="Futura Bk BT" w:hAnsi="Futura Bk BT"/>
        </w:rPr>
      </w:pPr>
      <w:r>
        <w:rPr>
          <w:noProof/>
          <w:lang w:val="es-MX" w:eastAsia="es-MX"/>
        </w:rPr>
        <w:drawing>
          <wp:anchor distT="0" distB="0" distL="114300" distR="114300" simplePos="0" relativeHeight="251698176" behindDoc="0" locked="0" layoutInCell="1" allowOverlap="1" wp14:anchorId="4B7A10F8" wp14:editId="24E9D4D5">
            <wp:simplePos x="0" y="0"/>
            <wp:positionH relativeFrom="column">
              <wp:posOffset>615315</wp:posOffset>
            </wp:positionH>
            <wp:positionV relativeFrom="paragraph">
              <wp:posOffset>144145</wp:posOffset>
            </wp:positionV>
            <wp:extent cx="4370070" cy="2247900"/>
            <wp:effectExtent l="0" t="0" r="0" b="0"/>
            <wp:wrapSquare wrapText="bothSides"/>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p>
    <w:p w14:paraId="4C8B1648" w14:textId="77777777" w:rsidR="006D148B" w:rsidRDefault="006D148B" w:rsidP="006D148B">
      <w:pPr>
        <w:spacing w:after="0"/>
        <w:rPr>
          <w:rFonts w:ascii="Futura Bk BT" w:hAnsi="Futura Bk BT"/>
        </w:rPr>
      </w:pPr>
    </w:p>
    <w:p w14:paraId="0EE296E9" w14:textId="77777777" w:rsidR="006D148B" w:rsidRDefault="006D148B" w:rsidP="006D148B">
      <w:pPr>
        <w:spacing w:after="0"/>
        <w:rPr>
          <w:rFonts w:ascii="Futura Bk BT" w:hAnsi="Futura Bk BT"/>
        </w:rPr>
      </w:pPr>
    </w:p>
    <w:p w14:paraId="25C41873" w14:textId="77777777" w:rsidR="006D148B" w:rsidRDefault="006D148B" w:rsidP="006D148B">
      <w:pPr>
        <w:spacing w:after="0"/>
        <w:rPr>
          <w:rFonts w:ascii="Futura Bk BT" w:hAnsi="Futura Bk BT"/>
        </w:rPr>
      </w:pPr>
    </w:p>
    <w:p w14:paraId="6EEAC945" w14:textId="77777777" w:rsidR="006D148B" w:rsidRDefault="006D148B" w:rsidP="006D148B">
      <w:pPr>
        <w:spacing w:after="0"/>
        <w:rPr>
          <w:rFonts w:ascii="Futura Bk BT" w:hAnsi="Futura Bk BT"/>
        </w:rPr>
      </w:pPr>
    </w:p>
    <w:p w14:paraId="40383F92" w14:textId="77777777" w:rsidR="006D148B" w:rsidRDefault="006D148B" w:rsidP="006D148B">
      <w:pPr>
        <w:spacing w:after="0"/>
        <w:rPr>
          <w:rFonts w:ascii="Futura Bk BT" w:hAnsi="Futura Bk BT"/>
        </w:rPr>
      </w:pPr>
    </w:p>
    <w:p w14:paraId="48EBA645" w14:textId="77777777" w:rsidR="006D148B" w:rsidRDefault="006D148B" w:rsidP="006D148B">
      <w:pPr>
        <w:spacing w:after="0"/>
        <w:rPr>
          <w:rFonts w:ascii="Futura Bk BT" w:hAnsi="Futura Bk BT"/>
        </w:rPr>
      </w:pPr>
    </w:p>
    <w:p w14:paraId="135683EE" w14:textId="77777777" w:rsidR="006D148B" w:rsidRDefault="006D148B" w:rsidP="006D148B">
      <w:pPr>
        <w:spacing w:after="0"/>
        <w:rPr>
          <w:rFonts w:ascii="Futura Bk BT" w:hAnsi="Futura Bk BT"/>
        </w:rPr>
      </w:pPr>
    </w:p>
    <w:p w14:paraId="790FF349" w14:textId="77777777" w:rsidR="006D148B" w:rsidRDefault="006D148B" w:rsidP="006D148B">
      <w:pPr>
        <w:spacing w:after="0"/>
        <w:rPr>
          <w:rFonts w:ascii="Futura Bk BT" w:hAnsi="Futura Bk BT"/>
        </w:rPr>
      </w:pPr>
    </w:p>
    <w:p w14:paraId="73F52FB4" w14:textId="77777777" w:rsidR="006D148B" w:rsidRDefault="006D148B" w:rsidP="006D148B">
      <w:pPr>
        <w:spacing w:after="0"/>
        <w:rPr>
          <w:rFonts w:ascii="Futura Bk BT" w:hAnsi="Futura Bk BT"/>
        </w:rPr>
      </w:pPr>
    </w:p>
    <w:p w14:paraId="2033F3B8" w14:textId="77777777" w:rsidR="006D148B" w:rsidRDefault="006D148B" w:rsidP="006D148B">
      <w:pPr>
        <w:spacing w:after="0"/>
        <w:rPr>
          <w:rFonts w:ascii="Futura Bk BT" w:hAnsi="Futura Bk BT"/>
        </w:rPr>
      </w:pPr>
    </w:p>
    <w:p w14:paraId="04199FE8" w14:textId="77777777" w:rsidR="006D148B" w:rsidRDefault="006D148B" w:rsidP="006D148B">
      <w:pPr>
        <w:spacing w:after="0"/>
        <w:rPr>
          <w:rFonts w:ascii="Futura Bk BT" w:hAnsi="Futura Bk BT"/>
        </w:rPr>
      </w:pPr>
    </w:p>
    <w:p w14:paraId="66183463" w14:textId="77777777" w:rsidR="006D148B" w:rsidRPr="008B4469" w:rsidRDefault="006D148B" w:rsidP="006D148B">
      <w:pPr>
        <w:rPr>
          <w:rFonts w:ascii="Futura Bk BT" w:hAnsi="Futura Bk BT" w:cstheme="minorHAnsi"/>
          <w:sz w:val="16"/>
          <w:szCs w:val="16"/>
        </w:rPr>
      </w:pPr>
      <w:r w:rsidRPr="000E1464">
        <w:rPr>
          <w:rFonts w:ascii="Futura Bk BT" w:hAnsi="Futura Bk BT"/>
          <w:b/>
          <w:sz w:val="16"/>
          <w:szCs w:val="16"/>
        </w:rPr>
        <w:t>Fuente:</w:t>
      </w:r>
      <w:r w:rsidRPr="000E1464">
        <w:rPr>
          <w:rFonts w:ascii="Futura Bk BT" w:hAnsi="Futura Bk BT"/>
          <w:sz w:val="16"/>
          <w:szCs w:val="16"/>
        </w:rPr>
        <w:t xml:space="preserve"> Estadísticas continúas del formato 911 (inicio de ciclo escolar)</w:t>
      </w:r>
      <w:r>
        <w:rPr>
          <w:rFonts w:ascii="Futura Bk BT" w:hAnsi="Futura Bk BT"/>
          <w:sz w:val="16"/>
          <w:szCs w:val="16"/>
        </w:rPr>
        <w:t xml:space="preserve"> 2018-2019 y 2019-2020</w:t>
      </w:r>
      <w:r w:rsidRPr="000E1464">
        <w:rPr>
          <w:rFonts w:ascii="Futura Bk BT" w:hAnsi="Futura Bk BT"/>
          <w:sz w:val="16"/>
          <w:szCs w:val="16"/>
        </w:rPr>
        <w:t>, SEQ.</w:t>
      </w:r>
      <w:r>
        <w:rPr>
          <w:rFonts w:ascii="Futura Bk BT" w:hAnsi="Futura Bk BT"/>
          <w:sz w:val="16"/>
          <w:szCs w:val="16"/>
        </w:rPr>
        <w:t xml:space="preserve"> </w:t>
      </w:r>
      <w:r w:rsidRPr="000E1464">
        <w:rPr>
          <w:rFonts w:ascii="Futura Bk BT" w:hAnsi="Futura Bk BT" w:cstheme="minorHAnsi"/>
          <w:sz w:val="16"/>
          <w:szCs w:val="16"/>
        </w:rPr>
        <w:t xml:space="preserve">Proyecciones de la Población </w:t>
      </w:r>
      <w:r>
        <w:rPr>
          <w:rFonts w:ascii="Futura Bk BT" w:hAnsi="Futura Bk BT" w:cstheme="minorHAnsi"/>
          <w:sz w:val="16"/>
          <w:szCs w:val="16"/>
        </w:rPr>
        <w:t>por</w:t>
      </w:r>
      <w:r w:rsidRPr="000E1464">
        <w:rPr>
          <w:rFonts w:ascii="Futura Bk BT" w:hAnsi="Futura Bk BT" w:cstheme="minorHAnsi"/>
          <w:sz w:val="16"/>
          <w:szCs w:val="16"/>
        </w:rPr>
        <w:t xml:space="preserve"> </w:t>
      </w:r>
      <w:r>
        <w:rPr>
          <w:rFonts w:ascii="Futura Bk BT" w:hAnsi="Futura Bk BT" w:cstheme="minorHAnsi"/>
          <w:sz w:val="16"/>
          <w:szCs w:val="16"/>
        </w:rPr>
        <w:t>e</w:t>
      </w:r>
      <w:r w:rsidRPr="000E1464">
        <w:rPr>
          <w:rFonts w:ascii="Futura Bk BT" w:hAnsi="Futura Bk BT" w:cstheme="minorHAnsi"/>
          <w:sz w:val="16"/>
          <w:szCs w:val="16"/>
        </w:rPr>
        <w:t xml:space="preserve">ntidad </w:t>
      </w:r>
      <w:r>
        <w:rPr>
          <w:rFonts w:ascii="Futura Bk BT" w:hAnsi="Futura Bk BT" w:cstheme="minorHAnsi"/>
          <w:sz w:val="16"/>
          <w:szCs w:val="16"/>
        </w:rPr>
        <w:t>federativa 1970-2050, CONAPO.</w:t>
      </w:r>
    </w:p>
    <w:p w14:paraId="499EA124" w14:textId="77777777" w:rsidR="006D148B" w:rsidRPr="008B4469" w:rsidRDefault="006D148B" w:rsidP="006D148B">
      <w:pPr>
        <w:spacing w:after="0"/>
        <w:rPr>
          <w:rFonts w:eastAsia="Times New Roman" w:cs="Futura"/>
          <w:b/>
        </w:rPr>
      </w:pPr>
      <w:r w:rsidRPr="008B4469">
        <w:rPr>
          <w:rFonts w:eastAsia="Times New Roman" w:cs="Futura"/>
          <w:b/>
        </w:rPr>
        <w:t>Indicadores educativos en el nivel de secundaria</w:t>
      </w:r>
    </w:p>
    <w:p w14:paraId="6598C07C" w14:textId="77777777" w:rsidR="006D148B" w:rsidRPr="008B4469" w:rsidRDefault="006D148B" w:rsidP="006D148B">
      <w:pPr>
        <w:spacing w:after="0"/>
        <w:rPr>
          <w:rFonts w:eastAsia="Times New Roman" w:cs="Futura"/>
        </w:rPr>
      </w:pPr>
    </w:p>
    <w:p w14:paraId="301D5028" w14:textId="77777777" w:rsidR="006D148B" w:rsidRDefault="006D148B" w:rsidP="0043125A">
      <w:pPr>
        <w:rPr>
          <w:rFonts w:eastAsia="Times New Roman" w:cs="Futura"/>
        </w:rPr>
      </w:pPr>
      <w:r w:rsidRPr="008B4469">
        <w:rPr>
          <w:rFonts w:eastAsia="Times New Roman" w:cs="Futura"/>
        </w:rPr>
        <w:t xml:space="preserve">Se espera que todos los alumnos que terminan la primaria, ingresen a secundaria, en el ciclo escolar posterior, esto se mide con el índice de absorción. En secundaria la absorción para el ciclo escolar 2018-2019 fue de 101.5 por ciento y para el ciclo 2019-2020 fue de </w:t>
      </w:r>
      <w:r w:rsidRPr="00FF0991">
        <w:rPr>
          <w:rFonts w:eastAsia="Times New Roman" w:cs="Futura"/>
        </w:rPr>
        <w:t>101.0</w:t>
      </w:r>
      <w:r w:rsidRPr="008B4469">
        <w:rPr>
          <w:rFonts w:eastAsia="Times New Roman" w:cs="Futura"/>
        </w:rPr>
        <w:t xml:space="preserve"> por ciento, por arriba de la media nacional que fue de 97.2 por ciento; el abandono escolar en el ciclo escolar 2017-2018 fue de 4.2 por ciento y en el ciclo escolar 2018-2019 fue de 4.0 por ciento, por debajo de la media nacional que fue de 4.4 por ciento. La reprobación en el ciclo escolar 2017-2018 fue de </w:t>
      </w:r>
      <w:r>
        <w:rPr>
          <w:rFonts w:eastAsia="Times New Roman" w:cs="Futura"/>
        </w:rPr>
        <w:t>7</w:t>
      </w:r>
      <w:r w:rsidRPr="008B4469">
        <w:rPr>
          <w:rFonts w:eastAsia="Times New Roman" w:cs="Futura"/>
        </w:rPr>
        <w:t>.</w:t>
      </w:r>
      <w:r>
        <w:rPr>
          <w:rFonts w:eastAsia="Times New Roman" w:cs="Futura"/>
        </w:rPr>
        <w:t>3</w:t>
      </w:r>
      <w:r w:rsidRPr="008B4469">
        <w:rPr>
          <w:rFonts w:eastAsia="Times New Roman" w:cs="Futura"/>
        </w:rPr>
        <w:t xml:space="preserve"> por ciento y para el ciclo 2018-2019 fue de </w:t>
      </w:r>
      <w:r>
        <w:rPr>
          <w:rFonts w:eastAsia="Times New Roman" w:cs="Futura"/>
        </w:rPr>
        <w:t>7.4</w:t>
      </w:r>
      <w:r w:rsidRPr="008B4469">
        <w:rPr>
          <w:rFonts w:eastAsia="Times New Roman" w:cs="Futura"/>
        </w:rPr>
        <w:t xml:space="preserve"> por ciento, situándose a </w:t>
      </w:r>
      <w:r>
        <w:rPr>
          <w:rFonts w:eastAsia="Times New Roman" w:cs="Futura"/>
        </w:rPr>
        <w:t>2</w:t>
      </w:r>
      <w:r w:rsidRPr="008B4469">
        <w:rPr>
          <w:rFonts w:eastAsia="Times New Roman" w:cs="Futura"/>
        </w:rPr>
        <w:t>.</w:t>
      </w:r>
      <w:r>
        <w:rPr>
          <w:rFonts w:eastAsia="Times New Roman" w:cs="Futura"/>
        </w:rPr>
        <w:t>3</w:t>
      </w:r>
      <w:r w:rsidRPr="008B4469">
        <w:rPr>
          <w:rFonts w:eastAsia="Times New Roman" w:cs="Futura"/>
        </w:rPr>
        <w:t xml:space="preserve"> puntos porcentuales por arriba de la media nacional que fue de </w:t>
      </w:r>
      <w:r>
        <w:rPr>
          <w:rFonts w:eastAsia="Times New Roman" w:cs="Futura"/>
        </w:rPr>
        <w:t>5</w:t>
      </w:r>
      <w:r w:rsidRPr="008B4469">
        <w:rPr>
          <w:rFonts w:eastAsia="Times New Roman" w:cs="Futura"/>
        </w:rPr>
        <w:t>.</w:t>
      </w:r>
      <w:r>
        <w:rPr>
          <w:rFonts w:eastAsia="Times New Roman" w:cs="Futura"/>
        </w:rPr>
        <w:t>1</w:t>
      </w:r>
      <w:r w:rsidRPr="008B4469">
        <w:rPr>
          <w:rFonts w:eastAsia="Times New Roman" w:cs="Futura"/>
        </w:rPr>
        <w:t xml:space="preserve"> por ciento; por otro lado, la eficiencia terminal en el ciclo escolar 2017-2018 fue de 86.9 por ciento, y de 87.8 por ciento en el ciclo 2018-2019, un incremento de poco menos de un punto porcentual y situándose a 1.1 puntos porcentuales por arriba de la media nacional que </w:t>
      </w:r>
      <w:r>
        <w:rPr>
          <w:rFonts w:eastAsia="Times New Roman" w:cs="Futura"/>
        </w:rPr>
        <w:t>fue de 86.7 por ciento (Cuadro 7</w:t>
      </w:r>
      <w:r w:rsidRPr="008B4469">
        <w:rPr>
          <w:rFonts w:eastAsia="Times New Roman" w:cs="Futura"/>
        </w:rPr>
        <w:t>).</w:t>
      </w:r>
    </w:p>
    <w:p w14:paraId="24B7BFA9" w14:textId="50A7499A" w:rsidR="00913635" w:rsidRDefault="00913635">
      <w:pPr>
        <w:spacing w:after="0" w:line="240" w:lineRule="auto"/>
        <w:jc w:val="left"/>
        <w:rPr>
          <w:rFonts w:eastAsia="Times New Roman" w:cs="Futura"/>
        </w:rPr>
      </w:pPr>
      <w:r>
        <w:rPr>
          <w:rFonts w:eastAsia="Times New Roman" w:cs="Futura"/>
        </w:rPr>
        <w:br w:type="page"/>
      </w:r>
    </w:p>
    <w:p w14:paraId="54D89B8F" w14:textId="77777777" w:rsidR="006D148B" w:rsidRPr="008B4469" w:rsidRDefault="006D148B" w:rsidP="006D148B">
      <w:pPr>
        <w:spacing w:after="0"/>
        <w:rPr>
          <w:b/>
          <w:color w:val="4BACC6" w:themeColor="accent5"/>
        </w:rPr>
      </w:pPr>
      <w:r>
        <w:rPr>
          <w:b/>
          <w:color w:val="4BACC6" w:themeColor="accent5"/>
        </w:rPr>
        <w:lastRenderedPageBreak/>
        <w:t>Cuadro 7</w:t>
      </w:r>
      <w:r w:rsidRPr="008B4469">
        <w:rPr>
          <w:b/>
          <w:color w:val="4BACC6" w:themeColor="accent5"/>
        </w:rPr>
        <w:t>. Principales indicadores de educación secundaria, evolución y comparativo nacional</w:t>
      </w:r>
    </w:p>
    <w:p w14:paraId="14D49824" w14:textId="77777777" w:rsidR="006D148B" w:rsidRDefault="006D148B" w:rsidP="006D148B">
      <w:pPr>
        <w:spacing w:after="0"/>
      </w:pPr>
    </w:p>
    <w:tbl>
      <w:tblPr>
        <w:tblW w:w="5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55"/>
        <w:gridCol w:w="1340"/>
        <w:gridCol w:w="1340"/>
        <w:gridCol w:w="1251"/>
      </w:tblGrid>
      <w:tr w:rsidR="006D148B" w:rsidRPr="006119DB" w14:paraId="501DD441" w14:textId="77777777" w:rsidTr="004378A8">
        <w:trPr>
          <w:trHeight w:val="402"/>
          <w:jc w:val="center"/>
        </w:trPr>
        <w:tc>
          <w:tcPr>
            <w:tcW w:w="2055" w:type="dxa"/>
            <w:vMerge w:val="restart"/>
            <w:shd w:val="clear" w:color="auto" w:fill="A6A6A6" w:themeFill="background1" w:themeFillShade="A6"/>
            <w:vAlign w:val="center"/>
            <w:hideMark/>
          </w:tcPr>
          <w:p w14:paraId="3ADD52BA" w14:textId="77777777" w:rsidR="006D148B" w:rsidRPr="00D554C7" w:rsidRDefault="006D148B" w:rsidP="00D554C7">
            <w:pPr>
              <w:spacing w:after="100" w:afterAutospacing="1" w:line="240" w:lineRule="auto"/>
              <w:jc w:val="center"/>
              <w:rPr>
                <w:rFonts w:ascii="Futura Std Condensed Light" w:eastAsia="Calibri" w:hAnsi="Futura Std Condensed Light" w:cs="Calibri"/>
                <w:b/>
                <w:sz w:val="20"/>
                <w:szCs w:val="20"/>
              </w:rPr>
            </w:pPr>
            <w:r w:rsidRPr="00D554C7">
              <w:rPr>
                <w:rFonts w:ascii="Futura Std Condensed Light" w:eastAsia="Calibri" w:hAnsi="Futura Std Condensed Light" w:cs="Calibri"/>
                <w:b/>
                <w:sz w:val="20"/>
                <w:szCs w:val="20"/>
              </w:rPr>
              <w:t>Indicador</w:t>
            </w:r>
          </w:p>
        </w:tc>
        <w:tc>
          <w:tcPr>
            <w:tcW w:w="2680" w:type="dxa"/>
            <w:gridSpan w:val="2"/>
            <w:shd w:val="clear" w:color="auto" w:fill="A6A6A6" w:themeFill="background1" w:themeFillShade="A6"/>
            <w:noWrap/>
            <w:vAlign w:val="center"/>
            <w:hideMark/>
          </w:tcPr>
          <w:p w14:paraId="57BB8582" w14:textId="77777777" w:rsidR="006D148B" w:rsidRPr="00D554C7" w:rsidRDefault="006D148B" w:rsidP="00D554C7">
            <w:pPr>
              <w:spacing w:after="100" w:afterAutospacing="1" w:line="240" w:lineRule="auto"/>
              <w:jc w:val="center"/>
              <w:rPr>
                <w:rFonts w:ascii="Futura Std Condensed Light" w:eastAsia="Calibri" w:hAnsi="Futura Std Condensed Light" w:cs="Calibri"/>
                <w:b/>
                <w:sz w:val="20"/>
                <w:szCs w:val="20"/>
              </w:rPr>
            </w:pPr>
            <w:r w:rsidRPr="00D554C7">
              <w:rPr>
                <w:rFonts w:ascii="Futura Std Condensed Light" w:eastAsia="Calibri" w:hAnsi="Futura Std Condensed Light" w:cs="Calibri"/>
                <w:b/>
                <w:sz w:val="20"/>
                <w:szCs w:val="20"/>
              </w:rPr>
              <w:t>Ciclo Escolar</w:t>
            </w:r>
          </w:p>
        </w:tc>
        <w:tc>
          <w:tcPr>
            <w:tcW w:w="1251" w:type="dxa"/>
            <w:shd w:val="clear" w:color="auto" w:fill="A6A6A6" w:themeFill="background1" w:themeFillShade="A6"/>
            <w:vAlign w:val="center"/>
            <w:hideMark/>
          </w:tcPr>
          <w:p w14:paraId="4FFDA132" w14:textId="77777777" w:rsidR="006D148B" w:rsidRPr="00D554C7" w:rsidRDefault="006D148B" w:rsidP="00D554C7">
            <w:pPr>
              <w:spacing w:after="100" w:afterAutospacing="1" w:line="240" w:lineRule="auto"/>
              <w:jc w:val="center"/>
              <w:rPr>
                <w:rFonts w:ascii="Futura Std Condensed Light" w:eastAsia="Calibri" w:hAnsi="Futura Std Condensed Light" w:cs="Calibri"/>
                <w:b/>
                <w:sz w:val="20"/>
                <w:szCs w:val="20"/>
              </w:rPr>
            </w:pPr>
            <w:r w:rsidRPr="00D554C7">
              <w:rPr>
                <w:rFonts w:ascii="Futura Std Condensed Light" w:eastAsia="Calibri" w:hAnsi="Futura Std Condensed Light" w:cs="Calibri"/>
                <w:b/>
                <w:sz w:val="20"/>
                <w:szCs w:val="20"/>
              </w:rPr>
              <w:t xml:space="preserve">*Nacional </w:t>
            </w:r>
          </w:p>
        </w:tc>
      </w:tr>
      <w:tr w:rsidR="006D148B" w:rsidRPr="006119DB" w14:paraId="251645DE" w14:textId="77777777" w:rsidTr="004378A8">
        <w:trPr>
          <w:trHeight w:val="402"/>
          <w:jc w:val="center"/>
        </w:trPr>
        <w:tc>
          <w:tcPr>
            <w:tcW w:w="2055" w:type="dxa"/>
            <w:vMerge/>
            <w:shd w:val="clear" w:color="auto" w:fill="A6A6A6" w:themeFill="background1" w:themeFillShade="A6"/>
            <w:vAlign w:val="center"/>
            <w:hideMark/>
          </w:tcPr>
          <w:p w14:paraId="23649A55" w14:textId="77777777" w:rsidR="006D148B" w:rsidRPr="00D554C7" w:rsidRDefault="006D148B" w:rsidP="00D554C7">
            <w:pPr>
              <w:spacing w:after="100" w:afterAutospacing="1" w:line="240" w:lineRule="auto"/>
              <w:jc w:val="center"/>
              <w:rPr>
                <w:rFonts w:ascii="Futura Std Condensed Light" w:eastAsia="Calibri" w:hAnsi="Futura Std Condensed Light" w:cs="Calibri"/>
                <w:b/>
                <w:sz w:val="20"/>
                <w:szCs w:val="20"/>
              </w:rPr>
            </w:pPr>
          </w:p>
        </w:tc>
        <w:tc>
          <w:tcPr>
            <w:tcW w:w="1340" w:type="dxa"/>
            <w:shd w:val="clear" w:color="auto" w:fill="A6A6A6" w:themeFill="background1" w:themeFillShade="A6"/>
            <w:vAlign w:val="center"/>
            <w:hideMark/>
          </w:tcPr>
          <w:p w14:paraId="658164C0" w14:textId="77777777" w:rsidR="006D148B" w:rsidRPr="00D554C7" w:rsidRDefault="006D148B" w:rsidP="00D554C7">
            <w:pPr>
              <w:spacing w:after="100" w:afterAutospacing="1" w:line="240" w:lineRule="auto"/>
              <w:jc w:val="center"/>
              <w:rPr>
                <w:rFonts w:ascii="Futura Std Condensed Light" w:eastAsia="Calibri" w:hAnsi="Futura Std Condensed Light" w:cs="Calibri"/>
                <w:b/>
                <w:sz w:val="20"/>
                <w:szCs w:val="20"/>
              </w:rPr>
            </w:pPr>
            <w:r w:rsidRPr="00D554C7">
              <w:rPr>
                <w:rFonts w:ascii="Futura Std Condensed Light" w:eastAsia="Calibri" w:hAnsi="Futura Std Condensed Light" w:cs="Calibri"/>
                <w:b/>
                <w:sz w:val="20"/>
                <w:szCs w:val="20"/>
              </w:rPr>
              <w:t>2018-2019</w:t>
            </w:r>
          </w:p>
        </w:tc>
        <w:tc>
          <w:tcPr>
            <w:tcW w:w="1340" w:type="dxa"/>
            <w:shd w:val="clear" w:color="auto" w:fill="A6A6A6" w:themeFill="background1" w:themeFillShade="A6"/>
            <w:vAlign w:val="center"/>
            <w:hideMark/>
          </w:tcPr>
          <w:p w14:paraId="30030A98" w14:textId="77777777" w:rsidR="006D148B" w:rsidRPr="00D554C7" w:rsidRDefault="006D148B" w:rsidP="00D554C7">
            <w:pPr>
              <w:spacing w:after="100" w:afterAutospacing="1" w:line="240" w:lineRule="auto"/>
              <w:jc w:val="center"/>
              <w:rPr>
                <w:rFonts w:ascii="Futura Std Condensed Light" w:eastAsia="Calibri" w:hAnsi="Futura Std Condensed Light" w:cs="Calibri"/>
                <w:b/>
                <w:sz w:val="20"/>
                <w:szCs w:val="20"/>
              </w:rPr>
            </w:pPr>
            <w:r w:rsidRPr="00D554C7">
              <w:rPr>
                <w:rFonts w:ascii="Futura Std Condensed Light" w:eastAsia="Calibri" w:hAnsi="Futura Std Condensed Light" w:cs="Calibri"/>
                <w:b/>
                <w:sz w:val="20"/>
                <w:szCs w:val="20"/>
              </w:rPr>
              <w:t>2019-2020</w:t>
            </w:r>
          </w:p>
        </w:tc>
        <w:tc>
          <w:tcPr>
            <w:tcW w:w="1251" w:type="dxa"/>
            <w:shd w:val="clear" w:color="auto" w:fill="A6A6A6" w:themeFill="background1" w:themeFillShade="A6"/>
            <w:vAlign w:val="center"/>
            <w:hideMark/>
          </w:tcPr>
          <w:p w14:paraId="7FBA31D2" w14:textId="77777777" w:rsidR="006D148B" w:rsidRPr="00D554C7" w:rsidRDefault="006D148B" w:rsidP="00D554C7">
            <w:pPr>
              <w:spacing w:after="100" w:afterAutospacing="1" w:line="240" w:lineRule="auto"/>
              <w:jc w:val="center"/>
              <w:rPr>
                <w:rFonts w:ascii="Futura Std Condensed Light" w:eastAsia="Calibri" w:hAnsi="Futura Std Condensed Light" w:cs="Calibri"/>
                <w:b/>
                <w:sz w:val="20"/>
                <w:szCs w:val="20"/>
              </w:rPr>
            </w:pPr>
            <w:r w:rsidRPr="00D554C7">
              <w:rPr>
                <w:rFonts w:ascii="Futura Std Condensed Light" w:eastAsia="Calibri" w:hAnsi="Futura Std Condensed Light" w:cs="Calibri"/>
                <w:b/>
                <w:sz w:val="20"/>
                <w:szCs w:val="20"/>
              </w:rPr>
              <w:t>2019-2020</w:t>
            </w:r>
          </w:p>
        </w:tc>
      </w:tr>
      <w:tr w:rsidR="006D148B" w:rsidRPr="006119DB" w14:paraId="31A62130" w14:textId="77777777" w:rsidTr="008E112B">
        <w:trPr>
          <w:trHeight w:val="402"/>
          <w:jc w:val="center"/>
        </w:trPr>
        <w:tc>
          <w:tcPr>
            <w:tcW w:w="2055" w:type="dxa"/>
            <w:shd w:val="clear" w:color="auto" w:fill="auto"/>
            <w:noWrap/>
            <w:vAlign w:val="center"/>
            <w:hideMark/>
          </w:tcPr>
          <w:p w14:paraId="628323CC" w14:textId="77777777" w:rsidR="006D148B" w:rsidRPr="00D554C7" w:rsidRDefault="006D148B" w:rsidP="00D554C7">
            <w:pPr>
              <w:spacing w:after="100" w:afterAutospacing="1" w:line="240" w:lineRule="auto"/>
              <w:jc w:val="center"/>
              <w:rPr>
                <w:rFonts w:ascii="Futura Std Condensed Light" w:eastAsia="Calibri" w:hAnsi="Futura Std Condensed Light" w:cs="Calibri"/>
                <w:sz w:val="20"/>
                <w:szCs w:val="20"/>
              </w:rPr>
            </w:pPr>
            <w:r w:rsidRPr="00D554C7">
              <w:rPr>
                <w:rFonts w:ascii="Futura Std Condensed Light" w:eastAsia="Calibri" w:hAnsi="Futura Std Condensed Light" w:cs="Calibri"/>
                <w:sz w:val="20"/>
                <w:szCs w:val="20"/>
              </w:rPr>
              <w:t>Absorción</w:t>
            </w:r>
          </w:p>
        </w:tc>
        <w:tc>
          <w:tcPr>
            <w:tcW w:w="1340" w:type="dxa"/>
            <w:shd w:val="clear" w:color="auto" w:fill="auto"/>
            <w:vAlign w:val="center"/>
            <w:hideMark/>
          </w:tcPr>
          <w:p w14:paraId="5C013441" w14:textId="77777777" w:rsidR="006D148B" w:rsidRPr="00D554C7" w:rsidRDefault="006D148B" w:rsidP="00D554C7">
            <w:pPr>
              <w:spacing w:after="100" w:afterAutospacing="1" w:line="240" w:lineRule="auto"/>
              <w:jc w:val="center"/>
              <w:rPr>
                <w:rFonts w:ascii="Futura Std Condensed Light" w:eastAsia="Calibri" w:hAnsi="Futura Std Condensed Light" w:cs="Calibri"/>
                <w:sz w:val="20"/>
                <w:szCs w:val="20"/>
              </w:rPr>
            </w:pPr>
            <w:r w:rsidRPr="00D554C7">
              <w:rPr>
                <w:rFonts w:ascii="Futura Std Condensed Light" w:eastAsia="Calibri" w:hAnsi="Futura Std Condensed Light" w:cs="Calibri"/>
                <w:sz w:val="20"/>
                <w:szCs w:val="20"/>
              </w:rPr>
              <w:t>101.5%</w:t>
            </w:r>
          </w:p>
        </w:tc>
        <w:tc>
          <w:tcPr>
            <w:tcW w:w="1340" w:type="dxa"/>
            <w:shd w:val="clear" w:color="auto" w:fill="auto"/>
            <w:vAlign w:val="center"/>
            <w:hideMark/>
          </w:tcPr>
          <w:p w14:paraId="353E9813" w14:textId="77777777" w:rsidR="006D148B" w:rsidRPr="00D554C7" w:rsidRDefault="006D148B" w:rsidP="00D554C7">
            <w:pPr>
              <w:spacing w:after="100" w:afterAutospacing="1" w:line="240" w:lineRule="auto"/>
              <w:jc w:val="center"/>
              <w:rPr>
                <w:rFonts w:ascii="Futura Std Condensed Light" w:eastAsia="Calibri" w:hAnsi="Futura Std Condensed Light" w:cs="Calibri"/>
                <w:sz w:val="20"/>
                <w:szCs w:val="20"/>
              </w:rPr>
            </w:pPr>
            <w:r w:rsidRPr="00D554C7">
              <w:rPr>
                <w:rFonts w:ascii="Futura Std Condensed Light" w:eastAsia="Calibri" w:hAnsi="Futura Std Condensed Light" w:cs="Calibri"/>
                <w:sz w:val="20"/>
                <w:szCs w:val="20"/>
              </w:rPr>
              <w:t>101.0%</w:t>
            </w:r>
          </w:p>
        </w:tc>
        <w:tc>
          <w:tcPr>
            <w:tcW w:w="1251" w:type="dxa"/>
            <w:shd w:val="clear" w:color="auto" w:fill="auto"/>
            <w:noWrap/>
            <w:vAlign w:val="center"/>
            <w:hideMark/>
          </w:tcPr>
          <w:p w14:paraId="3D5CF169" w14:textId="77777777" w:rsidR="006D148B" w:rsidRPr="00D554C7" w:rsidRDefault="006D148B" w:rsidP="00D554C7">
            <w:pPr>
              <w:spacing w:after="100" w:afterAutospacing="1" w:line="240" w:lineRule="auto"/>
              <w:jc w:val="center"/>
              <w:rPr>
                <w:rFonts w:ascii="Futura Std Condensed Light" w:eastAsia="Calibri" w:hAnsi="Futura Std Condensed Light" w:cs="Calibri"/>
                <w:sz w:val="20"/>
                <w:szCs w:val="20"/>
              </w:rPr>
            </w:pPr>
            <w:r w:rsidRPr="00D554C7">
              <w:rPr>
                <w:rFonts w:ascii="Futura Std Condensed Light" w:eastAsia="Calibri" w:hAnsi="Futura Std Condensed Light" w:cs="Calibri"/>
                <w:sz w:val="20"/>
                <w:szCs w:val="20"/>
              </w:rPr>
              <w:t>97.2%</w:t>
            </w:r>
          </w:p>
        </w:tc>
      </w:tr>
      <w:tr w:rsidR="006D148B" w:rsidRPr="006119DB" w14:paraId="5F761193" w14:textId="77777777" w:rsidTr="004378A8">
        <w:trPr>
          <w:trHeight w:val="402"/>
          <w:jc w:val="center"/>
        </w:trPr>
        <w:tc>
          <w:tcPr>
            <w:tcW w:w="2055" w:type="dxa"/>
            <w:vMerge w:val="restart"/>
            <w:shd w:val="clear" w:color="auto" w:fill="A6A6A6" w:themeFill="background1" w:themeFillShade="A6"/>
            <w:vAlign w:val="center"/>
            <w:hideMark/>
          </w:tcPr>
          <w:p w14:paraId="4D53F252" w14:textId="77777777" w:rsidR="006D148B" w:rsidRPr="00D554C7" w:rsidRDefault="006D148B" w:rsidP="00D554C7">
            <w:pPr>
              <w:spacing w:after="100" w:afterAutospacing="1" w:line="240" w:lineRule="auto"/>
              <w:jc w:val="center"/>
              <w:rPr>
                <w:rFonts w:ascii="Futura Std Condensed Light" w:eastAsia="Calibri" w:hAnsi="Futura Std Condensed Light" w:cs="Calibri"/>
                <w:b/>
                <w:sz w:val="20"/>
                <w:szCs w:val="20"/>
              </w:rPr>
            </w:pPr>
            <w:r w:rsidRPr="00D554C7">
              <w:rPr>
                <w:rFonts w:ascii="Futura Std Condensed Light" w:eastAsia="Calibri" w:hAnsi="Futura Std Condensed Light" w:cs="Calibri"/>
                <w:b/>
                <w:sz w:val="20"/>
                <w:szCs w:val="20"/>
              </w:rPr>
              <w:t>Indicador</w:t>
            </w:r>
          </w:p>
        </w:tc>
        <w:tc>
          <w:tcPr>
            <w:tcW w:w="2680" w:type="dxa"/>
            <w:gridSpan w:val="2"/>
            <w:shd w:val="clear" w:color="auto" w:fill="A6A6A6" w:themeFill="background1" w:themeFillShade="A6"/>
            <w:noWrap/>
            <w:vAlign w:val="center"/>
            <w:hideMark/>
          </w:tcPr>
          <w:p w14:paraId="2884235C" w14:textId="77777777" w:rsidR="006D148B" w:rsidRPr="00D554C7" w:rsidRDefault="006D148B" w:rsidP="00D554C7">
            <w:pPr>
              <w:spacing w:after="100" w:afterAutospacing="1" w:line="240" w:lineRule="auto"/>
              <w:jc w:val="center"/>
              <w:rPr>
                <w:rFonts w:ascii="Futura Std Condensed Light" w:eastAsia="Calibri" w:hAnsi="Futura Std Condensed Light" w:cs="Calibri"/>
                <w:b/>
                <w:sz w:val="20"/>
                <w:szCs w:val="20"/>
              </w:rPr>
            </w:pPr>
            <w:r w:rsidRPr="00D554C7">
              <w:rPr>
                <w:rFonts w:ascii="Futura Std Condensed Light" w:eastAsia="Calibri" w:hAnsi="Futura Std Condensed Light" w:cs="Calibri"/>
                <w:b/>
                <w:sz w:val="20"/>
                <w:szCs w:val="20"/>
              </w:rPr>
              <w:t>Ciclo Escolar</w:t>
            </w:r>
          </w:p>
        </w:tc>
        <w:tc>
          <w:tcPr>
            <w:tcW w:w="1251" w:type="dxa"/>
            <w:shd w:val="clear" w:color="auto" w:fill="A6A6A6" w:themeFill="background1" w:themeFillShade="A6"/>
            <w:vAlign w:val="center"/>
            <w:hideMark/>
          </w:tcPr>
          <w:p w14:paraId="704D45A7" w14:textId="77777777" w:rsidR="006D148B" w:rsidRPr="00D554C7" w:rsidRDefault="006D148B" w:rsidP="00D554C7">
            <w:pPr>
              <w:spacing w:after="100" w:afterAutospacing="1" w:line="240" w:lineRule="auto"/>
              <w:jc w:val="center"/>
              <w:rPr>
                <w:rFonts w:ascii="Futura Std Condensed Light" w:eastAsia="Calibri" w:hAnsi="Futura Std Condensed Light" w:cs="Calibri"/>
                <w:b/>
                <w:sz w:val="20"/>
                <w:szCs w:val="20"/>
              </w:rPr>
            </w:pPr>
            <w:r w:rsidRPr="00D554C7">
              <w:rPr>
                <w:rFonts w:ascii="Futura Std Condensed Light" w:eastAsia="Calibri" w:hAnsi="Futura Std Condensed Light" w:cs="Calibri"/>
                <w:b/>
                <w:sz w:val="20"/>
                <w:szCs w:val="20"/>
              </w:rPr>
              <w:t xml:space="preserve">*Nacional </w:t>
            </w:r>
          </w:p>
        </w:tc>
      </w:tr>
      <w:tr w:rsidR="006D148B" w:rsidRPr="006119DB" w14:paraId="14DF95A1" w14:textId="77777777" w:rsidTr="004378A8">
        <w:trPr>
          <w:trHeight w:val="402"/>
          <w:jc w:val="center"/>
        </w:trPr>
        <w:tc>
          <w:tcPr>
            <w:tcW w:w="2055" w:type="dxa"/>
            <w:vMerge/>
            <w:shd w:val="clear" w:color="auto" w:fill="A6A6A6" w:themeFill="background1" w:themeFillShade="A6"/>
            <w:vAlign w:val="center"/>
            <w:hideMark/>
          </w:tcPr>
          <w:p w14:paraId="4F8D229F" w14:textId="77777777" w:rsidR="006D148B" w:rsidRPr="00D554C7" w:rsidRDefault="006D148B" w:rsidP="00D554C7">
            <w:pPr>
              <w:spacing w:after="100" w:afterAutospacing="1" w:line="240" w:lineRule="auto"/>
              <w:jc w:val="center"/>
              <w:rPr>
                <w:rFonts w:ascii="Futura Std Condensed Light" w:eastAsia="Calibri" w:hAnsi="Futura Std Condensed Light" w:cs="Calibri"/>
                <w:b/>
                <w:sz w:val="20"/>
                <w:szCs w:val="20"/>
              </w:rPr>
            </w:pPr>
          </w:p>
        </w:tc>
        <w:tc>
          <w:tcPr>
            <w:tcW w:w="1340" w:type="dxa"/>
            <w:shd w:val="clear" w:color="auto" w:fill="A6A6A6" w:themeFill="background1" w:themeFillShade="A6"/>
            <w:vAlign w:val="center"/>
            <w:hideMark/>
          </w:tcPr>
          <w:p w14:paraId="74760F04" w14:textId="77777777" w:rsidR="006D148B" w:rsidRPr="00D554C7" w:rsidRDefault="006D148B" w:rsidP="00D554C7">
            <w:pPr>
              <w:spacing w:after="100" w:afterAutospacing="1" w:line="240" w:lineRule="auto"/>
              <w:jc w:val="center"/>
              <w:rPr>
                <w:rFonts w:ascii="Futura Std Condensed Light" w:eastAsia="Calibri" w:hAnsi="Futura Std Condensed Light" w:cs="Calibri"/>
                <w:b/>
                <w:sz w:val="20"/>
                <w:szCs w:val="20"/>
              </w:rPr>
            </w:pPr>
            <w:r w:rsidRPr="00D554C7">
              <w:rPr>
                <w:rFonts w:ascii="Futura Std Condensed Light" w:eastAsia="Calibri" w:hAnsi="Futura Std Condensed Light" w:cs="Calibri"/>
                <w:b/>
                <w:sz w:val="20"/>
                <w:szCs w:val="20"/>
              </w:rPr>
              <w:t>2017-2018</w:t>
            </w:r>
          </w:p>
        </w:tc>
        <w:tc>
          <w:tcPr>
            <w:tcW w:w="1340" w:type="dxa"/>
            <w:shd w:val="clear" w:color="auto" w:fill="A6A6A6" w:themeFill="background1" w:themeFillShade="A6"/>
            <w:vAlign w:val="center"/>
            <w:hideMark/>
          </w:tcPr>
          <w:p w14:paraId="702B03D0" w14:textId="77777777" w:rsidR="006D148B" w:rsidRPr="00D554C7" w:rsidRDefault="006D148B" w:rsidP="00D554C7">
            <w:pPr>
              <w:spacing w:after="100" w:afterAutospacing="1" w:line="240" w:lineRule="auto"/>
              <w:jc w:val="center"/>
              <w:rPr>
                <w:rFonts w:ascii="Futura Std Condensed Light" w:eastAsia="Calibri" w:hAnsi="Futura Std Condensed Light" w:cs="Calibri"/>
                <w:b/>
                <w:sz w:val="20"/>
                <w:szCs w:val="20"/>
              </w:rPr>
            </w:pPr>
            <w:r w:rsidRPr="00D554C7">
              <w:rPr>
                <w:rFonts w:ascii="Futura Std Condensed Light" w:eastAsia="Calibri" w:hAnsi="Futura Std Condensed Light" w:cs="Calibri"/>
                <w:b/>
                <w:sz w:val="20"/>
                <w:szCs w:val="20"/>
              </w:rPr>
              <w:t>2018-2019</w:t>
            </w:r>
          </w:p>
        </w:tc>
        <w:tc>
          <w:tcPr>
            <w:tcW w:w="1251" w:type="dxa"/>
            <w:shd w:val="clear" w:color="auto" w:fill="A6A6A6" w:themeFill="background1" w:themeFillShade="A6"/>
            <w:vAlign w:val="center"/>
            <w:hideMark/>
          </w:tcPr>
          <w:p w14:paraId="3D3E2A0A" w14:textId="77777777" w:rsidR="006D148B" w:rsidRPr="00D554C7" w:rsidRDefault="006D148B" w:rsidP="00D554C7">
            <w:pPr>
              <w:spacing w:after="100" w:afterAutospacing="1" w:line="240" w:lineRule="auto"/>
              <w:jc w:val="center"/>
              <w:rPr>
                <w:rFonts w:ascii="Futura Std Condensed Light" w:eastAsia="Calibri" w:hAnsi="Futura Std Condensed Light" w:cs="Calibri"/>
                <w:b/>
                <w:sz w:val="20"/>
                <w:szCs w:val="20"/>
              </w:rPr>
            </w:pPr>
            <w:r w:rsidRPr="00D554C7">
              <w:rPr>
                <w:rFonts w:ascii="Futura Std Condensed Light" w:eastAsia="Calibri" w:hAnsi="Futura Std Condensed Light" w:cs="Calibri"/>
                <w:b/>
                <w:sz w:val="20"/>
                <w:szCs w:val="20"/>
              </w:rPr>
              <w:t>2018-2019</w:t>
            </w:r>
          </w:p>
        </w:tc>
      </w:tr>
      <w:tr w:rsidR="006D148B" w:rsidRPr="006119DB" w14:paraId="3CA15D53" w14:textId="77777777" w:rsidTr="004378A8">
        <w:trPr>
          <w:trHeight w:val="402"/>
          <w:jc w:val="center"/>
        </w:trPr>
        <w:tc>
          <w:tcPr>
            <w:tcW w:w="2055" w:type="dxa"/>
            <w:shd w:val="clear" w:color="auto" w:fill="auto"/>
            <w:noWrap/>
            <w:vAlign w:val="center"/>
            <w:hideMark/>
          </w:tcPr>
          <w:p w14:paraId="607C0CB7" w14:textId="77777777" w:rsidR="006D148B" w:rsidRPr="00D554C7" w:rsidRDefault="006D148B" w:rsidP="00D554C7">
            <w:pPr>
              <w:spacing w:after="100" w:afterAutospacing="1" w:line="240" w:lineRule="auto"/>
              <w:jc w:val="center"/>
              <w:rPr>
                <w:rFonts w:ascii="Futura Std Condensed Light" w:eastAsia="Calibri" w:hAnsi="Futura Std Condensed Light" w:cs="Calibri"/>
                <w:sz w:val="20"/>
                <w:szCs w:val="20"/>
              </w:rPr>
            </w:pPr>
            <w:r w:rsidRPr="00D554C7">
              <w:rPr>
                <w:rFonts w:ascii="Futura Std Condensed Light" w:eastAsia="Calibri" w:hAnsi="Futura Std Condensed Light" w:cs="Calibri"/>
                <w:sz w:val="20"/>
                <w:szCs w:val="20"/>
              </w:rPr>
              <w:t>Abandono Escolar</w:t>
            </w:r>
          </w:p>
        </w:tc>
        <w:tc>
          <w:tcPr>
            <w:tcW w:w="1340" w:type="dxa"/>
            <w:shd w:val="clear" w:color="auto" w:fill="auto"/>
            <w:vAlign w:val="center"/>
            <w:hideMark/>
          </w:tcPr>
          <w:p w14:paraId="1200B069" w14:textId="77777777" w:rsidR="006D148B" w:rsidRPr="00D554C7" w:rsidRDefault="006D148B" w:rsidP="00D554C7">
            <w:pPr>
              <w:spacing w:after="100" w:afterAutospacing="1" w:line="240" w:lineRule="auto"/>
              <w:jc w:val="center"/>
              <w:rPr>
                <w:rFonts w:ascii="Futura Std Condensed Light" w:eastAsia="Calibri" w:hAnsi="Futura Std Condensed Light" w:cs="Calibri"/>
                <w:sz w:val="20"/>
                <w:szCs w:val="20"/>
              </w:rPr>
            </w:pPr>
            <w:r w:rsidRPr="00D554C7">
              <w:rPr>
                <w:rFonts w:ascii="Futura Std Condensed Light" w:eastAsia="Calibri" w:hAnsi="Futura Std Condensed Light" w:cs="Calibri"/>
                <w:sz w:val="20"/>
                <w:szCs w:val="20"/>
              </w:rPr>
              <w:t>4.2%</w:t>
            </w:r>
          </w:p>
        </w:tc>
        <w:tc>
          <w:tcPr>
            <w:tcW w:w="1340" w:type="dxa"/>
            <w:shd w:val="clear" w:color="auto" w:fill="auto"/>
            <w:vAlign w:val="center"/>
            <w:hideMark/>
          </w:tcPr>
          <w:p w14:paraId="3F7C5D26" w14:textId="77777777" w:rsidR="006D148B" w:rsidRPr="00D554C7" w:rsidRDefault="006D148B" w:rsidP="00D554C7">
            <w:pPr>
              <w:spacing w:after="100" w:afterAutospacing="1" w:line="240" w:lineRule="auto"/>
              <w:jc w:val="center"/>
              <w:rPr>
                <w:rFonts w:ascii="Futura Std Condensed Light" w:eastAsia="Calibri" w:hAnsi="Futura Std Condensed Light" w:cs="Calibri"/>
                <w:sz w:val="20"/>
                <w:szCs w:val="20"/>
              </w:rPr>
            </w:pPr>
            <w:r w:rsidRPr="00D554C7">
              <w:rPr>
                <w:rFonts w:ascii="Futura Std Condensed Light" w:eastAsia="Calibri" w:hAnsi="Futura Std Condensed Light" w:cs="Calibri"/>
                <w:sz w:val="20"/>
                <w:szCs w:val="20"/>
              </w:rPr>
              <w:t>4.0%</w:t>
            </w:r>
          </w:p>
        </w:tc>
        <w:tc>
          <w:tcPr>
            <w:tcW w:w="1251" w:type="dxa"/>
            <w:shd w:val="clear" w:color="auto" w:fill="auto"/>
            <w:noWrap/>
            <w:vAlign w:val="center"/>
            <w:hideMark/>
          </w:tcPr>
          <w:p w14:paraId="210E4CB4" w14:textId="77777777" w:rsidR="006D148B" w:rsidRPr="00D554C7" w:rsidRDefault="006D148B" w:rsidP="00D554C7">
            <w:pPr>
              <w:spacing w:after="100" w:afterAutospacing="1" w:line="240" w:lineRule="auto"/>
              <w:jc w:val="center"/>
              <w:rPr>
                <w:rFonts w:ascii="Futura Std Condensed Light" w:eastAsia="Calibri" w:hAnsi="Futura Std Condensed Light" w:cs="Calibri"/>
                <w:sz w:val="20"/>
                <w:szCs w:val="20"/>
              </w:rPr>
            </w:pPr>
            <w:r w:rsidRPr="00D554C7">
              <w:rPr>
                <w:rFonts w:ascii="Futura Std Condensed Light" w:eastAsia="Calibri" w:hAnsi="Futura Std Condensed Light" w:cs="Calibri"/>
                <w:sz w:val="20"/>
                <w:szCs w:val="20"/>
              </w:rPr>
              <w:t>4.4%</w:t>
            </w:r>
          </w:p>
        </w:tc>
      </w:tr>
      <w:tr w:rsidR="006D148B" w:rsidRPr="006119DB" w14:paraId="0A20CBFE" w14:textId="77777777" w:rsidTr="004378A8">
        <w:trPr>
          <w:trHeight w:val="402"/>
          <w:jc w:val="center"/>
        </w:trPr>
        <w:tc>
          <w:tcPr>
            <w:tcW w:w="2055" w:type="dxa"/>
            <w:shd w:val="clear" w:color="auto" w:fill="auto"/>
            <w:noWrap/>
            <w:vAlign w:val="center"/>
            <w:hideMark/>
          </w:tcPr>
          <w:p w14:paraId="1585FB04" w14:textId="77777777" w:rsidR="006D148B" w:rsidRPr="00D554C7" w:rsidRDefault="006D148B" w:rsidP="00D554C7">
            <w:pPr>
              <w:spacing w:after="100" w:afterAutospacing="1" w:line="240" w:lineRule="auto"/>
              <w:jc w:val="center"/>
              <w:rPr>
                <w:rFonts w:ascii="Futura Std Condensed Light" w:eastAsia="Calibri" w:hAnsi="Futura Std Condensed Light" w:cs="Calibri"/>
                <w:sz w:val="20"/>
                <w:szCs w:val="20"/>
              </w:rPr>
            </w:pPr>
            <w:r w:rsidRPr="00D554C7">
              <w:rPr>
                <w:rFonts w:ascii="Futura Std Condensed Light" w:eastAsia="Calibri" w:hAnsi="Futura Std Condensed Light" w:cs="Calibri"/>
                <w:sz w:val="20"/>
                <w:szCs w:val="20"/>
              </w:rPr>
              <w:t>Reprobación /a</w:t>
            </w:r>
          </w:p>
        </w:tc>
        <w:tc>
          <w:tcPr>
            <w:tcW w:w="1340" w:type="dxa"/>
            <w:shd w:val="clear" w:color="auto" w:fill="auto"/>
            <w:vAlign w:val="center"/>
            <w:hideMark/>
          </w:tcPr>
          <w:p w14:paraId="4FFB9554" w14:textId="77777777" w:rsidR="006D148B" w:rsidRPr="00D554C7" w:rsidRDefault="006D148B" w:rsidP="00D554C7">
            <w:pPr>
              <w:spacing w:after="100" w:afterAutospacing="1" w:line="240" w:lineRule="auto"/>
              <w:jc w:val="center"/>
              <w:rPr>
                <w:rFonts w:ascii="Futura Std Condensed Light" w:eastAsia="Calibri" w:hAnsi="Futura Std Condensed Light" w:cs="Calibri"/>
                <w:sz w:val="20"/>
                <w:szCs w:val="20"/>
              </w:rPr>
            </w:pPr>
            <w:r w:rsidRPr="00D554C7">
              <w:rPr>
                <w:rFonts w:ascii="Futura Std Condensed Light" w:eastAsia="Calibri" w:hAnsi="Futura Std Condensed Light" w:cs="Calibri"/>
                <w:sz w:val="20"/>
                <w:szCs w:val="20"/>
              </w:rPr>
              <w:t>7.3%</w:t>
            </w:r>
          </w:p>
        </w:tc>
        <w:tc>
          <w:tcPr>
            <w:tcW w:w="1340" w:type="dxa"/>
            <w:shd w:val="clear" w:color="auto" w:fill="auto"/>
            <w:vAlign w:val="center"/>
            <w:hideMark/>
          </w:tcPr>
          <w:p w14:paraId="019C9F4C" w14:textId="77777777" w:rsidR="006D148B" w:rsidRPr="00D554C7" w:rsidRDefault="006D148B" w:rsidP="00D554C7">
            <w:pPr>
              <w:spacing w:after="100" w:afterAutospacing="1" w:line="240" w:lineRule="auto"/>
              <w:jc w:val="center"/>
              <w:rPr>
                <w:rFonts w:ascii="Futura Std Condensed Light" w:eastAsia="Calibri" w:hAnsi="Futura Std Condensed Light" w:cs="Calibri"/>
                <w:sz w:val="20"/>
                <w:szCs w:val="20"/>
              </w:rPr>
            </w:pPr>
            <w:r w:rsidRPr="00D554C7">
              <w:rPr>
                <w:rFonts w:ascii="Futura Std Condensed Light" w:eastAsia="Calibri" w:hAnsi="Futura Std Condensed Light" w:cs="Calibri"/>
                <w:sz w:val="20"/>
                <w:szCs w:val="20"/>
              </w:rPr>
              <w:t>7.4%</w:t>
            </w:r>
          </w:p>
        </w:tc>
        <w:tc>
          <w:tcPr>
            <w:tcW w:w="1251" w:type="dxa"/>
            <w:shd w:val="clear" w:color="auto" w:fill="auto"/>
            <w:noWrap/>
            <w:vAlign w:val="center"/>
            <w:hideMark/>
          </w:tcPr>
          <w:p w14:paraId="7097C9AC" w14:textId="77777777" w:rsidR="006D148B" w:rsidRPr="00D554C7" w:rsidRDefault="006D148B" w:rsidP="00D554C7">
            <w:pPr>
              <w:spacing w:after="100" w:afterAutospacing="1" w:line="240" w:lineRule="auto"/>
              <w:jc w:val="center"/>
              <w:rPr>
                <w:rFonts w:ascii="Futura Std Condensed Light" w:eastAsia="Calibri" w:hAnsi="Futura Std Condensed Light" w:cs="Calibri"/>
                <w:sz w:val="20"/>
                <w:szCs w:val="20"/>
              </w:rPr>
            </w:pPr>
            <w:r w:rsidRPr="00D554C7">
              <w:rPr>
                <w:rFonts w:ascii="Futura Std Condensed Light" w:eastAsia="Calibri" w:hAnsi="Futura Std Condensed Light" w:cs="Calibri"/>
                <w:sz w:val="20"/>
                <w:szCs w:val="20"/>
              </w:rPr>
              <w:t>5.1%</w:t>
            </w:r>
          </w:p>
        </w:tc>
      </w:tr>
      <w:tr w:rsidR="006D148B" w:rsidRPr="006119DB" w14:paraId="19E938C4" w14:textId="77777777" w:rsidTr="004378A8">
        <w:trPr>
          <w:trHeight w:val="402"/>
          <w:jc w:val="center"/>
        </w:trPr>
        <w:tc>
          <w:tcPr>
            <w:tcW w:w="2055" w:type="dxa"/>
            <w:shd w:val="clear" w:color="auto" w:fill="auto"/>
            <w:noWrap/>
            <w:vAlign w:val="center"/>
            <w:hideMark/>
          </w:tcPr>
          <w:p w14:paraId="273E7BB5" w14:textId="77777777" w:rsidR="006D148B" w:rsidRPr="00D554C7" w:rsidRDefault="006D148B" w:rsidP="00D554C7">
            <w:pPr>
              <w:spacing w:after="100" w:afterAutospacing="1" w:line="240" w:lineRule="auto"/>
              <w:jc w:val="center"/>
              <w:rPr>
                <w:rFonts w:ascii="Futura Std Condensed Light" w:eastAsia="Calibri" w:hAnsi="Futura Std Condensed Light" w:cs="Calibri"/>
                <w:sz w:val="20"/>
                <w:szCs w:val="20"/>
              </w:rPr>
            </w:pPr>
            <w:r w:rsidRPr="00D554C7">
              <w:rPr>
                <w:rFonts w:ascii="Futura Std Condensed Light" w:eastAsia="Calibri" w:hAnsi="Futura Std Condensed Light" w:cs="Calibri"/>
                <w:sz w:val="20"/>
                <w:szCs w:val="20"/>
              </w:rPr>
              <w:t>Eficiencia terminal</w:t>
            </w:r>
          </w:p>
        </w:tc>
        <w:tc>
          <w:tcPr>
            <w:tcW w:w="1340" w:type="dxa"/>
            <w:shd w:val="clear" w:color="auto" w:fill="auto"/>
            <w:vAlign w:val="center"/>
            <w:hideMark/>
          </w:tcPr>
          <w:p w14:paraId="231C9D95" w14:textId="77777777" w:rsidR="006D148B" w:rsidRPr="00D554C7" w:rsidRDefault="006D148B" w:rsidP="00D554C7">
            <w:pPr>
              <w:spacing w:after="100" w:afterAutospacing="1" w:line="240" w:lineRule="auto"/>
              <w:jc w:val="center"/>
              <w:rPr>
                <w:rFonts w:ascii="Futura Std Condensed Light" w:eastAsia="Calibri" w:hAnsi="Futura Std Condensed Light" w:cs="Calibri"/>
                <w:sz w:val="20"/>
                <w:szCs w:val="20"/>
              </w:rPr>
            </w:pPr>
            <w:r w:rsidRPr="00D554C7">
              <w:rPr>
                <w:rFonts w:ascii="Futura Std Condensed Light" w:eastAsia="Calibri" w:hAnsi="Futura Std Condensed Light" w:cs="Calibri"/>
                <w:sz w:val="20"/>
                <w:szCs w:val="20"/>
              </w:rPr>
              <w:t>86.9%</w:t>
            </w:r>
          </w:p>
        </w:tc>
        <w:tc>
          <w:tcPr>
            <w:tcW w:w="1340" w:type="dxa"/>
            <w:shd w:val="clear" w:color="auto" w:fill="auto"/>
            <w:vAlign w:val="center"/>
            <w:hideMark/>
          </w:tcPr>
          <w:p w14:paraId="1BD613E7" w14:textId="77777777" w:rsidR="006D148B" w:rsidRPr="00D554C7" w:rsidRDefault="006D148B" w:rsidP="00D554C7">
            <w:pPr>
              <w:spacing w:after="100" w:afterAutospacing="1" w:line="240" w:lineRule="auto"/>
              <w:jc w:val="center"/>
              <w:rPr>
                <w:rFonts w:ascii="Futura Std Condensed Light" w:eastAsia="Calibri" w:hAnsi="Futura Std Condensed Light" w:cs="Calibri"/>
                <w:sz w:val="20"/>
                <w:szCs w:val="20"/>
              </w:rPr>
            </w:pPr>
            <w:r w:rsidRPr="00D554C7">
              <w:rPr>
                <w:rFonts w:ascii="Futura Std Condensed Light" w:eastAsia="Calibri" w:hAnsi="Futura Std Condensed Light" w:cs="Calibri"/>
                <w:sz w:val="20"/>
                <w:szCs w:val="20"/>
              </w:rPr>
              <w:t>87.8%</w:t>
            </w:r>
          </w:p>
        </w:tc>
        <w:tc>
          <w:tcPr>
            <w:tcW w:w="1251" w:type="dxa"/>
            <w:shd w:val="clear" w:color="auto" w:fill="auto"/>
            <w:noWrap/>
            <w:vAlign w:val="center"/>
            <w:hideMark/>
          </w:tcPr>
          <w:p w14:paraId="7EC65649" w14:textId="77777777" w:rsidR="006D148B" w:rsidRPr="00D554C7" w:rsidRDefault="006D148B" w:rsidP="00D554C7">
            <w:pPr>
              <w:spacing w:after="100" w:afterAutospacing="1" w:line="240" w:lineRule="auto"/>
              <w:jc w:val="center"/>
              <w:rPr>
                <w:rFonts w:ascii="Futura Std Condensed Light" w:eastAsia="Calibri" w:hAnsi="Futura Std Condensed Light" w:cs="Calibri"/>
                <w:sz w:val="20"/>
                <w:szCs w:val="20"/>
              </w:rPr>
            </w:pPr>
            <w:r w:rsidRPr="00D554C7">
              <w:rPr>
                <w:rFonts w:ascii="Futura Std Condensed Light" w:eastAsia="Calibri" w:hAnsi="Futura Std Condensed Light" w:cs="Calibri"/>
                <w:sz w:val="20"/>
                <w:szCs w:val="20"/>
              </w:rPr>
              <w:t>86.7%</w:t>
            </w:r>
          </w:p>
        </w:tc>
      </w:tr>
    </w:tbl>
    <w:p w14:paraId="23336FA0" w14:textId="77777777" w:rsidR="006D148B" w:rsidRDefault="006D148B" w:rsidP="006D148B">
      <w:pPr>
        <w:spacing w:after="0"/>
        <w:rPr>
          <w:rFonts w:ascii="Futura Bk BT" w:hAnsi="Futura Bk BT"/>
        </w:rPr>
      </w:pPr>
    </w:p>
    <w:p w14:paraId="074E1E5A" w14:textId="77777777" w:rsidR="006D148B" w:rsidRPr="008248F3" w:rsidRDefault="006D148B" w:rsidP="006D148B">
      <w:pPr>
        <w:spacing w:after="0"/>
        <w:rPr>
          <w:rFonts w:ascii="Futura Bk BT" w:hAnsi="Futura Bk BT"/>
          <w:sz w:val="16"/>
          <w:szCs w:val="16"/>
        </w:rPr>
      </w:pPr>
      <w:r w:rsidRPr="008248F3">
        <w:rPr>
          <w:rFonts w:ascii="Futura Bk BT" w:hAnsi="Futura Bk BT"/>
          <w:b/>
          <w:sz w:val="16"/>
          <w:szCs w:val="16"/>
        </w:rPr>
        <w:t>Fuente:</w:t>
      </w:r>
      <w:r w:rsidRPr="008248F3">
        <w:rPr>
          <w:rFonts w:ascii="Futura Bk BT" w:hAnsi="Futura Bk BT"/>
          <w:sz w:val="16"/>
          <w:szCs w:val="16"/>
        </w:rPr>
        <w:t xml:space="preserve"> Indicadores de Educación Básica del Departamento de Estadística</w:t>
      </w:r>
      <w:r>
        <w:rPr>
          <w:rFonts w:ascii="Futura Bk BT" w:hAnsi="Futura Bk BT"/>
          <w:sz w:val="16"/>
          <w:szCs w:val="16"/>
        </w:rPr>
        <w:t>, ciclo escolar 2017-2018, 2018-2019 y 2019-2020, SEQ.</w:t>
      </w:r>
      <w:r w:rsidRPr="008248F3">
        <w:rPr>
          <w:rFonts w:ascii="Futura Bk BT" w:hAnsi="Futura Bk BT"/>
          <w:sz w:val="16"/>
          <w:szCs w:val="16"/>
        </w:rPr>
        <w:t xml:space="preserve"> *Reporte de Indicadores educativos versión </w:t>
      </w:r>
      <w:r>
        <w:rPr>
          <w:rFonts w:ascii="Futura Bk BT" w:hAnsi="Futura Bk BT"/>
          <w:sz w:val="16"/>
          <w:szCs w:val="16"/>
        </w:rPr>
        <w:t xml:space="preserve">septiembre </w:t>
      </w:r>
      <w:r w:rsidRPr="008248F3">
        <w:rPr>
          <w:rFonts w:ascii="Futura Bk BT" w:hAnsi="Futura Bk BT"/>
          <w:sz w:val="16"/>
          <w:szCs w:val="16"/>
        </w:rPr>
        <w:t>201</w:t>
      </w:r>
      <w:r>
        <w:rPr>
          <w:rFonts w:ascii="Futura Bk BT" w:hAnsi="Futura Bk BT"/>
          <w:sz w:val="16"/>
          <w:szCs w:val="16"/>
        </w:rPr>
        <w:t>9</w:t>
      </w:r>
      <w:r w:rsidRPr="008248F3">
        <w:rPr>
          <w:rFonts w:ascii="Futura Bk BT" w:hAnsi="Futura Bk BT"/>
          <w:sz w:val="16"/>
          <w:szCs w:val="16"/>
        </w:rPr>
        <w:t>, SE</w:t>
      </w:r>
      <w:r>
        <w:rPr>
          <w:rFonts w:ascii="Futura Bk BT" w:hAnsi="Futura Bk BT"/>
          <w:sz w:val="16"/>
          <w:szCs w:val="16"/>
        </w:rPr>
        <w:t>P.</w:t>
      </w:r>
    </w:p>
    <w:p w14:paraId="5AEF1246" w14:textId="77777777" w:rsidR="006D148B" w:rsidRDefault="006D148B" w:rsidP="006D148B">
      <w:pPr>
        <w:spacing w:after="0"/>
        <w:rPr>
          <w:rFonts w:ascii="Futura Bk BT" w:hAnsi="Futura Bk BT"/>
          <w:sz w:val="16"/>
          <w:szCs w:val="16"/>
        </w:rPr>
      </w:pPr>
      <w:r w:rsidRPr="00651D17">
        <w:rPr>
          <w:rFonts w:ascii="Futura Bk BT" w:hAnsi="Futura Bk BT"/>
          <w:sz w:val="16"/>
          <w:szCs w:val="16"/>
        </w:rPr>
        <w:t>/a:</w:t>
      </w:r>
      <w:r>
        <w:rPr>
          <w:rFonts w:ascii="Futura Bk BT" w:hAnsi="Futura Bk BT"/>
          <w:sz w:val="16"/>
          <w:szCs w:val="16"/>
        </w:rPr>
        <w:t xml:space="preserve"> Para el cálculo del indicador de reprobación se toma en cuenta a los alumnos regularizados.</w:t>
      </w:r>
    </w:p>
    <w:p w14:paraId="209CEE62" w14:textId="77777777" w:rsidR="006D148B" w:rsidRDefault="006D148B" w:rsidP="006D148B">
      <w:pPr>
        <w:spacing w:after="0"/>
        <w:rPr>
          <w:rFonts w:ascii="Futura Bk BT" w:hAnsi="Futura Bk BT"/>
          <w:sz w:val="16"/>
          <w:szCs w:val="16"/>
        </w:rPr>
      </w:pPr>
    </w:p>
    <w:p w14:paraId="3F71EF1B" w14:textId="77777777" w:rsidR="006D148B" w:rsidRDefault="006D148B" w:rsidP="006D148B">
      <w:pPr>
        <w:spacing w:after="0"/>
        <w:rPr>
          <w:rFonts w:ascii="Futura Bk BT" w:hAnsi="Futura Bk BT"/>
          <w:sz w:val="16"/>
          <w:szCs w:val="16"/>
        </w:rPr>
      </w:pPr>
    </w:p>
    <w:p w14:paraId="10EEBFEB" w14:textId="77777777" w:rsidR="006D148B" w:rsidRPr="008B4469" w:rsidRDefault="006D148B" w:rsidP="006D148B">
      <w:pPr>
        <w:spacing w:after="160" w:line="259" w:lineRule="auto"/>
        <w:jc w:val="left"/>
        <w:rPr>
          <w:rFonts w:eastAsia="Times New Roman" w:cs="Futura"/>
          <w:b/>
        </w:rPr>
      </w:pPr>
      <w:r w:rsidRPr="008B4469">
        <w:rPr>
          <w:rFonts w:eastAsia="Times New Roman" w:cs="Futura"/>
          <w:b/>
        </w:rPr>
        <w:t>Resultados del Plan Nacional para las Evaluaciones de los Aprendizajes (PLANEA), en secundaria.</w:t>
      </w:r>
    </w:p>
    <w:p w14:paraId="2A1E349B" w14:textId="77777777" w:rsidR="006D148B" w:rsidRPr="008B4469" w:rsidRDefault="006D148B" w:rsidP="0043125A">
      <w:pPr>
        <w:rPr>
          <w:rFonts w:eastAsia="Times New Roman" w:cs="Futura"/>
        </w:rPr>
      </w:pPr>
      <w:r w:rsidRPr="008B4469">
        <w:rPr>
          <w:rFonts w:eastAsia="Times New Roman" w:cs="Futura"/>
        </w:rPr>
        <w:t xml:space="preserve">La prueba PLANEA en 2019, evaluó en lenguaje y comunicación a 12 mil 914 alumnos de tercer grado de secundaria, el 34.6 por ciento de los alumnos evaluados se encontraban en el nivel de logro I (insuficiente), el 41.6 por ciento en el nivel de logro II (básico), el 16.3 por ciento en el nivel III (satisfactorio), y el 7.4 por ciento de los alumnos en el nivel de logro IV (sobresaliente). En matemáticas se evaluaron a 12 mil 769 alumnos de tercer grado de secundaria, el 64.6 por ciento se ubicaban en el nivel de logro I, el 22.4 por ciento en el nivel II, el 7.6 por ciento en el nivel III, y el 5.4 por ciento de los alumnos evaluados en el </w:t>
      </w:r>
      <w:r>
        <w:rPr>
          <w:rFonts w:eastAsia="Times New Roman" w:cs="Futura"/>
        </w:rPr>
        <w:t>nivel de logro IV (Gráfica 5</w:t>
      </w:r>
      <w:r w:rsidRPr="008B4469">
        <w:rPr>
          <w:rFonts w:eastAsia="Times New Roman" w:cs="Futura"/>
        </w:rPr>
        <w:t>).</w:t>
      </w:r>
    </w:p>
    <w:p w14:paraId="63D4EA82" w14:textId="52C0CB71" w:rsidR="00913635" w:rsidRDefault="00913635">
      <w:pPr>
        <w:spacing w:after="0" w:line="240" w:lineRule="auto"/>
        <w:jc w:val="left"/>
        <w:rPr>
          <w:rFonts w:ascii="Futura Bk BT" w:hAnsi="Futura Bk BT"/>
        </w:rPr>
      </w:pPr>
      <w:r>
        <w:rPr>
          <w:rFonts w:ascii="Futura Bk BT" w:hAnsi="Futura Bk BT"/>
        </w:rPr>
        <w:br w:type="page"/>
      </w:r>
    </w:p>
    <w:p w14:paraId="7A357303" w14:textId="77777777" w:rsidR="006D148B" w:rsidRPr="008B4469" w:rsidRDefault="006D148B" w:rsidP="006D148B">
      <w:pPr>
        <w:spacing w:after="0"/>
        <w:rPr>
          <w:b/>
          <w:color w:val="4BACC6" w:themeColor="accent5"/>
        </w:rPr>
      </w:pPr>
      <w:r>
        <w:rPr>
          <w:b/>
          <w:color w:val="4BACC6" w:themeColor="accent5"/>
        </w:rPr>
        <w:lastRenderedPageBreak/>
        <w:t>Gráfica 5</w:t>
      </w:r>
      <w:r w:rsidRPr="008B4469">
        <w:rPr>
          <w:b/>
          <w:color w:val="4BACC6" w:themeColor="accent5"/>
        </w:rPr>
        <w:t>. Porcentaje de alumnos de 3° de secundaria según nivel de logro alcanzado en lenguaje y comunicación, y matemáticas, de la prueba PLANEA 2019</w:t>
      </w:r>
    </w:p>
    <w:p w14:paraId="6F8A289B" w14:textId="77777777" w:rsidR="006D148B" w:rsidRDefault="006D148B" w:rsidP="006D148B">
      <w:pPr>
        <w:spacing w:after="0"/>
        <w:rPr>
          <w:rFonts w:ascii="Futura Bk BT" w:hAnsi="Futura Bk BT"/>
        </w:rPr>
      </w:pPr>
    </w:p>
    <w:p w14:paraId="2244BF84" w14:textId="77777777" w:rsidR="006D148B" w:rsidRDefault="006D148B" w:rsidP="006D148B">
      <w:pPr>
        <w:spacing w:after="0"/>
        <w:rPr>
          <w:rFonts w:ascii="Futura Bk BT" w:hAnsi="Futura Bk BT"/>
        </w:rPr>
      </w:pPr>
      <w:r>
        <w:rPr>
          <w:noProof/>
          <w:lang w:val="es-MX" w:eastAsia="es-MX"/>
        </w:rPr>
        <w:drawing>
          <wp:anchor distT="0" distB="0" distL="114300" distR="114300" simplePos="0" relativeHeight="251693056" behindDoc="0" locked="0" layoutInCell="1" allowOverlap="1" wp14:anchorId="3996C7F2" wp14:editId="68815D36">
            <wp:simplePos x="0" y="0"/>
            <wp:positionH relativeFrom="column">
              <wp:align>center</wp:align>
            </wp:positionH>
            <wp:positionV relativeFrom="paragraph">
              <wp:posOffset>214630</wp:posOffset>
            </wp:positionV>
            <wp:extent cx="4687200" cy="2221200"/>
            <wp:effectExtent l="0" t="0" r="0" b="8255"/>
            <wp:wrapSquare wrapText="bothSides"/>
            <wp:docPr id="34" name="Gráfico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p w14:paraId="4273F283" w14:textId="77777777" w:rsidR="006D148B" w:rsidRDefault="006D148B" w:rsidP="006D148B">
      <w:pPr>
        <w:spacing w:after="0"/>
        <w:rPr>
          <w:rFonts w:ascii="Futura Bk BT" w:hAnsi="Futura Bk BT"/>
        </w:rPr>
      </w:pPr>
    </w:p>
    <w:p w14:paraId="752B50F8" w14:textId="77777777" w:rsidR="006D148B" w:rsidRDefault="006D148B" w:rsidP="006D148B">
      <w:pPr>
        <w:spacing w:after="0"/>
        <w:rPr>
          <w:rFonts w:ascii="Futura Bk BT" w:hAnsi="Futura Bk BT"/>
        </w:rPr>
      </w:pPr>
    </w:p>
    <w:p w14:paraId="19CE41F1" w14:textId="77777777" w:rsidR="006D148B" w:rsidRDefault="006D148B" w:rsidP="006D148B">
      <w:pPr>
        <w:spacing w:after="0"/>
        <w:rPr>
          <w:rFonts w:ascii="Futura Bk BT" w:hAnsi="Futura Bk BT"/>
        </w:rPr>
      </w:pPr>
    </w:p>
    <w:p w14:paraId="18C47A2B" w14:textId="77777777" w:rsidR="006D148B" w:rsidRDefault="006D148B" w:rsidP="006D148B">
      <w:pPr>
        <w:spacing w:after="0"/>
        <w:rPr>
          <w:rFonts w:ascii="Futura Bk BT" w:hAnsi="Futura Bk BT"/>
        </w:rPr>
      </w:pPr>
    </w:p>
    <w:p w14:paraId="448F7F44" w14:textId="77777777" w:rsidR="006D148B" w:rsidRDefault="006D148B" w:rsidP="006D148B">
      <w:pPr>
        <w:spacing w:after="0"/>
        <w:rPr>
          <w:rFonts w:ascii="Futura Bk BT" w:hAnsi="Futura Bk BT"/>
        </w:rPr>
      </w:pPr>
    </w:p>
    <w:p w14:paraId="50121DA8" w14:textId="77777777" w:rsidR="006D148B" w:rsidRDefault="006D148B" w:rsidP="006D148B">
      <w:pPr>
        <w:spacing w:after="0"/>
        <w:rPr>
          <w:rFonts w:ascii="Futura Bk BT" w:hAnsi="Futura Bk BT"/>
        </w:rPr>
      </w:pPr>
    </w:p>
    <w:p w14:paraId="62089A95" w14:textId="77777777" w:rsidR="006D148B" w:rsidRDefault="006D148B" w:rsidP="006D148B">
      <w:pPr>
        <w:spacing w:after="0"/>
        <w:rPr>
          <w:rFonts w:ascii="Futura Bk BT" w:hAnsi="Futura Bk BT"/>
        </w:rPr>
      </w:pPr>
    </w:p>
    <w:p w14:paraId="7F1F3D30" w14:textId="77777777" w:rsidR="006D148B" w:rsidRDefault="006D148B" w:rsidP="006D148B">
      <w:pPr>
        <w:spacing w:after="0"/>
        <w:rPr>
          <w:rFonts w:ascii="Futura Bk BT" w:hAnsi="Futura Bk BT"/>
        </w:rPr>
      </w:pPr>
    </w:p>
    <w:p w14:paraId="6C7B4C53" w14:textId="77777777" w:rsidR="006D148B" w:rsidRDefault="006D148B" w:rsidP="006D148B">
      <w:pPr>
        <w:spacing w:after="0"/>
        <w:rPr>
          <w:rFonts w:ascii="Futura Bk BT" w:hAnsi="Futura Bk BT"/>
        </w:rPr>
      </w:pPr>
    </w:p>
    <w:p w14:paraId="512C0FF3" w14:textId="77777777" w:rsidR="006D148B" w:rsidRDefault="006D148B" w:rsidP="006D148B">
      <w:pPr>
        <w:spacing w:after="160" w:line="259" w:lineRule="auto"/>
        <w:jc w:val="center"/>
        <w:rPr>
          <w:rFonts w:eastAsia="Times New Roman" w:cs="Futura"/>
          <w:sz w:val="16"/>
          <w:szCs w:val="16"/>
        </w:rPr>
      </w:pPr>
    </w:p>
    <w:p w14:paraId="226CCA9A" w14:textId="77777777" w:rsidR="006D148B" w:rsidRDefault="006D148B" w:rsidP="006D148B">
      <w:pPr>
        <w:spacing w:after="160" w:line="259" w:lineRule="auto"/>
        <w:jc w:val="center"/>
        <w:rPr>
          <w:rFonts w:eastAsia="Times New Roman" w:cs="Futura"/>
          <w:sz w:val="16"/>
          <w:szCs w:val="16"/>
        </w:rPr>
      </w:pPr>
    </w:p>
    <w:p w14:paraId="42A529F2" w14:textId="77777777" w:rsidR="006D148B" w:rsidRPr="00EB6AC6" w:rsidRDefault="006D148B" w:rsidP="006D148B">
      <w:pPr>
        <w:spacing w:after="160" w:line="259" w:lineRule="auto"/>
        <w:jc w:val="center"/>
        <w:rPr>
          <w:rFonts w:eastAsia="Times New Roman" w:cs="Futura"/>
          <w:sz w:val="16"/>
          <w:szCs w:val="16"/>
        </w:rPr>
      </w:pPr>
      <w:r w:rsidRPr="00D554C7">
        <w:rPr>
          <w:rFonts w:eastAsia="Times New Roman" w:cs="Futura"/>
          <w:b/>
          <w:sz w:val="16"/>
          <w:szCs w:val="16"/>
        </w:rPr>
        <w:t>Fuente:</w:t>
      </w:r>
      <w:r w:rsidRPr="00EB6AC6">
        <w:rPr>
          <w:rFonts w:eastAsia="Times New Roman" w:cs="Futura"/>
          <w:sz w:val="16"/>
          <w:szCs w:val="16"/>
        </w:rPr>
        <w:t xml:space="preserve"> Resultados</w:t>
      </w:r>
      <w:r>
        <w:rPr>
          <w:rFonts w:eastAsia="Times New Roman" w:cs="Futura"/>
          <w:sz w:val="16"/>
          <w:szCs w:val="16"/>
        </w:rPr>
        <w:t xml:space="preserve"> por nivel de logro</w:t>
      </w:r>
      <w:r w:rsidRPr="00EB6AC6">
        <w:rPr>
          <w:rFonts w:eastAsia="Times New Roman" w:cs="Futura"/>
          <w:sz w:val="16"/>
          <w:szCs w:val="16"/>
        </w:rPr>
        <w:t xml:space="preserve"> </w:t>
      </w:r>
      <w:r>
        <w:rPr>
          <w:rFonts w:eastAsia="Times New Roman" w:cs="Futura"/>
          <w:sz w:val="16"/>
          <w:szCs w:val="16"/>
        </w:rPr>
        <w:t>PLANEA básica</w:t>
      </w:r>
      <w:r w:rsidRPr="00EB6AC6">
        <w:rPr>
          <w:rFonts w:eastAsia="Times New Roman" w:cs="Futura"/>
          <w:sz w:val="16"/>
          <w:szCs w:val="16"/>
        </w:rPr>
        <w:t xml:space="preserve"> 201</w:t>
      </w:r>
      <w:r>
        <w:rPr>
          <w:rFonts w:eastAsia="Times New Roman" w:cs="Futura"/>
          <w:sz w:val="16"/>
          <w:szCs w:val="16"/>
        </w:rPr>
        <w:t>9</w:t>
      </w:r>
      <w:r w:rsidRPr="00EB6AC6">
        <w:rPr>
          <w:rFonts w:eastAsia="Times New Roman" w:cs="Futura"/>
          <w:sz w:val="16"/>
          <w:szCs w:val="16"/>
        </w:rPr>
        <w:t xml:space="preserve">, </w:t>
      </w:r>
      <w:r>
        <w:rPr>
          <w:rFonts w:eastAsia="Times New Roman" w:cs="Futura"/>
          <w:sz w:val="16"/>
          <w:szCs w:val="16"/>
        </w:rPr>
        <w:t>SEP-</w:t>
      </w:r>
      <w:r w:rsidRPr="00EB6AC6">
        <w:rPr>
          <w:rFonts w:eastAsia="Times New Roman" w:cs="Futura"/>
          <w:sz w:val="16"/>
          <w:szCs w:val="16"/>
        </w:rPr>
        <w:t>INEE.</w:t>
      </w:r>
    </w:p>
    <w:p w14:paraId="55470500" w14:textId="77777777" w:rsidR="006D148B" w:rsidRDefault="006D148B" w:rsidP="006D148B">
      <w:pPr>
        <w:spacing w:after="0"/>
        <w:rPr>
          <w:rFonts w:ascii="Futura Bk BT" w:hAnsi="Futura Bk BT"/>
        </w:rPr>
      </w:pPr>
    </w:p>
    <w:p w14:paraId="2EBB7774" w14:textId="77777777" w:rsidR="006D148B" w:rsidRPr="008B4469" w:rsidRDefault="006D148B" w:rsidP="006D148B">
      <w:pPr>
        <w:spacing w:after="0"/>
        <w:rPr>
          <w:rFonts w:eastAsia="Times New Roman" w:cs="Futura"/>
          <w:b/>
        </w:rPr>
      </w:pPr>
      <w:r w:rsidRPr="008B4469">
        <w:rPr>
          <w:rFonts w:eastAsia="Times New Roman" w:cs="Futura"/>
          <w:b/>
        </w:rPr>
        <w:t>Educación Media Superior</w:t>
      </w:r>
    </w:p>
    <w:p w14:paraId="68E2727B" w14:textId="77777777" w:rsidR="006D148B" w:rsidRPr="008B4469" w:rsidRDefault="006D148B" w:rsidP="006D148B">
      <w:pPr>
        <w:spacing w:after="0"/>
        <w:rPr>
          <w:rFonts w:eastAsia="Times New Roman" w:cs="Futura"/>
        </w:rPr>
      </w:pPr>
    </w:p>
    <w:p w14:paraId="353F7582" w14:textId="7E430A43" w:rsidR="006D148B" w:rsidRPr="008B4469" w:rsidRDefault="006D148B" w:rsidP="00E07551">
      <w:pPr>
        <w:rPr>
          <w:rFonts w:eastAsia="Times New Roman" w:cs="Futura"/>
        </w:rPr>
      </w:pPr>
      <w:r w:rsidRPr="008B4469">
        <w:rPr>
          <w:rFonts w:eastAsia="Times New Roman" w:cs="Futura"/>
        </w:rPr>
        <w:t xml:space="preserve">La educación media es el cuarto nivel educativo y marca el fin de la educación básica y el inicio de la educación profesional. Se cursa en tres grados, y es requisito indispensable para ingresar al nivel superior. Se imparte en los subsistemas de </w:t>
      </w:r>
      <w:r w:rsidR="00B25C53">
        <w:rPr>
          <w:rFonts w:eastAsia="Times New Roman" w:cs="Futura"/>
        </w:rPr>
        <w:t xml:space="preserve">Colegio de </w:t>
      </w:r>
      <w:r w:rsidRPr="008B4469">
        <w:rPr>
          <w:rFonts w:eastAsia="Times New Roman" w:cs="Futura"/>
        </w:rPr>
        <w:t xml:space="preserve">Bachilleres, Centro de Atención para Estudiantes con Discapacidad (CAED), Centro de Bachillerato Tecnológico Agropecuario (CBTA), Centro de Bachillerato Tecnológico Industrial y de Servicios (CBTIS), </w:t>
      </w:r>
      <w:r>
        <w:rPr>
          <w:rFonts w:eastAsia="Times New Roman" w:cs="Futura"/>
        </w:rPr>
        <w:t xml:space="preserve">Centro de Estudios de Bachillerato </w:t>
      </w:r>
      <w:r w:rsidRPr="008B4469">
        <w:rPr>
          <w:rFonts w:eastAsia="Times New Roman" w:cs="Futura"/>
        </w:rPr>
        <w:t xml:space="preserve">(CEB), Colegio de Estudios Científicos y Tecnológicos del Estado (CECYTE), Centro de Estudios Tecnológicos del Mar (CETMAR), Colegio Nacional de Educación Profesional Técnica (CONALEP), Educación Media Superior a Distancia (EMSAD), </w:t>
      </w:r>
      <w:r w:rsidR="00B25C53">
        <w:rPr>
          <w:rFonts w:eastAsia="Times New Roman" w:cs="Futura"/>
        </w:rPr>
        <w:t>Centro de Estudios de Bachillerato Técnico “</w:t>
      </w:r>
      <w:r w:rsidRPr="008B4469">
        <w:rPr>
          <w:rFonts w:eastAsia="Times New Roman" w:cs="Futura"/>
        </w:rPr>
        <w:t>Eva Sámano</w:t>
      </w:r>
      <w:r w:rsidR="00B25C53">
        <w:rPr>
          <w:rFonts w:eastAsia="Times New Roman" w:cs="Futura"/>
        </w:rPr>
        <w:t xml:space="preserve"> de López Mateos”</w:t>
      </w:r>
      <w:r w:rsidRPr="008B4469">
        <w:rPr>
          <w:rFonts w:eastAsia="Times New Roman" w:cs="Futura"/>
        </w:rPr>
        <w:t xml:space="preserve">, </w:t>
      </w:r>
      <w:r w:rsidR="00A41FC0">
        <w:rPr>
          <w:rFonts w:eastAsia="Times New Roman" w:cs="Futura"/>
        </w:rPr>
        <w:t>Bachillerato Modular, Privada</w:t>
      </w:r>
      <w:r w:rsidRPr="008B4469">
        <w:rPr>
          <w:rFonts w:eastAsia="Times New Roman" w:cs="Futura"/>
        </w:rPr>
        <w:t>, Prepa</w:t>
      </w:r>
      <w:r w:rsidR="00B25C53">
        <w:rPr>
          <w:rFonts w:eastAsia="Times New Roman" w:cs="Futura"/>
        </w:rPr>
        <w:t>ratoria</w:t>
      </w:r>
      <w:r w:rsidRPr="008B4469">
        <w:rPr>
          <w:rFonts w:eastAsia="Times New Roman" w:cs="Futura"/>
        </w:rPr>
        <w:t xml:space="preserve"> Abierta, Profe</w:t>
      </w:r>
      <w:r>
        <w:rPr>
          <w:rFonts w:eastAsia="Times New Roman" w:cs="Futura"/>
        </w:rPr>
        <w:t>sional Medio y Telebachillerato</w:t>
      </w:r>
      <w:r w:rsidR="0099404B">
        <w:rPr>
          <w:rFonts w:eastAsia="Times New Roman" w:cs="Futura"/>
        </w:rPr>
        <w:t xml:space="preserve"> Comunitario</w:t>
      </w:r>
      <w:r>
        <w:rPr>
          <w:rFonts w:eastAsia="Times New Roman" w:cs="Futura"/>
        </w:rPr>
        <w:t xml:space="preserve">. No obstante, a pesar de la diversidad de subsistemas, </w:t>
      </w:r>
      <w:r w:rsidR="00510CE4">
        <w:rPr>
          <w:rFonts w:eastAsia="Times New Roman" w:cs="Futura"/>
        </w:rPr>
        <w:t xml:space="preserve">sus planes y programas de estudios están conformados por los componentes: básico, </w:t>
      </w:r>
      <w:r>
        <w:rPr>
          <w:rFonts w:eastAsia="Times New Roman" w:cs="Futura"/>
        </w:rPr>
        <w:t xml:space="preserve"> de formación para el trabajo y el último de índole propedéutica o preparatoria para el nivel superior. </w:t>
      </w:r>
    </w:p>
    <w:p w14:paraId="5E8BDA56" w14:textId="68E36C43" w:rsidR="006D148B" w:rsidRPr="008B4469" w:rsidRDefault="006D148B" w:rsidP="00202FDC">
      <w:pPr>
        <w:rPr>
          <w:rFonts w:eastAsia="Times New Roman" w:cs="Futura"/>
        </w:rPr>
      </w:pPr>
      <w:r w:rsidRPr="008B4469">
        <w:rPr>
          <w:rFonts w:eastAsia="Times New Roman" w:cs="Futura"/>
        </w:rPr>
        <w:lastRenderedPageBreak/>
        <w:t>La matrícula de educación media superior para el ciclo escolar 2019-2020 fue de 70 mil 9</w:t>
      </w:r>
      <w:r>
        <w:rPr>
          <w:rFonts w:eastAsia="Times New Roman" w:cs="Futura"/>
        </w:rPr>
        <w:t>64</w:t>
      </w:r>
      <w:r w:rsidRPr="008B4469">
        <w:rPr>
          <w:rFonts w:eastAsia="Times New Roman" w:cs="Futura"/>
        </w:rPr>
        <w:t xml:space="preserve"> alumnos, 35 mil 2</w:t>
      </w:r>
      <w:r>
        <w:rPr>
          <w:rFonts w:eastAsia="Times New Roman" w:cs="Futura"/>
        </w:rPr>
        <w:t>73</w:t>
      </w:r>
      <w:r w:rsidRPr="008B4469">
        <w:rPr>
          <w:rFonts w:eastAsia="Times New Roman" w:cs="Futura"/>
        </w:rPr>
        <w:t xml:space="preserve"> hombres y 35 mil 6</w:t>
      </w:r>
      <w:r>
        <w:rPr>
          <w:rFonts w:eastAsia="Times New Roman" w:cs="Futura"/>
        </w:rPr>
        <w:t>91</w:t>
      </w:r>
      <w:r w:rsidRPr="008B4469">
        <w:rPr>
          <w:rFonts w:eastAsia="Times New Roman" w:cs="Futura"/>
        </w:rPr>
        <w:t xml:space="preserve"> mujeres; representa el </w:t>
      </w:r>
      <w:r>
        <w:rPr>
          <w:rFonts w:eastAsia="Times New Roman" w:cs="Futura"/>
        </w:rPr>
        <w:t>14.97</w:t>
      </w:r>
      <w:r w:rsidRPr="008B4469">
        <w:rPr>
          <w:rFonts w:eastAsia="Times New Roman" w:cs="Futura"/>
        </w:rPr>
        <w:t xml:space="preserve"> por ciento del total de la matrícula </w:t>
      </w:r>
      <w:r>
        <w:rPr>
          <w:rFonts w:eastAsia="Times New Roman" w:cs="Futura"/>
        </w:rPr>
        <w:t>atendida en el estado</w:t>
      </w:r>
      <w:r w:rsidRPr="008B4469">
        <w:rPr>
          <w:rFonts w:eastAsia="Times New Roman" w:cs="Futura"/>
        </w:rPr>
        <w:t>. Los subsistemas de</w:t>
      </w:r>
      <w:r w:rsidR="00A41FC0">
        <w:rPr>
          <w:rFonts w:eastAsia="Times New Roman" w:cs="Futura"/>
        </w:rPr>
        <w:t xml:space="preserve"> Colegio de Bachilleres del Estado de Quintana Roo</w:t>
      </w:r>
      <w:r w:rsidRPr="008B4469">
        <w:rPr>
          <w:rFonts w:eastAsia="Times New Roman" w:cs="Futura"/>
        </w:rPr>
        <w:t>, CECYTE y particular son los que tienen el mayor número de alumnos con 16 mil 888, 10 mil 850 y 10 mil 869 alumnos respectivamente. Por sostenimiento la matrícula pública de educación</w:t>
      </w:r>
      <w:r>
        <w:rPr>
          <w:rFonts w:eastAsia="Times New Roman" w:cs="Futura"/>
        </w:rPr>
        <w:t xml:space="preserve"> media superior es de 59 mil 952</w:t>
      </w:r>
      <w:r w:rsidRPr="008B4469">
        <w:rPr>
          <w:rFonts w:eastAsia="Times New Roman" w:cs="Futura"/>
        </w:rPr>
        <w:t xml:space="preserve"> alumnos(as) y la privada es de 11 mil 012 alumnos(as). Participan en la formación de los alumnos de nivel medio superior un total de </w:t>
      </w:r>
      <w:r>
        <w:rPr>
          <w:rFonts w:eastAsia="Times New Roman" w:cs="Futura"/>
        </w:rPr>
        <w:t>3</w:t>
      </w:r>
      <w:r w:rsidRPr="008B4469">
        <w:rPr>
          <w:rFonts w:eastAsia="Times New Roman" w:cs="Futura"/>
        </w:rPr>
        <w:t xml:space="preserve"> mil 8</w:t>
      </w:r>
      <w:r>
        <w:rPr>
          <w:rFonts w:eastAsia="Times New Roman" w:cs="Futura"/>
        </w:rPr>
        <w:t>80</w:t>
      </w:r>
      <w:r w:rsidRPr="008B4469">
        <w:rPr>
          <w:rFonts w:eastAsia="Times New Roman" w:cs="Futura"/>
        </w:rPr>
        <w:t xml:space="preserve"> docentes y una infraestructura educativa para este nivel de </w:t>
      </w:r>
      <w:r>
        <w:rPr>
          <w:rFonts w:eastAsia="Times New Roman" w:cs="Futura"/>
        </w:rPr>
        <w:t>295 escuelas en el estado (Cuadro 8</w:t>
      </w:r>
      <w:r w:rsidRPr="008B4469">
        <w:rPr>
          <w:rFonts w:eastAsia="Times New Roman" w:cs="Futura"/>
        </w:rPr>
        <w:t>).</w:t>
      </w:r>
    </w:p>
    <w:p w14:paraId="3643F47A" w14:textId="77777777" w:rsidR="006D148B" w:rsidRDefault="006D148B" w:rsidP="006D148B">
      <w:pPr>
        <w:spacing w:after="0"/>
        <w:rPr>
          <w:rFonts w:ascii="Futura Bk BT" w:hAnsi="Futura Bk BT"/>
        </w:rPr>
      </w:pPr>
    </w:p>
    <w:p w14:paraId="6806C0FD" w14:textId="77777777" w:rsidR="006D148B" w:rsidRPr="00BB0769" w:rsidRDefault="006D148B" w:rsidP="006D148B">
      <w:pPr>
        <w:spacing w:after="0" w:line="240" w:lineRule="auto"/>
        <w:jc w:val="center"/>
        <w:rPr>
          <w:b/>
          <w:color w:val="4BACC6" w:themeColor="accent5"/>
        </w:rPr>
      </w:pPr>
      <w:r>
        <w:rPr>
          <w:b/>
          <w:color w:val="4BACC6" w:themeColor="accent5"/>
        </w:rPr>
        <w:t>Cuadro 8</w:t>
      </w:r>
      <w:r w:rsidRPr="00BB0769">
        <w:rPr>
          <w:b/>
          <w:color w:val="4BACC6" w:themeColor="accent5"/>
        </w:rPr>
        <w:t>. Matrícula, docentes y escuelas de educación media superior por subsistema Ciclo escolar 2019-2020</w:t>
      </w:r>
    </w:p>
    <w:tbl>
      <w:tblPr>
        <w:tblW w:w="8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60"/>
        <w:gridCol w:w="1498"/>
        <w:gridCol w:w="1292"/>
        <w:gridCol w:w="1230"/>
        <w:gridCol w:w="1340"/>
        <w:gridCol w:w="1340"/>
      </w:tblGrid>
      <w:tr w:rsidR="006D148B" w:rsidRPr="00E1536A" w14:paraId="3679517C" w14:textId="77777777" w:rsidTr="004378A8">
        <w:trPr>
          <w:trHeight w:val="402"/>
          <w:jc w:val="center"/>
        </w:trPr>
        <w:tc>
          <w:tcPr>
            <w:tcW w:w="1960" w:type="dxa"/>
            <w:vMerge w:val="restart"/>
            <w:shd w:val="clear" w:color="auto" w:fill="A6A6A6" w:themeFill="background1" w:themeFillShade="A6"/>
            <w:noWrap/>
            <w:vAlign w:val="center"/>
            <w:hideMark/>
          </w:tcPr>
          <w:p w14:paraId="700EDD9B" w14:textId="5D35F5A4" w:rsidR="006D148B" w:rsidRPr="00E1536A" w:rsidRDefault="004378A8" w:rsidP="00E1536A">
            <w:pPr>
              <w:spacing w:after="100" w:afterAutospacing="1" w:line="240" w:lineRule="auto"/>
              <w:jc w:val="center"/>
              <w:rPr>
                <w:rFonts w:ascii="Futura Std Condensed Light" w:eastAsia="Calibri" w:hAnsi="Futura Std Condensed Light" w:cs="Calibri"/>
                <w:b/>
                <w:sz w:val="20"/>
                <w:szCs w:val="20"/>
              </w:rPr>
            </w:pPr>
            <w:r w:rsidRPr="00E1536A">
              <w:rPr>
                <w:rFonts w:ascii="Futura Std Condensed Light" w:eastAsia="Calibri" w:hAnsi="Futura Std Condensed Light" w:cs="Calibri"/>
                <w:b/>
                <w:sz w:val="20"/>
                <w:szCs w:val="20"/>
              </w:rPr>
              <w:t>Modalidad</w:t>
            </w:r>
          </w:p>
        </w:tc>
        <w:tc>
          <w:tcPr>
            <w:tcW w:w="4020" w:type="dxa"/>
            <w:gridSpan w:val="3"/>
            <w:shd w:val="clear" w:color="auto" w:fill="A6A6A6" w:themeFill="background1" w:themeFillShade="A6"/>
            <w:noWrap/>
            <w:vAlign w:val="bottom"/>
            <w:hideMark/>
          </w:tcPr>
          <w:p w14:paraId="0558846A" w14:textId="58C27248" w:rsidR="006D148B" w:rsidRPr="00E1536A" w:rsidRDefault="004378A8" w:rsidP="00E1536A">
            <w:pPr>
              <w:spacing w:after="100" w:afterAutospacing="1" w:line="240" w:lineRule="auto"/>
              <w:jc w:val="center"/>
              <w:rPr>
                <w:rFonts w:ascii="Futura Std Condensed Light" w:eastAsia="Calibri" w:hAnsi="Futura Std Condensed Light" w:cs="Calibri"/>
                <w:b/>
                <w:sz w:val="20"/>
                <w:szCs w:val="20"/>
              </w:rPr>
            </w:pPr>
            <w:r w:rsidRPr="00E1536A">
              <w:rPr>
                <w:rFonts w:ascii="Futura Std Condensed Light" w:eastAsia="Calibri" w:hAnsi="Futura Std Condensed Light" w:cs="Calibri"/>
                <w:b/>
                <w:sz w:val="20"/>
                <w:szCs w:val="20"/>
              </w:rPr>
              <w:t>Matrícula</w:t>
            </w:r>
          </w:p>
        </w:tc>
        <w:tc>
          <w:tcPr>
            <w:tcW w:w="1340" w:type="dxa"/>
            <w:vMerge w:val="restart"/>
            <w:shd w:val="clear" w:color="auto" w:fill="A6A6A6" w:themeFill="background1" w:themeFillShade="A6"/>
            <w:noWrap/>
            <w:vAlign w:val="center"/>
            <w:hideMark/>
          </w:tcPr>
          <w:p w14:paraId="2FDC88C9" w14:textId="40F64B23" w:rsidR="006D148B" w:rsidRPr="00E1536A" w:rsidRDefault="004378A8" w:rsidP="00E1536A">
            <w:pPr>
              <w:spacing w:after="100" w:afterAutospacing="1" w:line="240" w:lineRule="auto"/>
              <w:jc w:val="center"/>
              <w:rPr>
                <w:rFonts w:ascii="Futura Std Condensed Light" w:eastAsia="Calibri" w:hAnsi="Futura Std Condensed Light" w:cs="Calibri"/>
                <w:b/>
                <w:sz w:val="20"/>
                <w:szCs w:val="20"/>
              </w:rPr>
            </w:pPr>
            <w:r w:rsidRPr="00E1536A">
              <w:rPr>
                <w:rFonts w:ascii="Futura Std Condensed Light" w:eastAsia="Calibri" w:hAnsi="Futura Std Condensed Light" w:cs="Calibri"/>
                <w:b/>
                <w:sz w:val="20"/>
                <w:szCs w:val="20"/>
              </w:rPr>
              <w:t>Docentes</w:t>
            </w:r>
          </w:p>
        </w:tc>
        <w:tc>
          <w:tcPr>
            <w:tcW w:w="1340" w:type="dxa"/>
            <w:vMerge w:val="restart"/>
            <w:shd w:val="clear" w:color="auto" w:fill="A6A6A6" w:themeFill="background1" w:themeFillShade="A6"/>
            <w:noWrap/>
            <w:vAlign w:val="center"/>
            <w:hideMark/>
          </w:tcPr>
          <w:p w14:paraId="3A785C4A" w14:textId="6CE4EA2B" w:rsidR="006D148B" w:rsidRPr="00E1536A" w:rsidRDefault="004378A8" w:rsidP="00E1536A">
            <w:pPr>
              <w:spacing w:after="100" w:afterAutospacing="1" w:line="240" w:lineRule="auto"/>
              <w:jc w:val="center"/>
              <w:rPr>
                <w:rFonts w:ascii="Futura Std Condensed Light" w:eastAsia="Calibri" w:hAnsi="Futura Std Condensed Light" w:cs="Calibri"/>
                <w:b/>
                <w:sz w:val="20"/>
                <w:szCs w:val="20"/>
              </w:rPr>
            </w:pPr>
            <w:r w:rsidRPr="00E1536A">
              <w:rPr>
                <w:rFonts w:ascii="Futura Std Condensed Light" w:eastAsia="Calibri" w:hAnsi="Futura Std Condensed Light" w:cs="Calibri"/>
                <w:b/>
                <w:sz w:val="20"/>
                <w:szCs w:val="20"/>
              </w:rPr>
              <w:t>Escuelas</w:t>
            </w:r>
          </w:p>
        </w:tc>
      </w:tr>
      <w:tr w:rsidR="006D148B" w:rsidRPr="00E1536A" w14:paraId="47D28D31" w14:textId="77777777" w:rsidTr="004378A8">
        <w:trPr>
          <w:trHeight w:val="402"/>
          <w:jc w:val="center"/>
        </w:trPr>
        <w:tc>
          <w:tcPr>
            <w:tcW w:w="1960" w:type="dxa"/>
            <w:vMerge/>
            <w:vAlign w:val="center"/>
            <w:hideMark/>
          </w:tcPr>
          <w:p w14:paraId="6737CA47" w14:textId="77777777" w:rsidR="006D148B" w:rsidRPr="00E1536A" w:rsidRDefault="006D148B" w:rsidP="00E1536A">
            <w:pPr>
              <w:spacing w:after="100" w:afterAutospacing="1" w:line="240" w:lineRule="auto"/>
              <w:jc w:val="center"/>
              <w:rPr>
                <w:rFonts w:ascii="Futura Std Condensed Light" w:eastAsia="Calibri" w:hAnsi="Futura Std Condensed Light" w:cs="Calibri"/>
                <w:sz w:val="20"/>
                <w:szCs w:val="20"/>
              </w:rPr>
            </w:pPr>
          </w:p>
        </w:tc>
        <w:tc>
          <w:tcPr>
            <w:tcW w:w="1498" w:type="dxa"/>
            <w:shd w:val="clear" w:color="auto" w:fill="A6A6A6" w:themeFill="background1" w:themeFillShade="A6"/>
            <w:noWrap/>
            <w:vAlign w:val="center"/>
            <w:hideMark/>
          </w:tcPr>
          <w:p w14:paraId="6257E387" w14:textId="77777777" w:rsidR="006D148B" w:rsidRPr="00E1536A" w:rsidRDefault="006D148B" w:rsidP="00E1536A">
            <w:pPr>
              <w:spacing w:after="100" w:afterAutospacing="1" w:line="240" w:lineRule="auto"/>
              <w:jc w:val="center"/>
              <w:rPr>
                <w:rFonts w:ascii="Futura Std Condensed Light" w:eastAsia="Calibri" w:hAnsi="Futura Std Condensed Light" w:cs="Calibri"/>
                <w:b/>
                <w:sz w:val="20"/>
                <w:szCs w:val="20"/>
              </w:rPr>
            </w:pPr>
            <w:r w:rsidRPr="00E1536A">
              <w:rPr>
                <w:rFonts w:ascii="Futura Std Condensed Light" w:eastAsia="Calibri" w:hAnsi="Futura Std Condensed Light" w:cs="Calibri"/>
                <w:b/>
                <w:sz w:val="20"/>
                <w:szCs w:val="20"/>
              </w:rPr>
              <w:t>Hombres</w:t>
            </w:r>
          </w:p>
        </w:tc>
        <w:tc>
          <w:tcPr>
            <w:tcW w:w="1292" w:type="dxa"/>
            <w:shd w:val="clear" w:color="auto" w:fill="A6A6A6" w:themeFill="background1" w:themeFillShade="A6"/>
            <w:noWrap/>
            <w:vAlign w:val="center"/>
            <w:hideMark/>
          </w:tcPr>
          <w:p w14:paraId="60C094CC" w14:textId="77777777" w:rsidR="006D148B" w:rsidRPr="00E1536A" w:rsidRDefault="006D148B" w:rsidP="00E1536A">
            <w:pPr>
              <w:spacing w:after="100" w:afterAutospacing="1" w:line="240" w:lineRule="auto"/>
              <w:jc w:val="center"/>
              <w:rPr>
                <w:rFonts w:ascii="Futura Std Condensed Light" w:eastAsia="Calibri" w:hAnsi="Futura Std Condensed Light" w:cs="Calibri"/>
                <w:b/>
                <w:sz w:val="20"/>
                <w:szCs w:val="20"/>
              </w:rPr>
            </w:pPr>
            <w:r w:rsidRPr="00E1536A">
              <w:rPr>
                <w:rFonts w:ascii="Futura Std Condensed Light" w:eastAsia="Calibri" w:hAnsi="Futura Std Condensed Light" w:cs="Calibri"/>
                <w:b/>
                <w:sz w:val="20"/>
                <w:szCs w:val="20"/>
              </w:rPr>
              <w:t>Mujeres</w:t>
            </w:r>
          </w:p>
        </w:tc>
        <w:tc>
          <w:tcPr>
            <w:tcW w:w="1230" w:type="dxa"/>
            <w:shd w:val="clear" w:color="auto" w:fill="A6A6A6" w:themeFill="background1" w:themeFillShade="A6"/>
            <w:noWrap/>
            <w:vAlign w:val="center"/>
            <w:hideMark/>
          </w:tcPr>
          <w:p w14:paraId="57193F62" w14:textId="77777777" w:rsidR="006D148B" w:rsidRPr="00E1536A" w:rsidRDefault="006D148B" w:rsidP="00E1536A">
            <w:pPr>
              <w:spacing w:after="100" w:afterAutospacing="1" w:line="240" w:lineRule="auto"/>
              <w:jc w:val="center"/>
              <w:rPr>
                <w:rFonts w:ascii="Futura Std Condensed Light" w:eastAsia="Calibri" w:hAnsi="Futura Std Condensed Light" w:cs="Calibri"/>
                <w:b/>
                <w:sz w:val="20"/>
                <w:szCs w:val="20"/>
              </w:rPr>
            </w:pPr>
            <w:r w:rsidRPr="00E1536A">
              <w:rPr>
                <w:rFonts w:ascii="Futura Std Condensed Light" w:eastAsia="Calibri" w:hAnsi="Futura Std Condensed Light" w:cs="Calibri"/>
                <w:b/>
                <w:sz w:val="20"/>
                <w:szCs w:val="20"/>
              </w:rPr>
              <w:t>Total</w:t>
            </w:r>
          </w:p>
        </w:tc>
        <w:tc>
          <w:tcPr>
            <w:tcW w:w="1340" w:type="dxa"/>
            <w:vMerge/>
            <w:vAlign w:val="center"/>
            <w:hideMark/>
          </w:tcPr>
          <w:p w14:paraId="7EA1744E" w14:textId="77777777" w:rsidR="006D148B" w:rsidRPr="00E1536A" w:rsidRDefault="006D148B" w:rsidP="00E1536A">
            <w:pPr>
              <w:spacing w:after="100" w:afterAutospacing="1" w:line="240" w:lineRule="auto"/>
              <w:jc w:val="center"/>
              <w:rPr>
                <w:rFonts w:ascii="Futura Std Condensed Light" w:eastAsia="Calibri" w:hAnsi="Futura Std Condensed Light" w:cs="Calibri"/>
                <w:sz w:val="20"/>
                <w:szCs w:val="20"/>
              </w:rPr>
            </w:pPr>
          </w:p>
        </w:tc>
        <w:tc>
          <w:tcPr>
            <w:tcW w:w="1340" w:type="dxa"/>
            <w:vMerge/>
            <w:vAlign w:val="center"/>
            <w:hideMark/>
          </w:tcPr>
          <w:p w14:paraId="12F7CF26" w14:textId="77777777" w:rsidR="006D148B" w:rsidRPr="00E1536A" w:rsidRDefault="006D148B" w:rsidP="00E1536A">
            <w:pPr>
              <w:spacing w:after="100" w:afterAutospacing="1" w:line="240" w:lineRule="auto"/>
              <w:jc w:val="center"/>
              <w:rPr>
                <w:rFonts w:ascii="Futura Std Condensed Light" w:eastAsia="Calibri" w:hAnsi="Futura Std Condensed Light" w:cs="Calibri"/>
                <w:sz w:val="20"/>
                <w:szCs w:val="20"/>
              </w:rPr>
            </w:pPr>
          </w:p>
        </w:tc>
      </w:tr>
      <w:tr w:rsidR="006D148B" w:rsidRPr="00E1536A" w14:paraId="0C121245" w14:textId="77777777" w:rsidTr="004378A8">
        <w:trPr>
          <w:trHeight w:val="300"/>
          <w:jc w:val="center"/>
        </w:trPr>
        <w:tc>
          <w:tcPr>
            <w:tcW w:w="1960" w:type="dxa"/>
            <w:shd w:val="clear" w:color="auto" w:fill="auto"/>
            <w:noWrap/>
            <w:vAlign w:val="center"/>
            <w:hideMark/>
          </w:tcPr>
          <w:p w14:paraId="737F66F7" w14:textId="77777777" w:rsidR="006D148B" w:rsidRPr="00E1536A" w:rsidRDefault="006D148B" w:rsidP="00E1536A">
            <w:pPr>
              <w:spacing w:after="100" w:afterAutospacing="1" w:line="240" w:lineRule="auto"/>
              <w:jc w:val="center"/>
              <w:rPr>
                <w:rFonts w:ascii="Futura Std Condensed Light" w:eastAsia="Calibri" w:hAnsi="Futura Std Condensed Light" w:cs="Calibri"/>
                <w:sz w:val="20"/>
                <w:szCs w:val="20"/>
              </w:rPr>
            </w:pPr>
            <w:r w:rsidRPr="00E1536A">
              <w:rPr>
                <w:rFonts w:ascii="Futura Std Condensed Light" w:eastAsia="Calibri" w:hAnsi="Futura Std Condensed Light" w:cs="Calibri"/>
                <w:sz w:val="20"/>
                <w:szCs w:val="20"/>
              </w:rPr>
              <w:t>Bachilleres</w:t>
            </w:r>
          </w:p>
        </w:tc>
        <w:tc>
          <w:tcPr>
            <w:tcW w:w="1498" w:type="dxa"/>
            <w:shd w:val="clear" w:color="auto" w:fill="auto"/>
            <w:noWrap/>
            <w:vAlign w:val="center"/>
            <w:hideMark/>
          </w:tcPr>
          <w:p w14:paraId="799E0D95" w14:textId="77777777" w:rsidR="006D148B" w:rsidRPr="00E1536A" w:rsidRDefault="006D148B" w:rsidP="00E1536A">
            <w:pPr>
              <w:spacing w:after="100" w:afterAutospacing="1" w:line="240" w:lineRule="auto"/>
              <w:jc w:val="center"/>
              <w:rPr>
                <w:rFonts w:ascii="Futura Std Condensed Light" w:eastAsia="Calibri" w:hAnsi="Futura Std Condensed Light" w:cs="Calibri"/>
                <w:sz w:val="20"/>
                <w:szCs w:val="20"/>
              </w:rPr>
            </w:pPr>
            <w:r w:rsidRPr="00E1536A">
              <w:rPr>
                <w:rFonts w:ascii="Futura Std Condensed Light" w:eastAsia="Calibri" w:hAnsi="Futura Std Condensed Light" w:cs="Calibri"/>
                <w:sz w:val="20"/>
                <w:szCs w:val="20"/>
              </w:rPr>
              <w:t>7,912</w:t>
            </w:r>
          </w:p>
        </w:tc>
        <w:tc>
          <w:tcPr>
            <w:tcW w:w="1292" w:type="dxa"/>
            <w:shd w:val="clear" w:color="auto" w:fill="auto"/>
            <w:noWrap/>
            <w:vAlign w:val="center"/>
            <w:hideMark/>
          </w:tcPr>
          <w:p w14:paraId="3F7C1712" w14:textId="77777777" w:rsidR="006D148B" w:rsidRPr="00E1536A" w:rsidRDefault="006D148B" w:rsidP="00E1536A">
            <w:pPr>
              <w:spacing w:after="100" w:afterAutospacing="1" w:line="240" w:lineRule="auto"/>
              <w:jc w:val="center"/>
              <w:rPr>
                <w:rFonts w:ascii="Futura Std Condensed Light" w:eastAsia="Calibri" w:hAnsi="Futura Std Condensed Light" w:cs="Calibri"/>
                <w:sz w:val="20"/>
                <w:szCs w:val="20"/>
              </w:rPr>
            </w:pPr>
            <w:r w:rsidRPr="00E1536A">
              <w:rPr>
                <w:rFonts w:ascii="Futura Std Condensed Light" w:eastAsia="Calibri" w:hAnsi="Futura Std Condensed Light" w:cs="Calibri"/>
                <w:sz w:val="20"/>
                <w:szCs w:val="20"/>
              </w:rPr>
              <w:t>8,976</w:t>
            </w:r>
          </w:p>
        </w:tc>
        <w:tc>
          <w:tcPr>
            <w:tcW w:w="1230" w:type="dxa"/>
            <w:shd w:val="clear" w:color="auto" w:fill="auto"/>
            <w:noWrap/>
            <w:vAlign w:val="center"/>
            <w:hideMark/>
          </w:tcPr>
          <w:p w14:paraId="168DF6D1" w14:textId="77777777" w:rsidR="006D148B" w:rsidRPr="00E1536A" w:rsidRDefault="006D148B" w:rsidP="00E1536A">
            <w:pPr>
              <w:spacing w:after="100" w:afterAutospacing="1" w:line="240" w:lineRule="auto"/>
              <w:jc w:val="center"/>
              <w:rPr>
                <w:rFonts w:ascii="Futura Std Condensed Light" w:eastAsia="Calibri" w:hAnsi="Futura Std Condensed Light" w:cs="Calibri"/>
                <w:sz w:val="20"/>
                <w:szCs w:val="20"/>
              </w:rPr>
            </w:pPr>
            <w:r w:rsidRPr="00E1536A">
              <w:rPr>
                <w:rFonts w:ascii="Futura Std Condensed Light" w:eastAsia="Calibri" w:hAnsi="Futura Std Condensed Light" w:cs="Calibri"/>
                <w:sz w:val="20"/>
                <w:szCs w:val="20"/>
              </w:rPr>
              <w:t>16,888</w:t>
            </w:r>
          </w:p>
        </w:tc>
        <w:tc>
          <w:tcPr>
            <w:tcW w:w="1340" w:type="dxa"/>
            <w:shd w:val="clear" w:color="auto" w:fill="auto"/>
            <w:noWrap/>
            <w:vAlign w:val="center"/>
            <w:hideMark/>
          </w:tcPr>
          <w:p w14:paraId="5F426B44" w14:textId="77777777" w:rsidR="006D148B" w:rsidRPr="00E1536A" w:rsidRDefault="006D148B" w:rsidP="00E1536A">
            <w:pPr>
              <w:spacing w:after="100" w:afterAutospacing="1" w:line="240" w:lineRule="auto"/>
              <w:jc w:val="center"/>
              <w:rPr>
                <w:rFonts w:ascii="Futura Std Condensed Light" w:eastAsia="Calibri" w:hAnsi="Futura Std Condensed Light" w:cs="Calibri"/>
                <w:sz w:val="20"/>
                <w:szCs w:val="20"/>
              </w:rPr>
            </w:pPr>
            <w:r w:rsidRPr="00E1536A">
              <w:rPr>
                <w:rFonts w:ascii="Futura Std Condensed Light" w:eastAsia="Calibri" w:hAnsi="Futura Std Condensed Light" w:cs="Calibri"/>
                <w:sz w:val="20"/>
                <w:szCs w:val="20"/>
              </w:rPr>
              <w:t>589</w:t>
            </w:r>
          </w:p>
        </w:tc>
        <w:tc>
          <w:tcPr>
            <w:tcW w:w="1340" w:type="dxa"/>
            <w:shd w:val="clear" w:color="auto" w:fill="auto"/>
            <w:noWrap/>
            <w:vAlign w:val="center"/>
            <w:hideMark/>
          </w:tcPr>
          <w:p w14:paraId="121A0A84" w14:textId="77777777" w:rsidR="006D148B" w:rsidRPr="00E1536A" w:rsidRDefault="006D148B" w:rsidP="00E1536A">
            <w:pPr>
              <w:spacing w:after="100" w:afterAutospacing="1" w:line="240" w:lineRule="auto"/>
              <w:jc w:val="center"/>
              <w:rPr>
                <w:rFonts w:ascii="Futura Std Condensed Light" w:eastAsia="Calibri" w:hAnsi="Futura Std Condensed Light" w:cs="Calibri"/>
                <w:sz w:val="20"/>
                <w:szCs w:val="20"/>
              </w:rPr>
            </w:pPr>
            <w:r w:rsidRPr="00E1536A">
              <w:rPr>
                <w:rFonts w:ascii="Futura Std Condensed Light" w:eastAsia="Calibri" w:hAnsi="Futura Std Condensed Light" w:cs="Calibri"/>
                <w:sz w:val="20"/>
                <w:szCs w:val="20"/>
              </w:rPr>
              <w:t>44</w:t>
            </w:r>
          </w:p>
        </w:tc>
      </w:tr>
      <w:tr w:rsidR="006D148B" w:rsidRPr="00E1536A" w14:paraId="1361E3E4" w14:textId="77777777" w:rsidTr="004378A8">
        <w:trPr>
          <w:trHeight w:val="300"/>
          <w:jc w:val="center"/>
        </w:trPr>
        <w:tc>
          <w:tcPr>
            <w:tcW w:w="1960" w:type="dxa"/>
            <w:shd w:val="clear" w:color="auto" w:fill="auto"/>
            <w:noWrap/>
            <w:vAlign w:val="center"/>
            <w:hideMark/>
          </w:tcPr>
          <w:p w14:paraId="2C5389E7" w14:textId="77777777" w:rsidR="006D148B" w:rsidRPr="00E1536A" w:rsidRDefault="006D148B" w:rsidP="00E1536A">
            <w:pPr>
              <w:spacing w:after="100" w:afterAutospacing="1" w:line="240" w:lineRule="auto"/>
              <w:jc w:val="center"/>
              <w:rPr>
                <w:rFonts w:ascii="Futura Std Condensed Light" w:eastAsia="Calibri" w:hAnsi="Futura Std Condensed Light" w:cs="Calibri"/>
                <w:sz w:val="20"/>
                <w:szCs w:val="20"/>
              </w:rPr>
            </w:pPr>
            <w:r w:rsidRPr="00E1536A">
              <w:rPr>
                <w:rFonts w:ascii="Futura Std Condensed Light" w:eastAsia="Calibri" w:hAnsi="Futura Std Condensed Light" w:cs="Calibri"/>
                <w:sz w:val="20"/>
                <w:szCs w:val="20"/>
              </w:rPr>
              <w:t>CAED</w:t>
            </w:r>
          </w:p>
        </w:tc>
        <w:tc>
          <w:tcPr>
            <w:tcW w:w="1498" w:type="dxa"/>
            <w:shd w:val="clear" w:color="auto" w:fill="auto"/>
            <w:noWrap/>
            <w:vAlign w:val="center"/>
            <w:hideMark/>
          </w:tcPr>
          <w:p w14:paraId="1BDE3C89" w14:textId="77777777" w:rsidR="006D148B" w:rsidRPr="00E1536A" w:rsidRDefault="006D148B" w:rsidP="00E1536A">
            <w:pPr>
              <w:spacing w:after="100" w:afterAutospacing="1" w:line="240" w:lineRule="auto"/>
              <w:jc w:val="center"/>
              <w:rPr>
                <w:rFonts w:ascii="Futura Std Condensed Light" w:eastAsia="Calibri" w:hAnsi="Futura Std Condensed Light" w:cs="Calibri"/>
                <w:sz w:val="20"/>
                <w:szCs w:val="20"/>
              </w:rPr>
            </w:pPr>
            <w:r w:rsidRPr="00E1536A">
              <w:rPr>
                <w:rFonts w:ascii="Futura Std Condensed Light" w:eastAsia="Calibri" w:hAnsi="Futura Std Condensed Light" w:cs="Calibri"/>
                <w:sz w:val="20"/>
                <w:szCs w:val="20"/>
              </w:rPr>
              <w:t>120</w:t>
            </w:r>
          </w:p>
        </w:tc>
        <w:tc>
          <w:tcPr>
            <w:tcW w:w="1292" w:type="dxa"/>
            <w:shd w:val="clear" w:color="auto" w:fill="auto"/>
            <w:noWrap/>
            <w:vAlign w:val="center"/>
            <w:hideMark/>
          </w:tcPr>
          <w:p w14:paraId="37C5108A" w14:textId="77777777" w:rsidR="006D148B" w:rsidRPr="00E1536A" w:rsidRDefault="006D148B" w:rsidP="00E1536A">
            <w:pPr>
              <w:spacing w:after="100" w:afterAutospacing="1" w:line="240" w:lineRule="auto"/>
              <w:jc w:val="center"/>
              <w:rPr>
                <w:rFonts w:ascii="Futura Std Condensed Light" w:eastAsia="Calibri" w:hAnsi="Futura Std Condensed Light" w:cs="Calibri"/>
                <w:sz w:val="20"/>
                <w:szCs w:val="20"/>
              </w:rPr>
            </w:pPr>
            <w:r w:rsidRPr="00E1536A">
              <w:rPr>
                <w:rFonts w:ascii="Futura Std Condensed Light" w:eastAsia="Calibri" w:hAnsi="Futura Std Condensed Light" w:cs="Calibri"/>
                <w:sz w:val="20"/>
                <w:szCs w:val="20"/>
              </w:rPr>
              <w:t>99</w:t>
            </w:r>
          </w:p>
        </w:tc>
        <w:tc>
          <w:tcPr>
            <w:tcW w:w="1230" w:type="dxa"/>
            <w:shd w:val="clear" w:color="auto" w:fill="auto"/>
            <w:noWrap/>
            <w:vAlign w:val="center"/>
            <w:hideMark/>
          </w:tcPr>
          <w:p w14:paraId="1E183D86" w14:textId="77777777" w:rsidR="006D148B" w:rsidRPr="00E1536A" w:rsidRDefault="006D148B" w:rsidP="00E1536A">
            <w:pPr>
              <w:spacing w:after="100" w:afterAutospacing="1" w:line="240" w:lineRule="auto"/>
              <w:jc w:val="center"/>
              <w:rPr>
                <w:rFonts w:ascii="Futura Std Condensed Light" w:eastAsia="Calibri" w:hAnsi="Futura Std Condensed Light" w:cs="Calibri"/>
                <w:sz w:val="20"/>
                <w:szCs w:val="20"/>
              </w:rPr>
            </w:pPr>
            <w:r w:rsidRPr="00E1536A">
              <w:rPr>
                <w:rFonts w:ascii="Futura Std Condensed Light" w:eastAsia="Calibri" w:hAnsi="Futura Std Condensed Light" w:cs="Calibri"/>
                <w:sz w:val="20"/>
                <w:szCs w:val="20"/>
              </w:rPr>
              <w:t>219</w:t>
            </w:r>
          </w:p>
        </w:tc>
        <w:tc>
          <w:tcPr>
            <w:tcW w:w="1340" w:type="dxa"/>
            <w:shd w:val="clear" w:color="auto" w:fill="auto"/>
            <w:noWrap/>
            <w:vAlign w:val="center"/>
            <w:hideMark/>
          </w:tcPr>
          <w:p w14:paraId="22FD0AC8" w14:textId="77777777" w:rsidR="006D148B" w:rsidRPr="00E1536A" w:rsidRDefault="006D148B" w:rsidP="00E1536A">
            <w:pPr>
              <w:spacing w:after="100" w:afterAutospacing="1" w:line="240" w:lineRule="auto"/>
              <w:jc w:val="center"/>
              <w:rPr>
                <w:rFonts w:ascii="Futura Std Condensed Light" w:eastAsia="Calibri" w:hAnsi="Futura Std Condensed Light" w:cs="Calibri"/>
                <w:sz w:val="20"/>
                <w:szCs w:val="20"/>
              </w:rPr>
            </w:pPr>
            <w:r w:rsidRPr="00E1536A">
              <w:rPr>
                <w:rFonts w:ascii="Futura Std Condensed Light" w:eastAsia="Calibri" w:hAnsi="Futura Std Condensed Light" w:cs="Calibri"/>
                <w:sz w:val="20"/>
                <w:szCs w:val="20"/>
              </w:rPr>
              <w:t>22</w:t>
            </w:r>
          </w:p>
        </w:tc>
        <w:tc>
          <w:tcPr>
            <w:tcW w:w="1340" w:type="dxa"/>
            <w:shd w:val="clear" w:color="auto" w:fill="auto"/>
            <w:noWrap/>
            <w:vAlign w:val="center"/>
            <w:hideMark/>
          </w:tcPr>
          <w:p w14:paraId="609370F9" w14:textId="77777777" w:rsidR="006D148B" w:rsidRPr="00E1536A" w:rsidRDefault="006D148B" w:rsidP="00E1536A">
            <w:pPr>
              <w:spacing w:after="100" w:afterAutospacing="1" w:line="240" w:lineRule="auto"/>
              <w:jc w:val="center"/>
              <w:rPr>
                <w:rFonts w:ascii="Futura Std Condensed Light" w:eastAsia="Calibri" w:hAnsi="Futura Std Condensed Light" w:cs="Calibri"/>
                <w:sz w:val="20"/>
                <w:szCs w:val="20"/>
              </w:rPr>
            </w:pPr>
            <w:r w:rsidRPr="00E1536A">
              <w:rPr>
                <w:rFonts w:ascii="Futura Std Condensed Light" w:eastAsia="Calibri" w:hAnsi="Futura Std Condensed Light" w:cs="Calibri"/>
                <w:sz w:val="20"/>
                <w:szCs w:val="20"/>
              </w:rPr>
              <w:t>5</w:t>
            </w:r>
          </w:p>
        </w:tc>
      </w:tr>
      <w:tr w:rsidR="006D148B" w:rsidRPr="00E1536A" w14:paraId="7D2AFFCB" w14:textId="77777777" w:rsidTr="004378A8">
        <w:trPr>
          <w:trHeight w:val="300"/>
          <w:jc w:val="center"/>
        </w:trPr>
        <w:tc>
          <w:tcPr>
            <w:tcW w:w="1960" w:type="dxa"/>
            <w:shd w:val="clear" w:color="auto" w:fill="auto"/>
            <w:noWrap/>
            <w:vAlign w:val="center"/>
            <w:hideMark/>
          </w:tcPr>
          <w:p w14:paraId="2D7056BB" w14:textId="77777777" w:rsidR="006D148B" w:rsidRPr="00E1536A" w:rsidRDefault="006D148B" w:rsidP="00E1536A">
            <w:pPr>
              <w:spacing w:after="100" w:afterAutospacing="1" w:line="240" w:lineRule="auto"/>
              <w:jc w:val="center"/>
              <w:rPr>
                <w:rFonts w:ascii="Futura Std Condensed Light" w:eastAsia="Calibri" w:hAnsi="Futura Std Condensed Light" w:cs="Calibri"/>
                <w:sz w:val="20"/>
                <w:szCs w:val="20"/>
              </w:rPr>
            </w:pPr>
            <w:r w:rsidRPr="00E1536A">
              <w:rPr>
                <w:rFonts w:ascii="Futura Std Condensed Light" w:eastAsia="Calibri" w:hAnsi="Futura Std Condensed Light" w:cs="Calibri"/>
                <w:sz w:val="20"/>
                <w:szCs w:val="20"/>
              </w:rPr>
              <w:t>CBTA</w:t>
            </w:r>
          </w:p>
        </w:tc>
        <w:tc>
          <w:tcPr>
            <w:tcW w:w="1498" w:type="dxa"/>
            <w:shd w:val="clear" w:color="auto" w:fill="auto"/>
            <w:noWrap/>
            <w:vAlign w:val="center"/>
            <w:hideMark/>
          </w:tcPr>
          <w:p w14:paraId="49BC008D" w14:textId="77777777" w:rsidR="006D148B" w:rsidRPr="00E1536A" w:rsidRDefault="006D148B" w:rsidP="00E1536A">
            <w:pPr>
              <w:spacing w:after="100" w:afterAutospacing="1" w:line="240" w:lineRule="auto"/>
              <w:jc w:val="center"/>
              <w:rPr>
                <w:rFonts w:ascii="Futura Std Condensed Light" w:eastAsia="Calibri" w:hAnsi="Futura Std Condensed Light" w:cs="Calibri"/>
                <w:sz w:val="20"/>
                <w:szCs w:val="20"/>
              </w:rPr>
            </w:pPr>
            <w:r w:rsidRPr="00E1536A">
              <w:rPr>
                <w:rFonts w:ascii="Futura Std Condensed Light" w:eastAsia="Calibri" w:hAnsi="Futura Std Condensed Light" w:cs="Calibri"/>
                <w:sz w:val="20"/>
                <w:szCs w:val="20"/>
              </w:rPr>
              <w:t>823</w:t>
            </w:r>
          </w:p>
        </w:tc>
        <w:tc>
          <w:tcPr>
            <w:tcW w:w="1292" w:type="dxa"/>
            <w:shd w:val="clear" w:color="auto" w:fill="auto"/>
            <w:noWrap/>
            <w:vAlign w:val="center"/>
            <w:hideMark/>
          </w:tcPr>
          <w:p w14:paraId="4C6DF90A" w14:textId="77777777" w:rsidR="006D148B" w:rsidRPr="00E1536A" w:rsidRDefault="006D148B" w:rsidP="00E1536A">
            <w:pPr>
              <w:spacing w:after="100" w:afterAutospacing="1" w:line="240" w:lineRule="auto"/>
              <w:jc w:val="center"/>
              <w:rPr>
                <w:rFonts w:ascii="Futura Std Condensed Light" w:eastAsia="Calibri" w:hAnsi="Futura Std Condensed Light" w:cs="Calibri"/>
                <w:sz w:val="20"/>
                <w:szCs w:val="20"/>
              </w:rPr>
            </w:pPr>
            <w:r w:rsidRPr="00E1536A">
              <w:rPr>
                <w:rFonts w:ascii="Futura Std Condensed Light" w:eastAsia="Calibri" w:hAnsi="Futura Std Condensed Light" w:cs="Calibri"/>
                <w:sz w:val="20"/>
                <w:szCs w:val="20"/>
              </w:rPr>
              <w:t>816</w:t>
            </w:r>
          </w:p>
        </w:tc>
        <w:tc>
          <w:tcPr>
            <w:tcW w:w="1230" w:type="dxa"/>
            <w:shd w:val="clear" w:color="auto" w:fill="auto"/>
            <w:noWrap/>
            <w:vAlign w:val="center"/>
            <w:hideMark/>
          </w:tcPr>
          <w:p w14:paraId="31F7C9FA" w14:textId="77777777" w:rsidR="006D148B" w:rsidRPr="00E1536A" w:rsidRDefault="006D148B" w:rsidP="00E1536A">
            <w:pPr>
              <w:spacing w:after="100" w:afterAutospacing="1" w:line="240" w:lineRule="auto"/>
              <w:jc w:val="center"/>
              <w:rPr>
                <w:rFonts w:ascii="Futura Std Condensed Light" w:eastAsia="Calibri" w:hAnsi="Futura Std Condensed Light" w:cs="Calibri"/>
                <w:sz w:val="20"/>
                <w:szCs w:val="20"/>
              </w:rPr>
            </w:pPr>
            <w:r w:rsidRPr="00E1536A">
              <w:rPr>
                <w:rFonts w:ascii="Futura Std Condensed Light" w:eastAsia="Calibri" w:hAnsi="Futura Std Condensed Light" w:cs="Calibri"/>
                <w:sz w:val="20"/>
                <w:szCs w:val="20"/>
              </w:rPr>
              <w:t>1,639</w:t>
            </w:r>
          </w:p>
        </w:tc>
        <w:tc>
          <w:tcPr>
            <w:tcW w:w="1340" w:type="dxa"/>
            <w:shd w:val="clear" w:color="auto" w:fill="auto"/>
            <w:noWrap/>
            <w:vAlign w:val="center"/>
            <w:hideMark/>
          </w:tcPr>
          <w:p w14:paraId="0A0C5164" w14:textId="77777777" w:rsidR="006D148B" w:rsidRPr="00E1536A" w:rsidRDefault="006D148B" w:rsidP="00E1536A">
            <w:pPr>
              <w:spacing w:after="100" w:afterAutospacing="1" w:line="240" w:lineRule="auto"/>
              <w:jc w:val="center"/>
              <w:rPr>
                <w:rFonts w:ascii="Futura Std Condensed Light" w:eastAsia="Calibri" w:hAnsi="Futura Std Condensed Light" w:cs="Calibri"/>
                <w:sz w:val="20"/>
                <w:szCs w:val="20"/>
              </w:rPr>
            </w:pPr>
            <w:r w:rsidRPr="00E1536A">
              <w:rPr>
                <w:rFonts w:ascii="Futura Std Condensed Light" w:eastAsia="Calibri" w:hAnsi="Futura Std Condensed Light" w:cs="Calibri"/>
                <w:sz w:val="20"/>
                <w:szCs w:val="20"/>
              </w:rPr>
              <w:t>105</w:t>
            </w:r>
          </w:p>
        </w:tc>
        <w:tc>
          <w:tcPr>
            <w:tcW w:w="1340" w:type="dxa"/>
            <w:shd w:val="clear" w:color="auto" w:fill="auto"/>
            <w:noWrap/>
            <w:vAlign w:val="center"/>
            <w:hideMark/>
          </w:tcPr>
          <w:p w14:paraId="159B2D71" w14:textId="77777777" w:rsidR="006D148B" w:rsidRPr="00E1536A" w:rsidRDefault="006D148B" w:rsidP="00E1536A">
            <w:pPr>
              <w:spacing w:after="100" w:afterAutospacing="1" w:line="240" w:lineRule="auto"/>
              <w:jc w:val="center"/>
              <w:rPr>
                <w:rFonts w:ascii="Futura Std Condensed Light" w:eastAsia="Calibri" w:hAnsi="Futura Std Condensed Light" w:cs="Calibri"/>
                <w:sz w:val="20"/>
                <w:szCs w:val="20"/>
              </w:rPr>
            </w:pPr>
            <w:r w:rsidRPr="00E1536A">
              <w:rPr>
                <w:rFonts w:ascii="Futura Std Condensed Light" w:eastAsia="Calibri" w:hAnsi="Futura Std Condensed Light" w:cs="Calibri"/>
                <w:sz w:val="20"/>
                <w:szCs w:val="20"/>
              </w:rPr>
              <w:t>4</w:t>
            </w:r>
          </w:p>
        </w:tc>
      </w:tr>
      <w:tr w:rsidR="006D148B" w:rsidRPr="00E1536A" w14:paraId="4A1A135F" w14:textId="77777777" w:rsidTr="004378A8">
        <w:trPr>
          <w:trHeight w:val="300"/>
          <w:jc w:val="center"/>
        </w:trPr>
        <w:tc>
          <w:tcPr>
            <w:tcW w:w="1960" w:type="dxa"/>
            <w:shd w:val="clear" w:color="auto" w:fill="auto"/>
            <w:noWrap/>
            <w:vAlign w:val="center"/>
            <w:hideMark/>
          </w:tcPr>
          <w:p w14:paraId="75A41457" w14:textId="77777777" w:rsidR="006D148B" w:rsidRPr="00E1536A" w:rsidRDefault="006D148B" w:rsidP="00E1536A">
            <w:pPr>
              <w:spacing w:after="100" w:afterAutospacing="1" w:line="240" w:lineRule="auto"/>
              <w:jc w:val="center"/>
              <w:rPr>
                <w:rFonts w:ascii="Futura Std Condensed Light" w:eastAsia="Calibri" w:hAnsi="Futura Std Condensed Light" w:cs="Calibri"/>
                <w:sz w:val="20"/>
                <w:szCs w:val="20"/>
              </w:rPr>
            </w:pPr>
            <w:r w:rsidRPr="00E1536A">
              <w:rPr>
                <w:rFonts w:ascii="Futura Std Condensed Light" w:eastAsia="Calibri" w:hAnsi="Futura Std Condensed Light" w:cs="Calibri"/>
                <w:sz w:val="20"/>
                <w:szCs w:val="20"/>
              </w:rPr>
              <w:t>CBTIS</w:t>
            </w:r>
          </w:p>
        </w:tc>
        <w:tc>
          <w:tcPr>
            <w:tcW w:w="1498" w:type="dxa"/>
            <w:shd w:val="clear" w:color="auto" w:fill="auto"/>
            <w:noWrap/>
            <w:vAlign w:val="center"/>
            <w:hideMark/>
          </w:tcPr>
          <w:p w14:paraId="32AD48B7" w14:textId="77777777" w:rsidR="006D148B" w:rsidRPr="00E1536A" w:rsidRDefault="006D148B" w:rsidP="00E1536A">
            <w:pPr>
              <w:spacing w:after="100" w:afterAutospacing="1" w:line="240" w:lineRule="auto"/>
              <w:jc w:val="center"/>
              <w:rPr>
                <w:rFonts w:ascii="Futura Std Condensed Light" w:eastAsia="Calibri" w:hAnsi="Futura Std Condensed Light" w:cs="Calibri"/>
                <w:sz w:val="20"/>
                <w:szCs w:val="20"/>
              </w:rPr>
            </w:pPr>
            <w:r w:rsidRPr="00E1536A">
              <w:rPr>
                <w:rFonts w:ascii="Futura Std Condensed Light" w:eastAsia="Calibri" w:hAnsi="Futura Std Condensed Light" w:cs="Calibri"/>
                <w:sz w:val="20"/>
                <w:szCs w:val="20"/>
              </w:rPr>
              <w:t>3,988</w:t>
            </w:r>
          </w:p>
        </w:tc>
        <w:tc>
          <w:tcPr>
            <w:tcW w:w="1292" w:type="dxa"/>
            <w:shd w:val="clear" w:color="auto" w:fill="auto"/>
            <w:noWrap/>
            <w:vAlign w:val="center"/>
            <w:hideMark/>
          </w:tcPr>
          <w:p w14:paraId="3CCB58BE" w14:textId="77777777" w:rsidR="006D148B" w:rsidRPr="00E1536A" w:rsidRDefault="006D148B" w:rsidP="00E1536A">
            <w:pPr>
              <w:spacing w:after="100" w:afterAutospacing="1" w:line="240" w:lineRule="auto"/>
              <w:jc w:val="center"/>
              <w:rPr>
                <w:rFonts w:ascii="Futura Std Condensed Light" w:eastAsia="Calibri" w:hAnsi="Futura Std Condensed Light" w:cs="Calibri"/>
                <w:sz w:val="20"/>
                <w:szCs w:val="20"/>
              </w:rPr>
            </w:pPr>
            <w:r w:rsidRPr="00E1536A">
              <w:rPr>
                <w:rFonts w:ascii="Futura Std Condensed Light" w:eastAsia="Calibri" w:hAnsi="Futura Std Condensed Light" w:cs="Calibri"/>
                <w:sz w:val="20"/>
                <w:szCs w:val="20"/>
              </w:rPr>
              <w:t>4,083</w:t>
            </w:r>
          </w:p>
        </w:tc>
        <w:tc>
          <w:tcPr>
            <w:tcW w:w="1230" w:type="dxa"/>
            <w:shd w:val="clear" w:color="auto" w:fill="auto"/>
            <w:noWrap/>
            <w:vAlign w:val="center"/>
            <w:hideMark/>
          </w:tcPr>
          <w:p w14:paraId="601836B5" w14:textId="77777777" w:rsidR="006D148B" w:rsidRPr="00E1536A" w:rsidRDefault="006D148B" w:rsidP="00E1536A">
            <w:pPr>
              <w:spacing w:after="100" w:afterAutospacing="1" w:line="240" w:lineRule="auto"/>
              <w:jc w:val="center"/>
              <w:rPr>
                <w:rFonts w:ascii="Futura Std Condensed Light" w:eastAsia="Calibri" w:hAnsi="Futura Std Condensed Light" w:cs="Calibri"/>
                <w:sz w:val="20"/>
                <w:szCs w:val="20"/>
              </w:rPr>
            </w:pPr>
            <w:r w:rsidRPr="00E1536A">
              <w:rPr>
                <w:rFonts w:ascii="Futura Std Condensed Light" w:eastAsia="Calibri" w:hAnsi="Futura Std Condensed Light" w:cs="Calibri"/>
                <w:sz w:val="20"/>
                <w:szCs w:val="20"/>
              </w:rPr>
              <w:t>8,071</w:t>
            </w:r>
          </w:p>
        </w:tc>
        <w:tc>
          <w:tcPr>
            <w:tcW w:w="1340" w:type="dxa"/>
            <w:shd w:val="clear" w:color="auto" w:fill="auto"/>
            <w:noWrap/>
            <w:vAlign w:val="center"/>
            <w:hideMark/>
          </w:tcPr>
          <w:p w14:paraId="1BF794C0" w14:textId="77777777" w:rsidR="006D148B" w:rsidRPr="00E1536A" w:rsidRDefault="006D148B" w:rsidP="00E1536A">
            <w:pPr>
              <w:spacing w:after="100" w:afterAutospacing="1" w:line="240" w:lineRule="auto"/>
              <w:jc w:val="center"/>
              <w:rPr>
                <w:rFonts w:ascii="Futura Std Condensed Light" w:eastAsia="Calibri" w:hAnsi="Futura Std Condensed Light" w:cs="Calibri"/>
                <w:sz w:val="20"/>
                <w:szCs w:val="20"/>
              </w:rPr>
            </w:pPr>
            <w:r w:rsidRPr="00E1536A">
              <w:rPr>
                <w:rFonts w:ascii="Futura Std Condensed Light" w:eastAsia="Calibri" w:hAnsi="Futura Std Condensed Light" w:cs="Calibri"/>
                <w:sz w:val="20"/>
                <w:szCs w:val="20"/>
              </w:rPr>
              <w:t>388</w:t>
            </w:r>
          </w:p>
        </w:tc>
        <w:tc>
          <w:tcPr>
            <w:tcW w:w="1340" w:type="dxa"/>
            <w:shd w:val="clear" w:color="auto" w:fill="auto"/>
            <w:noWrap/>
            <w:vAlign w:val="center"/>
            <w:hideMark/>
          </w:tcPr>
          <w:p w14:paraId="041238CF" w14:textId="77777777" w:rsidR="006D148B" w:rsidRPr="00E1536A" w:rsidRDefault="006D148B" w:rsidP="00E1536A">
            <w:pPr>
              <w:spacing w:after="100" w:afterAutospacing="1" w:line="240" w:lineRule="auto"/>
              <w:jc w:val="center"/>
              <w:rPr>
                <w:rFonts w:ascii="Futura Std Condensed Light" w:eastAsia="Calibri" w:hAnsi="Futura Std Condensed Light" w:cs="Calibri"/>
                <w:sz w:val="20"/>
                <w:szCs w:val="20"/>
              </w:rPr>
            </w:pPr>
            <w:r w:rsidRPr="00E1536A">
              <w:rPr>
                <w:rFonts w:ascii="Futura Std Condensed Light" w:eastAsia="Calibri" w:hAnsi="Futura Std Condensed Light" w:cs="Calibri"/>
                <w:sz w:val="20"/>
                <w:szCs w:val="20"/>
              </w:rPr>
              <w:t>12</w:t>
            </w:r>
          </w:p>
        </w:tc>
      </w:tr>
      <w:tr w:rsidR="006D148B" w:rsidRPr="00E1536A" w14:paraId="0133A9B9" w14:textId="77777777" w:rsidTr="004378A8">
        <w:trPr>
          <w:trHeight w:val="300"/>
          <w:jc w:val="center"/>
        </w:trPr>
        <w:tc>
          <w:tcPr>
            <w:tcW w:w="1960" w:type="dxa"/>
            <w:shd w:val="clear" w:color="auto" w:fill="auto"/>
            <w:noWrap/>
            <w:vAlign w:val="center"/>
            <w:hideMark/>
          </w:tcPr>
          <w:p w14:paraId="656609DD" w14:textId="77777777" w:rsidR="006D148B" w:rsidRPr="00E1536A" w:rsidRDefault="006D148B" w:rsidP="00E1536A">
            <w:pPr>
              <w:spacing w:after="100" w:afterAutospacing="1" w:line="240" w:lineRule="auto"/>
              <w:jc w:val="center"/>
              <w:rPr>
                <w:rFonts w:ascii="Futura Std Condensed Light" w:eastAsia="Calibri" w:hAnsi="Futura Std Condensed Light" w:cs="Calibri"/>
                <w:sz w:val="20"/>
                <w:szCs w:val="20"/>
              </w:rPr>
            </w:pPr>
            <w:r w:rsidRPr="00E1536A">
              <w:rPr>
                <w:rFonts w:ascii="Futura Std Condensed Light" w:eastAsia="Calibri" w:hAnsi="Futura Std Condensed Light" w:cs="Calibri"/>
                <w:sz w:val="20"/>
                <w:szCs w:val="20"/>
              </w:rPr>
              <w:t>CEB</w:t>
            </w:r>
          </w:p>
        </w:tc>
        <w:tc>
          <w:tcPr>
            <w:tcW w:w="1498" w:type="dxa"/>
            <w:shd w:val="clear" w:color="auto" w:fill="auto"/>
            <w:noWrap/>
            <w:vAlign w:val="center"/>
            <w:hideMark/>
          </w:tcPr>
          <w:p w14:paraId="169541C6" w14:textId="77777777" w:rsidR="006D148B" w:rsidRPr="00E1536A" w:rsidRDefault="006D148B" w:rsidP="00E1536A">
            <w:pPr>
              <w:spacing w:after="100" w:afterAutospacing="1" w:line="240" w:lineRule="auto"/>
              <w:jc w:val="center"/>
              <w:rPr>
                <w:rFonts w:ascii="Futura Std Condensed Light" w:eastAsia="Calibri" w:hAnsi="Futura Std Condensed Light" w:cs="Calibri"/>
                <w:sz w:val="20"/>
                <w:szCs w:val="20"/>
              </w:rPr>
            </w:pPr>
            <w:r w:rsidRPr="00E1536A">
              <w:rPr>
                <w:rFonts w:ascii="Futura Std Condensed Light" w:eastAsia="Calibri" w:hAnsi="Futura Std Condensed Light" w:cs="Calibri"/>
                <w:sz w:val="20"/>
                <w:szCs w:val="20"/>
              </w:rPr>
              <w:t>238</w:t>
            </w:r>
          </w:p>
        </w:tc>
        <w:tc>
          <w:tcPr>
            <w:tcW w:w="1292" w:type="dxa"/>
            <w:shd w:val="clear" w:color="auto" w:fill="auto"/>
            <w:noWrap/>
            <w:vAlign w:val="center"/>
            <w:hideMark/>
          </w:tcPr>
          <w:p w14:paraId="7708FE47" w14:textId="77777777" w:rsidR="006D148B" w:rsidRPr="00E1536A" w:rsidRDefault="006D148B" w:rsidP="00E1536A">
            <w:pPr>
              <w:spacing w:after="100" w:afterAutospacing="1" w:line="240" w:lineRule="auto"/>
              <w:jc w:val="center"/>
              <w:rPr>
                <w:rFonts w:ascii="Futura Std Condensed Light" w:eastAsia="Calibri" w:hAnsi="Futura Std Condensed Light" w:cs="Calibri"/>
                <w:sz w:val="20"/>
                <w:szCs w:val="20"/>
              </w:rPr>
            </w:pPr>
            <w:r w:rsidRPr="00E1536A">
              <w:rPr>
                <w:rFonts w:ascii="Futura Std Condensed Light" w:eastAsia="Calibri" w:hAnsi="Futura Std Condensed Light" w:cs="Calibri"/>
                <w:sz w:val="20"/>
                <w:szCs w:val="20"/>
              </w:rPr>
              <w:t>316</w:t>
            </w:r>
          </w:p>
        </w:tc>
        <w:tc>
          <w:tcPr>
            <w:tcW w:w="1230" w:type="dxa"/>
            <w:shd w:val="clear" w:color="auto" w:fill="auto"/>
            <w:noWrap/>
            <w:vAlign w:val="center"/>
            <w:hideMark/>
          </w:tcPr>
          <w:p w14:paraId="2F0FD039" w14:textId="77777777" w:rsidR="006D148B" w:rsidRPr="00E1536A" w:rsidRDefault="006D148B" w:rsidP="00E1536A">
            <w:pPr>
              <w:spacing w:after="100" w:afterAutospacing="1" w:line="240" w:lineRule="auto"/>
              <w:jc w:val="center"/>
              <w:rPr>
                <w:rFonts w:ascii="Futura Std Condensed Light" w:eastAsia="Calibri" w:hAnsi="Futura Std Condensed Light" w:cs="Calibri"/>
                <w:sz w:val="20"/>
                <w:szCs w:val="20"/>
              </w:rPr>
            </w:pPr>
            <w:r w:rsidRPr="00E1536A">
              <w:rPr>
                <w:rFonts w:ascii="Futura Std Condensed Light" w:eastAsia="Calibri" w:hAnsi="Futura Std Condensed Light" w:cs="Calibri"/>
                <w:sz w:val="20"/>
                <w:szCs w:val="20"/>
              </w:rPr>
              <w:t>554</w:t>
            </w:r>
          </w:p>
        </w:tc>
        <w:tc>
          <w:tcPr>
            <w:tcW w:w="1340" w:type="dxa"/>
            <w:shd w:val="clear" w:color="auto" w:fill="auto"/>
            <w:noWrap/>
            <w:vAlign w:val="center"/>
            <w:hideMark/>
          </w:tcPr>
          <w:p w14:paraId="0CB3D9E0" w14:textId="77777777" w:rsidR="006D148B" w:rsidRPr="00E1536A" w:rsidRDefault="006D148B" w:rsidP="00E1536A">
            <w:pPr>
              <w:spacing w:after="100" w:afterAutospacing="1" w:line="240" w:lineRule="auto"/>
              <w:jc w:val="center"/>
              <w:rPr>
                <w:rFonts w:ascii="Futura Std Condensed Light" w:eastAsia="Calibri" w:hAnsi="Futura Std Condensed Light" w:cs="Calibri"/>
                <w:sz w:val="20"/>
                <w:szCs w:val="20"/>
              </w:rPr>
            </w:pPr>
            <w:r w:rsidRPr="00E1536A">
              <w:rPr>
                <w:rFonts w:ascii="Futura Std Condensed Light" w:eastAsia="Calibri" w:hAnsi="Futura Std Condensed Light" w:cs="Calibri"/>
                <w:sz w:val="20"/>
                <w:szCs w:val="20"/>
              </w:rPr>
              <w:t>38</w:t>
            </w:r>
          </w:p>
        </w:tc>
        <w:tc>
          <w:tcPr>
            <w:tcW w:w="1340" w:type="dxa"/>
            <w:shd w:val="clear" w:color="auto" w:fill="auto"/>
            <w:noWrap/>
            <w:vAlign w:val="center"/>
            <w:hideMark/>
          </w:tcPr>
          <w:p w14:paraId="6ABA1E92" w14:textId="77777777" w:rsidR="006D148B" w:rsidRPr="00E1536A" w:rsidRDefault="006D148B" w:rsidP="00E1536A">
            <w:pPr>
              <w:spacing w:after="100" w:afterAutospacing="1" w:line="240" w:lineRule="auto"/>
              <w:jc w:val="center"/>
              <w:rPr>
                <w:rFonts w:ascii="Futura Std Condensed Light" w:eastAsia="Calibri" w:hAnsi="Futura Std Condensed Light" w:cs="Calibri"/>
                <w:sz w:val="20"/>
                <w:szCs w:val="20"/>
              </w:rPr>
            </w:pPr>
            <w:r w:rsidRPr="00E1536A">
              <w:rPr>
                <w:rFonts w:ascii="Futura Std Condensed Light" w:eastAsia="Calibri" w:hAnsi="Futura Std Condensed Light" w:cs="Calibri"/>
                <w:sz w:val="20"/>
                <w:szCs w:val="20"/>
              </w:rPr>
              <w:t>3</w:t>
            </w:r>
          </w:p>
        </w:tc>
      </w:tr>
      <w:tr w:rsidR="006D148B" w:rsidRPr="00E1536A" w14:paraId="6AAC3B3E" w14:textId="77777777" w:rsidTr="004378A8">
        <w:trPr>
          <w:trHeight w:val="300"/>
          <w:jc w:val="center"/>
        </w:trPr>
        <w:tc>
          <w:tcPr>
            <w:tcW w:w="1960" w:type="dxa"/>
            <w:shd w:val="clear" w:color="auto" w:fill="auto"/>
            <w:noWrap/>
            <w:vAlign w:val="center"/>
            <w:hideMark/>
          </w:tcPr>
          <w:p w14:paraId="3602DA27" w14:textId="77777777" w:rsidR="006D148B" w:rsidRPr="00E1536A" w:rsidRDefault="006D148B" w:rsidP="00E1536A">
            <w:pPr>
              <w:spacing w:after="100" w:afterAutospacing="1" w:line="240" w:lineRule="auto"/>
              <w:jc w:val="center"/>
              <w:rPr>
                <w:rFonts w:ascii="Futura Std Condensed Light" w:eastAsia="Calibri" w:hAnsi="Futura Std Condensed Light" w:cs="Calibri"/>
                <w:sz w:val="20"/>
                <w:szCs w:val="20"/>
              </w:rPr>
            </w:pPr>
            <w:r w:rsidRPr="00E1536A">
              <w:rPr>
                <w:rFonts w:ascii="Futura Std Condensed Light" w:eastAsia="Calibri" w:hAnsi="Futura Std Condensed Light" w:cs="Calibri"/>
                <w:sz w:val="20"/>
                <w:szCs w:val="20"/>
              </w:rPr>
              <w:t>CECYTE</w:t>
            </w:r>
          </w:p>
        </w:tc>
        <w:tc>
          <w:tcPr>
            <w:tcW w:w="1498" w:type="dxa"/>
            <w:shd w:val="clear" w:color="auto" w:fill="auto"/>
            <w:noWrap/>
            <w:vAlign w:val="center"/>
            <w:hideMark/>
          </w:tcPr>
          <w:p w14:paraId="2677C9A3" w14:textId="77777777" w:rsidR="006D148B" w:rsidRPr="00E1536A" w:rsidRDefault="006D148B" w:rsidP="00E1536A">
            <w:pPr>
              <w:spacing w:after="100" w:afterAutospacing="1" w:line="240" w:lineRule="auto"/>
              <w:jc w:val="center"/>
              <w:rPr>
                <w:rFonts w:ascii="Futura Std Condensed Light" w:eastAsia="Calibri" w:hAnsi="Futura Std Condensed Light" w:cs="Calibri"/>
                <w:sz w:val="20"/>
                <w:szCs w:val="20"/>
              </w:rPr>
            </w:pPr>
            <w:r w:rsidRPr="00E1536A">
              <w:rPr>
                <w:rFonts w:ascii="Futura Std Condensed Light" w:eastAsia="Calibri" w:hAnsi="Futura Std Condensed Light" w:cs="Calibri"/>
                <w:sz w:val="20"/>
                <w:szCs w:val="20"/>
              </w:rPr>
              <w:t>5,895</w:t>
            </w:r>
          </w:p>
        </w:tc>
        <w:tc>
          <w:tcPr>
            <w:tcW w:w="1292" w:type="dxa"/>
            <w:shd w:val="clear" w:color="auto" w:fill="auto"/>
            <w:noWrap/>
            <w:vAlign w:val="center"/>
            <w:hideMark/>
          </w:tcPr>
          <w:p w14:paraId="5C7F2B62" w14:textId="77777777" w:rsidR="006D148B" w:rsidRPr="00E1536A" w:rsidRDefault="006D148B" w:rsidP="00E1536A">
            <w:pPr>
              <w:spacing w:after="100" w:afterAutospacing="1" w:line="240" w:lineRule="auto"/>
              <w:jc w:val="center"/>
              <w:rPr>
                <w:rFonts w:ascii="Futura Std Condensed Light" w:eastAsia="Calibri" w:hAnsi="Futura Std Condensed Light" w:cs="Calibri"/>
                <w:sz w:val="20"/>
                <w:szCs w:val="20"/>
              </w:rPr>
            </w:pPr>
            <w:r w:rsidRPr="00E1536A">
              <w:rPr>
                <w:rFonts w:ascii="Futura Std Condensed Light" w:eastAsia="Calibri" w:hAnsi="Futura Std Condensed Light" w:cs="Calibri"/>
                <w:sz w:val="20"/>
                <w:szCs w:val="20"/>
              </w:rPr>
              <w:t>4,955</w:t>
            </w:r>
          </w:p>
        </w:tc>
        <w:tc>
          <w:tcPr>
            <w:tcW w:w="1230" w:type="dxa"/>
            <w:shd w:val="clear" w:color="auto" w:fill="auto"/>
            <w:noWrap/>
            <w:vAlign w:val="center"/>
            <w:hideMark/>
          </w:tcPr>
          <w:p w14:paraId="15B03F26" w14:textId="77777777" w:rsidR="006D148B" w:rsidRPr="00E1536A" w:rsidRDefault="006D148B" w:rsidP="00E1536A">
            <w:pPr>
              <w:spacing w:after="100" w:afterAutospacing="1" w:line="240" w:lineRule="auto"/>
              <w:jc w:val="center"/>
              <w:rPr>
                <w:rFonts w:ascii="Futura Std Condensed Light" w:eastAsia="Calibri" w:hAnsi="Futura Std Condensed Light" w:cs="Calibri"/>
                <w:sz w:val="20"/>
                <w:szCs w:val="20"/>
              </w:rPr>
            </w:pPr>
            <w:r w:rsidRPr="00E1536A">
              <w:rPr>
                <w:rFonts w:ascii="Futura Std Condensed Light" w:eastAsia="Calibri" w:hAnsi="Futura Std Condensed Light" w:cs="Calibri"/>
                <w:sz w:val="20"/>
                <w:szCs w:val="20"/>
              </w:rPr>
              <w:t>10,850</w:t>
            </w:r>
          </w:p>
        </w:tc>
        <w:tc>
          <w:tcPr>
            <w:tcW w:w="1340" w:type="dxa"/>
            <w:shd w:val="clear" w:color="auto" w:fill="auto"/>
            <w:noWrap/>
            <w:vAlign w:val="center"/>
            <w:hideMark/>
          </w:tcPr>
          <w:p w14:paraId="2573418A" w14:textId="77777777" w:rsidR="006D148B" w:rsidRPr="00E1536A" w:rsidRDefault="006D148B" w:rsidP="00E1536A">
            <w:pPr>
              <w:spacing w:after="100" w:afterAutospacing="1" w:line="240" w:lineRule="auto"/>
              <w:jc w:val="center"/>
              <w:rPr>
                <w:rFonts w:ascii="Futura Std Condensed Light" w:eastAsia="Calibri" w:hAnsi="Futura Std Condensed Light" w:cs="Calibri"/>
                <w:sz w:val="20"/>
                <w:szCs w:val="20"/>
              </w:rPr>
            </w:pPr>
            <w:r w:rsidRPr="00E1536A">
              <w:rPr>
                <w:rFonts w:ascii="Futura Std Condensed Light" w:eastAsia="Calibri" w:hAnsi="Futura Std Condensed Light" w:cs="Calibri"/>
                <w:sz w:val="20"/>
                <w:szCs w:val="20"/>
              </w:rPr>
              <w:t>339</w:t>
            </w:r>
          </w:p>
        </w:tc>
        <w:tc>
          <w:tcPr>
            <w:tcW w:w="1340" w:type="dxa"/>
            <w:shd w:val="clear" w:color="auto" w:fill="auto"/>
            <w:noWrap/>
            <w:vAlign w:val="center"/>
            <w:hideMark/>
          </w:tcPr>
          <w:p w14:paraId="51A60F77" w14:textId="77777777" w:rsidR="006D148B" w:rsidRPr="00E1536A" w:rsidRDefault="006D148B" w:rsidP="00E1536A">
            <w:pPr>
              <w:spacing w:after="100" w:afterAutospacing="1" w:line="240" w:lineRule="auto"/>
              <w:jc w:val="center"/>
              <w:rPr>
                <w:rFonts w:ascii="Futura Std Condensed Light" w:eastAsia="Calibri" w:hAnsi="Futura Std Condensed Light" w:cs="Calibri"/>
                <w:sz w:val="20"/>
                <w:szCs w:val="20"/>
              </w:rPr>
            </w:pPr>
            <w:r w:rsidRPr="00E1536A">
              <w:rPr>
                <w:rFonts w:ascii="Futura Std Condensed Light" w:eastAsia="Calibri" w:hAnsi="Futura Std Condensed Light" w:cs="Calibri"/>
                <w:sz w:val="20"/>
                <w:szCs w:val="20"/>
              </w:rPr>
              <w:t>18</w:t>
            </w:r>
          </w:p>
        </w:tc>
      </w:tr>
      <w:tr w:rsidR="006D148B" w:rsidRPr="00E1536A" w14:paraId="2EC6546A" w14:textId="77777777" w:rsidTr="004378A8">
        <w:trPr>
          <w:trHeight w:val="300"/>
          <w:jc w:val="center"/>
        </w:trPr>
        <w:tc>
          <w:tcPr>
            <w:tcW w:w="1960" w:type="dxa"/>
            <w:shd w:val="clear" w:color="auto" w:fill="auto"/>
            <w:noWrap/>
            <w:vAlign w:val="center"/>
            <w:hideMark/>
          </w:tcPr>
          <w:p w14:paraId="6C69B2C1" w14:textId="77777777" w:rsidR="006D148B" w:rsidRPr="00E1536A" w:rsidRDefault="006D148B" w:rsidP="00E1536A">
            <w:pPr>
              <w:spacing w:after="100" w:afterAutospacing="1" w:line="240" w:lineRule="auto"/>
              <w:jc w:val="center"/>
              <w:rPr>
                <w:rFonts w:ascii="Futura Std Condensed Light" w:eastAsia="Calibri" w:hAnsi="Futura Std Condensed Light" w:cs="Calibri"/>
                <w:sz w:val="20"/>
                <w:szCs w:val="20"/>
              </w:rPr>
            </w:pPr>
            <w:r w:rsidRPr="00E1536A">
              <w:rPr>
                <w:rFonts w:ascii="Futura Std Condensed Light" w:eastAsia="Calibri" w:hAnsi="Futura Std Condensed Light" w:cs="Calibri"/>
                <w:sz w:val="20"/>
                <w:szCs w:val="20"/>
              </w:rPr>
              <w:t>CETMAR</w:t>
            </w:r>
          </w:p>
        </w:tc>
        <w:tc>
          <w:tcPr>
            <w:tcW w:w="1498" w:type="dxa"/>
            <w:shd w:val="clear" w:color="auto" w:fill="auto"/>
            <w:noWrap/>
            <w:vAlign w:val="center"/>
            <w:hideMark/>
          </w:tcPr>
          <w:p w14:paraId="2DFB9245" w14:textId="77777777" w:rsidR="006D148B" w:rsidRPr="00E1536A" w:rsidRDefault="006D148B" w:rsidP="00E1536A">
            <w:pPr>
              <w:spacing w:after="100" w:afterAutospacing="1" w:line="240" w:lineRule="auto"/>
              <w:jc w:val="center"/>
              <w:rPr>
                <w:rFonts w:ascii="Futura Std Condensed Light" w:eastAsia="Calibri" w:hAnsi="Futura Std Condensed Light" w:cs="Calibri"/>
                <w:sz w:val="20"/>
                <w:szCs w:val="20"/>
              </w:rPr>
            </w:pPr>
            <w:r w:rsidRPr="00E1536A">
              <w:rPr>
                <w:rFonts w:ascii="Futura Std Condensed Light" w:eastAsia="Calibri" w:hAnsi="Futura Std Condensed Light" w:cs="Calibri"/>
                <w:sz w:val="20"/>
                <w:szCs w:val="20"/>
              </w:rPr>
              <w:t>1,897</w:t>
            </w:r>
          </w:p>
        </w:tc>
        <w:tc>
          <w:tcPr>
            <w:tcW w:w="1292" w:type="dxa"/>
            <w:shd w:val="clear" w:color="auto" w:fill="auto"/>
            <w:noWrap/>
            <w:vAlign w:val="center"/>
            <w:hideMark/>
          </w:tcPr>
          <w:p w14:paraId="27273A28" w14:textId="77777777" w:rsidR="006D148B" w:rsidRPr="00E1536A" w:rsidRDefault="006D148B" w:rsidP="00E1536A">
            <w:pPr>
              <w:spacing w:after="100" w:afterAutospacing="1" w:line="240" w:lineRule="auto"/>
              <w:jc w:val="center"/>
              <w:rPr>
                <w:rFonts w:ascii="Futura Std Condensed Light" w:eastAsia="Calibri" w:hAnsi="Futura Std Condensed Light" w:cs="Calibri"/>
                <w:sz w:val="20"/>
                <w:szCs w:val="20"/>
              </w:rPr>
            </w:pPr>
            <w:r w:rsidRPr="00E1536A">
              <w:rPr>
                <w:rFonts w:ascii="Futura Std Condensed Light" w:eastAsia="Calibri" w:hAnsi="Futura Std Condensed Light" w:cs="Calibri"/>
                <w:sz w:val="20"/>
                <w:szCs w:val="20"/>
              </w:rPr>
              <w:t>1,789</w:t>
            </w:r>
          </w:p>
        </w:tc>
        <w:tc>
          <w:tcPr>
            <w:tcW w:w="1230" w:type="dxa"/>
            <w:shd w:val="clear" w:color="auto" w:fill="auto"/>
            <w:noWrap/>
            <w:vAlign w:val="center"/>
            <w:hideMark/>
          </w:tcPr>
          <w:p w14:paraId="26EEE940" w14:textId="77777777" w:rsidR="006D148B" w:rsidRPr="00E1536A" w:rsidRDefault="006D148B" w:rsidP="00E1536A">
            <w:pPr>
              <w:spacing w:after="100" w:afterAutospacing="1" w:line="240" w:lineRule="auto"/>
              <w:jc w:val="center"/>
              <w:rPr>
                <w:rFonts w:ascii="Futura Std Condensed Light" w:eastAsia="Calibri" w:hAnsi="Futura Std Condensed Light" w:cs="Calibri"/>
                <w:sz w:val="20"/>
                <w:szCs w:val="20"/>
              </w:rPr>
            </w:pPr>
            <w:r w:rsidRPr="00E1536A">
              <w:rPr>
                <w:rFonts w:ascii="Futura Std Condensed Light" w:eastAsia="Calibri" w:hAnsi="Futura Std Condensed Light" w:cs="Calibri"/>
                <w:sz w:val="20"/>
                <w:szCs w:val="20"/>
              </w:rPr>
              <w:t>3,686</w:t>
            </w:r>
          </w:p>
        </w:tc>
        <w:tc>
          <w:tcPr>
            <w:tcW w:w="1340" w:type="dxa"/>
            <w:shd w:val="clear" w:color="auto" w:fill="auto"/>
            <w:noWrap/>
            <w:vAlign w:val="center"/>
            <w:hideMark/>
          </w:tcPr>
          <w:p w14:paraId="3676F220" w14:textId="77777777" w:rsidR="006D148B" w:rsidRPr="00E1536A" w:rsidRDefault="006D148B" w:rsidP="00E1536A">
            <w:pPr>
              <w:spacing w:after="100" w:afterAutospacing="1" w:line="240" w:lineRule="auto"/>
              <w:jc w:val="center"/>
              <w:rPr>
                <w:rFonts w:ascii="Futura Std Condensed Light" w:eastAsia="Calibri" w:hAnsi="Futura Std Condensed Light" w:cs="Calibri"/>
                <w:sz w:val="20"/>
                <w:szCs w:val="20"/>
              </w:rPr>
            </w:pPr>
            <w:r w:rsidRPr="00E1536A">
              <w:rPr>
                <w:rFonts w:ascii="Futura Std Condensed Light" w:eastAsia="Calibri" w:hAnsi="Futura Std Condensed Light" w:cs="Calibri"/>
                <w:sz w:val="20"/>
                <w:szCs w:val="20"/>
              </w:rPr>
              <w:t>163</w:t>
            </w:r>
          </w:p>
        </w:tc>
        <w:tc>
          <w:tcPr>
            <w:tcW w:w="1340" w:type="dxa"/>
            <w:shd w:val="clear" w:color="auto" w:fill="auto"/>
            <w:noWrap/>
            <w:vAlign w:val="center"/>
            <w:hideMark/>
          </w:tcPr>
          <w:p w14:paraId="0C33801B" w14:textId="77777777" w:rsidR="006D148B" w:rsidRPr="00E1536A" w:rsidRDefault="006D148B" w:rsidP="00E1536A">
            <w:pPr>
              <w:spacing w:after="100" w:afterAutospacing="1" w:line="240" w:lineRule="auto"/>
              <w:jc w:val="center"/>
              <w:rPr>
                <w:rFonts w:ascii="Futura Std Condensed Light" w:eastAsia="Calibri" w:hAnsi="Futura Std Condensed Light" w:cs="Calibri"/>
                <w:sz w:val="20"/>
                <w:szCs w:val="20"/>
              </w:rPr>
            </w:pPr>
            <w:r w:rsidRPr="00E1536A">
              <w:rPr>
                <w:rFonts w:ascii="Futura Std Condensed Light" w:eastAsia="Calibri" w:hAnsi="Futura Std Condensed Light" w:cs="Calibri"/>
                <w:sz w:val="20"/>
                <w:szCs w:val="20"/>
              </w:rPr>
              <w:t>5</w:t>
            </w:r>
          </w:p>
        </w:tc>
      </w:tr>
      <w:tr w:rsidR="006D148B" w:rsidRPr="00E1536A" w14:paraId="627F61B5" w14:textId="77777777" w:rsidTr="004378A8">
        <w:trPr>
          <w:trHeight w:val="300"/>
          <w:jc w:val="center"/>
        </w:trPr>
        <w:tc>
          <w:tcPr>
            <w:tcW w:w="1960" w:type="dxa"/>
            <w:shd w:val="clear" w:color="auto" w:fill="auto"/>
            <w:noWrap/>
            <w:vAlign w:val="center"/>
            <w:hideMark/>
          </w:tcPr>
          <w:p w14:paraId="09A140BA" w14:textId="77777777" w:rsidR="006D148B" w:rsidRPr="00E1536A" w:rsidRDefault="006D148B" w:rsidP="00E1536A">
            <w:pPr>
              <w:spacing w:after="100" w:afterAutospacing="1" w:line="240" w:lineRule="auto"/>
              <w:jc w:val="center"/>
              <w:rPr>
                <w:rFonts w:ascii="Futura Std Condensed Light" w:eastAsia="Calibri" w:hAnsi="Futura Std Condensed Light" w:cs="Calibri"/>
                <w:sz w:val="20"/>
                <w:szCs w:val="20"/>
              </w:rPr>
            </w:pPr>
            <w:r w:rsidRPr="00E1536A">
              <w:rPr>
                <w:rFonts w:ascii="Futura Std Condensed Light" w:eastAsia="Calibri" w:hAnsi="Futura Std Condensed Light" w:cs="Calibri"/>
                <w:sz w:val="20"/>
                <w:szCs w:val="20"/>
              </w:rPr>
              <w:t>Conalep</w:t>
            </w:r>
          </w:p>
        </w:tc>
        <w:tc>
          <w:tcPr>
            <w:tcW w:w="1498" w:type="dxa"/>
            <w:shd w:val="clear" w:color="auto" w:fill="auto"/>
            <w:noWrap/>
            <w:vAlign w:val="center"/>
            <w:hideMark/>
          </w:tcPr>
          <w:p w14:paraId="0A3CC75C" w14:textId="77777777" w:rsidR="006D148B" w:rsidRPr="00E1536A" w:rsidRDefault="006D148B" w:rsidP="00E1536A">
            <w:pPr>
              <w:spacing w:after="100" w:afterAutospacing="1" w:line="240" w:lineRule="auto"/>
              <w:jc w:val="center"/>
              <w:rPr>
                <w:rFonts w:ascii="Futura Std Condensed Light" w:eastAsia="Calibri" w:hAnsi="Futura Std Condensed Light" w:cs="Calibri"/>
                <w:sz w:val="20"/>
                <w:szCs w:val="20"/>
              </w:rPr>
            </w:pPr>
            <w:r w:rsidRPr="00E1536A">
              <w:rPr>
                <w:rFonts w:ascii="Futura Std Condensed Light" w:eastAsia="Calibri" w:hAnsi="Futura Std Condensed Light" w:cs="Calibri"/>
                <w:sz w:val="20"/>
                <w:szCs w:val="20"/>
              </w:rPr>
              <w:t>3,861</w:t>
            </w:r>
          </w:p>
        </w:tc>
        <w:tc>
          <w:tcPr>
            <w:tcW w:w="1292" w:type="dxa"/>
            <w:shd w:val="clear" w:color="auto" w:fill="auto"/>
            <w:noWrap/>
            <w:vAlign w:val="center"/>
            <w:hideMark/>
          </w:tcPr>
          <w:p w14:paraId="58B8D934" w14:textId="77777777" w:rsidR="006D148B" w:rsidRPr="00E1536A" w:rsidRDefault="006D148B" w:rsidP="00E1536A">
            <w:pPr>
              <w:spacing w:after="100" w:afterAutospacing="1" w:line="240" w:lineRule="auto"/>
              <w:jc w:val="center"/>
              <w:rPr>
                <w:rFonts w:ascii="Futura Std Condensed Light" w:eastAsia="Calibri" w:hAnsi="Futura Std Condensed Light" w:cs="Calibri"/>
                <w:sz w:val="20"/>
                <w:szCs w:val="20"/>
              </w:rPr>
            </w:pPr>
            <w:r w:rsidRPr="00E1536A">
              <w:rPr>
                <w:rFonts w:ascii="Futura Std Condensed Light" w:eastAsia="Calibri" w:hAnsi="Futura Std Condensed Light" w:cs="Calibri"/>
                <w:sz w:val="20"/>
                <w:szCs w:val="20"/>
              </w:rPr>
              <w:t>4,254</w:t>
            </w:r>
          </w:p>
        </w:tc>
        <w:tc>
          <w:tcPr>
            <w:tcW w:w="1230" w:type="dxa"/>
            <w:shd w:val="clear" w:color="auto" w:fill="auto"/>
            <w:noWrap/>
            <w:vAlign w:val="center"/>
            <w:hideMark/>
          </w:tcPr>
          <w:p w14:paraId="4671965A" w14:textId="77777777" w:rsidR="006D148B" w:rsidRPr="00E1536A" w:rsidRDefault="006D148B" w:rsidP="00E1536A">
            <w:pPr>
              <w:spacing w:after="100" w:afterAutospacing="1" w:line="240" w:lineRule="auto"/>
              <w:jc w:val="center"/>
              <w:rPr>
                <w:rFonts w:ascii="Futura Std Condensed Light" w:eastAsia="Calibri" w:hAnsi="Futura Std Condensed Light" w:cs="Calibri"/>
                <w:sz w:val="20"/>
                <w:szCs w:val="20"/>
              </w:rPr>
            </w:pPr>
            <w:r w:rsidRPr="00E1536A">
              <w:rPr>
                <w:rFonts w:ascii="Futura Std Condensed Light" w:eastAsia="Calibri" w:hAnsi="Futura Std Condensed Light" w:cs="Calibri"/>
                <w:sz w:val="20"/>
                <w:szCs w:val="20"/>
              </w:rPr>
              <w:t>8,115</w:t>
            </w:r>
          </w:p>
        </w:tc>
        <w:tc>
          <w:tcPr>
            <w:tcW w:w="1340" w:type="dxa"/>
            <w:shd w:val="clear" w:color="auto" w:fill="auto"/>
            <w:noWrap/>
            <w:vAlign w:val="center"/>
            <w:hideMark/>
          </w:tcPr>
          <w:p w14:paraId="0EA1DB35" w14:textId="77777777" w:rsidR="006D148B" w:rsidRPr="00E1536A" w:rsidRDefault="006D148B" w:rsidP="00E1536A">
            <w:pPr>
              <w:spacing w:after="100" w:afterAutospacing="1" w:line="240" w:lineRule="auto"/>
              <w:jc w:val="center"/>
              <w:rPr>
                <w:rFonts w:ascii="Futura Std Condensed Light" w:eastAsia="Calibri" w:hAnsi="Futura Std Condensed Light" w:cs="Calibri"/>
                <w:sz w:val="20"/>
                <w:szCs w:val="20"/>
              </w:rPr>
            </w:pPr>
            <w:r w:rsidRPr="00E1536A">
              <w:rPr>
                <w:rFonts w:ascii="Futura Std Condensed Light" w:eastAsia="Calibri" w:hAnsi="Futura Std Condensed Light" w:cs="Calibri"/>
                <w:sz w:val="20"/>
                <w:szCs w:val="20"/>
              </w:rPr>
              <w:t>351</w:t>
            </w:r>
          </w:p>
        </w:tc>
        <w:tc>
          <w:tcPr>
            <w:tcW w:w="1340" w:type="dxa"/>
            <w:shd w:val="clear" w:color="auto" w:fill="auto"/>
            <w:noWrap/>
            <w:vAlign w:val="center"/>
            <w:hideMark/>
          </w:tcPr>
          <w:p w14:paraId="726331EE" w14:textId="77777777" w:rsidR="006D148B" w:rsidRPr="00E1536A" w:rsidRDefault="006D148B" w:rsidP="00E1536A">
            <w:pPr>
              <w:spacing w:after="100" w:afterAutospacing="1" w:line="240" w:lineRule="auto"/>
              <w:jc w:val="center"/>
              <w:rPr>
                <w:rFonts w:ascii="Futura Std Condensed Light" w:eastAsia="Calibri" w:hAnsi="Futura Std Condensed Light" w:cs="Calibri"/>
                <w:sz w:val="20"/>
                <w:szCs w:val="20"/>
              </w:rPr>
            </w:pPr>
            <w:r w:rsidRPr="00E1536A">
              <w:rPr>
                <w:rFonts w:ascii="Futura Std Condensed Light" w:eastAsia="Calibri" w:hAnsi="Futura Std Condensed Light" w:cs="Calibri"/>
                <w:sz w:val="20"/>
                <w:szCs w:val="20"/>
              </w:rPr>
              <w:t>14</w:t>
            </w:r>
          </w:p>
        </w:tc>
      </w:tr>
      <w:tr w:rsidR="006D148B" w:rsidRPr="00E1536A" w14:paraId="608DEA0F" w14:textId="77777777" w:rsidTr="004378A8">
        <w:trPr>
          <w:trHeight w:val="300"/>
          <w:jc w:val="center"/>
        </w:trPr>
        <w:tc>
          <w:tcPr>
            <w:tcW w:w="1960" w:type="dxa"/>
            <w:shd w:val="clear" w:color="auto" w:fill="auto"/>
            <w:noWrap/>
            <w:vAlign w:val="center"/>
            <w:hideMark/>
          </w:tcPr>
          <w:p w14:paraId="4BD44C79" w14:textId="77777777" w:rsidR="006D148B" w:rsidRPr="00E1536A" w:rsidRDefault="006D148B" w:rsidP="00E1536A">
            <w:pPr>
              <w:spacing w:after="100" w:afterAutospacing="1" w:line="240" w:lineRule="auto"/>
              <w:jc w:val="center"/>
              <w:rPr>
                <w:rFonts w:ascii="Futura Std Condensed Light" w:eastAsia="Calibri" w:hAnsi="Futura Std Condensed Light" w:cs="Calibri"/>
                <w:sz w:val="20"/>
                <w:szCs w:val="20"/>
              </w:rPr>
            </w:pPr>
            <w:r w:rsidRPr="00E1536A">
              <w:rPr>
                <w:rFonts w:ascii="Futura Std Condensed Light" w:eastAsia="Calibri" w:hAnsi="Futura Std Condensed Light" w:cs="Calibri"/>
                <w:sz w:val="20"/>
                <w:szCs w:val="20"/>
              </w:rPr>
              <w:t>EMSAD</w:t>
            </w:r>
          </w:p>
        </w:tc>
        <w:tc>
          <w:tcPr>
            <w:tcW w:w="1498" w:type="dxa"/>
            <w:shd w:val="clear" w:color="auto" w:fill="auto"/>
            <w:noWrap/>
            <w:vAlign w:val="center"/>
            <w:hideMark/>
          </w:tcPr>
          <w:p w14:paraId="2A869121" w14:textId="77777777" w:rsidR="006D148B" w:rsidRPr="00E1536A" w:rsidRDefault="006D148B" w:rsidP="00E1536A">
            <w:pPr>
              <w:spacing w:after="100" w:afterAutospacing="1" w:line="240" w:lineRule="auto"/>
              <w:jc w:val="center"/>
              <w:rPr>
                <w:rFonts w:ascii="Futura Std Condensed Light" w:eastAsia="Calibri" w:hAnsi="Futura Std Condensed Light" w:cs="Calibri"/>
                <w:sz w:val="20"/>
                <w:szCs w:val="20"/>
              </w:rPr>
            </w:pPr>
            <w:r w:rsidRPr="00E1536A">
              <w:rPr>
                <w:rFonts w:ascii="Futura Std Condensed Light" w:eastAsia="Calibri" w:hAnsi="Futura Std Condensed Light" w:cs="Calibri"/>
                <w:sz w:val="20"/>
                <w:szCs w:val="20"/>
              </w:rPr>
              <w:t>1,146</w:t>
            </w:r>
          </w:p>
        </w:tc>
        <w:tc>
          <w:tcPr>
            <w:tcW w:w="1292" w:type="dxa"/>
            <w:shd w:val="clear" w:color="auto" w:fill="auto"/>
            <w:noWrap/>
            <w:vAlign w:val="center"/>
            <w:hideMark/>
          </w:tcPr>
          <w:p w14:paraId="077A6A4C" w14:textId="77777777" w:rsidR="006D148B" w:rsidRPr="00E1536A" w:rsidRDefault="006D148B" w:rsidP="00E1536A">
            <w:pPr>
              <w:spacing w:after="100" w:afterAutospacing="1" w:line="240" w:lineRule="auto"/>
              <w:jc w:val="center"/>
              <w:rPr>
                <w:rFonts w:ascii="Futura Std Condensed Light" w:eastAsia="Calibri" w:hAnsi="Futura Std Condensed Light" w:cs="Calibri"/>
                <w:sz w:val="20"/>
                <w:szCs w:val="20"/>
              </w:rPr>
            </w:pPr>
            <w:r w:rsidRPr="00E1536A">
              <w:rPr>
                <w:rFonts w:ascii="Futura Std Condensed Light" w:eastAsia="Calibri" w:hAnsi="Futura Std Condensed Light" w:cs="Calibri"/>
                <w:sz w:val="20"/>
                <w:szCs w:val="20"/>
              </w:rPr>
              <w:t>1,028</w:t>
            </w:r>
          </w:p>
        </w:tc>
        <w:tc>
          <w:tcPr>
            <w:tcW w:w="1230" w:type="dxa"/>
            <w:shd w:val="clear" w:color="auto" w:fill="auto"/>
            <w:noWrap/>
            <w:vAlign w:val="center"/>
            <w:hideMark/>
          </w:tcPr>
          <w:p w14:paraId="7E4C87C6" w14:textId="77777777" w:rsidR="006D148B" w:rsidRPr="00E1536A" w:rsidRDefault="006D148B" w:rsidP="00E1536A">
            <w:pPr>
              <w:spacing w:after="100" w:afterAutospacing="1" w:line="240" w:lineRule="auto"/>
              <w:jc w:val="center"/>
              <w:rPr>
                <w:rFonts w:ascii="Futura Std Condensed Light" w:eastAsia="Calibri" w:hAnsi="Futura Std Condensed Light" w:cs="Calibri"/>
                <w:sz w:val="20"/>
                <w:szCs w:val="20"/>
              </w:rPr>
            </w:pPr>
            <w:r w:rsidRPr="00E1536A">
              <w:rPr>
                <w:rFonts w:ascii="Futura Std Condensed Light" w:eastAsia="Calibri" w:hAnsi="Futura Std Condensed Light" w:cs="Calibri"/>
                <w:sz w:val="20"/>
                <w:szCs w:val="20"/>
              </w:rPr>
              <w:t>2,174</w:t>
            </w:r>
          </w:p>
        </w:tc>
        <w:tc>
          <w:tcPr>
            <w:tcW w:w="1340" w:type="dxa"/>
            <w:shd w:val="clear" w:color="auto" w:fill="auto"/>
            <w:noWrap/>
            <w:vAlign w:val="center"/>
            <w:hideMark/>
          </w:tcPr>
          <w:p w14:paraId="5901B089" w14:textId="77777777" w:rsidR="006D148B" w:rsidRPr="00E1536A" w:rsidRDefault="006D148B" w:rsidP="00E1536A">
            <w:pPr>
              <w:spacing w:after="100" w:afterAutospacing="1" w:line="240" w:lineRule="auto"/>
              <w:jc w:val="center"/>
              <w:rPr>
                <w:rFonts w:ascii="Futura Std Condensed Light" w:eastAsia="Calibri" w:hAnsi="Futura Std Condensed Light" w:cs="Calibri"/>
                <w:sz w:val="20"/>
                <w:szCs w:val="20"/>
              </w:rPr>
            </w:pPr>
            <w:r w:rsidRPr="00E1536A">
              <w:rPr>
                <w:rFonts w:ascii="Futura Std Condensed Light" w:eastAsia="Calibri" w:hAnsi="Futura Std Condensed Light" w:cs="Calibri"/>
                <w:sz w:val="20"/>
                <w:szCs w:val="20"/>
              </w:rPr>
              <w:t>105</w:t>
            </w:r>
          </w:p>
        </w:tc>
        <w:tc>
          <w:tcPr>
            <w:tcW w:w="1340" w:type="dxa"/>
            <w:shd w:val="clear" w:color="auto" w:fill="auto"/>
            <w:noWrap/>
            <w:vAlign w:val="center"/>
            <w:hideMark/>
          </w:tcPr>
          <w:p w14:paraId="30DE707B" w14:textId="77777777" w:rsidR="006D148B" w:rsidRPr="00E1536A" w:rsidRDefault="006D148B" w:rsidP="00E1536A">
            <w:pPr>
              <w:spacing w:after="100" w:afterAutospacing="1" w:line="240" w:lineRule="auto"/>
              <w:jc w:val="center"/>
              <w:rPr>
                <w:rFonts w:ascii="Futura Std Condensed Light" w:eastAsia="Calibri" w:hAnsi="Futura Std Condensed Light" w:cs="Calibri"/>
                <w:sz w:val="20"/>
                <w:szCs w:val="20"/>
              </w:rPr>
            </w:pPr>
            <w:r w:rsidRPr="00E1536A">
              <w:rPr>
                <w:rFonts w:ascii="Futura Std Condensed Light" w:eastAsia="Calibri" w:hAnsi="Futura Std Condensed Light" w:cs="Calibri"/>
                <w:sz w:val="20"/>
                <w:szCs w:val="20"/>
              </w:rPr>
              <w:t>22</w:t>
            </w:r>
          </w:p>
        </w:tc>
      </w:tr>
      <w:tr w:rsidR="006D148B" w:rsidRPr="00E1536A" w14:paraId="37786C1C" w14:textId="77777777" w:rsidTr="004378A8">
        <w:trPr>
          <w:trHeight w:val="300"/>
          <w:jc w:val="center"/>
        </w:trPr>
        <w:tc>
          <w:tcPr>
            <w:tcW w:w="1960" w:type="dxa"/>
            <w:shd w:val="clear" w:color="auto" w:fill="auto"/>
            <w:noWrap/>
            <w:vAlign w:val="center"/>
            <w:hideMark/>
          </w:tcPr>
          <w:p w14:paraId="3F593750" w14:textId="77777777" w:rsidR="006D148B" w:rsidRPr="00E1536A" w:rsidRDefault="006D148B" w:rsidP="00E1536A">
            <w:pPr>
              <w:spacing w:after="100" w:afterAutospacing="1" w:line="240" w:lineRule="auto"/>
              <w:jc w:val="center"/>
              <w:rPr>
                <w:rFonts w:ascii="Futura Std Condensed Light" w:eastAsia="Calibri" w:hAnsi="Futura Std Condensed Light" w:cs="Calibri"/>
                <w:sz w:val="20"/>
                <w:szCs w:val="20"/>
              </w:rPr>
            </w:pPr>
            <w:r w:rsidRPr="00E1536A">
              <w:rPr>
                <w:rFonts w:ascii="Futura Std Condensed Light" w:eastAsia="Calibri" w:hAnsi="Futura Std Condensed Light" w:cs="Calibri"/>
                <w:sz w:val="20"/>
                <w:szCs w:val="20"/>
              </w:rPr>
              <w:t>Eva Sámano</w:t>
            </w:r>
          </w:p>
        </w:tc>
        <w:tc>
          <w:tcPr>
            <w:tcW w:w="1498" w:type="dxa"/>
            <w:shd w:val="clear" w:color="auto" w:fill="auto"/>
            <w:noWrap/>
            <w:vAlign w:val="center"/>
            <w:hideMark/>
          </w:tcPr>
          <w:p w14:paraId="5CABC72F" w14:textId="77777777" w:rsidR="006D148B" w:rsidRPr="00E1536A" w:rsidRDefault="006D148B" w:rsidP="00E1536A">
            <w:pPr>
              <w:spacing w:after="100" w:afterAutospacing="1" w:line="240" w:lineRule="auto"/>
              <w:jc w:val="center"/>
              <w:rPr>
                <w:rFonts w:ascii="Futura Std Condensed Light" w:eastAsia="Calibri" w:hAnsi="Futura Std Condensed Light" w:cs="Calibri"/>
                <w:sz w:val="20"/>
                <w:szCs w:val="20"/>
              </w:rPr>
            </w:pPr>
            <w:r w:rsidRPr="00E1536A">
              <w:rPr>
                <w:rFonts w:ascii="Futura Std Condensed Light" w:eastAsia="Calibri" w:hAnsi="Futura Std Condensed Light" w:cs="Calibri"/>
                <w:sz w:val="20"/>
                <w:szCs w:val="20"/>
              </w:rPr>
              <w:t>417</w:t>
            </w:r>
          </w:p>
        </w:tc>
        <w:tc>
          <w:tcPr>
            <w:tcW w:w="1292" w:type="dxa"/>
            <w:shd w:val="clear" w:color="auto" w:fill="auto"/>
            <w:noWrap/>
            <w:vAlign w:val="center"/>
            <w:hideMark/>
          </w:tcPr>
          <w:p w14:paraId="45054F15" w14:textId="77777777" w:rsidR="006D148B" w:rsidRPr="00E1536A" w:rsidRDefault="006D148B" w:rsidP="00E1536A">
            <w:pPr>
              <w:spacing w:after="100" w:afterAutospacing="1" w:line="240" w:lineRule="auto"/>
              <w:jc w:val="center"/>
              <w:rPr>
                <w:rFonts w:ascii="Futura Std Condensed Light" w:eastAsia="Calibri" w:hAnsi="Futura Std Condensed Light" w:cs="Calibri"/>
                <w:sz w:val="20"/>
                <w:szCs w:val="20"/>
              </w:rPr>
            </w:pPr>
            <w:r w:rsidRPr="00E1536A">
              <w:rPr>
                <w:rFonts w:ascii="Futura Std Condensed Light" w:eastAsia="Calibri" w:hAnsi="Futura Std Condensed Light" w:cs="Calibri"/>
                <w:sz w:val="20"/>
                <w:szCs w:val="20"/>
              </w:rPr>
              <w:t>352</w:t>
            </w:r>
          </w:p>
        </w:tc>
        <w:tc>
          <w:tcPr>
            <w:tcW w:w="1230" w:type="dxa"/>
            <w:shd w:val="clear" w:color="auto" w:fill="auto"/>
            <w:noWrap/>
            <w:vAlign w:val="center"/>
            <w:hideMark/>
          </w:tcPr>
          <w:p w14:paraId="77B7BFE1" w14:textId="77777777" w:rsidR="006D148B" w:rsidRPr="00E1536A" w:rsidRDefault="006D148B" w:rsidP="00E1536A">
            <w:pPr>
              <w:spacing w:after="100" w:afterAutospacing="1" w:line="240" w:lineRule="auto"/>
              <w:jc w:val="center"/>
              <w:rPr>
                <w:rFonts w:ascii="Futura Std Condensed Light" w:eastAsia="Calibri" w:hAnsi="Futura Std Condensed Light" w:cs="Calibri"/>
                <w:sz w:val="20"/>
                <w:szCs w:val="20"/>
              </w:rPr>
            </w:pPr>
            <w:r w:rsidRPr="00E1536A">
              <w:rPr>
                <w:rFonts w:ascii="Futura Std Condensed Light" w:eastAsia="Calibri" w:hAnsi="Futura Std Condensed Light" w:cs="Calibri"/>
                <w:sz w:val="20"/>
                <w:szCs w:val="20"/>
              </w:rPr>
              <w:t>769</w:t>
            </w:r>
          </w:p>
        </w:tc>
        <w:tc>
          <w:tcPr>
            <w:tcW w:w="1340" w:type="dxa"/>
            <w:shd w:val="clear" w:color="auto" w:fill="auto"/>
            <w:noWrap/>
            <w:vAlign w:val="center"/>
            <w:hideMark/>
          </w:tcPr>
          <w:p w14:paraId="5F49001D" w14:textId="77777777" w:rsidR="006D148B" w:rsidRPr="00E1536A" w:rsidRDefault="006D148B" w:rsidP="00E1536A">
            <w:pPr>
              <w:spacing w:after="100" w:afterAutospacing="1" w:line="240" w:lineRule="auto"/>
              <w:jc w:val="center"/>
              <w:rPr>
                <w:rFonts w:ascii="Futura Std Condensed Light" w:eastAsia="Calibri" w:hAnsi="Futura Std Condensed Light" w:cs="Calibri"/>
                <w:sz w:val="20"/>
                <w:szCs w:val="20"/>
              </w:rPr>
            </w:pPr>
            <w:r w:rsidRPr="00E1536A">
              <w:rPr>
                <w:rFonts w:ascii="Futura Std Condensed Light" w:eastAsia="Calibri" w:hAnsi="Futura Std Condensed Light" w:cs="Calibri"/>
                <w:sz w:val="20"/>
                <w:szCs w:val="20"/>
              </w:rPr>
              <w:t>50</w:t>
            </w:r>
          </w:p>
        </w:tc>
        <w:tc>
          <w:tcPr>
            <w:tcW w:w="1340" w:type="dxa"/>
            <w:shd w:val="clear" w:color="auto" w:fill="auto"/>
            <w:noWrap/>
            <w:vAlign w:val="center"/>
            <w:hideMark/>
          </w:tcPr>
          <w:p w14:paraId="0E964F99" w14:textId="77777777" w:rsidR="006D148B" w:rsidRPr="00E1536A" w:rsidRDefault="006D148B" w:rsidP="00E1536A">
            <w:pPr>
              <w:spacing w:after="100" w:afterAutospacing="1" w:line="240" w:lineRule="auto"/>
              <w:jc w:val="center"/>
              <w:rPr>
                <w:rFonts w:ascii="Futura Std Condensed Light" w:eastAsia="Calibri" w:hAnsi="Futura Std Condensed Light" w:cs="Calibri"/>
                <w:sz w:val="20"/>
                <w:szCs w:val="20"/>
              </w:rPr>
            </w:pPr>
            <w:r w:rsidRPr="00E1536A">
              <w:rPr>
                <w:rFonts w:ascii="Futura Std Condensed Light" w:eastAsia="Calibri" w:hAnsi="Futura Std Condensed Light" w:cs="Calibri"/>
                <w:sz w:val="20"/>
                <w:szCs w:val="20"/>
              </w:rPr>
              <w:t>2</w:t>
            </w:r>
          </w:p>
        </w:tc>
      </w:tr>
      <w:tr w:rsidR="006D148B" w:rsidRPr="00E1536A" w14:paraId="46901319" w14:textId="77777777" w:rsidTr="004378A8">
        <w:trPr>
          <w:trHeight w:val="300"/>
          <w:jc w:val="center"/>
        </w:trPr>
        <w:tc>
          <w:tcPr>
            <w:tcW w:w="1960" w:type="dxa"/>
            <w:shd w:val="clear" w:color="auto" w:fill="auto"/>
            <w:noWrap/>
            <w:vAlign w:val="center"/>
            <w:hideMark/>
          </w:tcPr>
          <w:p w14:paraId="21D84B9C" w14:textId="77777777" w:rsidR="006D148B" w:rsidRPr="00E1536A" w:rsidRDefault="006D148B" w:rsidP="00E1536A">
            <w:pPr>
              <w:spacing w:after="100" w:afterAutospacing="1" w:line="240" w:lineRule="auto"/>
              <w:jc w:val="center"/>
              <w:rPr>
                <w:rFonts w:ascii="Futura Std Condensed Light" w:eastAsia="Calibri" w:hAnsi="Futura Std Condensed Light" w:cs="Calibri"/>
                <w:sz w:val="20"/>
                <w:szCs w:val="20"/>
              </w:rPr>
            </w:pPr>
            <w:r w:rsidRPr="00E1536A">
              <w:rPr>
                <w:rFonts w:ascii="Futura Std Condensed Light" w:eastAsia="Calibri" w:hAnsi="Futura Std Condensed Light" w:cs="Calibri"/>
                <w:sz w:val="20"/>
                <w:szCs w:val="20"/>
              </w:rPr>
              <w:t>Bachillerato Modular</w:t>
            </w:r>
          </w:p>
        </w:tc>
        <w:tc>
          <w:tcPr>
            <w:tcW w:w="1498" w:type="dxa"/>
            <w:shd w:val="clear" w:color="auto" w:fill="auto"/>
            <w:noWrap/>
            <w:vAlign w:val="center"/>
            <w:hideMark/>
          </w:tcPr>
          <w:p w14:paraId="01D9668F" w14:textId="77777777" w:rsidR="006D148B" w:rsidRPr="00E1536A" w:rsidRDefault="006D148B" w:rsidP="00E1536A">
            <w:pPr>
              <w:spacing w:after="100" w:afterAutospacing="1" w:line="240" w:lineRule="auto"/>
              <w:jc w:val="center"/>
              <w:rPr>
                <w:rFonts w:ascii="Futura Std Condensed Light" w:eastAsia="Calibri" w:hAnsi="Futura Std Condensed Light" w:cs="Calibri"/>
                <w:sz w:val="20"/>
                <w:szCs w:val="20"/>
              </w:rPr>
            </w:pPr>
            <w:r w:rsidRPr="00E1536A">
              <w:rPr>
                <w:rFonts w:ascii="Futura Std Condensed Light" w:eastAsia="Calibri" w:hAnsi="Futura Std Condensed Light" w:cs="Calibri"/>
                <w:sz w:val="20"/>
                <w:szCs w:val="20"/>
              </w:rPr>
              <w:t>641</w:t>
            </w:r>
          </w:p>
        </w:tc>
        <w:tc>
          <w:tcPr>
            <w:tcW w:w="1292" w:type="dxa"/>
            <w:shd w:val="clear" w:color="auto" w:fill="auto"/>
            <w:noWrap/>
            <w:vAlign w:val="center"/>
            <w:hideMark/>
          </w:tcPr>
          <w:p w14:paraId="0C4028FC" w14:textId="77777777" w:rsidR="006D148B" w:rsidRPr="00E1536A" w:rsidRDefault="006D148B" w:rsidP="00E1536A">
            <w:pPr>
              <w:spacing w:after="100" w:afterAutospacing="1" w:line="240" w:lineRule="auto"/>
              <w:jc w:val="center"/>
              <w:rPr>
                <w:rFonts w:ascii="Futura Std Condensed Light" w:eastAsia="Calibri" w:hAnsi="Futura Std Condensed Light" w:cs="Calibri"/>
                <w:sz w:val="20"/>
                <w:szCs w:val="20"/>
              </w:rPr>
            </w:pPr>
            <w:r w:rsidRPr="00E1536A">
              <w:rPr>
                <w:rFonts w:ascii="Futura Std Condensed Light" w:eastAsia="Calibri" w:hAnsi="Futura Std Condensed Light" w:cs="Calibri"/>
                <w:sz w:val="20"/>
                <w:szCs w:val="20"/>
              </w:rPr>
              <w:t>523</w:t>
            </w:r>
          </w:p>
        </w:tc>
        <w:tc>
          <w:tcPr>
            <w:tcW w:w="1230" w:type="dxa"/>
            <w:shd w:val="clear" w:color="auto" w:fill="auto"/>
            <w:noWrap/>
            <w:vAlign w:val="center"/>
            <w:hideMark/>
          </w:tcPr>
          <w:p w14:paraId="14710566" w14:textId="77777777" w:rsidR="006D148B" w:rsidRPr="00E1536A" w:rsidRDefault="006D148B" w:rsidP="00E1536A">
            <w:pPr>
              <w:spacing w:after="100" w:afterAutospacing="1" w:line="240" w:lineRule="auto"/>
              <w:jc w:val="center"/>
              <w:rPr>
                <w:rFonts w:ascii="Futura Std Condensed Light" w:eastAsia="Calibri" w:hAnsi="Futura Std Condensed Light" w:cs="Calibri"/>
                <w:sz w:val="20"/>
                <w:szCs w:val="20"/>
              </w:rPr>
            </w:pPr>
            <w:r w:rsidRPr="00E1536A">
              <w:rPr>
                <w:rFonts w:ascii="Futura Std Condensed Light" w:eastAsia="Calibri" w:hAnsi="Futura Std Condensed Light" w:cs="Calibri"/>
                <w:sz w:val="20"/>
                <w:szCs w:val="20"/>
              </w:rPr>
              <w:t>1,164</w:t>
            </w:r>
          </w:p>
        </w:tc>
        <w:tc>
          <w:tcPr>
            <w:tcW w:w="1340" w:type="dxa"/>
            <w:shd w:val="clear" w:color="auto" w:fill="auto"/>
            <w:noWrap/>
            <w:vAlign w:val="center"/>
            <w:hideMark/>
          </w:tcPr>
          <w:p w14:paraId="4EE8C6DA" w14:textId="77777777" w:rsidR="006D148B" w:rsidRPr="00E1536A" w:rsidRDefault="006D148B" w:rsidP="00E1536A">
            <w:pPr>
              <w:spacing w:after="100" w:afterAutospacing="1" w:line="240" w:lineRule="auto"/>
              <w:jc w:val="center"/>
              <w:rPr>
                <w:rFonts w:ascii="Futura Std Condensed Light" w:eastAsia="Calibri" w:hAnsi="Futura Std Condensed Light" w:cs="Calibri"/>
                <w:sz w:val="20"/>
                <w:szCs w:val="20"/>
              </w:rPr>
            </w:pPr>
            <w:r w:rsidRPr="00E1536A">
              <w:rPr>
                <w:rFonts w:ascii="Futura Std Condensed Light" w:eastAsia="Calibri" w:hAnsi="Futura Std Condensed Light" w:cs="Calibri"/>
                <w:sz w:val="20"/>
                <w:szCs w:val="20"/>
              </w:rPr>
              <w:t>133</w:t>
            </w:r>
          </w:p>
        </w:tc>
        <w:tc>
          <w:tcPr>
            <w:tcW w:w="1340" w:type="dxa"/>
            <w:shd w:val="clear" w:color="auto" w:fill="auto"/>
            <w:noWrap/>
            <w:vAlign w:val="center"/>
            <w:hideMark/>
          </w:tcPr>
          <w:p w14:paraId="53217B9D" w14:textId="77777777" w:rsidR="006D148B" w:rsidRPr="00E1536A" w:rsidRDefault="006D148B" w:rsidP="00E1536A">
            <w:pPr>
              <w:spacing w:after="100" w:afterAutospacing="1" w:line="240" w:lineRule="auto"/>
              <w:jc w:val="center"/>
              <w:rPr>
                <w:rFonts w:ascii="Futura Std Condensed Light" w:eastAsia="Calibri" w:hAnsi="Futura Std Condensed Light" w:cs="Calibri"/>
                <w:sz w:val="20"/>
                <w:szCs w:val="20"/>
              </w:rPr>
            </w:pPr>
            <w:r w:rsidRPr="00E1536A">
              <w:rPr>
                <w:rFonts w:ascii="Futura Std Condensed Light" w:eastAsia="Calibri" w:hAnsi="Futura Std Condensed Light" w:cs="Calibri"/>
                <w:sz w:val="20"/>
                <w:szCs w:val="20"/>
              </w:rPr>
              <w:t>3</w:t>
            </w:r>
          </w:p>
        </w:tc>
      </w:tr>
      <w:tr w:rsidR="006D148B" w:rsidRPr="00E1536A" w14:paraId="0449A67A" w14:textId="77777777" w:rsidTr="004378A8">
        <w:trPr>
          <w:trHeight w:val="300"/>
          <w:jc w:val="center"/>
        </w:trPr>
        <w:tc>
          <w:tcPr>
            <w:tcW w:w="1960" w:type="dxa"/>
            <w:shd w:val="clear" w:color="auto" w:fill="auto"/>
            <w:noWrap/>
            <w:vAlign w:val="center"/>
            <w:hideMark/>
          </w:tcPr>
          <w:p w14:paraId="2039707D" w14:textId="77777777" w:rsidR="006D148B" w:rsidRPr="00E1536A" w:rsidRDefault="006D148B" w:rsidP="00E1536A">
            <w:pPr>
              <w:spacing w:after="100" w:afterAutospacing="1" w:line="240" w:lineRule="auto"/>
              <w:jc w:val="center"/>
              <w:rPr>
                <w:rFonts w:ascii="Futura Std Condensed Light" w:eastAsia="Calibri" w:hAnsi="Futura Std Condensed Light" w:cs="Calibri"/>
                <w:sz w:val="20"/>
                <w:szCs w:val="20"/>
              </w:rPr>
            </w:pPr>
            <w:r w:rsidRPr="00E1536A">
              <w:rPr>
                <w:rFonts w:ascii="Futura Std Condensed Light" w:eastAsia="Calibri" w:hAnsi="Futura Std Condensed Light" w:cs="Calibri"/>
                <w:sz w:val="20"/>
                <w:szCs w:val="20"/>
              </w:rPr>
              <w:t>Particular</w:t>
            </w:r>
          </w:p>
        </w:tc>
        <w:tc>
          <w:tcPr>
            <w:tcW w:w="1498" w:type="dxa"/>
            <w:shd w:val="clear" w:color="auto" w:fill="auto"/>
            <w:noWrap/>
            <w:vAlign w:val="center"/>
            <w:hideMark/>
          </w:tcPr>
          <w:p w14:paraId="569D2D0C" w14:textId="77777777" w:rsidR="006D148B" w:rsidRPr="00E1536A" w:rsidRDefault="006D148B" w:rsidP="00E1536A">
            <w:pPr>
              <w:spacing w:after="100" w:afterAutospacing="1" w:line="240" w:lineRule="auto"/>
              <w:jc w:val="center"/>
              <w:rPr>
                <w:rFonts w:ascii="Futura Std Condensed Light" w:eastAsia="Calibri" w:hAnsi="Futura Std Condensed Light" w:cs="Calibri"/>
                <w:sz w:val="20"/>
                <w:szCs w:val="20"/>
              </w:rPr>
            </w:pPr>
            <w:r w:rsidRPr="00E1536A">
              <w:rPr>
                <w:rFonts w:ascii="Futura Std Condensed Light" w:eastAsia="Calibri" w:hAnsi="Futura Std Condensed Light" w:cs="Calibri"/>
                <w:sz w:val="20"/>
                <w:szCs w:val="20"/>
              </w:rPr>
              <w:t>5,211</w:t>
            </w:r>
          </w:p>
        </w:tc>
        <w:tc>
          <w:tcPr>
            <w:tcW w:w="1292" w:type="dxa"/>
            <w:shd w:val="clear" w:color="auto" w:fill="auto"/>
            <w:noWrap/>
            <w:vAlign w:val="center"/>
            <w:hideMark/>
          </w:tcPr>
          <w:p w14:paraId="66D603B1" w14:textId="77777777" w:rsidR="006D148B" w:rsidRPr="00E1536A" w:rsidRDefault="006D148B" w:rsidP="00E1536A">
            <w:pPr>
              <w:spacing w:after="100" w:afterAutospacing="1" w:line="240" w:lineRule="auto"/>
              <w:jc w:val="center"/>
              <w:rPr>
                <w:rFonts w:ascii="Futura Std Condensed Light" w:eastAsia="Calibri" w:hAnsi="Futura Std Condensed Light" w:cs="Calibri"/>
                <w:sz w:val="20"/>
                <w:szCs w:val="20"/>
              </w:rPr>
            </w:pPr>
            <w:r w:rsidRPr="00E1536A">
              <w:rPr>
                <w:rFonts w:ascii="Futura Std Condensed Light" w:eastAsia="Calibri" w:hAnsi="Futura Std Condensed Light" w:cs="Calibri"/>
                <w:sz w:val="20"/>
                <w:szCs w:val="20"/>
              </w:rPr>
              <w:t>5,658</w:t>
            </w:r>
          </w:p>
        </w:tc>
        <w:tc>
          <w:tcPr>
            <w:tcW w:w="1230" w:type="dxa"/>
            <w:shd w:val="clear" w:color="auto" w:fill="auto"/>
            <w:noWrap/>
            <w:vAlign w:val="center"/>
            <w:hideMark/>
          </w:tcPr>
          <w:p w14:paraId="3B589171" w14:textId="77777777" w:rsidR="006D148B" w:rsidRPr="00E1536A" w:rsidRDefault="006D148B" w:rsidP="00E1536A">
            <w:pPr>
              <w:spacing w:after="100" w:afterAutospacing="1" w:line="240" w:lineRule="auto"/>
              <w:jc w:val="center"/>
              <w:rPr>
                <w:rFonts w:ascii="Futura Std Condensed Light" w:eastAsia="Calibri" w:hAnsi="Futura Std Condensed Light" w:cs="Calibri"/>
                <w:sz w:val="20"/>
                <w:szCs w:val="20"/>
              </w:rPr>
            </w:pPr>
            <w:r w:rsidRPr="00E1536A">
              <w:rPr>
                <w:rFonts w:ascii="Futura Std Condensed Light" w:eastAsia="Calibri" w:hAnsi="Futura Std Condensed Light" w:cs="Calibri"/>
                <w:sz w:val="20"/>
                <w:szCs w:val="20"/>
              </w:rPr>
              <w:t>10,869</w:t>
            </w:r>
          </w:p>
        </w:tc>
        <w:tc>
          <w:tcPr>
            <w:tcW w:w="1340" w:type="dxa"/>
            <w:shd w:val="clear" w:color="auto" w:fill="auto"/>
            <w:noWrap/>
            <w:vAlign w:val="center"/>
            <w:hideMark/>
          </w:tcPr>
          <w:p w14:paraId="4FD0645B" w14:textId="77777777" w:rsidR="006D148B" w:rsidRPr="00E1536A" w:rsidRDefault="006D148B" w:rsidP="00E1536A">
            <w:pPr>
              <w:spacing w:after="100" w:afterAutospacing="1" w:line="240" w:lineRule="auto"/>
              <w:jc w:val="center"/>
              <w:rPr>
                <w:rFonts w:ascii="Futura Std Condensed Light" w:eastAsia="Calibri" w:hAnsi="Futura Std Condensed Light" w:cs="Calibri"/>
                <w:sz w:val="20"/>
                <w:szCs w:val="20"/>
              </w:rPr>
            </w:pPr>
            <w:r w:rsidRPr="00E1536A">
              <w:rPr>
                <w:rFonts w:ascii="Futura Std Condensed Light" w:eastAsia="Calibri" w:hAnsi="Futura Std Condensed Light" w:cs="Calibri"/>
                <w:sz w:val="20"/>
                <w:szCs w:val="20"/>
              </w:rPr>
              <w:t>1,316</w:t>
            </w:r>
          </w:p>
        </w:tc>
        <w:tc>
          <w:tcPr>
            <w:tcW w:w="1340" w:type="dxa"/>
            <w:shd w:val="clear" w:color="auto" w:fill="auto"/>
            <w:noWrap/>
            <w:vAlign w:val="center"/>
            <w:hideMark/>
          </w:tcPr>
          <w:p w14:paraId="08A6DBC4" w14:textId="77777777" w:rsidR="006D148B" w:rsidRPr="00E1536A" w:rsidRDefault="006D148B" w:rsidP="00E1536A">
            <w:pPr>
              <w:spacing w:after="100" w:afterAutospacing="1" w:line="240" w:lineRule="auto"/>
              <w:jc w:val="center"/>
              <w:rPr>
                <w:rFonts w:ascii="Futura Std Condensed Light" w:eastAsia="Calibri" w:hAnsi="Futura Std Condensed Light" w:cs="Calibri"/>
                <w:sz w:val="20"/>
                <w:szCs w:val="20"/>
              </w:rPr>
            </w:pPr>
            <w:r w:rsidRPr="00E1536A">
              <w:rPr>
                <w:rFonts w:ascii="Futura Std Condensed Light" w:eastAsia="Calibri" w:hAnsi="Futura Std Condensed Light" w:cs="Calibri"/>
                <w:sz w:val="20"/>
                <w:szCs w:val="20"/>
              </w:rPr>
              <w:t>78</w:t>
            </w:r>
          </w:p>
        </w:tc>
      </w:tr>
      <w:tr w:rsidR="006D148B" w:rsidRPr="00E1536A" w14:paraId="65CA5DC2" w14:textId="77777777" w:rsidTr="004378A8">
        <w:trPr>
          <w:trHeight w:val="300"/>
          <w:jc w:val="center"/>
        </w:trPr>
        <w:tc>
          <w:tcPr>
            <w:tcW w:w="1960" w:type="dxa"/>
            <w:shd w:val="clear" w:color="auto" w:fill="auto"/>
            <w:noWrap/>
            <w:vAlign w:val="center"/>
            <w:hideMark/>
          </w:tcPr>
          <w:p w14:paraId="1884599C" w14:textId="3B5A1B7A" w:rsidR="006D148B" w:rsidRPr="00E1536A" w:rsidRDefault="006D148B" w:rsidP="00E1536A">
            <w:pPr>
              <w:spacing w:after="100" w:afterAutospacing="1" w:line="240" w:lineRule="auto"/>
              <w:jc w:val="center"/>
              <w:rPr>
                <w:rFonts w:ascii="Futura Std Condensed Light" w:eastAsia="Calibri" w:hAnsi="Futura Std Condensed Light" w:cs="Calibri"/>
                <w:sz w:val="20"/>
                <w:szCs w:val="20"/>
              </w:rPr>
            </w:pPr>
            <w:r w:rsidRPr="00E1536A">
              <w:rPr>
                <w:rFonts w:ascii="Futura Std Condensed Light" w:eastAsia="Calibri" w:hAnsi="Futura Std Condensed Light" w:cs="Calibri"/>
                <w:sz w:val="20"/>
                <w:szCs w:val="20"/>
              </w:rPr>
              <w:t>Prepa</w:t>
            </w:r>
            <w:r w:rsidR="003C141D">
              <w:rPr>
                <w:rFonts w:ascii="Futura Std Condensed Light" w:eastAsia="Calibri" w:hAnsi="Futura Std Condensed Light" w:cs="Calibri"/>
                <w:sz w:val="20"/>
                <w:szCs w:val="20"/>
              </w:rPr>
              <w:t>ratoria</w:t>
            </w:r>
            <w:r w:rsidRPr="00E1536A">
              <w:rPr>
                <w:rFonts w:ascii="Futura Std Condensed Light" w:eastAsia="Calibri" w:hAnsi="Futura Std Condensed Light" w:cs="Calibri"/>
                <w:sz w:val="20"/>
                <w:szCs w:val="20"/>
              </w:rPr>
              <w:t xml:space="preserve"> Abierta</w:t>
            </w:r>
          </w:p>
        </w:tc>
        <w:tc>
          <w:tcPr>
            <w:tcW w:w="1498" w:type="dxa"/>
            <w:shd w:val="clear" w:color="auto" w:fill="auto"/>
            <w:noWrap/>
            <w:vAlign w:val="center"/>
            <w:hideMark/>
          </w:tcPr>
          <w:p w14:paraId="286E6D7F" w14:textId="77777777" w:rsidR="006D148B" w:rsidRPr="00E1536A" w:rsidRDefault="006D148B" w:rsidP="00E1536A">
            <w:pPr>
              <w:spacing w:after="100" w:afterAutospacing="1" w:line="240" w:lineRule="auto"/>
              <w:jc w:val="center"/>
              <w:rPr>
                <w:rFonts w:ascii="Futura Std Condensed Light" w:eastAsia="Calibri" w:hAnsi="Futura Std Condensed Light" w:cs="Calibri"/>
                <w:sz w:val="20"/>
                <w:szCs w:val="20"/>
              </w:rPr>
            </w:pPr>
            <w:r w:rsidRPr="00E1536A">
              <w:rPr>
                <w:rFonts w:ascii="Futura Std Condensed Light" w:eastAsia="Calibri" w:hAnsi="Futura Std Condensed Light" w:cs="Calibri"/>
                <w:sz w:val="20"/>
                <w:szCs w:val="20"/>
              </w:rPr>
              <w:t>1,083</w:t>
            </w:r>
          </w:p>
        </w:tc>
        <w:tc>
          <w:tcPr>
            <w:tcW w:w="1292" w:type="dxa"/>
            <w:shd w:val="clear" w:color="auto" w:fill="auto"/>
            <w:noWrap/>
            <w:vAlign w:val="center"/>
            <w:hideMark/>
          </w:tcPr>
          <w:p w14:paraId="2F6B60FA" w14:textId="77777777" w:rsidR="006D148B" w:rsidRPr="00E1536A" w:rsidRDefault="006D148B" w:rsidP="00E1536A">
            <w:pPr>
              <w:spacing w:after="100" w:afterAutospacing="1" w:line="240" w:lineRule="auto"/>
              <w:jc w:val="center"/>
              <w:rPr>
                <w:rFonts w:ascii="Futura Std Condensed Light" w:eastAsia="Calibri" w:hAnsi="Futura Std Condensed Light" w:cs="Calibri"/>
                <w:sz w:val="20"/>
                <w:szCs w:val="20"/>
              </w:rPr>
            </w:pPr>
            <w:r w:rsidRPr="00E1536A">
              <w:rPr>
                <w:rFonts w:ascii="Futura Std Condensed Light" w:eastAsia="Calibri" w:hAnsi="Futura Std Condensed Light" w:cs="Calibri"/>
                <w:sz w:val="20"/>
                <w:szCs w:val="20"/>
              </w:rPr>
              <w:t>947</w:t>
            </w:r>
          </w:p>
        </w:tc>
        <w:tc>
          <w:tcPr>
            <w:tcW w:w="1230" w:type="dxa"/>
            <w:shd w:val="clear" w:color="auto" w:fill="auto"/>
            <w:noWrap/>
            <w:vAlign w:val="center"/>
            <w:hideMark/>
          </w:tcPr>
          <w:p w14:paraId="4574275E" w14:textId="77777777" w:rsidR="006D148B" w:rsidRPr="00E1536A" w:rsidRDefault="006D148B" w:rsidP="00E1536A">
            <w:pPr>
              <w:spacing w:after="100" w:afterAutospacing="1" w:line="240" w:lineRule="auto"/>
              <w:jc w:val="center"/>
              <w:rPr>
                <w:rFonts w:ascii="Futura Std Condensed Light" w:eastAsia="Calibri" w:hAnsi="Futura Std Condensed Light" w:cs="Calibri"/>
                <w:sz w:val="20"/>
                <w:szCs w:val="20"/>
              </w:rPr>
            </w:pPr>
            <w:r w:rsidRPr="00E1536A">
              <w:rPr>
                <w:rFonts w:ascii="Futura Std Condensed Light" w:eastAsia="Calibri" w:hAnsi="Futura Std Condensed Light" w:cs="Calibri"/>
                <w:sz w:val="20"/>
                <w:szCs w:val="20"/>
              </w:rPr>
              <w:t>2,030</w:t>
            </w:r>
          </w:p>
        </w:tc>
        <w:tc>
          <w:tcPr>
            <w:tcW w:w="1340" w:type="dxa"/>
            <w:shd w:val="clear" w:color="auto" w:fill="auto"/>
            <w:noWrap/>
            <w:vAlign w:val="center"/>
            <w:hideMark/>
          </w:tcPr>
          <w:p w14:paraId="1417251B" w14:textId="77777777" w:rsidR="006D148B" w:rsidRPr="00E1536A" w:rsidRDefault="006D148B" w:rsidP="00E1536A">
            <w:pPr>
              <w:spacing w:after="100" w:afterAutospacing="1" w:line="240" w:lineRule="auto"/>
              <w:jc w:val="center"/>
              <w:rPr>
                <w:rFonts w:ascii="Futura Std Condensed Light" w:eastAsia="Calibri" w:hAnsi="Futura Std Condensed Light" w:cs="Calibri"/>
                <w:sz w:val="20"/>
                <w:szCs w:val="20"/>
              </w:rPr>
            </w:pPr>
            <w:r w:rsidRPr="00E1536A">
              <w:rPr>
                <w:rFonts w:ascii="Futura Std Condensed Light" w:eastAsia="Calibri" w:hAnsi="Futura Std Condensed Light" w:cs="Calibri"/>
                <w:sz w:val="20"/>
                <w:szCs w:val="20"/>
              </w:rPr>
              <w:t>1</w:t>
            </w:r>
          </w:p>
        </w:tc>
        <w:tc>
          <w:tcPr>
            <w:tcW w:w="1340" w:type="dxa"/>
            <w:shd w:val="clear" w:color="auto" w:fill="auto"/>
            <w:noWrap/>
            <w:vAlign w:val="center"/>
            <w:hideMark/>
          </w:tcPr>
          <w:p w14:paraId="56F73C1F" w14:textId="77777777" w:rsidR="006D148B" w:rsidRPr="00E1536A" w:rsidRDefault="006D148B" w:rsidP="00E1536A">
            <w:pPr>
              <w:spacing w:after="100" w:afterAutospacing="1" w:line="240" w:lineRule="auto"/>
              <w:jc w:val="center"/>
              <w:rPr>
                <w:rFonts w:ascii="Futura Std Condensed Light" w:eastAsia="Calibri" w:hAnsi="Futura Std Condensed Light" w:cs="Calibri"/>
                <w:sz w:val="20"/>
                <w:szCs w:val="20"/>
              </w:rPr>
            </w:pPr>
            <w:r w:rsidRPr="00E1536A">
              <w:rPr>
                <w:rFonts w:ascii="Futura Std Condensed Light" w:eastAsia="Calibri" w:hAnsi="Futura Std Condensed Light" w:cs="Calibri"/>
                <w:sz w:val="20"/>
                <w:szCs w:val="20"/>
              </w:rPr>
              <w:t>1</w:t>
            </w:r>
          </w:p>
        </w:tc>
      </w:tr>
      <w:tr w:rsidR="006D148B" w:rsidRPr="00E1536A" w14:paraId="59F76E43" w14:textId="77777777" w:rsidTr="004378A8">
        <w:trPr>
          <w:trHeight w:val="300"/>
          <w:jc w:val="center"/>
        </w:trPr>
        <w:tc>
          <w:tcPr>
            <w:tcW w:w="1960" w:type="dxa"/>
            <w:shd w:val="clear" w:color="auto" w:fill="auto"/>
            <w:noWrap/>
            <w:vAlign w:val="center"/>
            <w:hideMark/>
          </w:tcPr>
          <w:p w14:paraId="1F7BB5EB" w14:textId="77777777" w:rsidR="006D148B" w:rsidRPr="00E1536A" w:rsidRDefault="006D148B" w:rsidP="00E1536A">
            <w:pPr>
              <w:spacing w:after="100" w:afterAutospacing="1" w:line="240" w:lineRule="auto"/>
              <w:jc w:val="center"/>
              <w:rPr>
                <w:rFonts w:ascii="Futura Std Condensed Light" w:eastAsia="Calibri" w:hAnsi="Futura Std Condensed Light" w:cs="Calibri"/>
                <w:sz w:val="20"/>
                <w:szCs w:val="20"/>
              </w:rPr>
            </w:pPr>
            <w:r w:rsidRPr="00E1536A">
              <w:rPr>
                <w:rFonts w:ascii="Futura Std Condensed Light" w:eastAsia="Calibri" w:hAnsi="Futura Std Condensed Light" w:cs="Calibri"/>
                <w:sz w:val="20"/>
                <w:szCs w:val="20"/>
              </w:rPr>
              <w:t>Profesional Medio</w:t>
            </w:r>
          </w:p>
        </w:tc>
        <w:tc>
          <w:tcPr>
            <w:tcW w:w="1498" w:type="dxa"/>
            <w:shd w:val="clear" w:color="auto" w:fill="auto"/>
            <w:noWrap/>
            <w:vAlign w:val="center"/>
            <w:hideMark/>
          </w:tcPr>
          <w:p w14:paraId="67FEB510" w14:textId="77777777" w:rsidR="006D148B" w:rsidRPr="00E1536A" w:rsidRDefault="006D148B" w:rsidP="00E1536A">
            <w:pPr>
              <w:spacing w:after="100" w:afterAutospacing="1" w:line="240" w:lineRule="auto"/>
              <w:jc w:val="center"/>
              <w:rPr>
                <w:rFonts w:ascii="Futura Std Condensed Light" w:eastAsia="Calibri" w:hAnsi="Futura Std Condensed Light" w:cs="Calibri"/>
                <w:sz w:val="20"/>
                <w:szCs w:val="20"/>
              </w:rPr>
            </w:pPr>
            <w:r w:rsidRPr="00E1536A">
              <w:rPr>
                <w:rFonts w:ascii="Futura Std Condensed Light" w:eastAsia="Calibri" w:hAnsi="Futura Std Condensed Light" w:cs="Calibri"/>
                <w:sz w:val="20"/>
                <w:szCs w:val="20"/>
              </w:rPr>
              <w:t>78</w:t>
            </w:r>
          </w:p>
        </w:tc>
        <w:tc>
          <w:tcPr>
            <w:tcW w:w="1292" w:type="dxa"/>
            <w:shd w:val="clear" w:color="auto" w:fill="auto"/>
            <w:noWrap/>
            <w:vAlign w:val="center"/>
            <w:hideMark/>
          </w:tcPr>
          <w:p w14:paraId="31750599" w14:textId="77777777" w:rsidR="006D148B" w:rsidRPr="00E1536A" w:rsidRDefault="006D148B" w:rsidP="00E1536A">
            <w:pPr>
              <w:spacing w:after="100" w:afterAutospacing="1" w:line="240" w:lineRule="auto"/>
              <w:jc w:val="center"/>
              <w:rPr>
                <w:rFonts w:ascii="Futura Std Condensed Light" w:eastAsia="Calibri" w:hAnsi="Futura Std Condensed Light" w:cs="Calibri"/>
                <w:sz w:val="20"/>
                <w:szCs w:val="20"/>
              </w:rPr>
            </w:pPr>
            <w:r w:rsidRPr="00E1536A">
              <w:rPr>
                <w:rFonts w:ascii="Futura Std Condensed Light" w:eastAsia="Calibri" w:hAnsi="Futura Std Condensed Light" w:cs="Calibri"/>
                <w:sz w:val="20"/>
                <w:szCs w:val="20"/>
              </w:rPr>
              <w:t>103</w:t>
            </w:r>
          </w:p>
        </w:tc>
        <w:tc>
          <w:tcPr>
            <w:tcW w:w="1230" w:type="dxa"/>
            <w:shd w:val="clear" w:color="auto" w:fill="auto"/>
            <w:noWrap/>
            <w:vAlign w:val="center"/>
            <w:hideMark/>
          </w:tcPr>
          <w:p w14:paraId="71648FCD" w14:textId="77777777" w:rsidR="006D148B" w:rsidRPr="00E1536A" w:rsidRDefault="006D148B" w:rsidP="00E1536A">
            <w:pPr>
              <w:spacing w:after="100" w:afterAutospacing="1" w:line="240" w:lineRule="auto"/>
              <w:jc w:val="center"/>
              <w:rPr>
                <w:rFonts w:ascii="Futura Std Condensed Light" w:eastAsia="Calibri" w:hAnsi="Futura Std Condensed Light" w:cs="Calibri"/>
                <w:sz w:val="20"/>
                <w:szCs w:val="20"/>
              </w:rPr>
            </w:pPr>
            <w:r w:rsidRPr="00E1536A">
              <w:rPr>
                <w:rFonts w:ascii="Futura Std Condensed Light" w:eastAsia="Calibri" w:hAnsi="Futura Std Condensed Light" w:cs="Calibri"/>
                <w:sz w:val="20"/>
                <w:szCs w:val="20"/>
              </w:rPr>
              <w:t>181</w:t>
            </w:r>
          </w:p>
        </w:tc>
        <w:tc>
          <w:tcPr>
            <w:tcW w:w="1340" w:type="dxa"/>
            <w:shd w:val="clear" w:color="auto" w:fill="auto"/>
            <w:noWrap/>
            <w:vAlign w:val="center"/>
            <w:hideMark/>
          </w:tcPr>
          <w:p w14:paraId="39EDA7C8" w14:textId="77777777" w:rsidR="006D148B" w:rsidRPr="00E1536A" w:rsidRDefault="006D148B" w:rsidP="00E1536A">
            <w:pPr>
              <w:spacing w:after="100" w:afterAutospacing="1" w:line="240" w:lineRule="auto"/>
              <w:jc w:val="center"/>
              <w:rPr>
                <w:rFonts w:ascii="Futura Std Condensed Light" w:eastAsia="Calibri" w:hAnsi="Futura Std Condensed Light" w:cs="Calibri"/>
                <w:sz w:val="20"/>
                <w:szCs w:val="20"/>
              </w:rPr>
            </w:pPr>
            <w:r w:rsidRPr="00E1536A">
              <w:rPr>
                <w:rFonts w:ascii="Futura Std Condensed Light" w:eastAsia="Calibri" w:hAnsi="Futura Std Condensed Light" w:cs="Calibri"/>
                <w:sz w:val="20"/>
                <w:szCs w:val="20"/>
              </w:rPr>
              <w:t>43</w:t>
            </w:r>
          </w:p>
        </w:tc>
        <w:tc>
          <w:tcPr>
            <w:tcW w:w="1340" w:type="dxa"/>
            <w:shd w:val="clear" w:color="auto" w:fill="auto"/>
            <w:noWrap/>
            <w:vAlign w:val="center"/>
            <w:hideMark/>
          </w:tcPr>
          <w:p w14:paraId="6D4A6451" w14:textId="77777777" w:rsidR="006D148B" w:rsidRPr="00E1536A" w:rsidRDefault="006D148B" w:rsidP="00E1536A">
            <w:pPr>
              <w:spacing w:after="100" w:afterAutospacing="1" w:line="240" w:lineRule="auto"/>
              <w:jc w:val="center"/>
              <w:rPr>
                <w:rFonts w:ascii="Futura Std Condensed Light" w:eastAsia="Calibri" w:hAnsi="Futura Std Condensed Light" w:cs="Calibri"/>
                <w:sz w:val="20"/>
                <w:szCs w:val="20"/>
              </w:rPr>
            </w:pPr>
            <w:r w:rsidRPr="00E1536A">
              <w:rPr>
                <w:rFonts w:ascii="Futura Std Condensed Light" w:eastAsia="Calibri" w:hAnsi="Futura Std Condensed Light" w:cs="Calibri"/>
                <w:sz w:val="20"/>
                <w:szCs w:val="20"/>
              </w:rPr>
              <w:t>5</w:t>
            </w:r>
          </w:p>
        </w:tc>
      </w:tr>
      <w:tr w:rsidR="006D148B" w:rsidRPr="00E1536A" w14:paraId="0229BD8A" w14:textId="77777777" w:rsidTr="004378A8">
        <w:trPr>
          <w:trHeight w:val="300"/>
          <w:jc w:val="center"/>
        </w:trPr>
        <w:tc>
          <w:tcPr>
            <w:tcW w:w="1960" w:type="dxa"/>
            <w:shd w:val="clear" w:color="auto" w:fill="auto"/>
            <w:noWrap/>
            <w:vAlign w:val="center"/>
            <w:hideMark/>
          </w:tcPr>
          <w:p w14:paraId="044DDD7B" w14:textId="10077150" w:rsidR="006D148B" w:rsidRPr="00E1536A" w:rsidRDefault="006D148B" w:rsidP="00E1536A">
            <w:pPr>
              <w:spacing w:after="100" w:afterAutospacing="1" w:line="240" w:lineRule="auto"/>
              <w:jc w:val="center"/>
              <w:rPr>
                <w:rFonts w:ascii="Futura Std Condensed Light" w:eastAsia="Calibri" w:hAnsi="Futura Std Condensed Light" w:cs="Calibri"/>
                <w:sz w:val="20"/>
                <w:szCs w:val="20"/>
              </w:rPr>
            </w:pPr>
            <w:r w:rsidRPr="00E1536A">
              <w:rPr>
                <w:rFonts w:ascii="Futura Std Condensed Light" w:eastAsia="Calibri" w:hAnsi="Futura Std Condensed Light" w:cs="Calibri"/>
                <w:sz w:val="20"/>
                <w:szCs w:val="20"/>
              </w:rPr>
              <w:t>Telebachillerato</w:t>
            </w:r>
            <w:r w:rsidR="003C141D">
              <w:rPr>
                <w:rFonts w:ascii="Futura Std Condensed Light" w:eastAsia="Calibri" w:hAnsi="Futura Std Condensed Light" w:cs="Calibri"/>
                <w:sz w:val="20"/>
                <w:szCs w:val="20"/>
              </w:rPr>
              <w:t xml:space="preserve"> Comunitario</w:t>
            </w:r>
          </w:p>
        </w:tc>
        <w:tc>
          <w:tcPr>
            <w:tcW w:w="1498" w:type="dxa"/>
            <w:shd w:val="clear" w:color="auto" w:fill="auto"/>
            <w:noWrap/>
            <w:vAlign w:val="center"/>
            <w:hideMark/>
          </w:tcPr>
          <w:p w14:paraId="3A3662B1" w14:textId="77777777" w:rsidR="006D148B" w:rsidRPr="00E1536A" w:rsidRDefault="006D148B" w:rsidP="00E1536A">
            <w:pPr>
              <w:spacing w:after="100" w:afterAutospacing="1" w:line="240" w:lineRule="auto"/>
              <w:jc w:val="center"/>
              <w:rPr>
                <w:rFonts w:ascii="Futura Std Condensed Light" w:eastAsia="Calibri" w:hAnsi="Futura Std Condensed Light" w:cs="Calibri"/>
                <w:sz w:val="20"/>
                <w:szCs w:val="20"/>
              </w:rPr>
            </w:pPr>
            <w:r w:rsidRPr="00E1536A">
              <w:rPr>
                <w:rFonts w:ascii="Futura Std Condensed Light" w:eastAsia="Calibri" w:hAnsi="Futura Std Condensed Light" w:cs="Calibri"/>
                <w:sz w:val="20"/>
                <w:szCs w:val="20"/>
              </w:rPr>
              <w:t>1,963</w:t>
            </w:r>
          </w:p>
        </w:tc>
        <w:tc>
          <w:tcPr>
            <w:tcW w:w="1292" w:type="dxa"/>
            <w:shd w:val="clear" w:color="auto" w:fill="auto"/>
            <w:noWrap/>
            <w:vAlign w:val="center"/>
            <w:hideMark/>
          </w:tcPr>
          <w:p w14:paraId="5375042E" w14:textId="77777777" w:rsidR="006D148B" w:rsidRPr="00E1536A" w:rsidRDefault="006D148B" w:rsidP="00E1536A">
            <w:pPr>
              <w:spacing w:after="100" w:afterAutospacing="1" w:line="240" w:lineRule="auto"/>
              <w:jc w:val="center"/>
              <w:rPr>
                <w:rFonts w:ascii="Futura Std Condensed Light" w:eastAsia="Calibri" w:hAnsi="Futura Std Condensed Light" w:cs="Calibri"/>
                <w:sz w:val="20"/>
                <w:szCs w:val="20"/>
              </w:rPr>
            </w:pPr>
            <w:r w:rsidRPr="00E1536A">
              <w:rPr>
                <w:rFonts w:ascii="Futura Std Condensed Light" w:eastAsia="Calibri" w:hAnsi="Futura Std Condensed Light" w:cs="Calibri"/>
                <w:sz w:val="20"/>
                <w:szCs w:val="20"/>
              </w:rPr>
              <w:t>1,792</w:t>
            </w:r>
          </w:p>
        </w:tc>
        <w:tc>
          <w:tcPr>
            <w:tcW w:w="1230" w:type="dxa"/>
            <w:shd w:val="clear" w:color="auto" w:fill="auto"/>
            <w:noWrap/>
            <w:vAlign w:val="center"/>
            <w:hideMark/>
          </w:tcPr>
          <w:p w14:paraId="4B2E376C" w14:textId="77777777" w:rsidR="006D148B" w:rsidRPr="00E1536A" w:rsidRDefault="006D148B" w:rsidP="00E1536A">
            <w:pPr>
              <w:spacing w:after="100" w:afterAutospacing="1" w:line="240" w:lineRule="auto"/>
              <w:jc w:val="center"/>
              <w:rPr>
                <w:rFonts w:ascii="Futura Std Condensed Light" w:eastAsia="Calibri" w:hAnsi="Futura Std Condensed Light" w:cs="Calibri"/>
                <w:sz w:val="20"/>
                <w:szCs w:val="20"/>
              </w:rPr>
            </w:pPr>
            <w:r w:rsidRPr="00E1536A">
              <w:rPr>
                <w:rFonts w:ascii="Futura Std Condensed Light" w:eastAsia="Calibri" w:hAnsi="Futura Std Condensed Light" w:cs="Calibri"/>
                <w:sz w:val="20"/>
                <w:szCs w:val="20"/>
              </w:rPr>
              <w:t>3,755</w:t>
            </w:r>
          </w:p>
        </w:tc>
        <w:tc>
          <w:tcPr>
            <w:tcW w:w="1340" w:type="dxa"/>
            <w:shd w:val="clear" w:color="auto" w:fill="auto"/>
            <w:noWrap/>
            <w:vAlign w:val="center"/>
            <w:hideMark/>
          </w:tcPr>
          <w:p w14:paraId="4710F47D" w14:textId="77777777" w:rsidR="006D148B" w:rsidRPr="00E1536A" w:rsidRDefault="006D148B" w:rsidP="00E1536A">
            <w:pPr>
              <w:spacing w:after="100" w:afterAutospacing="1" w:line="240" w:lineRule="auto"/>
              <w:jc w:val="center"/>
              <w:rPr>
                <w:rFonts w:ascii="Futura Std Condensed Light" w:eastAsia="Calibri" w:hAnsi="Futura Std Condensed Light" w:cs="Calibri"/>
                <w:sz w:val="20"/>
                <w:szCs w:val="20"/>
              </w:rPr>
            </w:pPr>
            <w:r w:rsidRPr="00E1536A">
              <w:rPr>
                <w:rFonts w:ascii="Futura Std Condensed Light" w:eastAsia="Calibri" w:hAnsi="Futura Std Condensed Light" w:cs="Calibri"/>
                <w:sz w:val="20"/>
                <w:szCs w:val="20"/>
              </w:rPr>
              <w:t>237</w:t>
            </w:r>
          </w:p>
        </w:tc>
        <w:tc>
          <w:tcPr>
            <w:tcW w:w="1340" w:type="dxa"/>
            <w:shd w:val="clear" w:color="auto" w:fill="auto"/>
            <w:noWrap/>
            <w:vAlign w:val="center"/>
            <w:hideMark/>
          </w:tcPr>
          <w:p w14:paraId="70803979" w14:textId="77777777" w:rsidR="006D148B" w:rsidRPr="00E1536A" w:rsidRDefault="006D148B" w:rsidP="00E1536A">
            <w:pPr>
              <w:spacing w:after="100" w:afterAutospacing="1" w:line="240" w:lineRule="auto"/>
              <w:jc w:val="center"/>
              <w:rPr>
                <w:rFonts w:ascii="Futura Std Condensed Light" w:eastAsia="Calibri" w:hAnsi="Futura Std Condensed Light" w:cs="Calibri"/>
                <w:sz w:val="20"/>
                <w:szCs w:val="20"/>
              </w:rPr>
            </w:pPr>
            <w:r w:rsidRPr="00E1536A">
              <w:rPr>
                <w:rFonts w:ascii="Futura Std Condensed Light" w:eastAsia="Calibri" w:hAnsi="Futura Std Condensed Light" w:cs="Calibri"/>
                <w:sz w:val="20"/>
                <w:szCs w:val="20"/>
              </w:rPr>
              <w:t>79</w:t>
            </w:r>
          </w:p>
        </w:tc>
      </w:tr>
      <w:tr w:rsidR="006D148B" w:rsidRPr="00E1536A" w14:paraId="43E31DE9" w14:textId="77777777" w:rsidTr="004378A8">
        <w:trPr>
          <w:trHeight w:val="402"/>
          <w:jc w:val="center"/>
        </w:trPr>
        <w:tc>
          <w:tcPr>
            <w:tcW w:w="1960" w:type="dxa"/>
            <w:shd w:val="clear" w:color="auto" w:fill="auto"/>
            <w:noWrap/>
            <w:vAlign w:val="center"/>
            <w:hideMark/>
          </w:tcPr>
          <w:p w14:paraId="1658FDE0" w14:textId="77777777" w:rsidR="006D148B" w:rsidRPr="00E1536A" w:rsidRDefault="006D148B" w:rsidP="00E1536A">
            <w:pPr>
              <w:spacing w:after="100" w:afterAutospacing="1" w:line="240" w:lineRule="auto"/>
              <w:jc w:val="center"/>
              <w:rPr>
                <w:rFonts w:ascii="Futura Std Condensed Light" w:eastAsia="Calibri" w:hAnsi="Futura Std Condensed Light" w:cs="Calibri"/>
                <w:b/>
                <w:sz w:val="20"/>
                <w:szCs w:val="20"/>
              </w:rPr>
            </w:pPr>
            <w:r w:rsidRPr="00E1536A">
              <w:rPr>
                <w:rFonts w:ascii="Futura Std Condensed Light" w:eastAsia="Calibri" w:hAnsi="Futura Std Condensed Light" w:cs="Calibri"/>
                <w:b/>
                <w:sz w:val="20"/>
                <w:szCs w:val="20"/>
              </w:rPr>
              <w:t>Total</w:t>
            </w:r>
          </w:p>
        </w:tc>
        <w:tc>
          <w:tcPr>
            <w:tcW w:w="1498" w:type="dxa"/>
            <w:shd w:val="clear" w:color="auto" w:fill="auto"/>
            <w:noWrap/>
            <w:vAlign w:val="center"/>
            <w:hideMark/>
          </w:tcPr>
          <w:p w14:paraId="6F102A54" w14:textId="77777777" w:rsidR="006D148B" w:rsidRPr="00E1536A" w:rsidRDefault="006D148B" w:rsidP="00E1536A">
            <w:pPr>
              <w:spacing w:after="100" w:afterAutospacing="1" w:line="240" w:lineRule="auto"/>
              <w:jc w:val="center"/>
              <w:rPr>
                <w:rFonts w:ascii="Futura Std Condensed Light" w:eastAsia="Calibri" w:hAnsi="Futura Std Condensed Light" w:cs="Calibri"/>
                <w:b/>
                <w:sz w:val="20"/>
                <w:szCs w:val="20"/>
              </w:rPr>
            </w:pPr>
            <w:r w:rsidRPr="00E1536A">
              <w:rPr>
                <w:rFonts w:ascii="Futura Std Condensed Light" w:eastAsia="Calibri" w:hAnsi="Futura Std Condensed Light" w:cs="Calibri"/>
                <w:b/>
                <w:sz w:val="20"/>
                <w:szCs w:val="20"/>
              </w:rPr>
              <w:t>35,273</w:t>
            </w:r>
          </w:p>
        </w:tc>
        <w:tc>
          <w:tcPr>
            <w:tcW w:w="1292" w:type="dxa"/>
            <w:shd w:val="clear" w:color="auto" w:fill="auto"/>
            <w:noWrap/>
            <w:vAlign w:val="center"/>
            <w:hideMark/>
          </w:tcPr>
          <w:p w14:paraId="5A34D2F2" w14:textId="77777777" w:rsidR="006D148B" w:rsidRPr="00E1536A" w:rsidRDefault="006D148B" w:rsidP="00E1536A">
            <w:pPr>
              <w:spacing w:after="100" w:afterAutospacing="1" w:line="240" w:lineRule="auto"/>
              <w:jc w:val="center"/>
              <w:rPr>
                <w:rFonts w:ascii="Futura Std Condensed Light" w:eastAsia="Calibri" w:hAnsi="Futura Std Condensed Light" w:cs="Calibri"/>
                <w:b/>
                <w:sz w:val="20"/>
                <w:szCs w:val="20"/>
              </w:rPr>
            </w:pPr>
            <w:r w:rsidRPr="00E1536A">
              <w:rPr>
                <w:rFonts w:ascii="Futura Std Condensed Light" w:eastAsia="Calibri" w:hAnsi="Futura Std Condensed Light" w:cs="Calibri"/>
                <w:b/>
                <w:sz w:val="20"/>
                <w:szCs w:val="20"/>
              </w:rPr>
              <w:t>35,691</w:t>
            </w:r>
          </w:p>
        </w:tc>
        <w:tc>
          <w:tcPr>
            <w:tcW w:w="1230" w:type="dxa"/>
            <w:shd w:val="clear" w:color="auto" w:fill="auto"/>
            <w:noWrap/>
            <w:vAlign w:val="center"/>
            <w:hideMark/>
          </w:tcPr>
          <w:p w14:paraId="378D86A0" w14:textId="77777777" w:rsidR="006D148B" w:rsidRPr="00E1536A" w:rsidRDefault="006D148B" w:rsidP="00E1536A">
            <w:pPr>
              <w:spacing w:after="100" w:afterAutospacing="1" w:line="240" w:lineRule="auto"/>
              <w:jc w:val="center"/>
              <w:rPr>
                <w:rFonts w:ascii="Futura Std Condensed Light" w:eastAsia="Calibri" w:hAnsi="Futura Std Condensed Light" w:cs="Calibri"/>
                <w:b/>
                <w:sz w:val="20"/>
                <w:szCs w:val="20"/>
              </w:rPr>
            </w:pPr>
            <w:r w:rsidRPr="00E1536A">
              <w:rPr>
                <w:rFonts w:ascii="Futura Std Condensed Light" w:eastAsia="Calibri" w:hAnsi="Futura Std Condensed Light" w:cs="Calibri"/>
                <w:b/>
                <w:sz w:val="20"/>
                <w:szCs w:val="20"/>
              </w:rPr>
              <w:t>70,964</w:t>
            </w:r>
          </w:p>
        </w:tc>
        <w:tc>
          <w:tcPr>
            <w:tcW w:w="1340" w:type="dxa"/>
            <w:shd w:val="clear" w:color="auto" w:fill="auto"/>
            <w:noWrap/>
            <w:vAlign w:val="center"/>
            <w:hideMark/>
          </w:tcPr>
          <w:p w14:paraId="4B727381" w14:textId="77777777" w:rsidR="006D148B" w:rsidRPr="00E1536A" w:rsidRDefault="006D148B" w:rsidP="00E1536A">
            <w:pPr>
              <w:spacing w:after="100" w:afterAutospacing="1" w:line="240" w:lineRule="auto"/>
              <w:jc w:val="center"/>
              <w:rPr>
                <w:rFonts w:ascii="Futura Std Condensed Light" w:eastAsia="Calibri" w:hAnsi="Futura Std Condensed Light" w:cs="Calibri"/>
                <w:b/>
                <w:sz w:val="20"/>
                <w:szCs w:val="20"/>
              </w:rPr>
            </w:pPr>
            <w:r w:rsidRPr="00E1536A">
              <w:rPr>
                <w:rFonts w:ascii="Futura Std Condensed Light" w:eastAsia="Calibri" w:hAnsi="Futura Std Condensed Light" w:cs="Calibri"/>
                <w:b/>
                <w:sz w:val="20"/>
                <w:szCs w:val="20"/>
              </w:rPr>
              <w:t>3,880</w:t>
            </w:r>
          </w:p>
        </w:tc>
        <w:tc>
          <w:tcPr>
            <w:tcW w:w="1340" w:type="dxa"/>
            <w:shd w:val="clear" w:color="auto" w:fill="auto"/>
            <w:noWrap/>
            <w:vAlign w:val="center"/>
            <w:hideMark/>
          </w:tcPr>
          <w:p w14:paraId="00C5EB5E" w14:textId="77777777" w:rsidR="006D148B" w:rsidRPr="00E1536A" w:rsidRDefault="006D148B" w:rsidP="00E1536A">
            <w:pPr>
              <w:spacing w:after="100" w:afterAutospacing="1" w:line="240" w:lineRule="auto"/>
              <w:jc w:val="center"/>
              <w:rPr>
                <w:rFonts w:ascii="Futura Std Condensed Light" w:eastAsia="Calibri" w:hAnsi="Futura Std Condensed Light" w:cs="Calibri"/>
                <w:b/>
                <w:sz w:val="20"/>
                <w:szCs w:val="20"/>
              </w:rPr>
            </w:pPr>
            <w:r w:rsidRPr="00E1536A">
              <w:rPr>
                <w:rFonts w:ascii="Futura Std Condensed Light" w:eastAsia="Calibri" w:hAnsi="Futura Std Condensed Light" w:cs="Calibri"/>
                <w:b/>
                <w:sz w:val="20"/>
                <w:szCs w:val="20"/>
              </w:rPr>
              <w:t>295</w:t>
            </w:r>
          </w:p>
        </w:tc>
      </w:tr>
    </w:tbl>
    <w:p w14:paraId="2E387799" w14:textId="77777777" w:rsidR="006D148B" w:rsidRDefault="006D148B" w:rsidP="006D148B">
      <w:pPr>
        <w:spacing w:after="0"/>
        <w:jc w:val="center"/>
        <w:rPr>
          <w:rFonts w:ascii="Futura Bk BT" w:hAnsi="Futura Bk BT"/>
        </w:rPr>
      </w:pPr>
      <w:r w:rsidRPr="000E1464">
        <w:rPr>
          <w:rFonts w:ascii="Futura Bk BT" w:hAnsi="Futura Bk BT"/>
          <w:b/>
          <w:sz w:val="16"/>
          <w:szCs w:val="16"/>
        </w:rPr>
        <w:t>Fuente:</w:t>
      </w:r>
      <w:r w:rsidRPr="00C124B2">
        <w:rPr>
          <w:rFonts w:ascii="Futura Bk BT" w:hAnsi="Futura Bk BT"/>
          <w:sz w:val="16"/>
          <w:szCs w:val="16"/>
        </w:rPr>
        <w:t xml:space="preserve"> Estadísticas continúas del formato 911 (inicio de ciclo escolar), SEQ.</w:t>
      </w:r>
    </w:p>
    <w:p w14:paraId="3239A980" w14:textId="7F166BE7" w:rsidR="00913635" w:rsidRDefault="00913635">
      <w:pPr>
        <w:spacing w:after="0" w:line="240" w:lineRule="auto"/>
        <w:jc w:val="left"/>
        <w:rPr>
          <w:rFonts w:eastAsia="Times New Roman" w:cs="Futura"/>
          <w:b/>
        </w:rPr>
      </w:pPr>
      <w:r>
        <w:rPr>
          <w:rFonts w:eastAsia="Times New Roman" w:cs="Futura"/>
          <w:b/>
        </w:rPr>
        <w:br w:type="page"/>
      </w:r>
    </w:p>
    <w:p w14:paraId="3B010A6C" w14:textId="6C69CF11" w:rsidR="006D148B" w:rsidRPr="00BB0769" w:rsidRDefault="006D148B" w:rsidP="006D148B">
      <w:pPr>
        <w:spacing w:after="0"/>
        <w:rPr>
          <w:rFonts w:eastAsia="Times New Roman" w:cs="Futura"/>
          <w:b/>
        </w:rPr>
      </w:pPr>
      <w:r w:rsidRPr="00BB0769">
        <w:rPr>
          <w:rFonts w:eastAsia="Times New Roman" w:cs="Futura"/>
          <w:b/>
        </w:rPr>
        <w:lastRenderedPageBreak/>
        <w:t>Atención a la demanda de educación media superior (cobertura)</w:t>
      </w:r>
    </w:p>
    <w:p w14:paraId="31F9B172" w14:textId="77777777" w:rsidR="006D148B" w:rsidRPr="00BB0769" w:rsidRDefault="006D148B" w:rsidP="006D148B">
      <w:pPr>
        <w:spacing w:after="0"/>
        <w:rPr>
          <w:rFonts w:eastAsia="Times New Roman" w:cs="Futura"/>
        </w:rPr>
      </w:pPr>
    </w:p>
    <w:p w14:paraId="53191E95" w14:textId="77777777" w:rsidR="006D148B" w:rsidRDefault="006D148B" w:rsidP="00202FDC">
      <w:pPr>
        <w:rPr>
          <w:rFonts w:eastAsia="Times New Roman" w:cs="Futura"/>
        </w:rPr>
      </w:pPr>
      <w:r w:rsidRPr="00BB0769">
        <w:rPr>
          <w:rFonts w:eastAsia="Times New Roman" w:cs="Futura"/>
        </w:rPr>
        <w:t xml:space="preserve">En los últimos años se han hecho esfuerzos importantes para incrementar la oferta de este nivel; en el ciclo escolar 2018-2019 se logró atender al 83.2 por ciento de la población </w:t>
      </w:r>
      <w:r>
        <w:rPr>
          <w:rFonts w:eastAsia="Times New Roman" w:cs="Futura"/>
        </w:rPr>
        <w:t xml:space="preserve">estatal </w:t>
      </w:r>
      <w:r w:rsidRPr="00BB0769">
        <w:rPr>
          <w:rFonts w:eastAsia="Times New Roman" w:cs="Futura"/>
        </w:rPr>
        <w:t>en edad de 15 a 17 años</w:t>
      </w:r>
      <w:r>
        <w:rPr>
          <w:rFonts w:eastAsia="Times New Roman" w:cs="Futura"/>
        </w:rPr>
        <w:t xml:space="preserve"> y a nivel nacional fue de 78.7 por ciento</w:t>
      </w:r>
      <w:r w:rsidRPr="00BB0769">
        <w:rPr>
          <w:rFonts w:eastAsia="Times New Roman" w:cs="Futura"/>
        </w:rPr>
        <w:t>, en el ciclo escolar 2019-2020 la cobertura fue de 80.6 por ciento, una disminución de 2.6 puntos porcentuales con relación al ciclo escolar anterior, situándonos por arriba de la media nacional que fue de 78.9 por ciento. El reto será incorporar a un mayor número de jóvenes a este nivel, esto les permitirá estar más preparados para el mercado laboral, y con la posibilidad de acce</w:t>
      </w:r>
      <w:r>
        <w:rPr>
          <w:rFonts w:eastAsia="Times New Roman" w:cs="Futura"/>
        </w:rPr>
        <w:t>der al nivel superior (Gráfica 6</w:t>
      </w:r>
      <w:r w:rsidRPr="00BB0769">
        <w:rPr>
          <w:rFonts w:eastAsia="Times New Roman" w:cs="Futura"/>
        </w:rPr>
        <w:t>).</w:t>
      </w:r>
    </w:p>
    <w:p w14:paraId="05B70E81" w14:textId="77777777" w:rsidR="006D148B" w:rsidRDefault="006D148B" w:rsidP="006D148B">
      <w:pPr>
        <w:spacing w:after="0"/>
        <w:rPr>
          <w:rFonts w:eastAsia="Times New Roman" w:cs="Futura"/>
        </w:rPr>
      </w:pPr>
    </w:p>
    <w:p w14:paraId="5AB40C34" w14:textId="77777777" w:rsidR="006D148B" w:rsidRPr="00BB0769" w:rsidRDefault="006D148B" w:rsidP="006D148B">
      <w:pPr>
        <w:spacing w:after="0"/>
        <w:rPr>
          <w:b/>
          <w:color w:val="4BACC6" w:themeColor="accent5"/>
        </w:rPr>
      </w:pPr>
      <w:r>
        <w:rPr>
          <w:b/>
          <w:color w:val="4BACC6" w:themeColor="accent5"/>
        </w:rPr>
        <w:t>Gráfica 6</w:t>
      </w:r>
      <w:r w:rsidRPr="00BB0769">
        <w:rPr>
          <w:b/>
          <w:color w:val="4BACC6" w:themeColor="accent5"/>
        </w:rPr>
        <w:t xml:space="preserve">. Cobertura de educación media superior, </w:t>
      </w:r>
      <w:r>
        <w:rPr>
          <w:b/>
          <w:color w:val="4BACC6" w:themeColor="accent5"/>
        </w:rPr>
        <w:t xml:space="preserve">comparativo </w:t>
      </w:r>
      <w:r w:rsidRPr="00BB0769">
        <w:rPr>
          <w:b/>
          <w:color w:val="4BACC6" w:themeColor="accent5"/>
        </w:rPr>
        <w:t>estatal y nacional</w:t>
      </w:r>
    </w:p>
    <w:p w14:paraId="48452093" w14:textId="77777777" w:rsidR="006D148B" w:rsidRPr="00BB0769" w:rsidRDefault="006D148B" w:rsidP="006D148B">
      <w:pPr>
        <w:spacing w:after="0"/>
        <w:jc w:val="center"/>
        <w:rPr>
          <w:b/>
          <w:color w:val="4BACC6" w:themeColor="accent5"/>
        </w:rPr>
      </w:pPr>
      <w:r w:rsidRPr="00BB0769">
        <w:rPr>
          <w:b/>
          <w:color w:val="4BACC6" w:themeColor="accent5"/>
        </w:rPr>
        <w:t>Ciclo escolar 2018-2019 y 2019-2020</w:t>
      </w:r>
    </w:p>
    <w:p w14:paraId="1EFF80A5" w14:textId="77777777" w:rsidR="006D148B" w:rsidRPr="00BB0769" w:rsidRDefault="006D148B" w:rsidP="006D148B">
      <w:pPr>
        <w:spacing w:after="0"/>
        <w:jc w:val="center"/>
        <w:rPr>
          <w:b/>
          <w:color w:val="4BACC6" w:themeColor="accent5"/>
        </w:rPr>
      </w:pPr>
      <w:r>
        <w:rPr>
          <w:noProof/>
          <w:lang w:val="es-MX" w:eastAsia="es-MX"/>
        </w:rPr>
        <w:drawing>
          <wp:anchor distT="0" distB="0" distL="114300" distR="114300" simplePos="0" relativeHeight="251699200" behindDoc="0" locked="0" layoutInCell="1" allowOverlap="1" wp14:anchorId="45E1D9B4" wp14:editId="04699640">
            <wp:simplePos x="0" y="0"/>
            <wp:positionH relativeFrom="column">
              <wp:align>center</wp:align>
            </wp:positionH>
            <wp:positionV relativeFrom="paragraph">
              <wp:posOffset>136525</wp:posOffset>
            </wp:positionV>
            <wp:extent cx="4629600" cy="2246400"/>
            <wp:effectExtent l="0" t="0" r="0" b="1905"/>
            <wp:wrapSquare wrapText="bothSides"/>
            <wp:docPr id="35" name="Gráfico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p w14:paraId="4AF6FA3B" w14:textId="77777777" w:rsidR="006D148B" w:rsidRDefault="006D148B" w:rsidP="006D148B">
      <w:pPr>
        <w:spacing w:after="0"/>
        <w:rPr>
          <w:rFonts w:ascii="Futura Bk BT" w:hAnsi="Futura Bk BT"/>
        </w:rPr>
      </w:pPr>
    </w:p>
    <w:p w14:paraId="7FEA7D6D" w14:textId="77777777" w:rsidR="006D148B" w:rsidRDefault="006D148B" w:rsidP="006D148B">
      <w:pPr>
        <w:spacing w:after="0"/>
        <w:rPr>
          <w:rFonts w:ascii="Futura Bk BT" w:hAnsi="Futura Bk BT"/>
        </w:rPr>
      </w:pPr>
    </w:p>
    <w:p w14:paraId="61DAB030" w14:textId="77777777" w:rsidR="006D148B" w:rsidRDefault="006D148B" w:rsidP="006D148B">
      <w:pPr>
        <w:spacing w:after="0"/>
        <w:rPr>
          <w:rFonts w:ascii="Futura Bk BT" w:hAnsi="Futura Bk BT"/>
        </w:rPr>
      </w:pPr>
    </w:p>
    <w:p w14:paraId="1DA6095E" w14:textId="77777777" w:rsidR="006D148B" w:rsidRDefault="006D148B" w:rsidP="006D148B">
      <w:pPr>
        <w:spacing w:after="0"/>
        <w:rPr>
          <w:rFonts w:ascii="Futura Bk BT" w:hAnsi="Futura Bk BT"/>
        </w:rPr>
      </w:pPr>
    </w:p>
    <w:p w14:paraId="05C20C28" w14:textId="77777777" w:rsidR="006D148B" w:rsidRDefault="006D148B" w:rsidP="006D148B">
      <w:pPr>
        <w:spacing w:after="0"/>
        <w:rPr>
          <w:rFonts w:ascii="Futura Bk BT" w:hAnsi="Futura Bk BT"/>
        </w:rPr>
      </w:pPr>
    </w:p>
    <w:p w14:paraId="00590612" w14:textId="77777777" w:rsidR="006D148B" w:rsidRDefault="006D148B" w:rsidP="006D148B">
      <w:pPr>
        <w:spacing w:after="0"/>
        <w:rPr>
          <w:rFonts w:ascii="Futura Bk BT" w:hAnsi="Futura Bk BT"/>
        </w:rPr>
      </w:pPr>
    </w:p>
    <w:p w14:paraId="724A821B" w14:textId="77777777" w:rsidR="006D148B" w:rsidRDefault="006D148B" w:rsidP="006D148B">
      <w:pPr>
        <w:spacing w:after="0"/>
        <w:rPr>
          <w:rFonts w:ascii="Futura Bk BT" w:hAnsi="Futura Bk BT"/>
        </w:rPr>
      </w:pPr>
    </w:p>
    <w:p w14:paraId="2F6E2E09" w14:textId="77777777" w:rsidR="006D148B" w:rsidRDefault="006D148B" w:rsidP="006D148B">
      <w:pPr>
        <w:spacing w:after="0"/>
        <w:rPr>
          <w:rFonts w:ascii="Futura Bk BT" w:hAnsi="Futura Bk BT"/>
        </w:rPr>
      </w:pPr>
    </w:p>
    <w:p w14:paraId="30E8EA9C" w14:textId="77777777" w:rsidR="006D148B" w:rsidRDefault="006D148B" w:rsidP="006D148B">
      <w:pPr>
        <w:spacing w:after="0"/>
        <w:rPr>
          <w:rFonts w:ascii="Futura Bk BT" w:hAnsi="Futura Bk BT"/>
        </w:rPr>
      </w:pPr>
    </w:p>
    <w:p w14:paraId="727D2641" w14:textId="77777777" w:rsidR="006D148B" w:rsidRDefault="006D148B" w:rsidP="006D148B">
      <w:pPr>
        <w:spacing w:after="0"/>
        <w:rPr>
          <w:rFonts w:ascii="Futura Bk BT" w:hAnsi="Futura Bk BT"/>
        </w:rPr>
      </w:pPr>
    </w:p>
    <w:p w14:paraId="463185AC" w14:textId="77777777" w:rsidR="006D148B" w:rsidRDefault="006D148B" w:rsidP="006D148B">
      <w:pPr>
        <w:spacing w:after="0"/>
        <w:rPr>
          <w:rFonts w:ascii="Futura Bk BT" w:hAnsi="Futura Bk BT"/>
        </w:rPr>
      </w:pPr>
    </w:p>
    <w:p w14:paraId="74E1ED46" w14:textId="77777777" w:rsidR="006D148B" w:rsidRPr="000E1464" w:rsidRDefault="006D148B" w:rsidP="006D148B">
      <w:pPr>
        <w:rPr>
          <w:rFonts w:ascii="Futura Bk BT" w:hAnsi="Futura Bk BT" w:cstheme="minorHAnsi"/>
          <w:sz w:val="16"/>
          <w:szCs w:val="16"/>
        </w:rPr>
      </w:pPr>
      <w:r w:rsidRPr="000E1464">
        <w:rPr>
          <w:rFonts w:ascii="Futura Bk BT" w:hAnsi="Futura Bk BT"/>
          <w:b/>
          <w:sz w:val="16"/>
          <w:szCs w:val="16"/>
        </w:rPr>
        <w:t>Fuente:</w:t>
      </w:r>
      <w:r w:rsidRPr="000E1464">
        <w:rPr>
          <w:rFonts w:ascii="Futura Bk BT" w:hAnsi="Futura Bk BT"/>
          <w:sz w:val="16"/>
          <w:szCs w:val="16"/>
        </w:rPr>
        <w:t xml:space="preserve"> Estadísticas continúas del formato 911 (inicio de ciclo escolar)</w:t>
      </w:r>
      <w:r>
        <w:rPr>
          <w:rFonts w:ascii="Futura Bk BT" w:hAnsi="Futura Bk BT"/>
          <w:sz w:val="16"/>
          <w:szCs w:val="16"/>
        </w:rPr>
        <w:t xml:space="preserve"> 2018-2019 y 2019-2020</w:t>
      </w:r>
      <w:r w:rsidRPr="000E1464">
        <w:rPr>
          <w:rFonts w:ascii="Futura Bk BT" w:hAnsi="Futura Bk BT"/>
          <w:sz w:val="16"/>
          <w:szCs w:val="16"/>
        </w:rPr>
        <w:t>, SEQ.</w:t>
      </w:r>
      <w:r>
        <w:rPr>
          <w:rFonts w:ascii="Futura Bk BT" w:hAnsi="Futura Bk BT"/>
          <w:sz w:val="16"/>
          <w:szCs w:val="16"/>
        </w:rPr>
        <w:t xml:space="preserve"> </w:t>
      </w:r>
      <w:r w:rsidRPr="000E1464">
        <w:rPr>
          <w:rFonts w:ascii="Futura Bk BT" w:hAnsi="Futura Bk BT" w:cstheme="minorHAnsi"/>
          <w:sz w:val="16"/>
          <w:szCs w:val="16"/>
        </w:rPr>
        <w:t xml:space="preserve">Proyecciones de la Población </w:t>
      </w:r>
      <w:r>
        <w:rPr>
          <w:rFonts w:ascii="Futura Bk BT" w:hAnsi="Futura Bk BT" w:cstheme="minorHAnsi"/>
          <w:sz w:val="16"/>
          <w:szCs w:val="16"/>
        </w:rPr>
        <w:t>por</w:t>
      </w:r>
      <w:r w:rsidRPr="000E1464">
        <w:rPr>
          <w:rFonts w:ascii="Futura Bk BT" w:hAnsi="Futura Bk BT" w:cstheme="minorHAnsi"/>
          <w:sz w:val="16"/>
          <w:szCs w:val="16"/>
        </w:rPr>
        <w:t xml:space="preserve"> </w:t>
      </w:r>
      <w:r>
        <w:rPr>
          <w:rFonts w:ascii="Futura Bk BT" w:hAnsi="Futura Bk BT" w:cstheme="minorHAnsi"/>
          <w:sz w:val="16"/>
          <w:szCs w:val="16"/>
        </w:rPr>
        <w:t>e</w:t>
      </w:r>
      <w:r w:rsidRPr="000E1464">
        <w:rPr>
          <w:rFonts w:ascii="Futura Bk BT" w:hAnsi="Futura Bk BT" w:cstheme="minorHAnsi"/>
          <w:sz w:val="16"/>
          <w:szCs w:val="16"/>
        </w:rPr>
        <w:t xml:space="preserve">ntidad </w:t>
      </w:r>
      <w:r>
        <w:rPr>
          <w:rFonts w:ascii="Futura Bk BT" w:hAnsi="Futura Bk BT" w:cstheme="minorHAnsi"/>
          <w:sz w:val="16"/>
          <w:szCs w:val="16"/>
        </w:rPr>
        <w:t>f</w:t>
      </w:r>
      <w:r w:rsidRPr="000E1464">
        <w:rPr>
          <w:rFonts w:ascii="Futura Bk BT" w:hAnsi="Futura Bk BT" w:cstheme="minorHAnsi"/>
          <w:sz w:val="16"/>
          <w:szCs w:val="16"/>
        </w:rPr>
        <w:t>ederativa</w:t>
      </w:r>
      <w:r>
        <w:rPr>
          <w:rFonts w:ascii="Futura Bk BT" w:hAnsi="Futura Bk BT" w:cstheme="minorHAnsi"/>
          <w:sz w:val="16"/>
          <w:szCs w:val="16"/>
        </w:rPr>
        <w:t xml:space="preserve"> 1970-2050</w:t>
      </w:r>
      <w:r w:rsidRPr="000E1464">
        <w:rPr>
          <w:rFonts w:ascii="Futura Bk BT" w:hAnsi="Futura Bk BT" w:cstheme="minorHAnsi"/>
          <w:sz w:val="16"/>
          <w:szCs w:val="16"/>
        </w:rPr>
        <w:t>, CONAPO.</w:t>
      </w:r>
    </w:p>
    <w:p w14:paraId="1A5895CF" w14:textId="77777777" w:rsidR="006D148B" w:rsidRDefault="006D148B" w:rsidP="006D148B">
      <w:pPr>
        <w:spacing w:after="0"/>
        <w:rPr>
          <w:rFonts w:eastAsia="Times New Roman" w:cs="Futura"/>
          <w:b/>
        </w:rPr>
      </w:pPr>
    </w:p>
    <w:p w14:paraId="5377F7F2" w14:textId="77777777" w:rsidR="006D148B" w:rsidRPr="00BB0769" w:rsidRDefault="006D148B" w:rsidP="006D148B">
      <w:pPr>
        <w:spacing w:after="0"/>
        <w:rPr>
          <w:rFonts w:eastAsia="Times New Roman" w:cs="Futura"/>
          <w:b/>
        </w:rPr>
      </w:pPr>
      <w:r w:rsidRPr="00BB0769">
        <w:rPr>
          <w:rFonts w:eastAsia="Times New Roman" w:cs="Futura"/>
          <w:b/>
        </w:rPr>
        <w:t>Indicadores educativos en el nivel medio superior</w:t>
      </w:r>
    </w:p>
    <w:p w14:paraId="3C6FDF46" w14:textId="77777777" w:rsidR="006D148B" w:rsidRPr="00BB0769" w:rsidRDefault="006D148B" w:rsidP="006D148B">
      <w:pPr>
        <w:spacing w:after="0"/>
        <w:rPr>
          <w:rFonts w:eastAsia="Times New Roman" w:cs="Futura"/>
        </w:rPr>
      </w:pPr>
    </w:p>
    <w:p w14:paraId="2AD54A89" w14:textId="77777777" w:rsidR="006D148B" w:rsidRPr="00BB0769" w:rsidRDefault="006D148B" w:rsidP="00202FDC">
      <w:pPr>
        <w:rPr>
          <w:rFonts w:eastAsia="Times New Roman" w:cs="Futura"/>
        </w:rPr>
      </w:pPr>
      <w:r w:rsidRPr="00BB0769">
        <w:rPr>
          <w:rFonts w:eastAsia="Times New Roman" w:cs="Futura"/>
        </w:rPr>
        <w:t xml:space="preserve">El indicador de absorción nos permite conocer el porcentaje de alumnos que ingresan a primer grado de educación media con relación al total de alumnos que egresaron de secundaria. Para el ciclo escolar 2018-2019 este indicador fue de 104.1 por ciento y para el ciclo 2019-2020 fue de 105.0 por ciento, un incremento de poco menos de un punto </w:t>
      </w:r>
      <w:r w:rsidRPr="00BB0769">
        <w:rPr>
          <w:rFonts w:eastAsia="Times New Roman" w:cs="Futura"/>
        </w:rPr>
        <w:lastRenderedPageBreak/>
        <w:t xml:space="preserve">porcentual y por debajo de la media nacional que fue de 106.4 por ciento. El abandono escolar en el ciclo 2017-2018 fue de 7.7 por ciento y para el ciclo 2018-2019 fue de 10.2 por ciento, un incremento de 2.5 por ciento con relación al ciclo anterior, y por debajo de la media nacional que fue de 12.9 por ciento. Con respecto al porcentaje de alumnos que reprueban algún grado o materia por no obtener los conocimientos básicos establecidos en los planes o programas de estudios, encontramos que la reprobación en educación media en el ciclo 2017-2018 fue de </w:t>
      </w:r>
      <w:r>
        <w:rPr>
          <w:rFonts w:eastAsia="Times New Roman" w:cs="Futura"/>
        </w:rPr>
        <w:t>12</w:t>
      </w:r>
      <w:r w:rsidRPr="00BB0769">
        <w:rPr>
          <w:rFonts w:eastAsia="Times New Roman" w:cs="Futura"/>
        </w:rPr>
        <w:t>.</w:t>
      </w:r>
      <w:r>
        <w:rPr>
          <w:rFonts w:eastAsia="Times New Roman" w:cs="Futura"/>
        </w:rPr>
        <w:t>5</w:t>
      </w:r>
      <w:r w:rsidRPr="00BB0769">
        <w:rPr>
          <w:rFonts w:eastAsia="Times New Roman" w:cs="Futura"/>
        </w:rPr>
        <w:t xml:space="preserve"> por ciento y para el ciclo escolar 2018-2019 fue de </w:t>
      </w:r>
      <w:r>
        <w:rPr>
          <w:rFonts w:eastAsia="Times New Roman" w:cs="Futura"/>
        </w:rPr>
        <w:t>12</w:t>
      </w:r>
      <w:r w:rsidRPr="00BB0769">
        <w:rPr>
          <w:rFonts w:eastAsia="Times New Roman" w:cs="Futura"/>
        </w:rPr>
        <w:t>.</w:t>
      </w:r>
      <w:r>
        <w:rPr>
          <w:rFonts w:eastAsia="Times New Roman" w:cs="Futura"/>
        </w:rPr>
        <w:t>7</w:t>
      </w:r>
      <w:r w:rsidRPr="00BB0769">
        <w:rPr>
          <w:rFonts w:eastAsia="Times New Roman" w:cs="Futura"/>
        </w:rPr>
        <w:t xml:space="preserve"> por ciento, </w:t>
      </w:r>
      <w:r>
        <w:rPr>
          <w:rFonts w:eastAsia="Times New Roman" w:cs="Futura"/>
        </w:rPr>
        <w:t xml:space="preserve">situándonos 1.2 puntos porcentuales </w:t>
      </w:r>
      <w:r w:rsidRPr="00BB0769">
        <w:rPr>
          <w:rFonts w:eastAsia="Times New Roman" w:cs="Futura"/>
        </w:rPr>
        <w:t xml:space="preserve">por debajo de la media nacional que fue de </w:t>
      </w:r>
      <w:r>
        <w:rPr>
          <w:rFonts w:eastAsia="Times New Roman" w:cs="Futura"/>
        </w:rPr>
        <w:t>13.9</w:t>
      </w:r>
      <w:r w:rsidRPr="00BB0769">
        <w:rPr>
          <w:rFonts w:eastAsia="Times New Roman" w:cs="Futura"/>
        </w:rPr>
        <w:t xml:space="preserve"> por ciento.</w:t>
      </w:r>
    </w:p>
    <w:p w14:paraId="37B58103" w14:textId="77777777" w:rsidR="006D148B" w:rsidRPr="00BB0769" w:rsidRDefault="006D148B" w:rsidP="00202FDC">
      <w:pPr>
        <w:rPr>
          <w:rFonts w:eastAsia="Times New Roman" w:cs="Futura"/>
        </w:rPr>
      </w:pPr>
      <w:r w:rsidRPr="00BB0769">
        <w:rPr>
          <w:rFonts w:eastAsia="Times New Roman" w:cs="Futura"/>
        </w:rPr>
        <w:t>Por otro lado, la eficiencia terminal para el ciclo 2017-2018 fue de 72.1 por ciento y para el ciclo escolar 2018-2019 fue de 70.2 por ciento, una disminución de 1.9 por ciento con relación al ciclo anterior, y por arriba de la media nacional que f</w:t>
      </w:r>
      <w:r>
        <w:rPr>
          <w:rFonts w:eastAsia="Times New Roman" w:cs="Futura"/>
        </w:rPr>
        <w:t>ue de 64.2 por ciento (Cuadro 9</w:t>
      </w:r>
      <w:r w:rsidRPr="00BB0769">
        <w:rPr>
          <w:rFonts w:eastAsia="Times New Roman" w:cs="Futura"/>
        </w:rPr>
        <w:t xml:space="preserve">). </w:t>
      </w:r>
    </w:p>
    <w:p w14:paraId="49231C5E" w14:textId="77777777" w:rsidR="006D148B" w:rsidRDefault="006D148B" w:rsidP="006D148B">
      <w:pPr>
        <w:spacing w:after="0"/>
        <w:rPr>
          <w:rFonts w:ascii="Futura Bk BT" w:hAnsi="Futura Bk BT"/>
        </w:rPr>
      </w:pPr>
    </w:p>
    <w:p w14:paraId="2F2E5088" w14:textId="77777777" w:rsidR="006D148B" w:rsidRPr="00BB0769" w:rsidRDefault="006D148B" w:rsidP="006D148B">
      <w:pPr>
        <w:spacing w:after="0"/>
        <w:rPr>
          <w:b/>
          <w:color w:val="4BACC6" w:themeColor="accent5"/>
        </w:rPr>
      </w:pPr>
      <w:r>
        <w:rPr>
          <w:b/>
          <w:color w:val="4BACC6" w:themeColor="accent5"/>
        </w:rPr>
        <w:t>Cuadro 9</w:t>
      </w:r>
      <w:r w:rsidRPr="00BB0769">
        <w:rPr>
          <w:b/>
          <w:color w:val="4BACC6" w:themeColor="accent5"/>
        </w:rPr>
        <w:t xml:space="preserve">. Principales indicadores de educación media superior, evolución y </w:t>
      </w:r>
      <w:r>
        <w:rPr>
          <w:b/>
          <w:color w:val="4BACC6" w:themeColor="accent5"/>
        </w:rPr>
        <w:t>c</w:t>
      </w:r>
      <w:r w:rsidRPr="00BB0769">
        <w:rPr>
          <w:b/>
          <w:color w:val="4BACC6" w:themeColor="accent5"/>
        </w:rPr>
        <w:t>omparativo nacional</w:t>
      </w:r>
    </w:p>
    <w:p w14:paraId="1ED4488D" w14:textId="77777777" w:rsidR="006D148B" w:rsidRDefault="006D148B" w:rsidP="006D148B">
      <w:pPr>
        <w:spacing w:after="0"/>
      </w:pPr>
    </w:p>
    <w:tbl>
      <w:tblPr>
        <w:tblW w:w="59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960"/>
        <w:gridCol w:w="1340"/>
        <w:gridCol w:w="1340"/>
        <w:gridCol w:w="1340"/>
      </w:tblGrid>
      <w:tr w:rsidR="006D148B" w:rsidRPr="00D942B5" w14:paraId="36ADCCD9" w14:textId="77777777" w:rsidTr="004378A8">
        <w:trPr>
          <w:trHeight w:val="402"/>
          <w:jc w:val="center"/>
        </w:trPr>
        <w:tc>
          <w:tcPr>
            <w:tcW w:w="1960" w:type="dxa"/>
            <w:vMerge w:val="restart"/>
            <w:shd w:val="clear" w:color="auto" w:fill="A6A6A6" w:themeFill="background1" w:themeFillShade="A6"/>
            <w:vAlign w:val="center"/>
            <w:hideMark/>
          </w:tcPr>
          <w:p w14:paraId="50F00637" w14:textId="77777777" w:rsidR="006D148B" w:rsidRPr="00E90379" w:rsidRDefault="006D148B" w:rsidP="00E90379">
            <w:pPr>
              <w:spacing w:after="100" w:afterAutospacing="1" w:line="240" w:lineRule="auto"/>
              <w:jc w:val="center"/>
              <w:rPr>
                <w:rFonts w:ascii="Futura Std Condensed Light" w:eastAsia="Calibri" w:hAnsi="Futura Std Condensed Light" w:cs="Calibri"/>
                <w:b/>
                <w:sz w:val="20"/>
                <w:szCs w:val="20"/>
              </w:rPr>
            </w:pPr>
            <w:r w:rsidRPr="00E90379">
              <w:rPr>
                <w:rFonts w:ascii="Futura Std Condensed Light" w:eastAsia="Calibri" w:hAnsi="Futura Std Condensed Light" w:cs="Calibri"/>
                <w:b/>
                <w:sz w:val="20"/>
                <w:szCs w:val="20"/>
              </w:rPr>
              <w:t>Indicador</w:t>
            </w:r>
          </w:p>
        </w:tc>
        <w:tc>
          <w:tcPr>
            <w:tcW w:w="2680" w:type="dxa"/>
            <w:gridSpan w:val="2"/>
            <w:shd w:val="clear" w:color="auto" w:fill="A6A6A6" w:themeFill="background1" w:themeFillShade="A6"/>
            <w:noWrap/>
            <w:vAlign w:val="center"/>
            <w:hideMark/>
          </w:tcPr>
          <w:p w14:paraId="232B4047" w14:textId="77777777" w:rsidR="006D148B" w:rsidRPr="00E90379" w:rsidRDefault="006D148B" w:rsidP="00E90379">
            <w:pPr>
              <w:spacing w:after="100" w:afterAutospacing="1" w:line="240" w:lineRule="auto"/>
              <w:jc w:val="center"/>
              <w:rPr>
                <w:rFonts w:ascii="Futura Std Condensed Light" w:eastAsia="Calibri" w:hAnsi="Futura Std Condensed Light" w:cs="Calibri"/>
                <w:b/>
                <w:sz w:val="20"/>
                <w:szCs w:val="20"/>
              </w:rPr>
            </w:pPr>
            <w:r w:rsidRPr="00E90379">
              <w:rPr>
                <w:rFonts w:ascii="Futura Std Condensed Light" w:eastAsia="Calibri" w:hAnsi="Futura Std Condensed Light" w:cs="Calibri"/>
                <w:b/>
                <w:sz w:val="20"/>
                <w:szCs w:val="20"/>
              </w:rPr>
              <w:t>Ciclo Escolar</w:t>
            </w:r>
          </w:p>
        </w:tc>
        <w:tc>
          <w:tcPr>
            <w:tcW w:w="1340" w:type="dxa"/>
            <w:shd w:val="clear" w:color="auto" w:fill="A6A6A6" w:themeFill="background1" w:themeFillShade="A6"/>
            <w:vAlign w:val="center"/>
            <w:hideMark/>
          </w:tcPr>
          <w:p w14:paraId="4D4DA488" w14:textId="77777777" w:rsidR="006D148B" w:rsidRPr="00E90379" w:rsidRDefault="006D148B" w:rsidP="00E90379">
            <w:pPr>
              <w:spacing w:after="100" w:afterAutospacing="1" w:line="240" w:lineRule="auto"/>
              <w:jc w:val="center"/>
              <w:rPr>
                <w:rFonts w:ascii="Futura Std Condensed Light" w:eastAsia="Calibri" w:hAnsi="Futura Std Condensed Light" w:cs="Calibri"/>
                <w:b/>
                <w:sz w:val="20"/>
                <w:szCs w:val="20"/>
              </w:rPr>
            </w:pPr>
            <w:r w:rsidRPr="00E90379">
              <w:rPr>
                <w:rFonts w:ascii="Futura Std Condensed Light" w:eastAsia="Calibri" w:hAnsi="Futura Std Condensed Light" w:cs="Calibri"/>
                <w:b/>
                <w:sz w:val="20"/>
                <w:szCs w:val="20"/>
              </w:rPr>
              <w:t xml:space="preserve">*Nacional </w:t>
            </w:r>
          </w:p>
        </w:tc>
      </w:tr>
      <w:tr w:rsidR="006D148B" w:rsidRPr="00D942B5" w14:paraId="6F80B952" w14:textId="77777777" w:rsidTr="004378A8">
        <w:trPr>
          <w:trHeight w:val="402"/>
          <w:jc w:val="center"/>
        </w:trPr>
        <w:tc>
          <w:tcPr>
            <w:tcW w:w="1960" w:type="dxa"/>
            <w:vMerge/>
            <w:shd w:val="clear" w:color="auto" w:fill="A6A6A6" w:themeFill="background1" w:themeFillShade="A6"/>
            <w:vAlign w:val="center"/>
            <w:hideMark/>
          </w:tcPr>
          <w:p w14:paraId="449879B2" w14:textId="77777777" w:rsidR="006D148B" w:rsidRPr="00E90379" w:rsidRDefault="006D148B" w:rsidP="00E90379">
            <w:pPr>
              <w:spacing w:after="100" w:afterAutospacing="1" w:line="240" w:lineRule="auto"/>
              <w:jc w:val="center"/>
              <w:rPr>
                <w:rFonts w:ascii="Futura Std Condensed Light" w:eastAsia="Calibri" w:hAnsi="Futura Std Condensed Light" w:cs="Calibri"/>
                <w:b/>
                <w:sz w:val="20"/>
                <w:szCs w:val="20"/>
              </w:rPr>
            </w:pPr>
          </w:p>
        </w:tc>
        <w:tc>
          <w:tcPr>
            <w:tcW w:w="1340" w:type="dxa"/>
            <w:shd w:val="clear" w:color="auto" w:fill="A6A6A6" w:themeFill="background1" w:themeFillShade="A6"/>
            <w:vAlign w:val="center"/>
            <w:hideMark/>
          </w:tcPr>
          <w:p w14:paraId="28818BD7" w14:textId="77777777" w:rsidR="006D148B" w:rsidRPr="00E90379" w:rsidRDefault="006D148B" w:rsidP="00E90379">
            <w:pPr>
              <w:spacing w:after="100" w:afterAutospacing="1" w:line="240" w:lineRule="auto"/>
              <w:jc w:val="center"/>
              <w:rPr>
                <w:rFonts w:ascii="Futura Std Condensed Light" w:eastAsia="Calibri" w:hAnsi="Futura Std Condensed Light" w:cs="Calibri"/>
                <w:b/>
                <w:sz w:val="20"/>
                <w:szCs w:val="20"/>
              </w:rPr>
            </w:pPr>
            <w:r w:rsidRPr="00E90379">
              <w:rPr>
                <w:rFonts w:ascii="Futura Std Condensed Light" w:eastAsia="Calibri" w:hAnsi="Futura Std Condensed Light" w:cs="Calibri"/>
                <w:b/>
                <w:sz w:val="20"/>
                <w:szCs w:val="20"/>
              </w:rPr>
              <w:t>2018-2019</w:t>
            </w:r>
          </w:p>
        </w:tc>
        <w:tc>
          <w:tcPr>
            <w:tcW w:w="1340" w:type="dxa"/>
            <w:shd w:val="clear" w:color="auto" w:fill="A6A6A6" w:themeFill="background1" w:themeFillShade="A6"/>
            <w:vAlign w:val="center"/>
            <w:hideMark/>
          </w:tcPr>
          <w:p w14:paraId="0CDE7958" w14:textId="77777777" w:rsidR="006D148B" w:rsidRPr="00E90379" w:rsidRDefault="006D148B" w:rsidP="00E90379">
            <w:pPr>
              <w:spacing w:after="100" w:afterAutospacing="1" w:line="240" w:lineRule="auto"/>
              <w:jc w:val="center"/>
              <w:rPr>
                <w:rFonts w:ascii="Futura Std Condensed Light" w:eastAsia="Calibri" w:hAnsi="Futura Std Condensed Light" w:cs="Calibri"/>
                <w:b/>
                <w:sz w:val="20"/>
                <w:szCs w:val="20"/>
              </w:rPr>
            </w:pPr>
            <w:r w:rsidRPr="00E90379">
              <w:rPr>
                <w:rFonts w:ascii="Futura Std Condensed Light" w:eastAsia="Calibri" w:hAnsi="Futura Std Condensed Light" w:cs="Calibri"/>
                <w:b/>
                <w:sz w:val="20"/>
                <w:szCs w:val="20"/>
              </w:rPr>
              <w:t>2019-2020</w:t>
            </w:r>
          </w:p>
        </w:tc>
        <w:tc>
          <w:tcPr>
            <w:tcW w:w="1340" w:type="dxa"/>
            <w:shd w:val="clear" w:color="auto" w:fill="A6A6A6" w:themeFill="background1" w:themeFillShade="A6"/>
            <w:vAlign w:val="center"/>
            <w:hideMark/>
          </w:tcPr>
          <w:p w14:paraId="4DE1EE53" w14:textId="77777777" w:rsidR="006D148B" w:rsidRPr="00E90379" w:rsidRDefault="006D148B" w:rsidP="00E90379">
            <w:pPr>
              <w:spacing w:after="100" w:afterAutospacing="1" w:line="240" w:lineRule="auto"/>
              <w:jc w:val="center"/>
              <w:rPr>
                <w:rFonts w:ascii="Futura Std Condensed Light" w:eastAsia="Calibri" w:hAnsi="Futura Std Condensed Light" w:cs="Calibri"/>
                <w:b/>
                <w:sz w:val="20"/>
                <w:szCs w:val="20"/>
              </w:rPr>
            </w:pPr>
            <w:r w:rsidRPr="00E90379">
              <w:rPr>
                <w:rFonts w:ascii="Futura Std Condensed Light" w:eastAsia="Calibri" w:hAnsi="Futura Std Condensed Light" w:cs="Calibri"/>
                <w:b/>
                <w:sz w:val="20"/>
                <w:szCs w:val="20"/>
              </w:rPr>
              <w:t>2019-2020</w:t>
            </w:r>
          </w:p>
        </w:tc>
      </w:tr>
      <w:tr w:rsidR="006D148B" w:rsidRPr="00D942B5" w14:paraId="78EF48AE" w14:textId="77777777" w:rsidTr="004378A8">
        <w:trPr>
          <w:trHeight w:val="402"/>
          <w:jc w:val="center"/>
        </w:trPr>
        <w:tc>
          <w:tcPr>
            <w:tcW w:w="1960" w:type="dxa"/>
            <w:shd w:val="clear" w:color="auto" w:fill="auto"/>
            <w:noWrap/>
            <w:vAlign w:val="center"/>
            <w:hideMark/>
          </w:tcPr>
          <w:p w14:paraId="38527075" w14:textId="77777777" w:rsidR="006D148B" w:rsidRPr="00E90379" w:rsidRDefault="006D148B" w:rsidP="00E90379">
            <w:pPr>
              <w:spacing w:after="100" w:afterAutospacing="1" w:line="240" w:lineRule="auto"/>
              <w:jc w:val="center"/>
              <w:rPr>
                <w:rFonts w:ascii="Futura Std Condensed Light" w:eastAsia="Calibri" w:hAnsi="Futura Std Condensed Light" w:cs="Calibri"/>
                <w:sz w:val="20"/>
                <w:szCs w:val="20"/>
              </w:rPr>
            </w:pPr>
            <w:r w:rsidRPr="00E90379">
              <w:rPr>
                <w:rFonts w:ascii="Futura Std Condensed Light" w:eastAsia="Calibri" w:hAnsi="Futura Std Condensed Light" w:cs="Calibri"/>
                <w:sz w:val="20"/>
                <w:szCs w:val="20"/>
              </w:rPr>
              <w:t>Absorción</w:t>
            </w:r>
          </w:p>
        </w:tc>
        <w:tc>
          <w:tcPr>
            <w:tcW w:w="1340" w:type="dxa"/>
            <w:shd w:val="clear" w:color="auto" w:fill="auto"/>
            <w:vAlign w:val="center"/>
            <w:hideMark/>
          </w:tcPr>
          <w:p w14:paraId="4DB1011C" w14:textId="77777777" w:rsidR="006D148B" w:rsidRPr="00E90379" w:rsidRDefault="006D148B" w:rsidP="00E90379">
            <w:pPr>
              <w:spacing w:after="100" w:afterAutospacing="1" w:line="240" w:lineRule="auto"/>
              <w:jc w:val="center"/>
              <w:rPr>
                <w:rFonts w:ascii="Futura Std Condensed Light" w:eastAsia="Calibri" w:hAnsi="Futura Std Condensed Light" w:cs="Calibri"/>
                <w:sz w:val="20"/>
                <w:szCs w:val="20"/>
              </w:rPr>
            </w:pPr>
            <w:r w:rsidRPr="00E90379">
              <w:rPr>
                <w:rFonts w:ascii="Futura Std Condensed Light" w:eastAsia="Calibri" w:hAnsi="Futura Std Condensed Light" w:cs="Calibri"/>
                <w:sz w:val="20"/>
                <w:szCs w:val="20"/>
              </w:rPr>
              <w:t>104.1%</w:t>
            </w:r>
          </w:p>
        </w:tc>
        <w:tc>
          <w:tcPr>
            <w:tcW w:w="1340" w:type="dxa"/>
            <w:shd w:val="clear" w:color="auto" w:fill="auto"/>
            <w:vAlign w:val="center"/>
            <w:hideMark/>
          </w:tcPr>
          <w:p w14:paraId="1A846963" w14:textId="77777777" w:rsidR="006D148B" w:rsidRPr="00E90379" w:rsidRDefault="006D148B" w:rsidP="00E90379">
            <w:pPr>
              <w:spacing w:after="100" w:afterAutospacing="1" w:line="240" w:lineRule="auto"/>
              <w:jc w:val="center"/>
              <w:rPr>
                <w:rFonts w:ascii="Futura Std Condensed Light" w:eastAsia="Calibri" w:hAnsi="Futura Std Condensed Light" w:cs="Calibri"/>
                <w:sz w:val="20"/>
                <w:szCs w:val="20"/>
              </w:rPr>
            </w:pPr>
            <w:r w:rsidRPr="00E90379">
              <w:rPr>
                <w:rFonts w:ascii="Futura Std Condensed Light" w:eastAsia="Calibri" w:hAnsi="Futura Std Condensed Light" w:cs="Calibri"/>
                <w:sz w:val="20"/>
                <w:szCs w:val="20"/>
              </w:rPr>
              <w:t>105.0%</w:t>
            </w:r>
          </w:p>
        </w:tc>
        <w:tc>
          <w:tcPr>
            <w:tcW w:w="1340" w:type="dxa"/>
            <w:shd w:val="clear" w:color="auto" w:fill="auto"/>
            <w:noWrap/>
            <w:vAlign w:val="center"/>
            <w:hideMark/>
          </w:tcPr>
          <w:p w14:paraId="64CBC91D" w14:textId="77777777" w:rsidR="006D148B" w:rsidRPr="00E90379" w:rsidRDefault="006D148B" w:rsidP="00E90379">
            <w:pPr>
              <w:spacing w:after="100" w:afterAutospacing="1" w:line="240" w:lineRule="auto"/>
              <w:jc w:val="center"/>
              <w:rPr>
                <w:rFonts w:ascii="Futura Std Condensed Light" w:eastAsia="Calibri" w:hAnsi="Futura Std Condensed Light" w:cs="Calibri"/>
                <w:sz w:val="20"/>
                <w:szCs w:val="20"/>
              </w:rPr>
            </w:pPr>
            <w:r w:rsidRPr="00E90379">
              <w:rPr>
                <w:rFonts w:ascii="Futura Std Condensed Light" w:eastAsia="Calibri" w:hAnsi="Futura Std Condensed Light" w:cs="Calibri"/>
                <w:sz w:val="20"/>
                <w:szCs w:val="20"/>
              </w:rPr>
              <w:t>106.4%</w:t>
            </w:r>
          </w:p>
        </w:tc>
      </w:tr>
      <w:tr w:rsidR="006D148B" w:rsidRPr="00D942B5" w14:paraId="2050E434" w14:textId="77777777" w:rsidTr="004378A8">
        <w:trPr>
          <w:trHeight w:val="402"/>
          <w:jc w:val="center"/>
        </w:trPr>
        <w:tc>
          <w:tcPr>
            <w:tcW w:w="1960" w:type="dxa"/>
            <w:vMerge w:val="restart"/>
            <w:shd w:val="clear" w:color="auto" w:fill="A6A6A6" w:themeFill="background1" w:themeFillShade="A6"/>
            <w:vAlign w:val="center"/>
            <w:hideMark/>
          </w:tcPr>
          <w:p w14:paraId="0EC431AD" w14:textId="77777777" w:rsidR="006D148B" w:rsidRPr="00E90379" w:rsidRDefault="006D148B" w:rsidP="00E90379">
            <w:pPr>
              <w:spacing w:after="100" w:afterAutospacing="1" w:line="240" w:lineRule="auto"/>
              <w:jc w:val="center"/>
              <w:rPr>
                <w:rFonts w:ascii="Futura Std Condensed Light" w:eastAsia="Calibri" w:hAnsi="Futura Std Condensed Light" w:cs="Calibri"/>
                <w:b/>
                <w:sz w:val="20"/>
                <w:szCs w:val="20"/>
              </w:rPr>
            </w:pPr>
            <w:r w:rsidRPr="00E90379">
              <w:rPr>
                <w:rFonts w:ascii="Futura Std Condensed Light" w:eastAsia="Calibri" w:hAnsi="Futura Std Condensed Light" w:cs="Calibri"/>
                <w:b/>
                <w:sz w:val="20"/>
                <w:szCs w:val="20"/>
              </w:rPr>
              <w:t>Indicador</w:t>
            </w:r>
          </w:p>
        </w:tc>
        <w:tc>
          <w:tcPr>
            <w:tcW w:w="2680" w:type="dxa"/>
            <w:gridSpan w:val="2"/>
            <w:shd w:val="clear" w:color="auto" w:fill="A6A6A6" w:themeFill="background1" w:themeFillShade="A6"/>
            <w:noWrap/>
            <w:vAlign w:val="center"/>
            <w:hideMark/>
          </w:tcPr>
          <w:p w14:paraId="17B27412" w14:textId="77777777" w:rsidR="006D148B" w:rsidRPr="00E90379" w:rsidRDefault="006D148B" w:rsidP="00E90379">
            <w:pPr>
              <w:spacing w:after="100" w:afterAutospacing="1" w:line="240" w:lineRule="auto"/>
              <w:jc w:val="center"/>
              <w:rPr>
                <w:rFonts w:ascii="Futura Std Condensed Light" w:eastAsia="Calibri" w:hAnsi="Futura Std Condensed Light" w:cs="Calibri"/>
                <w:b/>
                <w:sz w:val="20"/>
                <w:szCs w:val="20"/>
              </w:rPr>
            </w:pPr>
            <w:r w:rsidRPr="00E90379">
              <w:rPr>
                <w:rFonts w:ascii="Futura Std Condensed Light" w:eastAsia="Calibri" w:hAnsi="Futura Std Condensed Light" w:cs="Calibri"/>
                <w:b/>
                <w:sz w:val="20"/>
                <w:szCs w:val="20"/>
              </w:rPr>
              <w:t>Ciclo Escolar</w:t>
            </w:r>
          </w:p>
        </w:tc>
        <w:tc>
          <w:tcPr>
            <w:tcW w:w="1340" w:type="dxa"/>
            <w:shd w:val="clear" w:color="auto" w:fill="A6A6A6" w:themeFill="background1" w:themeFillShade="A6"/>
            <w:vAlign w:val="center"/>
            <w:hideMark/>
          </w:tcPr>
          <w:p w14:paraId="341B8F30" w14:textId="77777777" w:rsidR="006D148B" w:rsidRPr="00E90379" w:rsidRDefault="006D148B" w:rsidP="00E90379">
            <w:pPr>
              <w:spacing w:after="100" w:afterAutospacing="1" w:line="240" w:lineRule="auto"/>
              <w:jc w:val="center"/>
              <w:rPr>
                <w:rFonts w:ascii="Futura Std Condensed Light" w:eastAsia="Calibri" w:hAnsi="Futura Std Condensed Light" w:cs="Calibri"/>
                <w:b/>
                <w:sz w:val="20"/>
                <w:szCs w:val="20"/>
              </w:rPr>
            </w:pPr>
            <w:r w:rsidRPr="00E90379">
              <w:rPr>
                <w:rFonts w:ascii="Futura Std Condensed Light" w:eastAsia="Calibri" w:hAnsi="Futura Std Condensed Light" w:cs="Calibri"/>
                <w:b/>
                <w:sz w:val="20"/>
                <w:szCs w:val="20"/>
              </w:rPr>
              <w:t xml:space="preserve">*Nacional </w:t>
            </w:r>
          </w:p>
        </w:tc>
      </w:tr>
      <w:tr w:rsidR="006D148B" w:rsidRPr="00D942B5" w14:paraId="33528D4B" w14:textId="77777777" w:rsidTr="004378A8">
        <w:trPr>
          <w:trHeight w:val="402"/>
          <w:jc w:val="center"/>
        </w:trPr>
        <w:tc>
          <w:tcPr>
            <w:tcW w:w="1960" w:type="dxa"/>
            <w:vMerge/>
            <w:shd w:val="clear" w:color="auto" w:fill="A6A6A6" w:themeFill="background1" w:themeFillShade="A6"/>
            <w:vAlign w:val="center"/>
            <w:hideMark/>
          </w:tcPr>
          <w:p w14:paraId="5A4F6878" w14:textId="77777777" w:rsidR="006D148B" w:rsidRPr="00E90379" w:rsidRDefault="006D148B" w:rsidP="00E90379">
            <w:pPr>
              <w:spacing w:after="100" w:afterAutospacing="1" w:line="240" w:lineRule="auto"/>
              <w:jc w:val="center"/>
              <w:rPr>
                <w:rFonts w:ascii="Futura Std Condensed Light" w:eastAsia="Calibri" w:hAnsi="Futura Std Condensed Light" w:cs="Calibri"/>
                <w:b/>
                <w:sz w:val="20"/>
                <w:szCs w:val="20"/>
              </w:rPr>
            </w:pPr>
          </w:p>
        </w:tc>
        <w:tc>
          <w:tcPr>
            <w:tcW w:w="1340" w:type="dxa"/>
            <w:shd w:val="clear" w:color="auto" w:fill="A6A6A6" w:themeFill="background1" w:themeFillShade="A6"/>
            <w:vAlign w:val="center"/>
            <w:hideMark/>
          </w:tcPr>
          <w:p w14:paraId="3367ABAC" w14:textId="77777777" w:rsidR="006D148B" w:rsidRPr="00E90379" w:rsidRDefault="006D148B" w:rsidP="00E90379">
            <w:pPr>
              <w:spacing w:after="100" w:afterAutospacing="1" w:line="240" w:lineRule="auto"/>
              <w:jc w:val="center"/>
              <w:rPr>
                <w:rFonts w:ascii="Futura Std Condensed Light" w:eastAsia="Calibri" w:hAnsi="Futura Std Condensed Light" w:cs="Calibri"/>
                <w:b/>
                <w:sz w:val="20"/>
                <w:szCs w:val="20"/>
              </w:rPr>
            </w:pPr>
            <w:r w:rsidRPr="00E90379">
              <w:rPr>
                <w:rFonts w:ascii="Futura Std Condensed Light" w:eastAsia="Calibri" w:hAnsi="Futura Std Condensed Light" w:cs="Calibri"/>
                <w:b/>
                <w:sz w:val="20"/>
                <w:szCs w:val="20"/>
              </w:rPr>
              <w:t>2017-2018</w:t>
            </w:r>
          </w:p>
        </w:tc>
        <w:tc>
          <w:tcPr>
            <w:tcW w:w="1340" w:type="dxa"/>
            <w:shd w:val="clear" w:color="auto" w:fill="A6A6A6" w:themeFill="background1" w:themeFillShade="A6"/>
            <w:vAlign w:val="center"/>
            <w:hideMark/>
          </w:tcPr>
          <w:p w14:paraId="2B31A46D" w14:textId="77777777" w:rsidR="006D148B" w:rsidRPr="00E90379" w:rsidRDefault="006D148B" w:rsidP="00E90379">
            <w:pPr>
              <w:spacing w:after="100" w:afterAutospacing="1" w:line="240" w:lineRule="auto"/>
              <w:jc w:val="center"/>
              <w:rPr>
                <w:rFonts w:ascii="Futura Std Condensed Light" w:eastAsia="Calibri" w:hAnsi="Futura Std Condensed Light" w:cs="Calibri"/>
                <w:b/>
                <w:sz w:val="20"/>
                <w:szCs w:val="20"/>
              </w:rPr>
            </w:pPr>
            <w:r w:rsidRPr="00E90379">
              <w:rPr>
                <w:rFonts w:ascii="Futura Std Condensed Light" w:eastAsia="Calibri" w:hAnsi="Futura Std Condensed Light" w:cs="Calibri"/>
                <w:b/>
                <w:sz w:val="20"/>
                <w:szCs w:val="20"/>
              </w:rPr>
              <w:t>2018-2019</w:t>
            </w:r>
          </w:p>
        </w:tc>
        <w:tc>
          <w:tcPr>
            <w:tcW w:w="1340" w:type="dxa"/>
            <w:shd w:val="clear" w:color="auto" w:fill="A6A6A6" w:themeFill="background1" w:themeFillShade="A6"/>
            <w:vAlign w:val="center"/>
            <w:hideMark/>
          </w:tcPr>
          <w:p w14:paraId="2A7DB341" w14:textId="77777777" w:rsidR="006D148B" w:rsidRPr="00E90379" w:rsidRDefault="006D148B" w:rsidP="00E90379">
            <w:pPr>
              <w:spacing w:after="100" w:afterAutospacing="1" w:line="240" w:lineRule="auto"/>
              <w:jc w:val="center"/>
              <w:rPr>
                <w:rFonts w:ascii="Futura Std Condensed Light" w:eastAsia="Calibri" w:hAnsi="Futura Std Condensed Light" w:cs="Calibri"/>
                <w:b/>
                <w:sz w:val="20"/>
                <w:szCs w:val="20"/>
              </w:rPr>
            </w:pPr>
            <w:r w:rsidRPr="00E90379">
              <w:rPr>
                <w:rFonts w:ascii="Futura Std Condensed Light" w:eastAsia="Calibri" w:hAnsi="Futura Std Condensed Light" w:cs="Calibri"/>
                <w:b/>
                <w:sz w:val="20"/>
                <w:szCs w:val="20"/>
              </w:rPr>
              <w:t>2018-2019</w:t>
            </w:r>
          </w:p>
        </w:tc>
      </w:tr>
      <w:tr w:rsidR="006D148B" w:rsidRPr="00D942B5" w14:paraId="725188D9" w14:textId="77777777" w:rsidTr="004378A8">
        <w:trPr>
          <w:trHeight w:val="402"/>
          <w:jc w:val="center"/>
        </w:trPr>
        <w:tc>
          <w:tcPr>
            <w:tcW w:w="1960" w:type="dxa"/>
            <w:shd w:val="clear" w:color="auto" w:fill="auto"/>
            <w:noWrap/>
            <w:vAlign w:val="center"/>
            <w:hideMark/>
          </w:tcPr>
          <w:p w14:paraId="0103576F" w14:textId="77777777" w:rsidR="006D148B" w:rsidRPr="00E90379" w:rsidRDefault="006D148B" w:rsidP="00E90379">
            <w:pPr>
              <w:spacing w:after="100" w:afterAutospacing="1" w:line="240" w:lineRule="auto"/>
              <w:jc w:val="center"/>
              <w:rPr>
                <w:rFonts w:ascii="Futura Std Condensed Light" w:eastAsia="Calibri" w:hAnsi="Futura Std Condensed Light" w:cs="Calibri"/>
                <w:sz w:val="20"/>
                <w:szCs w:val="20"/>
              </w:rPr>
            </w:pPr>
            <w:r w:rsidRPr="00E90379">
              <w:rPr>
                <w:rFonts w:ascii="Futura Std Condensed Light" w:eastAsia="Calibri" w:hAnsi="Futura Std Condensed Light" w:cs="Calibri"/>
                <w:sz w:val="20"/>
                <w:szCs w:val="20"/>
              </w:rPr>
              <w:t>Abandono Escolar</w:t>
            </w:r>
          </w:p>
        </w:tc>
        <w:tc>
          <w:tcPr>
            <w:tcW w:w="1340" w:type="dxa"/>
            <w:shd w:val="clear" w:color="auto" w:fill="auto"/>
            <w:vAlign w:val="center"/>
            <w:hideMark/>
          </w:tcPr>
          <w:p w14:paraId="783DE0FD" w14:textId="77777777" w:rsidR="006D148B" w:rsidRPr="00E90379" w:rsidRDefault="006D148B" w:rsidP="00E90379">
            <w:pPr>
              <w:spacing w:after="100" w:afterAutospacing="1" w:line="240" w:lineRule="auto"/>
              <w:jc w:val="center"/>
              <w:rPr>
                <w:rFonts w:ascii="Futura Std Condensed Light" w:eastAsia="Calibri" w:hAnsi="Futura Std Condensed Light" w:cs="Calibri"/>
                <w:sz w:val="20"/>
                <w:szCs w:val="20"/>
              </w:rPr>
            </w:pPr>
            <w:r w:rsidRPr="00E90379">
              <w:rPr>
                <w:rFonts w:ascii="Futura Std Condensed Light" w:eastAsia="Calibri" w:hAnsi="Futura Std Condensed Light" w:cs="Calibri"/>
                <w:sz w:val="20"/>
                <w:szCs w:val="20"/>
              </w:rPr>
              <w:t>7.7%</w:t>
            </w:r>
          </w:p>
        </w:tc>
        <w:tc>
          <w:tcPr>
            <w:tcW w:w="1340" w:type="dxa"/>
            <w:shd w:val="clear" w:color="auto" w:fill="auto"/>
            <w:vAlign w:val="center"/>
            <w:hideMark/>
          </w:tcPr>
          <w:p w14:paraId="78ED356E" w14:textId="77777777" w:rsidR="006D148B" w:rsidRPr="00E90379" w:rsidRDefault="006D148B" w:rsidP="00E90379">
            <w:pPr>
              <w:spacing w:after="100" w:afterAutospacing="1" w:line="240" w:lineRule="auto"/>
              <w:jc w:val="center"/>
              <w:rPr>
                <w:rFonts w:ascii="Futura Std Condensed Light" w:eastAsia="Calibri" w:hAnsi="Futura Std Condensed Light" w:cs="Calibri"/>
                <w:sz w:val="20"/>
                <w:szCs w:val="20"/>
              </w:rPr>
            </w:pPr>
            <w:r w:rsidRPr="00E90379">
              <w:rPr>
                <w:rFonts w:ascii="Futura Std Condensed Light" w:eastAsia="Calibri" w:hAnsi="Futura Std Condensed Light" w:cs="Calibri"/>
                <w:sz w:val="20"/>
                <w:szCs w:val="20"/>
              </w:rPr>
              <w:t>10.2%</w:t>
            </w:r>
          </w:p>
        </w:tc>
        <w:tc>
          <w:tcPr>
            <w:tcW w:w="1340" w:type="dxa"/>
            <w:shd w:val="clear" w:color="auto" w:fill="auto"/>
            <w:noWrap/>
            <w:vAlign w:val="center"/>
            <w:hideMark/>
          </w:tcPr>
          <w:p w14:paraId="3F27BB84" w14:textId="77777777" w:rsidR="006D148B" w:rsidRPr="00E90379" w:rsidRDefault="006D148B" w:rsidP="00E90379">
            <w:pPr>
              <w:spacing w:after="100" w:afterAutospacing="1" w:line="240" w:lineRule="auto"/>
              <w:jc w:val="center"/>
              <w:rPr>
                <w:rFonts w:ascii="Futura Std Condensed Light" w:eastAsia="Calibri" w:hAnsi="Futura Std Condensed Light" w:cs="Calibri"/>
                <w:sz w:val="20"/>
                <w:szCs w:val="20"/>
              </w:rPr>
            </w:pPr>
            <w:r w:rsidRPr="00E90379">
              <w:rPr>
                <w:rFonts w:ascii="Futura Std Condensed Light" w:eastAsia="Calibri" w:hAnsi="Futura Std Condensed Light" w:cs="Calibri"/>
                <w:sz w:val="20"/>
                <w:szCs w:val="20"/>
              </w:rPr>
              <w:t>12.9%</w:t>
            </w:r>
          </w:p>
        </w:tc>
      </w:tr>
      <w:tr w:rsidR="006D148B" w:rsidRPr="00D942B5" w14:paraId="13D660DC" w14:textId="77777777" w:rsidTr="004378A8">
        <w:trPr>
          <w:trHeight w:val="402"/>
          <w:jc w:val="center"/>
        </w:trPr>
        <w:tc>
          <w:tcPr>
            <w:tcW w:w="1960" w:type="dxa"/>
            <w:shd w:val="clear" w:color="auto" w:fill="auto"/>
            <w:noWrap/>
            <w:vAlign w:val="center"/>
            <w:hideMark/>
          </w:tcPr>
          <w:p w14:paraId="3CFBDB21" w14:textId="77777777" w:rsidR="006D148B" w:rsidRPr="00E90379" w:rsidRDefault="006D148B" w:rsidP="00E90379">
            <w:pPr>
              <w:spacing w:after="100" w:afterAutospacing="1" w:line="240" w:lineRule="auto"/>
              <w:jc w:val="center"/>
              <w:rPr>
                <w:rFonts w:ascii="Futura Std Condensed Light" w:eastAsia="Calibri" w:hAnsi="Futura Std Condensed Light" w:cs="Calibri"/>
                <w:sz w:val="20"/>
                <w:szCs w:val="20"/>
              </w:rPr>
            </w:pPr>
            <w:r w:rsidRPr="00E90379">
              <w:rPr>
                <w:rFonts w:ascii="Futura Std Condensed Light" w:eastAsia="Calibri" w:hAnsi="Futura Std Condensed Light" w:cs="Calibri"/>
                <w:sz w:val="20"/>
                <w:szCs w:val="20"/>
              </w:rPr>
              <w:t>Reprobación /a</w:t>
            </w:r>
          </w:p>
        </w:tc>
        <w:tc>
          <w:tcPr>
            <w:tcW w:w="1340" w:type="dxa"/>
            <w:shd w:val="clear" w:color="auto" w:fill="auto"/>
            <w:vAlign w:val="center"/>
            <w:hideMark/>
          </w:tcPr>
          <w:p w14:paraId="251242DA" w14:textId="77777777" w:rsidR="006D148B" w:rsidRPr="00E90379" w:rsidRDefault="006D148B" w:rsidP="00E90379">
            <w:pPr>
              <w:spacing w:after="100" w:afterAutospacing="1" w:line="240" w:lineRule="auto"/>
              <w:jc w:val="center"/>
              <w:rPr>
                <w:rFonts w:ascii="Futura Std Condensed Light" w:eastAsia="Calibri" w:hAnsi="Futura Std Condensed Light" w:cs="Calibri"/>
                <w:sz w:val="20"/>
                <w:szCs w:val="20"/>
              </w:rPr>
            </w:pPr>
            <w:r w:rsidRPr="00E90379">
              <w:rPr>
                <w:rFonts w:ascii="Futura Std Condensed Light" w:eastAsia="Calibri" w:hAnsi="Futura Std Condensed Light" w:cs="Calibri"/>
                <w:sz w:val="20"/>
                <w:szCs w:val="20"/>
              </w:rPr>
              <w:t>12.5%</w:t>
            </w:r>
          </w:p>
        </w:tc>
        <w:tc>
          <w:tcPr>
            <w:tcW w:w="1340" w:type="dxa"/>
            <w:shd w:val="clear" w:color="auto" w:fill="auto"/>
            <w:vAlign w:val="center"/>
            <w:hideMark/>
          </w:tcPr>
          <w:p w14:paraId="489B7212" w14:textId="77777777" w:rsidR="006D148B" w:rsidRPr="00E90379" w:rsidRDefault="006D148B" w:rsidP="00E90379">
            <w:pPr>
              <w:spacing w:after="100" w:afterAutospacing="1" w:line="240" w:lineRule="auto"/>
              <w:jc w:val="center"/>
              <w:rPr>
                <w:rFonts w:ascii="Futura Std Condensed Light" w:eastAsia="Calibri" w:hAnsi="Futura Std Condensed Light" w:cs="Calibri"/>
                <w:sz w:val="20"/>
                <w:szCs w:val="20"/>
              </w:rPr>
            </w:pPr>
            <w:r w:rsidRPr="00E90379">
              <w:rPr>
                <w:rFonts w:ascii="Futura Std Condensed Light" w:eastAsia="Calibri" w:hAnsi="Futura Std Condensed Light" w:cs="Calibri"/>
                <w:sz w:val="20"/>
                <w:szCs w:val="20"/>
              </w:rPr>
              <w:t>12.7%</w:t>
            </w:r>
          </w:p>
        </w:tc>
        <w:tc>
          <w:tcPr>
            <w:tcW w:w="1340" w:type="dxa"/>
            <w:shd w:val="clear" w:color="auto" w:fill="auto"/>
            <w:noWrap/>
            <w:vAlign w:val="center"/>
            <w:hideMark/>
          </w:tcPr>
          <w:p w14:paraId="0E740451" w14:textId="77777777" w:rsidR="006D148B" w:rsidRPr="00E90379" w:rsidRDefault="006D148B" w:rsidP="00E90379">
            <w:pPr>
              <w:spacing w:after="100" w:afterAutospacing="1" w:line="240" w:lineRule="auto"/>
              <w:jc w:val="center"/>
              <w:rPr>
                <w:rFonts w:ascii="Futura Std Condensed Light" w:eastAsia="Calibri" w:hAnsi="Futura Std Condensed Light" w:cs="Calibri"/>
                <w:sz w:val="20"/>
                <w:szCs w:val="20"/>
              </w:rPr>
            </w:pPr>
            <w:r w:rsidRPr="00E90379">
              <w:rPr>
                <w:rFonts w:ascii="Futura Std Condensed Light" w:eastAsia="Calibri" w:hAnsi="Futura Std Condensed Light" w:cs="Calibri"/>
                <w:sz w:val="20"/>
                <w:szCs w:val="20"/>
              </w:rPr>
              <w:t>13.9%</w:t>
            </w:r>
          </w:p>
        </w:tc>
      </w:tr>
      <w:tr w:rsidR="006D148B" w:rsidRPr="00D942B5" w14:paraId="06CD8473" w14:textId="77777777" w:rsidTr="004378A8">
        <w:trPr>
          <w:trHeight w:val="402"/>
          <w:jc w:val="center"/>
        </w:trPr>
        <w:tc>
          <w:tcPr>
            <w:tcW w:w="1960" w:type="dxa"/>
            <w:shd w:val="clear" w:color="auto" w:fill="auto"/>
            <w:noWrap/>
            <w:vAlign w:val="center"/>
            <w:hideMark/>
          </w:tcPr>
          <w:p w14:paraId="224E8BB3" w14:textId="77777777" w:rsidR="006D148B" w:rsidRPr="00E90379" w:rsidRDefault="006D148B" w:rsidP="00E90379">
            <w:pPr>
              <w:spacing w:after="100" w:afterAutospacing="1" w:line="240" w:lineRule="auto"/>
              <w:jc w:val="center"/>
              <w:rPr>
                <w:rFonts w:ascii="Futura Std Condensed Light" w:eastAsia="Calibri" w:hAnsi="Futura Std Condensed Light" w:cs="Calibri"/>
                <w:sz w:val="20"/>
                <w:szCs w:val="20"/>
              </w:rPr>
            </w:pPr>
            <w:r w:rsidRPr="00E90379">
              <w:rPr>
                <w:rFonts w:ascii="Futura Std Condensed Light" w:eastAsia="Calibri" w:hAnsi="Futura Std Condensed Light" w:cs="Calibri"/>
                <w:sz w:val="20"/>
                <w:szCs w:val="20"/>
              </w:rPr>
              <w:t>Eficiencia terminal</w:t>
            </w:r>
          </w:p>
        </w:tc>
        <w:tc>
          <w:tcPr>
            <w:tcW w:w="1340" w:type="dxa"/>
            <w:shd w:val="clear" w:color="auto" w:fill="auto"/>
            <w:vAlign w:val="center"/>
            <w:hideMark/>
          </w:tcPr>
          <w:p w14:paraId="3A521936" w14:textId="77777777" w:rsidR="006D148B" w:rsidRPr="00E90379" w:rsidRDefault="006D148B" w:rsidP="00E90379">
            <w:pPr>
              <w:spacing w:after="100" w:afterAutospacing="1" w:line="240" w:lineRule="auto"/>
              <w:jc w:val="center"/>
              <w:rPr>
                <w:rFonts w:ascii="Futura Std Condensed Light" w:eastAsia="Calibri" w:hAnsi="Futura Std Condensed Light" w:cs="Calibri"/>
                <w:sz w:val="20"/>
                <w:szCs w:val="20"/>
              </w:rPr>
            </w:pPr>
            <w:r w:rsidRPr="00E90379">
              <w:rPr>
                <w:rFonts w:ascii="Futura Std Condensed Light" w:eastAsia="Calibri" w:hAnsi="Futura Std Condensed Light" w:cs="Calibri"/>
                <w:sz w:val="20"/>
                <w:szCs w:val="20"/>
              </w:rPr>
              <w:t>72.1%</w:t>
            </w:r>
          </w:p>
        </w:tc>
        <w:tc>
          <w:tcPr>
            <w:tcW w:w="1340" w:type="dxa"/>
            <w:shd w:val="clear" w:color="auto" w:fill="auto"/>
            <w:vAlign w:val="center"/>
            <w:hideMark/>
          </w:tcPr>
          <w:p w14:paraId="7A9DF585" w14:textId="77777777" w:rsidR="006D148B" w:rsidRPr="00E90379" w:rsidRDefault="006D148B" w:rsidP="00E90379">
            <w:pPr>
              <w:spacing w:after="100" w:afterAutospacing="1" w:line="240" w:lineRule="auto"/>
              <w:jc w:val="center"/>
              <w:rPr>
                <w:rFonts w:ascii="Futura Std Condensed Light" w:eastAsia="Calibri" w:hAnsi="Futura Std Condensed Light" w:cs="Calibri"/>
                <w:sz w:val="20"/>
                <w:szCs w:val="20"/>
              </w:rPr>
            </w:pPr>
            <w:r w:rsidRPr="00E90379">
              <w:rPr>
                <w:rFonts w:ascii="Futura Std Condensed Light" w:eastAsia="Calibri" w:hAnsi="Futura Std Condensed Light" w:cs="Calibri"/>
                <w:sz w:val="20"/>
                <w:szCs w:val="20"/>
              </w:rPr>
              <w:t>70.2%</w:t>
            </w:r>
          </w:p>
        </w:tc>
        <w:tc>
          <w:tcPr>
            <w:tcW w:w="1340" w:type="dxa"/>
            <w:shd w:val="clear" w:color="auto" w:fill="auto"/>
            <w:noWrap/>
            <w:vAlign w:val="center"/>
            <w:hideMark/>
          </w:tcPr>
          <w:p w14:paraId="18E0E568" w14:textId="77777777" w:rsidR="006D148B" w:rsidRPr="00E90379" w:rsidRDefault="006D148B" w:rsidP="00E90379">
            <w:pPr>
              <w:spacing w:after="100" w:afterAutospacing="1" w:line="240" w:lineRule="auto"/>
              <w:jc w:val="center"/>
              <w:rPr>
                <w:rFonts w:ascii="Futura Std Condensed Light" w:eastAsia="Calibri" w:hAnsi="Futura Std Condensed Light" w:cs="Calibri"/>
                <w:sz w:val="20"/>
                <w:szCs w:val="20"/>
              </w:rPr>
            </w:pPr>
            <w:r w:rsidRPr="00E90379">
              <w:rPr>
                <w:rFonts w:ascii="Futura Std Condensed Light" w:eastAsia="Calibri" w:hAnsi="Futura Std Condensed Light" w:cs="Calibri"/>
                <w:sz w:val="20"/>
                <w:szCs w:val="20"/>
              </w:rPr>
              <w:t>64.2%</w:t>
            </w:r>
          </w:p>
        </w:tc>
      </w:tr>
    </w:tbl>
    <w:p w14:paraId="155EF610" w14:textId="77777777" w:rsidR="006D148B" w:rsidRDefault="006D148B" w:rsidP="006D148B">
      <w:pPr>
        <w:spacing w:after="0"/>
        <w:rPr>
          <w:rFonts w:ascii="Futura Bk BT" w:hAnsi="Futura Bk BT"/>
        </w:rPr>
      </w:pPr>
    </w:p>
    <w:p w14:paraId="771285D2" w14:textId="77777777" w:rsidR="006D148B" w:rsidRPr="008248F3" w:rsidRDefault="006D148B" w:rsidP="00E90379">
      <w:pPr>
        <w:spacing w:after="0"/>
        <w:jc w:val="center"/>
        <w:rPr>
          <w:rFonts w:ascii="Futura Bk BT" w:hAnsi="Futura Bk BT"/>
          <w:sz w:val="16"/>
          <w:szCs w:val="16"/>
        </w:rPr>
      </w:pPr>
      <w:r w:rsidRPr="008248F3">
        <w:rPr>
          <w:rFonts w:ascii="Futura Bk BT" w:hAnsi="Futura Bk BT"/>
          <w:b/>
          <w:sz w:val="16"/>
          <w:szCs w:val="16"/>
        </w:rPr>
        <w:t>Fuente:</w:t>
      </w:r>
      <w:r w:rsidRPr="008248F3">
        <w:rPr>
          <w:rFonts w:ascii="Futura Bk BT" w:hAnsi="Futura Bk BT"/>
          <w:sz w:val="16"/>
          <w:szCs w:val="16"/>
        </w:rPr>
        <w:t xml:space="preserve"> Indicadores de Educación Básica del Departamento de Estadística</w:t>
      </w:r>
      <w:r>
        <w:rPr>
          <w:rFonts w:ascii="Futura Bk BT" w:hAnsi="Futura Bk BT"/>
          <w:sz w:val="16"/>
          <w:szCs w:val="16"/>
        </w:rPr>
        <w:t>, ciclo escolar 2017-2018, 2018-2019 y 2019-2020, SEQ.</w:t>
      </w:r>
      <w:r w:rsidRPr="008248F3">
        <w:rPr>
          <w:rFonts w:ascii="Futura Bk BT" w:hAnsi="Futura Bk BT"/>
          <w:sz w:val="16"/>
          <w:szCs w:val="16"/>
        </w:rPr>
        <w:t xml:space="preserve"> *Reporte de Indicadores educativos versión </w:t>
      </w:r>
      <w:r>
        <w:rPr>
          <w:rFonts w:ascii="Futura Bk BT" w:hAnsi="Futura Bk BT"/>
          <w:sz w:val="16"/>
          <w:szCs w:val="16"/>
        </w:rPr>
        <w:t xml:space="preserve">septiembre </w:t>
      </w:r>
      <w:r w:rsidRPr="008248F3">
        <w:rPr>
          <w:rFonts w:ascii="Futura Bk BT" w:hAnsi="Futura Bk BT"/>
          <w:sz w:val="16"/>
          <w:szCs w:val="16"/>
        </w:rPr>
        <w:t>201</w:t>
      </w:r>
      <w:r>
        <w:rPr>
          <w:rFonts w:ascii="Futura Bk BT" w:hAnsi="Futura Bk BT"/>
          <w:sz w:val="16"/>
          <w:szCs w:val="16"/>
        </w:rPr>
        <w:t>9</w:t>
      </w:r>
      <w:r w:rsidRPr="008248F3">
        <w:rPr>
          <w:rFonts w:ascii="Futura Bk BT" w:hAnsi="Futura Bk BT"/>
          <w:sz w:val="16"/>
          <w:szCs w:val="16"/>
        </w:rPr>
        <w:t>, SE</w:t>
      </w:r>
      <w:r>
        <w:rPr>
          <w:rFonts w:ascii="Futura Bk BT" w:hAnsi="Futura Bk BT"/>
          <w:sz w:val="16"/>
          <w:szCs w:val="16"/>
        </w:rPr>
        <w:t>P.</w:t>
      </w:r>
    </w:p>
    <w:p w14:paraId="1CA4CA78" w14:textId="6C14E441" w:rsidR="006D148B" w:rsidRDefault="006D148B" w:rsidP="00E90379">
      <w:pPr>
        <w:spacing w:after="0"/>
        <w:jc w:val="center"/>
        <w:rPr>
          <w:rFonts w:ascii="Futura Bk BT" w:hAnsi="Futura Bk BT"/>
          <w:sz w:val="16"/>
          <w:szCs w:val="16"/>
        </w:rPr>
      </w:pPr>
      <w:r w:rsidRPr="00651D17">
        <w:rPr>
          <w:rFonts w:ascii="Futura Bk BT" w:hAnsi="Futura Bk BT"/>
          <w:sz w:val="16"/>
          <w:szCs w:val="16"/>
        </w:rPr>
        <w:t>/a:</w:t>
      </w:r>
      <w:r>
        <w:rPr>
          <w:rFonts w:ascii="Futura Bk BT" w:hAnsi="Futura Bk BT"/>
          <w:sz w:val="16"/>
          <w:szCs w:val="16"/>
        </w:rPr>
        <w:t xml:space="preserve"> Para el cálculo del indicador de reprobación se toma en cuenta a los alumnos regularizados.</w:t>
      </w:r>
    </w:p>
    <w:p w14:paraId="788581DA" w14:textId="0C84151B" w:rsidR="00C21D76" w:rsidRDefault="00C21D76" w:rsidP="00E90379">
      <w:pPr>
        <w:spacing w:after="0"/>
        <w:jc w:val="center"/>
        <w:rPr>
          <w:rFonts w:ascii="Futura Bk BT" w:hAnsi="Futura Bk BT"/>
          <w:sz w:val="16"/>
          <w:szCs w:val="16"/>
        </w:rPr>
      </w:pPr>
    </w:p>
    <w:p w14:paraId="608E2761" w14:textId="13656A41" w:rsidR="00913635" w:rsidRDefault="00913635">
      <w:pPr>
        <w:spacing w:after="0" w:line="240" w:lineRule="auto"/>
        <w:jc w:val="left"/>
        <w:rPr>
          <w:rFonts w:ascii="Futura Bk BT" w:hAnsi="Futura Bk BT"/>
        </w:rPr>
      </w:pPr>
      <w:r>
        <w:rPr>
          <w:rFonts w:ascii="Futura Bk BT" w:hAnsi="Futura Bk BT"/>
        </w:rPr>
        <w:br w:type="page"/>
      </w:r>
    </w:p>
    <w:p w14:paraId="4889ADD9" w14:textId="77777777" w:rsidR="006D148B" w:rsidRPr="00BB0769" w:rsidRDefault="006D148B" w:rsidP="006D148B">
      <w:pPr>
        <w:spacing w:after="0"/>
        <w:rPr>
          <w:rFonts w:eastAsia="Times New Roman" w:cs="Futura"/>
          <w:b/>
        </w:rPr>
      </w:pPr>
      <w:r w:rsidRPr="00BB0769">
        <w:rPr>
          <w:rFonts w:eastAsia="Times New Roman" w:cs="Futura"/>
          <w:b/>
        </w:rPr>
        <w:lastRenderedPageBreak/>
        <w:t>Resultados del Plan Nacional para las Evaluaciones de los Aprendizajes (PLANEA), en media superior.</w:t>
      </w:r>
    </w:p>
    <w:p w14:paraId="64DF301A" w14:textId="77777777" w:rsidR="006D148B" w:rsidRPr="00BB0769" w:rsidRDefault="006D148B" w:rsidP="006D148B">
      <w:pPr>
        <w:spacing w:after="0"/>
        <w:rPr>
          <w:rFonts w:eastAsia="Times New Roman" w:cs="Futura"/>
        </w:rPr>
      </w:pPr>
    </w:p>
    <w:p w14:paraId="61454037" w14:textId="77777777" w:rsidR="006D148B" w:rsidRPr="002C118E" w:rsidRDefault="006D148B" w:rsidP="00202FDC">
      <w:pPr>
        <w:rPr>
          <w:rFonts w:eastAsia="Times New Roman" w:cs="Futura"/>
        </w:rPr>
      </w:pPr>
      <w:r w:rsidRPr="00BB0769">
        <w:rPr>
          <w:rFonts w:eastAsia="Times New Roman" w:cs="Futura"/>
        </w:rPr>
        <w:t>En los resultados de la evaluación PLANEA 2017 de educación media superior que evalúa a los estudiantes de tercer grado de este nivel, en lenguaje y comunicación, el 29.5 por ciento de los estudiantes evaluados se ubican en el nivel de logro I (insuficiente), en el nivel de logro II (básico) el 28.5 por ciento, en el nivel de logro III (satisfactorio) se encontraban el 32.1 por ciento de los estudiantes, y en el nivel de logro IV (sobresaliente) el 9.9 por ciento de los estudiantes evaluados. En matemáticas el 69.4 por ciento de los estudiantes evaluados se ubicaban en el nivel de logro I, el 22.5 por ciento en el nivel II, el 6.4 por ciento en el nivel III y en el nivel de logro IV el 1.7 por ciento de l</w:t>
      </w:r>
      <w:r>
        <w:rPr>
          <w:rFonts w:eastAsia="Times New Roman" w:cs="Futura"/>
        </w:rPr>
        <w:t>os alumnos evaluados (Gráfica 7</w:t>
      </w:r>
      <w:r w:rsidRPr="00BB0769">
        <w:rPr>
          <w:rFonts w:eastAsia="Times New Roman" w:cs="Futura"/>
        </w:rPr>
        <w:t>).</w:t>
      </w:r>
    </w:p>
    <w:p w14:paraId="38BD77F7" w14:textId="77777777" w:rsidR="006D148B" w:rsidRDefault="006D148B" w:rsidP="006D148B">
      <w:pPr>
        <w:spacing w:after="0"/>
        <w:rPr>
          <w:rFonts w:ascii="Futura Bk BT" w:hAnsi="Futura Bk BT"/>
        </w:rPr>
      </w:pPr>
    </w:p>
    <w:p w14:paraId="57B00D7B" w14:textId="77777777" w:rsidR="006D148B" w:rsidRPr="00BB0769" w:rsidRDefault="006D148B" w:rsidP="00223DCC">
      <w:pPr>
        <w:spacing w:after="0"/>
        <w:jc w:val="center"/>
        <w:rPr>
          <w:b/>
          <w:color w:val="4BACC6" w:themeColor="accent5"/>
        </w:rPr>
      </w:pPr>
      <w:r>
        <w:rPr>
          <w:b/>
          <w:color w:val="4BACC6" w:themeColor="accent5"/>
        </w:rPr>
        <w:t>Gráfica 7</w:t>
      </w:r>
      <w:r w:rsidRPr="00BB0769">
        <w:rPr>
          <w:b/>
          <w:color w:val="4BACC6" w:themeColor="accent5"/>
        </w:rPr>
        <w:t>. Porcentaje de alumnos de 3° de media superior según nivel de logro alcanzado en lenguaje y comunicación, y matemáticas, de la prueba PLANEA 2017</w:t>
      </w:r>
    </w:p>
    <w:p w14:paraId="1801FDDB" w14:textId="77777777" w:rsidR="006D148B" w:rsidRDefault="006D148B" w:rsidP="006D148B">
      <w:pPr>
        <w:spacing w:after="0"/>
        <w:rPr>
          <w:rFonts w:ascii="Futura Bk BT" w:hAnsi="Futura Bk BT"/>
        </w:rPr>
      </w:pPr>
      <w:r>
        <w:rPr>
          <w:noProof/>
          <w:lang w:val="es-MX" w:eastAsia="es-MX"/>
        </w:rPr>
        <w:drawing>
          <wp:anchor distT="0" distB="0" distL="114300" distR="114300" simplePos="0" relativeHeight="251694080" behindDoc="0" locked="0" layoutInCell="1" allowOverlap="1" wp14:anchorId="61B5D024" wp14:editId="16FEEC71">
            <wp:simplePos x="0" y="0"/>
            <wp:positionH relativeFrom="column">
              <wp:posOffset>462915</wp:posOffset>
            </wp:positionH>
            <wp:positionV relativeFrom="paragraph">
              <wp:posOffset>210820</wp:posOffset>
            </wp:positionV>
            <wp:extent cx="4693920" cy="2238375"/>
            <wp:effectExtent l="0" t="0" r="0" b="0"/>
            <wp:wrapSquare wrapText="bothSides"/>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margin">
              <wp14:pctWidth>0</wp14:pctWidth>
            </wp14:sizeRelH>
            <wp14:sizeRelV relativeFrom="margin">
              <wp14:pctHeight>0</wp14:pctHeight>
            </wp14:sizeRelV>
          </wp:anchor>
        </w:drawing>
      </w:r>
    </w:p>
    <w:p w14:paraId="1F7469B1" w14:textId="77777777" w:rsidR="006D148B" w:rsidRDefault="006D148B" w:rsidP="006D148B">
      <w:pPr>
        <w:spacing w:after="0"/>
        <w:rPr>
          <w:rFonts w:ascii="Futura Bk BT" w:hAnsi="Futura Bk BT"/>
        </w:rPr>
      </w:pPr>
    </w:p>
    <w:p w14:paraId="50076871" w14:textId="77777777" w:rsidR="006D148B" w:rsidRDefault="006D148B" w:rsidP="006D148B">
      <w:pPr>
        <w:spacing w:after="0"/>
        <w:rPr>
          <w:rFonts w:ascii="Futura Bk BT" w:hAnsi="Futura Bk BT"/>
        </w:rPr>
      </w:pPr>
    </w:p>
    <w:p w14:paraId="473E9948" w14:textId="77777777" w:rsidR="006D148B" w:rsidRDefault="006D148B" w:rsidP="006D148B">
      <w:pPr>
        <w:spacing w:after="0"/>
        <w:rPr>
          <w:rFonts w:ascii="Futura Bk BT" w:hAnsi="Futura Bk BT"/>
        </w:rPr>
      </w:pPr>
    </w:p>
    <w:p w14:paraId="478B3E04" w14:textId="77777777" w:rsidR="006D148B" w:rsidRDefault="006D148B" w:rsidP="006D148B">
      <w:pPr>
        <w:spacing w:after="0"/>
        <w:rPr>
          <w:rFonts w:ascii="Futura Bk BT" w:hAnsi="Futura Bk BT"/>
        </w:rPr>
      </w:pPr>
    </w:p>
    <w:p w14:paraId="43D6F7A5" w14:textId="77777777" w:rsidR="006D148B" w:rsidRDefault="006D148B" w:rsidP="006D148B">
      <w:pPr>
        <w:spacing w:after="0"/>
        <w:rPr>
          <w:rFonts w:ascii="Futura Bk BT" w:hAnsi="Futura Bk BT"/>
        </w:rPr>
      </w:pPr>
    </w:p>
    <w:p w14:paraId="28E746C4" w14:textId="77777777" w:rsidR="006D148B" w:rsidRDefault="006D148B" w:rsidP="006D148B">
      <w:pPr>
        <w:spacing w:after="0"/>
        <w:rPr>
          <w:rFonts w:ascii="Futura Bk BT" w:hAnsi="Futura Bk BT"/>
        </w:rPr>
      </w:pPr>
    </w:p>
    <w:p w14:paraId="4B928E2A" w14:textId="77777777" w:rsidR="006D148B" w:rsidRDefault="006D148B" w:rsidP="006D148B">
      <w:pPr>
        <w:spacing w:after="0"/>
        <w:rPr>
          <w:rFonts w:ascii="Futura Bk BT" w:hAnsi="Futura Bk BT"/>
        </w:rPr>
      </w:pPr>
    </w:p>
    <w:p w14:paraId="5064CD9A" w14:textId="77777777" w:rsidR="006D148B" w:rsidRDefault="006D148B" w:rsidP="006D148B">
      <w:pPr>
        <w:spacing w:after="0"/>
        <w:rPr>
          <w:rFonts w:ascii="Futura Bk BT" w:hAnsi="Futura Bk BT"/>
        </w:rPr>
      </w:pPr>
    </w:p>
    <w:p w14:paraId="46307FCF" w14:textId="77777777" w:rsidR="006D148B" w:rsidRDefault="006D148B" w:rsidP="006D148B">
      <w:pPr>
        <w:spacing w:after="0"/>
        <w:rPr>
          <w:rFonts w:ascii="Futura Bk BT" w:hAnsi="Futura Bk BT"/>
        </w:rPr>
      </w:pPr>
    </w:p>
    <w:p w14:paraId="76A7E93F" w14:textId="75CB258D" w:rsidR="006D148B" w:rsidRDefault="006D148B" w:rsidP="00D241CD">
      <w:pPr>
        <w:spacing w:after="160" w:line="259" w:lineRule="auto"/>
        <w:rPr>
          <w:rFonts w:ascii="Futura Bk BT" w:hAnsi="Futura Bk BT"/>
          <w:b/>
          <w:sz w:val="16"/>
          <w:szCs w:val="16"/>
        </w:rPr>
      </w:pPr>
    </w:p>
    <w:p w14:paraId="0D6C840B" w14:textId="77777777" w:rsidR="00D241CD" w:rsidRDefault="00D241CD" w:rsidP="00D241CD">
      <w:pPr>
        <w:spacing w:after="160" w:line="259" w:lineRule="auto"/>
        <w:rPr>
          <w:rFonts w:eastAsia="Times New Roman" w:cs="Futura"/>
          <w:sz w:val="16"/>
          <w:szCs w:val="16"/>
        </w:rPr>
      </w:pPr>
    </w:p>
    <w:p w14:paraId="5197F3C0" w14:textId="369730D9" w:rsidR="00D241CD" w:rsidRPr="00223DCC" w:rsidRDefault="006D148B" w:rsidP="00223DCC">
      <w:pPr>
        <w:spacing w:after="160" w:line="259" w:lineRule="auto"/>
        <w:jc w:val="center"/>
        <w:rPr>
          <w:rFonts w:eastAsia="Times New Roman" w:cs="Futura"/>
          <w:sz w:val="16"/>
          <w:szCs w:val="16"/>
        </w:rPr>
      </w:pPr>
      <w:r w:rsidRPr="00D241CD">
        <w:rPr>
          <w:rFonts w:eastAsia="Times New Roman" w:cs="Futura"/>
          <w:b/>
          <w:sz w:val="16"/>
          <w:szCs w:val="16"/>
        </w:rPr>
        <w:t>Fuente</w:t>
      </w:r>
      <w:r w:rsidRPr="00EB6AC6">
        <w:rPr>
          <w:rFonts w:eastAsia="Times New Roman" w:cs="Futura"/>
          <w:sz w:val="16"/>
          <w:szCs w:val="16"/>
        </w:rPr>
        <w:t>: Resultados</w:t>
      </w:r>
      <w:r>
        <w:rPr>
          <w:rFonts w:eastAsia="Times New Roman" w:cs="Futura"/>
          <w:sz w:val="16"/>
          <w:szCs w:val="16"/>
        </w:rPr>
        <w:t xml:space="preserve"> por nivel de logro</w:t>
      </w:r>
      <w:r w:rsidRPr="00EB6AC6">
        <w:rPr>
          <w:rFonts w:eastAsia="Times New Roman" w:cs="Futura"/>
          <w:sz w:val="16"/>
          <w:szCs w:val="16"/>
        </w:rPr>
        <w:t xml:space="preserve"> </w:t>
      </w:r>
      <w:r>
        <w:rPr>
          <w:rFonts w:eastAsia="Times New Roman" w:cs="Futura"/>
          <w:sz w:val="16"/>
          <w:szCs w:val="16"/>
        </w:rPr>
        <w:t>PLANEA media superior</w:t>
      </w:r>
      <w:r w:rsidRPr="00EB6AC6">
        <w:rPr>
          <w:rFonts w:eastAsia="Times New Roman" w:cs="Futura"/>
          <w:sz w:val="16"/>
          <w:szCs w:val="16"/>
        </w:rPr>
        <w:t xml:space="preserve"> 201</w:t>
      </w:r>
      <w:r>
        <w:rPr>
          <w:rFonts w:eastAsia="Times New Roman" w:cs="Futura"/>
          <w:sz w:val="16"/>
          <w:szCs w:val="16"/>
        </w:rPr>
        <w:t>7</w:t>
      </w:r>
      <w:r w:rsidRPr="00EB6AC6">
        <w:rPr>
          <w:rFonts w:eastAsia="Times New Roman" w:cs="Futura"/>
          <w:sz w:val="16"/>
          <w:szCs w:val="16"/>
        </w:rPr>
        <w:t xml:space="preserve">, </w:t>
      </w:r>
      <w:r>
        <w:rPr>
          <w:rFonts w:eastAsia="Times New Roman" w:cs="Futura"/>
          <w:sz w:val="16"/>
          <w:szCs w:val="16"/>
        </w:rPr>
        <w:t>SEP-</w:t>
      </w:r>
      <w:r w:rsidRPr="00EB6AC6">
        <w:rPr>
          <w:rFonts w:eastAsia="Times New Roman" w:cs="Futura"/>
          <w:sz w:val="16"/>
          <w:szCs w:val="16"/>
        </w:rPr>
        <w:t>INEE.</w:t>
      </w:r>
    </w:p>
    <w:p w14:paraId="337808D4" w14:textId="19D4DD90" w:rsidR="00923758" w:rsidRDefault="00923758">
      <w:pPr>
        <w:spacing w:after="0" w:line="240" w:lineRule="auto"/>
        <w:jc w:val="left"/>
        <w:rPr>
          <w:rFonts w:eastAsia="Times New Roman" w:cs="Futura"/>
          <w:b/>
        </w:rPr>
      </w:pPr>
      <w:r>
        <w:rPr>
          <w:rFonts w:eastAsia="Times New Roman" w:cs="Futura"/>
          <w:b/>
        </w:rPr>
        <w:br w:type="page"/>
      </w:r>
    </w:p>
    <w:p w14:paraId="7DDAA919" w14:textId="28828D6B" w:rsidR="006D148B" w:rsidRPr="00BB0769" w:rsidRDefault="006D148B" w:rsidP="006D148B">
      <w:pPr>
        <w:spacing w:after="0"/>
        <w:rPr>
          <w:rFonts w:eastAsia="Times New Roman" w:cs="Futura"/>
          <w:b/>
        </w:rPr>
      </w:pPr>
      <w:r w:rsidRPr="00BB0769">
        <w:rPr>
          <w:rFonts w:eastAsia="Times New Roman" w:cs="Futura"/>
          <w:b/>
        </w:rPr>
        <w:lastRenderedPageBreak/>
        <w:t>Educación Superior</w:t>
      </w:r>
    </w:p>
    <w:p w14:paraId="48962183" w14:textId="77777777" w:rsidR="006D148B" w:rsidRPr="00BB0769" w:rsidRDefault="006D148B" w:rsidP="006D148B">
      <w:pPr>
        <w:spacing w:after="0"/>
        <w:rPr>
          <w:rFonts w:eastAsia="Times New Roman" w:cs="Futura"/>
        </w:rPr>
      </w:pPr>
    </w:p>
    <w:p w14:paraId="42908684" w14:textId="77777777" w:rsidR="006D148B" w:rsidRDefault="006D148B" w:rsidP="00886807">
      <w:pPr>
        <w:rPr>
          <w:rFonts w:eastAsia="Times New Roman" w:cs="Futura"/>
        </w:rPr>
      </w:pPr>
      <w:r>
        <w:rPr>
          <w:rFonts w:eastAsia="Times New Roman" w:cs="Futura"/>
        </w:rPr>
        <w:t xml:space="preserve">La educación superior se imparte después del bachillerato o sus equivalencias; atendiendo la demanda educativa mediante tres niveles; técnico superior universitario, licenciatura (normal, universitaria y tecnológica) y posgrado (especialidad, maestría y doctorado). En las instituciones de este nivel se desarrollan funciones de docencia, investigación y difusión de la cultura. </w:t>
      </w:r>
    </w:p>
    <w:p w14:paraId="57CA6BDE" w14:textId="664FA12B" w:rsidR="006D148B" w:rsidRDefault="006D148B" w:rsidP="00D241CD">
      <w:pPr>
        <w:rPr>
          <w:rFonts w:eastAsia="Times New Roman" w:cs="Futura"/>
        </w:rPr>
      </w:pPr>
      <w:r w:rsidRPr="00BB0769">
        <w:rPr>
          <w:rFonts w:eastAsia="Times New Roman" w:cs="Futura"/>
        </w:rPr>
        <w:t xml:space="preserve">La matrícula de educación superior en el ciclo escolar 2019-2020 fue de 52 mil 208 alumnos, 25 mil 390 hombres y 26 mil 818 mujeres, representa el </w:t>
      </w:r>
      <w:r>
        <w:rPr>
          <w:rFonts w:eastAsia="Times New Roman" w:cs="Futura"/>
        </w:rPr>
        <w:t>11.02</w:t>
      </w:r>
      <w:r w:rsidRPr="00BB0769">
        <w:rPr>
          <w:rFonts w:eastAsia="Times New Roman" w:cs="Futura"/>
        </w:rPr>
        <w:t xml:space="preserve"> por ciento del total de la matrícula </w:t>
      </w:r>
      <w:r>
        <w:rPr>
          <w:rFonts w:eastAsia="Times New Roman" w:cs="Futura"/>
        </w:rPr>
        <w:t>atendida en el estado</w:t>
      </w:r>
      <w:r w:rsidRPr="00BB0769">
        <w:rPr>
          <w:rFonts w:eastAsia="Times New Roman" w:cs="Futura"/>
        </w:rPr>
        <w:t>. Participan en la formación de los alumnos de nivel superior un total de 5 mil 603 docentes, y se cuenta con una infraestructura de 92 escuelas en el estado. Por sostenimiento, la matrícula de educación superior pública fue 27 mil 307 alumnos, 2 mil 337 docentes y 29 escuelas; la matrícula privada fue de 24 mil 901 alumnos, 3 mil 266 doce</w:t>
      </w:r>
      <w:r>
        <w:rPr>
          <w:rFonts w:eastAsia="Times New Roman" w:cs="Futura"/>
        </w:rPr>
        <w:t>ntes y 63 escuelas (Cuadro 10</w:t>
      </w:r>
      <w:r w:rsidRPr="00BB0769">
        <w:rPr>
          <w:rFonts w:eastAsia="Times New Roman" w:cs="Futura"/>
        </w:rPr>
        <w:t xml:space="preserve">). </w:t>
      </w:r>
    </w:p>
    <w:p w14:paraId="0B990BE1" w14:textId="77777777" w:rsidR="006D148B" w:rsidRPr="00BB0769" w:rsidRDefault="006D148B" w:rsidP="006D148B">
      <w:pPr>
        <w:spacing w:after="0" w:line="240" w:lineRule="auto"/>
        <w:jc w:val="center"/>
        <w:rPr>
          <w:b/>
          <w:color w:val="4BACC6" w:themeColor="accent5"/>
        </w:rPr>
      </w:pPr>
      <w:r>
        <w:rPr>
          <w:b/>
          <w:color w:val="4BACC6" w:themeColor="accent5"/>
        </w:rPr>
        <w:t>Cuadro 10</w:t>
      </w:r>
      <w:r w:rsidRPr="00BB0769">
        <w:rPr>
          <w:b/>
          <w:color w:val="4BACC6" w:themeColor="accent5"/>
        </w:rPr>
        <w:t>. Matrícula, docentes y escuelas de educación superior por sostenimiento</w:t>
      </w:r>
    </w:p>
    <w:p w14:paraId="09695D41" w14:textId="77777777" w:rsidR="006D148B" w:rsidRPr="00BB0769" w:rsidRDefault="006D148B" w:rsidP="006D148B">
      <w:pPr>
        <w:spacing w:after="0" w:line="240" w:lineRule="auto"/>
        <w:jc w:val="center"/>
        <w:rPr>
          <w:b/>
          <w:color w:val="4BACC6" w:themeColor="accent5"/>
        </w:rPr>
      </w:pPr>
      <w:r w:rsidRPr="00BB0769">
        <w:rPr>
          <w:b/>
          <w:color w:val="4BACC6" w:themeColor="accent5"/>
        </w:rPr>
        <w:t>Ciclo escolar 2019-2020</w:t>
      </w:r>
    </w:p>
    <w:p w14:paraId="2A2B4807" w14:textId="77777777" w:rsidR="006D148B" w:rsidRDefault="006D148B" w:rsidP="006D148B">
      <w:pPr>
        <w:spacing w:after="0"/>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80"/>
        <w:gridCol w:w="1164"/>
        <w:gridCol w:w="1276"/>
        <w:gridCol w:w="992"/>
        <w:gridCol w:w="1418"/>
        <w:gridCol w:w="1275"/>
      </w:tblGrid>
      <w:tr w:rsidR="006D148B" w:rsidRPr="004378A8" w14:paraId="12F83CE6" w14:textId="77777777" w:rsidTr="004378A8">
        <w:trPr>
          <w:trHeight w:val="300"/>
          <w:jc w:val="center"/>
        </w:trPr>
        <w:tc>
          <w:tcPr>
            <w:tcW w:w="2380" w:type="dxa"/>
            <w:vMerge w:val="restart"/>
            <w:shd w:val="clear" w:color="auto" w:fill="A6A6A6" w:themeFill="background1" w:themeFillShade="A6"/>
            <w:noWrap/>
            <w:vAlign w:val="center"/>
            <w:hideMark/>
          </w:tcPr>
          <w:p w14:paraId="5976FDF9" w14:textId="303EC0B8" w:rsidR="006D148B" w:rsidRPr="00D241CD" w:rsidRDefault="004378A8" w:rsidP="009E3B2F">
            <w:pPr>
              <w:jc w:val="center"/>
              <w:rPr>
                <w:rFonts w:ascii="Futura Std Condensed Light" w:eastAsia="Times New Roman" w:hAnsi="Futura Std Condensed Light" w:cs="Calibri"/>
                <w:b/>
                <w:bCs/>
                <w:sz w:val="20"/>
                <w:szCs w:val="20"/>
                <w:lang w:eastAsia="es-MX"/>
              </w:rPr>
            </w:pPr>
            <w:r w:rsidRPr="00D241CD">
              <w:rPr>
                <w:rFonts w:ascii="Futura Std Condensed Light" w:eastAsia="Times New Roman" w:hAnsi="Futura Std Condensed Light" w:cs="Calibri"/>
                <w:b/>
                <w:bCs/>
                <w:sz w:val="20"/>
                <w:szCs w:val="20"/>
                <w:lang w:eastAsia="es-MX"/>
              </w:rPr>
              <w:t>Sostenimiento</w:t>
            </w:r>
          </w:p>
        </w:tc>
        <w:tc>
          <w:tcPr>
            <w:tcW w:w="3432" w:type="dxa"/>
            <w:gridSpan w:val="3"/>
            <w:shd w:val="clear" w:color="auto" w:fill="A6A6A6" w:themeFill="background1" w:themeFillShade="A6"/>
            <w:noWrap/>
            <w:vAlign w:val="center"/>
            <w:hideMark/>
          </w:tcPr>
          <w:p w14:paraId="44FA1399" w14:textId="6E36637E" w:rsidR="006D148B" w:rsidRPr="00D241CD" w:rsidRDefault="004378A8" w:rsidP="009E3B2F">
            <w:pPr>
              <w:spacing w:after="0" w:line="240" w:lineRule="auto"/>
              <w:jc w:val="center"/>
              <w:rPr>
                <w:rFonts w:ascii="Futura Std Condensed Light" w:eastAsia="Times New Roman" w:hAnsi="Futura Std Condensed Light" w:cs="Calibri"/>
                <w:b/>
                <w:bCs/>
                <w:sz w:val="20"/>
                <w:szCs w:val="20"/>
                <w:lang w:eastAsia="es-MX"/>
              </w:rPr>
            </w:pPr>
            <w:r w:rsidRPr="00D241CD">
              <w:rPr>
                <w:rFonts w:ascii="Futura Std Condensed Light" w:eastAsia="Times New Roman" w:hAnsi="Futura Std Condensed Light" w:cs="Calibri"/>
                <w:b/>
                <w:bCs/>
                <w:sz w:val="20"/>
                <w:szCs w:val="20"/>
                <w:lang w:eastAsia="es-MX"/>
              </w:rPr>
              <w:t>Matrícula</w:t>
            </w:r>
          </w:p>
        </w:tc>
        <w:tc>
          <w:tcPr>
            <w:tcW w:w="1418" w:type="dxa"/>
            <w:vMerge w:val="restart"/>
            <w:shd w:val="clear" w:color="auto" w:fill="A6A6A6" w:themeFill="background1" w:themeFillShade="A6"/>
            <w:noWrap/>
            <w:vAlign w:val="center"/>
            <w:hideMark/>
          </w:tcPr>
          <w:p w14:paraId="48CE9BC4" w14:textId="3D3FC8D8" w:rsidR="006D148B" w:rsidRPr="00D241CD" w:rsidRDefault="004378A8" w:rsidP="009E3B2F">
            <w:pPr>
              <w:spacing w:after="0" w:line="240" w:lineRule="auto"/>
              <w:jc w:val="center"/>
              <w:rPr>
                <w:rFonts w:ascii="Futura Std Condensed Light" w:eastAsia="Times New Roman" w:hAnsi="Futura Std Condensed Light" w:cs="Calibri"/>
                <w:b/>
                <w:bCs/>
                <w:sz w:val="20"/>
                <w:szCs w:val="20"/>
                <w:lang w:eastAsia="es-MX"/>
              </w:rPr>
            </w:pPr>
            <w:r w:rsidRPr="00D241CD">
              <w:rPr>
                <w:rFonts w:ascii="Futura Std Condensed Light" w:eastAsia="Times New Roman" w:hAnsi="Futura Std Condensed Light" w:cs="Calibri"/>
                <w:b/>
                <w:bCs/>
                <w:sz w:val="20"/>
                <w:szCs w:val="20"/>
                <w:lang w:eastAsia="es-MX"/>
              </w:rPr>
              <w:t>Docentes</w:t>
            </w:r>
          </w:p>
        </w:tc>
        <w:tc>
          <w:tcPr>
            <w:tcW w:w="1275" w:type="dxa"/>
            <w:vMerge w:val="restart"/>
            <w:shd w:val="clear" w:color="auto" w:fill="A6A6A6" w:themeFill="background1" w:themeFillShade="A6"/>
            <w:noWrap/>
            <w:vAlign w:val="center"/>
            <w:hideMark/>
          </w:tcPr>
          <w:p w14:paraId="393A771C" w14:textId="16D42566" w:rsidR="006D148B" w:rsidRPr="00D241CD" w:rsidRDefault="004378A8" w:rsidP="009E3B2F">
            <w:pPr>
              <w:spacing w:after="0" w:line="240" w:lineRule="auto"/>
              <w:jc w:val="center"/>
              <w:rPr>
                <w:rFonts w:ascii="Futura Std Condensed Light" w:eastAsia="Times New Roman" w:hAnsi="Futura Std Condensed Light" w:cs="Calibri"/>
                <w:b/>
                <w:bCs/>
                <w:sz w:val="20"/>
                <w:szCs w:val="20"/>
                <w:lang w:eastAsia="es-MX"/>
              </w:rPr>
            </w:pPr>
            <w:r w:rsidRPr="00D241CD">
              <w:rPr>
                <w:rFonts w:ascii="Futura Std Condensed Light" w:eastAsia="Times New Roman" w:hAnsi="Futura Std Condensed Light" w:cs="Calibri"/>
                <w:b/>
                <w:bCs/>
                <w:sz w:val="20"/>
                <w:szCs w:val="20"/>
                <w:lang w:eastAsia="es-MX"/>
              </w:rPr>
              <w:t>Escuelas</w:t>
            </w:r>
          </w:p>
        </w:tc>
      </w:tr>
      <w:tr w:rsidR="006D148B" w:rsidRPr="004378A8" w14:paraId="6D73BD08" w14:textId="77777777" w:rsidTr="004378A8">
        <w:trPr>
          <w:trHeight w:val="300"/>
          <w:jc w:val="center"/>
        </w:trPr>
        <w:tc>
          <w:tcPr>
            <w:tcW w:w="2380" w:type="dxa"/>
            <w:vMerge/>
            <w:vAlign w:val="center"/>
            <w:hideMark/>
          </w:tcPr>
          <w:p w14:paraId="58450138" w14:textId="77777777" w:rsidR="006D148B" w:rsidRPr="004378A8" w:rsidRDefault="006D148B" w:rsidP="009E3B2F">
            <w:pPr>
              <w:spacing w:after="0" w:line="240" w:lineRule="auto"/>
              <w:rPr>
                <w:rFonts w:ascii="Futura Std Condensed Light" w:eastAsia="Times New Roman" w:hAnsi="Futura Std Condensed Light" w:cs="Calibri"/>
                <w:b/>
                <w:bCs/>
                <w:sz w:val="20"/>
                <w:szCs w:val="20"/>
                <w:lang w:eastAsia="es-MX"/>
              </w:rPr>
            </w:pPr>
          </w:p>
        </w:tc>
        <w:tc>
          <w:tcPr>
            <w:tcW w:w="1164" w:type="dxa"/>
            <w:shd w:val="clear" w:color="auto" w:fill="A6A6A6" w:themeFill="background1" w:themeFillShade="A6"/>
            <w:noWrap/>
            <w:vAlign w:val="center"/>
            <w:hideMark/>
          </w:tcPr>
          <w:p w14:paraId="6A4CADFD" w14:textId="77777777" w:rsidR="006D148B" w:rsidRPr="00D241CD" w:rsidRDefault="006D148B" w:rsidP="009E3B2F">
            <w:pPr>
              <w:spacing w:after="0" w:line="240" w:lineRule="auto"/>
              <w:jc w:val="center"/>
              <w:rPr>
                <w:rFonts w:ascii="Futura Std Condensed Light" w:eastAsia="Times New Roman" w:hAnsi="Futura Std Condensed Light" w:cs="Calibri"/>
                <w:b/>
                <w:bCs/>
                <w:sz w:val="20"/>
                <w:szCs w:val="20"/>
                <w:lang w:eastAsia="es-MX"/>
              </w:rPr>
            </w:pPr>
            <w:r w:rsidRPr="00D241CD">
              <w:rPr>
                <w:rFonts w:ascii="Futura Std Condensed Light" w:eastAsia="Times New Roman" w:hAnsi="Futura Std Condensed Light" w:cs="Calibri"/>
                <w:b/>
                <w:bCs/>
                <w:sz w:val="20"/>
                <w:szCs w:val="20"/>
                <w:lang w:eastAsia="es-MX"/>
              </w:rPr>
              <w:t>Hombres</w:t>
            </w:r>
          </w:p>
        </w:tc>
        <w:tc>
          <w:tcPr>
            <w:tcW w:w="1276" w:type="dxa"/>
            <w:shd w:val="clear" w:color="auto" w:fill="A6A6A6" w:themeFill="background1" w:themeFillShade="A6"/>
            <w:noWrap/>
            <w:vAlign w:val="center"/>
            <w:hideMark/>
          </w:tcPr>
          <w:p w14:paraId="1ABBAB4A" w14:textId="77777777" w:rsidR="006D148B" w:rsidRPr="00D241CD" w:rsidRDefault="006D148B" w:rsidP="009E3B2F">
            <w:pPr>
              <w:spacing w:after="0" w:line="240" w:lineRule="auto"/>
              <w:jc w:val="center"/>
              <w:rPr>
                <w:rFonts w:ascii="Futura Std Condensed Light" w:eastAsia="Times New Roman" w:hAnsi="Futura Std Condensed Light" w:cs="Calibri"/>
                <w:b/>
                <w:bCs/>
                <w:sz w:val="20"/>
                <w:szCs w:val="20"/>
                <w:lang w:eastAsia="es-MX"/>
              </w:rPr>
            </w:pPr>
            <w:r w:rsidRPr="00D241CD">
              <w:rPr>
                <w:rFonts w:ascii="Futura Std Condensed Light" w:eastAsia="Times New Roman" w:hAnsi="Futura Std Condensed Light" w:cs="Calibri"/>
                <w:b/>
                <w:bCs/>
                <w:sz w:val="20"/>
                <w:szCs w:val="20"/>
                <w:lang w:eastAsia="es-MX"/>
              </w:rPr>
              <w:t>Mujeres</w:t>
            </w:r>
          </w:p>
        </w:tc>
        <w:tc>
          <w:tcPr>
            <w:tcW w:w="992" w:type="dxa"/>
            <w:shd w:val="clear" w:color="auto" w:fill="A6A6A6" w:themeFill="background1" w:themeFillShade="A6"/>
            <w:noWrap/>
            <w:vAlign w:val="center"/>
            <w:hideMark/>
          </w:tcPr>
          <w:p w14:paraId="2CA6EA56" w14:textId="77777777" w:rsidR="006D148B" w:rsidRPr="00D241CD" w:rsidRDefault="006D148B" w:rsidP="009E3B2F">
            <w:pPr>
              <w:spacing w:after="0" w:line="240" w:lineRule="auto"/>
              <w:jc w:val="center"/>
              <w:rPr>
                <w:rFonts w:ascii="Futura Std Condensed Light" w:eastAsia="Times New Roman" w:hAnsi="Futura Std Condensed Light" w:cs="Calibri"/>
                <w:b/>
                <w:bCs/>
                <w:sz w:val="20"/>
                <w:szCs w:val="20"/>
                <w:lang w:eastAsia="es-MX"/>
              </w:rPr>
            </w:pPr>
            <w:r w:rsidRPr="00D241CD">
              <w:rPr>
                <w:rFonts w:ascii="Futura Std Condensed Light" w:eastAsia="Times New Roman" w:hAnsi="Futura Std Condensed Light" w:cs="Calibri"/>
                <w:b/>
                <w:bCs/>
                <w:sz w:val="20"/>
                <w:szCs w:val="20"/>
                <w:lang w:eastAsia="es-MX"/>
              </w:rPr>
              <w:t>Total</w:t>
            </w:r>
          </w:p>
        </w:tc>
        <w:tc>
          <w:tcPr>
            <w:tcW w:w="1418" w:type="dxa"/>
            <w:vMerge/>
            <w:vAlign w:val="center"/>
            <w:hideMark/>
          </w:tcPr>
          <w:p w14:paraId="1A789E6A" w14:textId="77777777" w:rsidR="006D148B" w:rsidRPr="004378A8" w:rsidRDefault="006D148B" w:rsidP="009E3B2F">
            <w:pPr>
              <w:spacing w:after="0" w:line="240" w:lineRule="auto"/>
              <w:rPr>
                <w:rFonts w:ascii="Futura Std Condensed Light" w:eastAsia="Times New Roman" w:hAnsi="Futura Std Condensed Light" w:cs="Calibri"/>
                <w:b/>
                <w:bCs/>
                <w:sz w:val="20"/>
                <w:szCs w:val="20"/>
                <w:lang w:eastAsia="es-MX"/>
              </w:rPr>
            </w:pPr>
          </w:p>
        </w:tc>
        <w:tc>
          <w:tcPr>
            <w:tcW w:w="1275" w:type="dxa"/>
            <w:vMerge/>
            <w:vAlign w:val="center"/>
            <w:hideMark/>
          </w:tcPr>
          <w:p w14:paraId="206212B0" w14:textId="77777777" w:rsidR="006D148B" w:rsidRPr="004378A8" w:rsidRDefault="006D148B" w:rsidP="009E3B2F">
            <w:pPr>
              <w:spacing w:after="0" w:line="240" w:lineRule="auto"/>
              <w:rPr>
                <w:rFonts w:ascii="Futura Std Condensed Light" w:eastAsia="Times New Roman" w:hAnsi="Futura Std Condensed Light" w:cs="Calibri"/>
                <w:b/>
                <w:bCs/>
                <w:sz w:val="20"/>
                <w:szCs w:val="20"/>
                <w:lang w:eastAsia="es-MX"/>
              </w:rPr>
            </w:pPr>
          </w:p>
        </w:tc>
      </w:tr>
      <w:tr w:rsidR="006D148B" w:rsidRPr="004378A8" w14:paraId="61B5E4F2" w14:textId="77777777" w:rsidTr="004378A8">
        <w:trPr>
          <w:trHeight w:val="300"/>
          <w:jc w:val="center"/>
        </w:trPr>
        <w:tc>
          <w:tcPr>
            <w:tcW w:w="2380" w:type="dxa"/>
            <w:shd w:val="clear" w:color="000000" w:fill="BFBFBF"/>
            <w:noWrap/>
            <w:vAlign w:val="center"/>
            <w:hideMark/>
          </w:tcPr>
          <w:p w14:paraId="0C27C69C" w14:textId="77777777" w:rsidR="006D148B" w:rsidRPr="004378A8" w:rsidRDefault="006D148B" w:rsidP="009E3B2F">
            <w:pPr>
              <w:spacing w:after="0" w:line="240" w:lineRule="auto"/>
              <w:rPr>
                <w:rFonts w:ascii="Futura Std Condensed Light" w:eastAsia="Times New Roman" w:hAnsi="Futura Std Condensed Light" w:cs="Calibri"/>
                <w:bCs/>
                <w:sz w:val="20"/>
                <w:szCs w:val="20"/>
                <w:lang w:eastAsia="es-MX"/>
              </w:rPr>
            </w:pPr>
            <w:r w:rsidRPr="004378A8">
              <w:rPr>
                <w:rFonts w:ascii="Futura Std Condensed Light" w:eastAsia="Times New Roman" w:hAnsi="Futura Std Condensed Light" w:cs="Calibri"/>
                <w:bCs/>
                <w:sz w:val="20"/>
                <w:szCs w:val="20"/>
                <w:lang w:eastAsia="es-MX"/>
              </w:rPr>
              <w:t>PUBLICAS</w:t>
            </w:r>
          </w:p>
        </w:tc>
        <w:tc>
          <w:tcPr>
            <w:tcW w:w="1164" w:type="dxa"/>
            <w:shd w:val="clear" w:color="000000" w:fill="BFBFBF"/>
            <w:noWrap/>
            <w:vAlign w:val="center"/>
            <w:hideMark/>
          </w:tcPr>
          <w:p w14:paraId="6CFAF4F5" w14:textId="77777777" w:rsidR="006D148B" w:rsidRPr="004378A8" w:rsidRDefault="006D148B" w:rsidP="009E3B2F">
            <w:pPr>
              <w:spacing w:after="0" w:line="240" w:lineRule="auto"/>
              <w:jc w:val="center"/>
              <w:rPr>
                <w:rFonts w:ascii="Futura Std Condensed Light" w:eastAsia="Times New Roman" w:hAnsi="Futura Std Condensed Light" w:cs="Calibri"/>
                <w:bCs/>
                <w:sz w:val="20"/>
                <w:szCs w:val="20"/>
                <w:lang w:eastAsia="es-MX"/>
              </w:rPr>
            </w:pPr>
            <w:r w:rsidRPr="004378A8">
              <w:rPr>
                <w:rFonts w:ascii="Futura Std Condensed Light" w:eastAsia="Times New Roman" w:hAnsi="Futura Std Condensed Light" w:cs="Calibri"/>
                <w:bCs/>
                <w:sz w:val="20"/>
                <w:szCs w:val="20"/>
                <w:lang w:eastAsia="es-MX"/>
              </w:rPr>
              <w:t>14,323</w:t>
            </w:r>
          </w:p>
        </w:tc>
        <w:tc>
          <w:tcPr>
            <w:tcW w:w="1276" w:type="dxa"/>
            <w:shd w:val="clear" w:color="000000" w:fill="BFBFBF"/>
            <w:noWrap/>
            <w:vAlign w:val="center"/>
            <w:hideMark/>
          </w:tcPr>
          <w:p w14:paraId="7294543C" w14:textId="77777777" w:rsidR="006D148B" w:rsidRPr="004378A8" w:rsidRDefault="006D148B" w:rsidP="009E3B2F">
            <w:pPr>
              <w:spacing w:after="0" w:line="240" w:lineRule="auto"/>
              <w:jc w:val="center"/>
              <w:rPr>
                <w:rFonts w:ascii="Futura Std Condensed Light" w:eastAsia="Times New Roman" w:hAnsi="Futura Std Condensed Light" w:cs="Calibri"/>
                <w:bCs/>
                <w:sz w:val="20"/>
                <w:szCs w:val="20"/>
                <w:lang w:eastAsia="es-MX"/>
              </w:rPr>
            </w:pPr>
            <w:r w:rsidRPr="004378A8">
              <w:rPr>
                <w:rFonts w:ascii="Futura Std Condensed Light" w:eastAsia="Times New Roman" w:hAnsi="Futura Std Condensed Light" w:cs="Calibri"/>
                <w:bCs/>
                <w:sz w:val="20"/>
                <w:szCs w:val="20"/>
                <w:lang w:eastAsia="es-MX"/>
              </w:rPr>
              <w:t>12,984</w:t>
            </w:r>
          </w:p>
        </w:tc>
        <w:tc>
          <w:tcPr>
            <w:tcW w:w="992" w:type="dxa"/>
            <w:shd w:val="clear" w:color="000000" w:fill="BFBFBF"/>
            <w:noWrap/>
            <w:vAlign w:val="center"/>
            <w:hideMark/>
          </w:tcPr>
          <w:p w14:paraId="3F707E1A" w14:textId="77777777" w:rsidR="006D148B" w:rsidRPr="004378A8" w:rsidRDefault="006D148B" w:rsidP="009E3B2F">
            <w:pPr>
              <w:spacing w:after="0" w:line="240" w:lineRule="auto"/>
              <w:jc w:val="center"/>
              <w:rPr>
                <w:rFonts w:ascii="Futura Std Condensed Light" w:eastAsia="Times New Roman" w:hAnsi="Futura Std Condensed Light" w:cs="Calibri"/>
                <w:bCs/>
                <w:sz w:val="20"/>
                <w:szCs w:val="20"/>
                <w:lang w:eastAsia="es-MX"/>
              </w:rPr>
            </w:pPr>
            <w:r w:rsidRPr="004378A8">
              <w:rPr>
                <w:rFonts w:ascii="Futura Std Condensed Light" w:eastAsia="Times New Roman" w:hAnsi="Futura Std Condensed Light" w:cs="Calibri"/>
                <w:bCs/>
                <w:sz w:val="20"/>
                <w:szCs w:val="20"/>
                <w:lang w:eastAsia="es-MX"/>
              </w:rPr>
              <w:t>27,307</w:t>
            </w:r>
          </w:p>
        </w:tc>
        <w:tc>
          <w:tcPr>
            <w:tcW w:w="1418" w:type="dxa"/>
            <w:shd w:val="clear" w:color="000000" w:fill="BFBFBF"/>
            <w:noWrap/>
            <w:vAlign w:val="center"/>
            <w:hideMark/>
          </w:tcPr>
          <w:p w14:paraId="59A29278" w14:textId="77777777" w:rsidR="006D148B" w:rsidRPr="004378A8" w:rsidRDefault="006D148B" w:rsidP="009E3B2F">
            <w:pPr>
              <w:spacing w:after="0" w:line="240" w:lineRule="auto"/>
              <w:jc w:val="center"/>
              <w:rPr>
                <w:rFonts w:ascii="Futura Std Condensed Light" w:eastAsia="Times New Roman" w:hAnsi="Futura Std Condensed Light" w:cs="Calibri"/>
                <w:bCs/>
                <w:sz w:val="20"/>
                <w:szCs w:val="20"/>
                <w:lang w:eastAsia="es-MX"/>
              </w:rPr>
            </w:pPr>
            <w:r w:rsidRPr="004378A8">
              <w:rPr>
                <w:rFonts w:ascii="Futura Std Condensed Light" w:eastAsia="Times New Roman" w:hAnsi="Futura Std Condensed Light" w:cs="Calibri"/>
                <w:bCs/>
                <w:sz w:val="20"/>
                <w:szCs w:val="20"/>
                <w:lang w:eastAsia="es-MX"/>
              </w:rPr>
              <w:t>2,337</w:t>
            </w:r>
          </w:p>
        </w:tc>
        <w:tc>
          <w:tcPr>
            <w:tcW w:w="1275" w:type="dxa"/>
            <w:shd w:val="clear" w:color="000000" w:fill="BFBFBF"/>
            <w:noWrap/>
            <w:vAlign w:val="center"/>
            <w:hideMark/>
          </w:tcPr>
          <w:p w14:paraId="4CD9FC6E" w14:textId="77777777" w:rsidR="006D148B" w:rsidRPr="004378A8" w:rsidRDefault="006D148B" w:rsidP="009E3B2F">
            <w:pPr>
              <w:spacing w:after="0" w:line="240" w:lineRule="auto"/>
              <w:jc w:val="center"/>
              <w:rPr>
                <w:rFonts w:ascii="Futura Std Condensed Light" w:eastAsia="Times New Roman" w:hAnsi="Futura Std Condensed Light" w:cs="Calibri"/>
                <w:bCs/>
                <w:sz w:val="20"/>
                <w:szCs w:val="20"/>
                <w:lang w:eastAsia="es-MX"/>
              </w:rPr>
            </w:pPr>
            <w:r w:rsidRPr="004378A8">
              <w:rPr>
                <w:rFonts w:ascii="Futura Std Condensed Light" w:eastAsia="Times New Roman" w:hAnsi="Futura Std Condensed Light" w:cs="Calibri"/>
                <w:bCs/>
                <w:sz w:val="20"/>
                <w:szCs w:val="20"/>
                <w:lang w:eastAsia="es-MX"/>
              </w:rPr>
              <w:t>29</w:t>
            </w:r>
          </w:p>
        </w:tc>
      </w:tr>
      <w:tr w:rsidR="006D148B" w:rsidRPr="004378A8" w14:paraId="0A9C6C00" w14:textId="77777777" w:rsidTr="004378A8">
        <w:trPr>
          <w:trHeight w:val="300"/>
          <w:jc w:val="center"/>
        </w:trPr>
        <w:tc>
          <w:tcPr>
            <w:tcW w:w="2380" w:type="dxa"/>
            <w:shd w:val="clear" w:color="auto" w:fill="auto"/>
            <w:noWrap/>
            <w:vAlign w:val="center"/>
            <w:hideMark/>
          </w:tcPr>
          <w:p w14:paraId="1A1D01B7" w14:textId="77777777" w:rsidR="006D148B" w:rsidRPr="004378A8" w:rsidRDefault="006D148B" w:rsidP="009E3B2F">
            <w:pPr>
              <w:spacing w:after="0" w:line="240" w:lineRule="auto"/>
              <w:rPr>
                <w:rFonts w:ascii="Futura Std Condensed Light" w:eastAsia="Times New Roman" w:hAnsi="Futura Std Condensed Light" w:cs="Calibri"/>
                <w:sz w:val="20"/>
                <w:szCs w:val="20"/>
                <w:lang w:eastAsia="es-MX"/>
              </w:rPr>
            </w:pPr>
            <w:r w:rsidRPr="004378A8">
              <w:rPr>
                <w:rFonts w:ascii="Futura Std Condensed Light" w:eastAsia="Times New Roman" w:hAnsi="Futura Std Condensed Light" w:cs="Calibri"/>
                <w:sz w:val="20"/>
                <w:szCs w:val="20"/>
                <w:lang w:eastAsia="es-MX"/>
              </w:rPr>
              <w:t>Licenciaturas y Posgrado</w:t>
            </w:r>
          </w:p>
        </w:tc>
        <w:tc>
          <w:tcPr>
            <w:tcW w:w="1164" w:type="dxa"/>
            <w:shd w:val="clear" w:color="auto" w:fill="auto"/>
            <w:noWrap/>
            <w:vAlign w:val="center"/>
            <w:hideMark/>
          </w:tcPr>
          <w:p w14:paraId="65D78F3D" w14:textId="77777777" w:rsidR="006D148B" w:rsidRPr="004378A8" w:rsidRDefault="006D148B" w:rsidP="009E3B2F">
            <w:pPr>
              <w:spacing w:after="0" w:line="240" w:lineRule="auto"/>
              <w:jc w:val="center"/>
              <w:rPr>
                <w:rFonts w:ascii="Futura Std Condensed Light" w:eastAsia="Times New Roman" w:hAnsi="Futura Std Condensed Light" w:cs="Calibri"/>
                <w:sz w:val="20"/>
                <w:szCs w:val="20"/>
                <w:lang w:eastAsia="es-MX"/>
              </w:rPr>
            </w:pPr>
            <w:r w:rsidRPr="004378A8">
              <w:rPr>
                <w:rFonts w:ascii="Futura Std Condensed Light" w:eastAsia="Times New Roman" w:hAnsi="Futura Std Condensed Light" w:cs="Calibri"/>
                <w:sz w:val="20"/>
                <w:szCs w:val="20"/>
                <w:lang w:eastAsia="es-MX"/>
              </w:rPr>
              <w:t>14,072</w:t>
            </w:r>
          </w:p>
        </w:tc>
        <w:tc>
          <w:tcPr>
            <w:tcW w:w="1276" w:type="dxa"/>
            <w:shd w:val="clear" w:color="auto" w:fill="auto"/>
            <w:noWrap/>
            <w:vAlign w:val="center"/>
            <w:hideMark/>
          </w:tcPr>
          <w:p w14:paraId="199EF51F" w14:textId="77777777" w:rsidR="006D148B" w:rsidRPr="004378A8" w:rsidRDefault="006D148B" w:rsidP="009E3B2F">
            <w:pPr>
              <w:spacing w:after="0" w:line="240" w:lineRule="auto"/>
              <w:jc w:val="center"/>
              <w:rPr>
                <w:rFonts w:ascii="Futura Std Condensed Light" w:eastAsia="Times New Roman" w:hAnsi="Futura Std Condensed Light" w:cs="Calibri"/>
                <w:sz w:val="20"/>
                <w:szCs w:val="20"/>
                <w:lang w:eastAsia="es-MX"/>
              </w:rPr>
            </w:pPr>
            <w:r w:rsidRPr="004378A8">
              <w:rPr>
                <w:rFonts w:ascii="Futura Std Condensed Light" w:eastAsia="Times New Roman" w:hAnsi="Futura Std Condensed Light" w:cs="Calibri"/>
                <w:sz w:val="20"/>
                <w:szCs w:val="20"/>
                <w:lang w:eastAsia="es-MX"/>
              </w:rPr>
              <w:t>12,378</w:t>
            </w:r>
          </w:p>
        </w:tc>
        <w:tc>
          <w:tcPr>
            <w:tcW w:w="992" w:type="dxa"/>
            <w:shd w:val="clear" w:color="auto" w:fill="auto"/>
            <w:noWrap/>
            <w:vAlign w:val="center"/>
            <w:hideMark/>
          </w:tcPr>
          <w:p w14:paraId="022E7790" w14:textId="77777777" w:rsidR="006D148B" w:rsidRPr="004378A8" w:rsidRDefault="006D148B" w:rsidP="009E3B2F">
            <w:pPr>
              <w:spacing w:after="0" w:line="240" w:lineRule="auto"/>
              <w:jc w:val="center"/>
              <w:rPr>
                <w:rFonts w:ascii="Futura Std Condensed Light" w:eastAsia="Times New Roman" w:hAnsi="Futura Std Condensed Light" w:cs="Calibri"/>
                <w:sz w:val="20"/>
                <w:szCs w:val="20"/>
                <w:lang w:eastAsia="es-MX"/>
              </w:rPr>
            </w:pPr>
            <w:r w:rsidRPr="004378A8">
              <w:rPr>
                <w:rFonts w:ascii="Futura Std Condensed Light" w:eastAsia="Times New Roman" w:hAnsi="Futura Std Condensed Light" w:cs="Calibri"/>
                <w:sz w:val="20"/>
                <w:szCs w:val="20"/>
                <w:lang w:eastAsia="es-MX"/>
              </w:rPr>
              <w:t>26,450</w:t>
            </w:r>
          </w:p>
        </w:tc>
        <w:tc>
          <w:tcPr>
            <w:tcW w:w="1418" w:type="dxa"/>
            <w:shd w:val="clear" w:color="auto" w:fill="auto"/>
            <w:noWrap/>
            <w:vAlign w:val="center"/>
            <w:hideMark/>
          </w:tcPr>
          <w:p w14:paraId="4BAD85DC" w14:textId="77777777" w:rsidR="006D148B" w:rsidRPr="004378A8" w:rsidRDefault="006D148B" w:rsidP="009E3B2F">
            <w:pPr>
              <w:spacing w:after="0" w:line="240" w:lineRule="auto"/>
              <w:jc w:val="center"/>
              <w:rPr>
                <w:rFonts w:ascii="Futura Std Condensed Light" w:eastAsia="Times New Roman" w:hAnsi="Futura Std Condensed Light" w:cs="Calibri"/>
                <w:sz w:val="20"/>
                <w:szCs w:val="20"/>
                <w:lang w:eastAsia="es-MX"/>
              </w:rPr>
            </w:pPr>
            <w:r w:rsidRPr="004378A8">
              <w:rPr>
                <w:rFonts w:ascii="Futura Std Condensed Light" w:eastAsia="Times New Roman" w:hAnsi="Futura Std Condensed Light" w:cs="Calibri"/>
                <w:sz w:val="20"/>
                <w:szCs w:val="20"/>
                <w:lang w:eastAsia="es-MX"/>
              </w:rPr>
              <w:t>2,226</w:t>
            </w:r>
          </w:p>
        </w:tc>
        <w:tc>
          <w:tcPr>
            <w:tcW w:w="1275" w:type="dxa"/>
            <w:shd w:val="clear" w:color="auto" w:fill="auto"/>
            <w:noWrap/>
            <w:vAlign w:val="center"/>
            <w:hideMark/>
          </w:tcPr>
          <w:p w14:paraId="5AF52BC1" w14:textId="77777777" w:rsidR="006D148B" w:rsidRPr="004378A8" w:rsidRDefault="006D148B" w:rsidP="009E3B2F">
            <w:pPr>
              <w:spacing w:after="0" w:line="240" w:lineRule="auto"/>
              <w:jc w:val="center"/>
              <w:rPr>
                <w:rFonts w:ascii="Futura Std Condensed Light" w:eastAsia="Times New Roman" w:hAnsi="Futura Std Condensed Light" w:cs="Calibri"/>
                <w:sz w:val="20"/>
                <w:szCs w:val="20"/>
                <w:lang w:eastAsia="es-MX"/>
              </w:rPr>
            </w:pPr>
            <w:r w:rsidRPr="004378A8">
              <w:rPr>
                <w:rFonts w:ascii="Futura Std Condensed Light" w:eastAsia="Times New Roman" w:hAnsi="Futura Std Condensed Light" w:cs="Calibri"/>
                <w:sz w:val="20"/>
                <w:szCs w:val="20"/>
                <w:lang w:eastAsia="es-MX"/>
              </w:rPr>
              <w:t>26</w:t>
            </w:r>
          </w:p>
        </w:tc>
      </w:tr>
      <w:tr w:rsidR="006D148B" w:rsidRPr="004378A8" w14:paraId="19AD4032" w14:textId="77777777" w:rsidTr="004378A8">
        <w:trPr>
          <w:trHeight w:val="300"/>
          <w:jc w:val="center"/>
        </w:trPr>
        <w:tc>
          <w:tcPr>
            <w:tcW w:w="2380" w:type="dxa"/>
            <w:shd w:val="clear" w:color="auto" w:fill="auto"/>
            <w:noWrap/>
            <w:vAlign w:val="center"/>
            <w:hideMark/>
          </w:tcPr>
          <w:p w14:paraId="2DE7EA28" w14:textId="77777777" w:rsidR="006D148B" w:rsidRPr="004378A8" w:rsidRDefault="006D148B" w:rsidP="009E3B2F">
            <w:pPr>
              <w:spacing w:after="0" w:line="240" w:lineRule="auto"/>
              <w:rPr>
                <w:rFonts w:ascii="Futura Std Condensed Light" w:eastAsia="Times New Roman" w:hAnsi="Futura Std Condensed Light" w:cs="Calibri"/>
                <w:sz w:val="20"/>
                <w:szCs w:val="20"/>
                <w:lang w:eastAsia="es-MX"/>
              </w:rPr>
            </w:pPr>
            <w:r w:rsidRPr="004378A8">
              <w:rPr>
                <w:rFonts w:ascii="Futura Std Condensed Light" w:eastAsia="Times New Roman" w:hAnsi="Futura Std Condensed Light" w:cs="Calibri"/>
                <w:sz w:val="20"/>
                <w:szCs w:val="20"/>
                <w:lang w:eastAsia="es-MX"/>
              </w:rPr>
              <w:t>Normales</w:t>
            </w:r>
          </w:p>
        </w:tc>
        <w:tc>
          <w:tcPr>
            <w:tcW w:w="1164" w:type="dxa"/>
            <w:shd w:val="clear" w:color="auto" w:fill="auto"/>
            <w:noWrap/>
            <w:vAlign w:val="center"/>
            <w:hideMark/>
          </w:tcPr>
          <w:p w14:paraId="350ED62D" w14:textId="77777777" w:rsidR="006D148B" w:rsidRPr="004378A8" w:rsidRDefault="006D148B" w:rsidP="009E3B2F">
            <w:pPr>
              <w:spacing w:after="0" w:line="240" w:lineRule="auto"/>
              <w:jc w:val="center"/>
              <w:rPr>
                <w:rFonts w:ascii="Futura Std Condensed Light" w:eastAsia="Times New Roman" w:hAnsi="Futura Std Condensed Light" w:cs="Calibri"/>
                <w:sz w:val="20"/>
                <w:szCs w:val="20"/>
                <w:lang w:eastAsia="es-MX"/>
              </w:rPr>
            </w:pPr>
            <w:r w:rsidRPr="004378A8">
              <w:rPr>
                <w:rFonts w:ascii="Futura Std Condensed Light" w:eastAsia="Times New Roman" w:hAnsi="Futura Std Condensed Light" w:cs="Calibri"/>
                <w:sz w:val="20"/>
                <w:szCs w:val="20"/>
                <w:lang w:eastAsia="es-MX"/>
              </w:rPr>
              <w:t>251</w:t>
            </w:r>
          </w:p>
        </w:tc>
        <w:tc>
          <w:tcPr>
            <w:tcW w:w="1276" w:type="dxa"/>
            <w:shd w:val="clear" w:color="auto" w:fill="auto"/>
            <w:noWrap/>
            <w:vAlign w:val="center"/>
            <w:hideMark/>
          </w:tcPr>
          <w:p w14:paraId="153B476E" w14:textId="77777777" w:rsidR="006D148B" w:rsidRPr="004378A8" w:rsidRDefault="006D148B" w:rsidP="009E3B2F">
            <w:pPr>
              <w:spacing w:after="0" w:line="240" w:lineRule="auto"/>
              <w:jc w:val="center"/>
              <w:rPr>
                <w:rFonts w:ascii="Futura Std Condensed Light" w:eastAsia="Times New Roman" w:hAnsi="Futura Std Condensed Light" w:cs="Calibri"/>
                <w:sz w:val="20"/>
                <w:szCs w:val="20"/>
                <w:lang w:eastAsia="es-MX"/>
              </w:rPr>
            </w:pPr>
            <w:r w:rsidRPr="004378A8">
              <w:rPr>
                <w:rFonts w:ascii="Futura Std Condensed Light" w:eastAsia="Times New Roman" w:hAnsi="Futura Std Condensed Light" w:cs="Calibri"/>
                <w:sz w:val="20"/>
                <w:szCs w:val="20"/>
                <w:lang w:eastAsia="es-MX"/>
              </w:rPr>
              <w:t>606</w:t>
            </w:r>
          </w:p>
        </w:tc>
        <w:tc>
          <w:tcPr>
            <w:tcW w:w="992" w:type="dxa"/>
            <w:shd w:val="clear" w:color="auto" w:fill="auto"/>
            <w:noWrap/>
            <w:vAlign w:val="center"/>
            <w:hideMark/>
          </w:tcPr>
          <w:p w14:paraId="1E2FFA97" w14:textId="77777777" w:rsidR="006D148B" w:rsidRPr="004378A8" w:rsidRDefault="006D148B" w:rsidP="009E3B2F">
            <w:pPr>
              <w:spacing w:after="0" w:line="240" w:lineRule="auto"/>
              <w:jc w:val="center"/>
              <w:rPr>
                <w:rFonts w:ascii="Futura Std Condensed Light" w:eastAsia="Times New Roman" w:hAnsi="Futura Std Condensed Light" w:cs="Calibri"/>
                <w:sz w:val="20"/>
                <w:szCs w:val="20"/>
                <w:lang w:eastAsia="es-MX"/>
              </w:rPr>
            </w:pPr>
            <w:r w:rsidRPr="004378A8">
              <w:rPr>
                <w:rFonts w:ascii="Futura Std Condensed Light" w:eastAsia="Times New Roman" w:hAnsi="Futura Std Condensed Light" w:cs="Calibri"/>
                <w:sz w:val="20"/>
                <w:szCs w:val="20"/>
                <w:lang w:eastAsia="es-MX"/>
              </w:rPr>
              <w:t>857</w:t>
            </w:r>
          </w:p>
        </w:tc>
        <w:tc>
          <w:tcPr>
            <w:tcW w:w="1418" w:type="dxa"/>
            <w:shd w:val="clear" w:color="auto" w:fill="auto"/>
            <w:noWrap/>
            <w:vAlign w:val="center"/>
            <w:hideMark/>
          </w:tcPr>
          <w:p w14:paraId="31AD2C1A" w14:textId="77777777" w:rsidR="006D148B" w:rsidRPr="004378A8" w:rsidRDefault="006D148B" w:rsidP="009E3B2F">
            <w:pPr>
              <w:spacing w:after="0" w:line="240" w:lineRule="auto"/>
              <w:jc w:val="center"/>
              <w:rPr>
                <w:rFonts w:ascii="Futura Std Condensed Light" w:eastAsia="Times New Roman" w:hAnsi="Futura Std Condensed Light" w:cs="Calibri"/>
                <w:sz w:val="20"/>
                <w:szCs w:val="20"/>
                <w:lang w:eastAsia="es-MX"/>
              </w:rPr>
            </w:pPr>
            <w:r w:rsidRPr="004378A8">
              <w:rPr>
                <w:rFonts w:ascii="Futura Std Condensed Light" w:eastAsia="Times New Roman" w:hAnsi="Futura Std Condensed Light" w:cs="Calibri"/>
                <w:sz w:val="20"/>
                <w:szCs w:val="20"/>
                <w:lang w:eastAsia="es-MX"/>
              </w:rPr>
              <w:t>111</w:t>
            </w:r>
          </w:p>
        </w:tc>
        <w:tc>
          <w:tcPr>
            <w:tcW w:w="1275" w:type="dxa"/>
            <w:shd w:val="clear" w:color="auto" w:fill="auto"/>
            <w:noWrap/>
            <w:vAlign w:val="center"/>
            <w:hideMark/>
          </w:tcPr>
          <w:p w14:paraId="5B81B297" w14:textId="77777777" w:rsidR="006D148B" w:rsidRPr="004378A8" w:rsidRDefault="006D148B" w:rsidP="009E3B2F">
            <w:pPr>
              <w:spacing w:after="0" w:line="240" w:lineRule="auto"/>
              <w:jc w:val="center"/>
              <w:rPr>
                <w:rFonts w:ascii="Futura Std Condensed Light" w:eastAsia="Times New Roman" w:hAnsi="Futura Std Condensed Light" w:cs="Calibri"/>
                <w:sz w:val="20"/>
                <w:szCs w:val="20"/>
                <w:lang w:eastAsia="es-MX"/>
              </w:rPr>
            </w:pPr>
            <w:r w:rsidRPr="004378A8">
              <w:rPr>
                <w:rFonts w:ascii="Futura Std Condensed Light" w:eastAsia="Times New Roman" w:hAnsi="Futura Std Condensed Light" w:cs="Calibri"/>
                <w:sz w:val="20"/>
                <w:szCs w:val="20"/>
                <w:lang w:eastAsia="es-MX"/>
              </w:rPr>
              <w:t>3</w:t>
            </w:r>
          </w:p>
        </w:tc>
      </w:tr>
      <w:tr w:rsidR="006D148B" w:rsidRPr="004378A8" w14:paraId="367CD892" w14:textId="77777777" w:rsidTr="004378A8">
        <w:trPr>
          <w:trHeight w:val="300"/>
          <w:jc w:val="center"/>
        </w:trPr>
        <w:tc>
          <w:tcPr>
            <w:tcW w:w="2380" w:type="dxa"/>
            <w:shd w:val="clear" w:color="000000" w:fill="BFBFBF"/>
            <w:noWrap/>
            <w:vAlign w:val="center"/>
            <w:hideMark/>
          </w:tcPr>
          <w:p w14:paraId="268482E0" w14:textId="77777777" w:rsidR="006D148B" w:rsidRPr="004378A8" w:rsidRDefault="006D148B" w:rsidP="009E3B2F">
            <w:pPr>
              <w:spacing w:after="0" w:line="240" w:lineRule="auto"/>
              <w:rPr>
                <w:rFonts w:ascii="Futura Std Condensed Light" w:eastAsia="Times New Roman" w:hAnsi="Futura Std Condensed Light" w:cs="Calibri"/>
                <w:bCs/>
                <w:sz w:val="20"/>
                <w:szCs w:val="20"/>
                <w:lang w:eastAsia="es-MX"/>
              </w:rPr>
            </w:pPr>
            <w:r w:rsidRPr="004378A8">
              <w:rPr>
                <w:rFonts w:ascii="Futura Std Condensed Light" w:eastAsia="Times New Roman" w:hAnsi="Futura Std Condensed Light" w:cs="Calibri"/>
                <w:bCs/>
                <w:sz w:val="20"/>
                <w:szCs w:val="20"/>
                <w:lang w:eastAsia="es-MX"/>
              </w:rPr>
              <w:t>PRIVADAS</w:t>
            </w:r>
          </w:p>
        </w:tc>
        <w:tc>
          <w:tcPr>
            <w:tcW w:w="1164" w:type="dxa"/>
            <w:shd w:val="clear" w:color="000000" w:fill="BFBFBF"/>
            <w:noWrap/>
            <w:vAlign w:val="center"/>
            <w:hideMark/>
          </w:tcPr>
          <w:p w14:paraId="449D9481" w14:textId="77777777" w:rsidR="006D148B" w:rsidRPr="004378A8" w:rsidRDefault="006D148B" w:rsidP="009E3B2F">
            <w:pPr>
              <w:spacing w:after="0" w:line="240" w:lineRule="auto"/>
              <w:jc w:val="center"/>
              <w:rPr>
                <w:rFonts w:ascii="Futura Std Condensed Light" w:eastAsia="Times New Roman" w:hAnsi="Futura Std Condensed Light" w:cs="Calibri"/>
                <w:bCs/>
                <w:sz w:val="20"/>
                <w:szCs w:val="20"/>
                <w:lang w:eastAsia="es-MX"/>
              </w:rPr>
            </w:pPr>
            <w:r w:rsidRPr="004378A8">
              <w:rPr>
                <w:rFonts w:ascii="Futura Std Condensed Light" w:eastAsia="Times New Roman" w:hAnsi="Futura Std Condensed Light" w:cs="Calibri"/>
                <w:bCs/>
                <w:sz w:val="20"/>
                <w:szCs w:val="20"/>
                <w:lang w:eastAsia="es-MX"/>
              </w:rPr>
              <w:t>11,067</w:t>
            </w:r>
          </w:p>
        </w:tc>
        <w:tc>
          <w:tcPr>
            <w:tcW w:w="1276" w:type="dxa"/>
            <w:shd w:val="clear" w:color="000000" w:fill="BFBFBF"/>
            <w:noWrap/>
            <w:vAlign w:val="center"/>
            <w:hideMark/>
          </w:tcPr>
          <w:p w14:paraId="6C56FD7D" w14:textId="77777777" w:rsidR="006D148B" w:rsidRPr="004378A8" w:rsidRDefault="006D148B" w:rsidP="009E3B2F">
            <w:pPr>
              <w:spacing w:after="0" w:line="240" w:lineRule="auto"/>
              <w:jc w:val="center"/>
              <w:rPr>
                <w:rFonts w:ascii="Futura Std Condensed Light" w:eastAsia="Times New Roman" w:hAnsi="Futura Std Condensed Light" w:cs="Calibri"/>
                <w:bCs/>
                <w:sz w:val="20"/>
                <w:szCs w:val="20"/>
                <w:lang w:eastAsia="es-MX"/>
              </w:rPr>
            </w:pPr>
            <w:r w:rsidRPr="004378A8">
              <w:rPr>
                <w:rFonts w:ascii="Futura Std Condensed Light" w:eastAsia="Times New Roman" w:hAnsi="Futura Std Condensed Light" w:cs="Calibri"/>
                <w:bCs/>
                <w:sz w:val="20"/>
                <w:szCs w:val="20"/>
                <w:lang w:eastAsia="es-MX"/>
              </w:rPr>
              <w:t>13,834</w:t>
            </w:r>
          </w:p>
        </w:tc>
        <w:tc>
          <w:tcPr>
            <w:tcW w:w="992" w:type="dxa"/>
            <w:shd w:val="clear" w:color="000000" w:fill="BFBFBF"/>
            <w:noWrap/>
            <w:vAlign w:val="center"/>
            <w:hideMark/>
          </w:tcPr>
          <w:p w14:paraId="6047A270" w14:textId="77777777" w:rsidR="006D148B" w:rsidRPr="004378A8" w:rsidRDefault="006D148B" w:rsidP="009E3B2F">
            <w:pPr>
              <w:spacing w:after="0" w:line="240" w:lineRule="auto"/>
              <w:jc w:val="center"/>
              <w:rPr>
                <w:rFonts w:ascii="Futura Std Condensed Light" w:eastAsia="Times New Roman" w:hAnsi="Futura Std Condensed Light" w:cs="Calibri"/>
                <w:bCs/>
                <w:sz w:val="20"/>
                <w:szCs w:val="20"/>
                <w:lang w:eastAsia="es-MX"/>
              </w:rPr>
            </w:pPr>
            <w:r w:rsidRPr="004378A8">
              <w:rPr>
                <w:rFonts w:ascii="Futura Std Condensed Light" w:eastAsia="Times New Roman" w:hAnsi="Futura Std Condensed Light" w:cs="Calibri"/>
                <w:bCs/>
                <w:sz w:val="20"/>
                <w:szCs w:val="20"/>
                <w:lang w:eastAsia="es-MX"/>
              </w:rPr>
              <w:t>24,901</w:t>
            </w:r>
          </w:p>
        </w:tc>
        <w:tc>
          <w:tcPr>
            <w:tcW w:w="1418" w:type="dxa"/>
            <w:shd w:val="clear" w:color="000000" w:fill="BFBFBF"/>
            <w:noWrap/>
            <w:vAlign w:val="center"/>
            <w:hideMark/>
          </w:tcPr>
          <w:p w14:paraId="372F909C" w14:textId="77777777" w:rsidR="006D148B" w:rsidRPr="004378A8" w:rsidRDefault="006D148B" w:rsidP="009E3B2F">
            <w:pPr>
              <w:spacing w:after="0" w:line="240" w:lineRule="auto"/>
              <w:jc w:val="center"/>
              <w:rPr>
                <w:rFonts w:ascii="Futura Std Condensed Light" w:eastAsia="Times New Roman" w:hAnsi="Futura Std Condensed Light" w:cs="Calibri"/>
                <w:bCs/>
                <w:sz w:val="20"/>
                <w:szCs w:val="20"/>
                <w:lang w:eastAsia="es-MX"/>
              </w:rPr>
            </w:pPr>
            <w:r w:rsidRPr="004378A8">
              <w:rPr>
                <w:rFonts w:ascii="Futura Std Condensed Light" w:eastAsia="Times New Roman" w:hAnsi="Futura Std Condensed Light" w:cs="Calibri"/>
                <w:bCs/>
                <w:sz w:val="20"/>
                <w:szCs w:val="20"/>
                <w:lang w:eastAsia="es-MX"/>
              </w:rPr>
              <w:t>3,266</w:t>
            </w:r>
          </w:p>
        </w:tc>
        <w:tc>
          <w:tcPr>
            <w:tcW w:w="1275" w:type="dxa"/>
            <w:shd w:val="clear" w:color="000000" w:fill="BFBFBF"/>
            <w:noWrap/>
            <w:vAlign w:val="center"/>
            <w:hideMark/>
          </w:tcPr>
          <w:p w14:paraId="36CB760E" w14:textId="77777777" w:rsidR="006D148B" w:rsidRPr="004378A8" w:rsidRDefault="006D148B" w:rsidP="009E3B2F">
            <w:pPr>
              <w:spacing w:after="0" w:line="240" w:lineRule="auto"/>
              <w:jc w:val="center"/>
              <w:rPr>
                <w:rFonts w:ascii="Futura Std Condensed Light" w:eastAsia="Times New Roman" w:hAnsi="Futura Std Condensed Light" w:cs="Calibri"/>
                <w:bCs/>
                <w:sz w:val="20"/>
                <w:szCs w:val="20"/>
                <w:lang w:eastAsia="es-MX"/>
              </w:rPr>
            </w:pPr>
            <w:r w:rsidRPr="004378A8">
              <w:rPr>
                <w:rFonts w:ascii="Futura Std Condensed Light" w:eastAsia="Times New Roman" w:hAnsi="Futura Std Condensed Light" w:cs="Calibri"/>
                <w:bCs/>
                <w:sz w:val="20"/>
                <w:szCs w:val="20"/>
                <w:lang w:eastAsia="es-MX"/>
              </w:rPr>
              <w:t>63</w:t>
            </w:r>
          </w:p>
        </w:tc>
      </w:tr>
      <w:tr w:rsidR="006D148B" w:rsidRPr="004378A8" w14:paraId="31063160" w14:textId="77777777" w:rsidTr="004378A8">
        <w:trPr>
          <w:trHeight w:val="300"/>
          <w:jc w:val="center"/>
        </w:trPr>
        <w:tc>
          <w:tcPr>
            <w:tcW w:w="2380" w:type="dxa"/>
            <w:shd w:val="clear" w:color="auto" w:fill="auto"/>
            <w:noWrap/>
            <w:vAlign w:val="center"/>
            <w:hideMark/>
          </w:tcPr>
          <w:p w14:paraId="6E8D1893" w14:textId="77777777" w:rsidR="006D148B" w:rsidRPr="004378A8" w:rsidRDefault="006D148B" w:rsidP="009E3B2F">
            <w:pPr>
              <w:spacing w:after="0" w:line="240" w:lineRule="auto"/>
              <w:rPr>
                <w:rFonts w:ascii="Futura Std Condensed Light" w:eastAsia="Times New Roman" w:hAnsi="Futura Std Condensed Light" w:cs="Calibri"/>
                <w:sz w:val="20"/>
                <w:szCs w:val="20"/>
                <w:lang w:eastAsia="es-MX"/>
              </w:rPr>
            </w:pPr>
            <w:r w:rsidRPr="004378A8">
              <w:rPr>
                <w:rFonts w:ascii="Futura Std Condensed Light" w:eastAsia="Times New Roman" w:hAnsi="Futura Std Condensed Light" w:cs="Calibri"/>
                <w:sz w:val="20"/>
                <w:szCs w:val="20"/>
                <w:lang w:eastAsia="es-MX"/>
              </w:rPr>
              <w:t>Licenciaturas y Posgrado</w:t>
            </w:r>
          </w:p>
        </w:tc>
        <w:tc>
          <w:tcPr>
            <w:tcW w:w="1164" w:type="dxa"/>
            <w:shd w:val="clear" w:color="auto" w:fill="auto"/>
            <w:noWrap/>
            <w:vAlign w:val="center"/>
            <w:hideMark/>
          </w:tcPr>
          <w:p w14:paraId="35F4C0CE" w14:textId="77777777" w:rsidR="006D148B" w:rsidRPr="004378A8" w:rsidRDefault="006D148B" w:rsidP="009E3B2F">
            <w:pPr>
              <w:spacing w:after="0" w:line="240" w:lineRule="auto"/>
              <w:jc w:val="center"/>
              <w:rPr>
                <w:rFonts w:ascii="Futura Std Condensed Light" w:eastAsia="Times New Roman" w:hAnsi="Futura Std Condensed Light" w:cs="Calibri"/>
                <w:sz w:val="20"/>
                <w:szCs w:val="20"/>
                <w:lang w:eastAsia="es-MX"/>
              </w:rPr>
            </w:pPr>
            <w:r w:rsidRPr="004378A8">
              <w:rPr>
                <w:rFonts w:ascii="Futura Std Condensed Light" w:eastAsia="Times New Roman" w:hAnsi="Futura Std Condensed Light" w:cs="Calibri"/>
                <w:sz w:val="20"/>
                <w:szCs w:val="20"/>
                <w:lang w:eastAsia="es-MX"/>
              </w:rPr>
              <w:t>11,045</w:t>
            </w:r>
          </w:p>
        </w:tc>
        <w:tc>
          <w:tcPr>
            <w:tcW w:w="1276" w:type="dxa"/>
            <w:shd w:val="clear" w:color="auto" w:fill="auto"/>
            <w:noWrap/>
            <w:vAlign w:val="center"/>
            <w:hideMark/>
          </w:tcPr>
          <w:p w14:paraId="09956CFD" w14:textId="77777777" w:rsidR="006D148B" w:rsidRPr="004378A8" w:rsidRDefault="006D148B" w:rsidP="009E3B2F">
            <w:pPr>
              <w:spacing w:after="0" w:line="240" w:lineRule="auto"/>
              <w:jc w:val="center"/>
              <w:rPr>
                <w:rFonts w:ascii="Futura Std Condensed Light" w:eastAsia="Times New Roman" w:hAnsi="Futura Std Condensed Light" w:cs="Calibri"/>
                <w:sz w:val="20"/>
                <w:szCs w:val="20"/>
                <w:lang w:eastAsia="es-MX"/>
              </w:rPr>
            </w:pPr>
            <w:r w:rsidRPr="004378A8">
              <w:rPr>
                <w:rFonts w:ascii="Futura Std Condensed Light" w:eastAsia="Times New Roman" w:hAnsi="Futura Std Condensed Light" w:cs="Calibri"/>
                <w:sz w:val="20"/>
                <w:szCs w:val="20"/>
                <w:lang w:eastAsia="es-MX"/>
              </w:rPr>
              <w:t>13,728</w:t>
            </w:r>
          </w:p>
        </w:tc>
        <w:tc>
          <w:tcPr>
            <w:tcW w:w="992" w:type="dxa"/>
            <w:shd w:val="clear" w:color="auto" w:fill="auto"/>
            <w:noWrap/>
            <w:vAlign w:val="center"/>
            <w:hideMark/>
          </w:tcPr>
          <w:p w14:paraId="4482EAB2" w14:textId="77777777" w:rsidR="006D148B" w:rsidRPr="004378A8" w:rsidRDefault="006D148B" w:rsidP="009E3B2F">
            <w:pPr>
              <w:spacing w:after="0" w:line="240" w:lineRule="auto"/>
              <w:jc w:val="center"/>
              <w:rPr>
                <w:rFonts w:ascii="Futura Std Condensed Light" w:eastAsia="Times New Roman" w:hAnsi="Futura Std Condensed Light" w:cs="Calibri"/>
                <w:sz w:val="20"/>
                <w:szCs w:val="20"/>
                <w:lang w:eastAsia="es-MX"/>
              </w:rPr>
            </w:pPr>
            <w:r w:rsidRPr="004378A8">
              <w:rPr>
                <w:rFonts w:ascii="Futura Std Condensed Light" w:eastAsia="Times New Roman" w:hAnsi="Futura Std Condensed Light" w:cs="Calibri"/>
                <w:sz w:val="20"/>
                <w:szCs w:val="20"/>
                <w:lang w:eastAsia="es-MX"/>
              </w:rPr>
              <w:t>24,773</w:t>
            </w:r>
          </w:p>
        </w:tc>
        <w:tc>
          <w:tcPr>
            <w:tcW w:w="1418" w:type="dxa"/>
            <w:shd w:val="clear" w:color="auto" w:fill="auto"/>
            <w:noWrap/>
            <w:vAlign w:val="center"/>
            <w:hideMark/>
          </w:tcPr>
          <w:p w14:paraId="6D727EC3" w14:textId="77777777" w:rsidR="006D148B" w:rsidRPr="004378A8" w:rsidRDefault="006D148B" w:rsidP="009E3B2F">
            <w:pPr>
              <w:spacing w:after="0" w:line="240" w:lineRule="auto"/>
              <w:jc w:val="center"/>
              <w:rPr>
                <w:rFonts w:ascii="Futura Std Condensed Light" w:eastAsia="Times New Roman" w:hAnsi="Futura Std Condensed Light" w:cs="Calibri"/>
                <w:sz w:val="20"/>
                <w:szCs w:val="20"/>
                <w:lang w:eastAsia="es-MX"/>
              </w:rPr>
            </w:pPr>
            <w:r w:rsidRPr="004378A8">
              <w:rPr>
                <w:rFonts w:ascii="Futura Std Condensed Light" w:eastAsia="Times New Roman" w:hAnsi="Futura Std Condensed Light" w:cs="Calibri"/>
                <w:sz w:val="20"/>
                <w:szCs w:val="20"/>
                <w:lang w:eastAsia="es-MX"/>
              </w:rPr>
              <w:t>3,220</w:t>
            </w:r>
          </w:p>
        </w:tc>
        <w:tc>
          <w:tcPr>
            <w:tcW w:w="1275" w:type="dxa"/>
            <w:shd w:val="clear" w:color="auto" w:fill="auto"/>
            <w:noWrap/>
            <w:vAlign w:val="center"/>
            <w:hideMark/>
          </w:tcPr>
          <w:p w14:paraId="5C75DF59" w14:textId="77777777" w:rsidR="006D148B" w:rsidRPr="004378A8" w:rsidRDefault="006D148B" w:rsidP="009E3B2F">
            <w:pPr>
              <w:spacing w:after="0" w:line="240" w:lineRule="auto"/>
              <w:jc w:val="center"/>
              <w:rPr>
                <w:rFonts w:ascii="Futura Std Condensed Light" w:eastAsia="Times New Roman" w:hAnsi="Futura Std Condensed Light" w:cs="Calibri"/>
                <w:sz w:val="20"/>
                <w:szCs w:val="20"/>
                <w:lang w:eastAsia="es-MX"/>
              </w:rPr>
            </w:pPr>
            <w:r w:rsidRPr="004378A8">
              <w:rPr>
                <w:rFonts w:ascii="Futura Std Condensed Light" w:eastAsia="Times New Roman" w:hAnsi="Futura Std Condensed Light" w:cs="Calibri"/>
                <w:sz w:val="20"/>
                <w:szCs w:val="20"/>
                <w:lang w:eastAsia="es-MX"/>
              </w:rPr>
              <w:t>60</w:t>
            </w:r>
          </w:p>
        </w:tc>
      </w:tr>
      <w:tr w:rsidR="006D148B" w:rsidRPr="004378A8" w14:paraId="61C4BDEF" w14:textId="77777777" w:rsidTr="004378A8">
        <w:trPr>
          <w:trHeight w:val="300"/>
          <w:jc w:val="center"/>
        </w:trPr>
        <w:tc>
          <w:tcPr>
            <w:tcW w:w="2380" w:type="dxa"/>
            <w:shd w:val="clear" w:color="auto" w:fill="auto"/>
            <w:noWrap/>
            <w:vAlign w:val="center"/>
            <w:hideMark/>
          </w:tcPr>
          <w:p w14:paraId="55A0F3C2" w14:textId="77777777" w:rsidR="006D148B" w:rsidRPr="004378A8" w:rsidRDefault="006D148B" w:rsidP="009E3B2F">
            <w:pPr>
              <w:spacing w:after="0" w:line="240" w:lineRule="auto"/>
              <w:rPr>
                <w:rFonts w:ascii="Futura Std Condensed Light" w:eastAsia="Times New Roman" w:hAnsi="Futura Std Condensed Light" w:cs="Calibri"/>
                <w:sz w:val="20"/>
                <w:szCs w:val="20"/>
                <w:lang w:eastAsia="es-MX"/>
              </w:rPr>
            </w:pPr>
            <w:r w:rsidRPr="004378A8">
              <w:rPr>
                <w:rFonts w:ascii="Futura Std Condensed Light" w:eastAsia="Times New Roman" w:hAnsi="Futura Std Condensed Light" w:cs="Calibri"/>
                <w:sz w:val="20"/>
                <w:szCs w:val="20"/>
                <w:lang w:eastAsia="es-MX"/>
              </w:rPr>
              <w:t>Normales</w:t>
            </w:r>
          </w:p>
        </w:tc>
        <w:tc>
          <w:tcPr>
            <w:tcW w:w="1164" w:type="dxa"/>
            <w:shd w:val="clear" w:color="auto" w:fill="auto"/>
            <w:noWrap/>
            <w:vAlign w:val="center"/>
            <w:hideMark/>
          </w:tcPr>
          <w:p w14:paraId="1AB4490C" w14:textId="77777777" w:rsidR="006D148B" w:rsidRPr="004378A8" w:rsidRDefault="006D148B" w:rsidP="009E3B2F">
            <w:pPr>
              <w:spacing w:after="0" w:line="240" w:lineRule="auto"/>
              <w:jc w:val="center"/>
              <w:rPr>
                <w:rFonts w:ascii="Futura Std Condensed Light" w:eastAsia="Times New Roman" w:hAnsi="Futura Std Condensed Light" w:cs="Calibri"/>
                <w:sz w:val="20"/>
                <w:szCs w:val="20"/>
                <w:lang w:eastAsia="es-MX"/>
              </w:rPr>
            </w:pPr>
            <w:r w:rsidRPr="004378A8">
              <w:rPr>
                <w:rFonts w:ascii="Futura Std Condensed Light" w:eastAsia="Times New Roman" w:hAnsi="Futura Std Condensed Light" w:cs="Calibri"/>
                <w:sz w:val="20"/>
                <w:szCs w:val="20"/>
                <w:lang w:eastAsia="es-MX"/>
              </w:rPr>
              <w:t>22</w:t>
            </w:r>
          </w:p>
        </w:tc>
        <w:tc>
          <w:tcPr>
            <w:tcW w:w="1276" w:type="dxa"/>
            <w:shd w:val="clear" w:color="auto" w:fill="auto"/>
            <w:noWrap/>
            <w:vAlign w:val="center"/>
            <w:hideMark/>
          </w:tcPr>
          <w:p w14:paraId="11631699" w14:textId="77777777" w:rsidR="006D148B" w:rsidRPr="004378A8" w:rsidRDefault="006D148B" w:rsidP="009E3B2F">
            <w:pPr>
              <w:spacing w:after="0" w:line="240" w:lineRule="auto"/>
              <w:jc w:val="center"/>
              <w:rPr>
                <w:rFonts w:ascii="Futura Std Condensed Light" w:eastAsia="Times New Roman" w:hAnsi="Futura Std Condensed Light" w:cs="Calibri"/>
                <w:sz w:val="20"/>
                <w:szCs w:val="20"/>
                <w:lang w:eastAsia="es-MX"/>
              </w:rPr>
            </w:pPr>
            <w:r w:rsidRPr="004378A8">
              <w:rPr>
                <w:rFonts w:ascii="Futura Std Condensed Light" w:eastAsia="Times New Roman" w:hAnsi="Futura Std Condensed Light" w:cs="Calibri"/>
                <w:sz w:val="20"/>
                <w:szCs w:val="20"/>
                <w:lang w:eastAsia="es-MX"/>
              </w:rPr>
              <w:t>106</w:t>
            </w:r>
          </w:p>
        </w:tc>
        <w:tc>
          <w:tcPr>
            <w:tcW w:w="992" w:type="dxa"/>
            <w:shd w:val="clear" w:color="auto" w:fill="auto"/>
            <w:noWrap/>
            <w:vAlign w:val="center"/>
            <w:hideMark/>
          </w:tcPr>
          <w:p w14:paraId="216698C4" w14:textId="77777777" w:rsidR="006D148B" w:rsidRPr="004378A8" w:rsidRDefault="006D148B" w:rsidP="009E3B2F">
            <w:pPr>
              <w:spacing w:after="0" w:line="240" w:lineRule="auto"/>
              <w:jc w:val="center"/>
              <w:rPr>
                <w:rFonts w:ascii="Futura Std Condensed Light" w:eastAsia="Times New Roman" w:hAnsi="Futura Std Condensed Light" w:cs="Calibri"/>
                <w:sz w:val="20"/>
                <w:szCs w:val="20"/>
                <w:lang w:eastAsia="es-MX"/>
              </w:rPr>
            </w:pPr>
            <w:r w:rsidRPr="004378A8">
              <w:rPr>
                <w:rFonts w:ascii="Futura Std Condensed Light" w:eastAsia="Times New Roman" w:hAnsi="Futura Std Condensed Light" w:cs="Calibri"/>
                <w:sz w:val="20"/>
                <w:szCs w:val="20"/>
                <w:lang w:eastAsia="es-MX"/>
              </w:rPr>
              <w:t>128</w:t>
            </w:r>
          </w:p>
        </w:tc>
        <w:tc>
          <w:tcPr>
            <w:tcW w:w="1418" w:type="dxa"/>
            <w:shd w:val="clear" w:color="auto" w:fill="auto"/>
            <w:noWrap/>
            <w:vAlign w:val="center"/>
            <w:hideMark/>
          </w:tcPr>
          <w:p w14:paraId="77FF5EFB" w14:textId="77777777" w:rsidR="006D148B" w:rsidRPr="004378A8" w:rsidRDefault="006D148B" w:rsidP="009E3B2F">
            <w:pPr>
              <w:spacing w:after="0" w:line="240" w:lineRule="auto"/>
              <w:jc w:val="center"/>
              <w:rPr>
                <w:rFonts w:ascii="Futura Std Condensed Light" w:eastAsia="Times New Roman" w:hAnsi="Futura Std Condensed Light" w:cs="Calibri"/>
                <w:sz w:val="20"/>
                <w:szCs w:val="20"/>
                <w:lang w:eastAsia="es-MX"/>
              </w:rPr>
            </w:pPr>
            <w:r w:rsidRPr="004378A8">
              <w:rPr>
                <w:rFonts w:ascii="Futura Std Condensed Light" w:eastAsia="Times New Roman" w:hAnsi="Futura Std Condensed Light" w:cs="Calibri"/>
                <w:sz w:val="20"/>
                <w:szCs w:val="20"/>
                <w:lang w:eastAsia="es-MX"/>
              </w:rPr>
              <w:t>46</w:t>
            </w:r>
          </w:p>
        </w:tc>
        <w:tc>
          <w:tcPr>
            <w:tcW w:w="1275" w:type="dxa"/>
            <w:shd w:val="clear" w:color="auto" w:fill="auto"/>
            <w:noWrap/>
            <w:vAlign w:val="center"/>
            <w:hideMark/>
          </w:tcPr>
          <w:p w14:paraId="1AEBC3D7" w14:textId="77777777" w:rsidR="006D148B" w:rsidRPr="004378A8" w:rsidRDefault="006D148B" w:rsidP="009E3B2F">
            <w:pPr>
              <w:spacing w:after="0" w:line="240" w:lineRule="auto"/>
              <w:jc w:val="center"/>
              <w:rPr>
                <w:rFonts w:ascii="Futura Std Condensed Light" w:eastAsia="Times New Roman" w:hAnsi="Futura Std Condensed Light" w:cs="Calibri"/>
                <w:sz w:val="20"/>
                <w:szCs w:val="20"/>
                <w:lang w:eastAsia="es-MX"/>
              </w:rPr>
            </w:pPr>
            <w:r w:rsidRPr="004378A8">
              <w:rPr>
                <w:rFonts w:ascii="Futura Std Condensed Light" w:eastAsia="Times New Roman" w:hAnsi="Futura Std Condensed Light" w:cs="Calibri"/>
                <w:sz w:val="20"/>
                <w:szCs w:val="20"/>
                <w:lang w:eastAsia="es-MX"/>
              </w:rPr>
              <w:t>3</w:t>
            </w:r>
          </w:p>
        </w:tc>
      </w:tr>
      <w:tr w:rsidR="006D148B" w:rsidRPr="00D241CD" w14:paraId="10D43D79" w14:textId="77777777" w:rsidTr="004378A8">
        <w:trPr>
          <w:trHeight w:val="402"/>
          <w:jc w:val="center"/>
        </w:trPr>
        <w:tc>
          <w:tcPr>
            <w:tcW w:w="2380" w:type="dxa"/>
            <w:shd w:val="clear" w:color="auto" w:fill="auto"/>
            <w:noWrap/>
            <w:vAlign w:val="center"/>
            <w:hideMark/>
          </w:tcPr>
          <w:p w14:paraId="53B767D1" w14:textId="20C0742A" w:rsidR="006D148B" w:rsidRPr="00D241CD" w:rsidRDefault="00AC4CE6" w:rsidP="009E3B2F">
            <w:pPr>
              <w:spacing w:after="0" w:line="240" w:lineRule="auto"/>
              <w:rPr>
                <w:rFonts w:ascii="Futura Std Condensed Light" w:eastAsia="Times New Roman" w:hAnsi="Futura Std Condensed Light" w:cs="Calibri"/>
                <w:b/>
                <w:bCs/>
                <w:sz w:val="20"/>
                <w:szCs w:val="20"/>
                <w:lang w:eastAsia="es-MX"/>
              </w:rPr>
            </w:pPr>
            <w:r w:rsidRPr="00D241CD">
              <w:rPr>
                <w:rFonts w:ascii="Futura Std Condensed Light" w:eastAsia="Times New Roman" w:hAnsi="Futura Std Condensed Light" w:cs="Calibri"/>
                <w:b/>
                <w:bCs/>
                <w:sz w:val="20"/>
                <w:szCs w:val="20"/>
                <w:lang w:eastAsia="es-MX"/>
              </w:rPr>
              <w:t>Total</w:t>
            </w:r>
          </w:p>
        </w:tc>
        <w:tc>
          <w:tcPr>
            <w:tcW w:w="1164" w:type="dxa"/>
            <w:shd w:val="clear" w:color="auto" w:fill="auto"/>
            <w:noWrap/>
            <w:vAlign w:val="center"/>
            <w:hideMark/>
          </w:tcPr>
          <w:p w14:paraId="3E16AFA4" w14:textId="77777777" w:rsidR="006D148B" w:rsidRPr="00D241CD" w:rsidRDefault="006D148B" w:rsidP="009E3B2F">
            <w:pPr>
              <w:spacing w:after="0" w:line="240" w:lineRule="auto"/>
              <w:jc w:val="center"/>
              <w:rPr>
                <w:rFonts w:ascii="Futura Std Condensed Light" w:eastAsia="Times New Roman" w:hAnsi="Futura Std Condensed Light" w:cs="Calibri"/>
                <w:b/>
                <w:bCs/>
                <w:sz w:val="20"/>
                <w:szCs w:val="20"/>
                <w:lang w:eastAsia="es-MX"/>
              </w:rPr>
            </w:pPr>
            <w:r w:rsidRPr="00D241CD">
              <w:rPr>
                <w:rFonts w:ascii="Futura Std Condensed Light" w:eastAsia="Times New Roman" w:hAnsi="Futura Std Condensed Light" w:cs="Calibri"/>
                <w:b/>
                <w:bCs/>
                <w:sz w:val="20"/>
                <w:szCs w:val="20"/>
                <w:lang w:eastAsia="es-MX"/>
              </w:rPr>
              <w:t>25,390</w:t>
            </w:r>
          </w:p>
        </w:tc>
        <w:tc>
          <w:tcPr>
            <w:tcW w:w="1276" w:type="dxa"/>
            <w:shd w:val="clear" w:color="auto" w:fill="auto"/>
            <w:noWrap/>
            <w:vAlign w:val="center"/>
            <w:hideMark/>
          </w:tcPr>
          <w:p w14:paraId="075D03F1" w14:textId="77777777" w:rsidR="006D148B" w:rsidRPr="00D241CD" w:rsidRDefault="006D148B" w:rsidP="009E3B2F">
            <w:pPr>
              <w:spacing w:after="0" w:line="240" w:lineRule="auto"/>
              <w:jc w:val="center"/>
              <w:rPr>
                <w:rFonts w:ascii="Futura Std Condensed Light" w:eastAsia="Times New Roman" w:hAnsi="Futura Std Condensed Light" w:cs="Calibri"/>
                <w:b/>
                <w:bCs/>
                <w:sz w:val="20"/>
                <w:szCs w:val="20"/>
                <w:lang w:eastAsia="es-MX"/>
              </w:rPr>
            </w:pPr>
            <w:r w:rsidRPr="00D241CD">
              <w:rPr>
                <w:rFonts w:ascii="Futura Std Condensed Light" w:eastAsia="Times New Roman" w:hAnsi="Futura Std Condensed Light" w:cs="Calibri"/>
                <w:b/>
                <w:bCs/>
                <w:sz w:val="20"/>
                <w:szCs w:val="20"/>
                <w:lang w:eastAsia="es-MX"/>
              </w:rPr>
              <w:t>26,818</w:t>
            </w:r>
          </w:p>
        </w:tc>
        <w:tc>
          <w:tcPr>
            <w:tcW w:w="992" w:type="dxa"/>
            <w:shd w:val="clear" w:color="auto" w:fill="auto"/>
            <w:noWrap/>
            <w:vAlign w:val="center"/>
            <w:hideMark/>
          </w:tcPr>
          <w:p w14:paraId="166CF478" w14:textId="77777777" w:rsidR="006D148B" w:rsidRPr="00D241CD" w:rsidRDefault="006D148B" w:rsidP="009E3B2F">
            <w:pPr>
              <w:spacing w:after="0" w:line="240" w:lineRule="auto"/>
              <w:jc w:val="center"/>
              <w:rPr>
                <w:rFonts w:ascii="Futura Std Condensed Light" w:eastAsia="Times New Roman" w:hAnsi="Futura Std Condensed Light" w:cs="Calibri"/>
                <w:b/>
                <w:bCs/>
                <w:sz w:val="20"/>
                <w:szCs w:val="20"/>
                <w:lang w:eastAsia="es-MX"/>
              </w:rPr>
            </w:pPr>
            <w:r w:rsidRPr="00D241CD">
              <w:rPr>
                <w:rFonts w:ascii="Futura Std Condensed Light" w:eastAsia="Times New Roman" w:hAnsi="Futura Std Condensed Light" w:cs="Calibri"/>
                <w:b/>
                <w:bCs/>
                <w:sz w:val="20"/>
                <w:szCs w:val="20"/>
                <w:lang w:eastAsia="es-MX"/>
              </w:rPr>
              <w:t>52,208</w:t>
            </w:r>
          </w:p>
        </w:tc>
        <w:tc>
          <w:tcPr>
            <w:tcW w:w="1418" w:type="dxa"/>
            <w:shd w:val="clear" w:color="auto" w:fill="auto"/>
            <w:noWrap/>
            <w:vAlign w:val="center"/>
            <w:hideMark/>
          </w:tcPr>
          <w:p w14:paraId="6CEB50BF" w14:textId="77777777" w:rsidR="006D148B" w:rsidRPr="00D241CD" w:rsidRDefault="006D148B" w:rsidP="009E3B2F">
            <w:pPr>
              <w:spacing w:after="0" w:line="240" w:lineRule="auto"/>
              <w:jc w:val="center"/>
              <w:rPr>
                <w:rFonts w:ascii="Futura Std Condensed Light" w:eastAsia="Times New Roman" w:hAnsi="Futura Std Condensed Light" w:cs="Calibri"/>
                <w:b/>
                <w:bCs/>
                <w:sz w:val="20"/>
                <w:szCs w:val="20"/>
                <w:lang w:eastAsia="es-MX"/>
              </w:rPr>
            </w:pPr>
            <w:r w:rsidRPr="00D241CD">
              <w:rPr>
                <w:rFonts w:ascii="Futura Std Condensed Light" w:eastAsia="Times New Roman" w:hAnsi="Futura Std Condensed Light" w:cs="Calibri"/>
                <w:b/>
                <w:bCs/>
                <w:sz w:val="20"/>
                <w:szCs w:val="20"/>
                <w:lang w:eastAsia="es-MX"/>
              </w:rPr>
              <w:t>5,603</w:t>
            </w:r>
          </w:p>
        </w:tc>
        <w:tc>
          <w:tcPr>
            <w:tcW w:w="1275" w:type="dxa"/>
            <w:shd w:val="clear" w:color="auto" w:fill="auto"/>
            <w:noWrap/>
            <w:vAlign w:val="center"/>
            <w:hideMark/>
          </w:tcPr>
          <w:p w14:paraId="1A858F39" w14:textId="77777777" w:rsidR="006D148B" w:rsidRPr="00D241CD" w:rsidRDefault="006D148B" w:rsidP="009E3B2F">
            <w:pPr>
              <w:spacing w:after="0" w:line="240" w:lineRule="auto"/>
              <w:jc w:val="center"/>
              <w:rPr>
                <w:rFonts w:ascii="Futura Std Condensed Light" w:eastAsia="Times New Roman" w:hAnsi="Futura Std Condensed Light" w:cs="Calibri"/>
                <w:b/>
                <w:bCs/>
                <w:sz w:val="20"/>
                <w:szCs w:val="20"/>
                <w:lang w:eastAsia="es-MX"/>
              </w:rPr>
            </w:pPr>
            <w:r w:rsidRPr="00D241CD">
              <w:rPr>
                <w:rFonts w:ascii="Futura Std Condensed Light" w:eastAsia="Times New Roman" w:hAnsi="Futura Std Condensed Light" w:cs="Calibri"/>
                <w:b/>
                <w:bCs/>
                <w:sz w:val="20"/>
                <w:szCs w:val="20"/>
                <w:lang w:eastAsia="es-MX"/>
              </w:rPr>
              <w:t>92</w:t>
            </w:r>
          </w:p>
        </w:tc>
      </w:tr>
    </w:tbl>
    <w:p w14:paraId="3947148A" w14:textId="77777777" w:rsidR="006D148B" w:rsidRPr="00B01B60" w:rsidRDefault="006D148B" w:rsidP="006D148B">
      <w:pPr>
        <w:spacing w:after="0"/>
        <w:rPr>
          <w:rFonts w:ascii="Futura Bk BT" w:hAnsi="Futura Bk BT"/>
          <w:sz w:val="16"/>
          <w:szCs w:val="16"/>
        </w:rPr>
      </w:pPr>
    </w:p>
    <w:p w14:paraId="76EBB3D8" w14:textId="77777777" w:rsidR="006D148B" w:rsidRPr="00F319D7" w:rsidRDefault="006D148B" w:rsidP="006D148B">
      <w:pPr>
        <w:spacing w:after="0"/>
        <w:jc w:val="center"/>
        <w:rPr>
          <w:rFonts w:ascii="Futura Bk BT" w:hAnsi="Futura Bk BT"/>
        </w:rPr>
      </w:pPr>
      <w:r w:rsidRPr="000E1464">
        <w:rPr>
          <w:rFonts w:ascii="Futura Bk BT" w:hAnsi="Futura Bk BT"/>
          <w:b/>
          <w:sz w:val="16"/>
          <w:szCs w:val="16"/>
        </w:rPr>
        <w:t>Fuente:</w:t>
      </w:r>
      <w:r w:rsidRPr="00C124B2">
        <w:rPr>
          <w:rFonts w:ascii="Futura Bk BT" w:hAnsi="Futura Bk BT"/>
          <w:sz w:val="16"/>
          <w:szCs w:val="16"/>
        </w:rPr>
        <w:t xml:space="preserve"> Estadísticas continúas del forma</w:t>
      </w:r>
      <w:r>
        <w:rPr>
          <w:rFonts w:ascii="Futura Bk BT" w:hAnsi="Futura Bk BT"/>
          <w:sz w:val="16"/>
          <w:szCs w:val="16"/>
        </w:rPr>
        <w:t>to 911 (inicio de ciclo escolar 2020)</w:t>
      </w:r>
      <w:r w:rsidRPr="00C124B2">
        <w:rPr>
          <w:rFonts w:ascii="Futura Bk BT" w:hAnsi="Futura Bk BT"/>
          <w:sz w:val="16"/>
          <w:szCs w:val="16"/>
        </w:rPr>
        <w:t>, SEQ.</w:t>
      </w:r>
    </w:p>
    <w:p w14:paraId="0BAFAAC1" w14:textId="77777777" w:rsidR="00223DCC" w:rsidRPr="00BB0769" w:rsidRDefault="00223DCC" w:rsidP="006D148B">
      <w:pPr>
        <w:spacing w:after="0"/>
        <w:rPr>
          <w:rFonts w:ascii="Futura Bk BT" w:hAnsi="Futura Bk BT"/>
          <w:b/>
        </w:rPr>
      </w:pPr>
    </w:p>
    <w:p w14:paraId="60D00178" w14:textId="77777777" w:rsidR="00923758" w:rsidRDefault="00923758">
      <w:pPr>
        <w:spacing w:after="0" w:line="240" w:lineRule="auto"/>
        <w:jc w:val="left"/>
        <w:rPr>
          <w:rFonts w:eastAsia="Times New Roman" w:cs="Futura"/>
          <w:b/>
        </w:rPr>
      </w:pPr>
      <w:r>
        <w:rPr>
          <w:rFonts w:eastAsia="Times New Roman" w:cs="Futura"/>
          <w:b/>
        </w:rPr>
        <w:br w:type="page"/>
      </w:r>
    </w:p>
    <w:p w14:paraId="21C45796" w14:textId="62F15ED5" w:rsidR="006D148B" w:rsidRPr="00BB0769" w:rsidRDefault="006D148B" w:rsidP="006D148B">
      <w:pPr>
        <w:spacing w:after="0"/>
        <w:rPr>
          <w:rFonts w:eastAsia="Times New Roman" w:cs="Futura"/>
          <w:b/>
        </w:rPr>
      </w:pPr>
      <w:r w:rsidRPr="00BB0769">
        <w:rPr>
          <w:rFonts w:eastAsia="Times New Roman" w:cs="Futura"/>
          <w:b/>
        </w:rPr>
        <w:lastRenderedPageBreak/>
        <w:t>Atención a la demanda de educación superior (cobertura)</w:t>
      </w:r>
    </w:p>
    <w:p w14:paraId="0460DE2D" w14:textId="77777777" w:rsidR="006D148B" w:rsidRPr="00BB0769" w:rsidRDefault="006D148B" w:rsidP="006D148B">
      <w:pPr>
        <w:spacing w:after="0"/>
        <w:rPr>
          <w:rFonts w:eastAsia="Times New Roman" w:cs="Futura"/>
        </w:rPr>
      </w:pPr>
    </w:p>
    <w:p w14:paraId="36DE0991" w14:textId="271817AF" w:rsidR="00196607" w:rsidRDefault="006D148B" w:rsidP="00C21D76">
      <w:pPr>
        <w:rPr>
          <w:rFonts w:eastAsia="Times New Roman" w:cs="Futura"/>
        </w:rPr>
      </w:pPr>
      <w:r w:rsidRPr="00BB0769">
        <w:rPr>
          <w:rFonts w:eastAsia="Times New Roman" w:cs="Futura"/>
        </w:rPr>
        <w:t xml:space="preserve">La cobertura del nivel superior en el ciclo escolar 2018-2019 fue de 30.4 por ciento de la población </w:t>
      </w:r>
      <w:r>
        <w:rPr>
          <w:rFonts w:eastAsia="Times New Roman" w:cs="Futura"/>
        </w:rPr>
        <w:t xml:space="preserve">estatal </w:t>
      </w:r>
      <w:r w:rsidRPr="00BB0769">
        <w:rPr>
          <w:rFonts w:eastAsia="Times New Roman" w:cs="Futura"/>
        </w:rPr>
        <w:t>en edad de 18 a 22 años</w:t>
      </w:r>
      <w:r>
        <w:rPr>
          <w:rFonts w:eastAsia="Times New Roman" w:cs="Futura"/>
        </w:rPr>
        <w:t xml:space="preserve"> y a nivel nacional fue de 33.9 por ciento</w:t>
      </w:r>
      <w:r w:rsidRPr="00BB0769">
        <w:rPr>
          <w:rFonts w:eastAsia="Times New Roman" w:cs="Futura"/>
        </w:rPr>
        <w:t>, en el ciclo 2019-2020 la cobertura fue de 31.8 por ciento, un incremento de 1.4 puntos porcentuales con relación al ciclo escolar anterior, situándonos en 3.1 puntos porcentuales por debajo de la media nacional que fue de 34.9 por ciento. La atención a la demanda en el nivel superior la determina la disponibilidad de espacios educativos, debido a la insuficiente infraestructura para la atención</w:t>
      </w:r>
      <w:r>
        <w:rPr>
          <w:rFonts w:eastAsia="Times New Roman" w:cs="Futura"/>
        </w:rPr>
        <w:t xml:space="preserve"> de la demanda real. (Gráfica 8</w:t>
      </w:r>
      <w:r w:rsidRPr="00BB0769">
        <w:rPr>
          <w:rFonts w:eastAsia="Times New Roman" w:cs="Futura"/>
        </w:rPr>
        <w:t>).</w:t>
      </w:r>
    </w:p>
    <w:p w14:paraId="182AF912" w14:textId="77777777" w:rsidR="006D148B" w:rsidRPr="00BB0769" w:rsidRDefault="006D148B" w:rsidP="006D148B">
      <w:pPr>
        <w:spacing w:after="0"/>
        <w:jc w:val="center"/>
        <w:rPr>
          <w:b/>
          <w:color w:val="4BACC6" w:themeColor="accent5"/>
        </w:rPr>
      </w:pPr>
      <w:r w:rsidRPr="00BB0769">
        <w:rPr>
          <w:b/>
          <w:color w:val="4BACC6" w:themeColor="accent5"/>
        </w:rPr>
        <w:t>Gráfica</w:t>
      </w:r>
      <w:r>
        <w:rPr>
          <w:b/>
          <w:color w:val="4BACC6" w:themeColor="accent5"/>
        </w:rPr>
        <w:t xml:space="preserve"> 8</w:t>
      </w:r>
      <w:r w:rsidRPr="00BB0769">
        <w:rPr>
          <w:b/>
          <w:color w:val="4BACC6" w:themeColor="accent5"/>
        </w:rPr>
        <w:t xml:space="preserve">. Cobertura de educación superior, </w:t>
      </w:r>
      <w:r>
        <w:rPr>
          <w:b/>
          <w:color w:val="4BACC6" w:themeColor="accent5"/>
        </w:rPr>
        <w:t xml:space="preserve">comparativo </w:t>
      </w:r>
      <w:r w:rsidRPr="00BB0769">
        <w:rPr>
          <w:b/>
          <w:color w:val="4BACC6" w:themeColor="accent5"/>
        </w:rPr>
        <w:t>estatal y nacional</w:t>
      </w:r>
    </w:p>
    <w:p w14:paraId="43A1DDF0" w14:textId="77777777" w:rsidR="006D148B" w:rsidRPr="00F319D7" w:rsidRDefault="006D148B" w:rsidP="006D148B">
      <w:pPr>
        <w:spacing w:after="0"/>
        <w:jc w:val="center"/>
        <w:rPr>
          <w:b/>
          <w:color w:val="4BACC6" w:themeColor="accent5"/>
        </w:rPr>
      </w:pPr>
      <w:r w:rsidRPr="00BB0769">
        <w:rPr>
          <w:b/>
          <w:color w:val="4BACC6" w:themeColor="accent5"/>
        </w:rPr>
        <w:t>Cicl</w:t>
      </w:r>
      <w:r>
        <w:rPr>
          <w:b/>
          <w:color w:val="4BACC6" w:themeColor="accent5"/>
        </w:rPr>
        <w:t>o escolar 2018-2019 y 2019-2020</w:t>
      </w:r>
    </w:p>
    <w:p w14:paraId="33CC1515" w14:textId="77777777" w:rsidR="006D148B" w:rsidRDefault="006D148B" w:rsidP="006D148B">
      <w:pPr>
        <w:spacing w:after="0"/>
        <w:rPr>
          <w:rFonts w:ascii="Futura Bk BT" w:hAnsi="Futura Bk BT"/>
        </w:rPr>
      </w:pPr>
      <w:r>
        <w:rPr>
          <w:noProof/>
          <w:lang w:val="es-MX" w:eastAsia="es-MX"/>
        </w:rPr>
        <w:drawing>
          <wp:anchor distT="0" distB="0" distL="114300" distR="114300" simplePos="0" relativeHeight="251700224" behindDoc="0" locked="0" layoutInCell="1" allowOverlap="1" wp14:anchorId="4CC16C17" wp14:editId="335C7B4F">
            <wp:simplePos x="0" y="0"/>
            <wp:positionH relativeFrom="column">
              <wp:align>center</wp:align>
            </wp:positionH>
            <wp:positionV relativeFrom="paragraph">
              <wp:posOffset>100965</wp:posOffset>
            </wp:positionV>
            <wp:extent cx="4885200" cy="2228400"/>
            <wp:effectExtent l="0" t="0" r="0" b="635"/>
            <wp:wrapSquare wrapText="bothSides"/>
            <wp:docPr id="14" name="Grá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p>
    <w:p w14:paraId="375198C0" w14:textId="77777777" w:rsidR="006D148B" w:rsidRDefault="006D148B" w:rsidP="006D148B">
      <w:pPr>
        <w:spacing w:after="0"/>
        <w:rPr>
          <w:rFonts w:ascii="Futura Bk BT" w:hAnsi="Futura Bk BT"/>
        </w:rPr>
      </w:pPr>
    </w:p>
    <w:p w14:paraId="505DDA96" w14:textId="77777777" w:rsidR="006D148B" w:rsidRDefault="006D148B" w:rsidP="006D148B">
      <w:pPr>
        <w:spacing w:after="0"/>
        <w:rPr>
          <w:rFonts w:ascii="Futura Bk BT" w:hAnsi="Futura Bk BT"/>
        </w:rPr>
      </w:pPr>
    </w:p>
    <w:p w14:paraId="3B97885B" w14:textId="77777777" w:rsidR="006D148B" w:rsidRDefault="006D148B" w:rsidP="006D148B">
      <w:pPr>
        <w:spacing w:after="0"/>
        <w:rPr>
          <w:rFonts w:ascii="Futura Bk BT" w:hAnsi="Futura Bk BT"/>
        </w:rPr>
      </w:pPr>
    </w:p>
    <w:p w14:paraId="3F56D90F" w14:textId="77777777" w:rsidR="006D148B" w:rsidRDefault="006D148B" w:rsidP="006D148B">
      <w:pPr>
        <w:spacing w:after="0"/>
        <w:rPr>
          <w:rFonts w:ascii="Futura Bk BT" w:hAnsi="Futura Bk BT"/>
        </w:rPr>
      </w:pPr>
    </w:p>
    <w:p w14:paraId="01D1F1AA" w14:textId="77777777" w:rsidR="006D148B" w:rsidRDefault="006D148B" w:rsidP="006D148B">
      <w:pPr>
        <w:spacing w:after="0"/>
        <w:rPr>
          <w:rFonts w:ascii="Futura Bk BT" w:hAnsi="Futura Bk BT"/>
        </w:rPr>
      </w:pPr>
    </w:p>
    <w:p w14:paraId="6E30B8BC" w14:textId="77777777" w:rsidR="006D148B" w:rsidRDefault="006D148B" w:rsidP="006D148B">
      <w:pPr>
        <w:spacing w:after="0"/>
        <w:rPr>
          <w:rFonts w:ascii="Futura Bk BT" w:hAnsi="Futura Bk BT"/>
        </w:rPr>
      </w:pPr>
    </w:p>
    <w:p w14:paraId="5E2BE40E" w14:textId="77777777" w:rsidR="006D148B" w:rsidRPr="00D226FB" w:rsidRDefault="006D148B" w:rsidP="006D148B">
      <w:pPr>
        <w:spacing w:after="0"/>
        <w:rPr>
          <w:rFonts w:ascii="Futura Bk BT" w:hAnsi="Futura Bk BT"/>
          <w:sz w:val="16"/>
          <w:szCs w:val="16"/>
        </w:rPr>
      </w:pPr>
    </w:p>
    <w:p w14:paraId="54D8E33F" w14:textId="77777777" w:rsidR="006D148B" w:rsidRDefault="006D148B" w:rsidP="006D148B">
      <w:pPr>
        <w:spacing w:after="0"/>
        <w:rPr>
          <w:rFonts w:ascii="Futura Bk BT" w:hAnsi="Futura Bk BT"/>
          <w:b/>
          <w:sz w:val="16"/>
          <w:szCs w:val="16"/>
        </w:rPr>
      </w:pPr>
    </w:p>
    <w:p w14:paraId="1F92D2E3" w14:textId="77777777" w:rsidR="006D148B" w:rsidRDefault="006D148B" w:rsidP="006D148B">
      <w:pPr>
        <w:spacing w:after="0"/>
        <w:rPr>
          <w:rFonts w:ascii="Futura Bk BT" w:hAnsi="Futura Bk BT"/>
          <w:b/>
          <w:sz w:val="16"/>
          <w:szCs w:val="16"/>
        </w:rPr>
      </w:pPr>
    </w:p>
    <w:p w14:paraId="5EB110A0" w14:textId="77777777" w:rsidR="006D148B" w:rsidRDefault="006D148B" w:rsidP="006D148B">
      <w:pPr>
        <w:spacing w:after="0"/>
        <w:rPr>
          <w:rFonts w:ascii="Futura Bk BT" w:hAnsi="Futura Bk BT"/>
          <w:b/>
          <w:sz w:val="16"/>
          <w:szCs w:val="16"/>
        </w:rPr>
      </w:pPr>
    </w:p>
    <w:p w14:paraId="49D7B2E0" w14:textId="77777777" w:rsidR="006D148B" w:rsidRDefault="006D148B" w:rsidP="006D148B">
      <w:pPr>
        <w:spacing w:after="0"/>
        <w:rPr>
          <w:rFonts w:ascii="Futura Bk BT" w:hAnsi="Futura Bk BT"/>
          <w:b/>
          <w:sz w:val="16"/>
          <w:szCs w:val="16"/>
        </w:rPr>
      </w:pPr>
    </w:p>
    <w:p w14:paraId="72F612AA" w14:textId="77777777" w:rsidR="006D148B" w:rsidRDefault="006D148B" w:rsidP="006D148B">
      <w:pPr>
        <w:spacing w:after="0"/>
        <w:rPr>
          <w:rFonts w:ascii="Futura Bk BT" w:hAnsi="Futura Bk BT"/>
          <w:b/>
          <w:sz w:val="16"/>
          <w:szCs w:val="16"/>
        </w:rPr>
      </w:pPr>
    </w:p>
    <w:p w14:paraId="6536F50C" w14:textId="77777777" w:rsidR="006D148B" w:rsidRDefault="006D148B" w:rsidP="006D148B">
      <w:pPr>
        <w:spacing w:after="0"/>
        <w:rPr>
          <w:rFonts w:ascii="Futura Bk BT" w:hAnsi="Futura Bk BT" w:cstheme="minorHAnsi"/>
          <w:sz w:val="16"/>
          <w:szCs w:val="16"/>
        </w:rPr>
      </w:pPr>
      <w:r w:rsidRPr="000E1464">
        <w:rPr>
          <w:rFonts w:ascii="Futura Bk BT" w:hAnsi="Futura Bk BT"/>
          <w:b/>
          <w:sz w:val="16"/>
          <w:szCs w:val="16"/>
        </w:rPr>
        <w:t>Fuente:</w:t>
      </w:r>
      <w:r w:rsidRPr="000E1464">
        <w:rPr>
          <w:rFonts w:ascii="Futura Bk BT" w:hAnsi="Futura Bk BT"/>
          <w:sz w:val="16"/>
          <w:szCs w:val="16"/>
        </w:rPr>
        <w:t xml:space="preserve"> Estadísticas continúas del formato 911 (inicio de ciclo escolar)</w:t>
      </w:r>
      <w:r>
        <w:rPr>
          <w:rFonts w:ascii="Futura Bk BT" w:hAnsi="Futura Bk BT"/>
          <w:sz w:val="16"/>
          <w:szCs w:val="16"/>
        </w:rPr>
        <w:t xml:space="preserve"> 2018-2019 y 2019-2020</w:t>
      </w:r>
      <w:r w:rsidRPr="000E1464">
        <w:rPr>
          <w:rFonts w:ascii="Futura Bk BT" w:hAnsi="Futura Bk BT"/>
          <w:sz w:val="16"/>
          <w:szCs w:val="16"/>
        </w:rPr>
        <w:t xml:space="preserve"> </w:t>
      </w:r>
      <w:r>
        <w:rPr>
          <w:rFonts w:ascii="Futura Bk BT" w:hAnsi="Futura Bk BT"/>
          <w:sz w:val="16"/>
          <w:szCs w:val="16"/>
        </w:rPr>
        <w:t>(</w:t>
      </w:r>
      <w:r w:rsidRPr="000E1464">
        <w:rPr>
          <w:rFonts w:ascii="Futura Bk BT" w:hAnsi="Futura Bk BT"/>
          <w:sz w:val="16"/>
          <w:szCs w:val="16"/>
        </w:rPr>
        <w:t>corte al 11 de febrero de 2020</w:t>
      </w:r>
      <w:r>
        <w:rPr>
          <w:rFonts w:ascii="Futura Bk BT" w:hAnsi="Futura Bk BT"/>
          <w:sz w:val="16"/>
          <w:szCs w:val="16"/>
        </w:rPr>
        <w:t>)</w:t>
      </w:r>
      <w:r w:rsidRPr="000E1464">
        <w:rPr>
          <w:rFonts w:ascii="Futura Bk BT" w:hAnsi="Futura Bk BT"/>
          <w:sz w:val="16"/>
          <w:szCs w:val="16"/>
        </w:rPr>
        <w:t>, SEQ.</w:t>
      </w:r>
      <w:r>
        <w:rPr>
          <w:rFonts w:ascii="Futura Bk BT" w:hAnsi="Futura Bk BT"/>
          <w:sz w:val="16"/>
          <w:szCs w:val="16"/>
        </w:rPr>
        <w:t xml:space="preserve"> </w:t>
      </w:r>
      <w:r w:rsidRPr="000E1464">
        <w:rPr>
          <w:rFonts w:ascii="Futura Bk BT" w:hAnsi="Futura Bk BT" w:cstheme="minorHAnsi"/>
          <w:sz w:val="16"/>
          <w:szCs w:val="16"/>
        </w:rPr>
        <w:t xml:space="preserve">Proyecciones de la Población </w:t>
      </w:r>
      <w:r>
        <w:rPr>
          <w:rFonts w:ascii="Futura Bk BT" w:hAnsi="Futura Bk BT" w:cstheme="minorHAnsi"/>
          <w:sz w:val="16"/>
          <w:szCs w:val="16"/>
        </w:rPr>
        <w:t>por</w:t>
      </w:r>
      <w:r w:rsidRPr="000E1464">
        <w:rPr>
          <w:rFonts w:ascii="Futura Bk BT" w:hAnsi="Futura Bk BT" w:cstheme="minorHAnsi"/>
          <w:sz w:val="16"/>
          <w:szCs w:val="16"/>
        </w:rPr>
        <w:t xml:space="preserve"> </w:t>
      </w:r>
      <w:r>
        <w:rPr>
          <w:rFonts w:ascii="Futura Bk BT" w:hAnsi="Futura Bk BT" w:cstheme="minorHAnsi"/>
          <w:sz w:val="16"/>
          <w:szCs w:val="16"/>
        </w:rPr>
        <w:t>e</w:t>
      </w:r>
      <w:r w:rsidRPr="000E1464">
        <w:rPr>
          <w:rFonts w:ascii="Futura Bk BT" w:hAnsi="Futura Bk BT" w:cstheme="minorHAnsi"/>
          <w:sz w:val="16"/>
          <w:szCs w:val="16"/>
        </w:rPr>
        <w:t xml:space="preserve">ntidades </w:t>
      </w:r>
      <w:r>
        <w:rPr>
          <w:rFonts w:ascii="Futura Bk BT" w:hAnsi="Futura Bk BT" w:cstheme="minorHAnsi"/>
          <w:sz w:val="16"/>
          <w:szCs w:val="16"/>
        </w:rPr>
        <w:t>f</w:t>
      </w:r>
      <w:r w:rsidRPr="000E1464">
        <w:rPr>
          <w:rFonts w:ascii="Futura Bk BT" w:hAnsi="Futura Bk BT" w:cstheme="minorHAnsi"/>
          <w:sz w:val="16"/>
          <w:szCs w:val="16"/>
        </w:rPr>
        <w:t>ederativa, CONAPO.</w:t>
      </w:r>
    </w:p>
    <w:p w14:paraId="0863BFC7" w14:textId="77777777" w:rsidR="006D148B" w:rsidRDefault="006D148B" w:rsidP="006D148B">
      <w:pPr>
        <w:spacing w:after="0"/>
        <w:rPr>
          <w:rFonts w:ascii="Futura Bk BT" w:hAnsi="Futura Bk BT" w:cstheme="minorHAnsi"/>
          <w:sz w:val="16"/>
          <w:szCs w:val="16"/>
        </w:rPr>
      </w:pPr>
      <w:r w:rsidRPr="003216AB">
        <w:rPr>
          <w:rFonts w:ascii="Futura Bk BT" w:hAnsi="Futura Bk BT" w:cstheme="minorHAnsi"/>
          <w:b/>
          <w:sz w:val="16"/>
          <w:szCs w:val="16"/>
        </w:rPr>
        <w:t>Nota:</w:t>
      </w:r>
      <w:r>
        <w:rPr>
          <w:rFonts w:ascii="Futura Bk BT" w:hAnsi="Futura Bk BT" w:cstheme="minorHAnsi"/>
          <w:sz w:val="16"/>
          <w:szCs w:val="16"/>
        </w:rPr>
        <w:t xml:space="preserve"> La cobertura se calculó con la matrícula de educación superior sin posgrado y la población de 18 a 22 años.</w:t>
      </w:r>
    </w:p>
    <w:p w14:paraId="5A0328A1" w14:textId="77777777" w:rsidR="00E07551" w:rsidRDefault="00E07551" w:rsidP="006D148B">
      <w:pPr>
        <w:spacing w:after="0"/>
        <w:rPr>
          <w:rFonts w:eastAsia="Times New Roman" w:cs="Futura"/>
          <w:b/>
        </w:rPr>
      </w:pPr>
    </w:p>
    <w:p w14:paraId="06C8270F" w14:textId="68B099A4" w:rsidR="006D148B" w:rsidRPr="00BB0769" w:rsidRDefault="006D148B" w:rsidP="006D148B">
      <w:pPr>
        <w:spacing w:after="0"/>
        <w:rPr>
          <w:rFonts w:eastAsia="Times New Roman" w:cs="Futura"/>
          <w:b/>
        </w:rPr>
      </w:pPr>
      <w:r w:rsidRPr="00BB0769">
        <w:rPr>
          <w:rFonts w:eastAsia="Times New Roman" w:cs="Futura"/>
          <w:b/>
        </w:rPr>
        <w:t>Indicadores educativos en el nivel superior</w:t>
      </w:r>
    </w:p>
    <w:p w14:paraId="478F1A2E" w14:textId="77777777" w:rsidR="006D148B" w:rsidRPr="00BB0769" w:rsidRDefault="006D148B" w:rsidP="006D148B">
      <w:pPr>
        <w:spacing w:after="0"/>
        <w:rPr>
          <w:rFonts w:eastAsia="Times New Roman" w:cs="Futura"/>
        </w:rPr>
      </w:pPr>
    </w:p>
    <w:p w14:paraId="4EAEBA18" w14:textId="26D54E9C" w:rsidR="00913635" w:rsidRDefault="006D148B" w:rsidP="00923758">
      <w:pPr>
        <w:rPr>
          <w:rFonts w:eastAsia="Times New Roman" w:cs="Futura"/>
        </w:rPr>
      </w:pPr>
      <w:r w:rsidRPr="00BB0769">
        <w:rPr>
          <w:rFonts w:eastAsia="Times New Roman" w:cs="Futura"/>
        </w:rPr>
        <w:t>En el ciclo escolar 2018-2019 la absorción fue de 88.0 por ciento y para el ciclo 2019-2020 fue de 89.2 por ciento, un incremento de 1.2 por ciento con relación al ciclo escolar anterior, y por arriba de la media nacional que fue de 73.6 por ciento. El abandono escolar en el ciclo 2017-2018 fue de 13.1 por ciento y en el ciclo escolar 2018-2019 fue de 1</w:t>
      </w:r>
      <w:r>
        <w:rPr>
          <w:rFonts w:eastAsia="Times New Roman" w:cs="Futura"/>
        </w:rPr>
        <w:t>1.5</w:t>
      </w:r>
      <w:r w:rsidRPr="00BB0769">
        <w:rPr>
          <w:rFonts w:eastAsia="Times New Roman" w:cs="Futura"/>
        </w:rPr>
        <w:t xml:space="preserve"> por ciento una disminución de </w:t>
      </w:r>
      <w:r>
        <w:rPr>
          <w:rFonts w:eastAsia="Times New Roman" w:cs="Futura"/>
        </w:rPr>
        <w:t>1.6</w:t>
      </w:r>
      <w:r w:rsidRPr="00BB0769">
        <w:rPr>
          <w:rFonts w:eastAsia="Times New Roman" w:cs="Futura"/>
        </w:rPr>
        <w:t xml:space="preserve"> por ciento con relación al ciclo escolar anterior, situándonos por arriba de la media nacional q</w:t>
      </w:r>
      <w:r>
        <w:rPr>
          <w:rFonts w:eastAsia="Times New Roman" w:cs="Futura"/>
        </w:rPr>
        <w:t>ue fue 8.4 por ciento (Cuadro 11</w:t>
      </w:r>
      <w:r w:rsidRPr="00BB0769">
        <w:rPr>
          <w:rFonts w:eastAsia="Times New Roman" w:cs="Futura"/>
        </w:rPr>
        <w:t xml:space="preserve">).  </w:t>
      </w:r>
      <w:r w:rsidR="00913635">
        <w:rPr>
          <w:rFonts w:eastAsia="Times New Roman" w:cs="Futura"/>
        </w:rPr>
        <w:br w:type="page"/>
      </w:r>
    </w:p>
    <w:p w14:paraId="2CC94F18" w14:textId="77777777" w:rsidR="006D148B" w:rsidRPr="00BB0769" w:rsidRDefault="006D148B" w:rsidP="006D148B">
      <w:pPr>
        <w:spacing w:after="0"/>
        <w:jc w:val="center"/>
        <w:rPr>
          <w:b/>
          <w:color w:val="4BACC6" w:themeColor="accent5"/>
        </w:rPr>
      </w:pPr>
      <w:r>
        <w:rPr>
          <w:b/>
          <w:color w:val="4BACC6" w:themeColor="accent5"/>
        </w:rPr>
        <w:lastRenderedPageBreak/>
        <w:t>Cuadro 11</w:t>
      </w:r>
      <w:r w:rsidRPr="00BB0769">
        <w:rPr>
          <w:b/>
          <w:color w:val="4BACC6" w:themeColor="accent5"/>
        </w:rPr>
        <w:t>. Principales indicadores de educación superior, evolución y comparativo nacional</w:t>
      </w:r>
    </w:p>
    <w:tbl>
      <w:tblPr>
        <w:tblW w:w="6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80"/>
        <w:gridCol w:w="1340"/>
        <w:gridCol w:w="1340"/>
        <w:gridCol w:w="1340"/>
      </w:tblGrid>
      <w:tr w:rsidR="006D148B" w:rsidRPr="004378A8" w14:paraId="088CAC96" w14:textId="77777777" w:rsidTr="004378A8">
        <w:trPr>
          <w:trHeight w:val="402"/>
          <w:jc w:val="center"/>
        </w:trPr>
        <w:tc>
          <w:tcPr>
            <w:tcW w:w="2380" w:type="dxa"/>
            <w:vMerge w:val="restart"/>
            <w:shd w:val="clear" w:color="auto" w:fill="A6A6A6" w:themeFill="background1" w:themeFillShade="A6"/>
            <w:vAlign w:val="center"/>
            <w:hideMark/>
          </w:tcPr>
          <w:p w14:paraId="16F1A418" w14:textId="77777777" w:rsidR="006D148B" w:rsidRPr="001A723F" w:rsidRDefault="006D148B" w:rsidP="001A723F">
            <w:pPr>
              <w:spacing w:after="0" w:line="240" w:lineRule="auto"/>
              <w:jc w:val="center"/>
              <w:rPr>
                <w:rFonts w:ascii="Futura Std Condensed Light" w:eastAsia="Times New Roman" w:hAnsi="Futura Std Condensed Light" w:cs="Calibri"/>
                <w:b/>
                <w:sz w:val="20"/>
                <w:szCs w:val="20"/>
                <w:lang w:eastAsia="es-MX"/>
              </w:rPr>
            </w:pPr>
            <w:r w:rsidRPr="001A723F">
              <w:rPr>
                <w:rFonts w:ascii="Futura Std Condensed Light" w:eastAsia="Times New Roman" w:hAnsi="Futura Std Condensed Light" w:cs="Calibri"/>
                <w:b/>
                <w:sz w:val="20"/>
                <w:szCs w:val="20"/>
                <w:lang w:eastAsia="es-MX"/>
              </w:rPr>
              <w:t>Indicador</w:t>
            </w:r>
          </w:p>
        </w:tc>
        <w:tc>
          <w:tcPr>
            <w:tcW w:w="2680" w:type="dxa"/>
            <w:gridSpan w:val="2"/>
            <w:shd w:val="clear" w:color="auto" w:fill="A6A6A6" w:themeFill="background1" w:themeFillShade="A6"/>
            <w:noWrap/>
            <w:vAlign w:val="center"/>
            <w:hideMark/>
          </w:tcPr>
          <w:p w14:paraId="4F30FCAB" w14:textId="77777777" w:rsidR="006D148B" w:rsidRPr="001A723F" w:rsidRDefault="006D148B" w:rsidP="001A723F">
            <w:pPr>
              <w:spacing w:after="0" w:line="240" w:lineRule="auto"/>
              <w:jc w:val="center"/>
              <w:rPr>
                <w:rFonts w:ascii="Futura Std Condensed Light" w:eastAsia="Times New Roman" w:hAnsi="Futura Std Condensed Light" w:cs="Calibri"/>
                <w:b/>
                <w:sz w:val="20"/>
                <w:szCs w:val="20"/>
                <w:lang w:eastAsia="es-MX"/>
              </w:rPr>
            </w:pPr>
            <w:r w:rsidRPr="001A723F">
              <w:rPr>
                <w:rFonts w:ascii="Futura Std Condensed Light" w:eastAsia="Times New Roman" w:hAnsi="Futura Std Condensed Light" w:cs="Calibri"/>
                <w:b/>
                <w:sz w:val="20"/>
                <w:szCs w:val="20"/>
                <w:lang w:eastAsia="es-MX"/>
              </w:rPr>
              <w:t>Ciclo Escolar</w:t>
            </w:r>
          </w:p>
        </w:tc>
        <w:tc>
          <w:tcPr>
            <w:tcW w:w="1340" w:type="dxa"/>
            <w:shd w:val="clear" w:color="auto" w:fill="A6A6A6" w:themeFill="background1" w:themeFillShade="A6"/>
            <w:vAlign w:val="center"/>
            <w:hideMark/>
          </w:tcPr>
          <w:p w14:paraId="2559FEB2" w14:textId="2240327F" w:rsidR="006D148B" w:rsidRPr="001A723F" w:rsidRDefault="006D148B" w:rsidP="001A723F">
            <w:pPr>
              <w:spacing w:after="0" w:line="240" w:lineRule="auto"/>
              <w:jc w:val="center"/>
              <w:rPr>
                <w:rFonts w:ascii="Futura Std Condensed Light" w:eastAsia="Times New Roman" w:hAnsi="Futura Std Condensed Light" w:cs="Calibri"/>
                <w:b/>
                <w:sz w:val="20"/>
                <w:szCs w:val="20"/>
                <w:lang w:eastAsia="es-MX"/>
              </w:rPr>
            </w:pPr>
            <w:r w:rsidRPr="001A723F">
              <w:rPr>
                <w:rFonts w:ascii="Futura Std Condensed Light" w:eastAsia="Times New Roman" w:hAnsi="Futura Std Condensed Light" w:cs="Calibri"/>
                <w:b/>
                <w:sz w:val="20"/>
                <w:szCs w:val="20"/>
                <w:lang w:eastAsia="es-MX"/>
              </w:rPr>
              <w:t>*Nacional</w:t>
            </w:r>
          </w:p>
        </w:tc>
      </w:tr>
      <w:tr w:rsidR="006D148B" w:rsidRPr="004378A8" w14:paraId="7466AE49" w14:textId="77777777" w:rsidTr="004378A8">
        <w:trPr>
          <w:trHeight w:val="402"/>
          <w:jc w:val="center"/>
        </w:trPr>
        <w:tc>
          <w:tcPr>
            <w:tcW w:w="2380" w:type="dxa"/>
            <w:vMerge/>
            <w:shd w:val="clear" w:color="auto" w:fill="A6A6A6" w:themeFill="background1" w:themeFillShade="A6"/>
            <w:vAlign w:val="center"/>
            <w:hideMark/>
          </w:tcPr>
          <w:p w14:paraId="17C5B9A1" w14:textId="77777777" w:rsidR="006D148B" w:rsidRPr="001A723F" w:rsidRDefault="006D148B" w:rsidP="001A723F">
            <w:pPr>
              <w:spacing w:after="0" w:line="240" w:lineRule="auto"/>
              <w:jc w:val="center"/>
              <w:rPr>
                <w:rFonts w:ascii="Futura Std Condensed Light" w:eastAsia="Times New Roman" w:hAnsi="Futura Std Condensed Light" w:cs="Calibri"/>
                <w:b/>
                <w:sz w:val="20"/>
                <w:szCs w:val="20"/>
                <w:lang w:eastAsia="es-MX"/>
              </w:rPr>
            </w:pPr>
          </w:p>
        </w:tc>
        <w:tc>
          <w:tcPr>
            <w:tcW w:w="1340" w:type="dxa"/>
            <w:shd w:val="clear" w:color="auto" w:fill="A6A6A6" w:themeFill="background1" w:themeFillShade="A6"/>
            <w:vAlign w:val="center"/>
            <w:hideMark/>
          </w:tcPr>
          <w:p w14:paraId="176F25BD" w14:textId="77777777" w:rsidR="006D148B" w:rsidRPr="001A723F" w:rsidRDefault="006D148B" w:rsidP="001A723F">
            <w:pPr>
              <w:spacing w:after="0" w:line="240" w:lineRule="auto"/>
              <w:jc w:val="center"/>
              <w:rPr>
                <w:rFonts w:ascii="Futura Std Condensed Light" w:eastAsia="Times New Roman" w:hAnsi="Futura Std Condensed Light" w:cs="Calibri"/>
                <w:b/>
                <w:sz w:val="20"/>
                <w:szCs w:val="20"/>
                <w:lang w:eastAsia="es-MX"/>
              </w:rPr>
            </w:pPr>
            <w:r w:rsidRPr="001A723F">
              <w:rPr>
                <w:rFonts w:ascii="Futura Std Condensed Light" w:eastAsia="Times New Roman" w:hAnsi="Futura Std Condensed Light" w:cs="Calibri"/>
                <w:b/>
                <w:sz w:val="20"/>
                <w:szCs w:val="20"/>
                <w:lang w:eastAsia="es-MX"/>
              </w:rPr>
              <w:t>2018-2019</w:t>
            </w:r>
          </w:p>
        </w:tc>
        <w:tc>
          <w:tcPr>
            <w:tcW w:w="1340" w:type="dxa"/>
            <w:shd w:val="clear" w:color="auto" w:fill="A6A6A6" w:themeFill="background1" w:themeFillShade="A6"/>
            <w:vAlign w:val="center"/>
            <w:hideMark/>
          </w:tcPr>
          <w:p w14:paraId="1E078BBE" w14:textId="77777777" w:rsidR="006D148B" w:rsidRPr="001A723F" w:rsidRDefault="006D148B" w:rsidP="001A723F">
            <w:pPr>
              <w:spacing w:after="0" w:line="240" w:lineRule="auto"/>
              <w:jc w:val="center"/>
              <w:rPr>
                <w:rFonts w:ascii="Futura Std Condensed Light" w:eastAsia="Times New Roman" w:hAnsi="Futura Std Condensed Light" w:cs="Calibri"/>
                <w:b/>
                <w:sz w:val="20"/>
                <w:szCs w:val="20"/>
                <w:lang w:eastAsia="es-MX"/>
              </w:rPr>
            </w:pPr>
            <w:r w:rsidRPr="001A723F">
              <w:rPr>
                <w:rFonts w:ascii="Futura Std Condensed Light" w:eastAsia="Times New Roman" w:hAnsi="Futura Std Condensed Light" w:cs="Calibri"/>
                <w:b/>
                <w:sz w:val="20"/>
                <w:szCs w:val="20"/>
                <w:lang w:eastAsia="es-MX"/>
              </w:rPr>
              <w:t>2019-2020</w:t>
            </w:r>
          </w:p>
        </w:tc>
        <w:tc>
          <w:tcPr>
            <w:tcW w:w="1340" w:type="dxa"/>
            <w:shd w:val="clear" w:color="auto" w:fill="A6A6A6" w:themeFill="background1" w:themeFillShade="A6"/>
            <w:vAlign w:val="center"/>
            <w:hideMark/>
          </w:tcPr>
          <w:p w14:paraId="2288C7D3" w14:textId="77777777" w:rsidR="006D148B" w:rsidRPr="001A723F" w:rsidRDefault="006D148B" w:rsidP="001A723F">
            <w:pPr>
              <w:spacing w:after="0" w:line="240" w:lineRule="auto"/>
              <w:jc w:val="center"/>
              <w:rPr>
                <w:rFonts w:ascii="Futura Std Condensed Light" w:eastAsia="Times New Roman" w:hAnsi="Futura Std Condensed Light" w:cs="Calibri"/>
                <w:b/>
                <w:sz w:val="20"/>
                <w:szCs w:val="20"/>
                <w:lang w:eastAsia="es-MX"/>
              </w:rPr>
            </w:pPr>
            <w:r w:rsidRPr="001A723F">
              <w:rPr>
                <w:rFonts w:ascii="Futura Std Condensed Light" w:eastAsia="Times New Roman" w:hAnsi="Futura Std Condensed Light" w:cs="Calibri"/>
                <w:b/>
                <w:sz w:val="20"/>
                <w:szCs w:val="20"/>
                <w:lang w:eastAsia="es-MX"/>
              </w:rPr>
              <w:t>2019-2020</w:t>
            </w:r>
          </w:p>
        </w:tc>
      </w:tr>
      <w:tr w:rsidR="006D148B" w:rsidRPr="004378A8" w14:paraId="6FF3E955" w14:textId="77777777" w:rsidTr="004378A8">
        <w:trPr>
          <w:trHeight w:val="402"/>
          <w:jc w:val="center"/>
        </w:trPr>
        <w:tc>
          <w:tcPr>
            <w:tcW w:w="2380" w:type="dxa"/>
            <w:shd w:val="clear" w:color="auto" w:fill="auto"/>
            <w:noWrap/>
            <w:vAlign w:val="center"/>
            <w:hideMark/>
          </w:tcPr>
          <w:p w14:paraId="22390F0C" w14:textId="77777777" w:rsidR="006D148B" w:rsidRPr="001A723F" w:rsidRDefault="006D148B" w:rsidP="009E3B2F">
            <w:pPr>
              <w:spacing w:after="0" w:line="240" w:lineRule="auto"/>
              <w:rPr>
                <w:rFonts w:ascii="Futura Std Condensed Light" w:eastAsia="Times New Roman" w:hAnsi="Futura Std Condensed Light" w:cs="Calibri"/>
                <w:sz w:val="20"/>
                <w:szCs w:val="20"/>
                <w:lang w:eastAsia="es-MX"/>
              </w:rPr>
            </w:pPr>
            <w:r w:rsidRPr="001A723F">
              <w:rPr>
                <w:rFonts w:ascii="Futura Std Condensed Light" w:eastAsia="Times New Roman" w:hAnsi="Futura Std Condensed Light" w:cs="Calibri"/>
                <w:sz w:val="20"/>
                <w:szCs w:val="20"/>
                <w:lang w:eastAsia="es-MX"/>
              </w:rPr>
              <w:t>Absorción</w:t>
            </w:r>
          </w:p>
        </w:tc>
        <w:tc>
          <w:tcPr>
            <w:tcW w:w="1340" w:type="dxa"/>
            <w:shd w:val="clear" w:color="auto" w:fill="auto"/>
            <w:vAlign w:val="center"/>
            <w:hideMark/>
          </w:tcPr>
          <w:p w14:paraId="020301D3" w14:textId="77777777" w:rsidR="006D148B" w:rsidRPr="001A723F" w:rsidRDefault="006D148B" w:rsidP="009E3B2F">
            <w:pPr>
              <w:spacing w:after="0" w:line="240" w:lineRule="auto"/>
              <w:jc w:val="center"/>
              <w:rPr>
                <w:rFonts w:ascii="Futura Std Condensed Light" w:eastAsia="Times New Roman" w:hAnsi="Futura Std Condensed Light" w:cs="Calibri"/>
                <w:sz w:val="20"/>
                <w:szCs w:val="20"/>
                <w:lang w:eastAsia="es-MX"/>
              </w:rPr>
            </w:pPr>
            <w:r w:rsidRPr="001A723F">
              <w:rPr>
                <w:rFonts w:ascii="Futura Std Condensed Light" w:eastAsia="Times New Roman" w:hAnsi="Futura Std Condensed Light" w:cs="Calibri"/>
                <w:sz w:val="20"/>
                <w:szCs w:val="20"/>
                <w:lang w:eastAsia="es-MX"/>
              </w:rPr>
              <w:t>88.0%</w:t>
            </w:r>
          </w:p>
        </w:tc>
        <w:tc>
          <w:tcPr>
            <w:tcW w:w="1340" w:type="dxa"/>
            <w:shd w:val="clear" w:color="auto" w:fill="auto"/>
            <w:vAlign w:val="center"/>
            <w:hideMark/>
          </w:tcPr>
          <w:p w14:paraId="4869B38C" w14:textId="77777777" w:rsidR="006D148B" w:rsidRPr="001A723F" w:rsidRDefault="006D148B" w:rsidP="009E3B2F">
            <w:pPr>
              <w:spacing w:after="0" w:line="240" w:lineRule="auto"/>
              <w:jc w:val="center"/>
              <w:rPr>
                <w:rFonts w:ascii="Futura Std Condensed Light" w:eastAsia="Times New Roman" w:hAnsi="Futura Std Condensed Light" w:cs="Calibri"/>
                <w:sz w:val="20"/>
                <w:szCs w:val="20"/>
                <w:lang w:eastAsia="es-MX"/>
              </w:rPr>
            </w:pPr>
            <w:r w:rsidRPr="001A723F">
              <w:rPr>
                <w:rFonts w:ascii="Futura Std Condensed Light" w:eastAsia="Times New Roman" w:hAnsi="Futura Std Condensed Light" w:cs="Calibri"/>
                <w:sz w:val="20"/>
                <w:szCs w:val="20"/>
                <w:lang w:eastAsia="es-MX"/>
              </w:rPr>
              <w:t>89.2%</w:t>
            </w:r>
          </w:p>
        </w:tc>
        <w:tc>
          <w:tcPr>
            <w:tcW w:w="1340" w:type="dxa"/>
            <w:shd w:val="clear" w:color="auto" w:fill="auto"/>
            <w:noWrap/>
            <w:vAlign w:val="center"/>
            <w:hideMark/>
          </w:tcPr>
          <w:p w14:paraId="1A19EF09" w14:textId="77777777" w:rsidR="006D148B" w:rsidRPr="001A723F" w:rsidRDefault="006D148B" w:rsidP="009E3B2F">
            <w:pPr>
              <w:spacing w:after="0" w:line="240" w:lineRule="auto"/>
              <w:jc w:val="center"/>
              <w:rPr>
                <w:rFonts w:ascii="Futura Std Condensed Light" w:eastAsia="Times New Roman" w:hAnsi="Futura Std Condensed Light" w:cs="Calibri"/>
                <w:sz w:val="20"/>
                <w:szCs w:val="20"/>
                <w:lang w:eastAsia="es-MX"/>
              </w:rPr>
            </w:pPr>
            <w:r w:rsidRPr="001A723F">
              <w:rPr>
                <w:rFonts w:ascii="Futura Std Condensed Light" w:eastAsia="Times New Roman" w:hAnsi="Futura Std Condensed Light" w:cs="Calibri"/>
                <w:sz w:val="20"/>
                <w:szCs w:val="20"/>
                <w:lang w:eastAsia="es-MX"/>
              </w:rPr>
              <w:t>73.6%</w:t>
            </w:r>
          </w:p>
        </w:tc>
      </w:tr>
      <w:tr w:rsidR="006D148B" w:rsidRPr="004378A8" w14:paraId="11CF3585" w14:textId="77777777" w:rsidTr="004378A8">
        <w:trPr>
          <w:trHeight w:val="402"/>
          <w:jc w:val="center"/>
        </w:trPr>
        <w:tc>
          <w:tcPr>
            <w:tcW w:w="2380" w:type="dxa"/>
            <w:vMerge w:val="restart"/>
            <w:shd w:val="clear" w:color="auto" w:fill="A6A6A6" w:themeFill="background1" w:themeFillShade="A6"/>
            <w:vAlign w:val="center"/>
            <w:hideMark/>
          </w:tcPr>
          <w:p w14:paraId="7B4B6380" w14:textId="77777777" w:rsidR="006D148B" w:rsidRPr="001A723F" w:rsidRDefault="006D148B" w:rsidP="001A723F">
            <w:pPr>
              <w:spacing w:after="0" w:line="240" w:lineRule="auto"/>
              <w:jc w:val="center"/>
              <w:rPr>
                <w:rFonts w:ascii="Futura Std Condensed Light" w:eastAsia="Times New Roman" w:hAnsi="Futura Std Condensed Light" w:cs="Calibri"/>
                <w:b/>
                <w:sz w:val="20"/>
                <w:szCs w:val="20"/>
                <w:lang w:eastAsia="es-MX"/>
              </w:rPr>
            </w:pPr>
            <w:r w:rsidRPr="001A723F">
              <w:rPr>
                <w:rFonts w:ascii="Futura Std Condensed Light" w:eastAsia="Times New Roman" w:hAnsi="Futura Std Condensed Light" w:cs="Calibri"/>
                <w:b/>
                <w:sz w:val="20"/>
                <w:szCs w:val="20"/>
                <w:lang w:eastAsia="es-MX"/>
              </w:rPr>
              <w:t>Indicador</w:t>
            </w:r>
          </w:p>
        </w:tc>
        <w:tc>
          <w:tcPr>
            <w:tcW w:w="2680" w:type="dxa"/>
            <w:gridSpan w:val="2"/>
            <w:shd w:val="clear" w:color="auto" w:fill="A6A6A6" w:themeFill="background1" w:themeFillShade="A6"/>
            <w:noWrap/>
            <w:vAlign w:val="center"/>
            <w:hideMark/>
          </w:tcPr>
          <w:p w14:paraId="16352EFF" w14:textId="77777777" w:rsidR="006D148B" w:rsidRPr="001A723F" w:rsidRDefault="006D148B" w:rsidP="001A723F">
            <w:pPr>
              <w:spacing w:after="0" w:line="240" w:lineRule="auto"/>
              <w:jc w:val="center"/>
              <w:rPr>
                <w:rFonts w:ascii="Futura Std Condensed Light" w:eastAsia="Times New Roman" w:hAnsi="Futura Std Condensed Light" w:cs="Calibri"/>
                <w:b/>
                <w:sz w:val="20"/>
                <w:szCs w:val="20"/>
                <w:lang w:eastAsia="es-MX"/>
              </w:rPr>
            </w:pPr>
            <w:r w:rsidRPr="001A723F">
              <w:rPr>
                <w:rFonts w:ascii="Futura Std Condensed Light" w:eastAsia="Times New Roman" w:hAnsi="Futura Std Condensed Light" w:cs="Calibri"/>
                <w:b/>
                <w:sz w:val="20"/>
                <w:szCs w:val="20"/>
                <w:lang w:eastAsia="es-MX"/>
              </w:rPr>
              <w:t>Ciclo Escolar</w:t>
            </w:r>
          </w:p>
        </w:tc>
        <w:tc>
          <w:tcPr>
            <w:tcW w:w="1340" w:type="dxa"/>
            <w:shd w:val="clear" w:color="auto" w:fill="A6A6A6" w:themeFill="background1" w:themeFillShade="A6"/>
            <w:vAlign w:val="center"/>
            <w:hideMark/>
          </w:tcPr>
          <w:p w14:paraId="1158AC1B" w14:textId="32C6A44C" w:rsidR="006D148B" w:rsidRPr="001A723F" w:rsidRDefault="006D148B" w:rsidP="001A723F">
            <w:pPr>
              <w:spacing w:after="0" w:line="240" w:lineRule="auto"/>
              <w:jc w:val="center"/>
              <w:rPr>
                <w:rFonts w:ascii="Futura Std Condensed Light" w:eastAsia="Times New Roman" w:hAnsi="Futura Std Condensed Light" w:cs="Calibri"/>
                <w:b/>
                <w:sz w:val="20"/>
                <w:szCs w:val="20"/>
                <w:lang w:eastAsia="es-MX"/>
              </w:rPr>
            </w:pPr>
            <w:r w:rsidRPr="001A723F">
              <w:rPr>
                <w:rFonts w:ascii="Futura Std Condensed Light" w:eastAsia="Times New Roman" w:hAnsi="Futura Std Condensed Light" w:cs="Calibri"/>
                <w:b/>
                <w:sz w:val="20"/>
                <w:szCs w:val="20"/>
                <w:lang w:eastAsia="es-MX"/>
              </w:rPr>
              <w:t>*Nacional</w:t>
            </w:r>
          </w:p>
        </w:tc>
      </w:tr>
      <w:tr w:rsidR="006D148B" w:rsidRPr="004378A8" w14:paraId="179B53CB" w14:textId="77777777" w:rsidTr="004378A8">
        <w:trPr>
          <w:trHeight w:val="402"/>
          <w:jc w:val="center"/>
        </w:trPr>
        <w:tc>
          <w:tcPr>
            <w:tcW w:w="2380" w:type="dxa"/>
            <w:vMerge/>
            <w:shd w:val="clear" w:color="auto" w:fill="A6A6A6" w:themeFill="background1" w:themeFillShade="A6"/>
            <w:vAlign w:val="center"/>
            <w:hideMark/>
          </w:tcPr>
          <w:p w14:paraId="5544DB26" w14:textId="77777777" w:rsidR="006D148B" w:rsidRPr="001A723F" w:rsidRDefault="006D148B" w:rsidP="001A723F">
            <w:pPr>
              <w:spacing w:after="0" w:line="240" w:lineRule="auto"/>
              <w:jc w:val="center"/>
              <w:rPr>
                <w:rFonts w:ascii="Futura Std Condensed Light" w:eastAsia="Times New Roman" w:hAnsi="Futura Std Condensed Light" w:cs="Calibri"/>
                <w:b/>
                <w:sz w:val="20"/>
                <w:szCs w:val="20"/>
                <w:lang w:eastAsia="es-MX"/>
              </w:rPr>
            </w:pPr>
          </w:p>
        </w:tc>
        <w:tc>
          <w:tcPr>
            <w:tcW w:w="1340" w:type="dxa"/>
            <w:shd w:val="clear" w:color="auto" w:fill="A6A6A6" w:themeFill="background1" w:themeFillShade="A6"/>
            <w:vAlign w:val="center"/>
            <w:hideMark/>
          </w:tcPr>
          <w:p w14:paraId="4D98249C" w14:textId="77777777" w:rsidR="006D148B" w:rsidRPr="001A723F" w:rsidRDefault="006D148B" w:rsidP="001A723F">
            <w:pPr>
              <w:spacing w:after="0" w:line="240" w:lineRule="auto"/>
              <w:jc w:val="center"/>
              <w:rPr>
                <w:rFonts w:ascii="Futura Std Condensed Light" w:eastAsia="Times New Roman" w:hAnsi="Futura Std Condensed Light" w:cs="Calibri"/>
                <w:b/>
                <w:sz w:val="20"/>
                <w:szCs w:val="20"/>
                <w:lang w:eastAsia="es-MX"/>
              </w:rPr>
            </w:pPr>
            <w:r w:rsidRPr="001A723F">
              <w:rPr>
                <w:rFonts w:ascii="Futura Std Condensed Light" w:eastAsia="Times New Roman" w:hAnsi="Futura Std Condensed Light" w:cs="Calibri"/>
                <w:b/>
                <w:sz w:val="20"/>
                <w:szCs w:val="20"/>
                <w:lang w:eastAsia="es-MX"/>
              </w:rPr>
              <w:t>2017-2018</w:t>
            </w:r>
          </w:p>
        </w:tc>
        <w:tc>
          <w:tcPr>
            <w:tcW w:w="1340" w:type="dxa"/>
            <w:shd w:val="clear" w:color="auto" w:fill="A6A6A6" w:themeFill="background1" w:themeFillShade="A6"/>
            <w:vAlign w:val="center"/>
            <w:hideMark/>
          </w:tcPr>
          <w:p w14:paraId="60C14C69" w14:textId="77777777" w:rsidR="006D148B" w:rsidRPr="001A723F" w:rsidRDefault="006D148B" w:rsidP="001A723F">
            <w:pPr>
              <w:spacing w:after="0" w:line="240" w:lineRule="auto"/>
              <w:jc w:val="center"/>
              <w:rPr>
                <w:rFonts w:ascii="Futura Std Condensed Light" w:eastAsia="Times New Roman" w:hAnsi="Futura Std Condensed Light" w:cs="Calibri"/>
                <w:b/>
                <w:sz w:val="20"/>
                <w:szCs w:val="20"/>
                <w:lang w:eastAsia="es-MX"/>
              </w:rPr>
            </w:pPr>
            <w:r w:rsidRPr="001A723F">
              <w:rPr>
                <w:rFonts w:ascii="Futura Std Condensed Light" w:eastAsia="Times New Roman" w:hAnsi="Futura Std Condensed Light" w:cs="Calibri"/>
                <w:b/>
                <w:sz w:val="20"/>
                <w:szCs w:val="20"/>
                <w:lang w:eastAsia="es-MX"/>
              </w:rPr>
              <w:t>2018-2019</w:t>
            </w:r>
          </w:p>
        </w:tc>
        <w:tc>
          <w:tcPr>
            <w:tcW w:w="1340" w:type="dxa"/>
            <w:shd w:val="clear" w:color="auto" w:fill="A6A6A6" w:themeFill="background1" w:themeFillShade="A6"/>
            <w:vAlign w:val="center"/>
            <w:hideMark/>
          </w:tcPr>
          <w:p w14:paraId="729D4CE1" w14:textId="77777777" w:rsidR="006D148B" w:rsidRPr="001A723F" w:rsidRDefault="006D148B" w:rsidP="001A723F">
            <w:pPr>
              <w:spacing w:after="0" w:line="240" w:lineRule="auto"/>
              <w:jc w:val="center"/>
              <w:rPr>
                <w:rFonts w:ascii="Futura Std Condensed Light" w:eastAsia="Times New Roman" w:hAnsi="Futura Std Condensed Light" w:cs="Calibri"/>
                <w:b/>
                <w:sz w:val="20"/>
                <w:szCs w:val="20"/>
                <w:lang w:eastAsia="es-MX"/>
              </w:rPr>
            </w:pPr>
            <w:r w:rsidRPr="001A723F">
              <w:rPr>
                <w:rFonts w:ascii="Futura Std Condensed Light" w:eastAsia="Times New Roman" w:hAnsi="Futura Std Condensed Light" w:cs="Calibri"/>
                <w:b/>
                <w:sz w:val="20"/>
                <w:szCs w:val="20"/>
                <w:lang w:eastAsia="es-MX"/>
              </w:rPr>
              <w:t>2018-2019</w:t>
            </w:r>
          </w:p>
        </w:tc>
      </w:tr>
      <w:tr w:rsidR="006D148B" w:rsidRPr="004378A8" w14:paraId="7E6FF8AC" w14:textId="77777777" w:rsidTr="004378A8">
        <w:trPr>
          <w:trHeight w:val="402"/>
          <w:jc w:val="center"/>
        </w:trPr>
        <w:tc>
          <w:tcPr>
            <w:tcW w:w="2380" w:type="dxa"/>
            <w:shd w:val="clear" w:color="auto" w:fill="auto"/>
            <w:noWrap/>
            <w:vAlign w:val="center"/>
            <w:hideMark/>
          </w:tcPr>
          <w:p w14:paraId="3CEA568F" w14:textId="77777777" w:rsidR="006D148B" w:rsidRPr="001A723F" w:rsidRDefault="006D148B" w:rsidP="009E3B2F">
            <w:pPr>
              <w:spacing w:after="0" w:line="240" w:lineRule="auto"/>
              <w:rPr>
                <w:rFonts w:ascii="Futura Std Condensed Light" w:eastAsia="Times New Roman" w:hAnsi="Futura Std Condensed Light" w:cs="Calibri"/>
                <w:sz w:val="20"/>
                <w:szCs w:val="20"/>
                <w:lang w:eastAsia="es-MX"/>
              </w:rPr>
            </w:pPr>
            <w:r w:rsidRPr="001A723F">
              <w:rPr>
                <w:rFonts w:ascii="Futura Std Condensed Light" w:eastAsia="Times New Roman" w:hAnsi="Futura Std Condensed Light" w:cs="Calibri"/>
                <w:sz w:val="20"/>
                <w:szCs w:val="20"/>
                <w:lang w:eastAsia="es-MX"/>
              </w:rPr>
              <w:t>Abandono Escolar</w:t>
            </w:r>
          </w:p>
        </w:tc>
        <w:tc>
          <w:tcPr>
            <w:tcW w:w="1340" w:type="dxa"/>
            <w:shd w:val="clear" w:color="auto" w:fill="auto"/>
            <w:vAlign w:val="center"/>
            <w:hideMark/>
          </w:tcPr>
          <w:p w14:paraId="05076E31" w14:textId="77777777" w:rsidR="006D148B" w:rsidRPr="001A723F" w:rsidRDefault="006D148B" w:rsidP="009E3B2F">
            <w:pPr>
              <w:spacing w:after="0" w:line="240" w:lineRule="auto"/>
              <w:jc w:val="center"/>
              <w:rPr>
                <w:rFonts w:ascii="Futura Std Condensed Light" w:eastAsia="Times New Roman" w:hAnsi="Futura Std Condensed Light" w:cs="Calibri"/>
                <w:sz w:val="20"/>
                <w:szCs w:val="20"/>
                <w:lang w:eastAsia="es-MX"/>
              </w:rPr>
            </w:pPr>
            <w:r w:rsidRPr="001A723F">
              <w:rPr>
                <w:rFonts w:ascii="Futura Std Condensed Light" w:eastAsia="Times New Roman" w:hAnsi="Futura Std Condensed Light" w:cs="Calibri"/>
                <w:sz w:val="20"/>
                <w:szCs w:val="20"/>
                <w:lang w:eastAsia="es-MX"/>
              </w:rPr>
              <w:t>13.1%</w:t>
            </w:r>
          </w:p>
        </w:tc>
        <w:tc>
          <w:tcPr>
            <w:tcW w:w="1340" w:type="dxa"/>
            <w:shd w:val="clear" w:color="auto" w:fill="auto"/>
            <w:vAlign w:val="center"/>
            <w:hideMark/>
          </w:tcPr>
          <w:p w14:paraId="091AF0CC" w14:textId="77777777" w:rsidR="006D148B" w:rsidRPr="001A723F" w:rsidRDefault="006D148B" w:rsidP="009E3B2F">
            <w:pPr>
              <w:spacing w:after="0" w:line="240" w:lineRule="auto"/>
              <w:jc w:val="center"/>
              <w:rPr>
                <w:rFonts w:ascii="Futura Std Condensed Light" w:eastAsia="Times New Roman" w:hAnsi="Futura Std Condensed Light" w:cs="Calibri"/>
                <w:sz w:val="20"/>
                <w:szCs w:val="20"/>
                <w:lang w:eastAsia="es-MX"/>
              </w:rPr>
            </w:pPr>
            <w:r w:rsidRPr="001A723F">
              <w:rPr>
                <w:rFonts w:ascii="Futura Std Condensed Light" w:eastAsia="Times New Roman" w:hAnsi="Futura Std Condensed Light" w:cs="Calibri"/>
                <w:sz w:val="20"/>
                <w:szCs w:val="20"/>
                <w:lang w:eastAsia="es-MX"/>
              </w:rPr>
              <w:t>11.5%</w:t>
            </w:r>
          </w:p>
        </w:tc>
        <w:tc>
          <w:tcPr>
            <w:tcW w:w="1340" w:type="dxa"/>
            <w:shd w:val="clear" w:color="auto" w:fill="auto"/>
            <w:noWrap/>
            <w:vAlign w:val="center"/>
            <w:hideMark/>
          </w:tcPr>
          <w:p w14:paraId="69946EEA" w14:textId="77777777" w:rsidR="006D148B" w:rsidRPr="001A723F" w:rsidRDefault="006D148B" w:rsidP="009E3B2F">
            <w:pPr>
              <w:spacing w:after="0" w:line="240" w:lineRule="auto"/>
              <w:jc w:val="center"/>
              <w:rPr>
                <w:rFonts w:ascii="Futura Std Condensed Light" w:eastAsia="Times New Roman" w:hAnsi="Futura Std Condensed Light" w:cs="Calibri"/>
                <w:sz w:val="20"/>
                <w:szCs w:val="20"/>
                <w:lang w:eastAsia="es-MX"/>
              </w:rPr>
            </w:pPr>
            <w:r w:rsidRPr="001A723F">
              <w:rPr>
                <w:rFonts w:ascii="Futura Std Condensed Light" w:eastAsia="Times New Roman" w:hAnsi="Futura Std Condensed Light" w:cs="Calibri"/>
                <w:sz w:val="20"/>
                <w:szCs w:val="20"/>
                <w:lang w:eastAsia="es-MX"/>
              </w:rPr>
              <w:t>8.4%</w:t>
            </w:r>
          </w:p>
        </w:tc>
      </w:tr>
    </w:tbl>
    <w:p w14:paraId="28A3CD61" w14:textId="77777777" w:rsidR="006D148B" w:rsidRDefault="006D148B" w:rsidP="006D148B">
      <w:pPr>
        <w:spacing w:after="0"/>
        <w:rPr>
          <w:rFonts w:ascii="Futura Bk BT" w:hAnsi="Futura Bk BT"/>
        </w:rPr>
      </w:pPr>
    </w:p>
    <w:p w14:paraId="2F0AD57C" w14:textId="77777777" w:rsidR="006D148B" w:rsidRDefault="006D148B" w:rsidP="006D148B">
      <w:pPr>
        <w:spacing w:after="0"/>
        <w:rPr>
          <w:rFonts w:ascii="Futura Bk BT" w:hAnsi="Futura Bk BT"/>
          <w:sz w:val="16"/>
          <w:szCs w:val="16"/>
        </w:rPr>
      </w:pPr>
      <w:r w:rsidRPr="008248F3">
        <w:rPr>
          <w:rFonts w:ascii="Futura Bk BT" w:hAnsi="Futura Bk BT"/>
          <w:b/>
          <w:sz w:val="16"/>
          <w:szCs w:val="16"/>
        </w:rPr>
        <w:t>Fuente:</w:t>
      </w:r>
      <w:r w:rsidRPr="008248F3">
        <w:rPr>
          <w:rFonts w:ascii="Futura Bk BT" w:hAnsi="Futura Bk BT"/>
          <w:sz w:val="16"/>
          <w:szCs w:val="16"/>
        </w:rPr>
        <w:t xml:space="preserve"> Indicadores de Educación Básica del Departamento de Estadística</w:t>
      </w:r>
      <w:r>
        <w:rPr>
          <w:rFonts w:ascii="Futura Bk BT" w:hAnsi="Futura Bk BT"/>
          <w:sz w:val="16"/>
          <w:szCs w:val="16"/>
        </w:rPr>
        <w:t>, ciclo escolar 2017-2018, 2018-2019 y 2019-2020, SEQ.</w:t>
      </w:r>
      <w:r w:rsidRPr="008248F3">
        <w:rPr>
          <w:rFonts w:ascii="Futura Bk BT" w:hAnsi="Futura Bk BT"/>
          <w:sz w:val="16"/>
          <w:szCs w:val="16"/>
        </w:rPr>
        <w:t xml:space="preserve"> *Reporte de Indicadores educativos versión </w:t>
      </w:r>
      <w:r>
        <w:rPr>
          <w:rFonts w:ascii="Futura Bk BT" w:hAnsi="Futura Bk BT"/>
          <w:sz w:val="16"/>
          <w:szCs w:val="16"/>
        </w:rPr>
        <w:t xml:space="preserve">septiembre </w:t>
      </w:r>
      <w:r w:rsidRPr="008248F3">
        <w:rPr>
          <w:rFonts w:ascii="Futura Bk BT" w:hAnsi="Futura Bk BT"/>
          <w:sz w:val="16"/>
          <w:szCs w:val="16"/>
        </w:rPr>
        <w:t>201</w:t>
      </w:r>
      <w:r>
        <w:rPr>
          <w:rFonts w:ascii="Futura Bk BT" w:hAnsi="Futura Bk BT"/>
          <w:sz w:val="16"/>
          <w:szCs w:val="16"/>
        </w:rPr>
        <w:t>9</w:t>
      </w:r>
      <w:r w:rsidRPr="008248F3">
        <w:rPr>
          <w:rFonts w:ascii="Futura Bk BT" w:hAnsi="Futura Bk BT"/>
          <w:sz w:val="16"/>
          <w:szCs w:val="16"/>
        </w:rPr>
        <w:t>, SE</w:t>
      </w:r>
      <w:r>
        <w:rPr>
          <w:rFonts w:ascii="Futura Bk BT" w:hAnsi="Futura Bk BT"/>
          <w:sz w:val="16"/>
          <w:szCs w:val="16"/>
        </w:rPr>
        <w:t>P. No incluyen posgrado.</w:t>
      </w:r>
    </w:p>
    <w:p w14:paraId="4DACC851" w14:textId="77777777" w:rsidR="006D148B" w:rsidRPr="005B008E" w:rsidRDefault="006D148B" w:rsidP="006D148B">
      <w:pPr>
        <w:spacing w:after="0"/>
        <w:rPr>
          <w:rFonts w:ascii="Futura Bk BT" w:hAnsi="Futura Bk BT"/>
          <w:sz w:val="16"/>
          <w:szCs w:val="16"/>
        </w:rPr>
      </w:pPr>
    </w:p>
    <w:p w14:paraId="788DB632" w14:textId="77777777" w:rsidR="006D148B" w:rsidRPr="00BE3CA1" w:rsidRDefault="006D148B" w:rsidP="00886807">
      <w:pPr>
        <w:rPr>
          <w:rFonts w:eastAsia="Times New Roman" w:cs="Futura"/>
        </w:rPr>
      </w:pPr>
      <w:r w:rsidRPr="00BE3CA1">
        <w:rPr>
          <w:rFonts w:eastAsia="Times New Roman" w:cs="Futura"/>
        </w:rPr>
        <w:t>La educación superior del Estado, está compuesta por 785</w:t>
      </w:r>
      <w:r>
        <w:rPr>
          <w:rFonts w:eastAsia="Times New Roman" w:cs="Futura"/>
        </w:rPr>
        <w:t xml:space="preserve"> carreras de las cuales 25</w:t>
      </w:r>
      <w:r w:rsidRPr="00BE3CA1">
        <w:rPr>
          <w:rFonts w:eastAsia="Times New Roman" w:cs="Futura"/>
        </w:rPr>
        <w:t xml:space="preserve"> corresponden a té</w:t>
      </w:r>
      <w:r>
        <w:rPr>
          <w:rFonts w:eastAsia="Times New Roman" w:cs="Futura"/>
        </w:rPr>
        <w:t xml:space="preserve">cnico superior universitario, 555 licenciaturas, 11 especialidades, 175 maestrías y 19 doctorados (cuadro 12). </w:t>
      </w:r>
    </w:p>
    <w:p w14:paraId="6F939625" w14:textId="77777777" w:rsidR="006D148B" w:rsidRDefault="006D148B" w:rsidP="006D148B">
      <w:pPr>
        <w:spacing w:after="0"/>
        <w:jc w:val="center"/>
        <w:rPr>
          <w:b/>
          <w:color w:val="4BACC6" w:themeColor="accent5"/>
        </w:rPr>
      </w:pPr>
    </w:p>
    <w:p w14:paraId="0BF3FE8F" w14:textId="48DE2FA7" w:rsidR="006D148B" w:rsidRDefault="006D148B" w:rsidP="006D148B">
      <w:pPr>
        <w:spacing w:after="0"/>
        <w:jc w:val="center"/>
        <w:rPr>
          <w:b/>
          <w:color w:val="4BACC6" w:themeColor="accent5"/>
        </w:rPr>
      </w:pPr>
      <w:r>
        <w:rPr>
          <w:b/>
          <w:color w:val="4BACC6" w:themeColor="accent5"/>
        </w:rPr>
        <w:t>Cuadro 12. Matrícula de Educación Superior por Carrera Ciclo escolar 2019-2020</w:t>
      </w:r>
    </w:p>
    <w:p w14:paraId="0ED6F130" w14:textId="77777777" w:rsidR="000A72E5" w:rsidRPr="00BE3CA1" w:rsidRDefault="000A72E5" w:rsidP="006D148B">
      <w:pPr>
        <w:spacing w:after="0"/>
        <w:jc w:val="center"/>
        <w:rPr>
          <w:b/>
          <w:color w:val="4BACC6" w:themeColor="accent5"/>
        </w:rPr>
      </w:pPr>
    </w:p>
    <w:tbl>
      <w:tblPr>
        <w:tblW w:w="74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89"/>
        <w:gridCol w:w="2536"/>
        <w:gridCol w:w="1235"/>
      </w:tblGrid>
      <w:tr w:rsidR="006D148B" w:rsidRPr="00E219A4" w14:paraId="3D9E3568" w14:textId="77777777" w:rsidTr="004378A8">
        <w:trPr>
          <w:trHeight w:val="300"/>
          <w:jc w:val="center"/>
        </w:trPr>
        <w:tc>
          <w:tcPr>
            <w:tcW w:w="3689" w:type="dxa"/>
            <w:shd w:val="clear" w:color="auto" w:fill="A6A6A6" w:themeFill="background1" w:themeFillShade="A6"/>
            <w:noWrap/>
            <w:vAlign w:val="bottom"/>
            <w:hideMark/>
          </w:tcPr>
          <w:p w14:paraId="6EA15FB4" w14:textId="77777777" w:rsidR="006D148B" w:rsidRPr="00F07484" w:rsidRDefault="006D148B" w:rsidP="009E3B2F">
            <w:pPr>
              <w:spacing w:after="0" w:line="240" w:lineRule="auto"/>
              <w:jc w:val="center"/>
              <w:rPr>
                <w:rFonts w:ascii="Futura Std Condensed Light" w:eastAsia="Times New Roman" w:hAnsi="Futura Std Condensed Light" w:cs="Calibri"/>
                <w:b/>
                <w:sz w:val="20"/>
                <w:szCs w:val="20"/>
                <w:lang w:eastAsia="es-MX"/>
              </w:rPr>
            </w:pPr>
            <w:r w:rsidRPr="00F07484">
              <w:rPr>
                <w:rFonts w:ascii="Futura Std Condensed Light" w:eastAsia="Times New Roman" w:hAnsi="Futura Std Condensed Light" w:cs="Calibri"/>
                <w:b/>
                <w:sz w:val="20"/>
                <w:szCs w:val="20"/>
                <w:lang w:eastAsia="es-MX"/>
              </w:rPr>
              <w:t>Nivel</w:t>
            </w:r>
          </w:p>
        </w:tc>
        <w:tc>
          <w:tcPr>
            <w:tcW w:w="2536" w:type="dxa"/>
            <w:shd w:val="clear" w:color="auto" w:fill="A6A6A6" w:themeFill="background1" w:themeFillShade="A6"/>
            <w:noWrap/>
            <w:vAlign w:val="bottom"/>
            <w:hideMark/>
          </w:tcPr>
          <w:p w14:paraId="3FE15EFF" w14:textId="77777777" w:rsidR="006D148B" w:rsidRPr="00F07484" w:rsidRDefault="006D148B" w:rsidP="009E3B2F">
            <w:pPr>
              <w:spacing w:after="0" w:line="240" w:lineRule="auto"/>
              <w:jc w:val="center"/>
              <w:rPr>
                <w:rFonts w:ascii="Futura Std Condensed Light" w:eastAsia="Times New Roman" w:hAnsi="Futura Std Condensed Light" w:cs="Calibri"/>
                <w:b/>
                <w:sz w:val="20"/>
                <w:szCs w:val="20"/>
                <w:lang w:eastAsia="es-MX"/>
              </w:rPr>
            </w:pPr>
            <w:r w:rsidRPr="00F07484">
              <w:rPr>
                <w:rFonts w:ascii="Futura Std Condensed Light" w:eastAsia="Times New Roman" w:hAnsi="Futura Std Condensed Light" w:cs="Calibri"/>
                <w:b/>
                <w:sz w:val="20"/>
                <w:szCs w:val="20"/>
                <w:lang w:eastAsia="es-MX"/>
              </w:rPr>
              <w:t>Número de Carreras</w:t>
            </w:r>
          </w:p>
        </w:tc>
        <w:tc>
          <w:tcPr>
            <w:tcW w:w="1235" w:type="dxa"/>
            <w:shd w:val="clear" w:color="auto" w:fill="A6A6A6" w:themeFill="background1" w:themeFillShade="A6"/>
            <w:noWrap/>
            <w:vAlign w:val="bottom"/>
            <w:hideMark/>
          </w:tcPr>
          <w:p w14:paraId="440637F9" w14:textId="77777777" w:rsidR="006D148B" w:rsidRPr="00F07484" w:rsidRDefault="006D148B" w:rsidP="009E3B2F">
            <w:pPr>
              <w:spacing w:after="0" w:line="240" w:lineRule="auto"/>
              <w:jc w:val="center"/>
              <w:rPr>
                <w:rFonts w:ascii="Futura Std Condensed Light" w:eastAsia="Times New Roman" w:hAnsi="Futura Std Condensed Light" w:cs="Calibri"/>
                <w:b/>
                <w:sz w:val="20"/>
                <w:szCs w:val="20"/>
                <w:lang w:eastAsia="es-MX"/>
              </w:rPr>
            </w:pPr>
            <w:r w:rsidRPr="00F07484">
              <w:rPr>
                <w:rFonts w:ascii="Futura Std Condensed Light" w:eastAsia="Times New Roman" w:hAnsi="Futura Std Condensed Light" w:cs="Calibri"/>
                <w:b/>
                <w:sz w:val="20"/>
                <w:szCs w:val="20"/>
                <w:lang w:eastAsia="es-MX"/>
              </w:rPr>
              <w:t>Matrícula</w:t>
            </w:r>
          </w:p>
        </w:tc>
      </w:tr>
      <w:tr w:rsidR="006D148B" w:rsidRPr="00E219A4" w14:paraId="10073615" w14:textId="77777777" w:rsidTr="004378A8">
        <w:trPr>
          <w:trHeight w:val="300"/>
          <w:jc w:val="center"/>
        </w:trPr>
        <w:tc>
          <w:tcPr>
            <w:tcW w:w="3689" w:type="dxa"/>
            <w:shd w:val="clear" w:color="auto" w:fill="auto"/>
            <w:noWrap/>
            <w:vAlign w:val="bottom"/>
            <w:hideMark/>
          </w:tcPr>
          <w:p w14:paraId="7973AA79" w14:textId="77777777" w:rsidR="006D148B" w:rsidRPr="00F07484" w:rsidRDefault="006D148B" w:rsidP="004378A8">
            <w:pPr>
              <w:spacing w:after="0" w:line="240" w:lineRule="auto"/>
              <w:jc w:val="left"/>
              <w:rPr>
                <w:rFonts w:ascii="Futura Std Condensed Light" w:eastAsia="Times New Roman" w:hAnsi="Futura Std Condensed Light" w:cs="Calibri"/>
                <w:sz w:val="20"/>
                <w:szCs w:val="20"/>
                <w:lang w:eastAsia="es-MX"/>
              </w:rPr>
            </w:pPr>
            <w:r w:rsidRPr="00F07484">
              <w:rPr>
                <w:rFonts w:ascii="Futura Std Condensed Light" w:eastAsia="Times New Roman" w:hAnsi="Futura Std Condensed Light" w:cs="Calibri"/>
                <w:sz w:val="20"/>
                <w:szCs w:val="20"/>
                <w:lang w:eastAsia="es-MX"/>
              </w:rPr>
              <w:t>Técnico Superior Universitario</w:t>
            </w:r>
          </w:p>
        </w:tc>
        <w:tc>
          <w:tcPr>
            <w:tcW w:w="2536" w:type="dxa"/>
            <w:shd w:val="clear" w:color="auto" w:fill="auto"/>
            <w:noWrap/>
            <w:vAlign w:val="bottom"/>
            <w:hideMark/>
          </w:tcPr>
          <w:p w14:paraId="655FE009" w14:textId="77777777" w:rsidR="006D148B" w:rsidRPr="00F07484" w:rsidRDefault="006D148B" w:rsidP="009E3B2F">
            <w:pPr>
              <w:spacing w:after="0" w:line="240" w:lineRule="auto"/>
              <w:jc w:val="center"/>
              <w:rPr>
                <w:rFonts w:ascii="Futura Std Condensed Light" w:eastAsia="Times New Roman" w:hAnsi="Futura Std Condensed Light" w:cs="Calibri"/>
                <w:sz w:val="20"/>
                <w:szCs w:val="20"/>
                <w:lang w:eastAsia="es-MX"/>
              </w:rPr>
            </w:pPr>
            <w:r w:rsidRPr="00F07484">
              <w:rPr>
                <w:rFonts w:ascii="Futura Std Condensed Light" w:eastAsia="Times New Roman" w:hAnsi="Futura Std Condensed Light" w:cs="Calibri"/>
                <w:sz w:val="20"/>
                <w:szCs w:val="20"/>
                <w:lang w:eastAsia="es-MX"/>
              </w:rPr>
              <w:t>25</w:t>
            </w:r>
          </w:p>
        </w:tc>
        <w:tc>
          <w:tcPr>
            <w:tcW w:w="1235" w:type="dxa"/>
            <w:shd w:val="clear" w:color="auto" w:fill="auto"/>
            <w:noWrap/>
            <w:vAlign w:val="bottom"/>
            <w:hideMark/>
          </w:tcPr>
          <w:p w14:paraId="2A22B1AE" w14:textId="77777777" w:rsidR="006D148B" w:rsidRPr="00F07484" w:rsidRDefault="006D148B" w:rsidP="009E3B2F">
            <w:pPr>
              <w:spacing w:after="0" w:line="240" w:lineRule="auto"/>
              <w:jc w:val="center"/>
              <w:rPr>
                <w:rFonts w:ascii="Futura Std Condensed Light" w:eastAsia="Times New Roman" w:hAnsi="Futura Std Condensed Light" w:cs="Calibri"/>
                <w:sz w:val="20"/>
                <w:szCs w:val="20"/>
                <w:lang w:eastAsia="es-MX"/>
              </w:rPr>
            </w:pPr>
            <w:r w:rsidRPr="00F07484">
              <w:rPr>
                <w:rFonts w:ascii="Futura Std Condensed Light" w:eastAsia="Times New Roman" w:hAnsi="Futura Std Condensed Light" w:cs="Calibri"/>
                <w:sz w:val="20"/>
                <w:szCs w:val="20"/>
                <w:lang w:eastAsia="es-MX"/>
              </w:rPr>
              <w:t>2,917</w:t>
            </w:r>
          </w:p>
        </w:tc>
      </w:tr>
      <w:tr w:rsidR="006D148B" w:rsidRPr="00E219A4" w14:paraId="3F6957D4" w14:textId="77777777" w:rsidTr="004378A8">
        <w:trPr>
          <w:trHeight w:val="300"/>
          <w:jc w:val="center"/>
        </w:trPr>
        <w:tc>
          <w:tcPr>
            <w:tcW w:w="3689" w:type="dxa"/>
            <w:shd w:val="clear" w:color="auto" w:fill="auto"/>
            <w:noWrap/>
            <w:vAlign w:val="bottom"/>
            <w:hideMark/>
          </w:tcPr>
          <w:p w14:paraId="7FB27D3F" w14:textId="77777777" w:rsidR="006D148B" w:rsidRPr="00F07484" w:rsidRDefault="006D148B" w:rsidP="004378A8">
            <w:pPr>
              <w:spacing w:after="0" w:line="240" w:lineRule="auto"/>
              <w:jc w:val="left"/>
              <w:rPr>
                <w:rFonts w:ascii="Futura Std Condensed Light" w:eastAsia="Times New Roman" w:hAnsi="Futura Std Condensed Light" w:cs="Calibri"/>
                <w:sz w:val="20"/>
                <w:szCs w:val="20"/>
                <w:lang w:eastAsia="es-MX"/>
              </w:rPr>
            </w:pPr>
            <w:r w:rsidRPr="00F07484">
              <w:rPr>
                <w:rFonts w:ascii="Futura Std Condensed Light" w:eastAsia="Times New Roman" w:hAnsi="Futura Std Condensed Light" w:cs="Calibri"/>
                <w:sz w:val="20"/>
                <w:szCs w:val="20"/>
                <w:lang w:eastAsia="es-MX"/>
              </w:rPr>
              <w:t>Licenciatura</w:t>
            </w:r>
          </w:p>
        </w:tc>
        <w:tc>
          <w:tcPr>
            <w:tcW w:w="2536" w:type="dxa"/>
            <w:shd w:val="clear" w:color="auto" w:fill="auto"/>
            <w:noWrap/>
            <w:vAlign w:val="bottom"/>
            <w:hideMark/>
          </w:tcPr>
          <w:p w14:paraId="7D7BCDDF" w14:textId="77777777" w:rsidR="006D148B" w:rsidRPr="00F07484" w:rsidRDefault="006D148B" w:rsidP="009E3B2F">
            <w:pPr>
              <w:spacing w:after="0" w:line="240" w:lineRule="auto"/>
              <w:jc w:val="center"/>
              <w:rPr>
                <w:rFonts w:ascii="Futura Std Condensed Light" w:eastAsia="Times New Roman" w:hAnsi="Futura Std Condensed Light" w:cs="Calibri"/>
                <w:sz w:val="20"/>
                <w:szCs w:val="20"/>
                <w:lang w:eastAsia="es-MX"/>
              </w:rPr>
            </w:pPr>
            <w:r w:rsidRPr="00F07484">
              <w:rPr>
                <w:rFonts w:ascii="Futura Std Condensed Light" w:eastAsia="Times New Roman" w:hAnsi="Futura Std Condensed Light" w:cs="Calibri"/>
                <w:sz w:val="20"/>
                <w:szCs w:val="20"/>
                <w:lang w:eastAsia="es-MX"/>
              </w:rPr>
              <w:t>555</w:t>
            </w:r>
          </w:p>
        </w:tc>
        <w:tc>
          <w:tcPr>
            <w:tcW w:w="1235" w:type="dxa"/>
            <w:shd w:val="clear" w:color="auto" w:fill="auto"/>
            <w:noWrap/>
            <w:vAlign w:val="bottom"/>
            <w:hideMark/>
          </w:tcPr>
          <w:p w14:paraId="1195EB1C" w14:textId="77777777" w:rsidR="006D148B" w:rsidRPr="00F07484" w:rsidRDefault="006D148B" w:rsidP="009E3B2F">
            <w:pPr>
              <w:spacing w:after="0" w:line="240" w:lineRule="auto"/>
              <w:jc w:val="center"/>
              <w:rPr>
                <w:rFonts w:ascii="Futura Std Condensed Light" w:eastAsia="Times New Roman" w:hAnsi="Futura Std Condensed Light" w:cs="Calibri"/>
                <w:sz w:val="20"/>
                <w:szCs w:val="20"/>
                <w:lang w:eastAsia="es-MX"/>
              </w:rPr>
            </w:pPr>
            <w:r w:rsidRPr="00F07484">
              <w:rPr>
                <w:rFonts w:ascii="Futura Std Condensed Light" w:eastAsia="Times New Roman" w:hAnsi="Futura Std Condensed Light" w:cs="Calibri"/>
                <w:sz w:val="20"/>
                <w:szCs w:val="20"/>
                <w:lang w:eastAsia="es-MX"/>
              </w:rPr>
              <w:t>45,693</w:t>
            </w:r>
          </w:p>
        </w:tc>
      </w:tr>
      <w:tr w:rsidR="006D148B" w:rsidRPr="00E219A4" w14:paraId="587B82AF" w14:textId="77777777" w:rsidTr="004378A8">
        <w:trPr>
          <w:trHeight w:val="300"/>
          <w:jc w:val="center"/>
        </w:trPr>
        <w:tc>
          <w:tcPr>
            <w:tcW w:w="3689" w:type="dxa"/>
            <w:shd w:val="clear" w:color="auto" w:fill="auto"/>
            <w:noWrap/>
            <w:vAlign w:val="bottom"/>
            <w:hideMark/>
          </w:tcPr>
          <w:p w14:paraId="475B44DE" w14:textId="77777777" w:rsidR="006D148B" w:rsidRPr="00F07484" w:rsidRDefault="006D148B" w:rsidP="004378A8">
            <w:pPr>
              <w:spacing w:after="0" w:line="240" w:lineRule="auto"/>
              <w:jc w:val="left"/>
              <w:rPr>
                <w:rFonts w:ascii="Futura Std Condensed Light" w:eastAsia="Times New Roman" w:hAnsi="Futura Std Condensed Light" w:cs="Calibri"/>
                <w:sz w:val="20"/>
                <w:szCs w:val="20"/>
                <w:lang w:eastAsia="es-MX"/>
              </w:rPr>
            </w:pPr>
            <w:r w:rsidRPr="00F07484">
              <w:rPr>
                <w:rFonts w:ascii="Futura Std Condensed Light" w:eastAsia="Times New Roman" w:hAnsi="Futura Std Condensed Light" w:cs="Calibri"/>
                <w:sz w:val="20"/>
                <w:szCs w:val="20"/>
                <w:lang w:eastAsia="es-MX"/>
              </w:rPr>
              <w:t>Especialidad</w:t>
            </w:r>
          </w:p>
        </w:tc>
        <w:tc>
          <w:tcPr>
            <w:tcW w:w="2536" w:type="dxa"/>
            <w:shd w:val="clear" w:color="auto" w:fill="auto"/>
            <w:noWrap/>
            <w:vAlign w:val="bottom"/>
            <w:hideMark/>
          </w:tcPr>
          <w:p w14:paraId="136DE539" w14:textId="77777777" w:rsidR="006D148B" w:rsidRPr="00F07484" w:rsidRDefault="006D148B" w:rsidP="009E3B2F">
            <w:pPr>
              <w:spacing w:after="0" w:line="240" w:lineRule="auto"/>
              <w:jc w:val="center"/>
              <w:rPr>
                <w:rFonts w:ascii="Futura Std Condensed Light" w:eastAsia="Times New Roman" w:hAnsi="Futura Std Condensed Light" w:cs="Calibri"/>
                <w:sz w:val="20"/>
                <w:szCs w:val="20"/>
                <w:lang w:eastAsia="es-MX"/>
              </w:rPr>
            </w:pPr>
            <w:r w:rsidRPr="00F07484">
              <w:rPr>
                <w:rFonts w:ascii="Futura Std Condensed Light" w:eastAsia="Times New Roman" w:hAnsi="Futura Std Condensed Light" w:cs="Calibri"/>
                <w:sz w:val="20"/>
                <w:szCs w:val="20"/>
                <w:lang w:eastAsia="es-MX"/>
              </w:rPr>
              <w:t>11</w:t>
            </w:r>
          </w:p>
        </w:tc>
        <w:tc>
          <w:tcPr>
            <w:tcW w:w="1235" w:type="dxa"/>
            <w:shd w:val="clear" w:color="auto" w:fill="auto"/>
            <w:noWrap/>
            <w:vAlign w:val="bottom"/>
            <w:hideMark/>
          </w:tcPr>
          <w:p w14:paraId="79FF76BF" w14:textId="77777777" w:rsidR="006D148B" w:rsidRPr="00F07484" w:rsidRDefault="006D148B" w:rsidP="009E3B2F">
            <w:pPr>
              <w:spacing w:after="0" w:line="240" w:lineRule="auto"/>
              <w:jc w:val="center"/>
              <w:rPr>
                <w:rFonts w:ascii="Futura Std Condensed Light" w:eastAsia="Times New Roman" w:hAnsi="Futura Std Condensed Light" w:cs="Calibri"/>
                <w:sz w:val="20"/>
                <w:szCs w:val="20"/>
                <w:lang w:eastAsia="es-MX"/>
              </w:rPr>
            </w:pPr>
            <w:r w:rsidRPr="00F07484">
              <w:rPr>
                <w:rFonts w:ascii="Futura Std Condensed Light" w:eastAsia="Times New Roman" w:hAnsi="Futura Std Condensed Light" w:cs="Calibri"/>
                <w:sz w:val="20"/>
                <w:szCs w:val="20"/>
                <w:lang w:eastAsia="es-MX"/>
              </w:rPr>
              <w:t>47</w:t>
            </w:r>
          </w:p>
        </w:tc>
      </w:tr>
      <w:tr w:rsidR="006D148B" w:rsidRPr="00E219A4" w14:paraId="79131D57" w14:textId="77777777" w:rsidTr="004378A8">
        <w:trPr>
          <w:trHeight w:val="300"/>
          <w:jc w:val="center"/>
        </w:trPr>
        <w:tc>
          <w:tcPr>
            <w:tcW w:w="3689" w:type="dxa"/>
            <w:shd w:val="clear" w:color="auto" w:fill="auto"/>
            <w:noWrap/>
            <w:vAlign w:val="bottom"/>
            <w:hideMark/>
          </w:tcPr>
          <w:p w14:paraId="155152D0" w14:textId="77777777" w:rsidR="006D148B" w:rsidRPr="00F07484" w:rsidRDefault="006D148B" w:rsidP="004378A8">
            <w:pPr>
              <w:spacing w:after="0" w:line="240" w:lineRule="auto"/>
              <w:jc w:val="left"/>
              <w:rPr>
                <w:rFonts w:ascii="Futura Std Condensed Light" w:eastAsia="Times New Roman" w:hAnsi="Futura Std Condensed Light" w:cs="Calibri"/>
                <w:sz w:val="20"/>
                <w:szCs w:val="20"/>
                <w:lang w:eastAsia="es-MX"/>
              </w:rPr>
            </w:pPr>
            <w:r w:rsidRPr="00F07484">
              <w:rPr>
                <w:rFonts w:ascii="Futura Std Condensed Light" w:eastAsia="Times New Roman" w:hAnsi="Futura Std Condensed Light" w:cs="Calibri"/>
                <w:sz w:val="20"/>
                <w:szCs w:val="20"/>
                <w:lang w:eastAsia="es-MX"/>
              </w:rPr>
              <w:t>Maestría</w:t>
            </w:r>
          </w:p>
        </w:tc>
        <w:tc>
          <w:tcPr>
            <w:tcW w:w="2536" w:type="dxa"/>
            <w:shd w:val="clear" w:color="auto" w:fill="auto"/>
            <w:noWrap/>
            <w:vAlign w:val="bottom"/>
            <w:hideMark/>
          </w:tcPr>
          <w:p w14:paraId="6BE2A3DE" w14:textId="77777777" w:rsidR="006D148B" w:rsidRPr="00F07484" w:rsidRDefault="006D148B" w:rsidP="009E3B2F">
            <w:pPr>
              <w:spacing w:after="0" w:line="240" w:lineRule="auto"/>
              <w:jc w:val="center"/>
              <w:rPr>
                <w:rFonts w:ascii="Futura Std Condensed Light" w:eastAsia="Times New Roman" w:hAnsi="Futura Std Condensed Light" w:cs="Calibri"/>
                <w:sz w:val="20"/>
                <w:szCs w:val="20"/>
                <w:lang w:eastAsia="es-MX"/>
              </w:rPr>
            </w:pPr>
            <w:r w:rsidRPr="00F07484">
              <w:rPr>
                <w:rFonts w:ascii="Futura Std Condensed Light" w:eastAsia="Times New Roman" w:hAnsi="Futura Std Condensed Light" w:cs="Calibri"/>
                <w:sz w:val="20"/>
                <w:szCs w:val="20"/>
                <w:lang w:eastAsia="es-MX"/>
              </w:rPr>
              <w:t>175</w:t>
            </w:r>
          </w:p>
        </w:tc>
        <w:tc>
          <w:tcPr>
            <w:tcW w:w="1235" w:type="dxa"/>
            <w:shd w:val="clear" w:color="auto" w:fill="auto"/>
            <w:noWrap/>
            <w:vAlign w:val="bottom"/>
            <w:hideMark/>
          </w:tcPr>
          <w:p w14:paraId="70B55F3A" w14:textId="77777777" w:rsidR="006D148B" w:rsidRPr="00F07484" w:rsidRDefault="006D148B" w:rsidP="009E3B2F">
            <w:pPr>
              <w:spacing w:after="0" w:line="240" w:lineRule="auto"/>
              <w:jc w:val="center"/>
              <w:rPr>
                <w:rFonts w:ascii="Futura Std Condensed Light" w:eastAsia="Times New Roman" w:hAnsi="Futura Std Condensed Light" w:cs="Calibri"/>
                <w:sz w:val="20"/>
                <w:szCs w:val="20"/>
                <w:lang w:eastAsia="es-MX"/>
              </w:rPr>
            </w:pPr>
            <w:r w:rsidRPr="00F07484">
              <w:rPr>
                <w:rFonts w:ascii="Futura Std Condensed Light" w:eastAsia="Times New Roman" w:hAnsi="Futura Std Condensed Light" w:cs="Calibri"/>
                <w:sz w:val="20"/>
                <w:szCs w:val="20"/>
                <w:lang w:eastAsia="es-MX"/>
              </w:rPr>
              <w:t>3,157</w:t>
            </w:r>
          </w:p>
        </w:tc>
      </w:tr>
      <w:tr w:rsidR="006D148B" w:rsidRPr="00E219A4" w14:paraId="741E50E5" w14:textId="77777777" w:rsidTr="004378A8">
        <w:trPr>
          <w:trHeight w:val="300"/>
          <w:jc w:val="center"/>
        </w:trPr>
        <w:tc>
          <w:tcPr>
            <w:tcW w:w="3689" w:type="dxa"/>
            <w:shd w:val="clear" w:color="auto" w:fill="auto"/>
            <w:noWrap/>
            <w:vAlign w:val="bottom"/>
            <w:hideMark/>
          </w:tcPr>
          <w:p w14:paraId="6D599ABF" w14:textId="77777777" w:rsidR="006D148B" w:rsidRPr="00F07484" w:rsidRDefault="006D148B" w:rsidP="004378A8">
            <w:pPr>
              <w:spacing w:after="0" w:line="240" w:lineRule="auto"/>
              <w:jc w:val="left"/>
              <w:rPr>
                <w:rFonts w:ascii="Futura Std Condensed Light" w:eastAsia="Times New Roman" w:hAnsi="Futura Std Condensed Light" w:cs="Calibri"/>
                <w:sz w:val="20"/>
                <w:szCs w:val="20"/>
                <w:lang w:eastAsia="es-MX"/>
              </w:rPr>
            </w:pPr>
            <w:r w:rsidRPr="00F07484">
              <w:rPr>
                <w:rFonts w:ascii="Futura Std Condensed Light" w:eastAsia="Times New Roman" w:hAnsi="Futura Std Condensed Light" w:cs="Calibri"/>
                <w:sz w:val="20"/>
                <w:szCs w:val="20"/>
                <w:lang w:eastAsia="es-MX"/>
              </w:rPr>
              <w:t>Doctorado</w:t>
            </w:r>
          </w:p>
        </w:tc>
        <w:tc>
          <w:tcPr>
            <w:tcW w:w="2536" w:type="dxa"/>
            <w:shd w:val="clear" w:color="auto" w:fill="auto"/>
            <w:noWrap/>
            <w:vAlign w:val="bottom"/>
            <w:hideMark/>
          </w:tcPr>
          <w:p w14:paraId="2192933D" w14:textId="77777777" w:rsidR="006D148B" w:rsidRPr="00F07484" w:rsidRDefault="006D148B" w:rsidP="009E3B2F">
            <w:pPr>
              <w:spacing w:after="0" w:line="240" w:lineRule="auto"/>
              <w:jc w:val="center"/>
              <w:rPr>
                <w:rFonts w:ascii="Futura Std Condensed Light" w:eastAsia="Times New Roman" w:hAnsi="Futura Std Condensed Light" w:cs="Calibri"/>
                <w:sz w:val="20"/>
                <w:szCs w:val="20"/>
                <w:lang w:eastAsia="es-MX"/>
              </w:rPr>
            </w:pPr>
            <w:r w:rsidRPr="00F07484">
              <w:rPr>
                <w:rFonts w:ascii="Futura Std Condensed Light" w:eastAsia="Times New Roman" w:hAnsi="Futura Std Condensed Light" w:cs="Calibri"/>
                <w:sz w:val="20"/>
                <w:szCs w:val="20"/>
                <w:lang w:eastAsia="es-MX"/>
              </w:rPr>
              <w:t>19</w:t>
            </w:r>
          </w:p>
        </w:tc>
        <w:tc>
          <w:tcPr>
            <w:tcW w:w="1235" w:type="dxa"/>
            <w:shd w:val="clear" w:color="auto" w:fill="auto"/>
            <w:noWrap/>
            <w:vAlign w:val="bottom"/>
            <w:hideMark/>
          </w:tcPr>
          <w:p w14:paraId="0F275CC3" w14:textId="77777777" w:rsidR="006D148B" w:rsidRPr="00F07484" w:rsidRDefault="006D148B" w:rsidP="009E3B2F">
            <w:pPr>
              <w:spacing w:after="0" w:line="240" w:lineRule="auto"/>
              <w:jc w:val="center"/>
              <w:rPr>
                <w:rFonts w:ascii="Futura Std Condensed Light" w:eastAsia="Times New Roman" w:hAnsi="Futura Std Condensed Light" w:cs="Calibri"/>
                <w:sz w:val="20"/>
                <w:szCs w:val="20"/>
                <w:lang w:eastAsia="es-MX"/>
              </w:rPr>
            </w:pPr>
            <w:r w:rsidRPr="00F07484">
              <w:rPr>
                <w:rFonts w:ascii="Futura Std Condensed Light" w:eastAsia="Times New Roman" w:hAnsi="Futura Std Condensed Light" w:cs="Calibri"/>
                <w:sz w:val="20"/>
                <w:szCs w:val="20"/>
                <w:lang w:eastAsia="es-MX"/>
              </w:rPr>
              <w:t>394</w:t>
            </w:r>
          </w:p>
        </w:tc>
      </w:tr>
      <w:tr w:rsidR="006D148B" w:rsidRPr="00E219A4" w14:paraId="4B562030" w14:textId="77777777" w:rsidTr="004378A8">
        <w:trPr>
          <w:trHeight w:val="300"/>
          <w:jc w:val="center"/>
        </w:trPr>
        <w:tc>
          <w:tcPr>
            <w:tcW w:w="3689" w:type="dxa"/>
            <w:shd w:val="clear" w:color="auto" w:fill="auto"/>
            <w:noWrap/>
            <w:vAlign w:val="bottom"/>
            <w:hideMark/>
          </w:tcPr>
          <w:p w14:paraId="4A1259E7" w14:textId="77777777" w:rsidR="006D148B" w:rsidRPr="00F07484" w:rsidRDefault="006D148B" w:rsidP="000A72E5">
            <w:pPr>
              <w:spacing w:after="0" w:line="240" w:lineRule="auto"/>
              <w:jc w:val="center"/>
              <w:rPr>
                <w:rFonts w:ascii="Futura Std Condensed Light" w:eastAsia="Times New Roman" w:hAnsi="Futura Std Condensed Light" w:cs="Calibri"/>
                <w:b/>
                <w:sz w:val="20"/>
                <w:szCs w:val="20"/>
                <w:lang w:eastAsia="es-MX"/>
              </w:rPr>
            </w:pPr>
            <w:r w:rsidRPr="00F07484">
              <w:rPr>
                <w:rFonts w:ascii="Futura Std Condensed Light" w:eastAsia="Times New Roman" w:hAnsi="Futura Std Condensed Light" w:cs="Calibri"/>
                <w:b/>
                <w:sz w:val="20"/>
                <w:szCs w:val="20"/>
                <w:lang w:eastAsia="es-MX"/>
              </w:rPr>
              <w:t>Total</w:t>
            </w:r>
          </w:p>
        </w:tc>
        <w:tc>
          <w:tcPr>
            <w:tcW w:w="2536" w:type="dxa"/>
            <w:shd w:val="clear" w:color="auto" w:fill="auto"/>
            <w:noWrap/>
            <w:vAlign w:val="bottom"/>
            <w:hideMark/>
          </w:tcPr>
          <w:p w14:paraId="3D0FBE5F" w14:textId="77777777" w:rsidR="006D148B" w:rsidRPr="00F07484" w:rsidRDefault="006D148B" w:rsidP="009E3B2F">
            <w:pPr>
              <w:spacing w:after="0" w:line="240" w:lineRule="auto"/>
              <w:jc w:val="center"/>
              <w:rPr>
                <w:rFonts w:ascii="Futura Std Condensed Light" w:eastAsia="Times New Roman" w:hAnsi="Futura Std Condensed Light" w:cs="Calibri"/>
                <w:b/>
                <w:sz w:val="20"/>
                <w:szCs w:val="20"/>
                <w:lang w:eastAsia="es-MX"/>
              </w:rPr>
            </w:pPr>
            <w:r w:rsidRPr="00F07484">
              <w:rPr>
                <w:rFonts w:ascii="Futura Std Condensed Light" w:eastAsia="Times New Roman" w:hAnsi="Futura Std Condensed Light" w:cs="Calibri"/>
                <w:b/>
                <w:sz w:val="20"/>
                <w:szCs w:val="20"/>
                <w:lang w:eastAsia="es-MX"/>
              </w:rPr>
              <w:t>785</w:t>
            </w:r>
          </w:p>
        </w:tc>
        <w:tc>
          <w:tcPr>
            <w:tcW w:w="1235" w:type="dxa"/>
            <w:shd w:val="clear" w:color="auto" w:fill="auto"/>
            <w:noWrap/>
            <w:vAlign w:val="bottom"/>
            <w:hideMark/>
          </w:tcPr>
          <w:p w14:paraId="200718FB" w14:textId="77777777" w:rsidR="006D148B" w:rsidRPr="00F07484" w:rsidRDefault="006D148B" w:rsidP="009E3B2F">
            <w:pPr>
              <w:spacing w:after="0" w:line="240" w:lineRule="auto"/>
              <w:jc w:val="center"/>
              <w:rPr>
                <w:rFonts w:ascii="Futura Std Condensed Light" w:eastAsia="Times New Roman" w:hAnsi="Futura Std Condensed Light" w:cs="Calibri"/>
                <w:b/>
                <w:sz w:val="20"/>
                <w:szCs w:val="20"/>
                <w:lang w:eastAsia="es-MX"/>
              </w:rPr>
            </w:pPr>
            <w:r w:rsidRPr="00F07484">
              <w:rPr>
                <w:rFonts w:ascii="Futura Std Condensed Light" w:eastAsia="Times New Roman" w:hAnsi="Futura Std Condensed Light" w:cs="Calibri"/>
                <w:b/>
                <w:sz w:val="20"/>
                <w:szCs w:val="20"/>
                <w:lang w:eastAsia="es-MX"/>
              </w:rPr>
              <w:t>52,208</w:t>
            </w:r>
          </w:p>
        </w:tc>
      </w:tr>
    </w:tbl>
    <w:p w14:paraId="421DA475" w14:textId="77777777" w:rsidR="006D148B" w:rsidRDefault="006D148B" w:rsidP="006D148B">
      <w:pPr>
        <w:spacing w:after="0"/>
        <w:jc w:val="center"/>
        <w:rPr>
          <w:rFonts w:eastAsia="Times New Roman" w:cs="Futura"/>
        </w:rPr>
      </w:pPr>
      <w:r w:rsidRPr="008248F3">
        <w:rPr>
          <w:rFonts w:ascii="Futura Bk BT" w:hAnsi="Futura Bk BT"/>
          <w:b/>
          <w:sz w:val="16"/>
          <w:szCs w:val="16"/>
        </w:rPr>
        <w:t>Fuente:</w:t>
      </w:r>
      <w:r w:rsidRPr="008248F3">
        <w:rPr>
          <w:rFonts w:ascii="Futura Bk BT" w:hAnsi="Futura Bk BT"/>
          <w:sz w:val="16"/>
          <w:szCs w:val="16"/>
        </w:rPr>
        <w:t xml:space="preserve"> </w:t>
      </w:r>
      <w:r>
        <w:rPr>
          <w:rFonts w:ascii="Futura Bk BT" w:hAnsi="Futura Bk BT"/>
          <w:sz w:val="16"/>
          <w:szCs w:val="16"/>
        </w:rPr>
        <w:t>Estadística básica del Sistema Educativo Estatal, ciclo escolar 2019-2020, SEQ.</w:t>
      </w:r>
    </w:p>
    <w:p w14:paraId="063B003D" w14:textId="77777777" w:rsidR="006D148B" w:rsidRDefault="006D148B" w:rsidP="006D148B">
      <w:pPr>
        <w:spacing w:after="0"/>
        <w:jc w:val="center"/>
        <w:rPr>
          <w:rFonts w:eastAsia="Times New Roman" w:cs="Futura"/>
        </w:rPr>
      </w:pPr>
    </w:p>
    <w:p w14:paraId="518AE58E" w14:textId="60356D5E" w:rsidR="00AE16F1" w:rsidRDefault="006D148B" w:rsidP="00923758">
      <w:pPr>
        <w:rPr>
          <w:rFonts w:eastAsia="Times New Roman" w:cs="Futura"/>
        </w:rPr>
      </w:pPr>
      <w:r>
        <w:rPr>
          <w:rFonts w:eastAsia="Times New Roman" w:cs="Futura"/>
        </w:rPr>
        <w:t xml:space="preserve">La matrícula de licenciaturas de educación superior está dividida, por área de estudio en ocho campos de formación, con una matrícula de 45 mil 693 estudiantes de los cuales 22 mil 136 son hombres y 23 mil 557 son mujeres, el campo de formación con mayor porcentaje de estudiantes es el de ciencias sociales, administración y derecho con el 54.8 por ciento de la matrícula y el campo de formación con el porcentaje más bajo es el de agronomía y veterinaria con 1.3 por ciento (cuadro 13).  </w:t>
      </w:r>
      <w:r w:rsidR="00AE16F1">
        <w:rPr>
          <w:rFonts w:eastAsia="Times New Roman" w:cs="Futura"/>
        </w:rPr>
        <w:br w:type="page"/>
      </w:r>
    </w:p>
    <w:p w14:paraId="63AA2615" w14:textId="77777777" w:rsidR="006D148B" w:rsidRPr="00643FFF" w:rsidRDefault="006D148B" w:rsidP="006D148B">
      <w:pPr>
        <w:spacing w:after="0"/>
        <w:jc w:val="center"/>
        <w:rPr>
          <w:b/>
          <w:color w:val="4BACC6" w:themeColor="accent5"/>
        </w:rPr>
      </w:pPr>
      <w:r>
        <w:rPr>
          <w:b/>
          <w:color w:val="4BACC6" w:themeColor="accent5"/>
        </w:rPr>
        <w:lastRenderedPageBreak/>
        <w:t>Cuadro 13. Matrícula de Educación Superior por área de estudio, ciclo escolar 2019-2020</w:t>
      </w:r>
    </w:p>
    <w:tbl>
      <w:tblPr>
        <w:tblW w:w="52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33"/>
        <w:gridCol w:w="1130"/>
        <w:gridCol w:w="1041"/>
        <w:gridCol w:w="876"/>
        <w:gridCol w:w="1669"/>
      </w:tblGrid>
      <w:tr w:rsidR="006D148B" w:rsidRPr="00F43031" w14:paraId="284A4C67" w14:textId="77777777" w:rsidTr="000A72E5">
        <w:trPr>
          <w:trHeight w:val="300"/>
        </w:trPr>
        <w:tc>
          <w:tcPr>
            <w:tcW w:w="2629" w:type="pct"/>
            <w:shd w:val="clear" w:color="auto" w:fill="A6A6A6" w:themeFill="background1" w:themeFillShade="A6"/>
            <w:noWrap/>
            <w:vAlign w:val="bottom"/>
            <w:hideMark/>
          </w:tcPr>
          <w:p w14:paraId="1183E141" w14:textId="77777777" w:rsidR="006D148B" w:rsidRPr="00F07484" w:rsidRDefault="006D148B" w:rsidP="00F07484">
            <w:pPr>
              <w:spacing w:after="0" w:line="240" w:lineRule="auto"/>
              <w:jc w:val="center"/>
              <w:rPr>
                <w:rFonts w:ascii="Futura Std Condensed Light" w:eastAsia="Times New Roman" w:hAnsi="Futura Std Condensed Light" w:cs="Calibri"/>
                <w:sz w:val="20"/>
                <w:szCs w:val="20"/>
                <w:lang w:eastAsia="es-MX"/>
              </w:rPr>
            </w:pPr>
            <w:r w:rsidRPr="00F07484">
              <w:rPr>
                <w:rFonts w:ascii="Futura Std Condensed Light" w:eastAsia="Times New Roman" w:hAnsi="Futura Std Condensed Light" w:cs="Calibri"/>
                <w:sz w:val="20"/>
                <w:szCs w:val="20"/>
                <w:lang w:eastAsia="es-MX"/>
              </w:rPr>
              <w:t>Campos de formación</w:t>
            </w:r>
          </w:p>
        </w:tc>
        <w:tc>
          <w:tcPr>
            <w:tcW w:w="568" w:type="pct"/>
            <w:shd w:val="clear" w:color="auto" w:fill="A6A6A6" w:themeFill="background1" w:themeFillShade="A6"/>
            <w:noWrap/>
            <w:vAlign w:val="bottom"/>
            <w:hideMark/>
          </w:tcPr>
          <w:p w14:paraId="0B652421" w14:textId="77777777" w:rsidR="006D148B" w:rsidRPr="00F07484" w:rsidRDefault="006D148B" w:rsidP="00F07484">
            <w:pPr>
              <w:spacing w:after="0" w:line="240" w:lineRule="auto"/>
              <w:jc w:val="center"/>
              <w:rPr>
                <w:rFonts w:ascii="Futura Std Condensed Light" w:eastAsia="Times New Roman" w:hAnsi="Futura Std Condensed Light" w:cs="Calibri"/>
                <w:sz w:val="20"/>
                <w:szCs w:val="20"/>
                <w:lang w:eastAsia="es-MX"/>
              </w:rPr>
            </w:pPr>
            <w:r w:rsidRPr="00F07484">
              <w:rPr>
                <w:rFonts w:ascii="Futura Std Condensed Light" w:eastAsia="Times New Roman" w:hAnsi="Futura Std Condensed Light" w:cs="Calibri"/>
                <w:sz w:val="20"/>
                <w:szCs w:val="20"/>
                <w:lang w:eastAsia="es-MX"/>
              </w:rPr>
              <w:t>Hombres</w:t>
            </w:r>
          </w:p>
        </w:tc>
        <w:tc>
          <w:tcPr>
            <w:tcW w:w="523" w:type="pct"/>
            <w:shd w:val="clear" w:color="auto" w:fill="A6A6A6" w:themeFill="background1" w:themeFillShade="A6"/>
            <w:noWrap/>
            <w:vAlign w:val="bottom"/>
            <w:hideMark/>
          </w:tcPr>
          <w:p w14:paraId="4227AB3A" w14:textId="77777777" w:rsidR="006D148B" w:rsidRPr="00F07484" w:rsidRDefault="006D148B" w:rsidP="00F07484">
            <w:pPr>
              <w:spacing w:after="0" w:line="240" w:lineRule="auto"/>
              <w:jc w:val="center"/>
              <w:rPr>
                <w:rFonts w:ascii="Futura Std Condensed Light" w:eastAsia="Times New Roman" w:hAnsi="Futura Std Condensed Light" w:cs="Calibri"/>
                <w:sz w:val="20"/>
                <w:szCs w:val="20"/>
                <w:lang w:eastAsia="es-MX"/>
              </w:rPr>
            </w:pPr>
            <w:r w:rsidRPr="00F07484">
              <w:rPr>
                <w:rFonts w:ascii="Futura Std Condensed Light" w:eastAsia="Times New Roman" w:hAnsi="Futura Std Condensed Light" w:cs="Calibri"/>
                <w:sz w:val="20"/>
                <w:szCs w:val="20"/>
                <w:lang w:eastAsia="es-MX"/>
              </w:rPr>
              <w:t>Mujeres</w:t>
            </w:r>
          </w:p>
        </w:tc>
        <w:tc>
          <w:tcPr>
            <w:tcW w:w="440" w:type="pct"/>
            <w:shd w:val="clear" w:color="auto" w:fill="A6A6A6" w:themeFill="background1" w:themeFillShade="A6"/>
            <w:noWrap/>
            <w:vAlign w:val="bottom"/>
            <w:hideMark/>
          </w:tcPr>
          <w:p w14:paraId="06E0B47A" w14:textId="77777777" w:rsidR="006D148B" w:rsidRPr="00F07484" w:rsidRDefault="006D148B" w:rsidP="00F07484">
            <w:pPr>
              <w:spacing w:after="0" w:line="240" w:lineRule="auto"/>
              <w:jc w:val="center"/>
              <w:rPr>
                <w:rFonts w:ascii="Futura Std Condensed Light" w:eastAsia="Times New Roman" w:hAnsi="Futura Std Condensed Light" w:cs="Calibri"/>
                <w:sz w:val="20"/>
                <w:szCs w:val="20"/>
                <w:lang w:eastAsia="es-MX"/>
              </w:rPr>
            </w:pPr>
            <w:r w:rsidRPr="00F07484">
              <w:rPr>
                <w:rFonts w:ascii="Futura Std Condensed Light" w:eastAsia="Times New Roman" w:hAnsi="Futura Std Condensed Light" w:cs="Calibri"/>
                <w:sz w:val="20"/>
                <w:szCs w:val="20"/>
                <w:lang w:eastAsia="es-MX"/>
              </w:rPr>
              <w:t>Total</w:t>
            </w:r>
          </w:p>
        </w:tc>
        <w:tc>
          <w:tcPr>
            <w:tcW w:w="839" w:type="pct"/>
            <w:shd w:val="clear" w:color="auto" w:fill="A6A6A6" w:themeFill="background1" w:themeFillShade="A6"/>
            <w:noWrap/>
            <w:vAlign w:val="bottom"/>
            <w:hideMark/>
          </w:tcPr>
          <w:p w14:paraId="75786F14" w14:textId="77777777" w:rsidR="006D148B" w:rsidRPr="00F07484" w:rsidRDefault="006D148B" w:rsidP="00F07484">
            <w:pPr>
              <w:spacing w:after="0" w:line="240" w:lineRule="auto"/>
              <w:jc w:val="center"/>
              <w:rPr>
                <w:rFonts w:ascii="Futura Std Condensed Light" w:eastAsia="Times New Roman" w:hAnsi="Futura Std Condensed Light" w:cs="Calibri"/>
                <w:sz w:val="20"/>
                <w:szCs w:val="20"/>
                <w:lang w:eastAsia="es-MX"/>
              </w:rPr>
            </w:pPr>
            <w:r w:rsidRPr="00F07484">
              <w:rPr>
                <w:rFonts w:ascii="Futura Std Condensed Light" w:eastAsia="Times New Roman" w:hAnsi="Futura Std Condensed Light" w:cs="Calibri"/>
                <w:sz w:val="20"/>
                <w:szCs w:val="20"/>
                <w:lang w:eastAsia="es-MX"/>
              </w:rPr>
              <w:t>Porcentaje</w:t>
            </w:r>
          </w:p>
        </w:tc>
      </w:tr>
      <w:tr w:rsidR="006D148B" w:rsidRPr="00F43031" w14:paraId="15AA4F45" w14:textId="77777777" w:rsidTr="000A72E5">
        <w:trPr>
          <w:trHeight w:val="300"/>
        </w:trPr>
        <w:tc>
          <w:tcPr>
            <w:tcW w:w="2629" w:type="pct"/>
            <w:shd w:val="clear" w:color="auto" w:fill="auto"/>
            <w:noWrap/>
            <w:vAlign w:val="bottom"/>
            <w:hideMark/>
          </w:tcPr>
          <w:p w14:paraId="4561C1E4" w14:textId="77777777" w:rsidR="006D148B" w:rsidRPr="00F07484" w:rsidRDefault="006D148B" w:rsidP="00F07484">
            <w:pPr>
              <w:spacing w:after="0" w:line="240" w:lineRule="auto"/>
              <w:jc w:val="left"/>
              <w:rPr>
                <w:rFonts w:ascii="Futura Std Condensed Light" w:eastAsia="Times New Roman" w:hAnsi="Futura Std Condensed Light" w:cs="Calibri"/>
                <w:sz w:val="20"/>
                <w:szCs w:val="20"/>
                <w:lang w:eastAsia="es-MX"/>
              </w:rPr>
            </w:pPr>
            <w:r w:rsidRPr="00F07484">
              <w:rPr>
                <w:rFonts w:ascii="Futura Std Condensed Light" w:eastAsia="Times New Roman" w:hAnsi="Futura Std Condensed Light" w:cs="Calibri"/>
                <w:sz w:val="20"/>
                <w:szCs w:val="20"/>
                <w:lang w:eastAsia="es-MX"/>
              </w:rPr>
              <w:t>Administración y negocios</w:t>
            </w:r>
          </w:p>
        </w:tc>
        <w:tc>
          <w:tcPr>
            <w:tcW w:w="568" w:type="pct"/>
            <w:shd w:val="clear" w:color="auto" w:fill="auto"/>
            <w:noWrap/>
            <w:vAlign w:val="bottom"/>
            <w:hideMark/>
          </w:tcPr>
          <w:p w14:paraId="525823B0" w14:textId="77777777" w:rsidR="006D148B" w:rsidRPr="00F07484" w:rsidRDefault="006D148B" w:rsidP="00F07484">
            <w:pPr>
              <w:spacing w:after="0" w:line="240" w:lineRule="auto"/>
              <w:jc w:val="left"/>
              <w:rPr>
                <w:rFonts w:ascii="Futura Std Condensed Light" w:eastAsia="Times New Roman" w:hAnsi="Futura Std Condensed Light" w:cs="Calibri"/>
                <w:sz w:val="20"/>
                <w:szCs w:val="20"/>
                <w:lang w:eastAsia="es-MX"/>
              </w:rPr>
            </w:pPr>
            <w:r w:rsidRPr="00F07484">
              <w:rPr>
                <w:rFonts w:ascii="Futura Std Condensed Light" w:eastAsia="Times New Roman" w:hAnsi="Futura Std Condensed Light" w:cs="Calibri"/>
                <w:sz w:val="20"/>
                <w:szCs w:val="20"/>
                <w:lang w:eastAsia="es-MX"/>
              </w:rPr>
              <w:t>8,089</w:t>
            </w:r>
          </w:p>
        </w:tc>
        <w:tc>
          <w:tcPr>
            <w:tcW w:w="523" w:type="pct"/>
            <w:shd w:val="clear" w:color="auto" w:fill="auto"/>
            <w:noWrap/>
            <w:vAlign w:val="bottom"/>
            <w:hideMark/>
          </w:tcPr>
          <w:p w14:paraId="1A5E0B4E" w14:textId="77777777" w:rsidR="006D148B" w:rsidRPr="00F07484" w:rsidRDefault="006D148B" w:rsidP="00F07484">
            <w:pPr>
              <w:spacing w:after="0" w:line="240" w:lineRule="auto"/>
              <w:jc w:val="left"/>
              <w:rPr>
                <w:rFonts w:ascii="Futura Std Condensed Light" w:eastAsia="Times New Roman" w:hAnsi="Futura Std Condensed Light" w:cs="Calibri"/>
                <w:sz w:val="20"/>
                <w:szCs w:val="20"/>
                <w:lang w:eastAsia="es-MX"/>
              </w:rPr>
            </w:pPr>
            <w:r w:rsidRPr="00F07484">
              <w:rPr>
                <w:rFonts w:ascii="Futura Std Condensed Light" w:eastAsia="Times New Roman" w:hAnsi="Futura Std Condensed Light" w:cs="Calibri"/>
                <w:sz w:val="20"/>
                <w:szCs w:val="20"/>
                <w:lang w:eastAsia="es-MX"/>
              </w:rPr>
              <w:t>8,966</w:t>
            </w:r>
          </w:p>
        </w:tc>
        <w:tc>
          <w:tcPr>
            <w:tcW w:w="440" w:type="pct"/>
            <w:shd w:val="clear" w:color="auto" w:fill="auto"/>
            <w:noWrap/>
            <w:vAlign w:val="bottom"/>
            <w:hideMark/>
          </w:tcPr>
          <w:p w14:paraId="24E4662F" w14:textId="77777777" w:rsidR="006D148B" w:rsidRPr="00F07484" w:rsidRDefault="006D148B" w:rsidP="00F07484">
            <w:pPr>
              <w:spacing w:after="0" w:line="240" w:lineRule="auto"/>
              <w:jc w:val="left"/>
              <w:rPr>
                <w:rFonts w:ascii="Futura Std Condensed Light" w:eastAsia="Times New Roman" w:hAnsi="Futura Std Condensed Light" w:cs="Calibri"/>
                <w:sz w:val="20"/>
                <w:szCs w:val="20"/>
                <w:lang w:eastAsia="es-MX"/>
              </w:rPr>
            </w:pPr>
            <w:r w:rsidRPr="00F07484">
              <w:rPr>
                <w:rFonts w:ascii="Futura Std Condensed Light" w:eastAsia="Times New Roman" w:hAnsi="Futura Std Condensed Light" w:cs="Calibri"/>
                <w:sz w:val="20"/>
                <w:szCs w:val="20"/>
                <w:lang w:eastAsia="es-MX"/>
              </w:rPr>
              <w:t>17055</w:t>
            </w:r>
          </w:p>
        </w:tc>
        <w:tc>
          <w:tcPr>
            <w:tcW w:w="839" w:type="pct"/>
            <w:shd w:val="clear" w:color="auto" w:fill="auto"/>
            <w:noWrap/>
            <w:vAlign w:val="bottom"/>
            <w:hideMark/>
          </w:tcPr>
          <w:p w14:paraId="6930F16A" w14:textId="77777777" w:rsidR="006D148B" w:rsidRPr="00F07484" w:rsidRDefault="006D148B" w:rsidP="00F07484">
            <w:pPr>
              <w:spacing w:after="0" w:line="240" w:lineRule="auto"/>
              <w:jc w:val="left"/>
              <w:rPr>
                <w:rFonts w:ascii="Futura Std Condensed Light" w:eastAsia="Times New Roman" w:hAnsi="Futura Std Condensed Light" w:cs="Calibri"/>
                <w:sz w:val="20"/>
                <w:szCs w:val="20"/>
                <w:lang w:eastAsia="es-MX"/>
              </w:rPr>
            </w:pPr>
            <w:r w:rsidRPr="00F07484">
              <w:rPr>
                <w:rFonts w:ascii="Futura Std Condensed Light" w:eastAsia="Times New Roman" w:hAnsi="Futura Std Condensed Light" w:cs="Calibri"/>
                <w:sz w:val="20"/>
                <w:szCs w:val="20"/>
                <w:lang w:eastAsia="es-MX"/>
              </w:rPr>
              <w:t>37.3</w:t>
            </w:r>
          </w:p>
        </w:tc>
      </w:tr>
      <w:tr w:rsidR="006D148B" w:rsidRPr="00F43031" w14:paraId="27B68DE2" w14:textId="77777777" w:rsidTr="000A72E5">
        <w:trPr>
          <w:trHeight w:val="300"/>
        </w:trPr>
        <w:tc>
          <w:tcPr>
            <w:tcW w:w="2629" w:type="pct"/>
            <w:shd w:val="clear" w:color="auto" w:fill="auto"/>
            <w:noWrap/>
            <w:vAlign w:val="bottom"/>
            <w:hideMark/>
          </w:tcPr>
          <w:p w14:paraId="41AFC2CA" w14:textId="77777777" w:rsidR="006D148B" w:rsidRPr="00F07484" w:rsidRDefault="006D148B" w:rsidP="00F07484">
            <w:pPr>
              <w:spacing w:after="0" w:line="240" w:lineRule="auto"/>
              <w:jc w:val="left"/>
              <w:rPr>
                <w:rFonts w:ascii="Futura Std Condensed Light" w:eastAsia="Times New Roman" w:hAnsi="Futura Std Condensed Light" w:cs="Calibri"/>
                <w:sz w:val="20"/>
                <w:szCs w:val="20"/>
                <w:lang w:eastAsia="es-MX"/>
              </w:rPr>
            </w:pPr>
            <w:r w:rsidRPr="00F07484">
              <w:rPr>
                <w:rFonts w:ascii="Futura Std Condensed Light" w:eastAsia="Times New Roman" w:hAnsi="Futura Std Condensed Light" w:cs="Calibri"/>
                <w:sz w:val="20"/>
                <w:szCs w:val="20"/>
                <w:lang w:eastAsia="es-MX"/>
              </w:rPr>
              <w:t>Ciencias sociales y derecho</w:t>
            </w:r>
          </w:p>
        </w:tc>
        <w:tc>
          <w:tcPr>
            <w:tcW w:w="568" w:type="pct"/>
            <w:shd w:val="clear" w:color="auto" w:fill="auto"/>
            <w:noWrap/>
            <w:vAlign w:val="bottom"/>
            <w:hideMark/>
          </w:tcPr>
          <w:p w14:paraId="0ED0861E" w14:textId="77777777" w:rsidR="006D148B" w:rsidRPr="00F07484" w:rsidRDefault="006D148B" w:rsidP="00F07484">
            <w:pPr>
              <w:spacing w:after="0" w:line="240" w:lineRule="auto"/>
              <w:jc w:val="left"/>
              <w:rPr>
                <w:rFonts w:ascii="Futura Std Condensed Light" w:eastAsia="Times New Roman" w:hAnsi="Futura Std Condensed Light" w:cs="Calibri"/>
                <w:sz w:val="20"/>
                <w:szCs w:val="20"/>
                <w:lang w:eastAsia="es-MX"/>
              </w:rPr>
            </w:pPr>
            <w:r w:rsidRPr="00F07484">
              <w:rPr>
                <w:rFonts w:ascii="Futura Std Condensed Light" w:eastAsia="Times New Roman" w:hAnsi="Futura Std Condensed Light" w:cs="Calibri"/>
                <w:sz w:val="20"/>
                <w:szCs w:val="20"/>
                <w:lang w:eastAsia="es-MX"/>
              </w:rPr>
              <w:t>3,114</w:t>
            </w:r>
          </w:p>
        </w:tc>
        <w:tc>
          <w:tcPr>
            <w:tcW w:w="523" w:type="pct"/>
            <w:shd w:val="clear" w:color="auto" w:fill="auto"/>
            <w:noWrap/>
            <w:vAlign w:val="bottom"/>
            <w:hideMark/>
          </w:tcPr>
          <w:p w14:paraId="70B5F25B" w14:textId="77777777" w:rsidR="006D148B" w:rsidRPr="00F07484" w:rsidRDefault="006D148B" w:rsidP="00F07484">
            <w:pPr>
              <w:spacing w:after="0" w:line="240" w:lineRule="auto"/>
              <w:jc w:val="left"/>
              <w:rPr>
                <w:rFonts w:ascii="Futura Std Condensed Light" w:eastAsia="Times New Roman" w:hAnsi="Futura Std Condensed Light" w:cs="Calibri"/>
                <w:sz w:val="20"/>
                <w:szCs w:val="20"/>
                <w:lang w:eastAsia="es-MX"/>
              </w:rPr>
            </w:pPr>
            <w:r w:rsidRPr="00F07484">
              <w:rPr>
                <w:rFonts w:ascii="Futura Std Condensed Light" w:eastAsia="Times New Roman" w:hAnsi="Futura Std Condensed Light" w:cs="Calibri"/>
                <w:sz w:val="20"/>
                <w:szCs w:val="20"/>
                <w:lang w:eastAsia="es-MX"/>
              </w:rPr>
              <w:t>4,892</w:t>
            </w:r>
          </w:p>
        </w:tc>
        <w:tc>
          <w:tcPr>
            <w:tcW w:w="440" w:type="pct"/>
            <w:shd w:val="clear" w:color="auto" w:fill="auto"/>
            <w:noWrap/>
            <w:vAlign w:val="bottom"/>
            <w:hideMark/>
          </w:tcPr>
          <w:p w14:paraId="0F1F7583" w14:textId="77777777" w:rsidR="006D148B" w:rsidRPr="00F07484" w:rsidRDefault="006D148B" w:rsidP="00F07484">
            <w:pPr>
              <w:spacing w:after="0" w:line="240" w:lineRule="auto"/>
              <w:jc w:val="left"/>
              <w:rPr>
                <w:rFonts w:ascii="Futura Std Condensed Light" w:eastAsia="Times New Roman" w:hAnsi="Futura Std Condensed Light" w:cs="Calibri"/>
                <w:sz w:val="20"/>
                <w:szCs w:val="20"/>
                <w:lang w:eastAsia="es-MX"/>
              </w:rPr>
            </w:pPr>
            <w:r w:rsidRPr="00F07484">
              <w:rPr>
                <w:rFonts w:ascii="Futura Std Condensed Light" w:eastAsia="Times New Roman" w:hAnsi="Futura Std Condensed Light" w:cs="Calibri"/>
                <w:sz w:val="20"/>
                <w:szCs w:val="20"/>
                <w:lang w:eastAsia="es-MX"/>
              </w:rPr>
              <w:t>8006</w:t>
            </w:r>
          </w:p>
        </w:tc>
        <w:tc>
          <w:tcPr>
            <w:tcW w:w="839" w:type="pct"/>
            <w:shd w:val="clear" w:color="auto" w:fill="auto"/>
            <w:noWrap/>
            <w:vAlign w:val="bottom"/>
            <w:hideMark/>
          </w:tcPr>
          <w:p w14:paraId="44EBDE28" w14:textId="77777777" w:rsidR="006D148B" w:rsidRPr="00F07484" w:rsidRDefault="006D148B" w:rsidP="00F07484">
            <w:pPr>
              <w:spacing w:after="0" w:line="240" w:lineRule="auto"/>
              <w:jc w:val="left"/>
              <w:rPr>
                <w:rFonts w:ascii="Futura Std Condensed Light" w:eastAsia="Times New Roman" w:hAnsi="Futura Std Condensed Light" w:cs="Calibri"/>
                <w:sz w:val="20"/>
                <w:szCs w:val="20"/>
                <w:lang w:eastAsia="es-MX"/>
              </w:rPr>
            </w:pPr>
            <w:r w:rsidRPr="00F07484">
              <w:rPr>
                <w:rFonts w:ascii="Futura Std Condensed Light" w:eastAsia="Times New Roman" w:hAnsi="Futura Std Condensed Light" w:cs="Calibri"/>
                <w:sz w:val="20"/>
                <w:szCs w:val="20"/>
                <w:lang w:eastAsia="es-MX"/>
              </w:rPr>
              <w:t>17.5</w:t>
            </w:r>
          </w:p>
        </w:tc>
      </w:tr>
      <w:tr w:rsidR="006D148B" w:rsidRPr="00F43031" w14:paraId="347AAF3D" w14:textId="77777777" w:rsidTr="000A72E5">
        <w:trPr>
          <w:trHeight w:val="300"/>
        </w:trPr>
        <w:tc>
          <w:tcPr>
            <w:tcW w:w="2629" w:type="pct"/>
            <w:shd w:val="clear" w:color="auto" w:fill="auto"/>
            <w:noWrap/>
            <w:vAlign w:val="bottom"/>
            <w:hideMark/>
          </w:tcPr>
          <w:p w14:paraId="216DD96A" w14:textId="77777777" w:rsidR="006D148B" w:rsidRPr="00F07484" w:rsidRDefault="006D148B" w:rsidP="00F07484">
            <w:pPr>
              <w:spacing w:after="0" w:line="240" w:lineRule="auto"/>
              <w:jc w:val="left"/>
              <w:rPr>
                <w:rFonts w:ascii="Futura Std Condensed Light" w:eastAsia="Times New Roman" w:hAnsi="Futura Std Condensed Light" w:cs="Calibri"/>
                <w:sz w:val="20"/>
                <w:szCs w:val="20"/>
                <w:lang w:eastAsia="es-MX"/>
              </w:rPr>
            </w:pPr>
            <w:r w:rsidRPr="00F07484">
              <w:rPr>
                <w:rFonts w:ascii="Futura Std Condensed Light" w:eastAsia="Times New Roman" w:hAnsi="Futura Std Condensed Light" w:cs="Calibri"/>
                <w:sz w:val="20"/>
                <w:szCs w:val="20"/>
                <w:lang w:eastAsia="es-MX"/>
              </w:rPr>
              <w:t>Ingeniería, manufactura y construcción</w:t>
            </w:r>
          </w:p>
        </w:tc>
        <w:tc>
          <w:tcPr>
            <w:tcW w:w="568" w:type="pct"/>
            <w:shd w:val="clear" w:color="auto" w:fill="auto"/>
            <w:noWrap/>
            <w:vAlign w:val="bottom"/>
            <w:hideMark/>
          </w:tcPr>
          <w:p w14:paraId="0E3A87D6" w14:textId="77777777" w:rsidR="006D148B" w:rsidRPr="00F07484" w:rsidRDefault="006D148B" w:rsidP="00F07484">
            <w:pPr>
              <w:spacing w:after="0" w:line="240" w:lineRule="auto"/>
              <w:jc w:val="left"/>
              <w:rPr>
                <w:rFonts w:ascii="Futura Std Condensed Light" w:eastAsia="Times New Roman" w:hAnsi="Futura Std Condensed Light" w:cs="Calibri"/>
                <w:sz w:val="20"/>
                <w:szCs w:val="20"/>
                <w:lang w:eastAsia="es-MX"/>
              </w:rPr>
            </w:pPr>
            <w:r w:rsidRPr="00F07484">
              <w:rPr>
                <w:rFonts w:ascii="Futura Std Condensed Light" w:eastAsia="Times New Roman" w:hAnsi="Futura Std Condensed Light" w:cs="Calibri"/>
                <w:sz w:val="20"/>
                <w:szCs w:val="20"/>
                <w:lang w:eastAsia="es-MX"/>
              </w:rPr>
              <w:t>3,578</w:t>
            </w:r>
          </w:p>
        </w:tc>
        <w:tc>
          <w:tcPr>
            <w:tcW w:w="523" w:type="pct"/>
            <w:shd w:val="clear" w:color="auto" w:fill="auto"/>
            <w:noWrap/>
            <w:vAlign w:val="bottom"/>
            <w:hideMark/>
          </w:tcPr>
          <w:p w14:paraId="7679C56D" w14:textId="77777777" w:rsidR="006D148B" w:rsidRPr="00F07484" w:rsidRDefault="006D148B" w:rsidP="00F07484">
            <w:pPr>
              <w:spacing w:after="0" w:line="240" w:lineRule="auto"/>
              <w:jc w:val="left"/>
              <w:rPr>
                <w:rFonts w:ascii="Futura Std Condensed Light" w:eastAsia="Times New Roman" w:hAnsi="Futura Std Condensed Light" w:cs="Calibri"/>
                <w:sz w:val="20"/>
                <w:szCs w:val="20"/>
                <w:lang w:eastAsia="es-MX"/>
              </w:rPr>
            </w:pPr>
            <w:r w:rsidRPr="00F07484">
              <w:rPr>
                <w:rFonts w:ascii="Futura Std Condensed Light" w:eastAsia="Times New Roman" w:hAnsi="Futura Std Condensed Light" w:cs="Calibri"/>
                <w:sz w:val="20"/>
                <w:szCs w:val="20"/>
                <w:lang w:eastAsia="es-MX"/>
              </w:rPr>
              <w:t>1,267</w:t>
            </w:r>
          </w:p>
        </w:tc>
        <w:tc>
          <w:tcPr>
            <w:tcW w:w="440" w:type="pct"/>
            <w:shd w:val="clear" w:color="auto" w:fill="auto"/>
            <w:noWrap/>
            <w:vAlign w:val="bottom"/>
            <w:hideMark/>
          </w:tcPr>
          <w:p w14:paraId="3897D8A4" w14:textId="77777777" w:rsidR="006D148B" w:rsidRPr="00F07484" w:rsidRDefault="006D148B" w:rsidP="00F07484">
            <w:pPr>
              <w:spacing w:after="0" w:line="240" w:lineRule="auto"/>
              <w:jc w:val="left"/>
              <w:rPr>
                <w:rFonts w:ascii="Futura Std Condensed Light" w:eastAsia="Times New Roman" w:hAnsi="Futura Std Condensed Light" w:cs="Calibri"/>
                <w:sz w:val="20"/>
                <w:szCs w:val="20"/>
                <w:lang w:eastAsia="es-MX"/>
              </w:rPr>
            </w:pPr>
            <w:r w:rsidRPr="00F07484">
              <w:rPr>
                <w:rFonts w:ascii="Futura Std Condensed Light" w:eastAsia="Times New Roman" w:hAnsi="Futura Std Condensed Light" w:cs="Calibri"/>
                <w:sz w:val="20"/>
                <w:szCs w:val="20"/>
                <w:lang w:eastAsia="es-MX"/>
              </w:rPr>
              <w:t>4845</w:t>
            </w:r>
          </w:p>
        </w:tc>
        <w:tc>
          <w:tcPr>
            <w:tcW w:w="839" w:type="pct"/>
            <w:shd w:val="clear" w:color="auto" w:fill="auto"/>
            <w:noWrap/>
            <w:vAlign w:val="bottom"/>
            <w:hideMark/>
          </w:tcPr>
          <w:p w14:paraId="345ED0BD" w14:textId="77777777" w:rsidR="006D148B" w:rsidRPr="00F07484" w:rsidRDefault="006D148B" w:rsidP="00F07484">
            <w:pPr>
              <w:spacing w:after="0" w:line="240" w:lineRule="auto"/>
              <w:jc w:val="left"/>
              <w:rPr>
                <w:rFonts w:ascii="Futura Std Condensed Light" w:eastAsia="Times New Roman" w:hAnsi="Futura Std Condensed Light" w:cs="Calibri"/>
                <w:sz w:val="20"/>
                <w:szCs w:val="20"/>
                <w:lang w:eastAsia="es-MX"/>
              </w:rPr>
            </w:pPr>
            <w:r w:rsidRPr="00F07484">
              <w:rPr>
                <w:rFonts w:ascii="Futura Std Condensed Light" w:eastAsia="Times New Roman" w:hAnsi="Futura Std Condensed Light" w:cs="Calibri"/>
                <w:sz w:val="20"/>
                <w:szCs w:val="20"/>
                <w:lang w:eastAsia="es-MX"/>
              </w:rPr>
              <w:t>10.6</w:t>
            </w:r>
          </w:p>
        </w:tc>
      </w:tr>
      <w:tr w:rsidR="006D148B" w:rsidRPr="00F43031" w14:paraId="5A1E9568" w14:textId="77777777" w:rsidTr="000A72E5">
        <w:trPr>
          <w:trHeight w:val="300"/>
        </w:trPr>
        <w:tc>
          <w:tcPr>
            <w:tcW w:w="2629" w:type="pct"/>
            <w:shd w:val="clear" w:color="auto" w:fill="auto"/>
            <w:noWrap/>
            <w:vAlign w:val="bottom"/>
            <w:hideMark/>
          </w:tcPr>
          <w:p w14:paraId="61A18310" w14:textId="77777777" w:rsidR="006D148B" w:rsidRPr="00F07484" w:rsidRDefault="006D148B" w:rsidP="00F07484">
            <w:pPr>
              <w:spacing w:after="0" w:line="240" w:lineRule="auto"/>
              <w:jc w:val="left"/>
              <w:rPr>
                <w:rFonts w:ascii="Futura Std Condensed Light" w:eastAsia="Times New Roman" w:hAnsi="Futura Std Condensed Light" w:cs="Calibri"/>
                <w:sz w:val="20"/>
                <w:szCs w:val="20"/>
                <w:lang w:eastAsia="es-MX"/>
              </w:rPr>
            </w:pPr>
            <w:r w:rsidRPr="00F07484">
              <w:rPr>
                <w:rFonts w:ascii="Futura Std Condensed Light" w:eastAsia="Times New Roman" w:hAnsi="Futura Std Condensed Light" w:cs="Calibri"/>
                <w:sz w:val="20"/>
                <w:szCs w:val="20"/>
                <w:lang w:eastAsia="es-MX"/>
              </w:rPr>
              <w:t>Ciencias de la salud</w:t>
            </w:r>
          </w:p>
        </w:tc>
        <w:tc>
          <w:tcPr>
            <w:tcW w:w="568" w:type="pct"/>
            <w:shd w:val="clear" w:color="auto" w:fill="auto"/>
            <w:noWrap/>
            <w:vAlign w:val="bottom"/>
            <w:hideMark/>
          </w:tcPr>
          <w:p w14:paraId="0C2DD6BB" w14:textId="77777777" w:rsidR="006D148B" w:rsidRPr="00F07484" w:rsidRDefault="006D148B" w:rsidP="00F07484">
            <w:pPr>
              <w:spacing w:after="0" w:line="240" w:lineRule="auto"/>
              <w:jc w:val="left"/>
              <w:rPr>
                <w:rFonts w:ascii="Futura Std Condensed Light" w:eastAsia="Times New Roman" w:hAnsi="Futura Std Condensed Light" w:cs="Calibri"/>
                <w:sz w:val="20"/>
                <w:szCs w:val="20"/>
                <w:lang w:eastAsia="es-MX"/>
              </w:rPr>
            </w:pPr>
            <w:r w:rsidRPr="00F07484">
              <w:rPr>
                <w:rFonts w:ascii="Futura Std Condensed Light" w:eastAsia="Times New Roman" w:hAnsi="Futura Std Condensed Light" w:cs="Calibri"/>
                <w:sz w:val="20"/>
                <w:szCs w:val="20"/>
                <w:lang w:eastAsia="es-MX"/>
              </w:rPr>
              <w:t>1,405</w:t>
            </w:r>
          </w:p>
        </w:tc>
        <w:tc>
          <w:tcPr>
            <w:tcW w:w="523" w:type="pct"/>
            <w:shd w:val="clear" w:color="auto" w:fill="auto"/>
            <w:noWrap/>
            <w:vAlign w:val="bottom"/>
            <w:hideMark/>
          </w:tcPr>
          <w:p w14:paraId="55937636" w14:textId="77777777" w:rsidR="006D148B" w:rsidRPr="00F07484" w:rsidRDefault="006D148B" w:rsidP="00F07484">
            <w:pPr>
              <w:spacing w:after="0" w:line="240" w:lineRule="auto"/>
              <w:jc w:val="left"/>
              <w:rPr>
                <w:rFonts w:ascii="Futura Std Condensed Light" w:eastAsia="Times New Roman" w:hAnsi="Futura Std Condensed Light" w:cs="Calibri"/>
                <w:sz w:val="20"/>
                <w:szCs w:val="20"/>
                <w:lang w:eastAsia="es-MX"/>
              </w:rPr>
            </w:pPr>
            <w:r w:rsidRPr="00F07484">
              <w:rPr>
                <w:rFonts w:ascii="Futura Std Condensed Light" w:eastAsia="Times New Roman" w:hAnsi="Futura Std Condensed Light" w:cs="Calibri"/>
                <w:sz w:val="20"/>
                <w:szCs w:val="20"/>
                <w:lang w:eastAsia="es-MX"/>
              </w:rPr>
              <w:t>2,564</w:t>
            </w:r>
          </w:p>
        </w:tc>
        <w:tc>
          <w:tcPr>
            <w:tcW w:w="440" w:type="pct"/>
            <w:shd w:val="clear" w:color="auto" w:fill="auto"/>
            <w:noWrap/>
            <w:vAlign w:val="bottom"/>
            <w:hideMark/>
          </w:tcPr>
          <w:p w14:paraId="152ACAE3" w14:textId="77777777" w:rsidR="006D148B" w:rsidRPr="00F07484" w:rsidRDefault="006D148B" w:rsidP="00F07484">
            <w:pPr>
              <w:spacing w:after="0" w:line="240" w:lineRule="auto"/>
              <w:jc w:val="left"/>
              <w:rPr>
                <w:rFonts w:ascii="Futura Std Condensed Light" w:eastAsia="Times New Roman" w:hAnsi="Futura Std Condensed Light" w:cs="Calibri"/>
                <w:sz w:val="20"/>
                <w:szCs w:val="20"/>
                <w:lang w:eastAsia="es-MX"/>
              </w:rPr>
            </w:pPr>
            <w:r w:rsidRPr="00F07484">
              <w:rPr>
                <w:rFonts w:ascii="Futura Std Condensed Light" w:eastAsia="Times New Roman" w:hAnsi="Futura Std Condensed Light" w:cs="Calibri"/>
                <w:sz w:val="20"/>
                <w:szCs w:val="20"/>
                <w:lang w:eastAsia="es-MX"/>
              </w:rPr>
              <w:t>3969</w:t>
            </w:r>
          </w:p>
        </w:tc>
        <w:tc>
          <w:tcPr>
            <w:tcW w:w="839" w:type="pct"/>
            <w:shd w:val="clear" w:color="auto" w:fill="auto"/>
            <w:noWrap/>
            <w:vAlign w:val="bottom"/>
            <w:hideMark/>
          </w:tcPr>
          <w:p w14:paraId="25B63511" w14:textId="77777777" w:rsidR="006D148B" w:rsidRPr="00F07484" w:rsidRDefault="006D148B" w:rsidP="00F07484">
            <w:pPr>
              <w:spacing w:after="0" w:line="240" w:lineRule="auto"/>
              <w:jc w:val="left"/>
              <w:rPr>
                <w:rFonts w:ascii="Futura Std Condensed Light" w:eastAsia="Times New Roman" w:hAnsi="Futura Std Condensed Light" w:cs="Calibri"/>
                <w:sz w:val="20"/>
                <w:szCs w:val="20"/>
                <w:lang w:eastAsia="es-MX"/>
              </w:rPr>
            </w:pPr>
            <w:r w:rsidRPr="00F07484">
              <w:rPr>
                <w:rFonts w:ascii="Futura Std Condensed Light" w:eastAsia="Times New Roman" w:hAnsi="Futura Std Condensed Light" w:cs="Calibri"/>
                <w:sz w:val="20"/>
                <w:szCs w:val="20"/>
                <w:lang w:eastAsia="es-MX"/>
              </w:rPr>
              <w:t>8.7</w:t>
            </w:r>
          </w:p>
        </w:tc>
      </w:tr>
      <w:tr w:rsidR="006D148B" w:rsidRPr="00F43031" w14:paraId="598C3356" w14:textId="77777777" w:rsidTr="000A72E5">
        <w:trPr>
          <w:trHeight w:val="300"/>
        </w:trPr>
        <w:tc>
          <w:tcPr>
            <w:tcW w:w="2629" w:type="pct"/>
            <w:shd w:val="clear" w:color="auto" w:fill="auto"/>
            <w:noWrap/>
            <w:vAlign w:val="bottom"/>
            <w:hideMark/>
          </w:tcPr>
          <w:p w14:paraId="62569484" w14:textId="77777777" w:rsidR="006D148B" w:rsidRPr="00F07484" w:rsidRDefault="006D148B" w:rsidP="00F07484">
            <w:pPr>
              <w:spacing w:after="0" w:line="240" w:lineRule="auto"/>
              <w:jc w:val="left"/>
              <w:rPr>
                <w:rFonts w:ascii="Futura Std Condensed Light" w:eastAsia="Times New Roman" w:hAnsi="Futura Std Condensed Light" w:cs="Calibri"/>
                <w:sz w:val="20"/>
                <w:szCs w:val="20"/>
                <w:lang w:eastAsia="es-MX"/>
              </w:rPr>
            </w:pPr>
            <w:r w:rsidRPr="00F07484">
              <w:rPr>
                <w:rFonts w:ascii="Futura Std Condensed Light" w:eastAsia="Times New Roman" w:hAnsi="Futura Std Condensed Light" w:cs="Calibri"/>
                <w:sz w:val="20"/>
                <w:szCs w:val="20"/>
                <w:lang w:eastAsia="es-MX"/>
              </w:rPr>
              <w:t>Educación</w:t>
            </w:r>
          </w:p>
        </w:tc>
        <w:tc>
          <w:tcPr>
            <w:tcW w:w="568" w:type="pct"/>
            <w:shd w:val="clear" w:color="auto" w:fill="auto"/>
            <w:noWrap/>
            <w:vAlign w:val="bottom"/>
            <w:hideMark/>
          </w:tcPr>
          <w:p w14:paraId="2E8C6EB6" w14:textId="77777777" w:rsidR="006D148B" w:rsidRPr="00F07484" w:rsidRDefault="006D148B" w:rsidP="00F07484">
            <w:pPr>
              <w:spacing w:after="0" w:line="240" w:lineRule="auto"/>
              <w:jc w:val="left"/>
              <w:rPr>
                <w:rFonts w:ascii="Futura Std Condensed Light" w:eastAsia="Times New Roman" w:hAnsi="Futura Std Condensed Light" w:cs="Calibri"/>
                <w:sz w:val="20"/>
                <w:szCs w:val="20"/>
                <w:lang w:eastAsia="es-MX"/>
              </w:rPr>
            </w:pPr>
            <w:r w:rsidRPr="00F07484">
              <w:rPr>
                <w:rFonts w:ascii="Futura Std Condensed Light" w:eastAsia="Times New Roman" w:hAnsi="Futura Std Condensed Light" w:cs="Calibri"/>
                <w:sz w:val="20"/>
                <w:szCs w:val="20"/>
                <w:lang w:eastAsia="es-MX"/>
              </w:rPr>
              <w:t>795</w:t>
            </w:r>
          </w:p>
        </w:tc>
        <w:tc>
          <w:tcPr>
            <w:tcW w:w="523" w:type="pct"/>
            <w:shd w:val="clear" w:color="auto" w:fill="auto"/>
            <w:noWrap/>
            <w:vAlign w:val="bottom"/>
            <w:hideMark/>
          </w:tcPr>
          <w:p w14:paraId="5C7FFF07" w14:textId="77777777" w:rsidR="006D148B" w:rsidRPr="00F07484" w:rsidRDefault="006D148B" w:rsidP="00F07484">
            <w:pPr>
              <w:spacing w:after="0" w:line="240" w:lineRule="auto"/>
              <w:jc w:val="left"/>
              <w:rPr>
                <w:rFonts w:ascii="Futura Std Condensed Light" w:eastAsia="Times New Roman" w:hAnsi="Futura Std Condensed Light" w:cs="Calibri"/>
                <w:sz w:val="20"/>
                <w:szCs w:val="20"/>
                <w:lang w:eastAsia="es-MX"/>
              </w:rPr>
            </w:pPr>
            <w:r w:rsidRPr="00F07484">
              <w:rPr>
                <w:rFonts w:ascii="Futura Std Condensed Light" w:eastAsia="Times New Roman" w:hAnsi="Futura Std Condensed Light" w:cs="Calibri"/>
                <w:sz w:val="20"/>
                <w:szCs w:val="20"/>
                <w:lang w:eastAsia="es-MX"/>
              </w:rPr>
              <w:t>2,028</w:t>
            </w:r>
          </w:p>
        </w:tc>
        <w:tc>
          <w:tcPr>
            <w:tcW w:w="440" w:type="pct"/>
            <w:shd w:val="clear" w:color="auto" w:fill="auto"/>
            <w:noWrap/>
            <w:vAlign w:val="bottom"/>
            <w:hideMark/>
          </w:tcPr>
          <w:p w14:paraId="35679140" w14:textId="77777777" w:rsidR="006D148B" w:rsidRPr="00F07484" w:rsidRDefault="006D148B" w:rsidP="00F07484">
            <w:pPr>
              <w:spacing w:after="0" w:line="240" w:lineRule="auto"/>
              <w:jc w:val="left"/>
              <w:rPr>
                <w:rFonts w:ascii="Futura Std Condensed Light" w:eastAsia="Times New Roman" w:hAnsi="Futura Std Condensed Light" w:cs="Calibri"/>
                <w:sz w:val="20"/>
                <w:szCs w:val="20"/>
                <w:lang w:eastAsia="es-MX"/>
              </w:rPr>
            </w:pPr>
            <w:r w:rsidRPr="00F07484">
              <w:rPr>
                <w:rFonts w:ascii="Futura Std Condensed Light" w:eastAsia="Times New Roman" w:hAnsi="Futura Std Condensed Light" w:cs="Calibri"/>
                <w:sz w:val="20"/>
                <w:szCs w:val="20"/>
                <w:lang w:eastAsia="es-MX"/>
              </w:rPr>
              <w:t>2823</w:t>
            </w:r>
          </w:p>
        </w:tc>
        <w:tc>
          <w:tcPr>
            <w:tcW w:w="839" w:type="pct"/>
            <w:shd w:val="clear" w:color="auto" w:fill="auto"/>
            <w:noWrap/>
            <w:vAlign w:val="bottom"/>
            <w:hideMark/>
          </w:tcPr>
          <w:p w14:paraId="613C18B1" w14:textId="77777777" w:rsidR="006D148B" w:rsidRPr="00F07484" w:rsidRDefault="006D148B" w:rsidP="00F07484">
            <w:pPr>
              <w:spacing w:after="0" w:line="240" w:lineRule="auto"/>
              <w:jc w:val="left"/>
              <w:rPr>
                <w:rFonts w:ascii="Futura Std Condensed Light" w:eastAsia="Times New Roman" w:hAnsi="Futura Std Condensed Light" w:cs="Calibri"/>
                <w:sz w:val="20"/>
                <w:szCs w:val="20"/>
                <w:lang w:eastAsia="es-MX"/>
              </w:rPr>
            </w:pPr>
            <w:r w:rsidRPr="00F07484">
              <w:rPr>
                <w:rFonts w:ascii="Futura Std Condensed Light" w:eastAsia="Times New Roman" w:hAnsi="Futura Std Condensed Light" w:cs="Calibri"/>
                <w:sz w:val="20"/>
                <w:szCs w:val="20"/>
                <w:lang w:eastAsia="es-MX"/>
              </w:rPr>
              <w:t>6.2</w:t>
            </w:r>
          </w:p>
        </w:tc>
      </w:tr>
      <w:tr w:rsidR="006D148B" w:rsidRPr="00F43031" w14:paraId="7F3F1BE7" w14:textId="77777777" w:rsidTr="000A72E5">
        <w:trPr>
          <w:trHeight w:val="300"/>
        </w:trPr>
        <w:tc>
          <w:tcPr>
            <w:tcW w:w="2629" w:type="pct"/>
            <w:shd w:val="clear" w:color="auto" w:fill="auto"/>
            <w:noWrap/>
            <w:vAlign w:val="bottom"/>
            <w:hideMark/>
          </w:tcPr>
          <w:p w14:paraId="729A5FCD" w14:textId="77777777" w:rsidR="006D148B" w:rsidRPr="00F07484" w:rsidRDefault="006D148B" w:rsidP="00F07484">
            <w:pPr>
              <w:spacing w:after="0" w:line="240" w:lineRule="auto"/>
              <w:jc w:val="left"/>
              <w:rPr>
                <w:rFonts w:ascii="Futura Std Condensed Light" w:eastAsia="Times New Roman" w:hAnsi="Futura Std Condensed Light" w:cs="Calibri"/>
                <w:sz w:val="20"/>
                <w:szCs w:val="20"/>
                <w:lang w:eastAsia="es-MX"/>
              </w:rPr>
            </w:pPr>
            <w:r w:rsidRPr="00F07484">
              <w:rPr>
                <w:rFonts w:ascii="Futura Std Condensed Light" w:eastAsia="Times New Roman" w:hAnsi="Futura Std Condensed Light" w:cs="Calibri"/>
                <w:sz w:val="20"/>
                <w:szCs w:val="20"/>
                <w:lang w:eastAsia="es-MX"/>
              </w:rPr>
              <w:t>Tecnologías de la información y la comunicación</w:t>
            </w:r>
          </w:p>
        </w:tc>
        <w:tc>
          <w:tcPr>
            <w:tcW w:w="568" w:type="pct"/>
            <w:shd w:val="clear" w:color="auto" w:fill="auto"/>
            <w:noWrap/>
            <w:vAlign w:val="bottom"/>
            <w:hideMark/>
          </w:tcPr>
          <w:p w14:paraId="275A3B74" w14:textId="77777777" w:rsidR="006D148B" w:rsidRPr="00F07484" w:rsidRDefault="006D148B" w:rsidP="00F07484">
            <w:pPr>
              <w:spacing w:after="0" w:line="240" w:lineRule="auto"/>
              <w:jc w:val="left"/>
              <w:rPr>
                <w:rFonts w:ascii="Futura Std Condensed Light" w:eastAsia="Times New Roman" w:hAnsi="Futura Std Condensed Light" w:cs="Calibri"/>
                <w:sz w:val="20"/>
                <w:szCs w:val="20"/>
                <w:lang w:eastAsia="es-MX"/>
              </w:rPr>
            </w:pPr>
            <w:r w:rsidRPr="00F07484">
              <w:rPr>
                <w:rFonts w:ascii="Futura Std Condensed Light" w:eastAsia="Times New Roman" w:hAnsi="Futura Std Condensed Light" w:cs="Calibri"/>
                <w:sz w:val="20"/>
                <w:szCs w:val="20"/>
                <w:lang w:eastAsia="es-MX"/>
              </w:rPr>
              <w:t>2,225</w:t>
            </w:r>
          </w:p>
        </w:tc>
        <w:tc>
          <w:tcPr>
            <w:tcW w:w="523" w:type="pct"/>
            <w:shd w:val="clear" w:color="auto" w:fill="auto"/>
            <w:noWrap/>
            <w:vAlign w:val="bottom"/>
            <w:hideMark/>
          </w:tcPr>
          <w:p w14:paraId="4BA78DE8" w14:textId="77777777" w:rsidR="006D148B" w:rsidRPr="00F07484" w:rsidRDefault="006D148B" w:rsidP="00F07484">
            <w:pPr>
              <w:spacing w:after="0" w:line="240" w:lineRule="auto"/>
              <w:jc w:val="left"/>
              <w:rPr>
                <w:rFonts w:ascii="Futura Std Condensed Light" w:eastAsia="Times New Roman" w:hAnsi="Futura Std Condensed Light" w:cs="Calibri"/>
                <w:sz w:val="20"/>
                <w:szCs w:val="20"/>
                <w:lang w:eastAsia="es-MX"/>
              </w:rPr>
            </w:pPr>
            <w:r w:rsidRPr="00F07484">
              <w:rPr>
                <w:rFonts w:ascii="Futura Std Condensed Light" w:eastAsia="Times New Roman" w:hAnsi="Futura Std Condensed Light" w:cs="Calibri"/>
                <w:sz w:val="20"/>
                <w:szCs w:val="20"/>
                <w:lang w:eastAsia="es-MX"/>
              </w:rPr>
              <w:t>462</w:t>
            </w:r>
          </w:p>
        </w:tc>
        <w:tc>
          <w:tcPr>
            <w:tcW w:w="440" w:type="pct"/>
            <w:shd w:val="clear" w:color="auto" w:fill="auto"/>
            <w:noWrap/>
            <w:vAlign w:val="bottom"/>
            <w:hideMark/>
          </w:tcPr>
          <w:p w14:paraId="75FBE308" w14:textId="77777777" w:rsidR="006D148B" w:rsidRPr="00F07484" w:rsidRDefault="006D148B" w:rsidP="00F07484">
            <w:pPr>
              <w:spacing w:after="0" w:line="240" w:lineRule="auto"/>
              <w:jc w:val="left"/>
              <w:rPr>
                <w:rFonts w:ascii="Futura Std Condensed Light" w:eastAsia="Times New Roman" w:hAnsi="Futura Std Condensed Light" w:cs="Calibri"/>
                <w:sz w:val="20"/>
                <w:szCs w:val="20"/>
                <w:lang w:eastAsia="es-MX"/>
              </w:rPr>
            </w:pPr>
            <w:r w:rsidRPr="00F07484">
              <w:rPr>
                <w:rFonts w:ascii="Futura Std Condensed Light" w:eastAsia="Times New Roman" w:hAnsi="Futura Std Condensed Light" w:cs="Calibri"/>
                <w:sz w:val="20"/>
                <w:szCs w:val="20"/>
                <w:lang w:eastAsia="es-MX"/>
              </w:rPr>
              <w:t>2687</w:t>
            </w:r>
          </w:p>
        </w:tc>
        <w:tc>
          <w:tcPr>
            <w:tcW w:w="839" w:type="pct"/>
            <w:shd w:val="clear" w:color="auto" w:fill="auto"/>
            <w:noWrap/>
            <w:vAlign w:val="bottom"/>
            <w:hideMark/>
          </w:tcPr>
          <w:p w14:paraId="5B419D5F" w14:textId="77777777" w:rsidR="006D148B" w:rsidRPr="00F07484" w:rsidRDefault="006D148B" w:rsidP="00F07484">
            <w:pPr>
              <w:spacing w:after="0" w:line="240" w:lineRule="auto"/>
              <w:jc w:val="left"/>
              <w:rPr>
                <w:rFonts w:ascii="Futura Std Condensed Light" w:eastAsia="Times New Roman" w:hAnsi="Futura Std Condensed Light" w:cs="Calibri"/>
                <w:sz w:val="20"/>
                <w:szCs w:val="20"/>
                <w:lang w:eastAsia="es-MX"/>
              </w:rPr>
            </w:pPr>
            <w:r w:rsidRPr="00F07484">
              <w:rPr>
                <w:rFonts w:ascii="Futura Std Condensed Light" w:eastAsia="Times New Roman" w:hAnsi="Futura Std Condensed Light" w:cs="Calibri"/>
                <w:sz w:val="20"/>
                <w:szCs w:val="20"/>
                <w:lang w:eastAsia="es-MX"/>
              </w:rPr>
              <w:t>5.9</w:t>
            </w:r>
          </w:p>
        </w:tc>
      </w:tr>
      <w:tr w:rsidR="006D148B" w:rsidRPr="00F43031" w14:paraId="467DB0EE" w14:textId="77777777" w:rsidTr="000A72E5">
        <w:trPr>
          <w:trHeight w:val="300"/>
        </w:trPr>
        <w:tc>
          <w:tcPr>
            <w:tcW w:w="2629" w:type="pct"/>
            <w:shd w:val="clear" w:color="auto" w:fill="auto"/>
            <w:noWrap/>
            <w:vAlign w:val="bottom"/>
            <w:hideMark/>
          </w:tcPr>
          <w:p w14:paraId="331E5751" w14:textId="77777777" w:rsidR="006D148B" w:rsidRPr="00F07484" w:rsidRDefault="006D148B" w:rsidP="00F07484">
            <w:pPr>
              <w:spacing w:after="0" w:line="240" w:lineRule="auto"/>
              <w:jc w:val="left"/>
              <w:rPr>
                <w:rFonts w:ascii="Futura Std Condensed Light" w:eastAsia="Times New Roman" w:hAnsi="Futura Std Condensed Light" w:cs="Calibri"/>
                <w:sz w:val="20"/>
                <w:szCs w:val="20"/>
                <w:lang w:eastAsia="es-MX"/>
              </w:rPr>
            </w:pPr>
            <w:r w:rsidRPr="00F07484">
              <w:rPr>
                <w:rFonts w:ascii="Futura Std Condensed Light" w:eastAsia="Times New Roman" w:hAnsi="Futura Std Condensed Light" w:cs="Calibri"/>
                <w:sz w:val="20"/>
                <w:szCs w:val="20"/>
                <w:lang w:eastAsia="es-MX"/>
              </w:rPr>
              <w:t>Servicios</w:t>
            </w:r>
          </w:p>
        </w:tc>
        <w:tc>
          <w:tcPr>
            <w:tcW w:w="568" w:type="pct"/>
            <w:shd w:val="clear" w:color="auto" w:fill="auto"/>
            <w:noWrap/>
            <w:vAlign w:val="bottom"/>
            <w:hideMark/>
          </w:tcPr>
          <w:p w14:paraId="2E089592" w14:textId="77777777" w:rsidR="006D148B" w:rsidRPr="00F07484" w:rsidRDefault="006D148B" w:rsidP="00F07484">
            <w:pPr>
              <w:spacing w:after="0" w:line="240" w:lineRule="auto"/>
              <w:jc w:val="left"/>
              <w:rPr>
                <w:rFonts w:ascii="Futura Std Condensed Light" w:eastAsia="Times New Roman" w:hAnsi="Futura Std Condensed Light" w:cs="Calibri"/>
                <w:sz w:val="20"/>
                <w:szCs w:val="20"/>
                <w:lang w:eastAsia="es-MX"/>
              </w:rPr>
            </w:pPr>
            <w:r w:rsidRPr="00F07484">
              <w:rPr>
                <w:rFonts w:ascii="Futura Std Condensed Light" w:eastAsia="Times New Roman" w:hAnsi="Futura Std Condensed Light" w:cs="Calibri"/>
                <w:sz w:val="20"/>
                <w:szCs w:val="20"/>
                <w:lang w:eastAsia="es-MX"/>
              </w:rPr>
              <w:t>1,213</w:t>
            </w:r>
          </w:p>
        </w:tc>
        <w:tc>
          <w:tcPr>
            <w:tcW w:w="523" w:type="pct"/>
            <w:shd w:val="clear" w:color="auto" w:fill="auto"/>
            <w:noWrap/>
            <w:vAlign w:val="bottom"/>
            <w:hideMark/>
          </w:tcPr>
          <w:p w14:paraId="1A5EBF09" w14:textId="77777777" w:rsidR="006D148B" w:rsidRPr="00F07484" w:rsidRDefault="006D148B" w:rsidP="00F07484">
            <w:pPr>
              <w:spacing w:after="0" w:line="240" w:lineRule="auto"/>
              <w:jc w:val="left"/>
              <w:rPr>
                <w:rFonts w:ascii="Futura Std Condensed Light" w:eastAsia="Times New Roman" w:hAnsi="Futura Std Condensed Light" w:cs="Calibri"/>
                <w:sz w:val="20"/>
                <w:szCs w:val="20"/>
                <w:lang w:eastAsia="es-MX"/>
              </w:rPr>
            </w:pPr>
            <w:r w:rsidRPr="00F07484">
              <w:rPr>
                <w:rFonts w:ascii="Futura Std Condensed Light" w:eastAsia="Times New Roman" w:hAnsi="Futura Std Condensed Light" w:cs="Calibri"/>
                <w:sz w:val="20"/>
                <w:szCs w:val="20"/>
                <w:lang w:eastAsia="es-MX"/>
              </w:rPr>
              <w:t>1,352</w:t>
            </w:r>
          </w:p>
        </w:tc>
        <w:tc>
          <w:tcPr>
            <w:tcW w:w="440" w:type="pct"/>
            <w:shd w:val="clear" w:color="auto" w:fill="auto"/>
            <w:noWrap/>
            <w:vAlign w:val="bottom"/>
            <w:hideMark/>
          </w:tcPr>
          <w:p w14:paraId="3FD36A33" w14:textId="77777777" w:rsidR="006D148B" w:rsidRPr="00F07484" w:rsidRDefault="006D148B" w:rsidP="00F07484">
            <w:pPr>
              <w:spacing w:after="0" w:line="240" w:lineRule="auto"/>
              <w:jc w:val="left"/>
              <w:rPr>
                <w:rFonts w:ascii="Futura Std Condensed Light" w:eastAsia="Times New Roman" w:hAnsi="Futura Std Condensed Light" w:cs="Calibri"/>
                <w:sz w:val="20"/>
                <w:szCs w:val="20"/>
                <w:lang w:eastAsia="es-MX"/>
              </w:rPr>
            </w:pPr>
            <w:r w:rsidRPr="00F07484">
              <w:rPr>
                <w:rFonts w:ascii="Futura Std Condensed Light" w:eastAsia="Times New Roman" w:hAnsi="Futura Std Condensed Light" w:cs="Calibri"/>
                <w:sz w:val="20"/>
                <w:szCs w:val="20"/>
                <w:lang w:eastAsia="es-MX"/>
              </w:rPr>
              <w:t>2565</w:t>
            </w:r>
          </w:p>
        </w:tc>
        <w:tc>
          <w:tcPr>
            <w:tcW w:w="839" w:type="pct"/>
            <w:shd w:val="clear" w:color="auto" w:fill="auto"/>
            <w:noWrap/>
            <w:vAlign w:val="bottom"/>
            <w:hideMark/>
          </w:tcPr>
          <w:p w14:paraId="2C9E0DA1" w14:textId="77777777" w:rsidR="006D148B" w:rsidRPr="00F07484" w:rsidRDefault="006D148B" w:rsidP="00F07484">
            <w:pPr>
              <w:spacing w:after="0" w:line="240" w:lineRule="auto"/>
              <w:jc w:val="left"/>
              <w:rPr>
                <w:rFonts w:ascii="Futura Std Condensed Light" w:eastAsia="Times New Roman" w:hAnsi="Futura Std Condensed Light" w:cs="Calibri"/>
                <w:sz w:val="20"/>
                <w:szCs w:val="20"/>
                <w:lang w:eastAsia="es-MX"/>
              </w:rPr>
            </w:pPr>
            <w:r w:rsidRPr="00F07484">
              <w:rPr>
                <w:rFonts w:ascii="Futura Std Condensed Light" w:eastAsia="Times New Roman" w:hAnsi="Futura Std Condensed Light" w:cs="Calibri"/>
                <w:sz w:val="20"/>
                <w:szCs w:val="20"/>
                <w:lang w:eastAsia="es-MX"/>
              </w:rPr>
              <w:t>5.6</w:t>
            </w:r>
          </w:p>
        </w:tc>
      </w:tr>
      <w:tr w:rsidR="006D148B" w:rsidRPr="00F43031" w14:paraId="67D9C681" w14:textId="77777777" w:rsidTr="000A72E5">
        <w:trPr>
          <w:trHeight w:val="300"/>
        </w:trPr>
        <w:tc>
          <w:tcPr>
            <w:tcW w:w="2629" w:type="pct"/>
            <w:shd w:val="clear" w:color="auto" w:fill="auto"/>
            <w:noWrap/>
            <w:vAlign w:val="bottom"/>
            <w:hideMark/>
          </w:tcPr>
          <w:p w14:paraId="5EF97353" w14:textId="77777777" w:rsidR="006D148B" w:rsidRPr="00F07484" w:rsidRDefault="006D148B" w:rsidP="00F07484">
            <w:pPr>
              <w:spacing w:after="0" w:line="240" w:lineRule="auto"/>
              <w:jc w:val="left"/>
              <w:rPr>
                <w:rFonts w:ascii="Futura Std Condensed Light" w:eastAsia="Times New Roman" w:hAnsi="Futura Std Condensed Light" w:cs="Calibri"/>
                <w:sz w:val="20"/>
                <w:szCs w:val="20"/>
                <w:lang w:eastAsia="es-MX"/>
              </w:rPr>
            </w:pPr>
            <w:r w:rsidRPr="00F07484">
              <w:rPr>
                <w:rFonts w:ascii="Futura Std Condensed Light" w:eastAsia="Times New Roman" w:hAnsi="Futura Std Condensed Light" w:cs="Calibri"/>
                <w:sz w:val="20"/>
                <w:szCs w:val="20"/>
                <w:lang w:eastAsia="es-MX"/>
              </w:rPr>
              <w:t>Artes y humanidades</w:t>
            </w:r>
          </w:p>
        </w:tc>
        <w:tc>
          <w:tcPr>
            <w:tcW w:w="568" w:type="pct"/>
            <w:shd w:val="clear" w:color="auto" w:fill="auto"/>
            <w:noWrap/>
            <w:vAlign w:val="bottom"/>
            <w:hideMark/>
          </w:tcPr>
          <w:p w14:paraId="22CA2154" w14:textId="77777777" w:rsidR="006D148B" w:rsidRPr="00F07484" w:rsidRDefault="006D148B" w:rsidP="00F07484">
            <w:pPr>
              <w:spacing w:after="0" w:line="240" w:lineRule="auto"/>
              <w:jc w:val="left"/>
              <w:rPr>
                <w:rFonts w:ascii="Futura Std Condensed Light" w:eastAsia="Times New Roman" w:hAnsi="Futura Std Condensed Light" w:cs="Calibri"/>
                <w:sz w:val="20"/>
                <w:szCs w:val="20"/>
                <w:lang w:eastAsia="es-MX"/>
              </w:rPr>
            </w:pPr>
            <w:r w:rsidRPr="00F07484">
              <w:rPr>
                <w:rFonts w:ascii="Futura Std Condensed Light" w:eastAsia="Times New Roman" w:hAnsi="Futura Std Condensed Light" w:cs="Calibri"/>
                <w:sz w:val="20"/>
                <w:szCs w:val="20"/>
                <w:lang w:eastAsia="es-MX"/>
              </w:rPr>
              <w:t>1,025</w:t>
            </w:r>
          </w:p>
        </w:tc>
        <w:tc>
          <w:tcPr>
            <w:tcW w:w="523" w:type="pct"/>
            <w:shd w:val="clear" w:color="auto" w:fill="auto"/>
            <w:noWrap/>
            <w:vAlign w:val="bottom"/>
            <w:hideMark/>
          </w:tcPr>
          <w:p w14:paraId="3F6D55C1" w14:textId="77777777" w:rsidR="006D148B" w:rsidRPr="00F07484" w:rsidRDefault="006D148B" w:rsidP="00F07484">
            <w:pPr>
              <w:spacing w:after="0" w:line="240" w:lineRule="auto"/>
              <w:jc w:val="left"/>
              <w:rPr>
                <w:rFonts w:ascii="Futura Std Condensed Light" w:eastAsia="Times New Roman" w:hAnsi="Futura Std Condensed Light" w:cs="Calibri"/>
                <w:sz w:val="20"/>
                <w:szCs w:val="20"/>
                <w:lang w:eastAsia="es-MX"/>
              </w:rPr>
            </w:pPr>
            <w:r w:rsidRPr="00F07484">
              <w:rPr>
                <w:rFonts w:ascii="Futura Std Condensed Light" w:eastAsia="Times New Roman" w:hAnsi="Futura Std Condensed Light" w:cs="Calibri"/>
                <w:sz w:val="20"/>
                <w:szCs w:val="20"/>
                <w:lang w:eastAsia="es-MX"/>
              </w:rPr>
              <w:t>1,471</w:t>
            </w:r>
          </w:p>
        </w:tc>
        <w:tc>
          <w:tcPr>
            <w:tcW w:w="440" w:type="pct"/>
            <w:shd w:val="clear" w:color="auto" w:fill="auto"/>
            <w:noWrap/>
            <w:vAlign w:val="bottom"/>
            <w:hideMark/>
          </w:tcPr>
          <w:p w14:paraId="607F9677" w14:textId="77777777" w:rsidR="006D148B" w:rsidRPr="00F07484" w:rsidRDefault="006D148B" w:rsidP="00F07484">
            <w:pPr>
              <w:spacing w:after="0" w:line="240" w:lineRule="auto"/>
              <w:jc w:val="left"/>
              <w:rPr>
                <w:rFonts w:ascii="Futura Std Condensed Light" w:eastAsia="Times New Roman" w:hAnsi="Futura Std Condensed Light" w:cs="Calibri"/>
                <w:sz w:val="20"/>
                <w:szCs w:val="20"/>
                <w:lang w:eastAsia="es-MX"/>
              </w:rPr>
            </w:pPr>
            <w:r w:rsidRPr="00F07484">
              <w:rPr>
                <w:rFonts w:ascii="Futura Std Condensed Light" w:eastAsia="Times New Roman" w:hAnsi="Futura Std Condensed Light" w:cs="Calibri"/>
                <w:sz w:val="20"/>
                <w:szCs w:val="20"/>
                <w:lang w:eastAsia="es-MX"/>
              </w:rPr>
              <w:t>2496</w:t>
            </w:r>
          </w:p>
        </w:tc>
        <w:tc>
          <w:tcPr>
            <w:tcW w:w="839" w:type="pct"/>
            <w:shd w:val="clear" w:color="auto" w:fill="auto"/>
            <w:noWrap/>
            <w:vAlign w:val="bottom"/>
            <w:hideMark/>
          </w:tcPr>
          <w:p w14:paraId="19BC4CC4" w14:textId="77777777" w:rsidR="006D148B" w:rsidRPr="00F07484" w:rsidRDefault="006D148B" w:rsidP="00F07484">
            <w:pPr>
              <w:spacing w:after="0" w:line="240" w:lineRule="auto"/>
              <w:jc w:val="left"/>
              <w:rPr>
                <w:rFonts w:ascii="Futura Std Condensed Light" w:eastAsia="Times New Roman" w:hAnsi="Futura Std Condensed Light" w:cs="Calibri"/>
                <w:sz w:val="20"/>
                <w:szCs w:val="20"/>
                <w:lang w:eastAsia="es-MX"/>
              </w:rPr>
            </w:pPr>
            <w:r w:rsidRPr="00F07484">
              <w:rPr>
                <w:rFonts w:ascii="Futura Std Condensed Light" w:eastAsia="Times New Roman" w:hAnsi="Futura Std Condensed Light" w:cs="Calibri"/>
                <w:sz w:val="20"/>
                <w:szCs w:val="20"/>
                <w:lang w:eastAsia="es-MX"/>
              </w:rPr>
              <w:t>5.5</w:t>
            </w:r>
          </w:p>
        </w:tc>
      </w:tr>
      <w:tr w:rsidR="006D148B" w:rsidRPr="00F43031" w14:paraId="7A2F285A" w14:textId="77777777" w:rsidTr="000A72E5">
        <w:trPr>
          <w:trHeight w:val="300"/>
        </w:trPr>
        <w:tc>
          <w:tcPr>
            <w:tcW w:w="2629" w:type="pct"/>
            <w:shd w:val="clear" w:color="auto" w:fill="auto"/>
            <w:noWrap/>
            <w:vAlign w:val="bottom"/>
            <w:hideMark/>
          </w:tcPr>
          <w:p w14:paraId="28A131C2" w14:textId="77777777" w:rsidR="006D148B" w:rsidRPr="00F07484" w:rsidRDefault="006D148B" w:rsidP="00F07484">
            <w:pPr>
              <w:spacing w:after="0" w:line="240" w:lineRule="auto"/>
              <w:jc w:val="left"/>
              <w:rPr>
                <w:rFonts w:ascii="Futura Std Condensed Light" w:eastAsia="Times New Roman" w:hAnsi="Futura Std Condensed Light" w:cs="Calibri"/>
                <w:sz w:val="20"/>
                <w:szCs w:val="20"/>
                <w:lang w:eastAsia="es-MX"/>
              </w:rPr>
            </w:pPr>
            <w:r w:rsidRPr="00F07484">
              <w:rPr>
                <w:rFonts w:ascii="Futura Std Condensed Light" w:eastAsia="Times New Roman" w:hAnsi="Futura Std Condensed Light" w:cs="Calibri"/>
                <w:sz w:val="20"/>
                <w:szCs w:val="20"/>
                <w:lang w:eastAsia="es-MX"/>
              </w:rPr>
              <w:t>Ciencias naturales, matemáticas y estadística</w:t>
            </w:r>
          </w:p>
        </w:tc>
        <w:tc>
          <w:tcPr>
            <w:tcW w:w="568" w:type="pct"/>
            <w:shd w:val="clear" w:color="auto" w:fill="auto"/>
            <w:noWrap/>
            <w:vAlign w:val="bottom"/>
            <w:hideMark/>
          </w:tcPr>
          <w:p w14:paraId="4AFEB2B9" w14:textId="77777777" w:rsidR="006D148B" w:rsidRPr="00F07484" w:rsidRDefault="006D148B" w:rsidP="00F07484">
            <w:pPr>
              <w:spacing w:after="0" w:line="240" w:lineRule="auto"/>
              <w:jc w:val="left"/>
              <w:rPr>
                <w:rFonts w:ascii="Futura Std Condensed Light" w:eastAsia="Times New Roman" w:hAnsi="Futura Std Condensed Light" w:cs="Calibri"/>
                <w:sz w:val="20"/>
                <w:szCs w:val="20"/>
                <w:lang w:eastAsia="es-MX"/>
              </w:rPr>
            </w:pPr>
            <w:r w:rsidRPr="00F07484">
              <w:rPr>
                <w:rFonts w:ascii="Futura Std Condensed Light" w:eastAsia="Times New Roman" w:hAnsi="Futura Std Condensed Light" w:cs="Calibri"/>
                <w:sz w:val="20"/>
                <w:szCs w:val="20"/>
                <w:lang w:eastAsia="es-MX"/>
              </w:rPr>
              <w:t>310</w:t>
            </w:r>
          </w:p>
        </w:tc>
        <w:tc>
          <w:tcPr>
            <w:tcW w:w="523" w:type="pct"/>
            <w:shd w:val="clear" w:color="auto" w:fill="auto"/>
            <w:noWrap/>
            <w:vAlign w:val="bottom"/>
            <w:hideMark/>
          </w:tcPr>
          <w:p w14:paraId="281B357B" w14:textId="77777777" w:rsidR="006D148B" w:rsidRPr="00F07484" w:rsidRDefault="006D148B" w:rsidP="00F07484">
            <w:pPr>
              <w:spacing w:after="0" w:line="240" w:lineRule="auto"/>
              <w:jc w:val="left"/>
              <w:rPr>
                <w:rFonts w:ascii="Futura Std Condensed Light" w:eastAsia="Times New Roman" w:hAnsi="Futura Std Condensed Light" w:cs="Calibri"/>
                <w:sz w:val="20"/>
                <w:szCs w:val="20"/>
                <w:lang w:eastAsia="es-MX"/>
              </w:rPr>
            </w:pPr>
            <w:r w:rsidRPr="00F07484">
              <w:rPr>
                <w:rFonts w:ascii="Futura Std Condensed Light" w:eastAsia="Times New Roman" w:hAnsi="Futura Std Condensed Light" w:cs="Calibri"/>
                <w:sz w:val="20"/>
                <w:szCs w:val="20"/>
                <w:lang w:eastAsia="es-MX"/>
              </w:rPr>
              <w:t>343</w:t>
            </w:r>
          </w:p>
        </w:tc>
        <w:tc>
          <w:tcPr>
            <w:tcW w:w="440" w:type="pct"/>
            <w:shd w:val="clear" w:color="auto" w:fill="auto"/>
            <w:noWrap/>
            <w:vAlign w:val="bottom"/>
            <w:hideMark/>
          </w:tcPr>
          <w:p w14:paraId="36DF7418" w14:textId="77777777" w:rsidR="006D148B" w:rsidRPr="00F07484" w:rsidRDefault="006D148B" w:rsidP="00F07484">
            <w:pPr>
              <w:spacing w:after="0" w:line="240" w:lineRule="auto"/>
              <w:jc w:val="left"/>
              <w:rPr>
                <w:rFonts w:ascii="Futura Std Condensed Light" w:eastAsia="Times New Roman" w:hAnsi="Futura Std Condensed Light" w:cs="Calibri"/>
                <w:sz w:val="20"/>
                <w:szCs w:val="20"/>
                <w:lang w:eastAsia="es-MX"/>
              </w:rPr>
            </w:pPr>
            <w:r w:rsidRPr="00F07484">
              <w:rPr>
                <w:rFonts w:ascii="Futura Std Condensed Light" w:eastAsia="Times New Roman" w:hAnsi="Futura Std Condensed Light" w:cs="Calibri"/>
                <w:sz w:val="20"/>
                <w:szCs w:val="20"/>
                <w:lang w:eastAsia="es-MX"/>
              </w:rPr>
              <w:t>653</w:t>
            </w:r>
          </w:p>
        </w:tc>
        <w:tc>
          <w:tcPr>
            <w:tcW w:w="839" w:type="pct"/>
            <w:shd w:val="clear" w:color="auto" w:fill="auto"/>
            <w:noWrap/>
            <w:vAlign w:val="bottom"/>
            <w:hideMark/>
          </w:tcPr>
          <w:p w14:paraId="35759057" w14:textId="77777777" w:rsidR="006D148B" w:rsidRPr="00F07484" w:rsidRDefault="006D148B" w:rsidP="00F07484">
            <w:pPr>
              <w:spacing w:after="0" w:line="240" w:lineRule="auto"/>
              <w:jc w:val="left"/>
              <w:rPr>
                <w:rFonts w:ascii="Futura Std Condensed Light" w:eastAsia="Times New Roman" w:hAnsi="Futura Std Condensed Light" w:cs="Calibri"/>
                <w:sz w:val="20"/>
                <w:szCs w:val="20"/>
                <w:lang w:eastAsia="es-MX"/>
              </w:rPr>
            </w:pPr>
            <w:r w:rsidRPr="00F07484">
              <w:rPr>
                <w:rFonts w:ascii="Futura Std Condensed Light" w:eastAsia="Times New Roman" w:hAnsi="Futura Std Condensed Light" w:cs="Calibri"/>
                <w:sz w:val="20"/>
                <w:szCs w:val="20"/>
                <w:lang w:eastAsia="es-MX"/>
              </w:rPr>
              <w:t>1.4</w:t>
            </w:r>
          </w:p>
        </w:tc>
      </w:tr>
      <w:tr w:rsidR="006D148B" w:rsidRPr="00F43031" w14:paraId="5D4DE038" w14:textId="77777777" w:rsidTr="000A72E5">
        <w:trPr>
          <w:trHeight w:val="300"/>
        </w:trPr>
        <w:tc>
          <w:tcPr>
            <w:tcW w:w="2629" w:type="pct"/>
            <w:shd w:val="clear" w:color="auto" w:fill="auto"/>
            <w:noWrap/>
            <w:vAlign w:val="bottom"/>
            <w:hideMark/>
          </w:tcPr>
          <w:p w14:paraId="7E2C0139" w14:textId="77777777" w:rsidR="006D148B" w:rsidRPr="00F07484" w:rsidRDefault="006D148B" w:rsidP="00F07484">
            <w:pPr>
              <w:spacing w:after="0" w:line="240" w:lineRule="auto"/>
              <w:jc w:val="left"/>
              <w:rPr>
                <w:rFonts w:ascii="Futura Std Condensed Light" w:eastAsia="Times New Roman" w:hAnsi="Futura Std Condensed Light" w:cs="Calibri"/>
                <w:sz w:val="20"/>
                <w:szCs w:val="20"/>
                <w:lang w:eastAsia="es-MX"/>
              </w:rPr>
            </w:pPr>
            <w:r w:rsidRPr="00F07484">
              <w:rPr>
                <w:rFonts w:ascii="Futura Std Condensed Light" w:eastAsia="Times New Roman" w:hAnsi="Futura Std Condensed Light" w:cs="Calibri"/>
                <w:sz w:val="20"/>
                <w:szCs w:val="20"/>
                <w:lang w:eastAsia="es-MX"/>
              </w:rPr>
              <w:t>Agronomía y veterinaria</w:t>
            </w:r>
          </w:p>
        </w:tc>
        <w:tc>
          <w:tcPr>
            <w:tcW w:w="568" w:type="pct"/>
            <w:shd w:val="clear" w:color="auto" w:fill="auto"/>
            <w:noWrap/>
            <w:vAlign w:val="bottom"/>
            <w:hideMark/>
          </w:tcPr>
          <w:p w14:paraId="7937E3B6" w14:textId="77777777" w:rsidR="006D148B" w:rsidRPr="00F07484" w:rsidRDefault="006D148B" w:rsidP="00F07484">
            <w:pPr>
              <w:spacing w:after="0" w:line="240" w:lineRule="auto"/>
              <w:jc w:val="left"/>
              <w:rPr>
                <w:rFonts w:ascii="Futura Std Condensed Light" w:eastAsia="Times New Roman" w:hAnsi="Futura Std Condensed Light" w:cs="Calibri"/>
                <w:sz w:val="20"/>
                <w:szCs w:val="20"/>
                <w:lang w:eastAsia="es-MX"/>
              </w:rPr>
            </w:pPr>
            <w:r w:rsidRPr="00F07484">
              <w:rPr>
                <w:rFonts w:ascii="Futura Std Condensed Light" w:eastAsia="Times New Roman" w:hAnsi="Futura Std Condensed Light" w:cs="Calibri"/>
                <w:sz w:val="20"/>
                <w:szCs w:val="20"/>
                <w:lang w:eastAsia="es-MX"/>
              </w:rPr>
              <w:t>382</w:t>
            </w:r>
          </w:p>
        </w:tc>
        <w:tc>
          <w:tcPr>
            <w:tcW w:w="523" w:type="pct"/>
            <w:shd w:val="clear" w:color="auto" w:fill="auto"/>
            <w:noWrap/>
            <w:vAlign w:val="bottom"/>
            <w:hideMark/>
          </w:tcPr>
          <w:p w14:paraId="7027AEA2" w14:textId="77777777" w:rsidR="006D148B" w:rsidRPr="00F07484" w:rsidRDefault="006D148B" w:rsidP="00F07484">
            <w:pPr>
              <w:spacing w:after="0" w:line="240" w:lineRule="auto"/>
              <w:jc w:val="left"/>
              <w:rPr>
                <w:rFonts w:ascii="Futura Std Condensed Light" w:eastAsia="Times New Roman" w:hAnsi="Futura Std Condensed Light" w:cs="Calibri"/>
                <w:sz w:val="20"/>
                <w:szCs w:val="20"/>
                <w:lang w:eastAsia="es-MX"/>
              </w:rPr>
            </w:pPr>
            <w:r w:rsidRPr="00F07484">
              <w:rPr>
                <w:rFonts w:ascii="Futura Std Condensed Light" w:eastAsia="Times New Roman" w:hAnsi="Futura Std Condensed Light" w:cs="Calibri"/>
                <w:sz w:val="20"/>
                <w:szCs w:val="20"/>
                <w:lang w:eastAsia="es-MX"/>
              </w:rPr>
              <w:t>212</w:t>
            </w:r>
          </w:p>
        </w:tc>
        <w:tc>
          <w:tcPr>
            <w:tcW w:w="440" w:type="pct"/>
            <w:shd w:val="clear" w:color="auto" w:fill="auto"/>
            <w:noWrap/>
            <w:vAlign w:val="bottom"/>
            <w:hideMark/>
          </w:tcPr>
          <w:p w14:paraId="3D635DE2" w14:textId="77777777" w:rsidR="006D148B" w:rsidRPr="00F07484" w:rsidRDefault="006D148B" w:rsidP="00F07484">
            <w:pPr>
              <w:spacing w:after="0" w:line="240" w:lineRule="auto"/>
              <w:jc w:val="left"/>
              <w:rPr>
                <w:rFonts w:ascii="Futura Std Condensed Light" w:eastAsia="Times New Roman" w:hAnsi="Futura Std Condensed Light" w:cs="Calibri"/>
                <w:sz w:val="20"/>
                <w:szCs w:val="20"/>
                <w:lang w:eastAsia="es-MX"/>
              </w:rPr>
            </w:pPr>
            <w:r w:rsidRPr="00F07484">
              <w:rPr>
                <w:rFonts w:ascii="Futura Std Condensed Light" w:eastAsia="Times New Roman" w:hAnsi="Futura Std Condensed Light" w:cs="Calibri"/>
                <w:sz w:val="20"/>
                <w:szCs w:val="20"/>
                <w:lang w:eastAsia="es-MX"/>
              </w:rPr>
              <w:t>594</w:t>
            </w:r>
          </w:p>
        </w:tc>
        <w:tc>
          <w:tcPr>
            <w:tcW w:w="839" w:type="pct"/>
            <w:shd w:val="clear" w:color="auto" w:fill="auto"/>
            <w:noWrap/>
            <w:vAlign w:val="bottom"/>
            <w:hideMark/>
          </w:tcPr>
          <w:p w14:paraId="281589A2" w14:textId="77777777" w:rsidR="006D148B" w:rsidRPr="00F07484" w:rsidRDefault="006D148B" w:rsidP="00F07484">
            <w:pPr>
              <w:spacing w:after="0" w:line="240" w:lineRule="auto"/>
              <w:jc w:val="left"/>
              <w:rPr>
                <w:rFonts w:ascii="Futura Std Condensed Light" w:eastAsia="Times New Roman" w:hAnsi="Futura Std Condensed Light" w:cs="Calibri"/>
                <w:sz w:val="20"/>
                <w:szCs w:val="20"/>
                <w:lang w:eastAsia="es-MX"/>
              </w:rPr>
            </w:pPr>
            <w:r w:rsidRPr="00F07484">
              <w:rPr>
                <w:rFonts w:ascii="Futura Std Condensed Light" w:eastAsia="Times New Roman" w:hAnsi="Futura Std Condensed Light" w:cs="Calibri"/>
                <w:sz w:val="20"/>
                <w:szCs w:val="20"/>
                <w:lang w:eastAsia="es-MX"/>
              </w:rPr>
              <w:t>1.3</w:t>
            </w:r>
          </w:p>
        </w:tc>
      </w:tr>
      <w:tr w:rsidR="006D148B" w:rsidRPr="00F43031" w14:paraId="495EE525" w14:textId="77777777" w:rsidTr="000A72E5">
        <w:trPr>
          <w:trHeight w:val="300"/>
        </w:trPr>
        <w:tc>
          <w:tcPr>
            <w:tcW w:w="2629" w:type="pct"/>
            <w:shd w:val="clear" w:color="auto" w:fill="auto"/>
            <w:noWrap/>
            <w:vAlign w:val="bottom"/>
            <w:hideMark/>
          </w:tcPr>
          <w:p w14:paraId="0F9FB26B" w14:textId="3F9871A4" w:rsidR="006D148B" w:rsidRPr="00F07484" w:rsidRDefault="006D148B" w:rsidP="00F07484">
            <w:pPr>
              <w:spacing w:after="0" w:line="240" w:lineRule="auto"/>
              <w:jc w:val="left"/>
              <w:rPr>
                <w:rFonts w:ascii="Futura Std Condensed Light" w:eastAsia="Times New Roman" w:hAnsi="Futura Std Condensed Light" w:cs="Calibri"/>
                <w:b/>
                <w:sz w:val="20"/>
                <w:szCs w:val="20"/>
                <w:lang w:eastAsia="es-MX"/>
              </w:rPr>
            </w:pPr>
            <w:r w:rsidRPr="00F07484">
              <w:rPr>
                <w:rFonts w:ascii="Futura Std Condensed Light" w:eastAsia="Times New Roman" w:hAnsi="Futura Std Condensed Light" w:cs="Calibri"/>
                <w:b/>
                <w:sz w:val="20"/>
                <w:szCs w:val="20"/>
                <w:lang w:eastAsia="es-MX"/>
              </w:rPr>
              <w:t>Total</w:t>
            </w:r>
          </w:p>
        </w:tc>
        <w:tc>
          <w:tcPr>
            <w:tcW w:w="568" w:type="pct"/>
            <w:shd w:val="clear" w:color="auto" w:fill="auto"/>
            <w:noWrap/>
            <w:vAlign w:val="bottom"/>
            <w:hideMark/>
          </w:tcPr>
          <w:p w14:paraId="7C8C5FD3" w14:textId="77777777" w:rsidR="006D148B" w:rsidRPr="00F07484" w:rsidRDefault="006D148B" w:rsidP="00F07484">
            <w:pPr>
              <w:spacing w:after="0" w:line="240" w:lineRule="auto"/>
              <w:jc w:val="left"/>
              <w:rPr>
                <w:rFonts w:ascii="Futura Std Condensed Light" w:eastAsia="Times New Roman" w:hAnsi="Futura Std Condensed Light" w:cs="Calibri"/>
                <w:b/>
                <w:sz w:val="20"/>
                <w:szCs w:val="20"/>
                <w:lang w:eastAsia="es-MX"/>
              </w:rPr>
            </w:pPr>
            <w:r w:rsidRPr="00F07484">
              <w:rPr>
                <w:rFonts w:ascii="Futura Std Condensed Light" w:eastAsia="Times New Roman" w:hAnsi="Futura Std Condensed Light" w:cs="Calibri"/>
                <w:b/>
                <w:sz w:val="20"/>
                <w:szCs w:val="20"/>
                <w:lang w:eastAsia="es-MX"/>
              </w:rPr>
              <w:t>22,136</w:t>
            </w:r>
          </w:p>
        </w:tc>
        <w:tc>
          <w:tcPr>
            <w:tcW w:w="523" w:type="pct"/>
            <w:shd w:val="clear" w:color="auto" w:fill="auto"/>
            <w:noWrap/>
            <w:vAlign w:val="bottom"/>
            <w:hideMark/>
          </w:tcPr>
          <w:p w14:paraId="30452142" w14:textId="77777777" w:rsidR="006D148B" w:rsidRPr="00F07484" w:rsidRDefault="006D148B" w:rsidP="00F07484">
            <w:pPr>
              <w:spacing w:after="0" w:line="240" w:lineRule="auto"/>
              <w:jc w:val="left"/>
              <w:rPr>
                <w:rFonts w:ascii="Futura Std Condensed Light" w:eastAsia="Times New Roman" w:hAnsi="Futura Std Condensed Light" w:cs="Calibri"/>
                <w:b/>
                <w:sz w:val="20"/>
                <w:szCs w:val="20"/>
                <w:lang w:eastAsia="es-MX"/>
              </w:rPr>
            </w:pPr>
            <w:r w:rsidRPr="00F07484">
              <w:rPr>
                <w:rFonts w:ascii="Futura Std Condensed Light" w:eastAsia="Times New Roman" w:hAnsi="Futura Std Condensed Light" w:cs="Calibri"/>
                <w:b/>
                <w:sz w:val="20"/>
                <w:szCs w:val="20"/>
                <w:lang w:eastAsia="es-MX"/>
              </w:rPr>
              <w:t>23,557</w:t>
            </w:r>
          </w:p>
        </w:tc>
        <w:tc>
          <w:tcPr>
            <w:tcW w:w="440" w:type="pct"/>
            <w:shd w:val="clear" w:color="auto" w:fill="auto"/>
            <w:noWrap/>
            <w:vAlign w:val="bottom"/>
            <w:hideMark/>
          </w:tcPr>
          <w:p w14:paraId="6719A157" w14:textId="77777777" w:rsidR="006D148B" w:rsidRPr="00F07484" w:rsidRDefault="006D148B" w:rsidP="00F07484">
            <w:pPr>
              <w:spacing w:after="0" w:line="240" w:lineRule="auto"/>
              <w:jc w:val="left"/>
              <w:rPr>
                <w:rFonts w:ascii="Futura Std Condensed Light" w:eastAsia="Times New Roman" w:hAnsi="Futura Std Condensed Light" w:cs="Calibri"/>
                <w:b/>
                <w:sz w:val="20"/>
                <w:szCs w:val="20"/>
                <w:lang w:eastAsia="es-MX"/>
              </w:rPr>
            </w:pPr>
            <w:r w:rsidRPr="00F07484">
              <w:rPr>
                <w:rFonts w:ascii="Futura Std Condensed Light" w:eastAsia="Times New Roman" w:hAnsi="Futura Std Condensed Light" w:cs="Calibri"/>
                <w:b/>
                <w:sz w:val="20"/>
                <w:szCs w:val="20"/>
                <w:lang w:eastAsia="es-MX"/>
              </w:rPr>
              <w:t>45,693</w:t>
            </w:r>
          </w:p>
        </w:tc>
        <w:tc>
          <w:tcPr>
            <w:tcW w:w="839" w:type="pct"/>
            <w:shd w:val="clear" w:color="auto" w:fill="auto"/>
            <w:noWrap/>
            <w:vAlign w:val="bottom"/>
            <w:hideMark/>
          </w:tcPr>
          <w:p w14:paraId="5D4F6191" w14:textId="77777777" w:rsidR="006D148B" w:rsidRPr="00F07484" w:rsidRDefault="006D148B" w:rsidP="00F07484">
            <w:pPr>
              <w:spacing w:after="0" w:line="240" w:lineRule="auto"/>
              <w:jc w:val="left"/>
              <w:rPr>
                <w:rFonts w:ascii="Futura Std Condensed Light" w:eastAsia="Times New Roman" w:hAnsi="Futura Std Condensed Light" w:cs="Calibri"/>
                <w:b/>
                <w:sz w:val="20"/>
                <w:szCs w:val="20"/>
                <w:lang w:eastAsia="es-MX"/>
              </w:rPr>
            </w:pPr>
            <w:r w:rsidRPr="00F07484">
              <w:rPr>
                <w:rFonts w:ascii="Futura Std Condensed Light" w:eastAsia="Times New Roman" w:hAnsi="Futura Std Condensed Light" w:cs="Calibri"/>
                <w:b/>
                <w:sz w:val="20"/>
                <w:szCs w:val="20"/>
                <w:lang w:eastAsia="es-MX"/>
              </w:rPr>
              <w:t>100</w:t>
            </w:r>
          </w:p>
        </w:tc>
      </w:tr>
    </w:tbl>
    <w:p w14:paraId="5889A4BE" w14:textId="77777777" w:rsidR="006D148B" w:rsidRDefault="006D148B" w:rsidP="006D148B">
      <w:pPr>
        <w:spacing w:after="0"/>
        <w:jc w:val="center"/>
        <w:rPr>
          <w:rFonts w:ascii="Futura Bk BT" w:hAnsi="Futura Bk BT"/>
          <w:sz w:val="16"/>
          <w:szCs w:val="16"/>
        </w:rPr>
      </w:pPr>
      <w:r w:rsidRPr="008248F3">
        <w:rPr>
          <w:rFonts w:ascii="Futura Bk BT" w:hAnsi="Futura Bk BT"/>
          <w:b/>
          <w:sz w:val="16"/>
          <w:szCs w:val="16"/>
        </w:rPr>
        <w:t>Fuente:</w:t>
      </w:r>
      <w:r w:rsidRPr="008248F3">
        <w:rPr>
          <w:rFonts w:ascii="Futura Bk BT" w:hAnsi="Futura Bk BT"/>
          <w:sz w:val="16"/>
          <w:szCs w:val="16"/>
        </w:rPr>
        <w:t xml:space="preserve"> </w:t>
      </w:r>
      <w:r>
        <w:rPr>
          <w:rFonts w:ascii="Futura Bk BT" w:hAnsi="Futura Bk BT"/>
          <w:sz w:val="16"/>
          <w:szCs w:val="16"/>
        </w:rPr>
        <w:t>Estadística básica del Sistema Educativo Estatal, ciclo escolar 2019-2020, SEQ.</w:t>
      </w:r>
    </w:p>
    <w:p w14:paraId="189C884E" w14:textId="7FECAC3E" w:rsidR="006D148B" w:rsidRDefault="006D148B" w:rsidP="006D148B">
      <w:pPr>
        <w:spacing w:after="160" w:line="259" w:lineRule="auto"/>
        <w:rPr>
          <w:rFonts w:eastAsia="Times New Roman" w:cs="Futura"/>
          <w:b/>
        </w:rPr>
      </w:pPr>
    </w:p>
    <w:p w14:paraId="4825E224" w14:textId="77777777" w:rsidR="006D148B" w:rsidRPr="00B141B9" w:rsidRDefault="006D148B" w:rsidP="006D148B">
      <w:pPr>
        <w:spacing w:after="160" w:line="259" w:lineRule="auto"/>
        <w:rPr>
          <w:rFonts w:eastAsia="Times New Roman" w:cs="Futura"/>
          <w:b/>
        </w:rPr>
      </w:pPr>
      <w:r w:rsidRPr="00B141B9">
        <w:rPr>
          <w:rFonts w:eastAsia="Times New Roman" w:cs="Futura"/>
          <w:b/>
        </w:rPr>
        <w:t>Infraestructura Educativa</w:t>
      </w:r>
    </w:p>
    <w:p w14:paraId="706155B1" w14:textId="77777777" w:rsidR="006D148B" w:rsidRPr="00B141B9" w:rsidRDefault="006D148B" w:rsidP="00886807">
      <w:pPr>
        <w:rPr>
          <w:rFonts w:eastAsia="Times New Roman" w:cs="Futura"/>
        </w:rPr>
      </w:pPr>
      <w:r w:rsidRPr="00B141B9">
        <w:rPr>
          <w:rFonts w:eastAsia="Times New Roman" w:cs="Futura"/>
        </w:rPr>
        <w:t xml:space="preserve">Para brindar una educación de calidad, es necesario ampliar la cobertura, es decir la creación de nuevos planteles escolares, rehabilitación, equipamiento de escuelas para asegurar el funcionamiento adecuado de los planteles escolares. </w:t>
      </w:r>
    </w:p>
    <w:p w14:paraId="6121669A" w14:textId="77777777" w:rsidR="006D148B" w:rsidRDefault="006D148B" w:rsidP="00886807">
      <w:pPr>
        <w:rPr>
          <w:rFonts w:eastAsia="Times New Roman" w:cs="Futura"/>
        </w:rPr>
      </w:pPr>
      <w:r w:rsidRPr="00B141B9">
        <w:rPr>
          <w:rFonts w:eastAsia="Times New Roman" w:cs="Futura"/>
        </w:rPr>
        <w:t xml:space="preserve">Para garantizar a </w:t>
      </w:r>
      <w:r>
        <w:rPr>
          <w:rFonts w:eastAsia="Times New Roman" w:cs="Futura"/>
        </w:rPr>
        <w:t xml:space="preserve">la atención de los educandos, en </w:t>
      </w:r>
      <w:r w:rsidRPr="00B141B9">
        <w:rPr>
          <w:rFonts w:eastAsia="Times New Roman" w:cs="Futura"/>
        </w:rPr>
        <w:t xml:space="preserve">el </w:t>
      </w:r>
      <w:r>
        <w:rPr>
          <w:rFonts w:eastAsia="Times New Roman" w:cs="Futura"/>
        </w:rPr>
        <w:t xml:space="preserve">Estado de Quintana Roo, se </w:t>
      </w:r>
      <w:r w:rsidRPr="00B141B9">
        <w:rPr>
          <w:rFonts w:eastAsia="Times New Roman" w:cs="Futura"/>
        </w:rPr>
        <w:t>cuenta con 2 mil 579 centros</w:t>
      </w:r>
      <w:r>
        <w:rPr>
          <w:rFonts w:eastAsia="Times New Roman" w:cs="Futura"/>
        </w:rPr>
        <w:t xml:space="preserve"> educativos</w:t>
      </w:r>
      <w:r w:rsidRPr="00B141B9">
        <w:rPr>
          <w:rFonts w:eastAsia="Times New Roman" w:cs="Futura"/>
        </w:rPr>
        <w:t xml:space="preserve"> de sostenimiento público y privado, de los cuale</w:t>
      </w:r>
      <w:r>
        <w:rPr>
          <w:rFonts w:eastAsia="Times New Roman" w:cs="Futura"/>
        </w:rPr>
        <w:t>s 1 mil 358</w:t>
      </w:r>
      <w:r w:rsidRPr="00B141B9">
        <w:rPr>
          <w:rFonts w:eastAsia="Times New Roman" w:cs="Futura"/>
        </w:rPr>
        <w:t xml:space="preserve"> corresponden a planteles del sector público, siendo e</w:t>
      </w:r>
      <w:r>
        <w:rPr>
          <w:rFonts w:eastAsia="Times New Roman" w:cs="Futura"/>
        </w:rPr>
        <w:t>l 93 por ciento</w:t>
      </w:r>
      <w:r w:rsidRPr="00B141B9">
        <w:rPr>
          <w:rFonts w:eastAsia="Times New Roman" w:cs="Futura"/>
        </w:rPr>
        <w:t xml:space="preserve"> de los edificios públicos, planteles de educación básica.</w:t>
      </w:r>
    </w:p>
    <w:p w14:paraId="596A1329" w14:textId="77777777" w:rsidR="006D148B" w:rsidRDefault="006D148B" w:rsidP="00886807">
      <w:pPr>
        <w:rPr>
          <w:rFonts w:eastAsia="Times New Roman" w:cs="Futura"/>
        </w:rPr>
      </w:pPr>
      <w:r>
        <w:rPr>
          <w:rFonts w:eastAsia="Times New Roman" w:cs="Futura"/>
        </w:rPr>
        <w:t xml:space="preserve">Existen 1 mil 264 inmuebles de educación básica, los cuales atienden a los alumnos en 8 mil 192 aulas, </w:t>
      </w:r>
      <w:r w:rsidRPr="001F762A">
        <w:rPr>
          <w:rFonts w:eastAsia="Times New Roman" w:cs="Futura"/>
        </w:rPr>
        <w:t>223</w:t>
      </w:r>
      <w:r>
        <w:rPr>
          <w:rFonts w:eastAsia="Times New Roman" w:cs="Futura"/>
        </w:rPr>
        <w:t xml:space="preserve"> laboratorios, </w:t>
      </w:r>
      <w:r w:rsidRPr="001F762A">
        <w:rPr>
          <w:rFonts w:eastAsia="Times New Roman" w:cs="Futura"/>
        </w:rPr>
        <w:t>296</w:t>
      </w:r>
      <w:r>
        <w:rPr>
          <w:rFonts w:eastAsia="Times New Roman" w:cs="Futura"/>
        </w:rPr>
        <w:t xml:space="preserve"> talleres y </w:t>
      </w:r>
      <w:r w:rsidRPr="001F762A">
        <w:rPr>
          <w:rFonts w:eastAsia="Times New Roman" w:cs="Futura"/>
        </w:rPr>
        <w:t>7 mil 252</w:t>
      </w:r>
      <w:r w:rsidRPr="00886807">
        <w:rPr>
          <w:rFonts w:eastAsia="Times New Roman" w:cs="Futura"/>
        </w:rPr>
        <w:t xml:space="preserve"> </w:t>
      </w:r>
      <w:r>
        <w:rPr>
          <w:rFonts w:eastAsia="Times New Roman" w:cs="Futura"/>
        </w:rPr>
        <w:t>anexos (direcciones, sanitarios, administración, bibliotecas, bodegas, intendencias, pórticos).</w:t>
      </w:r>
    </w:p>
    <w:p w14:paraId="556DF757" w14:textId="77777777" w:rsidR="006D148B" w:rsidRDefault="006D148B" w:rsidP="00886807">
      <w:pPr>
        <w:rPr>
          <w:rFonts w:eastAsia="Times New Roman" w:cs="Futura"/>
        </w:rPr>
      </w:pPr>
      <w:r>
        <w:rPr>
          <w:rFonts w:eastAsia="Times New Roman" w:cs="Futura"/>
        </w:rPr>
        <w:t>La planta física de educación media superior en la entidad consta de 57 inmuebles escolares que atienden a alumnos de este nivel educativo con 649 aulas, 154 laboratorios, 153 talleres y 1 mil 028 anexos.</w:t>
      </w:r>
    </w:p>
    <w:p w14:paraId="3921F401" w14:textId="4DD208F5" w:rsidR="002A63CF" w:rsidRPr="00447FBB" w:rsidRDefault="006D148B" w:rsidP="00447FBB">
      <w:pPr>
        <w:rPr>
          <w:rFonts w:eastAsia="Times New Roman" w:cs="Futura"/>
        </w:rPr>
      </w:pPr>
      <w:r>
        <w:rPr>
          <w:rFonts w:eastAsia="Times New Roman" w:cs="Futura"/>
        </w:rPr>
        <w:lastRenderedPageBreak/>
        <w:t>Educación</w:t>
      </w:r>
      <w:r w:rsidRPr="00886807">
        <w:rPr>
          <w:rFonts w:eastAsia="Times New Roman" w:cs="Futura"/>
        </w:rPr>
        <w:t xml:space="preserve"> Superior cuenta con 23 inmuebles donde se ofrecen los servicios educativos de este nivel en el Estado, los cuales constan de 478 aulas, 38 talleres y 1 mil 495 anexos para la atención de matrícula de ese nivel educativo (Cuad</w:t>
      </w:r>
      <w:r w:rsidR="00447FBB">
        <w:rPr>
          <w:rFonts w:eastAsia="Times New Roman" w:cs="Futura"/>
        </w:rPr>
        <w:t xml:space="preserve">ro 14). </w:t>
      </w:r>
    </w:p>
    <w:p w14:paraId="59A0EDCA" w14:textId="77777777" w:rsidR="006D148B" w:rsidRPr="00D87ED5" w:rsidRDefault="006D148B" w:rsidP="006D148B">
      <w:pPr>
        <w:spacing w:after="0" w:line="240" w:lineRule="auto"/>
        <w:jc w:val="center"/>
        <w:rPr>
          <w:b/>
          <w:color w:val="4BACC6" w:themeColor="accent5"/>
        </w:rPr>
      </w:pPr>
      <w:r w:rsidRPr="00D87ED5">
        <w:rPr>
          <w:b/>
          <w:color w:val="4BACC6" w:themeColor="accent5"/>
        </w:rPr>
        <w:t>Cuadro 1</w:t>
      </w:r>
      <w:r>
        <w:rPr>
          <w:b/>
          <w:color w:val="4BACC6" w:themeColor="accent5"/>
        </w:rPr>
        <w:t>4</w:t>
      </w:r>
      <w:r w:rsidRPr="00D87ED5">
        <w:rPr>
          <w:b/>
          <w:color w:val="4BACC6" w:themeColor="accent5"/>
        </w:rPr>
        <w:t>. Infraestructura Educativa en Quintana Roo 2018-2019</w:t>
      </w:r>
    </w:p>
    <w:p w14:paraId="0DCF37ED" w14:textId="77777777" w:rsidR="006D148B" w:rsidRPr="00D87ED5" w:rsidRDefault="006D148B" w:rsidP="006D148B">
      <w:pPr>
        <w:spacing w:after="0" w:line="240" w:lineRule="auto"/>
        <w:jc w:val="center"/>
        <w:rPr>
          <w:b/>
          <w:color w:val="4BACC6" w:themeColor="accent5"/>
        </w:rPr>
      </w:pPr>
    </w:p>
    <w:tbl>
      <w:tblPr>
        <w:tblStyle w:val="TablaSectorial"/>
        <w:tblW w:w="9215" w:type="dxa"/>
        <w:tblLayout w:type="fixed"/>
        <w:tblLook w:val="04A0" w:firstRow="1" w:lastRow="0" w:firstColumn="1" w:lastColumn="0" w:noHBand="0" w:noVBand="1"/>
      </w:tblPr>
      <w:tblGrid>
        <w:gridCol w:w="1696"/>
        <w:gridCol w:w="1276"/>
        <w:gridCol w:w="992"/>
        <w:gridCol w:w="1560"/>
        <w:gridCol w:w="1559"/>
        <w:gridCol w:w="1134"/>
        <w:gridCol w:w="998"/>
      </w:tblGrid>
      <w:tr w:rsidR="00E608A6" w:rsidRPr="005B7984" w14:paraId="055F3083" w14:textId="77777777" w:rsidTr="005B7984">
        <w:trPr>
          <w:cnfStyle w:val="100000000000" w:firstRow="1" w:lastRow="0" w:firstColumn="0" w:lastColumn="0" w:oddVBand="0" w:evenVBand="0" w:oddHBand="0" w:evenHBand="0" w:firstRowFirstColumn="0" w:firstRowLastColumn="0" w:lastRowFirstColumn="0" w:lastRowLastColumn="0"/>
          <w:trHeight w:val="638"/>
        </w:trPr>
        <w:tc>
          <w:tcPr>
            <w:tcW w:w="1696" w:type="dxa"/>
            <w:shd w:val="clear" w:color="auto" w:fill="A6A6A6" w:themeFill="background1" w:themeFillShade="A6"/>
          </w:tcPr>
          <w:p w14:paraId="61A134E5" w14:textId="3EA46263" w:rsidR="006D148B" w:rsidRPr="00447FBB" w:rsidRDefault="005B7984" w:rsidP="009E3B2F">
            <w:pPr>
              <w:spacing w:after="120" w:line="240" w:lineRule="auto"/>
              <w:jc w:val="center"/>
              <w:rPr>
                <w:rFonts w:ascii="Futura Std Condensed Light" w:eastAsia="Calibri" w:hAnsi="Futura Std Condensed Light" w:cs="Calibri"/>
                <w:b/>
                <w:szCs w:val="20"/>
              </w:rPr>
            </w:pPr>
            <w:r w:rsidRPr="00447FBB">
              <w:rPr>
                <w:rFonts w:ascii="Futura Std Condensed Light" w:eastAsia="Calibri" w:hAnsi="Futura Std Condensed Light" w:cs="Calibri"/>
                <w:b/>
                <w:szCs w:val="20"/>
              </w:rPr>
              <w:t>Nivel</w:t>
            </w:r>
          </w:p>
        </w:tc>
        <w:tc>
          <w:tcPr>
            <w:tcW w:w="1276" w:type="dxa"/>
            <w:shd w:val="clear" w:color="auto" w:fill="A6A6A6" w:themeFill="background1" w:themeFillShade="A6"/>
          </w:tcPr>
          <w:p w14:paraId="00771F12" w14:textId="385A641F" w:rsidR="006D148B" w:rsidRPr="00447FBB" w:rsidRDefault="005B7984" w:rsidP="009E3B2F">
            <w:pPr>
              <w:spacing w:after="120" w:line="240" w:lineRule="auto"/>
              <w:jc w:val="center"/>
              <w:rPr>
                <w:rFonts w:ascii="Futura Std Condensed Light" w:eastAsia="Calibri" w:hAnsi="Futura Std Condensed Light" w:cs="Calibri"/>
                <w:b/>
                <w:szCs w:val="20"/>
              </w:rPr>
            </w:pPr>
            <w:r w:rsidRPr="00447FBB">
              <w:rPr>
                <w:rFonts w:ascii="Futura Std Condensed Light" w:eastAsia="Calibri" w:hAnsi="Futura Std Condensed Light" w:cs="Calibri"/>
                <w:b/>
                <w:szCs w:val="20"/>
              </w:rPr>
              <w:t>Planteles</w:t>
            </w:r>
          </w:p>
        </w:tc>
        <w:tc>
          <w:tcPr>
            <w:tcW w:w="992" w:type="dxa"/>
            <w:shd w:val="clear" w:color="auto" w:fill="A6A6A6" w:themeFill="background1" w:themeFillShade="A6"/>
          </w:tcPr>
          <w:p w14:paraId="74EF9BE6" w14:textId="20CD35B7" w:rsidR="006D148B" w:rsidRPr="00447FBB" w:rsidRDefault="005B7984" w:rsidP="009E3B2F">
            <w:pPr>
              <w:spacing w:after="120" w:line="240" w:lineRule="auto"/>
              <w:jc w:val="center"/>
              <w:rPr>
                <w:rFonts w:ascii="Futura Std Condensed Light" w:eastAsia="Calibri" w:hAnsi="Futura Std Condensed Light" w:cs="Calibri"/>
                <w:b/>
                <w:szCs w:val="20"/>
              </w:rPr>
            </w:pPr>
            <w:r w:rsidRPr="00447FBB">
              <w:rPr>
                <w:rFonts w:ascii="Futura Std Condensed Light" w:eastAsia="Calibri" w:hAnsi="Futura Std Condensed Light" w:cs="Calibri"/>
                <w:b/>
                <w:szCs w:val="20"/>
              </w:rPr>
              <w:t>Aulas</w:t>
            </w:r>
          </w:p>
        </w:tc>
        <w:tc>
          <w:tcPr>
            <w:tcW w:w="1560" w:type="dxa"/>
            <w:shd w:val="clear" w:color="auto" w:fill="A6A6A6" w:themeFill="background1" w:themeFillShade="A6"/>
          </w:tcPr>
          <w:p w14:paraId="273CC6C3" w14:textId="39A9E829" w:rsidR="006D148B" w:rsidRPr="00447FBB" w:rsidRDefault="005B7984" w:rsidP="009E3B2F">
            <w:pPr>
              <w:spacing w:after="120" w:line="240" w:lineRule="auto"/>
              <w:jc w:val="center"/>
              <w:rPr>
                <w:rFonts w:ascii="Futura Std Condensed Light" w:eastAsia="Calibri" w:hAnsi="Futura Std Condensed Light" w:cs="Calibri"/>
                <w:b/>
                <w:szCs w:val="20"/>
              </w:rPr>
            </w:pPr>
            <w:r w:rsidRPr="00447FBB">
              <w:rPr>
                <w:rFonts w:ascii="Futura Std Condensed Light" w:eastAsia="Calibri" w:hAnsi="Futura Std Condensed Light" w:cs="Calibri"/>
                <w:b/>
                <w:szCs w:val="20"/>
              </w:rPr>
              <w:t>Bibliotecas</w:t>
            </w:r>
          </w:p>
        </w:tc>
        <w:tc>
          <w:tcPr>
            <w:tcW w:w="1559" w:type="dxa"/>
            <w:shd w:val="clear" w:color="auto" w:fill="A6A6A6" w:themeFill="background1" w:themeFillShade="A6"/>
          </w:tcPr>
          <w:p w14:paraId="61A1DDC3" w14:textId="0EEE88F1" w:rsidR="006D148B" w:rsidRPr="00447FBB" w:rsidRDefault="005B7984" w:rsidP="009E3B2F">
            <w:pPr>
              <w:spacing w:after="120" w:line="240" w:lineRule="auto"/>
              <w:jc w:val="center"/>
              <w:rPr>
                <w:rFonts w:ascii="Futura Std Condensed Light" w:eastAsia="Calibri" w:hAnsi="Futura Std Condensed Light" w:cs="Calibri"/>
                <w:b/>
                <w:szCs w:val="20"/>
              </w:rPr>
            </w:pPr>
            <w:r w:rsidRPr="00447FBB">
              <w:rPr>
                <w:rFonts w:ascii="Futura Std Condensed Light" w:eastAsia="Calibri" w:hAnsi="Futura Std Condensed Light" w:cs="Calibri"/>
                <w:b/>
                <w:szCs w:val="20"/>
              </w:rPr>
              <w:t>Laboratorios</w:t>
            </w:r>
          </w:p>
        </w:tc>
        <w:tc>
          <w:tcPr>
            <w:tcW w:w="1134" w:type="dxa"/>
            <w:shd w:val="clear" w:color="auto" w:fill="A6A6A6" w:themeFill="background1" w:themeFillShade="A6"/>
          </w:tcPr>
          <w:p w14:paraId="19C56127" w14:textId="06CB4FDB" w:rsidR="006D148B" w:rsidRPr="00447FBB" w:rsidRDefault="005B7984" w:rsidP="009E3B2F">
            <w:pPr>
              <w:spacing w:after="120" w:line="240" w:lineRule="auto"/>
              <w:jc w:val="center"/>
              <w:rPr>
                <w:rFonts w:ascii="Futura Std Condensed Light" w:eastAsia="Calibri" w:hAnsi="Futura Std Condensed Light" w:cs="Calibri"/>
                <w:b/>
                <w:szCs w:val="20"/>
              </w:rPr>
            </w:pPr>
            <w:r w:rsidRPr="00447FBB">
              <w:rPr>
                <w:rFonts w:ascii="Futura Std Condensed Light" w:eastAsia="Calibri" w:hAnsi="Futura Std Condensed Light" w:cs="Calibri"/>
                <w:b/>
                <w:szCs w:val="20"/>
              </w:rPr>
              <w:t>Talleres</w:t>
            </w:r>
          </w:p>
        </w:tc>
        <w:tc>
          <w:tcPr>
            <w:tcW w:w="998" w:type="dxa"/>
            <w:shd w:val="clear" w:color="auto" w:fill="A6A6A6" w:themeFill="background1" w:themeFillShade="A6"/>
          </w:tcPr>
          <w:p w14:paraId="442CCA71" w14:textId="1D68F603" w:rsidR="006D148B" w:rsidRPr="00447FBB" w:rsidRDefault="005B7984" w:rsidP="009E3B2F">
            <w:pPr>
              <w:spacing w:after="120" w:line="240" w:lineRule="auto"/>
              <w:jc w:val="center"/>
              <w:rPr>
                <w:rFonts w:ascii="Futura Std Condensed Light" w:eastAsia="Calibri" w:hAnsi="Futura Std Condensed Light" w:cs="Calibri"/>
                <w:b/>
                <w:szCs w:val="20"/>
              </w:rPr>
            </w:pPr>
            <w:r w:rsidRPr="00447FBB">
              <w:rPr>
                <w:rFonts w:ascii="Futura Std Condensed Light" w:eastAsia="Calibri" w:hAnsi="Futura Std Condensed Light" w:cs="Calibri"/>
                <w:b/>
                <w:szCs w:val="20"/>
              </w:rPr>
              <w:t>Anexos</w:t>
            </w:r>
          </w:p>
        </w:tc>
      </w:tr>
      <w:tr w:rsidR="006D148B" w:rsidRPr="005B7984" w14:paraId="31D9BA6A" w14:textId="77777777" w:rsidTr="00E608A6">
        <w:tc>
          <w:tcPr>
            <w:tcW w:w="1696" w:type="dxa"/>
          </w:tcPr>
          <w:p w14:paraId="2FD4D4CD" w14:textId="3F1A3915" w:rsidR="006D148B" w:rsidRPr="005B7984" w:rsidRDefault="005B7984" w:rsidP="00AC4CE6">
            <w:pPr>
              <w:spacing w:after="120" w:line="240" w:lineRule="auto"/>
              <w:jc w:val="left"/>
              <w:rPr>
                <w:rFonts w:ascii="Futura Std Condensed Light" w:eastAsia="Calibri" w:hAnsi="Futura Std Condensed Light" w:cs="Calibri"/>
                <w:szCs w:val="20"/>
              </w:rPr>
            </w:pPr>
            <w:r w:rsidRPr="005B7984">
              <w:rPr>
                <w:rFonts w:ascii="Futura Std Condensed Light" w:eastAsia="Calibri" w:hAnsi="Futura Std Condensed Light" w:cs="Calibri"/>
                <w:szCs w:val="20"/>
              </w:rPr>
              <w:t>Preescolar</w:t>
            </w:r>
            <w:r w:rsidR="006D148B" w:rsidRPr="005B7984">
              <w:rPr>
                <w:rFonts w:ascii="Futura Std Condensed Light" w:eastAsia="Calibri" w:hAnsi="Futura Std Condensed Light" w:cs="Calibri"/>
                <w:szCs w:val="20"/>
              </w:rPr>
              <w:t xml:space="preserve"> b/</w:t>
            </w:r>
          </w:p>
        </w:tc>
        <w:tc>
          <w:tcPr>
            <w:tcW w:w="1276" w:type="dxa"/>
          </w:tcPr>
          <w:p w14:paraId="12F493B1" w14:textId="77777777" w:rsidR="006D148B" w:rsidRPr="005B7984" w:rsidRDefault="006D148B" w:rsidP="005B7984">
            <w:pPr>
              <w:spacing w:after="120" w:line="240" w:lineRule="auto"/>
              <w:jc w:val="center"/>
              <w:rPr>
                <w:rFonts w:ascii="Futura Std Condensed Light" w:eastAsia="Calibri" w:hAnsi="Futura Std Condensed Light" w:cs="Calibri"/>
                <w:szCs w:val="20"/>
              </w:rPr>
            </w:pPr>
            <w:r w:rsidRPr="005B7984">
              <w:rPr>
                <w:rFonts w:ascii="Futura Std Condensed Light" w:eastAsia="Calibri" w:hAnsi="Futura Std Condensed Light" w:cs="Calibri"/>
                <w:szCs w:val="20"/>
              </w:rPr>
              <w:t>465</w:t>
            </w:r>
          </w:p>
        </w:tc>
        <w:tc>
          <w:tcPr>
            <w:tcW w:w="992" w:type="dxa"/>
          </w:tcPr>
          <w:p w14:paraId="4BD2B143" w14:textId="77777777" w:rsidR="006D148B" w:rsidRPr="005B7984" w:rsidRDefault="006D148B" w:rsidP="005B7984">
            <w:pPr>
              <w:spacing w:after="120" w:line="240" w:lineRule="auto"/>
              <w:jc w:val="center"/>
              <w:rPr>
                <w:rFonts w:ascii="Futura Std Condensed Light" w:eastAsia="Calibri" w:hAnsi="Futura Std Condensed Light" w:cs="Calibri"/>
                <w:szCs w:val="20"/>
              </w:rPr>
            </w:pPr>
            <w:r w:rsidRPr="005B7984">
              <w:rPr>
                <w:rFonts w:ascii="Futura Std Condensed Light" w:eastAsia="Calibri" w:hAnsi="Futura Std Condensed Light" w:cs="Calibri"/>
                <w:szCs w:val="20"/>
              </w:rPr>
              <w:t>1,842</w:t>
            </w:r>
          </w:p>
        </w:tc>
        <w:tc>
          <w:tcPr>
            <w:tcW w:w="1560" w:type="dxa"/>
          </w:tcPr>
          <w:p w14:paraId="6CE72783" w14:textId="77777777" w:rsidR="006D148B" w:rsidRPr="005B7984" w:rsidRDefault="006D148B" w:rsidP="005B7984">
            <w:pPr>
              <w:spacing w:after="120" w:line="240" w:lineRule="auto"/>
              <w:jc w:val="center"/>
              <w:rPr>
                <w:rFonts w:ascii="Futura Std Condensed Light" w:eastAsia="Calibri" w:hAnsi="Futura Std Condensed Light" w:cs="Calibri"/>
                <w:szCs w:val="20"/>
              </w:rPr>
            </w:pPr>
            <w:r w:rsidRPr="005B7984">
              <w:rPr>
                <w:rFonts w:ascii="Futura Std Condensed Light" w:eastAsia="Calibri" w:hAnsi="Futura Std Condensed Light" w:cs="Calibri"/>
                <w:szCs w:val="20"/>
              </w:rPr>
              <w:t>0</w:t>
            </w:r>
          </w:p>
        </w:tc>
        <w:tc>
          <w:tcPr>
            <w:tcW w:w="1559" w:type="dxa"/>
          </w:tcPr>
          <w:p w14:paraId="7AE3B410" w14:textId="77777777" w:rsidR="006D148B" w:rsidRPr="005B7984" w:rsidRDefault="006D148B" w:rsidP="005B7984">
            <w:pPr>
              <w:spacing w:after="120" w:line="240" w:lineRule="auto"/>
              <w:jc w:val="center"/>
              <w:rPr>
                <w:rFonts w:ascii="Futura Std Condensed Light" w:eastAsia="Calibri" w:hAnsi="Futura Std Condensed Light" w:cs="Calibri"/>
                <w:szCs w:val="20"/>
              </w:rPr>
            </w:pPr>
            <w:r w:rsidRPr="005B7984">
              <w:rPr>
                <w:rFonts w:ascii="Futura Std Condensed Light" w:eastAsia="Calibri" w:hAnsi="Futura Std Condensed Light" w:cs="Calibri"/>
                <w:szCs w:val="20"/>
              </w:rPr>
              <w:t>0</w:t>
            </w:r>
          </w:p>
        </w:tc>
        <w:tc>
          <w:tcPr>
            <w:tcW w:w="1134" w:type="dxa"/>
          </w:tcPr>
          <w:p w14:paraId="0C7FC42D" w14:textId="77777777" w:rsidR="006D148B" w:rsidRPr="005B7984" w:rsidRDefault="006D148B" w:rsidP="005B7984">
            <w:pPr>
              <w:spacing w:after="120" w:line="240" w:lineRule="auto"/>
              <w:jc w:val="center"/>
              <w:rPr>
                <w:rFonts w:ascii="Futura Std Condensed Light" w:eastAsia="Calibri" w:hAnsi="Futura Std Condensed Light" w:cs="Calibri"/>
                <w:szCs w:val="20"/>
              </w:rPr>
            </w:pPr>
            <w:r w:rsidRPr="005B7984">
              <w:rPr>
                <w:rFonts w:ascii="Futura Std Condensed Light" w:eastAsia="Calibri" w:hAnsi="Futura Std Condensed Light" w:cs="Calibri"/>
                <w:szCs w:val="20"/>
              </w:rPr>
              <w:t>5</w:t>
            </w:r>
          </w:p>
        </w:tc>
        <w:tc>
          <w:tcPr>
            <w:tcW w:w="998" w:type="dxa"/>
          </w:tcPr>
          <w:p w14:paraId="1C95974A" w14:textId="77777777" w:rsidR="006D148B" w:rsidRPr="005B7984" w:rsidRDefault="006D148B" w:rsidP="005B7984">
            <w:pPr>
              <w:spacing w:after="120" w:line="240" w:lineRule="auto"/>
              <w:jc w:val="center"/>
              <w:rPr>
                <w:rFonts w:ascii="Futura Std Condensed Light" w:eastAsia="Calibri" w:hAnsi="Futura Std Condensed Light" w:cs="Calibri"/>
                <w:szCs w:val="20"/>
              </w:rPr>
            </w:pPr>
            <w:r w:rsidRPr="005B7984">
              <w:rPr>
                <w:rFonts w:ascii="Futura Std Condensed Light" w:eastAsia="Calibri" w:hAnsi="Futura Std Condensed Light" w:cs="Calibri"/>
                <w:szCs w:val="20"/>
              </w:rPr>
              <w:t>1,345</w:t>
            </w:r>
          </w:p>
        </w:tc>
      </w:tr>
      <w:tr w:rsidR="006D148B" w:rsidRPr="005B7984" w14:paraId="4A65A079" w14:textId="77777777" w:rsidTr="00E608A6">
        <w:tc>
          <w:tcPr>
            <w:tcW w:w="1696" w:type="dxa"/>
          </w:tcPr>
          <w:p w14:paraId="08D147C2" w14:textId="08044422" w:rsidR="006D148B" w:rsidRPr="005B7984" w:rsidRDefault="005B7984" w:rsidP="00AC4CE6">
            <w:pPr>
              <w:spacing w:after="120" w:line="240" w:lineRule="auto"/>
              <w:jc w:val="left"/>
              <w:rPr>
                <w:rFonts w:ascii="Futura Std Condensed Light" w:eastAsia="Calibri" w:hAnsi="Futura Std Condensed Light" w:cs="Calibri"/>
                <w:szCs w:val="20"/>
              </w:rPr>
            </w:pPr>
            <w:r w:rsidRPr="005B7984">
              <w:rPr>
                <w:rFonts w:ascii="Futura Std Condensed Light" w:eastAsia="Calibri" w:hAnsi="Futura Std Condensed Light" w:cs="Calibri"/>
                <w:szCs w:val="20"/>
              </w:rPr>
              <w:t>Primaria</w:t>
            </w:r>
          </w:p>
        </w:tc>
        <w:tc>
          <w:tcPr>
            <w:tcW w:w="1276" w:type="dxa"/>
          </w:tcPr>
          <w:p w14:paraId="5FBA8962" w14:textId="77777777" w:rsidR="006D148B" w:rsidRPr="005B7984" w:rsidRDefault="006D148B" w:rsidP="005B7984">
            <w:pPr>
              <w:spacing w:after="120" w:line="240" w:lineRule="auto"/>
              <w:jc w:val="center"/>
              <w:rPr>
                <w:rFonts w:ascii="Futura Std Condensed Light" w:eastAsia="Calibri" w:hAnsi="Futura Std Condensed Light" w:cs="Calibri"/>
                <w:szCs w:val="20"/>
              </w:rPr>
            </w:pPr>
            <w:r w:rsidRPr="005B7984">
              <w:rPr>
                <w:rFonts w:ascii="Futura Std Condensed Light" w:eastAsia="Calibri" w:hAnsi="Futura Std Condensed Light" w:cs="Calibri"/>
                <w:szCs w:val="20"/>
              </w:rPr>
              <w:t>552</w:t>
            </w:r>
          </w:p>
        </w:tc>
        <w:tc>
          <w:tcPr>
            <w:tcW w:w="992" w:type="dxa"/>
          </w:tcPr>
          <w:p w14:paraId="12355F61" w14:textId="77777777" w:rsidR="006D148B" w:rsidRPr="005B7984" w:rsidRDefault="006D148B" w:rsidP="005B7984">
            <w:pPr>
              <w:spacing w:after="120" w:line="240" w:lineRule="auto"/>
              <w:jc w:val="center"/>
              <w:rPr>
                <w:rFonts w:ascii="Futura Std Condensed Light" w:eastAsia="Calibri" w:hAnsi="Futura Std Condensed Light" w:cs="Calibri"/>
                <w:szCs w:val="20"/>
              </w:rPr>
            </w:pPr>
            <w:r w:rsidRPr="005B7984">
              <w:rPr>
                <w:rFonts w:ascii="Futura Std Condensed Light" w:eastAsia="Calibri" w:hAnsi="Futura Std Condensed Light" w:cs="Calibri"/>
                <w:szCs w:val="20"/>
              </w:rPr>
              <w:t>4,560</w:t>
            </w:r>
          </w:p>
        </w:tc>
        <w:tc>
          <w:tcPr>
            <w:tcW w:w="1560" w:type="dxa"/>
          </w:tcPr>
          <w:p w14:paraId="2498B97F" w14:textId="77777777" w:rsidR="006D148B" w:rsidRPr="005B7984" w:rsidRDefault="006D148B" w:rsidP="005B7984">
            <w:pPr>
              <w:spacing w:after="120" w:line="240" w:lineRule="auto"/>
              <w:jc w:val="center"/>
              <w:rPr>
                <w:rFonts w:ascii="Futura Std Condensed Light" w:eastAsia="Calibri" w:hAnsi="Futura Std Condensed Light" w:cs="Calibri"/>
                <w:szCs w:val="20"/>
              </w:rPr>
            </w:pPr>
            <w:r w:rsidRPr="005B7984">
              <w:rPr>
                <w:rFonts w:ascii="Futura Std Condensed Light" w:eastAsia="Calibri" w:hAnsi="Futura Std Condensed Light" w:cs="Calibri"/>
                <w:szCs w:val="20"/>
              </w:rPr>
              <w:t>0</w:t>
            </w:r>
          </w:p>
        </w:tc>
        <w:tc>
          <w:tcPr>
            <w:tcW w:w="1559" w:type="dxa"/>
          </w:tcPr>
          <w:p w14:paraId="12110BE4" w14:textId="77777777" w:rsidR="006D148B" w:rsidRPr="005B7984" w:rsidRDefault="006D148B" w:rsidP="005B7984">
            <w:pPr>
              <w:spacing w:after="120" w:line="240" w:lineRule="auto"/>
              <w:jc w:val="center"/>
              <w:rPr>
                <w:rFonts w:ascii="Futura Std Condensed Light" w:eastAsia="Calibri" w:hAnsi="Futura Std Condensed Light" w:cs="Calibri"/>
                <w:szCs w:val="20"/>
              </w:rPr>
            </w:pPr>
            <w:r w:rsidRPr="005B7984">
              <w:rPr>
                <w:rFonts w:ascii="Futura Std Condensed Light" w:eastAsia="Calibri" w:hAnsi="Futura Std Condensed Light" w:cs="Calibri"/>
                <w:szCs w:val="20"/>
              </w:rPr>
              <w:t>0</w:t>
            </w:r>
          </w:p>
        </w:tc>
        <w:tc>
          <w:tcPr>
            <w:tcW w:w="1134" w:type="dxa"/>
          </w:tcPr>
          <w:p w14:paraId="3301D9A2" w14:textId="77777777" w:rsidR="006D148B" w:rsidRPr="005B7984" w:rsidRDefault="006D148B" w:rsidP="005B7984">
            <w:pPr>
              <w:spacing w:after="120" w:line="240" w:lineRule="auto"/>
              <w:jc w:val="center"/>
              <w:rPr>
                <w:rFonts w:ascii="Futura Std Condensed Light" w:eastAsia="Calibri" w:hAnsi="Futura Std Condensed Light" w:cs="Calibri"/>
                <w:szCs w:val="20"/>
              </w:rPr>
            </w:pPr>
            <w:r w:rsidRPr="005B7984">
              <w:rPr>
                <w:rFonts w:ascii="Futura Std Condensed Light" w:eastAsia="Calibri" w:hAnsi="Futura Std Condensed Light" w:cs="Calibri"/>
                <w:szCs w:val="20"/>
              </w:rPr>
              <w:t>0</w:t>
            </w:r>
          </w:p>
        </w:tc>
        <w:tc>
          <w:tcPr>
            <w:tcW w:w="998" w:type="dxa"/>
          </w:tcPr>
          <w:p w14:paraId="6906F158" w14:textId="77777777" w:rsidR="006D148B" w:rsidRPr="005B7984" w:rsidRDefault="006D148B" w:rsidP="005B7984">
            <w:pPr>
              <w:spacing w:after="120" w:line="240" w:lineRule="auto"/>
              <w:jc w:val="center"/>
              <w:rPr>
                <w:rFonts w:ascii="Futura Std Condensed Light" w:eastAsia="Calibri" w:hAnsi="Futura Std Condensed Light" w:cs="Calibri"/>
                <w:szCs w:val="20"/>
              </w:rPr>
            </w:pPr>
            <w:r w:rsidRPr="005B7984">
              <w:rPr>
                <w:rFonts w:ascii="Futura Std Condensed Light" w:eastAsia="Calibri" w:hAnsi="Futura Std Condensed Light" w:cs="Calibri"/>
                <w:szCs w:val="20"/>
              </w:rPr>
              <w:t>3,243</w:t>
            </w:r>
          </w:p>
        </w:tc>
      </w:tr>
      <w:tr w:rsidR="006D148B" w:rsidRPr="005B7984" w14:paraId="34F41087" w14:textId="77777777" w:rsidTr="00E608A6">
        <w:tc>
          <w:tcPr>
            <w:tcW w:w="1696" w:type="dxa"/>
          </w:tcPr>
          <w:p w14:paraId="37CA2430" w14:textId="4463A1E4" w:rsidR="006D148B" w:rsidRPr="005B7984" w:rsidRDefault="005B7984" w:rsidP="00AC4CE6">
            <w:pPr>
              <w:spacing w:after="120" w:line="240" w:lineRule="auto"/>
              <w:jc w:val="left"/>
              <w:rPr>
                <w:rFonts w:ascii="Futura Std Condensed Light" w:eastAsia="Calibri" w:hAnsi="Futura Std Condensed Light" w:cs="Calibri"/>
                <w:szCs w:val="20"/>
              </w:rPr>
            </w:pPr>
            <w:r w:rsidRPr="005B7984">
              <w:rPr>
                <w:rFonts w:ascii="Futura Std Condensed Light" w:eastAsia="Calibri" w:hAnsi="Futura Std Condensed Light" w:cs="Calibri"/>
                <w:szCs w:val="20"/>
              </w:rPr>
              <w:t>Secundaria</w:t>
            </w:r>
          </w:p>
        </w:tc>
        <w:tc>
          <w:tcPr>
            <w:tcW w:w="1276" w:type="dxa"/>
          </w:tcPr>
          <w:p w14:paraId="60DB244C" w14:textId="77777777" w:rsidR="006D148B" w:rsidRPr="005B7984" w:rsidRDefault="006D148B" w:rsidP="005B7984">
            <w:pPr>
              <w:spacing w:after="120" w:line="240" w:lineRule="auto"/>
              <w:jc w:val="center"/>
              <w:rPr>
                <w:rFonts w:ascii="Futura Std Condensed Light" w:eastAsia="Calibri" w:hAnsi="Futura Std Condensed Light" w:cs="Calibri"/>
                <w:szCs w:val="20"/>
              </w:rPr>
            </w:pPr>
            <w:r w:rsidRPr="005B7984">
              <w:rPr>
                <w:rFonts w:ascii="Futura Std Condensed Light" w:eastAsia="Calibri" w:hAnsi="Futura Std Condensed Light" w:cs="Calibri"/>
                <w:szCs w:val="20"/>
              </w:rPr>
              <w:t>247</w:t>
            </w:r>
          </w:p>
        </w:tc>
        <w:tc>
          <w:tcPr>
            <w:tcW w:w="992" w:type="dxa"/>
          </w:tcPr>
          <w:p w14:paraId="520C4FCD" w14:textId="77777777" w:rsidR="006D148B" w:rsidRPr="005B7984" w:rsidRDefault="006D148B" w:rsidP="005B7984">
            <w:pPr>
              <w:spacing w:after="120" w:line="240" w:lineRule="auto"/>
              <w:jc w:val="center"/>
              <w:rPr>
                <w:rFonts w:ascii="Futura Std Condensed Light" w:eastAsia="Calibri" w:hAnsi="Futura Std Condensed Light" w:cs="Calibri"/>
                <w:szCs w:val="20"/>
              </w:rPr>
            </w:pPr>
            <w:r w:rsidRPr="005B7984">
              <w:rPr>
                <w:rFonts w:ascii="Futura Std Condensed Light" w:eastAsia="Calibri" w:hAnsi="Futura Std Condensed Light" w:cs="Calibri"/>
                <w:szCs w:val="20"/>
              </w:rPr>
              <w:t>1,790</w:t>
            </w:r>
          </w:p>
        </w:tc>
        <w:tc>
          <w:tcPr>
            <w:tcW w:w="1560" w:type="dxa"/>
          </w:tcPr>
          <w:p w14:paraId="3D5E3D4B" w14:textId="77777777" w:rsidR="006D148B" w:rsidRPr="005B7984" w:rsidRDefault="006D148B" w:rsidP="005B7984">
            <w:pPr>
              <w:spacing w:after="120" w:line="240" w:lineRule="auto"/>
              <w:jc w:val="center"/>
              <w:rPr>
                <w:rFonts w:ascii="Futura Std Condensed Light" w:eastAsia="Calibri" w:hAnsi="Futura Std Condensed Light" w:cs="Calibri"/>
                <w:szCs w:val="20"/>
              </w:rPr>
            </w:pPr>
            <w:r w:rsidRPr="005B7984">
              <w:rPr>
                <w:rFonts w:ascii="Futura Std Condensed Light" w:eastAsia="Calibri" w:hAnsi="Futura Std Condensed Light" w:cs="Calibri"/>
                <w:szCs w:val="20"/>
              </w:rPr>
              <w:t>30</w:t>
            </w:r>
          </w:p>
        </w:tc>
        <w:tc>
          <w:tcPr>
            <w:tcW w:w="1559" w:type="dxa"/>
          </w:tcPr>
          <w:p w14:paraId="63624D92" w14:textId="77777777" w:rsidR="006D148B" w:rsidRPr="005B7984" w:rsidRDefault="006D148B" w:rsidP="005B7984">
            <w:pPr>
              <w:spacing w:after="120" w:line="240" w:lineRule="auto"/>
              <w:jc w:val="center"/>
              <w:rPr>
                <w:rFonts w:ascii="Futura Std Condensed Light" w:eastAsia="Calibri" w:hAnsi="Futura Std Condensed Light" w:cs="Calibri"/>
                <w:szCs w:val="20"/>
              </w:rPr>
            </w:pPr>
            <w:r w:rsidRPr="005B7984">
              <w:rPr>
                <w:rFonts w:ascii="Futura Std Condensed Light" w:eastAsia="Calibri" w:hAnsi="Futura Std Condensed Light" w:cs="Calibri"/>
                <w:szCs w:val="20"/>
              </w:rPr>
              <w:t>223</w:t>
            </w:r>
          </w:p>
        </w:tc>
        <w:tc>
          <w:tcPr>
            <w:tcW w:w="1134" w:type="dxa"/>
          </w:tcPr>
          <w:p w14:paraId="4D46C663" w14:textId="77777777" w:rsidR="006D148B" w:rsidRPr="005B7984" w:rsidRDefault="006D148B" w:rsidP="005B7984">
            <w:pPr>
              <w:spacing w:after="120" w:line="240" w:lineRule="auto"/>
              <w:jc w:val="center"/>
              <w:rPr>
                <w:rFonts w:ascii="Futura Std Condensed Light" w:eastAsia="Calibri" w:hAnsi="Futura Std Condensed Light" w:cs="Calibri"/>
                <w:szCs w:val="20"/>
              </w:rPr>
            </w:pPr>
            <w:r w:rsidRPr="005B7984">
              <w:rPr>
                <w:rFonts w:ascii="Futura Std Condensed Light" w:eastAsia="Calibri" w:hAnsi="Futura Std Condensed Light" w:cs="Calibri"/>
                <w:szCs w:val="20"/>
              </w:rPr>
              <w:t>291</w:t>
            </w:r>
          </w:p>
        </w:tc>
        <w:tc>
          <w:tcPr>
            <w:tcW w:w="998" w:type="dxa"/>
          </w:tcPr>
          <w:p w14:paraId="2F359078" w14:textId="77777777" w:rsidR="006D148B" w:rsidRPr="005B7984" w:rsidRDefault="006D148B" w:rsidP="005B7984">
            <w:pPr>
              <w:spacing w:after="120" w:line="240" w:lineRule="auto"/>
              <w:jc w:val="center"/>
              <w:rPr>
                <w:rFonts w:ascii="Futura Std Condensed Light" w:eastAsia="Calibri" w:hAnsi="Futura Std Condensed Light" w:cs="Calibri"/>
                <w:szCs w:val="20"/>
              </w:rPr>
            </w:pPr>
            <w:r w:rsidRPr="005B7984">
              <w:rPr>
                <w:rFonts w:ascii="Futura Std Condensed Light" w:eastAsia="Calibri" w:hAnsi="Futura Std Condensed Light" w:cs="Calibri"/>
                <w:szCs w:val="20"/>
              </w:rPr>
              <w:t>2,664</w:t>
            </w:r>
          </w:p>
        </w:tc>
      </w:tr>
      <w:tr w:rsidR="006D148B" w:rsidRPr="005B7984" w14:paraId="228485B7" w14:textId="77777777" w:rsidTr="00E608A6">
        <w:tc>
          <w:tcPr>
            <w:tcW w:w="1696" w:type="dxa"/>
          </w:tcPr>
          <w:p w14:paraId="122AE915" w14:textId="79C8130D" w:rsidR="006D148B" w:rsidRPr="005B7984" w:rsidRDefault="005B7984" w:rsidP="00AC4CE6">
            <w:pPr>
              <w:spacing w:after="120" w:line="240" w:lineRule="auto"/>
              <w:jc w:val="left"/>
              <w:rPr>
                <w:rFonts w:ascii="Futura Std Condensed Light" w:eastAsia="Calibri" w:hAnsi="Futura Std Condensed Light" w:cs="Calibri"/>
                <w:szCs w:val="20"/>
              </w:rPr>
            </w:pPr>
            <w:r w:rsidRPr="005B7984">
              <w:rPr>
                <w:rFonts w:ascii="Futura Std Condensed Light" w:eastAsia="Calibri" w:hAnsi="Futura Std Condensed Light" w:cs="Calibri"/>
                <w:szCs w:val="20"/>
              </w:rPr>
              <w:t>Bachillerato</w:t>
            </w:r>
          </w:p>
        </w:tc>
        <w:tc>
          <w:tcPr>
            <w:tcW w:w="1276" w:type="dxa"/>
          </w:tcPr>
          <w:p w14:paraId="133C7C89" w14:textId="77777777" w:rsidR="006D148B" w:rsidRPr="005B7984" w:rsidRDefault="006D148B" w:rsidP="005B7984">
            <w:pPr>
              <w:spacing w:after="120" w:line="240" w:lineRule="auto"/>
              <w:jc w:val="center"/>
              <w:rPr>
                <w:rFonts w:ascii="Futura Std Condensed Light" w:eastAsia="Calibri" w:hAnsi="Futura Std Condensed Light" w:cs="Calibri"/>
                <w:szCs w:val="20"/>
              </w:rPr>
            </w:pPr>
            <w:r w:rsidRPr="005B7984">
              <w:rPr>
                <w:rFonts w:ascii="Futura Std Condensed Light" w:eastAsia="Calibri" w:hAnsi="Futura Std Condensed Light" w:cs="Calibri"/>
                <w:szCs w:val="20"/>
              </w:rPr>
              <w:t>23</w:t>
            </w:r>
          </w:p>
        </w:tc>
        <w:tc>
          <w:tcPr>
            <w:tcW w:w="992" w:type="dxa"/>
          </w:tcPr>
          <w:p w14:paraId="12824633" w14:textId="77777777" w:rsidR="006D148B" w:rsidRPr="005B7984" w:rsidRDefault="006D148B" w:rsidP="005B7984">
            <w:pPr>
              <w:spacing w:after="120" w:line="240" w:lineRule="auto"/>
              <w:jc w:val="center"/>
              <w:rPr>
                <w:rFonts w:ascii="Futura Std Condensed Light" w:eastAsia="Calibri" w:hAnsi="Futura Std Condensed Light" w:cs="Calibri"/>
                <w:szCs w:val="20"/>
              </w:rPr>
            </w:pPr>
            <w:r w:rsidRPr="005B7984">
              <w:rPr>
                <w:rFonts w:ascii="Futura Std Condensed Light" w:eastAsia="Calibri" w:hAnsi="Futura Std Condensed Light" w:cs="Calibri"/>
                <w:szCs w:val="20"/>
              </w:rPr>
              <w:t>221</w:t>
            </w:r>
          </w:p>
        </w:tc>
        <w:tc>
          <w:tcPr>
            <w:tcW w:w="1560" w:type="dxa"/>
          </w:tcPr>
          <w:p w14:paraId="2ACBCF5F" w14:textId="77777777" w:rsidR="006D148B" w:rsidRPr="005B7984" w:rsidRDefault="006D148B" w:rsidP="005B7984">
            <w:pPr>
              <w:spacing w:after="120" w:line="240" w:lineRule="auto"/>
              <w:jc w:val="center"/>
              <w:rPr>
                <w:rFonts w:ascii="Futura Std Condensed Light" w:eastAsia="Calibri" w:hAnsi="Futura Std Condensed Light" w:cs="Calibri"/>
                <w:szCs w:val="20"/>
              </w:rPr>
            </w:pPr>
            <w:r w:rsidRPr="005B7984">
              <w:rPr>
                <w:rFonts w:ascii="Futura Std Condensed Light" w:eastAsia="Calibri" w:hAnsi="Futura Std Condensed Light" w:cs="Calibri"/>
                <w:szCs w:val="20"/>
              </w:rPr>
              <w:t>24</w:t>
            </w:r>
          </w:p>
        </w:tc>
        <w:tc>
          <w:tcPr>
            <w:tcW w:w="1559" w:type="dxa"/>
          </w:tcPr>
          <w:p w14:paraId="67DF35DE" w14:textId="77777777" w:rsidR="006D148B" w:rsidRPr="005B7984" w:rsidRDefault="006D148B" w:rsidP="005B7984">
            <w:pPr>
              <w:spacing w:after="120" w:line="240" w:lineRule="auto"/>
              <w:jc w:val="center"/>
              <w:rPr>
                <w:rFonts w:ascii="Futura Std Condensed Light" w:eastAsia="Calibri" w:hAnsi="Futura Std Condensed Light" w:cs="Calibri"/>
                <w:szCs w:val="20"/>
              </w:rPr>
            </w:pPr>
            <w:r w:rsidRPr="005B7984">
              <w:rPr>
                <w:rFonts w:ascii="Futura Std Condensed Light" w:eastAsia="Calibri" w:hAnsi="Futura Std Condensed Light" w:cs="Calibri"/>
                <w:szCs w:val="20"/>
              </w:rPr>
              <w:t>61</w:t>
            </w:r>
          </w:p>
        </w:tc>
        <w:tc>
          <w:tcPr>
            <w:tcW w:w="1134" w:type="dxa"/>
          </w:tcPr>
          <w:p w14:paraId="792274FD" w14:textId="77777777" w:rsidR="006D148B" w:rsidRPr="005B7984" w:rsidRDefault="006D148B" w:rsidP="005B7984">
            <w:pPr>
              <w:spacing w:after="120" w:line="240" w:lineRule="auto"/>
              <w:jc w:val="center"/>
              <w:rPr>
                <w:rFonts w:ascii="Futura Std Condensed Light" w:eastAsia="Calibri" w:hAnsi="Futura Std Condensed Light" w:cs="Calibri"/>
                <w:szCs w:val="20"/>
              </w:rPr>
            </w:pPr>
            <w:r w:rsidRPr="005B7984">
              <w:rPr>
                <w:rFonts w:ascii="Futura Std Condensed Light" w:eastAsia="Calibri" w:hAnsi="Futura Std Condensed Light" w:cs="Calibri"/>
                <w:szCs w:val="20"/>
              </w:rPr>
              <w:t>38</w:t>
            </w:r>
          </w:p>
        </w:tc>
        <w:tc>
          <w:tcPr>
            <w:tcW w:w="998" w:type="dxa"/>
          </w:tcPr>
          <w:p w14:paraId="39EF0AF7" w14:textId="77777777" w:rsidR="006D148B" w:rsidRPr="005B7984" w:rsidRDefault="006D148B" w:rsidP="005B7984">
            <w:pPr>
              <w:spacing w:after="120" w:line="240" w:lineRule="auto"/>
              <w:jc w:val="center"/>
              <w:rPr>
                <w:rFonts w:ascii="Futura Std Condensed Light" w:eastAsia="Calibri" w:hAnsi="Futura Std Condensed Light" w:cs="Calibri"/>
                <w:szCs w:val="20"/>
              </w:rPr>
            </w:pPr>
            <w:r w:rsidRPr="005B7984">
              <w:rPr>
                <w:rFonts w:ascii="Futura Std Condensed Light" w:eastAsia="Calibri" w:hAnsi="Futura Std Condensed Light" w:cs="Calibri"/>
                <w:szCs w:val="20"/>
              </w:rPr>
              <w:t>420</w:t>
            </w:r>
          </w:p>
        </w:tc>
      </w:tr>
      <w:tr w:rsidR="006D148B" w:rsidRPr="005B7984" w14:paraId="4485CAAB" w14:textId="77777777" w:rsidTr="00E608A6">
        <w:tc>
          <w:tcPr>
            <w:tcW w:w="1696" w:type="dxa"/>
          </w:tcPr>
          <w:p w14:paraId="510A8B1B" w14:textId="04FC8483" w:rsidR="006D148B" w:rsidRPr="005B7984" w:rsidRDefault="005B7984" w:rsidP="00AC4CE6">
            <w:pPr>
              <w:spacing w:after="120" w:line="240" w:lineRule="auto"/>
              <w:jc w:val="left"/>
              <w:rPr>
                <w:rFonts w:ascii="Futura Std Condensed Light" w:eastAsia="Calibri" w:hAnsi="Futura Std Condensed Light" w:cs="Calibri"/>
                <w:szCs w:val="20"/>
              </w:rPr>
            </w:pPr>
            <w:r w:rsidRPr="005B7984">
              <w:rPr>
                <w:rFonts w:ascii="Futura Std Condensed Light" w:eastAsia="Calibri" w:hAnsi="Futura Std Condensed Light" w:cs="Calibri"/>
                <w:szCs w:val="20"/>
              </w:rPr>
              <w:t>Bachillerato tecnológico</w:t>
            </w:r>
          </w:p>
        </w:tc>
        <w:tc>
          <w:tcPr>
            <w:tcW w:w="1276" w:type="dxa"/>
          </w:tcPr>
          <w:p w14:paraId="1C876B8B" w14:textId="77777777" w:rsidR="006D148B" w:rsidRPr="005B7984" w:rsidRDefault="006D148B" w:rsidP="005B7984">
            <w:pPr>
              <w:spacing w:after="120" w:line="240" w:lineRule="auto"/>
              <w:jc w:val="center"/>
              <w:rPr>
                <w:rFonts w:ascii="Futura Std Condensed Light" w:eastAsia="Calibri" w:hAnsi="Futura Std Condensed Light" w:cs="Calibri"/>
                <w:szCs w:val="20"/>
              </w:rPr>
            </w:pPr>
            <w:r w:rsidRPr="005B7984">
              <w:rPr>
                <w:rFonts w:ascii="Futura Std Condensed Light" w:eastAsia="Calibri" w:hAnsi="Futura Std Condensed Light" w:cs="Calibri"/>
                <w:szCs w:val="20"/>
              </w:rPr>
              <w:t>34</w:t>
            </w:r>
          </w:p>
        </w:tc>
        <w:tc>
          <w:tcPr>
            <w:tcW w:w="992" w:type="dxa"/>
          </w:tcPr>
          <w:p w14:paraId="12357A15" w14:textId="77777777" w:rsidR="006D148B" w:rsidRPr="005B7984" w:rsidRDefault="006D148B" w:rsidP="005B7984">
            <w:pPr>
              <w:spacing w:after="120" w:line="240" w:lineRule="auto"/>
              <w:jc w:val="center"/>
              <w:rPr>
                <w:rFonts w:ascii="Futura Std Condensed Light" w:eastAsia="Calibri" w:hAnsi="Futura Std Condensed Light" w:cs="Calibri"/>
                <w:szCs w:val="20"/>
              </w:rPr>
            </w:pPr>
            <w:r w:rsidRPr="005B7984">
              <w:rPr>
                <w:rFonts w:ascii="Futura Std Condensed Light" w:eastAsia="Calibri" w:hAnsi="Futura Std Condensed Light" w:cs="Calibri"/>
                <w:szCs w:val="20"/>
              </w:rPr>
              <w:t>428</w:t>
            </w:r>
          </w:p>
        </w:tc>
        <w:tc>
          <w:tcPr>
            <w:tcW w:w="1560" w:type="dxa"/>
          </w:tcPr>
          <w:p w14:paraId="28992F27" w14:textId="77777777" w:rsidR="006D148B" w:rsidRPr="005B7984" w:rsidRDefault="006D148B" w:rsidP="005B7984">
            <w:pPr>
              <w:spacing w:after="120" w:line="240" w:lineRule="auto"/>
              <w:jc w:val="center"/>
              <w:rPr>
                <w:rFonts w:ascii="Futura Std Condensed Light" w:eastAsia="Calibri" w:hAnsi="Futura Std Condensed Light" w:cs="Calibri"/>
                <w:szCs w:val="20"/>
              </w:rPr>
            </w:pPr>
            <w:r w:rsidRPr="005B7984">
              <w:rPr>
                <w:rFonts w:ascii="Futura Std Condensed Light" w:eastAsia="Calibri" w:hAnsi="Futura Std Condensed Light" w:cs="Calibri"/>
                <w:szCs w:val="20"/>
              </w:rPr>
              <w:t>23</w:t>
            </w:r>
          </w:p>
        </w:tc>
        <w:tc>
          <w:tcPr>
            <w:tcW w:w="1559" w:type="dxa"/>
          </w:tcPr>
          <w:p w14:paraId="17B2B580" w14:textId="77777777" w:rsidR="006D148B" w:rsidRPr="005B7984" w:rsidRDefault="006D148B" w:rsidP="005B7984">
            <w:pPr>
              <w:spacing w:after="120" w:line="240" w:lineRule="auto"/>
              <w:jc w:val="center"/>
              <w:rPr>
                <w:rFonts w:ascii="Futura Std Condensed Light" w:eastAsia="Calibri" w:hAnsi="Futura Std Condensed Light" w:cs="Calibri"/>
                <w:szCs w:val="20"/>
              </w:rPr>
            </w:pPr>
            <w:r w:rsidRPr="005B7984">
              <w:rPr>
                <w:rFonts w:ascii="Futura Std Condensed Light" w:eastAsia="Calibri" w:hAnsi="Futura Std Condensed Light" w:cs="Calibri"/>
                <w:szCs w:val="20"/>
              </w:rPr>
              <w:t>93</w:t>
            </w:r>
          </w:p>
        </w:tc>
        <w:tc>
          <w:tcPr>
            <w:tcW w:w="1134" w:type="dxa"/>
          </w:tcPr>
          <w:p w14:paraId="3DE9AA2B" w14:textId="77777777" w:rsidR="006D148B" w:rsidRPr="005B7984" w:rsidRDefault="006D148B" w:rsidP="005B7984">
            <w:pPr>
              <w:spacing w:after="120" w:line="240" w:lineRule="auto"/>
              <w:jc w:val="center"/>
              <w:rPr>
                <w:rFonts w:ascii="Futura Std Condensed Light" w:eastAsia="Calibri" w:hAnsi="Futura Std Condensed Light" w:cs="Calibri"/>
                <w:szCs w:val="20"/>
              </w:rPr>
            </w:pPr>
            <w:r w:rsidRPr="005B7984">
              <w:rPr>
                <w:rFonts w:ascii="Futura Std Condensed Light" w:eastAsia="Calibri" w:hAnsi="Futura Std Condensed Light" w:cs="Calibri"/>
                <w:szCs w:val="20"/>
              </w:rPr>
              <w:t>115</w:t>
            </w:r>
          </w:p>
        </w:tc>
        <w:tc>
          <w:tcPr>
            <w:tcW w:w="998" w:type="dxa"/>
          </w:tcPr>
          <w:p w14:paraId="48321614" w14:textId="77777777" w:rsidR="006D148B" w:rsidRPr="005B7984" w:rsidRDefault="006D148B" w:rsidP="005B7984">
            <w:pPr>
              <w:spacing w:after="120" w:line="240" w:lineRule="auto"/>
              <w:jc w:val="center"/>
              <w:rPr>
                <w:rFonts w:ascii="Futura Std Condensed Light" w:eastAsia="Calibri" w:hAnsi="Futura Std Condensed Light" w:cs="Calibri"/>
                <w:szCs w:val="20"/>
              </w:rPr>
            </w:pPr>
            <w:r w:rsidRPr="005B7984">
              <w:rPr>
                <w:rFonts w:ascii="Futura Std Condensed Light" w:eastAsia="Calibri" w:hAnsi="Futura Std Condensed Light" w:cs="Calibri"/>
                <w:szCs w:val="20"/>
              </w:rPr>
              <w:t>608</w:t>
            </w:r>
          </w:p>
        </w:tc>
      </w:tr>
      <w:tr w:rsidR="006D148B" w:rsidRPr="005B7984" w14:paraId="421D80B4" w14:textId="77777777" w:rsidTr="00E608A6">
        <w:tc>
          <w:tcPr>
            <w:tcW w:w="1696" w:type="dxa"/>
          </w:tcPr>
          <w:p w14:paraId="5BBCCDF2" w14:textId="6AC61BB4" w:rsidR="006D148B" w:rsidRPr="005B7984" w:rsidRDefault="005B7984" w:rsidP="00AC4CE6">
            <w:pPr>
              <w:spacing w:after="120" w:line="240" w:lineRule="auto"/>
              <w:jc w:val="left"/>
              <w:rPr>
                <w:rFonts w:ascii="Futura Std Condensed Light" w:eastAsia="Calibri" w:hAnsi="Futura Std Condensed Light" w:cs="Calibri"/>
                <w:szCs w:val="20"/>
              </w:rPr>
            </w:pPr>
            <w:r w:rsidRPr="005B7984">
              <w:rPr>
                <w:rFonts w:ascii="Futura Std Condensed Light" w:eastAsia="Calibri" w:hAnsi="Futura Std Condensed Light" w:cs="Calibri"/>
                <w:szCs w:val="20"/>
              </w:rPr>
              <w:t>Técnico</w:t>
            </w:r>
            <w:r>
              <w:rPr>
                <w:rFonts w:ascii="Futura Std Condensed Light" w:eastAsia="Calibri" w:hAnsi="Futura Std Condensed Light" w:cs="Calibri"/>
                <w:szCs w:val="20"/>
              </w:rPr>
              <w:t xml:space="preserve"> Superior, Licenciatura y P</w:t>
            </w:r>
            <w:r w:rsidRPr="005B7984">
              <w:rPr>
                <w:rFonts w:ascii="Futura Std Condensed Light" w:eastAsia="Calibri" w:hAnsi="Futura Std Condensed Light" w:cs="Calibri"/>
                <w:szCs w:val="20"/>
              </w:rPr>
              <w:t>osgrado</w:t>
            </w:r>
          </w:p>
        </w:tc>
        <w:tc>
          <w:tcPr>
            <w:tcW w:w="1276" w:type="dxa"/>
          </w:tcPr>
          <w:p w14:paraId="7535B638" w14:textId="77777777" w:rsidR="006D148B" w:rsidRPr="005B7984" w:rsidRDefault="006D148B" w:rsidP="005B7984">
            <w:pPr>
              <w:spacing w:after="120" w:line="240" w:lineRule="auto"/>
              <w:jc w:val="center"/>
              <w:rPr>
                <w:rFonts w:ascii="Futura Std Condensed Light" w:eastAsia="Calibri" w:hAnsi="Futura Std Condensed Light" w:cs="Calibri"/>
                <w:szCs w:val="20"/>
              </w:rPr>
            </w:pPr>
            <w:r w:rsidRPr="005B7984">
              <w:rPr>
                <w:rFonts w:ascii="Futura Std Condensed Light" w:eastAsia="Calibri" w:hAnsi="Futura Std Condensed Light" w:cs="Calibri"/>
                <w:szCs w:val="20"/>
              </w:rPr>
              <w:t>18</w:t>
            </w:r>
          </w:p>
        </w:tc>
        <w:tc>
          <w:tcPr>
            <w:tcW w:w="992" w:type="dxa"/>
          </w:tcPr>
          <w:p w14:paraId="289C8578" w14:textId="77777777" w:rsidR="006D148B" w:rsidRPr="005B7984" w:rsidRDefault="006D148B" w:rsidP="005B7984">
            <w:pPr>
              <w:spacing w:after="120" w:line="240" w:lineRule="auto"/>
              <w:jc w:val="center"/>
              <w:rPr>
                <w:rFonts w:ascii="Futura Std Condensed Light" w:eastAsia="Calibri" w:hAnsi="Futura Std Condensed Light" w:cs="Calibri"/>
                <w:szCs w:val="20"/>
              </w:rPr>
            </w:pPr>
            <w:r w:rsidRPr="005B7984">
              <w:rPr>
                <w:rFonts w:ascii="Futura Std Condensed Light" w:eastAsia="Calibri" w:hAnsi="Futura Std Condensed Light" w:cs="Calibri"/>
                <w:szCs w:val="20"/>
              </w:rPr>
              <w:t>478</w:t>
            </w:r>
          </w:p>
        </w:tc>
        <w:tc>
          <w:tcPr>
            <w:tcW w:w="1560" w:type="dxa"/>
          </w:tcPr>
          <w:p w14:paraId="17B921A4" w14:textId="77777777" w:rsidR="006D148B" w:rsidRPr="005B7984" w:rsidRDefault="006D148B" w:rsidP="005B7984">
            <w:pPr>
              <w:spacing w:after="120" w:line="240" w:lineRule="auto"/>
              <w:jc w:val="center"/>
              <w:rPr>
                <w:rFonts w:ascii="Futura Std Condensed Light" w:eastAsia="Calibri" w:hAnsi="Futura Std Condensed Light" w:cs="Calibri"/>
                <w:szCs w:val="20"/>
              </w:rPr>
            </w:pPr>
            <w:r w:rsidRPr="005B7984">
              <w:rPr>
                <w:rFonts w:ascii="Futura Std Condensed Light" w:eastAsia="Calibri" w:hAnsi="Futura Std Condensed Light" w:cs="Calibri"/>
                <w:szCs w:val="20"/>
              </w:rPr>
              <w:t>22</w:t>
            </w:r>
          </w:p>
        </w:tc>
        <w:tc>
          <w:tcPr>
            <w:tcW w:w="1559" w:type="dxa"/>
          </w:tcPr>
          <w:p w14:paraId="344C4A46" w14:textId="77777777" w:rsidR="006D148B" w:rsidRPr="005B7984" w:rsidRDefault="006D148B" w:rsidP="005B7984">
            <w:pPr>
              <w:spacing w:after="120" w:line="240" w:lineRule="auto"/>
              <w:jc w:val="center"/>
              <w:rPr>
                <w:rFonts w:ascii="Futura Std Condensed Light" w:eastAsia="Calibri" w:hAnsi="Futura Std Condensed Light" w:cs="Calibri"/>
                <w:szCs w:val="20"/>
              </w:rPr>
            </w:pPr>
            <w:r w:rsidRPr="005B7984">
              <w:rPr>
                <w:rFonts w:ascii="Futura Std Condensed Light" w:eastAsia="Calibri" w:hAnsi="Futura Std Condensed Light" w:cs="Calibri"/>
                <w:szCs w:val="20"/>
              </w:rPr>
              <w:t>142</w:t>
            </w:r>
          </w:p>
        </w:tc>
        <w:tc>
          <w:tcPr>
            <w:tcW w:w="1134" w:type="dxa"/>
          </w:tcPr>
          <w:p w14:paraId="6DCA3405" w14:textId="77777777" w:rsidR="006D148B" w:rsidRPr="005B7984" w:rsidRDefault="006D148B" w:rsidP="005B7984">
            <w:pPr>
              <w:spacing w:after="120" w:line="240" w:lineRule="auto"/>
              <w:jc w:val="center"/>
              <w:rPr>
                <w:rFonts w:ascii="Futura Std Condensed Light" w:eastAsia="Calibri" w:hAnsi="Futura Std Condensed Light" w:cs="Calibri"/>
                <w:szCs w:val="20"/>
              </w:rPr>
            </w:pPr>
            <w:r w:rsidRPr="005B7984">
              <w:rPr>
                <w:rFonts w:ascii="Futura Std Condensed Light" w:eastAsia="Calibri" w:hAnsi="Futura Std Condensed Light" w:cs="Calibri"/>
                <w:szCs w:val="20"/>
              </w:rPr>
              <w:t>38</w:t>
            </w:r>
          </w:p>
        </w:tc>
        <w:tc>
          <w:tcPr>
            <w:tcW w:w="998" w:type="dxa"/>
          </w:tcPr>
          <w:p w14:paraId="013AA6CC" w14:textId="77777777" w:rsidR="006D148B" w:rsidRPr="005B7984" w:rsidRDefault="006D148B" w:rsidP="005B7984">
            <w:pPr>
              <w:spacing w:after="120" w:line="240" w:lineRule="auto"/>
              <w:jc w:val="center"/>
              <w:rPr>
                <w:rFonts w:ascii="Futura Std Condensed Light" w:eastAsia="Calibri" w:hAnsi="Futura Std Condensed Light" w:cs="Calibri"/>
                <w:szCs w:val="20"/>
              </w:rPr>
            </w:pPr>
            <w:r w:rsidRPr="005B7984">
              <w:rPr>
                <w:rFonts w:ascii="Futura Std Condensed Light" w:eastAsia="Calibri" w:hAnsi="Futura Std Condensed Light" w:cs="Calibri"/>
                <w:szCs w:val="20"/>
              </w:rPr>
              <w:t>1,495</w:t>
            </w:r>
          </w:p>
        </w:tc>
      </w:tr>
      <w:tr w:rsidR="006D148B" w:rsidRPr="005B7984" w14:paraId="7DB57B8B" w14:textId="77777777" w:rsidTr="00E608A6">
        <w:tc>
          <w:tcPr>
            <w:tcW w:w="1696" w:type="dxa"/>
          </w:tcPr>
          <w:p w14:paraId="00DF53C2" w14:textId="7EC4C5BC" w:rsidR="006D148B" w:rsidRPr="005B7984" w:rsidRDefault="005B7984" w:rsidP="00AC4CE6">
            <w:pPr>
              <w:spacing w:after="120" w:line="240" w:lineRule="auto"/>
              <w:jc w:val="left"/>
              <w:rPr>
                <w:rFonts w:ascii="Futura Std Condensed Light" w:eastAsia="Calibri" w:hAnsi="Futura Std Condensed Light" w:cs="Calibri"/>
                <w:szCs w:val="20"/>
              </w:rPr>
            </w:pPr>
            <w:r w:rsidRPr="005B7984">
              <w:rPr>
                <w:rFonts w:ascii="Futura Std Condensed Light" w:eastAsia="Calibri" w:hAnsi="Futura Std Condensed Light" w:cs="Calibri"/>
                <w:szCs w:val="20"/>
              </w:rPr>
              <w:t xml:space="preserve">Otros </w:t>
            </w:r>
            <w:r w:rsidR="006D148B" w:rsidRPr="005B7984">
              <w:rPr>
                <w:rFonts w:ascii="Futura Std Condensed Light" w:eastAsia="Calibri" w:hAnsi="Futura Std Condensed Light" w:cs="Calibri"/>
                <w:szCs w:val="20"/>
              </w:rPr>
              <w:t>c/</w:t>
            </w:r>
          </w:p>
        </w:tc>
        <w:tc>
          <w:tcPr>
            <w:tcW w:w="1276" w:type="dxa"/>
          </w:tcPr>
          <w:p w14:paraId="129CFAAB" w14:textId="77777777" w:rsidR="006D148B" w:rsidRPr="005B7984" w:rsidRDefault="006D148B" w:rsidP="005B7984">
            <w:pPr>
              <w:spacing w:after="120" w:line="240" w:lineRule="auto"/>
              <w:jc w:val="center"/>
              <w:rPr>
                <w:rFonts w:ascii="Futura Std Condensed Light" w:eastAsia="Calibri" w:hAnsi="Futura Std Condensed Light" w:cs="Calibri"/>
                <w:szCs w:val="20"/>
              </w:rPr>
            </w:pPr>
            <w:r w:rsidRPr="005B7984">
              <w:rPr>
                <w:rFonts w:ascii="Futura Std Condensed Light" w:eastAsia="Calibri" w:hAnsi="Futura Std Condensed Light" w:cs="Calibri"/>
                <w:szCs w:val="20"/>
              </w:rPr>
              <w:t>19</w:t>
            </w:r>
          </w:p>
        </w:tc>
        <w:tc>
          <w:tcPr>
            <w:tcW w:w="992" w:type="dxa"/>
          </w:tcPr>
          <w:p w14:paraId="2B4926A6" w14:textId="77777777" w:rsidR="006D148B" w:rsidRPr="005B7984" w:rsidRDefault="006D148B" w:rsidP="005B7984">
            <w:pPr>
              <w:spacing w:after="120" w:line="240" w:lineRule="auto"/>
              <w:jc w:val="center"/>
              <w:rPr>
                <w:rFonts w:ascii="Futura Std Condensed Light" w:eastAsia="Calibri" w:hAnsi="Futura Std Condensed Light" w:cs="Calibri"/>
                <w:szCs w:val="20"/>
              </w:rPr>
            </w:pPr>
            <w:r w:rsidRPr="005B7984">
              <w:rPr>
                <w:rFonts w:ascii="Futura Std Condensed Light" w:eastAsia="Calibri" w:hAnsi="Futura Std Condensed Light" w:cs="Calibri"/>
                <w:szCs w:val="20"/>
              </w:rPr>
              <w:t>109</w:t>
            </w:r>
          </w:p>
        </w:tc>
        <w:tc>
          <w:tcPr>
            <w:tcW w:w="1560" w:type="dxa"/>
          </w:tcPr>
          <w:p w14:paraId="305C79F2" w14:textId="77777777" w:rsidR="006D148B" w:rsidRPr="005B7984" w:rsidRDefault="006D148B" w:rsidP="005B7984">
            <w:pPr>
              <w:spacing w:after="120" w:line="240" w:lineRule="auto"/>
              <w:jc w:val="center"/>
              <w:rPr>
                <w:rFonts w:ascii="Futura Std Condensed Light" w:eastAsia="Calibri" w:hAnsi="Futura Std Condensed Light" w:cs="Calibri"/>
                <w:szCs w:val="20"/>
              </w:rPr>
            </w:pPr>
            <w:r w:rsidRPr="005B7984">
              <w:rPr>
                <w:rFonts w:ascii="Futura Std Condensed Light" w:eastAsia="Calibri" w:hAnsi="Futura Std Condensed Light" w:cs="Calibri"/>
                <w:szCs w:val="20"/>
              </w:rPr>
              <w:t>0</w:t>
            </w:r>
          </w:p>
        </w:tc>
        <w:tc>
          <w:tcPr>
            <w:tcW w:w="1559" w:type="dxa"/>
          </w:tcPr>
          <w:p w14:paraId="66BF0D9E" w14:textId="77777777" w:rsidR="006D148B" w:rsidRPr="005B7984" w:rsidRDefault="006D148B" w:rsidP="005B7984">
            <w:pPr>
              <w:spacing w:after="120" w:line="240" w:lineRule="auto"/>
              <w:jc w:val="center"/>
              <w:rPr>
                <w:rFonts w:ascii="Futura Std Condensed Light" w:eastAsia="Calibri" w:hAnsi="Futura Std Condensed Light" w:cs="Calibri"/>
                <w:szCs w:val="20"/>
              </w:rPr>
            </w:pPr>
            <w:r w:rsidRPr="005B7984">
              <w:rPr>
                <w:rFonts w:ascii="Futura Std Condensed Light" w:eastAsia="Calibri" w:hAnsi="Futura Std Condensed Light" w:cs="Calibri"/>
                <w:szCs w:val="20"/>
              </w:rPr>
              <w:t>6</w:t>
            </w:r>
          </w:p>
        </w:tc>
        <w:tc>
          <w:tcPr>
            <w:tcW w:w="1134" w:type="dxa"/>
          </w:tcPr>
          <w:p w14:paraId="4A7A60A5" w14:textId="77777777" w:rsidR="006D148B" w:rsidRPr="005B7984" w:rsidRDefault="006D148B" w:rsidP="005B7984">
            <w:pPr>
              <w:spacing w:after="120" w:line="240" w:lineRule="auto"/>
              <w:jc w:val="center"/>
              <w:rPr>
                <w:rFonts w:ascii="Futura Std Condensed Light" w:eastAsia="Calibri" w:hAnsi="Futura Std Condensed Light" w:cs="Calibri"/>
                <w:szCs w:val="20"/>
              </w:rPr>
            </w:pPr>
            <w:r w:rsidRPr="005B7984">
              <w:rPr>
                <w:rFonts w:ascii="Futura Std Condensed Light" w:eastAsia="Calibri" w:hAnsi="Futura Std Condensed Light" w:cs="Calibri"/>
                <w:szCs w:val="20"/>
              </w:rPr>
              <w:t>50</w:t>
            </w:r>
          </w:p>
        </w:tc>
        <w:tc>
          <w:tcPr>
            <w:tcW w:w="998" w:type="dxa"/>
          </w:tcPr>
          <w:p w14:paraId="53DA6DDC" w14:textId="77777777" w:rsidR="006D148B" w:rsidRPr="005B7984" w:rsidRDefault="006D148B" w:rsidP="005B7984">
            <w:pPr>
              <w:spacing w:after="120" w:line="240" w:lineRule="auto"/>
              <w:jc w:val="center"/>
              <w:rPr>
                <w:rFonts w:ascii="Futura Std Condensed Light" w:eastAsia="Calibri" w:hAnsi="Futura Std Condensed Light" w:cs="Calibri"/>
                <w:szCs w:val="20"/>
              </w:rPr>
            </w:pPr>
            <w:r w:rsidRPr="005B7984">
              <w:rPr>
                <w:rFonts w:ascii="Futura Std Condensed Light" w:eastAsia="Calibri" w:hAnsi="Futura Std Condensed Light" w:cs="Calibri"/>
                <w:szCs w:val="20"/>
              </w:rPr>
              <w:t>417</w:t>
            </w:r>
          </w:p>
        </w:tc>
      </w:tr>
      <w:tr w:rsidR="006D148B" w:rsidRPr="005B7984" w14:paraId="1EB992B2" w14:textId="77777777" w:rsidTr="00E608A6">
        <w:tc>
          <w:tcPr>
            <w:tcW w:w="1696" w:type="dxa"/>
          </w:tcPr>
          <w:p w14:paraId="36516F8B" w14:textId="6B3B6A8A" w:rsidR="006D148B" w:rsidRPr="00447FBB" w:rsidRDefault="005B7984" w:rsidP="00AC4CE6">
            <w:pPr>
              <w:spacing w:after="120" w:line="240" w:lineRule="auto"/>
              <w:jc w:val="left"/>
              <w:rPr>
                <w:rFonts w:ascii="Futura Std Condensed Light" w:eastAsia="Calibri" w:hAnsi="Futura Std Condensed Light" w:cs="Calibri"/>
                <w:b/>
                <w:szCs w:val="20"/>
              </w:rPr>
            </w:pPr>
            <w:r w:rsidRPr="00447FBB">
              <w:rPr>
                <w:rFonts w:ascii="Futura Std Condensed Light" w:eastAsia="Calibri" w:hAnsi="Futura Std Condensed Light" w:cs="Calibri"/>
                <w:b/>
                <w:szCs w:val="20"/>
              </w:rPr>
              <w:t>Total</w:t>
            </w:r>
          </w:p>
        </w:tc>
        <w:tc>
          <w:tcPr>
            <w:tcW w:w="1276" w:type="dxa"/>
          </w:tcPr>
          <w:p w14:paraId="6D30FEA3" w14:textId="77777777" w:rsidR="006D148B" w:rsidRPr="00447FBB" w:rsidRDefault="006D148B" w:rsidP="005B7984">
            <w:pPr>
              <w:spacing w:after="120" w:line="240" w:lineRule="auto"/>
              <w:jc w:val="center"/>
              <w:rPr>
                <w:rFonts w:ascii="Futura Std Condensed Light" w:eastAsia="Calibri" w:hAnsi="Futura Std Condensed Light" w:cs="Calibri"/>
                <w:b/>
                <w:szCs w:val="20"/>
              </w:rPr>
            </w:pPr>
            <w:r w:rsidRPr="00447FBB">
              <w:rPr>
                <w:rFonts w:ascii="Futura Std Condensed Light" w:eastAsia="Calibri" w:hAnsi="Futura Std Condensed Light" w:cs="Calibri"/>
                <w:b/>
                <w:szCs w:val="20"/>
              </w:rPr>
              <w:t>1,358</w:t>
            </w:r>
          </w:p>
        </w:tc>
        <w:tc>
          <w:tcPr>
            <w:tcW w:w="992" w:type="dxa"/>
          </w:tcPr>
          <w:p w14:paraId="0BA59693" w14:textId="77777777" w:rsidR="006D148B" w:rsidRPr="00447FBB" w:rsidRDefault="006D148B" w:rsidP="005B7984">
            <w:pPr>
              <w:spacing w:after="120" w:line="240" w:lineRule="auto"/>
              <w:jc w:val="center"/>
              <w:rPr>
                <w:rFonts w:ascii="Futura Std Condensed Light" w:eastAsia="Calibri" w:hAnsi="Futura Std Condensed Light" w:cs="Calibri"/>
                <w:b/>
                <w:szCs w:val="20"/>
              </w:rPr>
            </w:pPr>
            <w:r w:rsidRPr="00447FBB">
              <w:rPr>
                <w:rFonts w:ascii="Futura Std Condensed Light" w:eastAsia="Calibri" w:hAnsi="Futura Std Condensed Light" w:cs="Calibri"/>
                <w:b/>
                <w:szCs w:val="20"/>
              </w:rPr>
              <w:t>9,428</w:t>
            </w:r>
          </w:p>
        </w:tc>
        <w:tc>
          <w:tcPr>
            <w:tcW w:w="1560" w:type="dxa"/>
          </w:tcPr>
          <w:p w14:paraId="6A8E337B" w14:textId="77777777" w:rsidR="006D148B" w:rsidRPr="00447FBB" w:rsidRDefault="006D148B" w:rsidP="005B7984">
            <w:pPr>
              <w:spacing w:after="120" w:line="240" w:lineRule="auto"/>
              <w:jc w:val="center"/>
              <w:rPr>
                <w:rFonts w:ascii="Futura Std Condensed Light" w:eastAsia="Calibri" w:hAnsi="Futura Std Condensed Light" w:cs="Calibri"/>
                <w:b/>
                <w:szCs w:val="20"/>
              </w:rPr>
            </w:pPr>
            <w:r w:rsidRPr="00447FBB">
              <w:rPr>
                <w:rFonts w:ascii="Futura Std Condensed Light" w:eastAsia="Calibri" w:hAnsi="Futura Std Condensed Light" w:cs="Calibri"/>
                <w:b/>
                <w:szCs w:val="20"/>
              </w:rPr>
              <w:t>99</w:t>
            </w:r>
          </w:p>
        </w:tc>
        <w:tc>
          <w:tcPr>
            <w:tcW w:w="1559" w:type="dxa"/>
          </w:tcPr>
          <w:p w14:paraId="6C59EAB8" w14:textId="77777777" w:rsidR="006D148B" w:rsidRPr="00447FBB" w:rsidRDefault="006D148B" w:rsidP="005B7984">
            <w:pPr>
              <w:spacing w:after="120" w:line="240" w:lineRule="auto"/>
              <w:jc w:val="center"/>
              <w:rPr>
                <w:rFonts w:ascii="Futura Std Condensed Light" w:eastAsia="Calibri" w:hAnsi="Futura Std Condensed Light" w:cs="Calibri"/>
                <w:b/>
                <w:szCs w:val="20"/>
              </w:rPr>
            </w:pPr>
            <w:r w:rsidRPr="00447FBB">
              <w:rPr>
                <w:rFonts w:ascii="Futura Std Condensed Light" w:eastAsia="Calibri" w:hAnsi="Futura Std Condensed Light" w:cs="Calibri"/>
                <w:b/>
                <w:szCs w:val="20"/>
              </w:rPr>
              <w:t>525</w:t>
            </w:r>
          </w:p>
        </w:tc>
        <w:tc>
          <w:tcPr>
            <w:tcW w:w="1134" w:type="dxa"/>
          </w:tcPr>
          <w:p w14:paraId="508E8A68" w14:textId="77777777" w:rsidR="006D148B" w:rsidRPr="00447FBB" w:rsidRDefault="006D148B" w:rsidP="005B7984">
            <w:pPr>
              <w:spacing w:after="120" w:line="240" w:lineRule="auto"/>
              <w:jc w:val="center"/>
              <w:rPr>
                <w:rFonts w:ascii="Futura Std Condensed Light" w:eastAsia="Calibri" w:hAnsi="Futura Std Condensed Light" w:cs="Calibri"/>
                <w:b/>
                <w:szCs w:val="20"/>
              </w:rPr>
            </w:pPr>
            <w:r w:rsidRPr="00447FBB">
              <w:rPr>
                <w:rFonts w:ascii="Futura Std Condensed Light" w:eastAsia="Calibri" w:hAnsi="Futura Std Condensed Light" w:cs="Calibri"/>
                <w:b/>
                <w:szCs w:val="20"/>
              </w:rPr>
              <w:t>537</w:t>
            </w:r>
          </w:p>
        </w:tc>
        <w:tc>
          <w:tcPr>
            <w:tcW w:w="998" w:type="dxa"/>
          </w:tcPr>
          <w:p w14:paraId="07609179" w14:textId="77777777" w:rsidR="006D148B" w:rsidRPr="00447FBB" w:rsidRDefault="006D148B" w:rsidP="005B7984">
            <w:pPr>
              <w:spacing w:after="120" w:line="240" w:lineRule="auto"/>
              <w:jc w:val="center"/>
              <w:rPr>
                <w:rFonts w:ascii="Futura Std Condensed Light" w:eastAsia="Calibri" w:hAnsi="Futura Std Condensed Light" w:cs="Calibri"/>
                <w:b/>
                <w:szCs w:val="20"/>
              </w:rPr>
            </w:pPr>
            <w:r w:rsidRPr="00447FBB">
              <w:rPr>
                <w:rFonts w:ascii="Futura Std Condensed Light" w:eastAsia="Calibri" w:hAnsi="Futura Std Condensed Light" w:cs="Calibri"/>
                <w:b/>
                <w:szCs w:val="20"/>
              </w:rPr>
              <w:t>10,183</w:t>
            </w:r>
          </w:p>
        </w:tc>
      </w:tr>
    </w:tbl>
    <w:p w14:paraId="503D71EF" w14:textId="2C372C76" w:rsidR="006D148B" w:rsidRPr="00542504" w:rsidRDefault="006D148B" w:rsidP="00447FBB">
      <w:pPr>
        <w:spacing w:after="0"/>
        <w:jc w:val="left"/>
        <w:rPr>
          <w:sz w:val="16"/>
          <w:szCs w:val="16"/>
        </w:rPr>
      </w:pPr>
      <w:r w:rsidRPr="00542504">
        <w:rPr>
          <w:sz w:val="16"/>
          <w:szCs w:val="16"/>
        </w:rPr>
        <w:t xml:space="preserve">NOTA: La información está expresada en términos de planta física, pues esa misma </w:t>
      </w:r>
      <w:r w:rsidRPr="00B141B9">
        <w:rPr>
          <w:sz w:val="16"/>
          <w:szCs w:val="16"/>
        </w:rPr>
        <w:t>infraestructura</w:t>
      </w:r>
      <w:r w:rsidRPr="00542504">
        <w:rPr>
          <w:sz w:val="16"/>
          <w:szCs w:val="16"/>
        </w:rPr>
        <w:t xml:space="preserve"> puede servir para el funcionamiento de varias escuelas y turnos.</w:t>
      </w:r>
    </w:p>
    <w:p w14:paraId="6048AB4C" w14:textId="77777777" w:rsidR="006D148B" w:rsidRPr="00542504" w:rsidRDefault="006D148B" w:rsidP="00447FBB">
      <w:pPr>
        <w:spacing w:after="0"/>
        <w:jc w:val="left"/>
        <w:rPr>
          <w:sz w:val="16"/>
          <w:szCs w:val="16"/>
        </w:rPr>
      </w:pPr>
      <w:r w:rsidRPr="00542504">
        <w:rPr>
          <w:sz w:val="16"/>
          <w:szCs w:val="16"/>
        </w:rPr>
        <w:t>a/Comprende: bodega, baño, dirección y cooperativa.</w:t>
      </w:r>
    </w:p>
    <w:p w14:paraId="5EE07BC4" w14:textId="77777777" w:rsidR="006D148B" w:rsidRPr="00542504" w:rsidRDefault="006D148B" w:rsidP="00447FBB">
      <w:pPr>
        <w:spacing w:after="0"/>
        <w:jc w:val="left"/>
        <w:rPr>
          <w:sz w:val="16"/>
          <w:szCs w:val="16"/>
        </w:rPr>
      </w:pPr>
      <w:r w:rsidRPr="00542504">
        <w:rPr>
          <w:sz w:val="16"/>
          <w:szCs w:val="16"/>
        </w:rPr>
        <w:t>b/Incluye: Centros de Desarrollo Infantil.</w:t>
      </w:r>
    </w:p>
    <w:p w14:paraId="64F90364" w14:textId="77777777" w:rsidR="006D148B" w:rsidRPr="00542504" w:rsidRDefault="006D148B" w:rsidP="00447FBB">
      <w:pPr>
        <w:spacing w:after="0"/>
        <w:jc w:val="left"/>
        <w:rPr>
          <w:sz w:val="16"/>
          <w:szCs w:val="16"/>
        </w:rPr>
      </w:pPr>
      <w:r w:rsidRPr="00542504">
        <w:rPr>
          <w:sz w:val="16"/>
          <w:szCs w:val="16"/>
        </w:rPr>
        <w:t>c/Comprende los servicios de educación especial y centros de formación para el trabajo.</w:t>
      </w:r>
    </w:p>
    <w:p w14:paraId="722CD69A" w14:textId="2022BA45" w:rsidR="006D148B" w:rsidRDefault="006D148B" w:rsidP="00447FBB">
      <w:pPr>
        <w:spacing w:after="0"/>
        <w:jc w:val="left"/>
        <w:rPr>
          <w:sz w:val="16"/>
          <w:szCs w:val="16"/>
        </w:rPr>
      </w:pPr>
      <w:r w:rsidRPr="00447FBB">
        <w:rPr>
          <w:b/>
          <w:sz w:val="16"/>
          <w:szCs w:val="16"/>
        </w:rPr>
        <w:t>Fuente:</w:t>
      </w:r>
      <w:r w:rsidRPr="00542504">
        <w:rPr>
          <w:sz w:val="16"/>
          <w:szCs w:val="16"/>
        </w:rPr>
        <w:t xml:space="preserve"> Secretaría de Educación, Subsecretaría de Planeación, Dirección de Programación e Infraestructura.</w:t>
      </w:r>
    </w:p>
    <w:p w14:paraId="6F50A156" w14:textId="77777777" w:rsidR="00447FBB" w:rsidRPr="00447FBB" w:rsidRDefault="00447FBB" w:rsidP="00447FBB">
      <w:pPr>
        <w:spacing w:after="0"/>
        <w:jc w:val="left"/>
        <w:rPr>
          <w:sz w:val="16"/>
          <w:szCs w:val="16"/>
        </w:rPr>
      </w:pPr>
    </w:p>
    <w:p w14:paraId="3D31B5D3" w14:textId="77777777" w:rsidR="006D148B" w:rsidRPr="00B141B9" w:rsidRDefault="006D148B" w:rsidP="00886807">
      <w:pPr>
        <w:rPr>
          <w:rFonts w:eastAsia="Times New Roman" w:cs="Futura"/>
        </w:rPr>
      </w:pPr>
      <w:r w:rsidRPr="00B141B9">
        <w:rPr>
          <w:rFonts w:eastAsia="Times New Roman" w:cs="Futura"/>
        </w:rPr>
        <w:t>Aunado al número de planteles ya establecidos es importante tomar en cuenta, el incremento en la matrícula escolar, derivada de la tasa de migración, que se presenta en el Estado, principalmente en los municipios de Benito Juárez y Solidaridad, siendo este un elemento que incide en la oferta y la demanda de los servicios educativos.</w:t>
      </w:r>
    </w:p>
    <w:p w14:paraId="37193E70" w14:textId="77777777" w:rsidR="006D148B" w:rsidRDefault="006D148B" w:rsidP="00886807">
      <w:pPr>
        <w:rPr>
          <w:rFonts w:eastAsia="Times New Roman" w:cs="Futura"/>
        </w:rPr>
      </w:pPr>
      <w:r w:rsidRPr="00B141B9">
        <w:rPr>
          <w:rFonts w:eastAsia="Times New Roman" w:cs="Futura"/>
        </w:rPr>
        <w:t xml:space="preserve">La migración hacia el Estado, se da principalmente en edades de población económicamente activa en busca de oportunidades de empleo, y que redunda en familias jóvenes, con hijos en edad escolar. Lo cual genera la </w:t>
      </w:r>
      <w:r>
        <w:rPr>
          <w:rFonts w:eastAsia="Times New Roman" w:cs="Futura"/>
        </w:rPr>
        <w:t xml:space="preserve">necesidad de </w:t>
      </w:r>
      <w:r w:rsidRPr="00B141B9">
        <w:rPr>
          <w:rFonts w:eastAsia="Times New Roman" w:cs="Futura"/>
        </w:rPr>
        <w:t>construcción de nuevas áreas de población en las principales ciudades, derivando en presión para la creación de planteles que ofrezcan oportunidades</w:t>
      </w:r>
      <w:r>
        <w:rPr>
          <w:rFonts w:eastAsia="Times New Roman" w:cs="Futura"/>
        </w:rPr>
        <w:t xml:space="preserve"> de educación para sus familias.</w:t>
      </w:r>
    </w:p>
    <w:p w14:paraId="5E7D1FE9" w14:textId="77777777" w:rsidR="006D148B" w:rsidRPr="00B141B9" w:rsidRDefault="006D148B" w:rsidP="00886807">
      <w:pPr>
        <w:rPr>
          <w:rFonts w:eastAsia="Times New Roman" w:cs="Futura"/>
        </w:rPr>
      </w:pPr>
      <w:r>
        <w:rPr>
          <w:rFonts w:eastAsia="Times New Roman" w:cs="Futura"/>
        </w:rPr>
        <w:lastRenderedPageBreak/>
        <w:t>Derivado de lo anterior, se destina</w:t>
      </w:r>
      <w:r w:rsidRPr="00B141B9">
        <w:rPr>
          <w:rFonts w:eastAsia="Times New Roman" w:cs="Futura"/>
        </w:rPr>
        <w:t xml:space="preserve"> a l</w:t>
      </w:r>
      <w:r>
        <w:rPr>
          <w:rFonts w:eastAsia="Times New Roman" w:cs="Futura"/>
        </w:rPr>
        <w:t>a construcción y equipamiento de</w:t>
      </w:r>
      <w:r w:rsidRPr="00B141B9">
        <w:rPr>
          <w:rFonts w:eastAsia="Times New Roman" w:cs="Futura"/>
        </w:rPr>
        <w:t xml:space="preserve"> planteles de nueva creación, una proporción importante del presupuesto asignado al estado en materia educativa. En el e</w:t>
      </w:r>
      <w:r>
        <w:rPr>
          <w:rFonts w:eastAsia="Times New Roman" w:cs="Futura"/>
        </w:rPr>
        <w:t>jercicio 2019, el estado destinó cerca del 45 por ciento</w:t>
      </w:r>
      <w:r w:rsidRPr="00B141B9">
        <w:rPr>
          <w:rFonts w:eastAsia="Times New Roman" w:cs="Futura"/>
        </w:rPr>
        <w:t xml:space="preserve"> de los recursos para ejecutar proyectos de planteles de nueva creación. </w:t>
      </w:r>
    </w:p>
    <w:p w14:paraId="013E0397" w14:textId="77777777" w:rsidR="006D148B" w:rsidRDefault="006D148B" w:rsidP="00886807">
      <w:pPr>
        <w:rPr>
          <w:rFonts w:eastAsia="Times New Roman" w:cs="Futura"/>
        </w:rPr>
      </w:pPr>
      <w:r w:rsidRPr="00B141B9">
        <w:rPr>
          <w:rFonts w:eastAsia="Times New Roman" w:cs="Futura"/>
        </w:rPr>
        <w:t xml:space="preserve">De igual forma, queda establecido en el artículo anteriormente citado, que en materia de inclusión se realizarán acciones, de manera gradual, orientadas a identificar, prevenir y reducir las barreras que limitan el acceso, permanencia, participación y aprendizaje de todos los educandos que mejoren las condiciones para la infraestructura educativa, por lo que resulta necesario la construcción de rampas, accesos al plantel y módulos sanitarios para personas con discapacidad motriz. </w:t>
      </w:r>
    </w:p>
    <w:p w14:paraId="431C7872" w14:textId="77777777" w:rsidR="006D148B" w:rsidRPr="00B141B9" w:rsidRDefault="006D148B" w:rsidP="00886807">
      <w:pPr>
        <w:rPr>
          <w:rFonts w:eastAsia="Times New Roman" w:cs="Futura"/>
        </w:rPr>
      </w:pPr>
      <w:r w:rsidRPr="00B141B9">
        <w:rPr>
          <w:rFonts w:eastAsia="Times New Roman" w:cs="Futura"/>
        </w:rPr>
        <w:t>En la actualidad, derivado de la atención brindada a los planteles con programas de rehabilitación, aprox</w:t>
      </w:r>
      <w:r>
        <w:rPr>
          <w:rFonts w:eastAsia="Times New Roman" w:cs="Futura"/>
        </w:rPr>
        <w:t>imadamente un 28 por ciento</w:t>
      </w:r>
      <w:r w:rsidRPr="00B141B9">
        <w:rPr>
          <w:rFonts w:eastAsia="Times New Roman" w:cs="Futura"/>
        </w:rPr>
        <w:t xml:space="preserve"> de los planteles de educación pública, se encuentran en buen estado.</w:t>
      </w:r>
    </w:p>
    <w:p w14:paraId="364576EC" w14:textId="77777777" w:rsidR="006D148B" w:rsidRPr="00B141B9" w:rsidRDefault="006D148B" w:rsidP="00886807">
      <w:pPr>
        <w:rPr>
          <w:rFonts w:eastAsia="Times New Roman" w:cs="Futura"/>
        </w:rPr>
      </w:pPr>
      <w:r w:rsidRPr="00B141B9">
        <w:rPr>
          <w:rFonts w:eastAsia="Times New Roman" w:cs="Futura"/>
        </w:rPr>
        <w:t>Así mismo, se dispone que a partir de los programas que emita la Federación, se garantizará la existencia de baños y de agua potable para consumo humano con suministro continuo en cada inmueble de uso escolar público conforme a los lineamientos que emita la Secretaría de Salud en coordinación con la Secretaría (SEP), por lo que para darle cumplimiento a la normatividad se requiere de rehabilitación de sanitarios y de cubrir las necesidades de agua potable en el plantel. En los planteles del Estado</w:t>
      </w:r>
      <w:r>
        <w:rPr>
          <w:rFonts w:eastAsia="Times New Roman" w:cs="Futura"/>
        </w:rPr>
        <w:t xml:space="preserve"> de Quintana Roo</w:t>
      </w:r>
      <w:r w:rsidRPr="00B141B9">
        <w:rPr>
          <w:rFonts w:eastAsia="Times New Roman" w:cs="Futura"/>
        </w:rPr>
        <w:t xml:space="preserve"> se cuenta en</w:t>
      </w:r>
      <w:r>
        <w:rPr>
          <w:rFonts w:eastAsia="Times New Roman" w:cs="Futura"/>
        </w:rPr>
        <w:t xml:space="preserve"> la actualidad con cerca del 50 por ciento</w:t>
      </w:r>
      <w:r w:rsidRPr="00B141B9">
        <w:rPr>
          <w:rFonts w:eastAsia="Times New Roman" w:cs="Futura"/>
        </w:rPr>
        <w:t xml:space="preserve"> de los sanita</w:t>
      </w:r>
      <w:r>
        <w:rPr>
          <w:rFonts w:eastAsia="Times New Roman" w:cs="Futura"/>
        </w:rPr>
        <w:t>rios en estado regular y el 24 por ciento</w:t>
      </w:r>
      <w:r w:rsidRPr="00B141B9">
        <w:rPr>
          <w:rFonts w:eastAsia="Times New Roman" w:cs="Futura"/>
        </w:rPr>
        <w:t xml:space="preserve"> de los planteles con servicios sanitarios en buen estado.</w:t>
      </w:r>
    </w:p>
    <w:p w14:paraId="21F001F2" w14:textId="77777777" w:rsidR="006D148B" w:rsidRPr="00B141B9" w:rsidRDefault="006D148B" w:rsidP="00886807">
      <w:pPr>
        <w:rPr>
          <w:rFonts w:eastAsia="Times New Roman" w:cs="Futura"/>
        </w:rPr>
      </w:pPr>
      <w:r w:rsidRPr="00B141B9">
        <w:rPr>
          <w:rFonts w:eastAsia="Times New Roman" w:cs="Futura"/>
        </w:rPr>
        <w:t>De igual forma, un tema importante en las condiciones de infraestructura física, y los aspectos que inciden en el desarrollo de las actividades para una educación de calidad</w:t>
      </w:r>
      <w:r>
        <w:rPr>
          <w:rFonts w:eastAsia="Times New Roman" w:cs="Futura"/>
        </w:rPr>
        <w:t>,  deben existir</w:t>
      </w:r>
      <w:r w:rsidRPr="00B141B9">
        <w:rPr>
          <w:rFonts w:eastAsia="Times New Roman" w:cs="Futura"/>
        </w:rPr>
        <w:t xml:space="preserve"> espacios para la activación física, la recreación, la práctica del deporte y la educación física que aunado a las condiciones climatológicas que prevalecen en la mayor parte del ciclo escolar,  y la necesidad de proteger la salud de los educandos de las altas temperaturas que se registran,  convierten en una necesidad apremiante la construcción de domos  y techumbres en los p</w:t>
      </w:r>
      <w:r>
        <w:rPr>
          <w:rFonts w:eastAsia="Times New Roman" w:cs="Futura"/>
        </w:rPr>
        <w:t>lanteles educativos del Estado.</w:t>
      </w:r>
    </w:p>
    <w:p w14:paraId="4747B0DF" w14:textId="7CB19FEA" w:rsidR="00CA6F4D" w:rsidRDefault="006D148B" w:rsidP="00CA6F4D">
      <w:pPr>
        <w:rPr>
          <w:rFonts w:eastAsia="Times New Roman" w:cs="Futura"/>
        </w:rPr>
      </w:pPr>
      <w:r w:rsidRPr="00B141B9">
        <w:rPr>
          <w:rFonts w:eastAsia="Times New Roman" w:cs="Futura"/>
        </w:rPr>
        <w:t xml:space="preserve">En el nivel </w:t>
      </w:r>
      <w:r>
        <w:rPr>
          <w:rFonts w:eastAsia="Times New Roman" w:cs="Futura"/>
        </w:rPr>
        <w:t xml:space="preserve">básico, </w:t>
      </w:r>
      <w:r w:rsidRPr="00B141B9">
        <w:rPr>
          <w:rFonts w:eastAsia="Times New Roman" w:cs="Futura"/>
        </w:rPr>
        <w:t>medio superior y superior existe la necesidad de incrementar la atención a la cobertura por la demanda de estos servicios, aunado a las necesidades de mantenimiento, rehabilitación y equipamiento</w:t>
      </w:r>
      <w:r>
        <w:rPr>
          <w:rFonts w:eastAsia="Times New Roman" w:cs="Futura"/>
        </w:rPr>
        <w:t xml:space="preserve"> especializado</w:t>
      </w:r>
      <w:r w:rsidRPr="00B141B9">
        <w:rPr>
          <w:rFonts w:eastAsia="Times New Roman" w:cs="Futura"/>
        </w:rPr>
        <w:t xml:space="preserve"> necesarios para el </w:t>
      </w:r>
      <w:r w:rsidRPr="00B141B9">
        <w:rPr>
          <w:rFonts w:eastAsia="Times New Roman" w:cs="Futura"/>
        </w:rPr>
        <w:lastRenderedPageBreak/>
        <w:t>funcionamiento de los centr</w:t>
      </w:r>
      <w:r>
        <w:rPr>
          <w:rFonts w:eastAsia="Times New Roman" w:cs="Futura"/>
        </w:rPr>
        <w:t>os educativos; en los cuadros 15, 16 y 17</w:t>
      </w:r>
      <w:r w:rsidRPr="00B141B9">
        <w:rPr>
          <w:rFonts w:eastAsia="Times New Roman" w:cs="Futura"/>
        </w:rPr>
        <w:t xml:space="preserve"> se presentan el resumen de las escuelas atendidas con los diversos fondos de inversión para la infraestructura educativa dura</w:t>
      </w:r>
      <w:r w:rsidR="00447FBB">
        <w:rPr>
          <w:rFonts w:eastAsia="Times New Roman" w:cs="Futura"/>
        </w:rPr>
        <w:t>nte los ejercicios 2017- 2019.</w:t>
      </w:r>
    </w:p>
    <w:p w14:paraId="56DFA4F0" w14:textId="3C6812C7" w:rsidR="006D148B" w:rsidRPr="00E1715F" w:rsidRDefault="006D148B" w:rsidP="006D148B">
      <w:pPr>
        <w:spacing w:after="120"/>
        <w:jc w:val="center"/>
        <w:rPr>
          <w:b/>
          <w:color w:val="4BACC6" w:themeColor="accent5"/>
        </w:rPr>
      </w:pPr>
      <w:r>
        <w:rPr>
          <w:b/>
          <w:color w:val="4BACC6" w:themeColor="accent5"/>
        </w:rPr>
        <w:t>Cuadro 15</w:t>
      </w:r>
      <w:r w:rsidR="00447FBB">
        <w:rPr>
          <w:b/>
          <w:color w:val="4BACC6" w:themeColor="accent5"/>
        </w:rPr>
        <w:t>.</w:t>
      </w:r>
      <w:r w:rsidRPr="00E1715F">
        <w:rPr>
          <w:b/>
          <w:color w:val="4BACC6" w:themeColor="accent5"/>
        </w:rPr>
        <w:t xml:space="preserve"> Resumen de escuelas atendidas por nivel educativo con diversos fondos 2017</w:t>
      </w:r>
    </w:p>
    <w:tbl>
      <w:tblPr>
        <w:tblW w:w="90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5"/>
        <w:gridCol w:w="606"/>
        <w:gridCol w:w="606"/>
        <w:gridCol w:w="425"/>
        <w:gridCol w:w="439"/>
        <w:gridCol w:w="606"/>
        <w:gridCol w:w="1718"/>
        <w:gridCol w:w="1317"/>
      </w:tblGrid>
      <w:tr w:rsidR="006D148B" w:rsidRPr="005B7984" w14:paraId="3BBF55B0" w14:textId="77777777" w:rsidTr="005B7984">
        <w:trPr>
          <w:trHeight w:val="70"/>
          <w:tblHeader/>
          <w:jc w:val="center"/>
        </w:trPr>
        <w:tc>
          <w:tcPr>
            <w:tcW w:w="3335" w:type="dxa"/>
            <w:vMerge w:val="restart"/>
            <w:shd w:val="clear" w:color="auto" w:fill="A6A6A6" w:themeFill="background1" w:themeFillShade="A6"/>
            <w:noWrap/>
            <w:vAlign w:val="center"/>
            <w:hideMark/>
          </w:tcPr>
          <w:p w14:paraId="5CC76A58" w14:textId="669BE9CC" w:rsidR="006D148B" w:rsidRPr="005B7984" w:rsidRDefault="005B7984" w:rsidP="009E3B2F">
            <w:pPr>
              <w:spacing w:after="120" w:line="240" w:lineRule="auto"/>
              <w:jc w:val="center"/>
              <w:rPr>
                <w:rFonts w:ascii="Futura Std Condensed Light" w:eastAsia="Calibri" w:hAnsi="Futura Std Condensed Light" w:cs="Calibri"/>
                <w:sz w:val="20"/>
                <w:szCs w:val="20"/>
              </w:rPr>
            </w:pPr>
            <w:r w:rsidRPr="005B7984">
              <w:rPr>
                <w:rFonts w:ascii="Futura Std Condensed Light" w:eastAsia="Calibri" w:hAnsi="Futura Std Condensed Light" w:cs="Calibri"/>
                <w:sz w:val="20"/>
                <w:szCs w:val="20"/>
              </w:rPr>
              <w:t>Programa</w:t>
            </w:r>
          </w:p>
        </w:tc>
        <w:tc>
          <w:tcPr>
            <w:tcW w:w="2682" w:type="dxa"/>
            <w:gridSpan w:val="5"/>
            <w:shd w:val="clear" w:color="auto" w:fill="A6A6A6" w:themeFill="background1" w:themeFillShade="A6"/>
            <w:noWrap/>
            <w:vAlign w:val="center"/>
            <w:hideMark/>
          </w:tcPr>
          <w:p w14:paraId="6947A608" w14:textId="7213A03C" w:rsidR="006D148B" w:rsidRPr="005B7984" w:rsidRDefault="005B7984" w:rsidP="009E3B2F">
            <w:pPr>
              <w:spacing w:after="120" w:line="240" w:lineRule="auto"/>
              <w:jc w:val="center"/>
              <w:rPr>
                <w:rFonts w:ascii="Futura Std Condensed Light" w:eastAsia="Calibri" w:hAnsi="Futura Std Condensed Light" w:cs="Calibri"/>
                <w:sz w:val="20"/>
                <w:szCs w:val="20"/>
              </w:rPr>
            </w:pPr>
            <w:r w:rsidRPr="005B7984">
              <w:rPr>
                <w:rFonts w:ascii="Futura Std Condensed Light" w:eastAsia="Calibri" w:hAnsi="Futura Std Condensed Light" w:cs="Calibri"/>
                <w:sz w:val="20"/>
                <w:szCs w:val="20"/>
              </w:rPr>
              <w:t>Ejercido</w:t>
            </w:r>
          </w:p>
        </w:tc>
        <w:tc>
          <w:tcPr>
            <w:tcW w:w="1718" w:type="dxa"/>
            <w:vMerge w:val="restart"/>
            <w:shd w:val="clear" w:color="auto" w:fill="A6A6A6" w:themeFill="background1" w:themeFillShade="A6"/>
            <w:noWrap/>
            <w:vAlign w:val="center"/>
            <w:hideMark/>
          </w:tcPr>
          <w:p w14:paraId="7CB9689B" w14:textId="226F4CF5" w:rsidR="006D148B" w:rsidRPr="005B7984" w:rsidRDefault="005B7984" w:rsidP="009E3B2F">
            <w:pPr>
              <w:spacing w:after="120" w:line="240" w:lineRule="auto"/>
              <w:jc w:val="center"/>
              <w:rPr>
                <w:rFonts w:ascii="Futura Std Condensed Light" w:eastAsia="Calibri" w:hAnsi="Futura Std Condensed Light" w:cs="Calibri"/>
                <w:sz w:val="20"/>
                <w:szCs w:val="20"/>
              </w:rPr>
            </w:pPr>
            <w:r w:rsidRPr="005B7984">
              <w:rPr>
                <w:rFonts w:ascii="Futura Std Condensed Light" w:eastAsia="Calibri" w:hAnsi="Futura Std Condensed Light" w:cs="Calibri"/>
                <w:sz w:val="20"/>
                <w:szCs w:val="20"/>
              </w:rPr>
              <w:t>Monto de inversión</w:t>
            </w:r>
          </w:p>
        </w:tc>
        <w:tc>
          <w:tcPr>
            <w:tcW w:w="1317" w:type="dxa"/>
            <w:vMerge w:val="restart"/>
            <w:shd w:val="clear" w:color="auto" w:fill="A6A6A6" w:themeFill="background1" w:themeFillShade="A6"/>
            <w:vAlign w:val="center"/>
            <w:hideMark/>
          </w:tcPr>
          <w:p w14:paraId="6FEEEB21" w14:textId="3ED6BA1C" w:rsidR="006D148B" w:rsidRPr="005B7984" w:rsidRDefault="005B7984" w:rsidP="009E3B2F">
            <w:pPr>
              <w:spacing w:after="120" w:line="240" w:lineRule="auto"/>
              <w:jc w:val="center"/>
              <w:rPr>
                <w:rFonts w:ascii="Futura Std Condensed Light" w:eastAsia="Calibri" w:hAnsi="Futura Std Condensed Light" w:cs="Calibri"/>
                <w:sz w:val="20"/>
                <w:szCs w:val="20"/>
              </w:rPr>
            </w:pPr>
            <w:r w:rsidRPr="005B7984">
              <w:rPr>
                <w:rFonts w:ascii="Futura Std Condensed Light" w:eastAsia="Calibri" w:hAnsi="Futura Std Condensed Light" w:cs="Calibri"/>
                <w:sz w:val="20"/>
                <w:szCs w:val="20"/>
              </w:rPr>
              <w:t>Nivel</w:t>
            </w:r>
          </w:p>
        </w:tc>
      </w:tr>
      <w:tr w:rsidR="006D148B" w:rsidRPr="005B7984" w14:paraId="3D79E3ED" w14:textId="77777777" w:rsidTr="005B7984">
        <w:trPr>
          <w:trHeight w:val="70"/>
          <w:jc w:val="center"/>
        </w:trPr>
        <w:tc>
          <w:tcPr>
            <w:tcW w:w="3335" w:type="dxa"/>
            <w:vMerge/>
            <w:shd w:val="clear" w:color="auto" w:fill="auto"/>
            <w:vAlign w:val="center"/>
            <w:hideMark/>
          </w:tcPr>
          <w:p w14:paraId="36470ECA" w14:textId="77777777" w:rsidR="006D148B" w:rsidRPr="005B7984" w:rsidRDefault="006D148B" w:rsidP="009E3B2F">
            <w:pPr>
              <w:spacing w:after="120" w:line="240" w:lineRule="auto"/>
              <w:jc w:val="center"/>
              <w:rPr>
                <w:rFonts w:ascii="Futura Std Condensed Light" w:eastAsia="Calibri" w:hAnsi="Futura Std Condensed Light" w:cs="Calibri"/>
                <w:b/>
                <w:sz w:val="20"/>
                <w:szCs w:val="20"/>
              </w:rPr>
            </w:pPr>
          </w:p>
        </w:tc>
        <w:tc>
          <w:tcPr>
            <w:tcW w:w="606" w:type="dxa"/>
            <w:shd w:val="clear" w:color="auto" w:fill="A6A6A6" w:themeFill="background1" w:themeFillShade="A6"/>
            <w:noWrap/>
            <w:vAlign w:val="center"/>
            <w:hideMark/>
          </w:tcPr>
          <w:p w14:paraId="5F0F2AA8" w14:textId="77777777" w:rsidR="006D148B" w:rsidRPr="005B7984" w:rsidRDefault="006D148B" w:rsidP="009E3B2F">
            <w:pPr>
              <w:spacing w:after="120" w:line="240" w:lineRule="auto"/>
              <w:jc w:val="center"/>
              <w:rPr>
                <w:rFonts w:ascii="Futura Std Condensed Light" w:eastAsia="Calibri" w:hAnsi="Futura Std Condensed Light" w:cs="Calibri"/>
                <w:sz w:val="20"/>
                <w:szCs w:val="20"/>
              </w:rPr>
            </w:pPr>
            <w:r w:rsidRPr="005B7984">
              <w:rPr>
                <w:rFonts w:ascii="Futura Std Condensed Light" w:eastAsia="Calibri" w:hAnsi="Futura Std Condensed Light" w:cs="Calibri"/>
                <w:sz w:val="20"/>
                <w:szCs w:val="20"/>
              </w:rPr>
              <w:t>E</w:t>
            </w:r>
          </w:p>
        </w:tc>
        <w:tc>
          <w:tcPr>
            <w:tcW w:w="606" w:type="dxa"/>
            <w:shd w:val="clear" w:color="auto" w:fill="A6A6A6" w:themeFill="background1" w:themeFillShade="A6"/>
            <w:noWrap/>
            <w:vAlign w:val="center"/>
            <w:hideMark/>
          </w:tcPr>
          <w:p w14:paraId="63E44F9D" w14:textId="77777777" w:rsidR="006D148B" w:rsidRPr="005B7984" w:rsidRDefault="006D148B" w:rsidP="009E3B2F">
            <w:pPr>
              <w:spacing w:after="120" w:line="240" w:lineRule="auto"/>
              <w:jc w:val="center"/>
              <w:rPr>
                <w:rFonts w:ascii="Futura Std Condensed Light" w:eastAsia="Calibri" w:hAnsi="Futura Std Condensed Light" w:cs="Calibri"/>
                <w:sz w:val="20"/>
                <w:szCs w:val="20"/>
              </w:rPr>
            </w:pPr>
            <w:r w:rsidRPr="005B7984">
              <w:rPr>
                <w:rFonts w:ascii="Futura Std Condensed Light" w:eastAsia="Calibri" w:hAnsi="Futura Std Condensed Light" w:cs="Calibri"/>
                <w:sz w:val="20"/>
                <w:szCs w:val="20"/>
              </w:rPr>
              <w:t>A</w:t>
            </w:r>
          </w:p>
        </w:tc>
        <w:tc>
          <w:tcPr>
            <w:tcW w:w="425" w:type="dxa"/>
            <w:shd w:val="clear" w:color="auto" w:fill="A6A6A6" w:themeFill="background1" w:themeFillShade="A6"/>
            <w:noWrap/>
            <w:vAlign w:val="center"/>
            <w:hideMark/>
          </w:tcPr>
          <w:p w14:paraId="48CF190B" w14:textId="77777777" w:rsidR="006D148B" w:rsidRPr="005B7984" w:rsidRDefault="006D148B" w:rsidP="009E3B2F">
            <w:pPr>
              <w:spacing w:after="120" w:line="240" w:lineRule="auto"/>
              <w:jc w:val="center"/>
              <w:rPr>
                <w:rFonts w:ascii="Futura Std Condensed Light" w:eastAsia="Calibri" w:hAnsi="Futura Std Condensed Light" w:cs="Calibri"/>
                <w:sz w:val="20"/>
                <w:szCs w:val="20"/>
              </w:rPr>
            </w:pPr>
            <w:r w:rsidRPr="005B7984">
              <w:rPr>
                <w:rFonts w:ascii="Futura Std Condensed Light" w:eastAsia="Calibri" w:hAnsi="Futura Std Condensed Light" w:cs="Calibri"/>
                <w:sz w:val="20"/>
                <w:szCs w:val="20"/>
              </w:rPr>
              <w:t>L</w:t>
            </w:r>
          </w:p>
        </w:tc>
        <w:tc>
          <w:tcPr>
            <w:tcW w:w="439" w:type="dxa"/>
            <w:shd w:val="clear" w:color="auto" w:fill="A6A6A6" w:themeFill="background1" w:themeFillShade="A6"/>
            <w:noWrap/>
            <w:vAlign w:val="center"/>
            <w:hideMark/>
          </w:tcPr>
          <w:p w14:paraId="4C00A11F" w14:textId="77777777" w:rsidR="006D148B" w:rsidRPr="005B7984" w:rsidRDefault="006D148B" w:rsidP="009E3B2F">
            <w:pPr>
              <w:spacing w:after="120" w:line="240" w:lineRule="auto"/>
              <w:jc w:val="center"/>
              <w:rPr>
                <w:rFonts w:ascii="Futura Std Condensed Light" w:eastAsia="Calibri" w:hAnsi="Futura Std Condensed Light" w:cs="Calibri"/>
                <w:sz w:val="20"/>
                <w:szCs w:val="20"/>
              </w:rPr>
            </w:pPr>
            <w:r w:rsidRPr="005B7984">
              <w:rPr>
                <w:rFonts w:ascii="Futura Std Condensed Light" w:eastAsia="Calibri" w:hAnsi="Futura Std Condensed Light" w:cs="Calibri"/>
                <w:sz w:val="20"/>
                <w:szCs w:val="20"/>
              </w:rPr>
              <w:t>T</w:t>
            </w:r>
          </w:p>
        </w:tc>
        <w:tc>
          <w:tcPr>
            <w:tcW w:w="606" w:type="dxa"/>
            <w:shd w:val="clear" w:color="auto" w:fill="A6A6A6" w:themeFill="background1" w:themeFillShade="A6"/>
            <w:noWrap/>
            <w:vAlign w:val="center"/>
            <w:hideMark/>
          </w:tcPr>
          <w:p w14:paraId="4F321234" w14:textId="77777777" w:rsidR="006D148B" w:rsidRPr="005B7984" w:rsidRDefault="006D148B" w:rsidP="009E3B2F">
            <w:pPr>
              <w:spacing w:after="120" w:line="240" w:lineRule="auto"/>
              <w:jc w:val="center"/>
              <w:rPr>
                <w:rFonts w:ascii="Futura Std Condensed Light" w:eastAsia="Calibri" w:hAnsi="Futura Std Condensed Light" w:cs="Calibri"/>
                <w:sz w:val="20"/>
                <w:szCs w:val="20"/>
              </w:rPr>
            </w:pPr>
            <w:r w:rsidRPr="005B7984">
              <w:rPr>
                <w:rFonts w:ascii="Futura Std Condensed Light" w:eastAsia="Calibri" w:hAnsi="Futura Std Condensed Light" w:cs="Calibri"/>
                <w:sz w:val="20"/>
                <w:szCs w:val="20"/>
              </w:rPr>
              <w:t>A</w:t>
            </w:r>
          </w:p>
        </w:tc>
        <w:tc>
          <w:tcPr>
            <w:tcW w:w="1718" w:type="dxa"/>
            <w:vMerge/>
            <w:shd w:val="clear" w:color="auto" w:fill="auto"/>
            <w:vAlign w:val="center"/>
            <w:hideMark/>
          </w:tcPr>
          <w:p w14:paraId="4EF13CF7" w14:textId="77777777" w:rsidR="006D148B" w:rsidRPr="005B7984" w:rsidRDefault="006D148B" w:rsidP="009E3B2F">
            <w:pPr>
              <w:spacing w:after="120" w:line="240" w:lineRule="auto"/>
              <w:jc w:val="center"/>
              <w:rPr>
                <w:rFonts w:ascii="Futura Std Condensed Light" w:eastAsia="Calibri" w:hAnsi="Futura Std Condensed Light" w:cs="Calibri"/>
                <w:b/>
                <w:sz w:val="20"/>
                <w:szCs w:val="20"/>
              </w:rPr>
            </w:pPr>
          </w:p>
        </w:tc>
        <w:tc>
          <w:tcPr>
            <w:tcW w:w="1317" w:type="dxa"/>
            <w:vMerge/>
            <w:shd w:val="clear" w:color="auto" w:fill="auto"/>
            <w:vAlign w:val="center"/>
            <w:hideMark/>
          </w:tcPr>
          <w:p w14:paraId="17BCB509" w14:textId="77777777" w:rsidR="006D148B" w:rsidRPr="005B7984" w:rsidRDefault="006D148B" w:rsidP="009E3B2F">
            <w:pPr>
              <w:spacing w:after="120" w:line="240" w:lineRule="auto"/>
              <w:jc w:val="center"/>
              <w:rPr>
                <w:rFonts w:ascii="Futura Std Condensed Light" w:eastAsia="Calibri" w:hAnsi="Futura Std Condensed Light" w:cs="Calibri"/>
                <w:b/>
                <w:sz w:val="20"/>
                <w:szCs w:val="20"/>
              </w:rPr>
            </w:pPr>
          </w:p>
        </w:tc>
      </w:tr>
      <w:tr w:rsidR="006D148B" w:rsidRPr="005B7984" w14:paraId="2EF34011" w14:textId="77777777" w:rsidTr="009E3B2F">
        <w:trPr>
          <w:trHeight w:val="244"/>
          <w:jc w:val="center"/>
        </w:trPr>
        <w:tc>
          <w:tcPr>
            <w:tcW w:w="3335" w:type="dxa"/>
            <w:shd w:val="clear" w:color="auto" w:fill="auto"/>
            <w:vAlign w:val="center"/>
          </w:tcPr>
          <w:p w14:paraId="0829C3C8" w14:textId="6FC4D327" w:rsidR="006D148B" w:rsidRPr="005B7984" w:rsidRDefault="005B7984" w:rsidP="00FF77CB">
            <w:pPr>
              <w:spacing w:after="120" w:line="240" w:lineRule="auto"/>
              <w:jc w:val="left"/>
              <w:rPr>
                <w:rFonts w:ascii="Futura Std Condensed Light" w:eastAsia="Calibri" w:hAnsi="Futura Std Condensed Light" w:cs="Calibri"/>
                <w:sz w:val="20"/>
                <w:szCs w:val="20"/>
              </w:rPr>
            </w:pPr>
            <w:r w:rsidRPr="005B7984">
              <w:rPr>
                <w:rFonts w:ascii="Futura Std Condensed Light" w:eastAsia="Calibri" w:hAnsi="Futura Std Condensed Light" w:cs="Calibri"/>
                <w:sz w:val="20"/>
                <w:szCs w:val="20"/>
              </w:rPr>
              <w:t>Fondo De Aportaciones Múltiples Nivel Básico</w:t>
            </w:r>
            <w:r>
              <w:rPr>
                <w:rFonts w:ascii="Futura Std Condensed Light" w:eastAsia="Calibri" w:hAnsi="Futura Std Condensed Light" w:cs="Calibri"/>
                <w:sz w:val="20"/>
                <w:szCs w:val="20"/>
              </w:rPr>
              <w:t xml:space="preserve"> FAM</w:t>
            </w:r>
          </w:p>
        </w:tc>
        <w:tc>
          <w:tcPr>
            <w:tcW w:w="606" w:type="dxa"/>
            <w:shd w:val="clear" w:color="auto" w:fill="auto"/>
            <w:noWrap/>
            <w:vAlign w:val="center"/>
          </w:tcPr>
          <w:p w14:paraId="45488A7A" w14:textId="77777777" w:rsidR="006D148B" w:rsidRPr="005B7984" w:rsidRDefault="006D148B" w:rsidP="009E3B2F">
            <w:pPr>
              <w:spacing w:after="0"/>
              <w:jc w:val="center"/>
              <w:rPr>
                <w:rFonts w:ascii="Futura Std Condensed Light" w:eastAsia="Calibri" w:hAnsi="Futura Std Condensed Light" w:cs="Calibri"/>
                <w:sz w:val="20"/>
                <w:szCs w:val="20"/>
              </w:rPr>
            </w:pPr>
            <w:r w:rsidRPr="005B7984">
              <w:rPr>
                <w:rFonts w:ascii="Futura Std Condensed Light" w:eastAsia="Calibri" w:hAnsi="Futura Std Condensed Light" w:cs="Calibri"/>
                <w:sz w:val="20"/>
                <w:szCs w:val="20"/>
              </w:rPr>
              <w:t>227</w:t>
            </w:r>
          </w:p>
        </w:tc>
        <w:tc>
          <w:tcPr>
            <w:tcW w:w="606" w:type="dxa"/>
            <w:shd w:val="clear" w:color="auto" w:fill="auto"/>
            <w:noWrap/>
            <w:vAlign w:val="center"/>
          </w:tcPr>
          <w:p w14:paraId="0AF5345A" w14:textId="77777777" w:rsidR="006D148B" w:rsidRPr="005B7984" w:rsidRDefault="006D148B" w:rsidP="009E3B2F">
            <w:pPr>
              <w:spacing w:after="0"/>
              <w:jc w:val="center"/>
              <w:rPr>
                <w:rFonts w:ascii="Futura Std Condensed Light" w:eastAsia="Calibri" w:hAnsi="Futura Std Condensed Light" w:cs="Calibri"/>
                <w:sz w:val="20"/>
                <w:szCs w:val="20"/>
              </w:rPr>
            </w:pPr>
            <w:r w:rsidRPr="005B7984">
              <w:rPr>
                <w:rFonts w:ascii="Futura Std Condensed Light" w:eastAsia="Calibri" w:hAnsi="Futura Std Condensed Light" w:cs="Calibri"/>
                <w:sz w:val="20"/>
                <w:szCs w:val="20"/>
              </w:rPr>
              <w:t>346</w:t>
            </w:r>
          </w:p>
        </w:tc>
        <w:tc>
          <w:tcPr>
            <w:tcW w:w="425" w:type="dxa"/>
            <w:shd w:val="clear" w:color="auto" w:fill="auto"/>
            <w:noWrap/>
            <w:vAlign w:val="center"/>
          </w:tcPr>
          <w:p w14:paraId="7BE625DA" w14:textId="77777777" w:rsidR="006D148B" w:rsidRPr="005B7984" w:rsidRDefault="006D148B" w:rsidP="009E3B2F">
            <w:pPr>
              <w:spacing w:after="0"/>
              <w:jc w:val="center"/>
              <w:rPr>
                <w:rFonts w:ascii="Futura Std Condensed Light" w:eastAsia="Calibri" w:hAnsi="Futura Std Condensed Light" w:cs="Calibri"/>
                <w:sz w:val="20"/>
                <w:szCs w:val="20"/>
              </w:rPr>
            </w:pPr>
            <w:r w:rsidRPr="005B7984">
              <w:rPr>
                <w:rFonts w:ascii="Futura Std Condensed Light" w:eastAsia="Calibri" w:hAnsi="Futura Std Condensed Light" w:cs="Calibri"/>
                <w:sz w:val="20"/>
                <w:szCs w:val="20"/>
              </w:rPr>
              <w:t>6</w:t>
            </w:r>
          </w:p>
        </w:tc>
        <w:tc>
          <w:tcPr>
            <w:tcW w:w="439" w:type="dxa"/>
            <w:shd w:val="clear" w:color="auto" w:fill="auto"/>
            <w:noWrap/>
            <w:vAlign w:val="center"/>
          </w:tcPr>
          <w:p w14:paraId="47470F23" w14:textId="77777777" w:rsidR="006D148B" w:rsidRPr="005B7984" w:rsidRDefault="006D148B" w:rsidP="009E3B2F">
            <w:pPr>
              <w:spacing w:after="0"/>
              <w:jc w:val="center"/>
              <w:rPr>
                <w:rFonts w:ascii="Futura Std Condensed Light" w:eastAsia="Calibri" w:hAnsi="Futura Std Condensed Light" w:cs="Calibri"/>
                <w:sz w:val="20"/>
                <w:szCs w:val="20"/>
              </w:rPr>
            </w:pPr>
            <w:r w:rsidRPr="005B7984">
              <w:rPr>
                <w:rFonts w:ascii="Futura Std Condensed Light" w:eastAsia="Calibri" w:hAnsi="Futura Std Condensed Light" w:cs="Calibri"/>
                <w:sz w:val="20"/>
                <w:szCs w:val="20"/>
              </w:rPr>
              <w:t>10</w:t>
            </w:r>
          </w:p>
        </w:tc>
        <w:tc>
          <w:tcPr>
            <w:tcW w:w="606" w:type="dxa"/>
            <w:shd w:val="clear" w:color="auto" w:fill="auto"/>
            <w:noWrap/>
            <w:vAlign w:val="center"/>
          </w:tcPr>
          <w:p w14:paraId="0C1C7DC5" w14:textId="77777777" w:rsidR="006D148B" w:rsidRPr="005B7984" w:rsidRDefault="006D148B" w:rsidP="009E3B2F">
            <w:pPr>
              <w:spacing w:after="0"/>
              <w:jc w:val="center"/>
              <w:rPr>
                <w:rFonts w:ascii="Futura Std Condensed Light" w:eastAsia="Calibri" w:hAnsi="Futura Std Condensed Light" w:cs="Calibri"/>
                <w:sz w:val="20"/>
                <w:szCs w:val="20"/>
              </w:rPr>
            </w:pPr>
            <w:r w:rsidRPr="005B7984">
              <w:rPr>
                <w:rFonts w:ascii="Futura Std Condensed Light" w:eastAsia="Calibri" w:hAnsi="Futura Std Condensed Light" w:cs="Calibri"/>
                <w:sz w:val="20"/>
                <w:szCs w:val="20"/>
              </w:rPr>
              <w:t>76</w:t>
            </w:r>
          </w:p>
        </w:tc>
        <w:tc>
          <w:tcPr>
            <w:tcW w:w="1718" w:type="dxa"/>
            <w:shd w:val="clear" w:color="auto" w:fill="auto"/>
            <w:noWrap/>
            <w:vAlign w:val="center"/>
          </w:tcPr>
          <w:p w14:paraId="3C11B00E" w14:textId="77777777" w:rsidR="006D148B" w:rsidRPr="005B7984" w:rsidRDefault="006D148B" w:rsidP="009E3B2F">
            <w:pPr>
              <w:spacing w:after="0"/>
              <w:jc w:val="right"/>
              <w:rPr>
                <w:rFonts w:ascii="Futura Std Condensed Light" w:eastAsia="Calibri" w:hAnsi="Futura Std Condensed Light" w:cs="Calibri"/>
                <w:sz w:val="20"/>
                <w:szCs w:val="20"/>
              </w:rPr>
            </w:pPr>
            <w:r w:rsidRPr="005B7984">
              <w:rPr>
                <w:rFonts w:ascii="Futura Std Condensed Light" w:eastAsia="Calibri" w:hAnsi="Futura Std Condensed Light" w:cs="Calibri"/>
                <w:sz w:val="20"/>
                <w:szCs w:val="20"/>
              </w:rPr>
              <w:t>$265,228,687.28</w:t>
            </w:r>
          </w:p>
        </w:tc>
        <w:tc>
          <w:tcPr>
            <w:tcW w:w="1317" w:type="dxa"/>
            <w:shd w:val="clear" w:color="auto" w:fill="auto"/>
            <w:vAlign w:val="center"/>
            <w:hideMark/>
          </w:tcPr>
          <w:p w14:paraId="0D9BD97D" w14:textId="77777777" w:rsidR="006D148B" w:rsidRPr="005B7984" w:rsidRDefault="006D148B" w:rsidP="009E3B2F">
            <w:pPr>
              <w:spacing w:after="0"/>
              <w:jc w:val="center"/>
              <w:rPr>
                <w:rFonts w:ascii="Futura Std Condensed Light" w:eastAsia="Calibri" w:hAnsi="Futura Std Condensed Light" w:cs="Calibri"/>
                <w:sz w:val="20"/>
                <w:szCs w:val="20"/>
              </w:rPr>
            </w:pPr>
            <w:r w:rsidRPr="005B7984">
              <w:rPr>
                <w:rFonts w:ascii="Futura Std Condensed Light" w:eastAsia="Calibri" w:hAnsi="Futura Std Condensed Light" w:cs="Calibri"/>
                <w:sz w:val="20"/>
                <w:szCs w:val="20"/>
              </w:rPr>
              <w:t>BÁSICO</w:t>
            </w:r>
          </w:p>
        </w:tc>
      </w:tr>
      <w:tr w:rsidR="006D148B" w:rsidRPr="005B7984" w14:paraId="466C8645" w14:textId="77777777" w:rsidTr="009E3B2F">
        <w:trPr>
          <w:trHeight w:val="207"/>
          <w:jc w:val="center"/>
        </w:trPr>
        <w:tc>
          <w:tcPr>
            <w:tcW w:w="3335" w:type="dxa"/>
            <w:shd w:val="clear" w:color="auto" w:fill="auto"/>
            <w:vAlign w:val="center"/>
          </w:tcPr>
          <w:p w14:paraId="44ED93BB" w14:textId="1A8314EC" w:rsidR="006D148B" w:rsidRPr="005B7984" w:rsidRDefault="005B7984" w:rsidP="00FF77CB">
            <w:pPr>
              <w:spacing w:after="120" w:line="240" w:lineRule="auto"/>
              <w:jc w:val="left"/>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Convenio p</w:t>
            </w:r>
            <w:r w:rsidRPr="005B7984">
              <w:rPr>
                <w:rFonts w:ascii="Futura Std Condensed Light" w:eastAsia="Calibri" w:hAnsi="Futura Std Condensed Light" w:cs="Calibri"/>
                <w:sz w:val="20"/>
                <w:szCs w:val="20"/>
              </w:rPr>
              <w:t xml:space="preserve">ara </w:t>
            </w:r>
            <w:r>
              <w:rPr>
                <w:rFonts w:ascii="Futura Std Condensed Light" w:eastAsia="Calibri" w:hAnsi="Futura Std Condensed Light" w:cs="Calibri"/>
                <w:sz w:val="20"/>
                <w:szCs w:val="20"/>
              </w:rPr>
              <w:t>e</w:t>
            </w:r>
            <w:r w:rsidRPr="005B7984">
              <w:rPr>
                <w:rFonts w:ascii="Futura Std Condensed Light" w:eastAsia="Calibri" w:hAnsi="Futura Std Condensed Light" w:cs="Calibri"/>
                <w:sz w:val="20"/>
                <w:szCs w:val="20"/>
              </w:rPr>
              <w:t xml:space="preserve">l Otorgamiento </w:t>
            </w:r>
            <w:r>
              <w:rPr>
                <w:rFonts w:ascii="Futura Std Condensed Light" w:eastAsia="Calibri" w:hAnsi="Futura Std Condensed Light" w:cs="Calibri"/>
                <w:sz w:val="20"/>
                <w:szCs w:val="20"/>
              </w:rPr>
              <w:t>de Subsidio a</w:t>
            </w:r>
            <w:r w:rsidRPr="005B7984">
              <w:rPr>
                <w:rFonts w:ascii="Futura Std Condensed Light" w:eastAsia="Calibri" w:hAnsi="Futura Std Condensed Light" w:cs="Calibri"/>
                <w:sz w:val="20"/>
                <w:szCs w:val="20"/>
              </w:rPr>
              <w:t xml:space="preserve"> Proyectos </w:t>
            </w:r>
            <w:r>
              <w:rPr>
                <w:rFonts w:ascii="Futura Std Condensed Light" w:eastAsia="Calibri" w:hAnsi="Futura Std Condensed Light" w:cs="Calibri"/>
                <w:sz w:val="20"/>
                <w:szCs w:val="20"/>
              </w:rPr>
              <w:t>d</w:t>
            </w:r>
            <w:r w:rsidRPr="005B7984">
              <w:rPr>
                <w:rFonts w:ascii="Futura Std Condensed Light" w:eastAsia="Calibri" w:hAnsi="Futura Std Condensed Light" w:cs="Calibri"/>
                <w:sz w:val="20"/>
                <w:szCs w:val="20"/>
              </w:rPr>
              <w:t>e Desarrollo Regional A-2017</w:t>
            </w:r>
          </w:p>
        </w:tc>
        <w:tc>
          <w:tcPr>
            <w:tcW w:w="606" w:type="dxa"/>
            <w:shd w:val="clear" w:color="auto" w:fill="auto"/>
            <w:noWrap/>
            <w:vAlign w:val="center"/>
          </w:tcPr>
          <w:p w14:paraId="694958AE" w14:textId="77777777" w:rsidR="006D148B" w:rsidRPr="005B7984" w:rsidRDefault="006D148B" w:rsidP="009E3B2F">
            <w:pPr>
              <w:spacing w:after="120" w:line="240" w:lineRule="auto"/>
              <w:jc w:val="center"/>
              <w:rPr>
                <w:rFonts w:ascii="Futura Std Condensed Light" w:eastAsia="Calibri" w:hAnsi="Futura Std Condensed Light" w:cs="Calibri"/>
                <w:sz w:val="20"/>
                <w:szCs w:val="20"/>
              </w:rPr>
            </w:pPr>
            <w:r w:rsidRPr="005B7984">
              <w:rPr>
                <w:rFonts w:ascii="Futura Std Condensed Light" w:eastAsia="Calibri" w:hAnsi="Futura Std Condensed Light" w:cs="Calibri"/>
                <w:sz w:val="20"/>
                <w:szCs w:val="20"/>
              </w:rPr>
              <w:t>1</w:t>
            </w:r>
          </w:p>
        </w:tc>
        <w:tc>
          <w:tcPr>
            <w:tcW w:w="606" w:type="dxa"/>
            <w:shd w:val="clear" w:color="auto" w:fill="auto"/>
            <w:noWrap/>
            <w:vAlign w:val="center"/>
          </w:tcPr>
          <w:p w14:paraId="3DDBECB1" w14:textId="77777777" w:rsidR="006D148B" w:rsidRPr="005B7984" w:rsidRDefault="006D148B" w:rsidP="009E3B2F">
            <w:pPr>
              <w:spacing w:after="120" w:line="240" w:lineRule="auto"/>
              <w:jc w:val="center"/>
              <w:rPr>
                <w:rFonts w:ascii="Futura Std Condensed Light" w:eastAsia="Calibri" w:hAnsi="Futura Std Condensed Light" w:cs="Calibri"/>
                <w:sz w:val="20"/>
                <w:szCs w:val="20"/>
              </w:rPr>
            </w:pPr>
            <w:r w:rsidRPr="005B7984">
              <w:rPr>
                <w:rFonts w:ascii="Futura Std Condensed Light" w:eastAsia="Calibri" w:hAnsi="Futura Std Condensed Light" w:cs="Calibri"/>
                <w:sz w:val="20"/>
                <w:szCs w:val="20"/>
              </w:rPr>
              <w:t>0</w:t>
            </w:r>
          </w:p>
        </w:tc>
        <w:tc>
          <w:tcPr>
            <w:tcW w:w="425" w:type="dxa"/>
            <w:shd w:val="clear" w:color="auto" w:fill="auto"/>
            <w:noWrap/>
            <w:vAlign w:val="center"/>
          </w:tcPr>
          <w:p w14:paraId="39142834" w14:textId="77777777" w:rsidR="006D148B" w:rsidRPr="005B7984" w:rsidRDefault="006D148B" w:rsidP="009E3B2F">
            <w:pPr>
              <w:spacing w:after="120" w:line="240" w:lineRule="auto"/>
              <w:jc w:val="center"/>
              <w:rPr>
                <w:rFonts w:ascii="Futura Std Condensed Light" w:eastAsia="Calibri" w:hAnsi="Futura Std Condensed Light" w:cs="Calibri"/>
                <w:sz w:val="20"/>
                <w:szCs w:val="20"/>
              </w:rPr>
            </w:pPr>
            <w:r w:rsidRPr="005B7984">
              <w:rPr>
                <w:rFonts w:ascii="Futura Std Condensed Light" w:eastAsia="Calibri" w:hAnsi="Futura Std Condensed Light" w:cs="Calibri"/>
                <w:sz w:val="20"/>
                <w:szCs w:val="20"/>
              </w:rPr>
              <w:t>0</w:t>
            </w:r>
          </w:p>
        </w:tc>
        <w:tc>
          <w:tcPr>
            <w:tcW w:w="439" w:type="dxa"/>
            <w:shd w:val="clear" w:color="auto" w:fill="auto"/>
            <w:noWrap/>
            <w:vAlign w:val="center"/>
          </w:tcPr>
          <w:p w14:paraId="55572DED" w14:textId="77777777" w:rsidR="006D148B" w:rsidRPr="005B7984" w:rsidRDefault="006D148B" w:rsidP="009E3B2F">
            <w:pPr>
              <w:spacing w:after="120" w:line="240" w:lineRule="auto"/>
              <w:jc w:val="center"/>
              <w:rPr>
                <w:rFonts w:ascii="Futura Std Condensed Light" w:eastAsia="Calibri" w:hAnsi="Futura Std Condensed Light" w:cs="Calibri"/>
                <w:sz w:val="20"/>
                <w:szCs w:val="20"/>
              </w:rPr>
            </w:pPr>
            <w:r w:rsidRPr="005B7984">
              <w:rPr>
                <w:rFonts w:ascii="Futura Std Condensed Light" w:eastAsia="Calibri" w:hAnsi="Futura Std Condensed Light" w:cs="Calibri"/>
                <w:sz w:val="20"/>
                <w:szCs w:val="20"/>
              </w:rPr>
              <w:t>0</w:t>
            </w:r>
          </w:p>
        </w:tc>
        <w:tc>
          <w:tcPr>
            <w:tcW w:w="606" w:type="dxa"/>
            <w:shd w:val="clear" w:color="auto" w:fill="auto"/>
            <w:noWrap/>
            <w:vAlign w:val="center"/>
          </w:tcPr>
          <w:p w14:paraId="0C89D18A" w14:textId="77777777" w:rsidR="006D148B" w:rsidRPr="005B7984" w:rsidRDefault="006D148B" w:rsidP="009E3B2F">
            <w:pPr>
              <w:spacing w:after="120" w:line="240" w:lineRule="auto"/>
              <w:jc w:val="center"/>
              <w:rPr>
                <w:rFonts w:ascii="Futura Std Condensed Light" w:eastAsia="Calibri" w:hAnsi="Futura Std Condensed Light" w:cs="Calibri"/>
                <w:sz w:val="20"/>
                <w:szCs w:val="20"/>
              </w:rPr>
            </w:pPr>
            <w:r w:rsidRPr="005B7984">
              <w:rPr>
                <w:rFonts w:ascii="Futura Std Condensed Light" w:eastAsia="Calibri" w:hAnsi="Futura Std Condensed Light" w:cs="Calibri"/>
                <w:sz w:val="20"/>
                <w:szCs w:val="20"/>
              </w:rPr>
              <w:t>0</w:t>
            </w:r>
          </w:p>
        </w:tc>
        <w:tc>
          <w:tcPr>
            <w:tcW w:w="1718" w:type="dxa"/>
            <w:shd w:val="clear" w:color="auto" w:fill="auto"/>
            <w:noWrap/>
            <w:vAlign w:val="center"/>
          </w:tcPr>
          <w:p w14:paraId="1E3858F3" w14:textId="77777777" w:rsidR="006D148B" w:rsidRPr="005B7984" w:rsidRDefault="006D148B" w:rsidP="009E3B2F">
            <w:pPr>
              <w:spacing w:after="120" w:line="240" w:lineRule="auto"/>
              <w:jc w:val="right"/>
              <w:rPr>
                <w:rFonts w:ascii="Futura Std Condensed Light" w:eastAsia="Calibri" w:hAnsi="Futura Std Condensed Light" w:cs="Calibri"/>
                <w:sz w:val="20"/>
                <w:szCs w:val="20"/>
              </w:rPr>
            </w:pPr>
            <w:r w:rsidRPr="005B7984">
              <w:rPr>
                <w:rFonts w:ascii="Futura Std Condensed Light" w:eastAsia="Calibri" w:hAnsi="Futura Std Condensed Light" w:cs="Calibri"/>
                <w:sz w:val="20"/>
                <w:szCs w:val="20"/>
              </w:rPr>
              <w:t>$1,934,228.59</w:t>
            </w:r>
          </w:p>
        </w:tc>
        <w:tc>
          <w:tcPr>
            <w:tcW w:w="1317" w:type="dxa"/>
            <w:shd w:val="clear" w:color="auto" w:fill="auto"/>
            <w:vAlign w:val="center"/>
            <w:hideMark/>
          </w:tcPr>
          <w:p w14:paraId="72B9367E" w14:textId="77777777" w:rsidR="006D148B" w:rsidRPr="005B7984" w:rsidRDefault="006D148B" w:rsidP="009E3B2F">
            <w:pPr>
              <w:spacing w:after="120" w:line="240" w:lineRule="auto"/>
              <w:jc w:val="center"/>
              <w:rPr>
                <w:rFonts w:ascii="Futura Std Condensed Light" w:eastAsia="Calibri" w:hAnsi="Futura Std Condensed Light" w:cs="Calibri"/>
                <w:sz w:val="20"/>
                <w:szCs w:val="20"/>
              </w:rPr>
            </w:pPr>
            <w:r w:rsidRPr="005B7984">
              <w:rPr>
                <w:rFonts w:ascii="Futura Std Condensed Light" w:eastAsia="Calibri" w:hAnsi="Futura Std Condensed Light" w:cs="Calibri"/>
                <w:sz w:val="20"/>
                <w:szCs w:val="20"/>
              </w:rPr>
              <w:t>BÁSICO</w:t>
            </w:r>
          </w:p>
        </w:tc>
      </w:tr>
      <w:tr w:rsidR="006D148B" w:rsidRPr="005B7984" w14:paraId="5B5C1342" w14:textId="77777777" w:rsidTr="009E3B2F">
        <w:trPr>
          <w:trHeight w:val="70"/>
          <w:jc w:val="center"/>
        </w:trPr>
        <w:tc>
          <w:tcPr>
            <w:tcW w:w="3335" w:type="dxa"/>
            <w:shd w:val="clear" w:color="auto" w:fill="auto"/>
            <w:vAlign w:val="center"/>
          </w:tcPr>
          <w:p w14:paraId="4C67E0B4" w14:textId="47530778" w:rsidR="006D148B" w:rsidRPr="005B7984" w:rsidRDefault="005B7984" w:rsidP="00FF77CB">
            <w:pPr>
              <w:spacing w:after="120" w:line="240" w:lineRule="auto"/>
              <w:jc w:val="left"/>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Fondo para el Fortalecimiento de l</w:t>
            </w:r>
            <w:r w:rsidRPr="005B7984">
              <w:rPr>
                <w:rFonts w:ascii="Futura Std Condensed Light" w:eastAsia="Calibri" w:hAnsi="Futura Std Condensed Light" w:cs="Calibri"/>
                <w:sz w:val="20"/>
                <w:szCs w:val="20"/>
              </w:rPr>
              <w:t xml:space="preserve">as Entidades Federativas </w:t>
            </w:r>
            <w:r w:rsidR="006D148B" w:rsidRPr="005B7984">
              <w:rPr>
                <w:rFonts w:ascii="Futura Std Condensed Light" w:eastAsia="Calibri" w:hAnsi="Futura Std Condensed Light" w:cs="Calibri"/>
                <w:sz w:val="20"/>
                <w:szCs w:val="20"/>
              </w:rPr>
              <w:t>(FAFEF)</w:t>
            </w:r>
          </w:p>
        </w:tc>
        <w:tc>
          <w:tcPr>
            <w:tcW w:w="606" w:type="dxa"/>
            <w:shd w:val="clear" w:color="auto" w:fill="auto"/>
            <w:noWrap/>
            <w:vAlign w:val="center"/>
          </w:tcPr>
          <w:p w14:paraId="482438D9" w14:textId="77777777" w:rsidR="006D148B" w:rsidRPr="005B7984" w:rsidRDefault="006D148B" w:rsidP="009E3B2F">
            <w:pPr>
              <w:spacing w:after="120" w:line="240" w:lineRule="auto"/>
              <w:jc w:val="center"/>
              <w:rPr>
                <w:rFonts w:ascii="Futura Std Condensed Light" w:eastAsia="Calibri" w:hAnsi="Futura Std Condensed Light" w:cs="Calibri"/>
                <w:sz w:val="20"/>
                <w:szCs w:val="20"/>
              </w:rPr>
            </w:pPr>
            <w:r w:rsidRPr="005B7984">
              <w:rPr>
                <w:rFonts w:ascii="Futura Std Condensed Light" w:eastAsia="Calibri" w:hAnsi="Futura Std Condensed Light" w:cs="Calibri"/>
                <w:sz w:val="20"/>
                <w:szCs w:val="20"/>
              </w:rPr>
              <w:t>12</w:t>
            </w:r>
          </w:p>
        </w:tc>
        <w:tc>
          <w:tcPr>
            <w:tcW w:w="606" w:type="dxa"/>
            <w:shd w:val="clear" w:color="auto" w:fill="auto"/>
            <w:noWrap/>
            <w:vAlign w:val="center"/>
          </w:tcPr>
          <w:p w14:paraId="30A5C668" w14:textId="77777777" w:rsidR="006D148B" w:rsidRPr="005B7984" w:rsidRDefault="006D148B" w:rsidP="009E3B2F">
            <w:pPr>
              <w:spacing w:after="120" w:line="240" w:lineRule="auto"/>
              <w:jc w:val="center"/>
              <w:rPr>
                <w:rFonts w:ascii="Futura Std Condensed Light" w:eastAsia="Calibri" w:hAnsi="Futura Std Condensed Light" w:cs="Calibri"/>
                <w:sz w:val="20"/>
                <w:szCs w:val="20"/>
              </w:rPr>
            </w:pPr>
            <w:r w:rsidRPr="005B7984">
              <w:rPr>
                <w:rFonts w:ascii="Futura Std Condensed Light" w:eastAsia="Calibri" w:hAnsi="Futura Std Condensed Light" w:cs="Calibri"/>
                <w:sz w:val="20"/>
                <w:szCs w:val="20"/>
              </w:rPr>
              <w:t>0</w:t>
            </w:r>
          </w:p>
        </w:tc>
        <w:tc>
          <w:tcPr>
            <w:tcW w:w="425" w:type="dxa"/>
            <w:shd w:val="clear" w:color="auto" w:fill="auto"/>
            <w:noWrap/>
            <w:vAlign w:val="center"/>
          </w:tcPr>
          <w:p w14:paraId="62B95AFF" w14:textId="77777777" w:rsidR="006D148B" w:rsidRPr="005B7984" w:rsidRDefault="006D148B" w:rsidP="009E3B2F">
            <w:pPr>
              <w:spacing w:after="120" w:line="240" w:lineRule="auto"/>
              <w:jc w:val="center"/>
              <w:rPr>
                <w:rFonts w:ascii="Futura Std Condensed Light" w:eastAsia="Calibri" w:hAnsi="Futura Std Condensed Light" w:cs="Calibri"/>
                <w:sz w:val="20"/>
                <w:szCs w:val="20"/>
              </w:rPr>
            </w:pPr>
            <w:r w:rsidRPr="005B7984">
              <w:rPr>
                <w:rFonts w:ascii="Futura Std Condensed Light" w:eastAsia="Calibri" w:hAnsi="Futura Std Condensed Light" w:cs="Calibri"/>
                <w:sz w:val="20"/>
                <w:szCs w:val="20"/>
              </w:rPr>
              <w:t>0</w:t>
            </w:r>
          </w:p>
        </w:tc>
        <w:tc>
          <w:tcPr>
            <w:tcW w:w="439" w:type="dxa"/>
            <w:shd w:val="clear" w:color="auto" w:fill="auto"/>
            <w:noWrap/>
            <w:vAlign w:val="center"/>
          </w:tcPr>
          <w:p w14:paraId="7BE4D2F5" w14:textId="77777777" w:rsidR="006D148B" w:rsidRPr="005B7984" w:rsidRDefault="006D148B" w:rsidP="009E3B2F">
            <w:pPr>
              <w:spacing w:after="120" w:line="240" w:lineRule="auto"/>
              <w:jc w:val="center"/>
              <w:rPr>
                <w:rFonts w:ascii="Futura Std Condensed Light" w:eastAsia="Calibri" w:hAnsi="Futura Std Condensed Light" w:cs="Calibri"/>
                <w:sz w:val="20"/>
                <w:szCs w:val="20"/>
              </w:rPr>
            </w:pPr>
            <w:r w:rsidRPr="005B7984">
              <w:rPr>
                <w:rFonts w:ascii="Futura Std Condensed Light" w:eastAsia="Calibri" w:hAnsi="Futura Std Condensed Light" w:cs="Calibri"/>
                <w:sz w:val="20"/>
                <w:szCs w:val="20"/>
              </w:rPr>
              <w:t>0</w:t>
            </w:r>
          </w:p>
        </w:tc>
        <w:tc>
          <w:tcPr>
            <w:tcW w:w="606" w:type="dxa"/>
            <w:shd w:val="clear" w:color="auto" w:fill="auto"/>
            <w:noWrap/>
            <w:vAlign w:val="center"/>
          </w:tcPr>
          <w:p w14:paraId="147DF78B" w14:textId="77777777" w:rsidR="006D148B" w:rsidRPr="005B7984" w:rsidRDefault="006D148B" w:rsidP="009E3B2F">
            <w:pPr>
              <w:spacing w:after="120" w:line="240" w:lineRule="auto"/>
              <w:jc w:val="center"/>
              <w:rPr>
                <w:rFonts w:ascii="Futura Std Condensed Light" w:eastAsia="Calibri" w:hAnsi="Futura Std Condensed Light" w:cs="Calibri"/>
                <w:sz w:val="20"/>
                <w:szCs w:val="20"/>
              </w:rPr>
            </w:pPr>
            <w:r w:rsidRPr="005B7984">
              <w:rPr>
                <w:rFonts w:ascii="Futura Std Condensed Light" w:eastAsia="Calibri" w:hAnsi="Futura Std Condensed Light" w:cs="Calibri"/>
                <w:sz w:val="20"/>
                <w:szCs w:val="20"/>
              </w:rPr>
              <w:t>0</w:t>
            </w:r>
          </w:p>
        </w:tc>
        <w:tc>
          <w:tcPr>
            <w:tcW w:w="1718" w:type="dxa"/>
            <w:shd w:val="clear" w:color="auto" w:fill="auto"/>
            <w:noWrap/>
            <w:vAlign w:val="center"/>
          </w:tcPr>
          <w:p w14:paraId="3F8E50C2" w14:textId="77777777" w:rsidR="006D148B" w:rsidRPr="005B7984" w:rsidRDefault="006D148B" w:rsidP="009E3B2F">
            <w:pPr>
              <w:spacing w:after="120" w:line="240" w:lineRule="auto"/>
              <w:jc w:val="right"/>
              <w:rPr>
                <w:rFonts w:ascii="Futura Std Condensed Light" w:eastAsia="Calibri" w:hAnsi="Futura Std Condensed Light" w:cs="Calibri"/>
                <w:sz w:val="20"/>
                <w:szCs w:val="20"/>
              </w:rPr>
            </w:pPr>
            <w:r w:rsidRPr="005B7984">
              <w:rPr>
                <w:rFonts w:ascii="Futura Std Condensed Light" w:eastAsia="Calibri" w:hAnsi="Futura Std Condensed Light" w:cs="Calibri"/>
                <w:sz w:val="20"/>
                <w:szCs w:val="20"/>
              </w:rPr>
              <w:t>$13,021,792.72</w:t>
            </w:r>
          </w:p>
        </w:tc>
        <w:tc>
          <w:tcPr>
            <w:tcW w:w="1317" w:type="dxa"/>
            <w:shd w:val="clear" w:color="auto" w:fill="auto"/>
            <w:vAlign w:val="center"/>
            <w:hideMark/>
          </w:tcPr>
          <w:p w14:paraId="51BD0455" w14:textId="77777777" w:rsidR="006D148B" w:rsidRPr="005B7984" w:rsidRDefault="006D148B" w:rsidP="009E3B2F">
            <w:pPr>
              <w:spacing w:after="120" w:line="240" w:lineRule="auto"/>
              <w:jc w:val="center"/>
              <w:rPr>
                <w:rFonts w:ascii="Futura Std Condensed Light" w:eastAsia="Calibri" w:hAnsi="Futura Std Condensed Light" w:cs="Calibri"/>
                <w:sz w:val="20"/>
                <w:szCs w:val="20"/>
              </w:rPr>
            </w:pPr>
            <w:r w:rsidRPr="005B7984">
              <w:rPr>
                <w:rFonts w:ascii="Futura Std Condensed Light" w:eastAsia="Calibri" w:hAnsi="Futura Std Condensed Light" w:cs="Calibri"/>
                <w:sz w:val="20"/>
                <w:szCs w:val="20"/>
              </w:rPr>
              <w:t>BÁSICO</w:t>
            </w:r>
          </w:p>
        </w:tc>
      </w:tr>
      <w:tr w:rsidR="006D148B" w:rsidRPr="005B7984" w14:paraId="688C4D9B" w14:textId="77777777" w:rsidTr="005B7984">
        <w:trPr>
          <w:trHeight w:val="319"/>
          <w:jc w:val="center"/>
        </w:trPr>
        <w:tc>
          <w:tcPr>
            <w:tcW w:w="3335" w:type="dxa"/>
            <w:shd w:val="clear" w:color="auto" w:fill="A6A6A6" w:themeFill="background1" w:themeFillShade="A6"/>
            <w:vAlign w:val="center"/>
            <w:hideMark/>
          </w:tcPr>
          <w:p w14:paraId="765BB7C5" w14:textId="3D5E02BD" w:rsidR="006D148B" w:rsidRPr="005B7984" w:rsidRDefault="000E1F53" w:rsidP="009E3B2F">
            <w:pPr>
              <w:spacing w:after="120" w:line="240" w:lineRule="auto"/>
              <w:jc w:val="center"/>
              <w:rPr>
                <w:rFonts w:ascii="Futura Std Condensed Light" w:eastAsia="Calibri" w:hAnsi="Futura Std Condensed Light" w:cs="Calibri"/>
                <w:sz w:val="20"/>
                <w:szCs w:val="20"/>
              </w:rPr>
            </w:pPr>
            <w:r w:rsidRPr="005B7984">
              <w:rPr>
                <w:rFonts w:ascii="Futura Std Condensed Light" w:eastAsia="Calibri" w:hAnsi="Futura Std Condensed Light" w:cs="Calibri"/>
                <w:sz w:val="20"/>
                <w:szCs w:val="20"/>
              </w:rPr>
              <w:t>Total Básico</w:t>
            </w:r>
          </w:p>
        </w:tc>
        <w:tc>
          <w:tcPr>
            <w:tcW w:w="606" w:type="dxa"/>
            <w:shd w:val="clear" w:color="auto" w:fill="A6A6A6" w:themeFill="background1" w:themeFillShade="A6"/>
            <w:noWrap/>
            <w:vAlign w:val="center"/>
          </w:tcPr>
          <w:p w14:paraId="37A5F6E1" w14:textId="77777777" w:rsidR="006D148B" w:rsidRPr="005B7984" w:rsidRDefault="006D148B" w:rsidP="009E3B2F">
            <w:pPr>
              <w:spacing w:after="120" w:line="240" w:lineRule="auto"/>
              <w:jc w:val="center"/>
              <w:rPr>
                <w:rFonts w:ascii="Futura Std Condensed Light" w:eastAsia="Calibri" w:hAnsi="Futura Std Condensed Light" w:cs="Calibri"/>
                <w:sz w:val="20"/>
                <w:szCs w:val="20"/>
              </w:rPr>
            </w:pPr>
            <w:r w:rsidRPr="005B7984">
              <w:rPr>
                <w:rFonts w:ascii="Futura Std Condensed Light" w:eastAsia="Calibri" w:hAnsi="Futura Std Condensed Light" w:cs="Calibri"/>
                <w:sz w:val="20"/>
                <w:szCs w:val="20"/>
              </w:rPr>
              <w:t>240</w:t>
            </w:r>
          </w:p>
        </w:tc>
        <w:tc>
          <w:tcPr>
            <w:tcW w:w="606" w:type="dxa"/>
            <w:shd w:val="clear" w:color="auto" w:fill="A6A6A6" w:themeFill="background1" w:themeFillShade="A6"/>
            <w:noWrap/>
            <w:vAlign w:val="center"/>
          </w:tcPr>
          <w:p w14:paraId="74FCE862" w14:textId="77777777" w:rsidR="006D148B" w:rsidRPr="005B7984" w:rsidRDefault="006D148B" w:rsidP="009E3B2F">
            <w:pPr>
              <w:spacing w:after="120" w:line="240" w:lineRule="auto"/>
              <w:jc w:val="center"/>
              <w:rPr>
                <w:rFonts w:ascii="Futura Std Condensed Light" w:eastAsia="Calibri" w:hAnsi="Futura Std Condensed Light" w:cs="Calibri"/>
                <w:sz w:val="20"/>
                <w:szCs w:val="20"/>
              </w:rPr>
            </w:pPr>
            <w:r w:rsidRPr="005B7984">
              <w:rPr>
                <w:rFonts w:ascii="Futura Std Condensed Light" w:eastAsia="Calibri" w:hAnsi="Futura Std Condensed Light" w:cs="Calibri"/>
                <w:sz w:val="20"/>
                <w:szCs w:val="20"/>
              </w:rPr>
              <w:t>346</w:t>
            </w:r>
          </w:p>
        </w:tc>
        <w:tc>
          <w:tcPr>
            <w:tcW w:w="425" w:type="dxa"/>
            <w:shd w:val="clear" w:color="auto" w:fill="A6A6A6" w:themeFill="background1" w:themeFillShade="A6"/>
            <w:noWrap/>
            <w:vAlign w:val="center"/>
          </w:tcPr>
          <w:p w14:paraId="256BDEDB" w14:textId="77777777" w:rsidR="006D148B" w:rsidRPr="005B7984" w:rsidRDefault="006D148B" w:rsidP="009E3B2F">
            <w:pPr>
              <w:spacing w:after="120" w:line="240" w:lineRule="auto"/>
              <w:jc w:val="center"/>
              <w:rPr>
                <w:rFonts w:ascii="Futura Std Condensed Light" w:eastAsia="Calibri" w:hAnsi="Futura Std Condensed Light" w:cs="Calibri"/>
                <w:sz w:val="20"/>
                <w:szCs w:val="20"/>
              </w:rPr>
            </w:pPr>
            <w:r w:rsidRPr="005B7984">
              <w:rPr>
                <w:rFonts w:ascii="Futura Std Condensed Light" w:eastAsia="Calibri" w:hAnsi="Futura Std Condensed Light" w:cs="Calibri"/>
                <w:sz w:val="20"/>
                <w:szCs w:val="20"/>
              </w:rPr>
              <w:t>6</w:t>
            </w:r>
          </w:p>
        </w:tc>
        <w:tc>
          <w:tcPr>
            <w:tcW w:w="439" w:type="dxa"/>
            <w:shd w:val="clear" w:color="auto" w:fill="A6A6A6" w:themeFill="background1" w:themeFillShade="A6"/>
            <w:noWrap/>
            <w:vAlign w:val="center"/>
          </w:tcPr>
          <w:p w14:paraId="365136B9" w14:textId="77777777" w:rsidR="006D148B" w:rsidRPr="005B7984" w:rsidRDefault="006D148B" w:rsidP="009E3B2F">
            <w:pPr>
              <w:spacing w:after="120" w:line="240" w:lineRule="auto"/>
              <w:jc w:val="center"/>
              <w:rPr>
                <w:rFonts w:ascii="Futura Std Condensed Light" w:eastAsia="Calibri" w:hAnsi="Futura Std Condensed Light" w:cs="Calibri"/>
                <w:sz w:val="20"/>
                <w:szCs w:val="20"/>
              </w:rPr>
            </w:pPr>
            <w:r w:rsidRPr="005B7984">
              <w:rPr>
                <w:rFonts w:ascii="Futura Std Condensed Light" w:eastAsia="Calibri" w:hAnsi="Futura Std Condensed Light" w:cs="Calibri"/>
                <w:sz w:val="20"/>
                <w:szCs w:val="20"/>
              </w:rPr>
              <w:t>10</w:t>
            </w:r>
          </w:p>
        </w:tc>
        <w:tc>
          <w:tcPr>
            <w:tcW w:w="606" w:type="dxa"/>
            <w:shd w:val="clear" w:color="auto" w:fill="A6A6A6" w:themeFill="background1" w:themeFillShade="A6"/>
            <w:noWrap/>
            <w:vAlign w:val="center"/>
          </w:tcPr>
          <w:p w14:paraId="64AD35C4" w14:textId="77777777" w:rsidR="006D148B" w:rsidRPr="005B7984" w:rsidRDefault="006D148B" w:rsidP="009E3B2F">
            <w:pPr>
              <w:spacing w:after="120" w:line="240" w:lineRule="auto"/>
              <w:jc w:val="center"/>
              <w:rPr>
                <w:rFonts w:ascii="Futura Std Condensed Light" w:eastAsia="Calibri" w:hAnsi="Futura Std Condensed Light" w:cs="Calibri"/>
                <w:sz w:val="20"/>
                <w:szCs w:val="20"/>
              </w:rPr>
            </w:pPr>
            <w:r w:rsidRPr="005B7984">
              <w:rPr>
                <w:rFonts w:ascii="Futura Std Condensed Light" w:eastAsia="Calibri" w:hAnsi="Futura Std Condensed Light" w:cs="Calibri"/>
                <w:sz w:val="20"/>
                <w:szCs w:val="20"/>
              </w:rPr>
              <w:t>76</w:t>
            </w:r>
          </w:p>
        </w:tc>
        <w:tc>
          <w:tcPr>
            <w:tcW w:w="1718" w:type="dxa"/>
            <w:shd w:val="clear" w:color="auto" w:fill="A6A6A6" w:themeFill="background1" w:themeFillShade="A6"/>
            <w:noWrap/>
            <w:vAlign w:val="center"/>
          </w:tcPr>
          <w:p w14:paraId="63F482E2" w14:textId="77777777" w:rsidR="006D148B" w:rsidRPr="005B7984" w:rsidRDefault="006D148B" w:rsidP="009E3B2F">
            <w:pPr>
              <w:spacing w:after="120" w:line="240" w:lineRule="auto"/>
              <w:jc w:val="right"/>
              <w:rPr>
                <w:rFonts w:ascii="Futura Std Condensed Light" w:eastAsia="Calibri" w:hAnsi="Futura Std Condensed Light" w:cs="Calibri"/>
                <w:sz w:val="20"/>
                <w:szCs w:val="20"/>
              </w:rPr>
            </w:pPr>
            <w:r w:rsidRPr="005B7984">
              <w:rPr>
                <w:rFonts w:ascii="Futura Std Condensed Light" w:eastAsia="Calibri" w:hAnsi="Futura Std Condensed Light" w:cs="Calibri"/>
                <w:sz w:val="20"/>
                <w:szCs w:val="20"/>
              </w:rPr>
              <w:t>$280,184,708.59</w:t>
            </w:r>
          </w:p>
        </w:tc>
        <w:tc>
          <w:tcPr>
            <w:tcW w:w="1317" w:type="dxa"/>
            <w:shd w:val="clear" w:color="auto" w:fill="A6A6A6" w:themeFill="background1" w:themeFillShade="A6"/>
            <w:vAlign w:val="center"/>
            <w:hideMark/>
          </w:tcPr>
          <w:p w14:paraId="364DFA69" w14:textId="77777777" w:rsidR="006D148B" w:rsidRPr="005B7984" w:rsidRDefault="006D148B" w:rsidP="009E3B2F">
            <w:pPr>
              <w:spacing w:after="120" w:line="240" w:lineRule="auto"/>
              <w:jc w:val="center"/>
              <w:rPr>
                <w:rFonts w:ascii="Futura Std Condensed Light" w:eastAsia="Calibri" w:hAnsi="Futura Std Condensed Light" w:cs="Calibri"/>
                <w:sz w:val="20"/>
                <w:szCs w:val="20"/>
              </w:rPr>
            </w:pPr>
            <w:r w:rsidRPr="005B7984">
              <w:rPr>
                <w:rFonts w:ascii="Futura Std Condensed Light" w:eastAsia="Calibri" w:hAnsi="Futura Std Condensed Light" w:cs="Calibri"/>
                <w:sz w:val="20"/>
                <w:szCs w:val="20"/>
              </w:rPr>
              <w:t>BÁSICO </w:t>
            </w:r>
          </w:p>
        </w:tc>
      </w:tr>
      <w:tr w:rsidR="006D148B" w:rsidRPr="005B7984" w14:paraId="565A84E8" w14:textId="77777777" w:rsidTr="009E3B2F">
        <w:trPr>
          <w:trHeight w:val="268"/>
          <w:jc w:val="center"/>
        </w:trPr>
        <w:tc>
          <w:tcPr>
            <w:tcW w:w="3335" w:type="dxa"/>
            <w:shd w:val="clear" w:color="auto" w:fill="auto"/>
            <w:vAlign w:val="center"/>
          </w:tcPr>
          <w:p w14:paraId="7509A438" w14:textId="1D418C78" w:rsidR="006D148B" w:rsidRPr="005B7984" w:rsidRDefault="000A1C61" w:rsidP="00FF77CB">
            <w:pPr>
              <w:spacing w:after="120" w:line="240" w:lineRule="auto"/>
              <w:jc w:val="left"/>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Fondo d</w:t>
            </w:r>
            <w:r w:rsidRPr="005B7984">
              <w:rPr>
                <w:rFonts w:ascii="Futura Std Condensed Light" w:eastAsia="Calibri" w:hAnsi="Futura Std Condensed Light" w:cs="Calibri"/>
                <w:sz w:val="20"/>
                <w:szCs w:val="20"/>
              </w:rPr>
              <w:t xml:space="preserve">e Aportaciones Múltiples Nivel Media Superior </w:t>
            </w:r>
            <w:r w:rsidR="006D148B" w:rsidRPr="005B7984">
              <w:rPr>
                <w:rFonts w:ascii="Futura Std Condensed Light" w:eastAsia="Calibri" w:hAnsi="Futura Std Condensed Light" w:cs="Calibri"/>
                <w:sz w:val="20"/>
                <w:szCs w:val="20"/>
              </w:rPr>
              <w:t>FAM</w:t>
            </w:r>
          </w:p>
        </w:tc>
        <w:tc>
          <w:tcPr>
            <w:tcW w:w="606" w:type="dxa"/>
            <w:shd w:val="clear" w:color="auto" w:fill="auto"/>
            <w:noWrap/>
            <w:vAlign w:val="center"/>
          </w:tcPr>
          <w:p w14:paraId="0DEDDC27" w14:textId="77777777" w:rsidR="006D148B" w:rsidRPr="005B7984" w:rsidRDefault="006D148B" w:rsidP="009E3B2F">
            <w:pPr>
              <w:spacing w:after="120" w:line="240" w:lineRule="auto"/>
              <w:jc w:val="center"/>
              <w:rPr>
                <w:rFonts w:ascii="Futura Std Condensed Light" w:eastAsia="Calibri" w:hAnsi="Futura Std Condensed Light" w:cs="Calibri"/>
                <w:sz w:val="20"/>
                <w:szCs w:val="20"/>
              </w:rPr>
            </w:pPr>
            <w:r w:rsidRPr="005B7984">
              <w:rPr>
                <w:rFonts w:ascii="Futura Std Condensed Light" w:eastAsia="Calibri" w:hAnsi="Futura Std Condensed Light" w:cs="Calibri"/>
                <w:sz w:val="20"/>
                <w:szCs w:val="20"/>
              </w:rPr>
              <w:t>7</w:t>
            </w:r>
          </w:p>
        </w:tc>
        <w:tc>
          <w:tcPr>
            <w:tcW w:w="606" w:type="dxa"/>
            <w:shd w:val="clear" w:color="auto" w:fill="auto"/>
            <w:noWrap/>
            <w:vAlign w:val="center"/>
          </w:tcPr>
          <w:p w14:paraId="7923758B" w14:textId="77777777" w:rsidR="006D148B" w:rsidRPr="005B7984" w:rsidRDefault="006D148B" w:rsidP="009E3B2F">
            <w:pPr>
              <w:spacing w:after="120" w:line="240" w:lineRule="auto"/>
              <w:jc w:val="center"/>
              <w:rPr>
                <w:rFonts w:ascii="Futura Std Condensed Light" w:eastAsia="Calibri" w:hAnsi="Futura Std Condensed Light" w:cs="Calibri"/>
                <w:sz w:val="20"/>
                <w:szCs w:val="20"/>
              </w:rPr>
            </w:pPr>
            <w:r w:rsidRPr="005B7984">
              <w:rPr>
                <w:rFonts w:ascii="Futura Std Condensed Light" w:eastAsia="Calibri" w:hAnsi="Futura Std Condensed Light" w:cs="Calibri"/>
                <w:sz w:val="20"/>
                <w:szCs w:val="20"/>
              </w:rPr>
              <w:t>2</w:t>
            </w:r>
          </w:p>
        </w:tc>
        <w:tc>
          <w:tcPr>
            <w:tcW w:w="425" w:type="dxa"/>
            <w:shd w:val="clear" w:color="auto" w:fill="auto"/>
            <w:noWrap/>
            <w:vAlign w:val="center"/>
          </w:tcPr>
          <w:p w14:paraId="60614A3C" w14:textId="77777777" w:rsidR="006D148B" w:rsidRPr="005B7984" w:rsidRDefault="006D148B" w:rsidP="009E3B2F">
            <w:pPr>
              <w:spacing w:after="120" w:line="240" w:lineRule="auto"/>
              <w:jc w:val="center"/>
              <w:rPr>
                <w:rFonts w:ascii="Futura Std Condensed Light" w:eastAsia="Calibri" w:hAnsi="Futura Std Condensed Light" w:cs="Calibri"/>
                <w:sz w:val="20"/>
                <w:szCs w:val="20"/>
              </w:rPr>
            </w:pPr>
            <w:r w:rsidRPr="005B7984">
              <w:rPr>
                <w:rFonts w:ascii="Futura Std Condensed Light" w:eastAsia="Calibri" w:hAnsi="Futura Std Condensed Light" w:cs="Calibri"/>
                <w:sz w:val="20"/>
                <w:szCs w:val="20"/>
              </w:rPr>
              <w:t>2</w:t>
            </w:r>
          </w:p>
        </w:tc>
        <w:tc>
          <w:tcPr>
            <w:tcW w:w="439" w:type="dxa"/>
            <w:shd w:val="clear" w:color="auto" w:fill="auto"/>
            <w:noWrap/>
            <w:vAlign w:val="center"/>
          </w:tcPr>
          <w:p w14:paraId="0F69B9A4" w14:textId="77777777" w:rsidR="006D148B" w:rsidRPr="005B7984" w:rsidRDefault="006D148B" w:rsidP="009E3B2F">
            <w:pPr>
              <w:spacing w:after="120" w:line="240" w:lineRule="auto"/>
              <w:jc w:val="center"/>
              <w:rPr>
                <w:rFonts w:ascii="Futura Std Condensed Light" w:eastAsia="Calibri" w:hAnsi="Futura Std Condensed Light" w:cs="Calibri"/>
                <w:sz w:val="20"/>
                <w:szCs w:val="20"/>
              </w:rPr>
            </w:pPr>
            <w:r w:rsidRPr="005B7984">
              <w:rPr>
                <w:rFonts w:ascii="Futura Std Condensed Light" w:eastAsia="Calibri" w:hAnsi="Futura Std Condensed Light" w:cs="Calibri"/>
                <w:sz w:val="20"/>
                <w:szCs w:val="20"/>
              </w:rPr>
              <w:t>2</w:t>
            </w:r>
          </w:p>
        </w:tc>
        <w:tc>
          <w:tcPr>
            <w:tcW w:w="606" w:type="dxa"/>
            <w:shd w:val="clear" w:color="auto" w:fill="auto"/>
            <w:noWrap/>
            <w:vAlign w:val="center"/>
          </w:tcPr>
          <w:p w14:paraId="660373E2" w14:textId="77777777" w:rsidR="006D148B" w:rsidRPr="005B7984" w:rsidRDefault="006D148B" w:rsidP="009E3B2F">
            <w:pPr>
              <w:spacing w:after="120" w:line="240" w:lineRule="auto"/>
              <w:jc w:val="center"/>
              <w:rPr>
                <w:rFonts w:ascii="Futura Std Condensed Light" w:eastAsia="Calibri" w:hAnsi="Futura Std Condensed Light" w:cs="Calibri"/>
                <w:sz w:val="20"/>
                <w:szCs w:val="20"/>
              </w:rPr>
            </w:pPr>
            <w:r w:rsidRPr="005B7984">
              <w:rPr>
                <w:rFonts w:ascii="Futura Std Condensed Light" w:eastAsia="Calibri" w:hAnsi="Futura Std Condensed Light" w:cs="Calibri"/>
                <w:sz w:val="20"/>
                <w:szCs w:val="20"/>
              </w:rPr>
              <w:t>3</w:t>
            </w:r>
          </w:p>
        </w:tc>
        <w:tc>
          <w:tcPr>
            <w:tcW w:w="1718" w:type="dxa"/>
            <w:shd w:val="clear" w:color="auto" w:fill="auto"/>
            <w:noWrap/>
            <w:vAlign w:val="center"/>
          </w:tcPr>
          <w:p w14:paraId="2D81A4DB" w14:textId="77777777" w:rsidR="006D148B" w:rsidRPr="005B7984" w:rsidRDefault="006D148B" w:rsidP="009E3B2F">
            <w:pPr>
              <w:spacing w:after="120" w:line="240" w:lineRule="auto"/>
              <w:jc w:val="right"/>
              <w:rPr>
                <w:rFonts w:ascii="Futura Std Condensed Light" w:eastAsia="Calibri" w:hAnsi="Futura Std Condensed Light" w:cs="Calibri"/>
                <w:sz w:val="20"/>
                <w:szCs w:val="20"/>
              </w:rPr>
            </w:pPr>
            <w:r w:rsidRPr="005B7984">
              <w:rPr>
                <w:rFonts w:ascii="Futura Std Condensed Light" w:eastAsia="Calibri" w:hAnsi="Futura Std Condensed Light" w:cs="Calibri"/>
                <w:sz w:val="20"/>
                <w:szCs w:val="20"/>
              </w:rPr>
              <w:t>$6,387,516.99</w:t>
            </w:r>
          </w:p>
          <w:p w14:paraId="619E33C8" w14:textId="77777777" w:rsidR="006D148B" w:rsidRPr="005B7984" w:rsidRDefault="006D148B" w:rsidP="009E3B2F">
            <w:pPr>
              <w:spacing w:after="120" w:line="240" w:lineRule="auto"/>
              <w:jc w:val="right"/>
              <w:rPr>
                <w:rFonts w:ascii="Futura Std Condensed Light" w:eastAsia="Calibri" w:hAnsi="Futura Std Condensed Light" w:cs="Calibri"/>
                <w:sz w:val="20"/>
                <w:szCs w:val="20"/>
              </w:rPr>
            </w:pPr>
          </w:p>
        </w:tc>
        <w:tc>
          <w:tcPr>
            <w:tcW w:w="1317" w:type="dxa"/>
            <w:shd w:val="clear" w:color="auto" w:fill="auto"/>
            <w:vAlign w:val="center"/>
            <w:hideMark/>
          </w:tcPr>
          <w:p w14:paraId="0D3571C7" w14:textId="77777777" w:rsidR="006D148B" w:rsidRPr="005B7984" w:rsidRDefault="006D148B" w:rsidP="009E3B2F">
            <w:pPr>
              <w:spacing w:after="120" w:line="240" w:lineRule="auto"/>
              <w:jc w:val="center"/>
              <w:rPr>
                <w:rFonts w:ascii="Futura Std Condensed Light" w:eastAsia="Calibri" w:hAnsi="Futura Std Condensed Light" w:cs="Calibri"/>
                <w:sz w:val="20"/>
                <w:szCs w:val="20"/>
              </w:rPr>
            </w:pPr>
            <w:r w:rsidRPr="005B7984">
              <w:rPr>
                <w:rFonts w:ascii="Futura Std Condensed Light" w:eastAsia="Calibri" w:hAnsi="Futura Std Condensed Light" w:cs="Calibri"/>
                <w:sz w:val="20"/>
                <w:szCs w:val="20"/>
              </w:rPr>
              <w:t>MEDIA</w:t>
            </w:r>
          </w:p>
        </w:tc>
      </w:tr>
      <w:tr w:rsidR="006D148B" w:rsidRPr="005B7984" w14:paraId="7829831E" w14:textId="77777777" w:rsidTr="009E3B2F">
        <w:trPr>
          <w:trHeight w:val="304"/>
          <w:jc w:val="center"/>
        </w:trPr>
        <w:tc>
          <w:tcPr>
            <w:tcW w:w="3335" w:type="dxa"/>
            <w:shd w:val="clear" w:color="auto" w:fill="auto"/>
            <w:vAlign w:val="center"/>
          </w:tcPr>
          <w:p w14:paraId="69A99929" w14:textId="6699DE52" w:rsidR="006D148B" w:rsidRPr="005B7984" w:rsidRDefault="000A1C61" w:rsidP="00FF77CB">
            <w:pPr>
              <w:spacing w:after="120" w:line="240" w:lineRule="auto"/>
              <w:jc w:val="left"/>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Fondo para el Fortalecimiento d</w:t>
            </w:r>
            <w:r w:rsidRPr="005B7984">
              <w:rPr>
                <w:rFonts w:ascii="Futura Std Condensed Light" w:eastAsia="Calibri" w:hAnsi="Futura Std Condensed Light" w:cs="Calibri"/>
                <w:sz w:val="20"/>
                <w:szCs w:val="20"/>
              </w:rPr>
              <w:t xml:space="preserve">e </w:t>
            </w:r>
            <w:r>
              <w:rPr>
                <w:rFonts w:ascii="Futura Std Condensed Light" w:eastAsia="Calibri" w:hAnsi="Futura Std Condensed Light" w:cs="Calibri"/>
                <w:sz w:val="20"/>
                <w:szCs w:val="20"/>
              </w:rPr>
              <w:t>l</w:t>
            </w:r>
            <w:r w:rsidRPr="005B7984">
              <w:rPr>
                <w:rFonts w:ascii="Futura Std Condensed Light" w:eastAsia="Calibri" w:hAnsi="Futura Std Condensed Light" w:cs="Calibri"/>
                <w:sz w:val="20"/>
                <w:szCs w:val="20"/>
              </w:rPr>
              <w:t>as Entidades Federativas</w:t>
            </w:r>
          </w:p>
        </w:tc>
        <w:tc>
          <w:tcPr>
            <w:tcW w:w="606" w:type="dxa"/>
            <w:shd w:val="clear" w:color="auto" w:fill="auto"/>
            <w:noWrap/>
            <w:vAlign w:val="center"/>
          </w:tcPr>
          <w:p w14:paraId="2A65B4C7" w14:textId="77777777" w:rsidR="006D148B" w:rsidRPr="005B7984" w:rsidRDefault="006D148B" w:rsidP="009E3B2F">
            <w:pPr>
              <w:spacing w:after="120" w:line="240" w:lineRule="auto"/>
              <w:jc w:val="center"/>
              <w:rPr>
                <w:rFonts w:ascii="Futura Std Condensed Light" w:eastAsia="Calibri" w:hAnsi="Futura Std Condensed Light" w:cs="Calibri"/>
                <w:sz w:val="20"/>
                <w:szCs w:val="20"/>
              </w:rPr>
            </w:pPr>
            <w:r w:rsidRPr="005B7984">
              <w:rPr>
                <w:rFonts w:ascii="Futura Std Condensed Light" w:eastAsia="Calibri" w:hAnsi="Futura Std Condensed Light" w:cs="Calibri"/>
                <w:sz w:val="20"/>
                <w:szCs w:val="20"/>
              </w:rPr>
              <w:t>5</w:t>
            </w:r>
          </w:p>
        </w:tc>
        <w:tc>
          <w:tcPr>
            <w:tcW w:w="606" w:type="dxa"/>
            <w:shd w:val="clear" w:color="auto" w:fill="auto"/>
            <w:noWrap/>
            <w:vAlign w:val="center"/>
          </w:tcPr>
          <w:p w14:paraId="1AD50BF0" w14:textId="77777777" w:rsidR="006D148B" w:rsidRPr="005B7984" w:rsidRDefault="006D148B" w:rsidP="009E3B2F">
            <w:pPr>
              <w:spacing w:after="120" w:line="240" w:lineRule="auto"/>
              <w:jc w:val="center"/>
              <w:rPr>
                <w:rFonts w:ascii="Futura Std Condensed Light" w:eastAsia="Calibri" w:hAnsi="Futura Std Condensed Light" w:cs="Calibri"/>
                <w:sz w:val="20"/>
                <w:szCs w:val="20"/>
              </w:rPr>
            </w:pPr>
            <w:r w:rsidRPr="005B7984">
              <w:rPr>
                <w:rFonts w:ascii="Futura Std Condensed Light" w:eastAsia="Calibri" w:hAnsi="Futura Std Condensed Light" w:cs="Calibri"/>
                <w:sz w:val="20"/>
                <w:szCs w:val="20"/>
              </w:rPr>
              <w:t>0</w:t>
            </w:r>
          </w:p>
        </w:tc>
        <w:tc>
          <w:tcPr>
            <w:tcW w:w="425" w:type="dxa"/>
            <w:shd w:val="clear" w:color="auto" w:fill="auto"/>
            <w:noWrap/>
            <w:vAlign w:val="center"/>
          </w:tcPr>
          <w:p w14:paraId="7A37C143" w14:textId="77777777" w:rsidR="006D148B" w:rsidRPr="005B7984" w:rsidRDefault="006D148B" w:rsidP="009E3B2F">
            <w:pPr>
              <w:spacing w:after="120" w:line="240" w:lineRule="auto"/>
              <w:jc w:val="center"/>
              <w:rPr>
                <w:rFonts w:ascii="Futura Std Condensed Light" w:eastAsia="Calibri" w:hAnsi="Futura Std Condensed Light" w:cs="Calibri"/>
                <w:sz w:val="20"/>
                <w:szCs w:val="20"/>
              </w:rPr>
            </w:pPr>
            <w:r w:rsidRPr="005B7984">
              <w:rPr>
                <w:rFonts w:ascii="Futura Std Condensed Light" w:eastAsia="Calibri" w:hAnsi="Futura Std Condensed Light" w:cs="Calibri"/>
                <w:sz w:val="20"/>
                <w:szCs w:val="20"/>
              </w:rPr>
              <w:t>0</w:t>
            </w:r>
          </w:p>
        </w:tc>
        <w:tc>
          <w:tcPr>
            <w:tcW w:w="439" w:type="dxa"/>
            <w:shd w:val="clear" w:color="auto" w:fill="auto"/>
            <w:noWrap/>
            <w:vAlign w:val="center"/>
          </w:tcPr>
          <w:p w14:paraId="47FE27B1" w14:textId="77777777" w:rsidR="006D148B" w:rsidRPr="005B7984" w:rsidRDefault="006D148B" w:rsidP="009E3B2F">
            <w:pPr>
              <w:spacing w:after="120" w:line="240" w:lineRule="auto"/>
              <w:jc w:val="center"/>
              <w:rPr>
                <w:rFonts w:ascii="Futura Std Condensed Light" w:eastAsia="Calibri" w:hAnsi="Futura Std Condensed Light" w:cs="Calibri"/>
                <w:sz w:val="20"/>
                <w:szCs w:val="20"/>
              </w:rPr>
            </w:pPr>
            <w:r w:rsidRPr="005B7984">
              <w:rPr>
                <w:rFonts w:ascii="Futura Std Condensed Light" w:eastAsia="Calibri" w:hAnsi="Futura Std Condensed Light" w:cs="Calibri"/>
                <w:sz w:val="20"/>
                <w:szCs w:val="20"/>
              </w:rPr>
              <w:t>0</w:t>
            </w:r>
          </w:p>
        </w:tc>
        <w:tc>
          <w:tcPr>
            <w:tcW w:w="606" w:type="dxa"/>
            <w:shd w:val="clear" w:color="auto" w:fill="auto"/>
            <w:noWrap/>
            <w:vAlign w:val="center"/>
          </w:tcPr>
          <w:p w14:paraId="7C4590FB" w14:textId="77777777" w:rsidR="006D148B" w:rsidRPr="005B7984" w:rsidRDefault="006D148B" w:rsidP="009E3B2F">
            <w:pPr>
              <w:spacing w:after="120" w:line="240" w:lineRule="auto"/>
              <w:jc w:val="center"/>
              <w:rPr>
                <w:rFonts w:ascii="Futura Std Condensed Light" w:eastAsia="Calibri" w:hAnsi="Futura Std Condensed Light" w:cs="Calibri"/>
                <w:sz w:val="20"/>
                <w:szCs w:val="20"/>
              </w:rPr>
            </w:pPr>
            <w:r w:rsidRPr="005B7984">
              <w:rPr>
                <w:rFonts w:ascii="Futura Std Condensed Light" w:eastAsia="Calibri" w:hAnsi="Futura Std Condensed Light" w:cs="Calibri"/>
                <w:sz w:val="20"/>
                <w:szCs w:val="20"/>
              </w:rPr>
              <w:t>0</w:t>
            </w:r>
          </w:p>
        </w:tc>
        <w:tc>
          <w:tcPr>
            <w:tcW w:w="1718" w:type="dxa"/>
            <w:shd w:val="clear" w:color="auto" w:fill="auto"/>
            <w:noWrap/>
            <w:vAlign w:val="center"/>
          </w:tcPr>
          <w:p w14:paraId="13D7EBAA" w14:textId="77777777" w:rsidR="006D148B" w:rsidRPr="005B7984" w:rsidRDefault="006D148B" w:rsidP="009E3B2F">
            <w:pPr>
              <w:spacing w:after="120" w:line="240" w:lineRule="auto"/>
              <w:jc w:val="right"/>
              <w:rPr>
                <w:rFonts w:ascii="Futura Std Condensed Light" w:eastAsia="Calibri" w:hAnsi="Futura Std Condensed Light" w:cs="Calibri"/>
                <w:sz w:val="20"/>
                <w:szCs w:val="20"/>
              </w:rPr>
            </w:pPr>
            <w:r w:rsidRPr="005B7984">
              <w:rPr>
                <w:rFonts w:ascii="Futura Std Condensed Light" w:eastAsia="Calibri" w:hAnsi="Futura Std Condensed Light" w:cs="Calibri"/>
                <w:sz w:val="20"/>
                <w:szCs w:val="20"/>
              </w:rPr>
              <w:t>$2,499,504.29</w:t>
            </w:r>
          </w:p>
        </w:tc>
        <w:tc>
          <w:tcPr>
            <w:tcW w:w="1317" w:type="dxa"/>
            <w:shd w:val="clear" w:color="auto" w:fill="auto"/>
            <w:vAlign w:val="center"/>
            <w:hideMark/>
          </w:tcPr>
          <w:p w14:paraId="5D78A39C" w14:textId="77777777" w:rsidR="006D148B" w:rsidRPr="005B7984" w:rsidRDefault="006D148B" w:rsidP="009E3B2F">
            <w:pPr>
              <w:spacing w:after="120" w:line="240" w:lineRule="auto"/>
              <w:jc w:val="center"/>
              <w:rPr>
                <w:rFonts w:ascii="Futura Std Condensed Light" w:eastAsia="Calibri" w:hAnsi="Futura Std Condensed Light" w:cs="Calibri"/>
                <w:sz w:val="20"/>
                <w:szCs w:val="20"/>
              </w:rPr>
            </w:pPr>
            <w:r w:rsidRPr="005B7984">
              <w:rPr>
                <w:rFonts w:ascii="Futura Std Condensed Light" w:eastAsia="Calibri" w:hAnsi="Futura Std Condensed Light" w:cs="Calibri"/>
                <w:sz w:val="20"/>
                <w:szCs w:val="20"/>
              </w:rPr>
              <w:t>MEDIA</w:t>
            </w:r>
          </w:p>
        </w:tc>
      </w:tr>
      <w:tr w:rsidR="006D148B" w:rsidRPr="005B7984" w14:paraId="548D8A62" w14:textId="77777777" w:rsidTr="009E3B2F">
        <w:trPr>
          <w:trHeight w:val="335"/>
          <w:jc w:val="center"/>
        </w:trPr>
        <w:tc>
          <w:tcPr>
            <w:tcW w:w="3335" w:type="dxa"/>
            <w:shd w:val="clear" w:color="auto" w:fill="auto"/>
            <w:vAlign w:val="center"/>
          </w:tcPr>
          <w:p w14:paraId="6B9801DE" w14:textId="48EB0B8F" w:rsidR="006D148B" w:rsidRPr="005B7984" w:rsidRDefault="000A1C61" w:rsidP="00FF77CB">
            <w:pPr>
              <w:spacing w:after="120" w:line="240" w:lineRule="auto"/>
              <w:jc w:val="left"/>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Fondo Concursable d</w:t>
            </w:r>
            <w:r w:rsidRPr="005B7984">
              <w:rPr>
                <w:rFonts w:ascii="Futura Std Condensed Light" w:eastAsia="Calibri" w:hAnsi="Futura Std Condensed Light" w:cs="Calibri"/>
                <w:sz w:val="20"/>
                <w:szCs w:val="20"/>
              </w:rPr>
              <w:t>e Inversión</w:t>
            </w:r>
            <w:r>
              <w:rPr>
                <w:rFonts w:ascii="Futura Std Condensed Light" w:eastAsia="Calibri" w:hAnsi="Futura Std Condensed Light" w:cs="Calibri"/>
                <w:sz w:val="20"/>
                <w:szCs w:val="20"/>
              </w:rPr>
              <w:t xml:space="preserve"> d</w:t>
            </w:r>
            <w:r w:rsidRPr="005B7984">
              <w:rPr>
                <w:rFonts w:ascii="Futura Std Condensed Light" w:eastAsia="Calibri" w:hAnsi="Futura Std Condensed Light" w:cs="Calibri"/>
                <w:sz w:val="20"/>
                <w:szCs w:val="20"/>
              </w:rPr>
              <w:t xml:space="preserve">e Infraestructura </w:t>
            </w:r>
            <w:r>
              <w:rPr>
                <w:rFonts w:ascii="Futura Std Condensed Light" w:eastAsia="Calibri" w:hAnsi="Futura Std Condensed Light" w:cs="Calibri"/>
                <w:sz w:val="20"/>
                <w:szCs w:val="20"/>
              </w:rPr>
              <w:t>p</w:t>
            </w:r>
            <w:r w:rsidRPr="005B7984">
              <w:rPr>
                <w:rFonts w:ascii="Futura Std Condensed Light" w:eastAsia="Calibri" w:hAnsi="Futura Std Condensed Light" w:cs="Calibri"/>
                <w:sz w:val="20"/>
                <w:szCs w:val="20"/>
              </w:rPr>
              <w:t xml:space="preserve">ara Educación Media Superior </w:t>
            </w:r>
            <w:r w:rsidR="006D148B" w:rsidRPr="005B7984">
              <w:rPr>
                <w:rFonts w:ascii="Futura Std Condensed Light" w:eastAsia="Calibri" w:hAnsi="Futura Std Condensed Light" w:cs="Calibri"/>
                <w:sz w:val="20"/>
                <w:szCs w:val="20"/>
              </w:rPr>
              <w:t>(FCIIEMS)</w:t>
            </w:r>
          </w:p>
        </w:tc>
        <w:tc>
          <w:tcPr>
            <w:tcW w:w="606" w:type="dxa"/>
            <w:shd w:val="clear" w:color="auto" w:fill="auto"/>
            <w:noWrap/>
            <w:vAlign w:val="center"/>
          </w:tcPr>
          <w:p w14:paraId="418C981C" w14:textId="77777777" w:rsidR="006D148B" w:rsidRPr="005B7984" w:rsidRDefault="006D148B" w:rsidP="009E3B2F">
            <w:pPr>
              <w:spacing w:after="120" w:line="240" w:lineRule="auto"/>
              <w:jc w:val="center"/>
              <w:rPr>
                <w:rFonts w:ascii="Futura Std Condensed Light" w:eastAsia="Calibri" w:hAnsi="Futura Std Condensed Light" w:cs="Calibri"/>
                <w:sz w:val="20"/>
                <w:szCs w:val="20"/>
              </w:rPr>
            </w:pPr>
            <w:r w:rsidRPr="005B7984">
              <w:rPr>
                <w:rFonts w:ascii="Futura Std Condensed Light" w:eastAsia="Calibri" w:hAnsi="Futura Std Condensed Light" w:cs="Calibri"/>
                <w:sz w:val="20"/>
                <w:szCs w:val="20"/>
              </w:rPr>
              <w:t>7</w:t>
            </w:r>
          </w:p>
        </w:tc>
        <w:tc>
          <w:tcPr>
            <w:tcW w:w="606" w:type="dxa"/>
            <w:shd w:val="clear" w:color="auto" w:fill="auto"/>
            <w:noWrap/>
            <w:vAlign w:val="center"/>
          </w:tcPr>
          <w:p w14:paraId="49B44AC1" w14:textId="77777777" w:rsidR="006D148B" w:rsidRPr="005B7984" w:rsidRDefault="006D148B" w:rsidP="009E3B2F">
            <w:pPr>
              <w:spacing w:after="120" w:line="240" w:lineRule="auto"/>
              <w:jc w:val="center"/>
              <w:rPr>
                <w:rFonts w:ascii="Futura Std Condensed Light" w:eastAsia="Calibri" w:hAnsi="Futura Std Condensed Light" w:cs="Calibri"/>
                <w:sz w:val="20"/>
                <w:szCs w:val="20"/>
              </w:rPr>
            </w:pPr>
            <w:r w:rsidRPr="005B7984">
              <w:rPr>
                <w:rFonts w:ascii="Futura Std Condensed Light" w:eastAsia="Calibri" w:hAnsi="Futura Std Condensed Light" w:cs="Calibri"/>
                <w:sz w:val="20"/>
                <w:szCs w:val="20"/>
              </w:rPr>
              <w:t>18</w:t>
            </w:r>
          </w:p>
        </w:tc>
        <w:tc>
          <w:tcPr>
            <w:tcW w:w="425" w:type="dxa"/>
            <w:shd w:val="clear" w:color="auto" w:fill="auto"/>
            <w:noWrap/>
            <w:vAlign w:val="center"/>
          </w:tcPr>
          <w:p w14:paraId="24A4AD20" w14:textId="77777777" w:rsidR="006D148B" w:rsidRPr="005B7984" w:rsidRDefault="006D148B" w:rsidP="009E3B2F">
            <w:pPr>
              <w:spacing w:after="120" w:line="240" w:lineRule="auto"/>
              <w:jc w:val="center"/>
              <w:rPr>
                <w:rFonts w:ascii="Futura Std Condensed Light" w:eastAsia="Calibri" w:hAnsi="Futura Std Condensed Light" w:cs="Calibri"/>
                <w:sz w:val="20"/>
                <w:szCs w:val="20"/>
              </w:rPr>
            </w:pPr>
            <w:r w:rsidRPr="005B7984">
              <w:rPr>
                <w:rFonts w:ascii="Futura Std Condensed Light" w:eastAsia="Calibri" w:hAnsi="Futura Std Condensed Light" w:cs="Calibri"/>
                <w:sz w:val="20"/>
                <w:szCs w:val="20"/>
              </w:rPr>
              <w:t>4</w:t>
            </w:r>
          </w:p>
        </w:tc>
        <w:tc>
          <w:tcPr>
            <w:tcW w:w="439" w:type="dxa"/>
            <w:shd w:val="clear" w:color="auto" w:fill="auto"/>
            <w:noWrap/>
            <w:vAlign w:val="center"/>
          </w:tcPr>
          <w:p w14:paraId="5C926463" w14:textId="77777777" w:rsidR="006D148B" w:rsidRPr="005B7984" w:rsidRDefault="006D148B" w:rsidP="009E3B2F">
            <w:pPr>
              <w:spacing w:after="120" w:line="240" w:lineRule="auto"/>
              <w:jc w:val="center"/>
              <w:rPr>
                <w:rFonts w:ascii="Futura Std Condensed Light" w:eastAsia="Calibri" w:hAnsi="Futura Std Condensed Light" w:cs="Calibri"/>
                <w:sz w:val="20"/>
                <w:szCs w:val="20"/>
              </w:rPr>
            </w:pPr>
            <w:r w:rsidRPr="005B7984">
              <w:rPr>
                <w:rFonts w:ascii="Futura Std Condensed Light" w:eastAsia="Calibri" w:hAnsi="Futura Std Condensed Light" w:cs="Calibri"/>
                <w:sz w:val="20"/>
                <w:szCs w:val="20"/>
              </w:rPr>
              <w:t>0</w:t>
            </w:r>
          </w:p>
        </w:tc>
        <w:tc>
          <w:tcPr>
            <w:tcW w:w="606" w:type="dxa"/>
            <w:shd w:val="clear" w:color="auto" w:fill="auto"/>
            <w:noWrap/>
            <w:vAlign w:val="center"/>
          </w:tcPr>
          <w:p w14:paraId="772219E8" w14:textId="77777777" w:rsidR="006D148B" w:rsidRPr="005B7984" w:rsidRDefault="006D148B" w:rsidP="009E3B2F">
            <w:pPr>
              <w:spacing w:after="120" w:line="240" w:lineRule="auto"/>
              <w:jc w:val="center"/>
              <w:rPr>
                <w:rFonts w:ascii="Futura Std Condensed Light" w:eastAsia="Calibri" w:hAnsi="Futura Std Condensed Light" w:cs="Calibri"/>
                <w:sz w:val="20"/>
                <w:szCs w:val="20"/>
              </w:rPr>
            </w:pPr>
            <w:r w:rsidRPr="005B7984">
              <w:rPr>
                <w:rFonts w:ascii="Futura Std Condensed Light" w:eastAsia="Calibri" w:hAnsi="Futura Std Condensed Light" w:cs="Calibri"/>
                <w:sz w:val="20"/>
                <w:szCs w:val="20"/>
              </w:rPr>
              <w:t>7</w:t>
            </w:r>
          </w:p>
        </w:tc>
        <w:tc>
          <w:tcPr>
            <w:tcW w:w="1718" w:type="dxa"/>
            <w:shd w:val="clear" w:color="auto" w:fill="auto"/>
            <w:noWrap/>
            <w:vAlign w:val="center"/>
          </w:tcPr>
          <w:p w14:paraId="7248C15B" w14:textId="77777777" w:rsidR="006D148B" w:rsidRPr="005B7984" w:rsidRDefault="006D148B" w:rsidP="009E3B2F">
            <w:pPr>
              <w:spacing w:after="120" w:line="240" w:lineRule="auto"/>
              <w:jc w:val="right"/>
              <w:rPr>
                <w:rFonts w:ascii="Futura Std Condensed Light" w:eastAsia="Calibri" w:hAnsi="Futura Std Condensed Light" w:cs="Calibri"/>
                <w:sz w:val="20"/>
                <w:szCs w:val="20"/>
              </w:rPr>
            </w:pPr>
            <w:r w:rsidRPr="005B7984">
              <w:rPr>
                <w:rFonts w:ascii="Futura Std Condensed Light" w:eastAsia="Calibri" w:hAnsi="Futura Std Condensed Light" w:cs="Calibri"/>
                <w:sz w:val="20"/>
                <w:szCs w:val="20"/>
              </w:rPr>
              <w:t>$17,839,860.99</w:t>
            </w:r>
          </w:p>
        </w:tc>
        <w:tc>
          <w:tcPr>
            <w:tcW w:w="1317" w:type="dxa"/>
            <w:shd w:val="clear" w:color="auto" w:fill="auto"/>
            <w:vAlign w:val="center"/>
            <w:hideMark/>
          </w:tcPr>
          <w:p w14:paraId="6C2EA56F" w14:textId="77777777" w:rsidR="006D148B" w:rsidRPr="005B7984" w:rsidRDefault="006D148B" w:rsidP="009E3B2F">
            <w:pPr>
              <w:spacing w:after="120" w:line="240" w:lineRule="auto"/>
              <w:jc w:val="center"/>
              <w:rPr>
                <w:rFonts w:ascii="Futura Std Condensed Light" w:eastAsia="Calibri" w:hAnsi="Futura Std Condensed Light" w:cs="Calibri"/>
                <w:sz w:val="20"/>
                <w:szCs w:val="20"/>
              </w:rPr>
            </w:pPr>
            <w:r w:rsidRPr="005B7984">
              <w:rPr>
                <w:rFonts w:ascii="Futura Std Condensed Light" w:eastAsia="Calibri" w:hAnsi="Futura Std Condensed Light" w:cs="Calibri"/>
                <w:sz w:val="20"/>
                <w:szCs w:val="20"/>
              </w:rPr>
              <w:t>MEDIA</w:t>
            </w:r>
          </w:p>
        </w:tc>
      </w:tr>
      <w:tr w:rsidR="006D148B" w:rsidRPr="005B7984" w14:paraId="1381F965" w14:textId="77777777" w:rsidTr="000A1C61">
        <w:trPr>
          <w:trHeight w:val="522"/>
          <w:jc w:val="center"/>
        </w:trPr>
        <w:tc>
          <w:tcPr>
            <w:tcW w:w="3335" w:type="dxa"/>
            <w:shd w:val="clear" w:color="auto" w:fill="A6A6A6" w:themeFill="background1" w:themeFillShade="A6"/>
            <w:vAlign w:val="center"/>
            <w:hideMark/>
          </w:tcPr>
          <w:p w14:paraId="5502C391" w14:textId="058233B8" w:rsidR="006D148B" w:rsidRPr="000A1C61" w:rsidRDefault="006D148B" w:rsidP="009E3B2F">
            <w:pPr>
              <w:spacing w:after="120" w:line="240" w:lineRule="auto"/>
              <w:jc w:val="center"/>
              <w:rPr>
                <w:rFonts w:ascii="Futura Std Condensed Light" w:eastAsia="Calibri" w:hAnsi="Futura Std Condensed Light" w:cs="Calibri"/>
                <w:sz w:val="20"/>
                <w:szCs w:val="20"/>
              </w:rPr>
            </w:pPr>
            <w:r w:rsidRPr="000A1C61">
              <w:rPr>
                <w:rFonts w:ascii="Futura Std Condensed Light" w:eastAsia="Calibri" w:hAnsi="Futura Std Condensed Light" w:cs="Calibri"/>
                <w:sz w:val="20"/>
                <w:szCs w:val="20"/>
              </w:rPr>
              <w:t> </w:t>
            </w:r>
            <w:r w:rsidR="000E1F53" w:rsidRPr="000A1C61">
              <w:rPr>
                <w:rFonts w:ascii="Futura Std Condensed Light" w:eastAsia="Calibri" w:hAnsi="Futura Std Condensed Light" w:cs="Calibri"/>
                <w:sz w:val="20"/>
                <w:szCs w:val="20"/>
              </w:rPr>
              <w:t>Total Media Superior</w:t>
            </w:r>
          </w:p>
        </w:tc>
        <w:tc>
          <w:tcPr>
            <w:tcW w:w="606" w:type="dxa"/>
            <w:shd w:val="clear" w:color="auto" w:fill="A6A6A6" w:themeFill="background1" w:themeFillShade="A6"/>
            <w:noWrap/>
            <w:vAlign w:val="center"/>
          </w:tcPr>
          <w:p w14:paraId="66157614" w14:textId="77777777" w:rsidR="006D148B" w:rsidRPr="000A1C61" w:rsidRDefault="006D148B" w:rsidP="009E3B2F">
            <w:pPr>
              <w:spacing w:after="120" w:line="240" w:lineRule="auto"/>
              <w:jc w:val="center"/>
              <w:rPr>
                <w:rFonts w:ascii="Futura Std Condensed Light" w:eastAsia="Calibri" w:hAnsi="Futura Std Condensed Light" w:cs="Calibri"/>
                <w:sz w:val="20"/>
                <w:szCs w:val="20"/>
              </w:rPr>
            </w:pPr>
            <w:r w:rsidRPr="000A1C61">
              <w:rPr>
                <w:rFonts w:ascii="Futura Std Condensed Light" w:eastAsia="Calibri" w:hAnsi="Futura Std Condensed Light" w:cs="Calibri"/>
                <w:sz w:val="20"/>
                <w:szCs w:val="20"/>
              </w:rPr>
              <w:t>19</w:t>
            </w:r>
          </w:p>
        </w:tc>
        <w:tc>
          <w:tcPr>
            <w:tcW w:w="606" w:type="dxa"/>
            <w:shd w:val="clear" w:color="auto" w:fill="A6A6A6" w:themeFill="background1" w:themeFillShade="A6"/>
            <w:noWrap/>
            <w:vAlign w:val="center"/>
          </w:tcPr>
          <w:p w14:paraId="605FC663" w14:textId="77777777" w:rsidR="006D148B" w:rsidRPr="000A1C61" w:rsidRDefault="006D148B" w:rsidP="009E3B2F">
            <w:pPr>
              <w:spacing w:after="120" w:line="240" w:lineRule="auto"/>
              <w:jc w:val="center"/>
              <w:rPr>
                <w:rFonts w:ascii="Futura Std Condensed Light" w:eastAsia="Calibri" w:hAnsi="Futura Std Condensed Light" w:cs="Calibri"/>
                <w:sz w:val="20"/>
                <w:szCs w:val="20"/>
              </w:rPr>
            </w:pPr>
            <w:r w:rsidRPr="000A1C61">
              <w:rPr>
                <w:rFonts w:ascii="Futura Std Condensed Light" w:eastAsia="Calibri" w:hAnsi="Futura Std Condensed Light" w:cs="Calibri"/>
                <w:sz w:val="20"/>
                <w:szCs w:val="20"/>
              </w:rPr>
              <w:t>20</w:t>
            </w:r>
          </w:p>
        </w:tc>
        <w:tc>
          <w:tcPr>
            <w:tcW w:w="425" w:type="dxa"/>
            <w:shd w:val="clear" w:color="auto" w:fill="A6A6A6" w:themeFill="background1" w:themeFillShade="A6"/>
            <w:noWrap/>
            <w:vAlign w:val="center"/>
          </w:tcPr>
          <w:p w14:paraId="554ABE19" w14:textId="77777777" w:rsidR="006D148B" w:rsidRPr="000A1C61" w:rsidRDefault="006D148B" w:rsidP="009E3B2F">
            <w:pPr>
              <w:spacing w:after="120" w:line="240" w:lineRule="auto"/>
              <w:jc w:val="center"/>
              <w:rPr>
                <w:rFonts w:ascii="Futura Std Condensed Light" w:eastAsia="Calibri" w:hAnsi="Futura Std Condensed Light" w:cs="Calibri"/>
                <w:sz w:val="20"/>
                <w:szCs w:val="20"/>
              </w:rPr>
            </w:pPr>
            <w:r w:rsidRPr="000A1C61">
              <w:rPr>
                <w:rFonts w:ascii="Futura Std Condensed Light" w:eastAsia="Calibri" w:hAnsi="Futura Std Condensed Light" w:cs="Calibri"/>
                <w:sz w:val="20"/>
                <w:szCs w:val="20"/>
              </w:rPr>
              <w:t>6</w:t>
            </w:r>
          </w:p>
        </w:tc>
        <w:tc>
          <w:tcPr>
            <w:tcW w:w="439" w:type="dxa"/>
            <w:shd w:val="clear" w:color="auto" w:fill="A6A6A6" w:themeFill="background1" w:themeFillShade="A6"/>
            <w:noWrap/>
            <w:vAlign w:val="center"/>
          </w:tcPr>
          <w:p w14:paraId="2F6BA1C5" w14:textId="77777777" w:rsidR="006D148B" w:rsidRPr="000A1C61" w:rsidRDefault="006D148B" w:rsidP="009E3B2F">
            <w:pPr>
              <w:spacing w:after="120" w:line="240" w:lineRule="auto"/>
              <w:jc w:val="center"/>
              <w:rPr>
                <w:rFonts w:ascii="Futura Std Condensed Light" w:eastAsia="Calibri" w:hAnsi="Futura Std Condensed Light" w:cs="Calibri"/>
                <w:sz w:val="20"/>
                <w:szCs w:val="20"/>
              </w:rPr>
            </w:pPr>
            <w:r w:rsidRPr="000A1C61">
              <w:rPr>
                <w:rFonts w:ascii="Futura Std Condensed Light" w:eastAsia="Calibri" w:hAnsi="Futura Std Condensed Light" w:cs="Calibri"/>
                <w:sz w:val="20"/>
                <w:szCs w:val="20"/>
              </w:rPr>
              <w:t>2</w:t>
            </w:r>
          </w:p>
        </w:tc>
        <w:tc>
          <w:tcPr>
            <w:tcW w:w="606" w:type="dxa"/>
            <w:shd w:val="clear" w:color="auto" w:fill="A6A6A6" w:themeFill="background1" w:themeFillShade="A6"/>
            <w:noWrap/>
            <w:vAlign w:val="center"/>
          </w:tcPr>
          <w:p w14:paraId="4F29D07E" w14:textId="77777777" w:rsidR="006D148B" w:rsidRPr="000A1C61" w:rsidRDefault="006D148B" w:rsidP="009E3B2F">
            <w:pPr>
              <w:spacing w:after="120" w:line="240" w:lineRule="auto"/>
              <w:jc w:val="center"/>
              <w:rPr>
                <w:rFonts w:ascii="Futura Std Condensed Light" w:eastAsia="Calibri" w:hAnsi="Futura Std Condensed Light" w:cs="Calibri"/>
                <w:sz w:val="20"/>
                <w:szCs w:val="20"/>
              </w:rPr>
            </w:pPr>
            <w:r w:rsidRPr="000A1C61">
              <w:rPr>
                <w:rFonts w:ascii="Futura Std Condensed Light" w:eastAsia="Calibri" w:hAnsi="Futura Std Condensed Light" w:cs="Calibri"/>
                <w:sz w:val="20"/>
                <w:szCs w:val="20"/>
              </w:rPr>
              <w:t>10</w:t>
            </w:r>
          </w:p>
        </w:tc>
        <w:tc>
          <w:tcPr>
            <w:tcW w:w="1718" w:type="dxa"/>
            <w:shd w:val="clear" w:color="auto" w:fill="A6A6A6" w:themeFill="background1" w:themeFillShade="A6"/>
            <w:noWrap/>
            <w:vAlign w:val="center"/>
          </w:tcPr>
          <w:p w14:paraId="12304805" w14:textId="77777777" w:rsidR="006D148B" w:rsidRPr="000A1C61" w:rsidRDefault="006D148B" w:rsidP="009E3B2F">
            <w:pPr>
              <w:spacing w:after="120" w:line="240" w:lineRule="auto"/>
              <w:jc w:val="right"/>
              <w:rPr>
                <w:rFonts w:ascii="Futura Std Condensed Light" w:eastAsia="Calibri" w:hAnsi="Futura Std Condensed Light" w:cs="Calibri"/>
                <w:sz w:val="20"/>
                <w:szCs w:val="20"/>
              </w:rPr>
            </w:pPr>
            <w:r w:rsidRPr="000A1C61">
              <w:rPr>
                <w:rFonts w:ascii="Futura Std Condensed Light" w:eastAsia="Calibri" w:hAnsi="Futura Std Condensed Light" w:cs="Calibri"/>
                <w:sz w:val="20"/>
                <w:szCs w:val="20"/>
              </w:rPr>
              <w:t>$26,726,882.27</w:t>
            </w:r>
          </w:p>
        </w:tc>
        <w:tc>
          <w:tcPr>
            <w:tcW w:w="1317" w:type="dxa"/>
            <w:shd w:val="clear" w:color="auto" w:fill="A6A6A6" w:themeFill="background1" w:themeFillShade="A6"/>
            <w:vAlign w:val="center"/>
            <w:hideMark/>
          </w:tcPr>
          <w:p w14:paraId="61479DEA" w14:textId="77777777" w:rsidR="006D148B" w:rsidRPr="000A1C61" w:rsidRDefault="006D148B" w:rsidP="009E3B2F">
            <w:pPr>
              <w:spacing w:after="120" w:line="240" w:lineRule="auto"/>
              <w:jc w:val="center"/>
              <w:rPr>
                <w:rFonts w:ascii="Futura Std Condensed Light" w:eastAsia="Calibri" w:hAnsi="Futura Std Condensed Light" w:cs="Calibri"/>
                <w:sz w:val="20"/>
                <w:szCs w:val="20"/>
              </w:rPr>
            </w:pPr>
            <w:r w:rsidRPr="000A1C61">
              <w:rPr>
                <w:rFonts w:ascii="Futura Std Condensed Light" w:eastAsia="Calibri" w:hAnsi="Futura Std Condensed Light" w:cs="Calibri"/>
                <w:sz w:val="20"/>
                <w:szCs w:val="20"/>
              </w:rPr>
              <w:t>MEDIA </w:t>
            </w:r>
          </w:p>
        </w:tc>
      </w:tr>
      <w:tr w:rsidR="006D148B" w:rsidRPr="005B7984" w14:paraId="03460746" w14:textId="77777777" w:rsidTr="009E3B2F">
        <w:trPr>
          <w:trHeight w:val="333"/>
          <w:jc w:val="center"/>
        </w:trPr>
        <w:tc>
          <w:tcPr>
            <w:tcW w:w="3335" w:type="dxa"/>
            <w:shd w:val="clear" w:color="auto" w:fill="auto"/>
            <w:vAlign w:val="center"/>
          </w:tcPr>
          <w:p w14:paraId="7C4953EE" w14:textId="45A1FB67" w:rsidR="006D148B" w:rsidRPr="005B7984" w:rsidRDefault="000A1C61" w:rsidP="00FF77CB">
            <w:pPr>
              <w:spacing w:after="120" w:line="240" w:lineRule="auto"/>
              <w:jc w:val="left"/>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Fondo d</w:t>
            </w:r>
            <w:r w:rsidRPr="005B7984">
              <w:rPr>
                <w:rFonts w:ascii="Futura Std Condensed Light" w:eastAsia="Calibri" w:hAnsi="Futura Std Condensed Light" w:cs="Calibri"/>
                <w:sz w:val="20"/>
                <w:szCs w:val="20"/>
              </w:rPr>
              <w:t xml:space="preserve">e Aportaciones Múltiples Nivel Superior </w:t>
            </w:r>
            <w:r w:rsidR="006D148B" w:rsidRPr="005B7984">
              <w:rPr>
                <w:rFonts w:ascii="Futura Std Condensed Light" w:eastAsia="Calibri" w:hAnsi="Futura Std Condensed Light" w:cs="Calibri"/>
                <w:sz w:val="20"/>
                <w:szCs w:val="20"/>
              </w:rPr>
              <w:t>FAM</w:t>
            </w:r>
          </w:p>
        </w:tc>
        <w:tc>
          <w:tcPr>
            <w:tcW w:w="606" w:type="dxa"/>
            <w:shd w:val="clear" w:color="auto" w:fill="auto"/>
            <w:noWrap/>
            <w:vAlign w:val="center"/>
          </w:tcPr>
          <w:p w14:paraId="2425D32A" w14:textId="77777777" w:rsidR="006D148B" w:rsidRPr="005B7984" w:rsidRDefault="006D148B" w:rsidP="009E3B2F">
            <w:pPr>
              <w:spacing w:after="120" w:line="240" w:lineRule="auto"/>
              <w:jc w:val="center"/>
              <w:rPr>
                <w:rFonts w:ascii="Futura Std Condensed Light" w:eastAsia="Calibri" w:hAnsi="Futura Std Condensed Light" w:cs="Calibri"/>
                <w:sz w:val="20"/>
                <w:szCs w:val="20"/>
              </w:rPr>
            </w:pPr>
            <w:r w:rsidRPr="005B7984">
              <w:rPr>
                <w:rFonts w:ascii="Futura Std Condensed Light" w:eastAsia="Calibri" w:hAnsi="Futura Std Condensed Light" w:cs="Calibri"/>
                <w:sz w:val="20"/>
                <w:szCs w:val="20"/>
              </w:rPr>
              <w:t>18</w:t>
            </w:r>
          </w:p>
        </w:tc>
        <w:tc>
          <w:tcPr>
            <w:tcW w:w="606" w:type="dxa"/>
            <w:shd w:val="clear" w:color="auto" w:fill="auto"/>
            <w:noWrap/>
            <w:vAlign w:val="center"/>
          </w:tcPr>
          <w:p w14:paraId="5A22B5EB" w14:textId="77777777" w:rsidR="006D148B" w:rsidRPr="005B7984" w:rsidRDefault="006D148B" w:rsidP="009E3B2F">
            <w:pPr>
              <w:spacing w:after="120" w:line="240" w:lineRule="auto"/>
              <w:jc w:val="center"/>
              <w:rPr>
                <w:rFonts w:ascii="Futura Std Condensed Light" w:eastAsia="Calibri" w:hAnsi="Futura Std Condensed Light" w:cs="Calibri"/>
                <w:sz w:val="20"/>
                <w:szCs w:val="20"/>
              </w:rPr>
            </w:pPr>
            <w:r w:rsidRPr="005B7984">
              <w:rPr>
                <w:rFonts w:ascii="Futura Std Condensed Light" w:eastAsia="Calibri" w:hAnsi="Futura Std Condensed Light" w:cs="Calibri"/>
                <w:sz w:val="20"/>
                <w:szCs w:val="20"/>
              </w:rPr>
              <w:t>0</w:t>
            </w:r>
          </w:p>
        </w:tc>
        <w:tc>
          <w:tcPr>
            <w:tcW w:w="425" w:type="dxa"/>
            <w:shd w:val="clear" w:color="auto" w:fill="auto"/>
            <w:noWrap/>
            <w:vAlign w:val="center"/>
          </w:tcPr>
          <w:p w14:paraId="00A9D30A" w14:textId="77777777" w:rsidR="006D148B" w:rsidRPr="005B7984" w:rsidRDefault="006D148B" w:rsidP="009E3B2F">
            <w:pPr>
              <w:spacing w:after="120" w:line="240" w:lineRule="auto"/>
              <w:jc w:val="center"/>
              <w:rPr>
                <w:rFonts w:ascii="Futura Std Condensed Light" w:eastAsia="Calibri" w:hAnsi="Futura Std Condensed Light" w:cs="Calibri"/>
                <w:sz w:val="20"/>
                <w:szCs w:val="20"/>
              </w:rPr>
            </w:pPr>
            <w:r w:rsidRPr="005B7984">
              <w:rPr>
                <w:rFonts w:ascii="Futura Std Condensed Light" w:eastAsia="Calibri" w:hAnsi="Futura Std Condensed Light" w:cs="Calibri"/>
                <w:sz w:val="20"/>
                <w:szCs w:val="20"/>
              </w:rPr>
              <w:t>7</w:t>
            </w:r>
          </w:p>
        </w:tc>
        <w:tc>
          <w:tcPr>
            <w:tcW w:w="439" w:type="dxa"/>
            <w:shd w:val="clear" w:color="auto" w:fill="auto"/>
            <w:noWrap/>
            <w:vAlign w:val="center"/>
          </w:tcPr>
          <w:p w14:paraId="0E11D1DF" w14:textId="77777777" w:rsidR="006D148B" w:rsidRPr="005B7984" w:rsidRDefault="006D148B" w:rsidP="009E3B2F">
            <w:pPr>
              <w:spacing w:after="120" w:line="240" w:lineRule="auto"/>
              <w:jc w:val="center"/>
              <w:rPr>
                <w:rFonts w:ascii="Futura Std Condensed Light" w:eastAsia="Calibri" w:hAnsi="Futura Std Condensed Light" w:cs="Calibri"/>
                <w:sz w:val="20"/>
                <w:szCs w:val="20"/>
              </w:rPr>
            </w:pPr>
            <w:r w:rsidRPr="005B7984">
              <w:rPr>
                <w:rFonts w:ascii="Futura Std Condensed Light" w:eastAsia="Calibri" w:hAnsi="Futura Std Condensed Light" w:cs="Calibri"/>
                <w:sz w:val="20"/>
                <w:szCs w:val="20"/>
              </w:rPr>
              <w:t>1</w:t>
            </w:r>
          </w:p>
        </w:tc>
        <w:tc>
          <w:tcPr>
            <w:tcW w:w="606" w:type="dxa"/>
            <w:shd w:val="clear" w:color="auto" w:fill="auto"/>
            <w:noWrap/>
            <w:vAlign w:val="center"/>
          </w:tcPr>
          <w:p w14:paraId="5CAD0412" w14:textId="77777777" w:rsidR="006D148B" w:rsidRPr="005B7984" w:rsidRDefault="006D148B" w:rsidP="009E3B2F">
            <w:pPr>
              <w:spacing w:after="120" w:line="240" w:lineRule="auto"/>
              <w:jc w:val="center"/>
              <w:rPr>
                <w:rFonts w:ascii="Futura Std Condensed Light" w:eastAsia="Calibri" w:hAnsi="Futura Std Condensed Light" w:cs="Calibri"/>
                <w:sz w:val="20"/>
                <w:szCs w:val="20"/>
              </w:rPr>
            </w:pPr>
            <w:r w:rsidRPr="005B7984">
              <w:rPr>
                <w:rFonts w:ascii="Futura Std Condensed Light" w:eastAsia="Calibri" w:hAnsi="Futura Std Condensed Light" w:cs="Calibri"/>
                <w:sz w:val="20"/>
                <w:szCs w:val="20"/>
              </w:rPr>
              <w:t>8</w:t>
            </w:r>
          </w:p>
        </w:tc>
        <w:tc>
          <w:tcPr>
            <w:tcW w:w="1718" w:type="dxa"/>
            <w:shd w:val="clear" w:color="auto" w:fill="auto"/>
            <w:noWrap/>
            <w:vAlign w:val="center"/>
          </w:tcPr>
          <w:p w14:paraId="74820462" w14:textId="77777777" w:rsidR="006D148B" w:rsidRPr="005B7984" w:rsidRDefault="006D148B" w:rsidP="009E3B2F">
            <w:pPr>
              <w:spacing w:after="120" w:line="240" w:lineRule="auto"/>
              <w:jc w:val="center"/>
              <w:rPr>
                <w:rFonts w:ascii="Futura Std Condensed Light" w:eastAsia="Calibri" w:hAnsi="Futura Std Condensed Light" w:cs="Calibri"/>
                <w:sz w:val="20"/>
                <w:szCs w:val="20"/>
              </w:rPr>
            </w:pPr>
            <w:r w:rsidRPr="005B7984">
              <w:rPr>
                <w:rFonts w:ascii="Futura Std Condensed Light" w:eastAsia="Calibri" w:hAnsi="Futura Std Condensed Light" w:cs="Calibri"/>
                <w:sz w:val="20"/>
                <w:szCs w:val="20"/>
              </w:rPr>
              <w:t>$104,721,620.55</w:t>
            </w:r>
          </w:p>
        </w:tc>
        <w:tc>
          <w:tcPr>
            <w:tcW w:w="1317" w:type="dxa"/>
            <w:shd w:val="clear" w:color="auto" w:fill="auto"/>
            <w:vAlign w:val="center"/>
            <w:hideMark/>
          </w:tcPr>
          <w:p w14:paraId="3AEF2408" w14:textId="77777777" w:rsidR="006D148B" w:rsidRPr="005B7984" w:rsidRDefault="006D148B" w:rsidP="009E3B2F">
            <w:pPr>
              <w:spacing w:after="120" w:line="240" w:lineRule="auto"/>
              <w:jc w:val="center"/>
              <w:rPr>
                <w:rFonts w:ascii="Futura Std Condensed Light" w:eastAsia="Calibri" w:hAnsi="Futura Std Condensed Light" w:cs="Calibri"/>
                <w:sz w:val="20"/>
                <w:szCs w:val="20"/>
              </w:rPr>
            </w:pPr>
            <w:r w:rsidRPr="005B7984">
              <w:rPr>
                <w:rFonts w:ascii="Futura Std Condensed Light" w:eastAsia="Calibri" w:hAnsi="Futura Std Condensed Light" w:cs="Calibri"/>
                <w:sz w:val="20"/>
                <w:szCs w:val="20"/>
              </w:rPr>
              <w:t>SUPERIOR</w:t>
            </w:r>
          </w:p>
        </w:tc>
      </w:tr>
      <w:tr w:rsidR="006D148B" w:rsidRPr="005B7984" w14:paraId="633997DD" w14:textId="77777777" w:rsidTr="009E3B2F">
        <w:trPr>
          <w:trHeight w:val="541"/>
          <w:jc w:val="center"/>
        </w:trPr>
        <w:tc>
          <w:tcPr>
            <w:tcW w:w="3335" w:type="dxa"/>
            <w:shd w:val="clear" w:color="auto" w:fill="auto"/>
            <w:vAlign w:val="center"/>
          </w:tcPr>
          <w:p w14:paraId="3091BD08" w14:textId="06C96026" w:rsidR="006D148B" w:rsidRPr="005B7984" w:rsidRDefault="00220DC4" w:rsidP="00FF77CB">
            <w:pPr>
              <w:spacing w:after="120" w:line="240" w:lineRule="auto"/>
              <w:jc w:val="left"/>
              <w:rPr>
                <w:rFonts w:ascii="Futura Std Condensed Light" w:eastAsia="Calibri" w:hAnsi="Futura Std Condensed Light" w:cs="Calibri"/>
                <w:sz w:val="20"/>
                <w:szCs w:val="20"/>
              </w:rPr>
            </w:pPr>
            <w:r w:rsidRPr="005B7984">
              <w:rPr>
                <w:rFonts w:ascii="Futura Std Condensed Light" w:eastAsia="Calibri" w:hAnsi="Futura Std Condensed Light" w:cs="Calibri"/>
                <w:sz w:val="20"/>
                <w:szCs w:val="20"/>
              </w:rPr>
              <w:t xml:space="preserve">Fondo </w:t>
            </w:r>
            <w:r>
              <w:rPr>
                <w:rFonts w:ascii="Futura Std Condensed Light" w:eastAsia="Calibri" w:hAnsi="Futura Std Condensed Light" w:cs="Calibri"/>
                <w:sz w:val="20"/>
                <w:szCs w:val="20"/>
              </w:rPr>
              <w:t>para e</w:t>
            </w:r>
            <w:r w:rsidRPr="005B7984">
              <w:rPr>
                <w:rFonts w:ascii="Futura Std Condensed Light" w:eastAsia="Calibri" w:hAnsi="Futura Std Condensed Light" w:cs="Calibri"/>
                <w:sz w:val="20"/>
                <w:szCs w:val="20"/>
              </w:rPr>
              <w:t xml:space="preserve">l Fortalecimiento </w:t>
            </w:r>
            <w:r>
              <w:rPr>
                <w:rFonts w:ascii="Futura Std Condensed Light" w:eastAsia="Calibri" w:hAnsi="Futura Std Condensed Light" w:cs="Calibri"/>
                <w:sz w:val="20"/>
                <w:szCs w:val="20"/>
              </w:rPr>
              <w:t>de l</w:t>
            </w:r>
            <w:r w:rsidRPr="005B7984">
              <w:rPr>
                <w:rFonts w:ascii="Futura Std Condensed Light" w:eastAsia="Calibri" w:hAnsi="Futura Std Condensed Light" w:cs="Calibri"/>
                <w:sz w:val="20"/>
                <w:szCs w:val="20"/>
              </w:rPr>
              <w:t>as Entidades Federativas</w:t>
            </w:r>
          </w:p>
        </w:tc>
        <w:tc>
          <w:tcPr>
            <w:tcW w:w="606" w:type="dxa"/>
            <w:shd w:val="clear" w:color="auto" w:fill="auto"/>
            <w:noWrap/>
            <w:vAlign w:val="center"/>
          </w:tcPr>
          <w:p w14:paraId="620DA304" w14:textId="77777777" w:rsidR="006D148B" w:rsidRPr="005B7984" w:rsidRDefault="006D148B" w:rsidP="009E3B2F">
            <w:pPr>
              <w:spacing w:after="120" w:line="240" w:lineRule="auto"/>
              <w:jc w:val="center"/>
              <w:rPr>
                <w:rFonts w:ascii="Futura Std Condensed Light" w:eastAsia="Calibri" w:hAnsi="Futura Std Condensed Light" w:cs="Calibri"/>
                <w:sz w:val="20"/>
                <w:szCs w:val="20"/>
              </w:rPr>
            </w:pPr>
            <w:r w:rsidRPr="005B7984">
              <w:rPr>
                <w:rFonts w:ascii="Futura Std Condensed Light" w:eastAsia="Calibri" w:hAnsi="Futura Std Condensed Light" w:cs="Calibri"/>
                <w:sz w:val="20"/>
                <w:szCs w:val="20"/>
              </w:rPr>
              <w:t>1</w:t>
            </w:r>
          </w:p>
        </w:tc>
        <w:tc>
          <w:tcPr>
            <w:tcW w:w="606" w:type="dxa"/>
            <w:shd w:val="clear" w:color="auto" w:fill="auto"/>
            <w:noWrap/>
            <w:vAlign w:val="center"/>
          </w:tcPr>
          <w:p w14:paraId="4033A965" w14:textId="77777777" w:rsidR="006D148B" w:rsidRPr="005B7984" w:rsidRDefault="006D148B" w:rsidP="009E3B2F">
            <w:pPr>
              <w:spacing w:after="120" w:line="240" w:lineRule="auto"/>
              <w:jc w:val="center"/>
              <w:rPr>
                <w:rFonts w:ascii="Futura Std Condensed Light" w:eastAsia="Calibri" w:hAnsi="Futura Std Condensed Light" w:cs="Calibri"/>
                <w:sz w:val="20"/>
                <w:szCs w:val="20"/>
              </w:rPr>
            </w:pPr>
            <w:r w:rsidRPr="005B7984">
              <w:rPr>
                <w:rFonts w:ascii="Futura Std Condensed Light" w:eastAsia="Calibri" w:hAnsi="Futura Std Condensed Light" w:cs="Calibri"/>
                <w:sz w:val="20"/>
                <w:szCs w:val="20"/>
              </w:rPr>
              <w:t>0</w:t>
            </w:r>
          </w:p>
        </w:tc>
        <w:tc>
          <w:tcPr>
            <w:tcW w:w="425" w:type="dxa"/>
            <w:shd w:val="clear" w:color="auto" w:fill="auto"/>
            <w:noWrap/>
            <w:vAlign w:val="center"/>
          </w:tcPr>
          <w:p w14:paraId="18F65279" w14:textId="77777777" w:rsidR="006D148B" w:rsidRPr="005B7984" w:rsidRDefault="006D148B" w:rsidP="009E3B2F">
            <w:pPr>
              <w:spacing w:after="120" w:line="240" w:lineRule="auto"/>
              <w:jc w:val="center"/>
              <w:rPr>
                <w:rFonts w:ascii="Futura Std Condensed Light" w:eastAsia="Calibri" w:hAnsi="Futura Std Condensed Light" w:cs="Calibri"/>
                <w:sz w:val="20"/>
                <w:szCs w:val="20"/>
              </w:rPr>
            </w:pPr>
            <w:r w:rsidRPr="005B7984">
              <w:rPr>
                <w:rFonts w:ascii="Futura Std Condensed Light" w:eastAsia="Calibri" w:hAnsi="Futura Std Condensed Light" w:cs="Calibri"/>
                <w:sz w:val="20"/>
                <w:szCs w:val="20"/>
              </w:rPr>
              <w:t>0</w:t>
            </w:r>
          </w:p>
        </w:tc>
        <w:tc>
          <w:tcPr>
            <w:tcW w:w="439" w:type="dxa"/>
            <w:shd w:val="clear" w:color="auto" w:fill="auto"/>
            <w:noWrap/>
            <w:vAlign w:val="center"/>
          </w:tcPr>
          <w:p w14:paraId="3CC6AA13" w14:textId="77777777" w:rsidR="006D148B" w:rsidRPr="005B7984" w:rsidRDefault="006D148B" w:rsidP="009E3B2F">
            <w:pPr>
              <w:spacing w:after="120" w:line="240" w:lineRule="auto"/>
              <w:jc w:val="center"/>
              <w:rPr>
                <w:rFonts w:ascii="Futura Std Condensed Light" w:eastAsia="Calibri" w:hAnsi="Futura Std Condensed Light" w:cs="Calibri"/>
                <w:sz w:val="20"/>
                <w:szCs w:val="20"/>
              </w:rPr>
            </w:pPr>
            <w:r w:rsidRPr="005B7984">
              <w:rPr>
                <w:rFonts w:ascii="Futura Std Condensed Light" w:eastAsia="Calibri" w:hAnsi="Futura Std Condensed Light" w:cs="Calibri"/>
                <w:sz w:val="20"/>
                <w:szCs w:val="20"/>
              </w:rPr>
              <w:t>0</w:t>
            </w:r>
          </w:p>
        </w:tc>
        <w:tc>
          <w:tcPr>
            <w:tcW w:w="606" w:type="dxa"/>
            <w:shd w:val="clear" w:color="auto" w:fill="auto"/>
            <w:noWrap/>
            <w:vAlign w:val="center"/>
          </w:tcPr>
          <w:p w14:paraId="2C7764A2" w14:textId="77777777" w:rsidR="006D148B" w:rsidRPr="005B7984" w:rsidRDefault="006D148B" w:rsidP="009E3B2F">
            <w:pPr>
              <w:spacing w:after="120" w:line="240" w:lineRule="auto"/>
              <w:jc w:val="center"/>
              <w:rPr>
                <w:rFonts w:ascii="Futura Std Condensed Light" w:eastAsia="Calibri" w:hAnsi="Futura Std Condensed Light" w:cs="Calibri"/>
                <w:sz w:val="20"/>
                <w:szCs w:val="20"/>
              </w:rPr>
            </w:pPr>
            <w:r w:rsidRPr="005B7984">
              <w:rPr>
                <w:rFonts w:ascii="Futura Std Condensed Light" w:eastAsia="Calibri" w:hAnsi="Futura Std Condensed Light" w:cs="Calibri"/>
                <w:sz w:val="20"/>
                <w:szCs w:val="20"/>
              </w:rPr>
              <w:t>1</w:t>
            </w:r>
          </w:p>
        </w:tc>
        <w:tc>
          <w:tcPr>
            <w:tcW w:w="1718" w:type="dxa"/>
            <w:shd w:val="clear" w:color="auto" w:fill="auto"/>
            <w:noWrap/>
            <w:vAlign w:val="center"/>
          </w:tcPr>
          <w:p w14:paraId="7B5C6A7F" w14:textId="77777777" w:rsidR="006D148B" w:rsidRPr="005B7984" w:rsidRDefault="006D148B" w:rsidP="009E3B2F">
            <w:pPr>
              <w:spacing w:after="120" w:line="240" w:lineRule="auto"/>
              <w:jc w:val="right"/>
              <w:rPr>
                <w:rFonts w:ascii="Futura Std Condensed Light" w:eastAsia="Calibri" w:hAnsi="Futura Std Condensed Light" w:cs="Calibri"/>
                <w:sz w:val="20"/>
                <w:szCs w:val="20"/>
              </w:rPr>
            </w:pPr>
            <w:r w:rsidRPr="005B7984">
              <w:rPr>
                <w:rFonts w:ascii="Futura Std Condensed Light" w:eastAsia="Calibri" w:hAnsi="Futura Std Condensed Light" w:cs="Calibri"/>
                <w:sz w:val="20"/>
                <w:szCs w:val="20"/>
              </w:rPr>
              <w:t>$1,529,969.48</w:t>
            </w:r>
          </w:p>
        </w:tc>
        <w:tc>
          <w:tcPr>
            <w:tcW w:w="1317" w:type="dxa"/>
            <w:shd w:val="clear" w:color="auto" w:fill="auto"/>
            <w:vAlign w:val="center"/>
            <w:hideMark/>
          </w:tcPr>
          <w:p w14:paraId="236E8D90" w14:textId="77777777" w:rsidR="006D148B" w:rsidRPr="005B7984" w:rsidRDefault="006D148B" w:rsidP="009E3B2F">
            <w:pPr>
              <w:spacing w:after="120" w:line="240" w:lineRule="auto"/>
              <w:jc w:val="center"/>
              <w:rPr>
                <w:rFonts w:ascii="Futura Std Condensed Light" w:eastAsia="Calibri" w:hAnsi="Futura Std Condensed Light" w:cs="Calibri"/>
                <w:sz w:val="20"/>
                <w:szCs w:val="20"/>
              </w:rPr>
            </w:pPr>
            <w:r w:rsidRPr="005B7984">
              <w:rPr>
                <w:rFonts w:ascii="Futura Std Condensed Light" w:eastAsia="Calibri" w:hAnsi="Futura Std Condensed Light" w:cs="Calibri"/>
                <w:sz w:val="20"/>
                <w:szCs w:val="20"/>
              </w:rPr>
              <w:t>SUPERIOR</w:t>
            </w:r>
          </w:p>
        </w:tc>
      </w:tr>
      <w:tr w:rsidR="006D148B" w:rsidRPr="005B7984" w14:paraId="044A29BD" w14:textId="77777777" w:rsidTr="00220DC4">
        <w:trPr>
          <w:trHeight w:val="435"/>
          <w:jc w:val="center"/>
        </w:trPr>
        <w:tc>
          <w:tcPr>
            <w:tcW w:w="3335" w:type="dxa"/>
            <w:shd w:val="clear" w:color="auto" w:fill="A6A6A6" w:themeFill="background1" w:themeFillShade="A6"/>
            <w:noWrap/>
            <w:vAlign w:val="center"/>
            <w:hideMark/>
          </w:tcPr>
          <w:p w14:paraId="3383EF39" w14:textId="6FE4470C" w:rsidR="006D148B" w:rsidRPr="00220DC4" w:rsidRDefault="000E1F53" w:rsidP="009E3B2F">
            <w:pPr>
              <w:spacing w:after="120" w:line="240" w:lineRule="auto"/>
              <w:jc w:val="center"/>
              <w:rPr>
                <w:rFonts w:ascii="Futura Std Condensed Light" w:eastAsia="Calibri" w:hAnsi="Futura Std Condensed Light" w:cs="Calibri"/>
                <w:sz w:val="20"/>
                <w:szCs w:val="20"/>
              </w:rPr>
            </w:pPr>
            <w:r w:rsidRPr="00220DC4">
              <w:rPr>
                <w:rFonts w:ascii="Futura Std Condensed Light" w:eastAsia="Calibri" w:hAnsi="Futura Std Condensed Light" w:cs="Calibri"/>
                <w:sz w:val="20"/>
                <w:szCs w:val="20"/>
              </w:rPr>
              <w:t> Total Superior</w:t>
            </w:r>
          </w:p>
        </w:tc>
        <w:tc>
          <w:tcPr>
            <w:tcW w:w="606" w:type="dxa"/>
            <w:shd w:val="clear" w:color="auto" w:fill="A6A6A6" w:themeFill="background1" w:themeFillShade="A6"/>
            <w:noWrap/>
            <w:vAlign w:val="center"/>
          </w:tcPr>
          <w:p w14:paraId="677D33CC" w14:textId="77777777" w:rsidR="006D148B" w:rsidRPr="00220DC4" w:rsidRDefault="006D148B" w:rsidP="009E3B2F">
            <w:pPr>
              <w:spacing w:after="120" w:line="240" w:lineRule="auto"/>
              <w:jc w:val="center"/>
              <w:rPr>
                <w:rFonts w:ascii="Futura Std Condensed Light" w:eastAsia="Calibri" w:hAnsi="Futura Std Condensed Light" w:cs="Calibri"/>
                <w:sz w:val="20"/>
                <w:szCs w:val="20"/>
              </w:rPr>
            </w:pPr>
            <w:r w:rsidRPr="00220DC4">
              <w:rPr>
                <w:rFonts w:ascii="Futura Std Condensed Light" w:eastAsia="Calibri" w:hAnsi="Futura Std Condensed Light" w:cs="Calibri"/>
                <w:sz w:val="20"/>
                <w:szCs w:val="20"/>
              </w:rPr>
              <w:t>19</w:t>
            </w:r>
          </w:p>
        </w:tc>
        <w:tc>
          <w:tcPr>
            <w:tcW w:w="606" w:type="dxa"/>
            <w:shd w:val="clear" w:color="auto" w:fill="A6A6A6" w:themeFill="background1" w:themeFillShade="A6"/>
            <w:noWrap/>
            <w:vAlign w:val="center"/>
          </w:tcPr>
          <w:p w14:paraId="49390DFF" w14:textId="77777777" w:rsidR="006D148B" w:rsidRPr="00220DC4" w:rsidRDefault="006D148B" w:rsidP="009E3B2F">
            <w:pPr>
              <w:spacing w:after="120" w:line="240" w:lineRule="auto"/>
              <w:jc w:val="center"/>
              <w:rPr>
                <w:rFonts w:ascii="Futura Std Condensed Light" w:eastAsia="Calibri" w:hAnsi="Futura Std Condensed Light" w:cs="Calibri"/>
                <w:sz w:val="20"/>
                <w:szCs w:val="20"/>
              </w:rPr>
            </w:pPr>
            <w:r w:rsidRPr="00220DC4">
              <w:rPr>
                <w:rFonts w:ascii="Futura Std Condensed Light" w:eastAsia="Calibri" w:hAnsi="Futura Std Condensed Light" w:cs="Calibri"/>
                <w:sz w:val="20"/>
                <w:szCs w:val="20"/>
              </w:rPr>
              <w:t>0</w:t>
            </w:r>
          </w:p>
        </w:tc>
        <w:tc>
          <w:tcPr>
            <w:tcW w:w="425" w:type="dxa"/>
            <w:shd w:val="clear" w:color="auto" w:fill="A6A6A6" w:themeFill="background1" w:themeFillShade="A6"/>
            <w:noWrap/>
            <w:vAlign w:val="center"/>
          </w:tcPr>
          <w:p w14:paraId="2CDAD744" w14:textId="77777777" w:rsidR="006D148B" w:rsidRPr="00220DC4" w:rsidRDefault="006D148B" w:rsidP="009E3B2F">
            <w:pPr>
              <w:spacing w:after="120" w:line="240" w:lineRule="auto"/>
              <w:jc w:val="center"/>
              <w:rPr>
                <w:rFonts w:ascii="Futura Std Condensed Light" w:eastAsia="Calibri" w:hAnsi="Futura Std Condensed Light" w:cs="Calibri"/>
                <w:sz w:val="20"/>
                <w:szCs w:val="20"/>
              </w:rPr>
            </w:pPr>
            <w:r w:rsidRPr="00220DC4">
              <w:rPr>
                <w:rFonts w:ascii="Futura Std Condensed Light" w:eastAsia="Calibri" w:hAnsi="Futura Std Condensed Light" w:cs="Calibri"/>
                <w:sz w:val="20"/>
                <w:szCs w:val="20"/>
              </w:rPr>
              <w:t>7</w:t>
            </w:r>
          </w:p>
        </w:tc>
        <w:tc>
          <w:tcPr>
            <w:tcW w:w="439" w:type="dxa"/>
            <w:shd w:val="clear" w:color="auto" w:fill="A6A6A6" w:themeFill="background1" w:themeFillShade="A6"/>
            <w:noWrap/>
            <w:vAlign w:val="center"/>
          </w:tcPr>
          <w:p w14:paraId="62810732" w14:textId="77777777" w:rsidR="006D148B" w:rsidRPr="00220DC4" w:rsidRDefault="006D148B" w:rsidP="009E3B2F">
            <w:pPr>
              <w:spacing w:after="120" w:line="240" w:lineRule="auto"/>
              <w:jc w:val="center"/>
              <w:rPr>
                <w:rFonts w:ascii="Futura Std Condensed Light" w:eastAsia="Calibri" w:hAnsi="Futura Std Condensed Light" w:cs="Calibri"/>
                <w:sz w:val="20"/>
                <w:szCs w:val="20"/>
              </w:rPr>
            </w:pPr>
            <w:r w:rsidRPr="00220DC4">
              <w:rPr>
                <w:rFonts w:ascii="Futura Std Condensed Light" w:eastAsia="Calibri" w:hAnsi="Futura Std Condensed Light" w:cs="Calibri"/>
                <w:sz w:val="20"/>
                <w:szCs w:val="20"/>
              </w:rPr>
              <w:t>1</w:t>
            </w:r>
          </w:p>
        </w:tc>
        <w:tc>
          <w:tcPr>
            <w:tcW w:w="606" w:type="dxa"/>
            <w:shd w:val="clear" w:color="auto" w:fill="A6A6A6" w:themeFill="background1" w:themeFillShade="A6"/>
            <w:noWrap/>
            <w:vAlign w:val="center"/>
          </w:tcPr>
          <w:p w14:paraId="0AFDEB8C" w14:textId="77777777" w:rsidR="006D148B" w:rsidRPr="00220DC4" w:rsidRDefault="006D148B" w:rsidP="009E3B2F">
            <w:pPr>
              <w:spacing w:after="120" w:line="240" w:lineRule="auto"/>
              <w:jc w:val="center"/>
              <w:rPr>
                <w:rFonts w:ascii="Futura Std Condensed Light" w:eastAsia="Calibri" w:hAnsi="Futura Std Condensed Light" w:cs="Calibri"/>
                <w:sz w:val="20"/>
                <w:szCs w:val="20"/>
              </w:rPr>
            </w:pPr>
            <w:r w:rsidRPr="00220DC4">
              <w:rPr>
                <w:rFonts w:ascii="Futura Std Condensed Light" w:eastAsia="Calibri" w:hAnsi="Futura Std Condensed Light" w:cs="Calibri"/>
                <w:sz w:val="20"/>
                <w:szCs w:val="20"/>
              </w:rPr>
              <w:t>9</w:t>
            </w:r>
          </w:p>
        </w:tc>
        <w:tc>
          <w:tcPr>
            <w:tcW w:w="1718" w:type="dxa"/>
            <w:shd w:val="clear" w:color="auto" w:fill="A6A6A6" w:themeFill="background1" w:themeFillShade="A6"/>
            <w:noWrap/>
            <w:vAlign w:val="center"/>
          </w:tcPr>
          <w:p w14:paraId="4A42204B" w14:textId="77777777" w:rsidR="006D148B" w:rsidRPr="00220DC4" w:rsidRDefault="006D148B" w:rsidP="009E3B2F">
            <w:pPr>
              <w:spacing w:after="120" w:line="240" w:lineRule="auto"/>
              <w:jc w:val="right"/>
              <w:rPr>
                <w:rFonts w:ascii="Futura Std Condensed Light" w:eastAsia="Calibri" w:hAnsi="Futura Std Condensed Light" w:cs="Calibri"/>
                <w:sz w:val="20"/>
                <w:szCs w:val="20"/>
              </w:rPr>
            </w:pPr>
            <w:r w:rsidRPr="00220DC4">
              <w:rPr>
                <w:rFonts w:ascii="Futura Std Condensed Light" w:eastAsia="Calibri" w:hAnsi="Futura Std Condensed Light" w:cs="Calibri"/>
                <w:sz w:val="20"/>
                <w:szCs w:val="20"/>
              </w:rPr>
              <w:t>$106,251,590.03</w:t>
            </w:r>
          </w:p>
        </w:tc>
        <w:tc>
          <w:tcPr>
            <w:tcW w:w="1317" w:type="dxa"/>
            <w:shd w:val="clear" w:color="auto" w:fill="A6A6A6" w:themeFill="background1" w:themeFillShade="A6"/>
            <w:vAlign w:val="center"/>
            <w:hideMark/>
          </w:tcPr>
          <w:p w14:paraId="65DDAD31" w14:textId="77777777" w:rsidR="006D148B" w:rsidRPr="00220DC4" w:rsidRDefault="006D148B" w:rsidP="009E3B2F">
            <w:pPr>
              <w:spacing w:after="120" w:line="240" w:lineRule="auto"/>
              <w:jc w:val="center"/>
              <w:rPr>
                <w:rFonts w:ascii="Futura Std Condensed Light" w:eastAsia="Calibri" w:hAnsi="Futura Std Condensed Light" w:cs="Calibri"/>
                <w:sz w:val="20"/>
                <w:szCs w:val="20"/>
              </w:rPr>
            </w:pPr>
            <w:r w:rsidRPr="00220DC4">
              <w:rPr>
                <w:rFonts w:ascii="Futura Std Condensed Light" w:eastAsia="Calibri" w:hAnsi="Futura Std Condensed Light" w:cs="Calibri"/>
                <w:sz w:val="20"/>
                <w:szCs w:val="20"/>
              </w:rPr>
              <w:t>SUPERIOR</w:t>
            </w:r>
          </w:p>
        </w:tc>
      </w:tr>
    </w:tbl>
    <w:p w14:paraId="6EFF078A" w14:textId="77777777" w:rsidR="006D148B" w:rsidRDefault="006D148B" w:rsidP="006D148B">
      <w:pPr>
        <w:spacing w:after="0"/>
        <w:jc w:val="center"/>
        <w:rPr>
          <w:sz w:val="16"/>
          <w:szCs w:val="16"/>
        </w:rPr>
      </w:pPr>
      <w:r w:rsidRPr="00E1715F">
        <w:rPr>
          <w:sz w:val="16"/>
          <w:szCs w:val="16"/>
        </w:rPr>
        <w:t>Fuente: Instituto de Infraestructura Física Educativa de Quintana Roo.</w:t>
      </w:r>
    </w:p>
    <w:p w14:paraId="1B8EE111" w14:textId="77176AF2" w:rsidR="006D148B" w:rsidRDefault="006D148B" w:rsidP="00447FBB">
      <w:pPr>
        <w:spacing w:after="0"/>
        <w:jc w:val="center"/>
        <w:rPr>
          <w:sz w:val="16"/>
          <w:szCs w:val="16"/>
        </w:rPr>
      </w:pPr>
      <w:r>
        <w:rPr>
          <w:sz w:val="16"/>
          <w:szCs w:val="16"/>
        </w:rPr>
        <w:t>E: Escuelas, A: Aula, L: Laboratorio, T: Taller, A: Anexo</w:t>
      </w:r>
    </w:p>
    <w:p w14:paraId="586EB2A2" w14:textId="608A92BD" w:rsidR="00E07551" w:rsidRDefault="00E07551" w:rsidP="00447FBB">
      <w:pPr>
        <w:spacing w:after="0"/>
        <w:jc w:val="center"/>
        <w:rPr>
          <w:sz w:val="16"/>
          <w:szCs w:val="16"/>
        </w:rPr>
      </w:pPr>
    </w:p>
    <w:p w14:paraId="535D04F8" w14:textId="4D470E81" w:rsidR="006D148B" w:rsidRPr="00E1715F" w:rsidRDefault="006D148B" w:rsidP="006D148B">
      <w:pPr>
        <w:spacing w:after="120"/>
        <w:jc w:val="center"/>
        <w:rPr>
          <w:b/>
          <w:color w:val="4BACC6" w:themeColor="accent5"/>
        </w:rPr>
      </w:pPr>
      <w:r>
        <w:rPr>
          <w:b/>
          <w:color w:val="4BACC6" w:themeColor="accent5"/>
        </w:rPr>
        <w:lastRenderedPageBreak/>
        <w:t>Cuadro 16</w:t>
      </w:r>
      <w:r w:rsidR="00447FBB">
        <w:rPr>
          <w:b/>
          <w:color w:val="4BACC6" w:themeColor="accent5"/>
        </w:rPr>
        <w:t>.</w:t>
      </w:r>
      <w:r w:rsidRPr="00E1715F">
        <w:rPr>
          <w:b/>
          <w:color w:val="4BACC6" w:themeColor="accent5"/>
        </w:rPr>
        <w:t xml:space="preserve"> Resumen de escuelas atendidas por nivel educativo con diversos fondos 2018</w:t>
      </w:r>
    </w:p>
    <w:tbl>
      <w:tblPr>
        <w:tblW w:w="95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9"/>
        <w:gridCol w:w="624"/>
        <w:gridCol w:w="114"/>
        <w:gridCol w:w="596"/>
        <w:gridCol w:w="84"/>
        <w:gridCol w:w="456"/>
        <w:gridCol w:w="57"/>
        <w:gridCol w:w="568"/>
        <w:gridCol w:w="28"/>
        <w:gridCol w:w="597"/>
        <w:gridCol w:w="1713"/>
        <w:gridCol w:w="1134"/>
      </w:tblGrid>
      <w:tr w:rsidR="006D148B" w:rsidRPr="00B141B9" w14:paraId="58D58239" w14:textId="77777777" w:rsidTr="008D78F1">
        <w:trPr>
          <w:trHeight w:val="70"/>
          <w:tblHeader/>
          <w:jc w:val="center"/>
        </w:trPr>
        <w:tc>
          <w:tcPr>
            <w:tcW w:w="3539" w:type="dxa"/>
            <w:vMerge w:val="restart"/>
            <w:shd w:val="clear" w:color="auto" w:fill="A6A6A6"/>
            <w:noWrap/>
            <w:vAlign w:val="center"/>
            <w:hideMark/>
          </w:tcPr>
          <w:p w14:paraId="329475FC" w14:textId="36D55429" w:rsidR="006D148B" w:rsidRPr="00220DC4" w:rsidRDefault="00220DC4" w:rsidP="009E3B2F">
            <w:pPr>
              <w:spacing w:after="120" w:line="240" w:lineRule="auto"/>
              <w:jc w:val="center"/>
              <w:rPr>
                <w:rFonts w:ascii="Futura Std Condensed Light" w:eastAsia="Calibri" w:hAnsi="Futura Std Condensed Light" w:cs="Calibri"/>
                <w:sz w:val="20"/>
                <w:szCs w:val="18"/>
              </w:rPr>
            </w:pPr>
            <w:r w:rsidRPr="00220DC4">
              <w:rPr>
                <w:rFonts w:ascii="Futura Std Condensed Light" w:eastAsia="Calibri" w:hAnsi="Futura Std Condensed Light" w:cs="Calibri"/>
                <w:sz w:val="20"/>
                <w:szCs w:val="18"/>
              </w:rPr>
              <w:t>Programa</w:t>
            </w:r>
          </w:p>
        </w:tc>
        <w:tc>
          <w:tcPr>
            <w:tcW w:w="3124" w:type="dxa"/>
            <w:gridSpan w:val="9"/>
            <w:shd w:val="clear" w:color="auto" w:fill="A6A6A6"/>
            <w:noWrap/>
            <w:vAlign w:val="center"/>
            <w:hideMark/>
          </w:tcPr>
          <w:p w14:paraId="047F20DD" w14:textId="7A38041F" w:rsidR="006D148B" w:rsidRPr="00220DC4" w:rsidRDefault="00220DC4" w:rsidP="009E3B2F">
            <w:pPr>
              <w:spacing w:after="120" w:line="240" w:lineRule="auto"/>
              <w:jc w:val="center"/>
              <w:rPr>
                <w:rFonts w:ascii="Futura Std Condensed Light" w:eastAsia="Calibri" w:hAnsi="Futura Std Condensed Light" w:cs="Calibri"/>
                <w:sz w:val="20"/>
                <w:szCs w:val="18"/>
              </w:rPr>
            </w:pPr>
            <w:r w:rsidRPr="00220DC4">
              <w:rPr>
                <w:rFonts w:ascii="Futura Std Condensed Light" w:eastAsia="Calibri" w:hAnsi="Futura Std Condensed Light" w:cs="Calibri"/>
                <w:sz w:val="20"/>
                <w:szCs w:val="18"/>
              </w:rPr>
              <w:t>Ejercido</w:t>
            </w:r>
          </w:p>
        </w:tc>
        <w:tc>
          <w:tcPr>
            <w:tcW w:w="1713" w:type="dxa"/>
            <w:vMerge w:val="restart"/>
            <w:shd w:val="clear" w:color="auto" w:fill="A6A6A6"/>
            <w:noWrap/>
            <w:vAlign w:val="center"/>
            <w:hideMark/>
          </w:tcPr>
          <w:p w14:paraId="1C1C695F" w14:textId="5C733649" w:rsidR="006D148B" w:rsidRPr="00220DC4" w:rsidRDefault="00220DC4" w:rsidP="009E3B2F">
            <w:pPr>
              <w:spacing w:after="120" w:line="240" w:lineRule="auto"/>
              <w:jc w:val="center"/>
              <w:rPr>
                <w:rFonts w:ascii="Futura Std Condensed Light" w:eastAsia="Calibri" w:hAnsi="Futura Std Condensed Light" w:cs="Calibri"/>
                <w:sz w:val="20"/>
                <w:szCs w:val="18"/>
              </w:rPr>
            </w:pPr>
            <w:r w:rsidRPr="00220DC4">
              <w:rPr>
                <w:rFonts w:ascii="Futura Std Condensed Light" w:eastAsia="Calibri" w:hAnsi="Futura Std Condensed Light" w:cs="Calibri"/>
                <w:sz w:val="20"/>
                <w:szCs w:val="18"/>
              </w:rPr>
              <w:t>Monto de inversión</w:t>
            </w:r>
          </w:p>
        </w:tc>
        <w:tc>
          <w:tcPr>
            <w:tcW w:w="1134" w:type="dxa"/>
            <w:vMerge w:val="restart"/>
            <w:shd w:val="clear" w:color="auto" w:fill="A6A6A6"/>
            <w:vAlign w:val="center"/>
            <w:hideMark/>
          </w:tcPr>
          <w:p w14:paraId="09032600" w14:textId="6C9AE5BC" w:rsidR="006D148B" w:rsidRPr="00220DC4" w:rsidRDefault="00220DC4" w:rsidP="009E3B2F">
            <w:pPr>
              <w:spacing w:after="120" w:line="240" w:lineRule="auto"/>
              <w:jc w:val="center"/>
              <w:rPr>
                <w:rFonts w:ascii="Futura Std Condensed Light" w:eastAsia="Calibri" w:hAnsi="Futura Std Condensed Light" w:cs="Calibri"/>
                <w:sz w:val="20"/>
                <w:szCs w:val="18"/>
              </w:rPr>
            </w:pPr>
            <w:r w:rsidRPr="00220DC4">
              <w:rPr>
                <w:rFonts w:ascii="Futura Std Condensed Light" w:eastAsia="Calibri" w:hAnsi="Futura Std Condensed Light" w:cs="Calibri"/>
                <w:sz w:val="20"/>
                <w:szCs w:val="18"/>
              </w:rPr>
              <w:t>Nivel</w:t>
            </w:r>
          </w:p>
        </w:tc>
      </w:tr>
      <w:tr w:rsidR="006D148B" w:rsidRPr="00B141B9" w14:paraId="12F56033" w14:textId="77777777" w:rsidTr="008D78F1">
        <w:trPr>
          <w:trHeight w:val="70"/>
          <w:jc w:val="center"/>
        </w:trPr>
        <w:tc>
          <w:tcPr>
            <w:tcW w:w="3539" w:type="dxa"/>
            <w:vMerge/>
            <w:shd w:val="clear" w:color="auto" w:fill="auto"/>
            <w:vAlign w:val="center"/>
            <w:hideMark/>
          </w:tcPr>
          <w:p w14:paraId="11F1B5B4" w14:textId="77777777" w:rsidR="006D148B" w:rsidRPr="00E1715F" w:rsidRDefault="006D148B" w:rsidP="009E3B2F">
            <w:pPr>
              <w:spacing w:after="120" w:line="240" w:lineRule="auto"/>
              <w:jc w:val="center"/>
              <w:rPr>
                <w:rFonts w:ascii="Futura Std Condensed Light" w:eastAsia="Calibri" w:hAnsi="Futura Std Condensed Light" w:cs="Calibri"/>
                <w:b/>
                <w:sz w:val="18"/>
                <w:szCs w:val="18"/>
              </w:rPr>
            </w:pPr>
          </w:p>
        </w:tc>
        <w:tc>
          <w:tcPr>
            <w:tcW w:w="738" w:type="dxa"/>
            <w:gridSpan w:val="2"/>
            <w:shd w:val="clear" w:color="auto" w:fill="A6A6A6"/>
            <w:noWrap/>
            <w:vAlign w:val="center"/>
            <w:hideMark/>
          </w:tcPr>
          <w:p w14:paraId="00D46A93" w14:textId="77777777" w:rsidR="006D148B" w:rsidRPr="00220DC4" w:rsidRDefault="006D148B" w:rsidP="009E3B2F">
            <w:pPr>
              <w:spacing w:after="120" w:line="240" w:lineRule="auto"/>
              <w:jc w:val="center"/>
              <w:rPr>
                <w:rFonts w:ascii="Futura Std Condensed Light" w:eastAsia="Calibri" w:hAnsi="Futura Std Condensed Light" w:cs="Calibri"/>
                <w:sz w:val="20"/>
                <w:szCs w:val="18"/>
              </w:rPr>
            </w:pPr>
            <w:r w:rsidRPr="00220DC4">
              <w:rPr>
                <w:rFonts w:ascii="Futura Std Condensed Light" w:eastAsia="Calibri" w:hAnsi="Futura Std Condensed Light" w:cs="Calibri"/>
                <w:sz w:val="20"/>
                <w:szCs w:val="18"/>
              </w:rPr>
              <w:t>E</w:t>
            </w:r>
          </w:p>
        </w:tc>
        <w:tc>
          <w:tcPr>
            <w:tcW w:w="596" w:type="dxa"/>
            <w:shd w:val="clear" w:color="auto" w:fill="A6A6A6"/>
            <w:noWrap/>
            <w:vAlign w:val="center"/>
            <w:hideMark/>
          </w:tcPr>
          <w:p w14:paraId="70093502" w14:textId="77777777" w:rsidR="006D148B" w:rsidRPr="00220DC4" w:rsidRDefault="006D148B" w:rsidP="009E3B2F">
            <w:pPr>
              <w:spacing w:after="120" w:line="240" w:lineRule="auto"/>
              <w:jc w:val="center"/>
              <w:rPr>
                <w:rFonts w:ascii="Futura Std Condensed Light" w:eastAsia="Calibri" w:hAnsi="Futura Std Condensed Light" w:cs="Calibri"/>
                <w:sz w:val="20"/>
                <w:szCs w:val="18"/>
              </w:rPr>
            </w:pPr>
            <w:r w:rsidRPr="00220DC4">
              <w:rPr>
                <w:rFonts w:ascii="Futura Std Condensed Light" w:eastAsia="Calibri" w:hAnsi="Futura Std Condensed Light" w:cs="Calibri"/>
                <w:sz w:val="20"/>
                <w:szCs w:val="18"/>
              </w:rPr>
              <w:t>A</w:t>
            </w:r>
          </w:p>
        </w:tc>
        <w:tc>
          <w:tcPr>
            <w:tcW w:w="597" w:type="dxa"/>
            <w:gridSpan w:val="3"/>
            <w:shd w:val="clear" w:color="auto" w:fill="A6A6A6"/>
            <w:noWrap/>
            <w:vAlign w:val="center"/>
            <w:hideMark/>
          </w:tcPr>
          <w:p w14:paraId="2C4382FE" w14:textId="77777777" w:rsidR="006D148B" w:rsidRPr="00220DC4" w:rsidRDefault="006D148B" w:rsidP="009E3B2F">
            <w:pPr>
              <w:spacing w:after="120" w:line="240" w:lineRule="auto"/>
              <w:jc w:val="center"/>
              <w:rPr>
                <w:rFonts w:ascii="Futura Std Condensed Light" w:eastAsia="Calibri" w:hAnsi="Futura Std Condensed Light" w:cs="Calibri"/>
                <w:sz w:val="20"/>
                <w:szCs w:val="18"/>
              </w:rPr>
            </w:pPr>
            <w:r w:rsidRPr="00220DC4">
              <w:rPr>
                <w:rFonts w:ascii="Futura Std Condensed Light" w:eastAsia="Calibri" w:hAnsi="Futura Std Condensed Light" w:cs="Calibri"/>
                <w:sz w:val="20"/>
                <w:szCs w:val="18"/>
              </w:rPr>
              <w:t>L</w:t>
            </w:r>
          </w:p>
        </w:tc>
        <w:tc>
          <w:tcPr>
            <w:tcW w:w="596" w:type="dxa"/>
            <w:gridSpan w:val="2"/>
            <w:shd w:val="clear" w:color="auto" w:fill="A6A6A6"/>
            <w:noWrap/>
            <w:vAlign w:val="center"/>
            <w:hideMark/>
          </w:tcPr>
          <w:p w14:paraId="350513A1" w14:textId="77777777" w:rsidR="006D148B" w:rsidRPr="00220DC4" w:rsidRDefault="006D148B" w:rsidP="009E3B2F">
            <w:pPr>
              <w:spacing w:after="120" w:line="240" w:lineRule="auto"/>
              <w:jc w:val="center"/>
              <w:rPr>
                <w:rFonts w:ascii="Futura Std Condensed Light" w:eastAsia="Calibri" w:hAnsi="Futura Std Condensed Light" w:cs="Calibri"/>
                <w:sz w:val="20"/>
                <w:szCs w:val="18"/>
              </w:rPr>
            </w:pPr>
            <w:r w:rsidRPr="00220DC4">
              <w:rPr>
                <w:rFonts w:ascii="Futura Std Condensed Light" w:eastAsia="Calibri" w:hAnsi="Futura Std Condensed Light" w:cs="Calibri"/>
                <w:sz w:val="20"/>
                <w:szCs w:val="18"/>
              </w:rPr>
              <w:t>T</w:t>
            </w:r>
          </w:p>
        </w:tc>
        <w:tc>
          <w:tcPr>
            <w:tcW w:w="597" w:type="dxa"/>
            <w:shd w:val="clear" w:color="auto" w:fill="A6A6A6"/>
            <w:noWrap/>
            <w:vAlign w:val="center"/>
            <w:hideMark/>
          </w:tcPr>
          <w:p w14:paraId="1ECEDAA9" w14:textId="77777777" w:rsidR="006D148B" w:rsidRPr="00220DC4" w:rsidRDefault="006D148B" w:rsidP="009E3B2F">
            <w:pPr>
              <w:spacing w:after="120" w:line="240" w:lineRule="auto"/>
              <w:jc w:val="center"/>
              <w:rPr>
                <w:rFonts w:ascii="Futura Std Condensed Light" w:eastAsia="Calibri" w:hAnsi="Futura Std Condensed Light" w:cs="Calibri"/>
                <w:sz w:val="20"/>
                <w:szCs w:val="18"/>
              </w:rPr>
            </w:pPr>
            <w:r w:rsidRPr="00220DC4">
              <w:rPr>
                <w:rFonts w:ascii="Futura Std Condensed Light" w:eastAsia="Calibri" w:hAnsi="Futura Std Condensed Light" w:cs="Calibri"/>
                <w:sz w:val="20"/>
                <w:szCs w:val="18"/>
              </w:rPr>
              <w:t>A</w:t>
            </w:r>
          </w:p>
        </w:tc>
        <w:tc>
          <w:tcPr>
            <w:tcW w:w="1713" w:type="dxa"/>
            <w:vMerge/>
            <w:shd w:val="clear" w:color="auto" w:fill="auto"/>
            <w:vAlign w:val="center"/>
            <w:hideMark/>
          </w:tcPr>
          <w:p w14:paraId="00A750B4" w14:textId="77777777" w:rsidR="006D148B" w:rsidRPr="00E1715F" w:rsidRDefault="006D148B" w:rsidP="009E3B2F">
            <w:pPr>
              <w:spacing w:after="120" w:line="240" w:lineRule="auto"/>
              <w:jc w:val="center"/>
              <w:rPr>
                <w:rFonts w:ascii="Futura Std Condensed Light" w:eastAsia="Calibri" w:hAnsi="Futura Std Condensed Light" w:cs="Calibri"/>
                <w:b/>
                <w:sz w:val="18"/>
                <w:szCs w:val="18"/>
              </w:rPr>
            </w:pPr>
          </w:p>
        </w:tc>
        <w:tc>
          <w:tcPr>
            <w:tcW w:w="1134" w:type="dxa"/>
            <w:vMerge/>
            <w:shd w:val="clear" w:color="auto" w:fill="auto"/>
            <w:vAlign w:val="center"/>
            <w:hideMark/>
          </w:tcPr>
          <w:p w14:paraId="2DCFAB8F" w14:textId="77777777" w:rsidR="006D148B" w:rsidRPr="00E1715F" w:rsidRDefault="006D148B" w:rsidP="009E3B2F">
            <w:pPr>
              <w:spacing w:after="120" w:line="240" w:lineRule="auto"/>
              <w:jc w:val="center"/>
              <w:rPr>
                <w:rFonts w:ascii="Futura Std Condensed Light" w:eastAsia="Calibri" w:hAnsi="Futura Std Condensed Light" w:cs="Calibri"/>
                <w:b/>
                <w:sz w:val="18"/>
                <w:szCs w:val="18"/>
              </w:rPr>
            </w:pPr>
          </w:p>
        </w:tc>
      </w:tr>
      <w:tr w:rsidR="006D148B" w:rsidRPr="00B141B9" w14:paraId="26D75585" w14:textId="77777777" w:rsidTr="008D78F1">
        <w:trPr>
          <w:trHeight w:val="244"/>
          <w:jc w:val="center"/>
        </w:trPr>
        <w:tc>
          <w:tcPr>
            <w:tcW w:w="3539" w:type="dxa"/>
            <w:shd w:val="clear" w:color="auto" w:fill="auto"/>
            <w:vAlign w:val="center"/>
          </w:tcPr>
          <w:p w14:paraId="6A783BEF" w14:textId="13406266" w:rsidR="006D148B" w:rsidRPr="00220DC4" w:rsidRDefault="00220DC4" w:rsidP="00220DC4">
            <w:pPr>
              <w:spacing w:after="120" w:line="240" w:lineRule="auto"/>
              <w:jc w:val="left"/>
              <w:rPr>
                <w:rFonts w:ascii="Futura Std Condensed Light" w:eastAsia="Calibri" w:hAnsi="Futura Std Condensed Light" w:cs="Calibri"/>
                <w:sz w:val="20"/>
                <w:szCs w:val="20"/>
              </w:rPr>
            </w:pPr>
            <w:r w:rsidRPr="00220DC4">
              <w:rPr>
                <w:rFonts w:ascii="Futura Std Condensed Light" w:eastAsia="Calibri" w:hAnsi="Futura Std Condensed Light" w:cs="Calibri"/>
                <w:sz w:val="20"/>
                <w:szCs w:val="20"/>
              </w:rPr>
              <w:t xml:space="preserve">Fondo </w:t>
            </w:r>
            <w:r>
              <w:rPr>
                <w:rFonts w:ascii="Futura Std Condensed Light" w:eastAsia="Calibri" w:hAnsi="Futura Std Condensed Light" w:cs="Calibri"/>
                <w:sz w:val="20"/>
                <w:szCs w:val="20"/>
              </w:rPr>
              <w:t>d</w:t>
            </w:r>
            <w:r w:rsidRPr="00220DC4">
              <w:rPr>
                <w:rFonts w:ascii="Futura Std Condensed Light" w:eastAsia="Calibri" w:hAnsi="Futura Std Condensed Light" w:cs="Calibri"/>
                <w:sz w:val="20"/>
                <w:szCs w:val="20"/>
              </w:rPr>
              <w:t xml:space="preserve">e Aportaciones Múltiples Nivel Básico </w:t>
            </w:r>
            <w:r w:rsidR="006D148B" w:rsidRPr="00220DC4">
              <w:rPr>
                <w:rFonts w:ascii="Futura Std Condensed Light" w:eastAsia="Calibri" w:hAnsi="Futura Std Condensed Light" w:cs="Calibri"/>
                <w:sz w:val="20"/>
                <w:szCs w:val="20"/>
              </w:rPr>
              <w:t>FAM</w:t>
            </w:r>
          </w:p>
        </w:tc>
        <w:tc>
          <w:tcPr>
            <w:tcW w:w="624" w:type="dxa"/>
            <w:shd w:val="clear" w:color="auto" w:fill="auto"/>
            <w:noWrap/>
            <w:vAlign w:val="center"/>
          </w:tcPr>
          <w:p w14:paraId="21A0393F" w14:textId="77777777" w:rsidR="006D148B" w:rsidRPr="00220DC4" w:rsidRDefault="006D148B" w:rsidP="009E3B2F">
            <w:pPr>
              <w:spacing w:after="120" w:line="240" w:lineRule="auto"/>
              <w:jc w:val="center"/>
              <w:rPr>
                <w:rFonts w:ascii="Futura Std Condensed Light" w:eastAsia="Calibri" w:hAnsi="Futura Std Condensed Light" w:cs="Calibri"/>
                <w:sz w:val="20"/>
                <w:szCs w:val="20"/>
              </w:rPr>
            </w:pPr>
            <w:r w:rsidRPr="00220DC4">
              <w:rPr>
                <w:rFonts w:ascii="Futura Std Condensed Light" w:eastAsia="Calibri" w:hAnsi="Futura Std Condensed Light" w:cs="Calibri"/>
                <w:sz w:val="20"/>
                <w:szCs w:val="20"/>
              </w:rPr>
              <w:t>336</w:t>
            </w:r>
          </w:p>
        </w:tc>
        <w:tc>
          <w:tcPr>
            <w:tcW w:w="794" w:type="dxa"/>
            <w:gridSpan w:val="3"/>
            <w:shd w:val="clear" w:color="auto" w:fill="auto"/>
            <w:noWrap/>
            <w:vAlign w:val="center"/>
          </w:tcPr>
          <w:p w14:paraId="1AC0F9F5" w14:textId="77777777" w:rsidR="006D148B" w:rsidRPr="00220DC4" w:rsidRDefault="006D148B" w:rsidP="009E3B2F">
            <w:pPr>
              <w:spacing w:after="120" w:line="240" w:lineRule="auto"/>
              <w:jc w:val="center"/>
              <w:rPr>
                <w:rFonts w:ascii="Futura Std Condensed Light" w:eastAsia="Calibri" w:hAnsi="Futura Std Condensed Light" w:cs="Calibri"/>
                <w:sz w:val="20"/>
                <w:szCs w:val="20"/>
              </w:rPr>
            </w:pPr>
            <w:r w:rsidRPr="00220DC4">
              <w:rPr>
                <w:rFonts w:ascii="Futura Std Condensed Light" w:eastAsia="Calibri" w:hAnsi="Futura Std Condensed Light" w:cs="Calibri"/>
                <w:sz w:val="20"/>
                <w:szCs w:val="20"/>
              </w:rPr>
              <w:t>1078</w:t>
            </w:r>
          </w:p>
        </w:tc>
        <w:tc>
          <w:tcPr>
            <w:tcW w:w="456" w:type="dxa"/>
            <w:shd w:val="clear" w:color="auto" w:fill="auto"/>
            <w:noWrap/>
            <w:vAlign w:val="center"/>
          </w:tcPr>
          <w:p w14:paraId="7841FE32" w14:textId="77777777" w:rsidR="006D148B" w:rsidRPr="00220DC4" w:rsidRDefault="006D148B" w:rsidP="009E3B2F">
            <w:pPr>
              <w:spacing w:after="120" w:line="240" w:lineRule="auto"/>
              <w:jc w:val="center"/>
              <w:rPr>
                <w:rFonts w:ascii="Futura Std Condensed Light" w:eastAsia="Calibri" w:hAnsi="Futura Std Condensed Light" w:cs="Calibri"/>
                <w:sz w:val="20"/>
                <w:szCs w:val="20"/>
              </w:rPr>
            </w:pPr>
            <w:r w:rsidRPr="00220DC4">
              <w:rPr>
                <w:rFonts w:ascii="Futura Std Condensed Light" w:eastAsia="Calibri" w:hAnsi="Futura Std Condensed Light" w:cs="Calibri"/>
                <w:sz w:val="20"/>
                <w:szCs w:val="20"/>
              </w:rPr>
              <w:t>2</w:t>
            </w:r>
          </w:p>
        </w:tc>
        <w:tc>
          <w:tcPr>
            <w:tcW w:w="625" w:type="dxa"/>
            <w:gridSpan w:val="2"/>
            <w:shd w:val="clear" w:color="auto" w:fill="auto"/>
            <w:noWrap/>
            <w:vAlign w:val="center"/>
          </w:tcPr>
          <w:p w14:paraId="16C1CE56" w14:textId="77777777" w:rsidR="006D148B" w:rsidRPr="00220DC4" w:rsidRDefault="006D148B" w:rsidP="009E3B2F">
            <w:pPr>
              <w:spacing w:after="120" w:line="240" w:lineRule="auto"/>
              <w:jc w:val="center"/>
              <w:rPr>
                <w:rFonts w:ascii="Futura Std Condensed Light" w:eastAsia="Calibri" w:hAnsi="Futura Std Condensed Light" w:cs="Calibri"/>
                <w:sz w:val="20"/>
                <w:szCs w:val="20"/>
              </w:rPr>
            </w:pPr>
            <w:r w:rsidRPr="00220DC4">
              <w:rPr>
                <w:rFonts w:ascii="Futura Std Condensed Light" w:eastAsia="Calibri" w:hAnsi="Futura Std Condensed Light" w:cs="Calibri"/>
                <w:sz w:val="20"/>
                <w:szCs w:val="20"/>
              </w:rPr>
              <w:t>0</w:t>
            </w:r>
          </w:p>
        </w:tc>
        <w:tc>
          <w:tcPr>
            <w:tcW w:w="625" w:type="dxa"/>
            <w:gridSpan w:val="2"/>
            <w:shd w:val="clear" w:color="auto" w:fill="auto"/>
            <w:noWrap/>
            <w:vAlign w:val="center"/>
          </w:tcPr>
          <w:p w14:paraId="24156A9F" w14:textId="77777777" w:rsidR="006D148B" w:rsidRPr="00220DC4" w:rsidRDefault="006D148B" w:rsidP="009E3B2F">
            <w:pPr>
              <w:spacing w:after="120" w:line="240" w:lineRule="auto"/>
              <w:jc w:val="center"/>
              <w:rPr>
                <w:rFonts w:ascii="Futura Std Condensed Light" w:eastAsia="Calibri" w:hAnsi="Futura Std Condensed Light" w:cs="Calibri"/>
                <w:sz w:val="20"/>
                <w:szCs w:val="20"/>
              </w:rPr>
            </w:pPr>
            <w:r w:rsidRPr="00220DC4">
              <w:rPr>
                <w:rFonts w:ascii="Futura Std Condensed Light" w:eastAsia="Calibri" w:hAnsi="Futura Std Condensed Light" w:cs="Calibri"/>
                <w:sz w:val="20"/>
                <w:szCs w:val="20"/>
              </w:rPr>
              <w:t>84</w:t>
            </w:r>
          </w:p>
        </w:tc>
        <w:tc>
          <w:tcPr>
            <w:tcW w:w="1713" w:type="dxa"/>
            <w:shd w:val="clear" w:color="auto" w:fill="auto"/>
            <w:noWrap/>
            <w:vAlign w:val="center"/>
          </w:tcPr>
          <w:p w14:paraId="64A82423" w14:textId="77777777" w:rsidR="006D148B" w:rsidRPr="00220DC4" w:rsidRDefault="006D148B" w:rsidP="009E3B2F">
            <w:pPr>
              <w:spacing w:after="120" w:line="240" w:lineRule="auto"/>
              <w:jc w:val="right"/>
              <w:rPr>
                <w:rFonts w:ascii="Futura Std Condensed Light" w:eastAsia="Calibri" w:hAnsi="Futura Std Condensed Light" w:cs="Calibri"/>
                <w:sz w:val="20"/>
                <w:szCs w:val="20"/>
              </w:rPr>
            </w:pPr>
            <w:r w:rsidRPr="00220DC4">
              <w:rPr>
                <w:rFonts w:ascii="Futura Std Condensed Light" w:eastAsia="Calibri" w:hAnsi="Futura Std Condensed Light" w:cs="Calibri"/>
                <w:sz w:val="20"/>
                <w:szCs w:val="20"/>
              </w:rPr>
              <w:t>$269,051,451.70</w:t>
            </w:r>
          </w:p>
        </w:tc>
        <w:tc>
          <w:tcPr>
            <w:tcW w:w="1134" w:type="dxa"/>
            <w:shd w:val="clear" w:color="auto" w:fill="auto"/>
            <w:vAlign w:val="center"/>
            <w:hideMark/>
          </w:tcPr>
          <w:p w14:paraId="217F2C68" w14:textId="77777777" w:rsidR="006D148B" w:rsidRPr="00220DC4" w:rsidRDefault="006D148B" w:rsidP="009E3B2F">
            <w:pPr>
              <w:spacing w:after="120" w:line="240" w:lineRule="auto"/>
              <w:jc w:val="center"/>
              <w:rPr>
                <w:rFonts w:ascii="Futura Std Condensed Light" w:eastAsia="Calibri" w:hAnsi="Futura Std Condensed Light" w:cs="Calibri"/>
                <w:sz w:val="20"/>
                <w:szCs w:val="20"/>
              </w:rPr>
            </w:pPr>
            <w:r w:rsidRPr="00220DC4">
              <w:rPr>
                <w:rFonts w:ascii="Futura Std Condensed Light" w:eastAsia="Calibri" w:hAnsi="Futura Std Condensed Light" w:cs="Calibri"/>
                <w:sz w:val="20"/>
                <w:szCs w:val="20"/>
              </w:rPr>
              <w:t>BÁSICO</w:t>
            </w:r>
          </w:p>
        </w:tc>
      </w:tr>
      <w:tr w:rsidR="006D148B" w:rsidRPr="00B141B9" w14:paraId="7900A910" w14:textId="77777777" w:rsidTr="008D78F1">
        <w:trPr>
          <w:trHeight w:val="207"/>
          <w:jc w:val="center"/>
        </w:trPr>
        <w:tc>
          <w:tcPr>
            <w:tcW w:w="3539" w:type="dxa"/>
            <w:shd w:val="clear" w:color="auto" w:fill="auto"/>
            <w:vAlign w:val="center"/>
          </w:tcPr>
          <w:p w14:paraId="2DF88A96" w14:textId="5B6BC8A5" w:rsidR="006D148B" w:rsidRPr="00220DC4" w:rsidRDefault="00220DC4" w:rsidP="00220DC4">
            <w:pPr>
              <w:spacing w:after="120" w:line="240" w:lineRule="auto"/>
              <w:jc w:val="left"/>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Convenio para el Otorgamiento d</w:t>
            </w:r>
            <w:r w:rsidRPr="00220DC4">
              <w:rPr>
                <w:rFonts w:ascii="Futura Std Condensed Light" w:eastAsia="Calibri" w:hAnsi="Futura Std Condensed Light" w:cs="Calibri"/>
                <w:sz w:val="20"/>
                <w:szCs w:val="20"/>
              </w:rPr>
              <w:t xml:space="preserve">e Subsidios </w:t>
            </w:r>
            <w:r>
              <w:rPr>
                <w:rFonts w:ascii="Futura Std Condensed Light" w:eastAsia="Calibri" w:hAnsi="Futura Std Condensed Light" w:cs="Calibri"/>
                <w:sz w:val="20"/>
                <w:szCs w:val="20"/>
              </w:rPr>
              <w:t>del Fondo p</w:t>
            </w:r>
            <w:r w:rsidRPr="00220DC4">
              <w:rPr>
                <w:rFonts w:ascii="Futura Std Condensed Light" w:eastAsia="Calibri" w:hAnsi="Futura Std Condensed Light" w:cs="Calibri"/>
                <w:sz w:val="20"/>
                <w:szCs w:val="20"/>
              </w:rPr>
              <w:t xml:space="preserve">ara </w:t>
            </w:r>
            <w:r>
              <w:rPr>
                <w:rFonts w:ascii="Futura Std Condensed Light" w:eastAsia="Calibri" w:hAnsi="Futura Std Condensed Light" w:cs="Calibri"/>
                <w:sz w:val="20"/>
                <w:szCs w:val="20"/>
              </w:rPr>
              <w:t>el Fortalecimiento Financiero p</w:t>
            </w:r>
            <w:r w:rsidRPr="00220DC4">
              <w:rPr>
                <w:rFonts w:ascii="Futura Std Condensed Light" w:eastAsia="Calibri" w:hAnsi="Futura Std Condensed Light" w:cs="Calibri"/>
                <w:sz w:val="20"/>
                <w:szCs w:val="20"/>
              </w:rPr>
              <w:t>ara Inversión 2018</w:t>
            </w:r>
          </w:p>
        </w:tc>
        <w:tc>
          <w:tcPr>
            <w:tcW w:w="624" w:type="dxa"/>
            <w:shd w:val="clear" w:color="auto" w:fill="auto"/>
            <w:noWrap/>
            <w:vAlign w:val="center"/>
          </w:tcPr>
          <w:p w14:paraId="32E969F8" w14:textId="77777777" w:rsidR="006D148B" w:rsidRPr="00220DC4" w:rsidRDefault="006D148B" w:rsidP="009E3B2F">
            <w:pPr>
              <w:spacing w:after="120" w:line="240" w:lineRule="auto"/>
              <w:jc w:val="center"/>
              <w:rPr>
                <w:rFonts w:ascii="Futura Std Condensed Light" w:eastAsia="Calibri" w:hAnsi="Futura Std Condensed Light" w:cs="Calibri"/>
                <w:sz w:val="20"/>
                <w:szCs w:val="20"/>
              </w:rPr>
            </w:pPr>
            <w:r w:rsidRPr="00220DC4">
              <w:rPr>
                <w:rFonts w:ascii="Futura Std Condensed Light" w:eastAsia="Calibri" w:hAnsi="Futura Std Condensed Light" w:cs="Calibri"/>
                <w:sz w:val="20"/>
                <w:szCs w:val="20"/>
              </w:rPr>
              <w:t>4</w:t>
            </w:r>
          </w:p>
        </w:tc>
        <w:tc>
          <w:tcPr>
            <w:tcW w:w="794" w:type="dxa"/>
            <w:gridSpan w:val="3"/>
            <w:shd w:val="clear" w:color="auto" w:fill="auto"/>
            <w:noWrap/>
            <w:vAlign w:val="center"/>
          </w:tcPr>
          <w:p w14:paraId="3F9321E4" w14:textId="77777777" w:rsidR="006D148B" w:rsidRPr="00220DC4" w:rsidRDefault="006D148B" w:rsidP="009E3B2F">
            <w:pPr>
              <w:spacing w:after="120" w:line="240" w:lineRule="auto"/>
              <w:jc w:val="center"/>
              <w:rPr>
                <w:rFonts w:ascii="Futura Std Condensed Light" w:eastAsia="Calibri" w:hAnsi="Futura Std Condensed Light" w:cs="Calibri"/>
                <w:sz w:val="20"/>
                <w:szCs w:val="20"/>
              </w:rPr>
            </w:pPr>
            <w:r w:rsidRPr="00220DC4">
              <w:rPr>
                <w:rFonts w:ascii="Futura Std Condensed Light" w:eastAsia="Calibri" w:hAnsi="Futura Std Condensed Light" w:cs="Calibri"/>
                <w:sz w:val="20"/>
                <w:szCs w:val="20"/>
              </w:rPr>
              <w:t>0</w:t>
            </w:r>
          </w:p>
        </w:tc>
        <w:tc>
          <w:tcPr>
            <w:tcW w:w="456" w:type="dxa"/>
            <w:shd w:val="clear" w:color="auto" w:fill="auto"/>
            <w:noWrap/>
            <w:vAlign w:val="center"/>
          </w:tcPr>
          <w:p w14:paraId="0A87F6A8" w14:textId="77777777" w:rsidR="006D148B" w:rsidRPr="00220DC4" w:rsidRDefault="006D148B" w:rsidP="009E3B2F">
            <w:pPr>
              <w:spacing w:after="120" w:line="240" w:lineRule="auto"/>
              <w:jc w:val="center"/>
              <w:rPr>
                <w:rFonts w:ascii="Futura Std Condensed Light" w:eastAsia="Calibri" w:hAnsi="Futura Std Condensed Light" w:cs="Calibri"/>
                <w:sz w:val="20"/>
                <w:szCs w:val="20"/>
              </w:rPr>
            </w:pPr>
            <w:r w:rsidRPr="00220DC4">
              <w:rPr>
                <w:rFonts w:ascii="Futura Std Condensed Light" w:eastAsia="Calibri" w:hAnsi="Futura Std Condensed Light" w:cs="Calibri"/>
                <w:sz w:val="20"/>
                <w:szCs w:val="20"/>
              </w:rPr>
              <w:t>0</w:t>
            </w:r>
          </w:p>
        </w:tc>
        <w:tc>
          <w:tcPr>
            <w:tcW w:w="625" w:type="dxa"/>
            <w:gridSpan w:val="2"/>
            <w:shd w:val="clear" w:color="auto" w:fill="auto"/>
            <w:noWrap/>
            <w:vAlign w:val="center"/>
          </w:tcPr>
          <w:p w14:paraId="1D0E41CE" w14:textId="77777777" w:rsidR="006D148B" w:rsidRPr="00220DC4" w:rsidRDefault="006D148B" w:rsidP="009E3B2F">
            <w:pPr>
              <w:spacing w:after="120" w:line="240" w:lineRule="auto"/>
              <w:jc w:val="center"/>
              <w:rPr>
                <w:rFonts w:ascii="Futura Std Condensed Light" w:eastAsia="Calibri" w:hAnsi="Futura Std Condensed Light" w:cs="Calibri"/>
                <w:sz w:val="20"/>
                <w:szCs w:val="20"/>
              </w:rPr>
            </w:pPr>
            <w:r w:rsidRPr="00220DC4">
              <w:rPr>
                <w:rFonts w:ascii="Futura Std Condensed Light" w:eastAsia="Calibri" w:hAnsi="Futura Std Condensed Light" w:cs="Calibri"/>
                <w:sz w:val="20"/>
                <w:szCs w:val="20"/>
              </w:rPr>
              <w:t>0</w:t>
            </w:r>
          </w:p>
        </w:tc>
        <w:tc>
          <w:tcPr>
            <w:tcW w:w="625" w:type="dxa"/>
            <w:gridSpan w:val="2"/>
            <w:shd w:val="clear" w:color="auto" w:fill="auto"/>
            <w:noWrap/>
            <w:vAlign w:val="center"/>
          </w:tcPr>
          <w:p w14:paraId="46FF4D35" w14:textId="77777777" w:rsidR="006D148B" w:rsidRPr="00220DC4" w:rsidRDefault="006D148B" w:rsidP="009E3B2F">
            <w:pPr>
              <w:spacing w:after="120" w:line="240" w:lineRule="auto"/>
              <w:jc w:val="center"/>
              <w:rPr>
                <w:rFonts w:ascii="Futura Std Condensed Light" w:eastAsia="Calibri" w:hAnsi="Futura Std Condensed Light" w:cs="Calibri"/>
                <w:sz w:val="20"/>
                <w:szCs w:val="20"/>
              </w:rPr>
            </w:pPr>
            <w:r w:rsidRPr="00220DC4">
              <w:rPr>
                <w:rFonts w:ascii="Futura Std Condensed Light" w:eastAsia="Calibri" w:hAnsi="Futura Std Condensed Light" w:cs="Calibri"/>
                <w:sz w:val="20"/>
                <w:szCs w:val="20"/>
              </w:rPr>
              <w:t>0</w:t>
            </w:r>
          </w:p>
        </w:tc>
        <w:tc>
          <w:tcPr>
            <w:tcW w:w="1713" w:type="dxa"/>
            <w:shd w:val="clear" w:color="auto" w:fill="auto"/>
            <w:noWrap/>
            <w:vAlign w:val="center"/>
          </w:tcPr>
          <w:p w14:paraId="4B41CE22" w14:textId="77777777" w:rsidR="006D148B" w:rsidRPr="00220DC4" w:rsidRDefault="006D148B" w:rsidP="009E3B2F">
            <w:pPr>
              <w:spacing w:after="120" w:line="240" w:lineRule="auto"/>
              <w:jc w:val="right"/>
              <w:rPr>
                <w:rFonts w:ascii="Futura Std Condensed Light" w:eastAsia="Calibri" w:hAnsi="Futura Std Condensed Light" w:cs="Calibri"/>
                <w:sz w:val="20"/>
                <w:szCs w:val="20"/>
              </w:rPr>
            </w:pPr>
            <w:r w:rsidRPr="00220DC4">
              <w:rPr>
                <w:rFonts w:ascii="Futura Std Condensed Light" w:eastAsia="Calibri" w:hAnsi="Futura Std Condensed Light" w:cs="Calibri"/>
                <w:sz w:val="20"/>
                <w:szCs w:val="20"/>
              </w:rPr>
              <w:t>$2,464,606.00</w:t>
            </w:r>
          </w:p>
        </w:tc>
        <w:tc>
          <w:tcPr>
            <w:tcW w:w="1134" w:type="dxa"/>
            <w:shd w:val="clear" w:color="auto" w:fill="auto"/>
            <w:vAlign w:val="center"/>
            <w:hideMark/>
          </w:tcPr>
          <w:p w14:paraId="368DCD10" w14:textId="77777777" w:rsidR="006D148B" w:rsidRPr="00220DC4" w:rsidRDefault="006D148B" w:rsidP="009E3B2F">
            <w:pPr>
              <w:spacing w:after="120" w:line="240" w:lineRule="auto"/>
              <w:jc w:val="center"/>
              <w:rPr>
                <w:rFonts w:ascii="Futura Std Condensed Light" w:eastAsia="Calibri" w:hAnsi="Futura Std Condensed Light" w:cs="Calibri"/>
                <w:sz w:val="20"/>
                <w:szCs w:val="20"/>
              </w:rPr>
            </w:pPr>
            <w:r w:rsidRPr="00220DC4">
              <w:rPr>
                <w:rFonts w:ascii="Futura Std Condensed Light" w:eastAsia="Calibri" w:hAnsi="Futura Std Condensed Light" w:cs="Calibri"/>
                <w:sz w:val="20"/>
                <w:szCs w:val="20"/>
              </w:rPr>
              <w:t>BÁSICO</w:t>
            </w:r>
          </w:p>
        </w:tc>
      </w:tr>
      <w:tr w:rsidR="006D148B" w:rsidRPr="00B141B9" w14:paraId="4011DD2E" w14:textId="77777777" w:rsidTr="008D78F1">
        <w:trPr>
          <w:trHeight w:val="70"/>
          <w:jc w:val="center"/>
        </w:trPr>
        <w:tc>
          <w:tcPr>
            <w:tcW w:w="3539" w:type="dxa"/>
            <w:shd w:val="clear" w:color="auto" w:fill="auto"/>
            <w:vAlign w:val="center"/>
          </w:tcPr>
          <w:p w14:paraId="2962CB3E" w14:textId="77777777" w:rsidR="006D148B" w:rsidRPr="00220DC4" w:rsidRDefault="006D148B" w:rsidP="00220DC4">
            <w:pPr>
              <w:spacing w:after="120" w:line="240" w:lineRule="auto"/>
              <w:jc w:val="left"/>
              <w:rPr>
                <w:rFonts w:ascii="Futura Std Condensed Light" w:eastAsia="Calibri" w:hAnsi="Futura Std Condensed Light" w:cs="Calibri"/>
                <w:sz w:val="20"/>
                <w:szCs w:val="20"/>
              </w:rPr>
            </w:pPr>
            <w:r w:rsidRPr="00220DC4">
              <w:rPr>
                <w:rFonts w:ascii="Futura Std Condensed Light" w:eastAsia="Calibri" w:hAnsi="Futura Std Condensed Light" w:cs="Calibri"/>
                <w:sz w:val="20"/>
                <w:szCs w:val="20"/>
              </w:rPr>
              <w:t>PACTEN</w:t>
            </w:r>
          </w:p>
        </w:tc>
        <w:tc>
          <w:tcPr>
            <w:tcW w:w="624" w:type="dxa"/>
            <w:shd w:val="clear" w:color="auto" w:fill="auto"/>
            <w:noWrap/>
            <w:vAlign w:val="center"/>
          </w:tcPr>
          <w:p w14:paraId="4E1BC9E3" w14:textId="77777777" w:rsidR="006D148B" w:rsidRPr="00220DC4" w:rsidRDefault="006D148B" w:rsidP="009E3B2F">
            <w:pPr>
              <w:spacing w:after="120" w:line="240" w:lineRule="auto"/>
              <w:jc w:val="center"/>
              <w:rPr>
                <w:rFonts w:ascii="Futura Std Condensed Light" w:eastAsia="Calibri" w:hAnsi="Futura Std Condensed Light" w:cs="Calibri"/>
                <w:sz w:val="20"/>
                <w:szCs w:val="20"/>
              </w:rPr>
            </w:pPr>
            <w:r w:rsidRPr="00220DC4">
              <w:rPr>
                <w:rFonts w:ascii="Futura Std Condensed Light" w:eastAsia="Calibri" w:hAnsi="Futura Std Condensed Light" w:cs="Calibri"/>
                <w:sz w:val="20"/>
                <w:szCs w:val="20"/>
              </w:rPr>
              <w:t>2</w:t>
            </w:r>
          </w:p>
        </w:tc>
        <w:tc>
          <w:tcPr>
            <w:tcW w:w="794" w:type="dxa"/>
            <w:gridSpan w:val="3"/>
            <w:shd w:val="clear" w:color="auto" w:fill="auto"/>
            <w:noWrap/>
            <w:vAlign w:val="center"/>
          </w:tcPr>
          <w:p w14:paraId="1B1CE46E" w14:textId="77777777" w:rsidR="006D148B" w:rsidRPr="00220DC4" w:rsidRDefault="006D148B" w:rsidP="009E3B2F">
            <w:pPr>
              <w:spacing w:after="120" w:line="240" w:lineRule="auto"/>
              <w:jc w:val="center"/>
              <w:rPr>
                <w:rFonts w:ascii="Futura Std Condensed Light" w:eastAsia="Calibri" w:hAnsi="Futura Std Condensed Light" w:cs="Calibri"/>
                <w:sz w:val="20"/>
                <w:szCs w:val="20"/>
              </w:rPr>
            </w:pPr>
            <w:r w:rsidRPr="00220DC4">
              <w:rPr>
                <w:rFonts w:ascii="Futura Std Condensed Light" w:eastAsia="Calibri" w:hAnsi="Futura Std Condensed Light" w:cs="Calibri"/>
                <w:sz w:val="20"/>
                <w:szCs w:val="20"/>
              </w:rPr>
              <w:t>0</w:t>
            </w:r>
          </w:p>
        </w:tc>
        <w:tc>
          <w:tcPr>
            <w:tcW w:w="456" w:type="dxa"/>
            <w:shd w:val="clear" w:color="auto" w:fill="auto"/>
            <w:noWrap/>
            <w:vAlign w:val="center"/>
          </w:tcPr>
          <w:p w14:paraId="3E741711" w14:textId="77777777" w:rsidR="006D148B" w:rsidRPr="00220DC4" w:rsidRDefault="006D148B" w:rsidP="009E3B2F">
            <w:pPr>
              <w:spacing w:after="120" w:line="240" w:lineRule="auto"/>
              <w:jc w:val="center"/>
              <w:rPr>
                <w:rFonts w:ascii="Futura Std Condensed Light" w:eastAsia="Calibri" w:hAnsi="Futura Std Condensed Light" w:cs="Calibri"/>
                <w:sz w:val="20"/>
                <w:szCs w:val="20"/>
              </w:rPr>
            </w:pPr>
            <w:r w:rsidRPr="00220DC4">
              <w:rPr>
                <w:rFonts w:ascii="Futura Std Condensed Light" w:eastAsia="Calibri" w:hAnsi="Futura Std Condensed Light" w:cs="Calibri"/>
                <w:sz w:val="20"/>
                <w:szCs w:val="20"/>
              </w:rPr>
              <w:t>0</w:t>
            </w:r>
          </w:p>
        </w:tc>
        <w:tc>
          <w:tcPr>
            <w:tcW w:w="625" w:type="dxa"/>
            <w:gridSpan w:val="2"/>
            <w:shd w:val="clear" w:color="auto" w:fill="auto"/>
            <w:noWrap/>
            <w:vAlign w:val="center"/>
          </w:tcPr>
          <w:p w14:paraId="06A5CF7B" w14:textId="77777777" w:rsidR="006D148B" w:rsidRPr="00220DC4" w:rsidRDefault="006D148B" w:rsidP="009E3B2F">
            <w:pPr>
              <w:spacing w:after="120" w:line="240" w:lineRule="auto"/>
              <w:jc w:val="center"/>
              <w:rPr>
                <w:rFonts w:ascii="Futura Std Condensed Light" w:eastAsia="Calibri" w:hAnsi="Futura Std Condensed Light" w:cs="Calibri"/>
                <w:sz w:val="20"/>
                <w:szCs w:val="20"/>
              </w:rPr>
            </w:pPr>
            <w:r w:rsidRPr="00220DC4">
              <w:rPr>
                <w:rFonts w:ascii="Futura Std Condensed Light" w:eastAsia="Calibri" w:hAnsi="Futura Std Condensed Light" w:cs="Calibri"/>
                <w:sz w:val="20"/>
                <w:szCs w:val="20"/>
              </w:rPr>
              <w:t>0</w:t>
            </w:r>
          </w:p>
        </w:tc>
        <w:tc>
          <w:tcPr>
            <w:tcW w:w="625" w:type="dxa"/>
            <w:gridSpan w:val="2"/>
            <w:shd w:val="clear" w:color="auto" w:fill="auto"/>
            <w:noWrap/>
            <w:vAlign w:val="center"/>
          </w:tcPr>
          <w:p w14:paraId="22154F2B" w14:textId="77777777" w:rsidR="006D148B" w:rsidRPr="00220DC4" w:rsidRDefault="006D148B" w:rsidP="009E3B2F">
            <w:pPr>
              <w:spacing w:after="120" w:line="240" w:lineRule="auto"/>
              <w:jc w:val="center"/>
              <w:rPr>
                <w:rFonts w:ascii="Futura Std Condensed Light" w:eastAsia="Calibri" w:hAnsi="Futura Std Condensed Light" w:cs="Calibri"/>
                <w:sz w:val="20"/>
                <w:szCs w:val="20"/>
              </w:rPr>
            </w:pPr>
            <w:r w:rsidRPr="00220DC4">
              <w:rPr>
                <w:rFonts w:ascii="Futura Std Condensed Light" w:eastAsia="Calibri" w:hAnsi="Futura Std Condensed Light" w:cs="Calibri"/>
                <w:sz w:val="20"/>
                <w:szCs w:val="20"/>
              </w:rPr>
              <w:t>0</w:t>
            </w:r>
          </w:p>
        </w:tc>
        <w:tc>
          <w:tcPr>
            <w:tcW w:w="1713" w:type="dxa"/>
            <w:shd w:val="clear" w:color="auto" w:fill="auto"/>
            <w:noWrap/>
            <w:vAlign w:val="center"/>
          </w:tcPr>
          <w:p w14:paraId="268AE1EA" w14:textId="77777777" w:rsidR="006D148B" w:rsidRPr="00220DC4" w:rsidRDefault="006D148B" w:rsidP="009E3B2F">
            <w:pPr>
              <w:spacing w:after="120" w:line="240" w:lineRule="auto"/>
              <w:jc w:val="right"/>
              <w:rPr>
                <w:rFonts w:ascii="Futura Std Condensed Light" w:eastAsia="Calibri" w:hAnsi="Futura Std Condensed Light" w:cs="Calibri"/>
                <w:sz w:val="20"/>
                <w:szCs w:val="20"/>
              </w:rPr>
            </w:pPr>
            <w:r w:rsidRPr="00220DC4">
              <w:rPr>
                <w:rFonts w:ascii="Futura Std Condensed Light" w:eastAsia="Calibri" w:hAnsi="Futura Std Condensed Light" w:cs="Calibri"/>
                <w:sz w:val="20"/>
                <w:szCs w:val="20"/>
              </w:rPr>
              <w:t>$1,336,881.31</w:t>
            </w:r>
          </w:p>
        </w:tc>
        <w:tc>
          <w:tcPr>
            <w:tcW w:w="1134" w:type="dxa"/>
            <w:shd w:val="clear" w:color="auto" w:fill="auto"/>
            <w:vAlign w:val="center"/>
            <w:hideMark/>
          </w:tcPr>
          <w:p w14:paraId="390997D0" w14:textId="77777777" w:rsidR="006D148B" w:rsidRPr="00220DC4" w:rsidRDefault="006D148B" w:rsidP="009E3B2F">
            <w:pPr>
              <w:spacing w:after="120" w:line="240" w:lineRule="auto"/>
              <w:jc w:val="center"/>
              <w:rPr>
                <w:rFonts w:ascii="Futura Std Condensed Light" w:eastAsia="Calibri" w:hAnsi="Futura Std Condensed Light" w:cs="Calibri"/>
                <w:sz w:val="20"/>
                <w:szCs w:val="20"/>
              </w:rPr>
            </w:pPr>
            <w:r w:rsidRPr="00220DC4">
              <w:rPr>
                <w:rFonts w:ascii="Futura Std Condensed Light" w:eastAsia="Calibri" w:hAnsi="Futura Std Condensed Light" w:cs="Calibri"/>
                <w:sz w:val="20"/>
                <w:szCs w:val="20"/>
              </w:rPr>
              <w:t>BÁSICO</w:t>
            </w:r>
          </w:p>
        </w:tc>
      </w:tr>
      <w:tr w:rsidR="006D148B" w:rsidRPr="00B141B9" w14:paraId="7229C678" w14:textId="77777777" w:rsidTr="008D78F1">
        <w:trPr>
          <w:trHeight w:val="380"/>
          <w:jc w:val="center"/>
        </w:trPr>
        <w:tc>
          <w:tcPr>
            <w:tcW w:w="3539" w:type="dxa"/>
            <w:shd w:val="clear" w:color="auto" w:fill="auto"/>
            <w:vAlign w:val="center"/>
          </w:tcPr>
          <w:p w14:paraId="085F06A8" w14:textId="77777777" w:rsidR="006D148B" w:rsidRPr="00220DC4" w:rsidRDefault="006D148B" w:rsidP="00220DC4">
            <w:pPr>
              <w:spacing w:after="120" w:line="240" w:lineRule="auto"/>
              <w:jc w:val="left"/>
              <w:rPr>
                <w:rFonts w:ascii="Futura Std Condensed Light" w:eastAsia="Calibri" w:hAnsi="Futura Std Condensed Light" w:cs="Calibri"/>
                <w:sz w:val="20"/>
                <w:szCs w:val="20"/>
              </w:rPr>
            </w:pPr>
            <w:r w:rsidRPr="00220DC4">
              <w:rPr>
                <w:rFonts w:ascii="Futura Std Condensed Light" w:eastAsia="Calibri" w:hAnsi="Futura Std Condensed Light" w:cs="Calibri"/>
                <w:sz w:val="20"/>
                <w:szCs w:val="20"/>
              </w:rPr>
              <w:t>PEEI</w:t>
            </w:r>
          </w:p>
        </w:tc>
        <w:tc>
          <w:tcPr>
            <w:tcW w:w="624" w:type="dxa"/>
            <w:shd w:val="clear" w:color="auto" w:fill="auto"/>
            <w:noWrap/>
            <w:vAlign w:val="center"/>
          </w:tcPr>
          <w:p w14:paraId="408EFF72" w14:textId="77777777" w:rsidR="006D148B" w:rsidRPr="00220DC4" w:rsidRDefault="006D148B" w:rsidP="009E3B2F">
            <w:pPr>
              <w:spacing w:after="120" w:line="240" w:lineRule="auto"/>
              <w:jc w:val="center"/>
              <w:rPr>
                <w:rFonts w:ascii="Futura Std Condensed Light" w:eastAsia="Calibri" w:hAnsi="Futura Std Condensed Light" w:cs="Calibri"/>
                <w:sz w:val="20"/>
                <w:szCs w:val="20"/>
              </w:rPr>
            </w:pPr>
            <w:r w:rsidRPr="00220DC4">
              <w:rPr>
                <w:rFonts w:ascii="Futura Std Condensed Light" w:eastAsia="Calibri" w:hAnsi="Futura Std Condensed Light" w:cs="Calibri"/>
                <w:sz w:val="20"/>
                <w:szCs w:val="20"/>
              </w:rPr>
              <w:t>2</w:t>
            </w:r>
          </w:p>
        </w:tc>
        <w:tc>
          <w:tcPr>
            <w:tcW w:w="794" w:type="dxa"/>
            <w:gridSpan w:val="3"/>
            <w:shd w:val="clear" w:color="auto" w:fill="auto"/>
            <w:noWrap/>
            <w:vAlign w:val="center"/>
          </w:tcPr>
          <w:p w14:paraId="48EA9CE5" w14:textId="77777777" w:rsidR="006D148B" w:rsidRPr="00220DC4" w:rsidRDefault="006D148B" w:rsidP="009E3B2F">
            <w:pPr>
              <w:spacing w:after="120" w:line="240" w:lineRule="auto"/>
              <w:jc w:val="center"/>
              <w:rPr>
                <w:rFonts w:ascii="Futura Std Condensed Light" w:eastAsia="Calibri" w:hAnsi="Futura Std Condensed Light" w:cs="Calibri"/>
                <w:sz w:val="20"/>
                <w:szCs w:val="20"/>
              </w:rPr>
            </w:pPr>
            <w:r w:rsidRPr="00220DC4">
              <w:rPr>
                <w:rFonts w:ascii="Futura Std Condensed Light" w:eastAsia="Calibri" w:hAnsi="Futura Std Condensed Light" w:cs="Calibri"/>
                <w:sz w:val="20"/>
                <w:szCs w:val="20"/>
              </w:rPr>
              <w:t>0</w:t>
            </w:r>
          </w:p>
        </w:tc>
        <w:tc>
          <w:tcPr>
            <w:tcW w:w="456" w:type="dxa"/>
            <w:shd w:val="clear" w:color="auto" w:fill="auto"/>
            <w:noWrap/>
            <w:vAlign w:val="center"/>
          </w:tcPr>
          <w:p w14:paraId="6B91C6EB" w14:textId="77777777" w:rsidR="006D148B" w:rsidRPr="00220DC4" w:rsidRDefault="006D148B" w:rsidP="009E3B2F">
            <w:pPr>
              <w:spacing w:after="120" w:line="240" w:lineRule="auto"/>
              <w:jc w:val="center"/>
              <w:rPr>
                <w:rFonts w:ascii="Futura Std Condensed Light" w:eastAsia="Calibri" w:hAnsi="Futura Std Condensed Light" w:cs="Calibri"/>
                <w:sz w:val="20"/>
                <w:szCs w:val="20"/>
              </w:rPr>
            </w:pPr>
            <w:r w:rsidRPr="00220DC4">
              <w:rPr>
                <w:rFonts w:ascii="Futura Std Condensed Light" w:eastAsia="Calibri" w:hAnsi="Futura Std Condensed Light" w:cs="Calibri"/>
                <w:sz w:val="20"/>
                <w:szCs w:val="20"/>
              </w:rPr>
              <w:t>0</w:t>
            </w:r>
          </w:p>
        </w:tc>
        <w:tc>
          <w:tcPr>
            <w:tcW w:w="625" w:type="dxa"/>
            <w:gridSpan w:val="2"/>
            <w:shd w:val="clear" w:color="auto" w:fill="auto"/>
            <w:noWrap/>
            <w:vAlign w:val="center"/>
          </w:tcPr>
          <w:p w14:paraId="52891B62" w14:textId="77777777" w:rsidR="006D148B" w:rsidRPr="00220DC4" w:rsidRDefault="006D148B" w:rsidP="009E3B2F">
            <w:pPr>
              <w:spacing w:after="120" w:line="240" w:lineRule="auto"/>
              <w:jc w:val="center"/>
              <w:rPr>
                <w:rFonts w:ascii="Futura Std Condensed Light" w:eastAsia="Calibri" w:hAnsi="Futura Std Condensed Light" w:cs="Calibri"/>
                <w:sz w:val="20"/>
                <w:szCs w:val="20"/>
              </w:rPr>
            </w:pPr>
            <w:r w:rsidRPr="00220DC4">
              <w:rPr>
                <w:rFonts w:ascii="Futura Std Condensed Light" w:eastAsia="Calibri" w:hAnsi="Futura Std Condensed Light" w:cs="Calibri"/>
                <w:sz w:val="20"/>
                <w:szCs w:val="20"/>
              </w:rPr>
              <w:t>0</w:t>
            </w:r>
          </w:p>
        </w:tc>
        <w:tc>
          <w:tcPr>
            <w:tcW w:w="625" w:type="dxa"/>
            <w:gridSpan w:val="2"/>
            <w:shd w:val="clear" w:color="auto" w:fill="auto"/>
            <w:noWrap/>
            <w:vAlign w:val="center"/>
          </w:tcPr>
          <w:p w14:paraId="70EC5BBC" w14:textId="77777777" w:rsidR="006D148B" w:rsidRPr="00220DC4" w:rsidRDefault="006D148B" w:rsidP="009E3B2F">
            <w:pPr>
              <w:spacing w:after="120" w:line="240" w:lineRule="auto"/>
              <w:jc w:val="center"/>
              <w:rPr>
                <w:rFonts w:ascii="Futura Std Condensed Light" w:eastAsia="Calibri" w:hAnsi="Futura Std Condensed Light" w:cs="Calibri"/>
                <w:sz w:val="20"/>
                <w:szCs w:val="20"/>
              </w:rPr>
            </w:pPr>
            <w:r w:rsidRPr="00220DC4">
              <w:rPr>
                <w:rFonts w:ascii="Futura Std Condensed Light" w:eastAsia="Calibri" w:hAnsi="Futura Std Condensed Light" w:cs="Calibri"/>
                <w:sz w:val="20"/>
                <w:szCs w:val="20"/>
              </w:rPr>
              <w:t>0</w:t>
            </w:r>
          </w:p>
        </w:tc>
        <w:tc>
          <w:tcPr>
            <w:tcW w:w="1713" w:type="dxa"/>
            <w:shd w:val="clear" w:color="auto" w:fill="auto"/>
            <w:noWrap/>
            <w:vAlign w:val="center"/>
          </w:tcPr>
          <w:p w14:paraId="36883308" w14:textId="77777777" w:rsidR="006D148B" w:rsidRPr="00220DC4" w:rsidRDefault="006D148B" w:rsidP="009E3B2F">
            <w:pPr>
              <w:spacing w:after="120" w:line="240" w:lineRule="auto"/>
              <w:jc w:val="right"/>
              <w:rPr>
                <w:rFonts w:ascii="Futura Std Condensed Light" w:eastAsia="Calibri" w:hAnsi="Futura Std Condensed Light" w:cs="Calibri"/>
                <w:sz w:val="20"/>
                <w:szCs w:val="20"/>
              </w:rPr>
            </w:pPr>
            <w:r w:rsidRPr="00220DC4">
              <w:rPr>
                <w:rFonts w:ascii="Futura Std Condensed Light" w:eastAsia="Calibri" w:hAnsi="Futura Std Condensed Light" w:cs="Calibri"/>
                <w:sz w:val="20"/>
                <w:szCs w:val="20"/>
              </w:rPr>
              <w:t>$1,228,971.39</w:t>
            </w:r>
          </w:p>
        </w:tc>
        <w:tc>
          <w:tcPr>
            <w:tcW w:w="1134" w:type="dxa"/>
            <w:shd w:val="clear" w:color="auto" w:fill="auto"/>
            <w:vAlign w:val="center"/>
            <w:hideMark/>
          </w:tcPr>
          <w:p w14:paraId="221A9DF0" w14:textId="77777777" w:rsidR="006D148B" w:rsidRPr="00220DC4" w:rsidRDefault="006D148B" w:rsidP="009E3B2F">
            <w:pPr>
              <w:spacing w:after="120" w:line="240" w:lineRule="auto"/>
              <w:jc w:val="center"/>
              <w:rPr>
                <w:rFonts w:ascii="Futura Std Condensed Light" w:eastAsia="Calibri" w:hAnsi="Futura Std Condensed Light" w:cs="Calibri"/>
                <w:sz w:val="20"/>
                <w:szCs w:val="20"/>
              </w:rPr>
            </w:pPr>
            <w:r w:rsidRPr="00220DC4">
              <w:rPr>
                <w:rFonts w:ascii="Futura Std Condensed Light" w:eastAsia="Calibri" w:hAnsi="Futura Std Condensed Light" w:cs="Calibri"/>
                <w:sz w:val="20"/>
                <w:szCs w:val="20"/>
              </w:rPr>
              <w:t>BASICO</w:t>
            </w:r>
          </w:p>
        </w:tc>
      </w:tr>
      <w:tr w:rsidR="006D148B" w:rsidRPr="00B141B9" w14:paraId="57B4D23C" w14:textId="77777777" w:rsidTr="008D78F1">
        <w:trPr>
          <w:trHeight w:val="272"/>
          <w:jc w:val="center"/>
        </w:trPr>
        <w:tc>
          <w:tcPr>
            <w:tcW w:w="3539" w:type="dxa"/>
            <w:shd w:val="clear" w:color="auto" w:fill="auto"/>
            <w:vAlign w:val="center"/>
          </w:tcPr>
          <w:p w14:paraId="47AFD1F8" w14:textId="77777777" w:rsidR="006D148B" w:rsidRPr="00220DC4" w:rsidRDefault="006D148B" w:rsidP="00220DC4">
            <w:pPr>
              <w:spacing w:after="120" w:line="240" w:lineRule="auto"/>
              <w:jc w:val="left"/>
              <w:rPr>
                <w:rFonts w:ascii="Futura Std Condensed Light" w:eastAsia="Calibri" w:hAnsi="Futura Std Condensed Light" w:cs="Calibri"/>
                <w:sz w:val="20"/>
                <w:szCs w:val="20"/>
              </w:rPr>
            </w:pPr>
            <w:r w:rsidRPr="00220DC4">
              <w:rPr>
                <w:rFonts w:ascii="Futura Std Condensed Light" w:eastAsia="Calibri" w:hAnsi="Futura Std Condensed Light" w:cs="Calibri"/>
                <w:sz w:val="20"/>
                <w:szCs w:val="20"/>
              </w:rPr>
              <w:t>FONDEN</w:t>
            </w:r>
          </w:p>
        </w:tc>
        <w:tc>
          <w:tcPr>
            <w:tcW w:w="624" w:type="dxa"/>
            <w:shd w:val="clear" w:color="auto" w:fill="auto"/>
            <w:noWrap/>
            <w:vAlign w:val="center"/>
          </w:tcPr>
          <w:p w14:paraId="3F16F1FB" w14:textId="77777777" w:rsidR="006D148B" w:rsidRPr="00220DC4" w:rsidRDefault="006D148B" w:rsidP="009E3B2F">
            <w:pPr>
              <w:spacing w:after="120" w:line="240" w:lineRule="auto"/>
              <w:jc w:val="center"/>
              <w:rPr>
                <w:rFonts w:ascii="Futura Std Condensed Light" w:eastAsia="Calibri" w:hAnsi="Futura Std Condensed Light" w:cs="Calibri"/>
                <w:sz w:val="20"/>
                <w:szCs w:val="20"/>
              </w:rPr>
            </w:pPr>
            <w:r w:rsidRPr="00220DC4">
              <w:rPr>
                <w:rFonts w:ascii="Futura Std Condensed Light" w:eastAsia="Calibri" w:hAnsi="Futura Std Condensed Light" w:cs="Calibri"/>
                <w:sz w:val="20"/>
                <w:szCs w:val="20"/>
              </w:rPr>
              <w:t>33</w:t>
            </w:r>
          </w:p>
        </w:tc>
        <w:tc>
          <w:tcPr>
            <w:tcW w:w="794" w:type="dxa"/>
            <w:gridSpan w:val="3"/>
            <w:shd w:val="clear" w:color="auto" w:fill="auto"/>
            <w:noWrap/>
            <w:vAlign w:val="center"/>
          </w:tcPr>
          <w:p w14:paraId="6E4E10AF" w14:textId="77777777" w:rsidR="006D148B" w:rsidRPr="00220DC4" w:rsidRDefault="006D148B" w:rsidP="009E3B2F">
            <w:pPr>
              <w:spacing w:after="120" w:line="240" w:lineRule="auto"/>
              <w:jc w:val="center"/>
              <w:rPr>
                <w:rFonts w:ascii="Futura Std Condensed Light" w:eastAsia="Calibri" w:hAnsi="Futura Std Condensed Light" w:cs="Calibri"/>
                <w:sz w:val="20"/>
                <w:szCs w:val="20"/>
              </w:rPr>
            </w:pPr>
            <w:r w:rsidRPr="00220DC4">
              <w:rPr>
                <w:rFonts w:ascii="Futura Std Condensed Light" w:eastAsia="Calibri" w:hAnsi="Futura Std Condensed Light" w:cs="Calibri"/>
                <w:sz w:val="20"/>
                <w:szCs w:val="20"/>
              </w:rPr>
              <w:t>0</w:t>
            </w:r>
          </w:p>
        </w:tc>
        <w:tc>
          <w:tcPr>
            <w:tcW w:w="456" w:type="dxa"/>
            <w:shd w:val="clear" w:color="auto" w:fill="auto"/>
            <w:noWrap/>
            <w:vAlign w:val="center"/>
          </w:tcPr>
          <w:p w14:paraId="43E2F5FF" w14:textId="77777777" w:rsidR="006D148B" w:rsidRPr="00220DC4" w:rsidRDefault="006D148B" w:rsidP="009E3B2F">
            <w:pPr>
              <w:spacing w:after="120" w:line="240" w:lineRule="auto"/>
              <w:jc w:val="center"/>
              <w:rPr>
                <w:rFonts w:ascii="Futura Std Condensed Light" w:eastAsia="Calibri" w:hAnsi="Futura Std Condensed Light" w:cs="Calibri"/>
                <w:sz w:val="20"/>
                <w:szCs w:val="20"/>
              </w:rPr>
            </w:pPr>
            <w:r w:rsidRPr="00220DC4">
              <w:rPr>
                <w:rFonts w:ascii="Futura Std Condensed Light" w:eastAsia="Calibri" w:hAnsi="Futura Std Condensed Light" w:cs="Calibri"/>
                <w:sz w:val="20"/>
                <w:szCs w:val="20"/>
              </w:rPr>
              <w:t>0</w:t>
            </w:r>
          </w:p>
        </w:tc>
        <w:tc>
          <w:tcPr>
            <w:tcW w:w="625" w:type="dxa"/>
            <w:gridSpan w:val="2"/>
            <w:shd w:val="clear" w:color="auto" w:fill="auto"/>
            <w:noWrap/>
            <w:vAlign w:val="center"/>
          </w:tcPr>
          <w:p w14:paraId="75040B2E" w14:textId="77777777" w:rsidR="006D148B" w:rsidRPr="00220DC4" w:rsidRDefault="006D148B" w:rsidP="009E3B2F">
            <w:pPr>
              <w:spacing w:after="120" w:line="240" w:lineRule="auto"/>
              <w:jc w:val="center"/>
              <w:rPr>
                <w:rFonts w:ascii="Futura Std Condensed Light" w:eastAsia="Calibri" w:hAnsi="Futura Std Condensed Light" w:cs="Calibri"/>
                <w:sz w:val="20"/>
                <w:szCs w:val="20"/>
              </w:rPr>
            </w:pPr>
            <w:r w:rsidRPr="00220DC4">
              <w:rPr>
                <w:rFonts w:ascii="Futura Std Condensed Light" w:eastAsia="Calibri" w:hAnsi="Futura Std Condensed Light" w:cs="Calibri"/>
                <w:sz w:val="20"/>
                <w:szCs w:val="20"/>
              </w:rPr>
              <w:t>0</w:t>
            </w:r>
          </w:p>
        </w:tc>
        <w:tc>
          <w:tcPr>
            <w:tcW w:w="625" w:type="dxa"/>
            <w:gridSpan w:val="2"/>
            <w:shd w:val="clear" w:color="auto" w:fill="auto"/>
            <w:noWrap/>
            <w:vAlign w:val="center"/>
          </w:tcPr>
          <w:p w14:paraId="372DD1DB" w14:textId="77777777" w:rsidR="006D148B" w:rsidRPr="00220DC4" w:rsidRDefault="006D148B" w:rsidP="009E3B2F">
            <w:pPr>
              <w:spacing w:after="120" w:line="240" w:lineRule="auto"/>
              <w:jc w:val="center"/>
              <w:rPr>
                <w:rFonts w:ascii="Futura Std Condensed Light" w:eastAsia="Calibri" w:hAnsi="Futura Std Condensed Light" w:cs="Calibri"/>
                <w:sz w:val="20"/>
                <w:szCs w:val="20"/>
              </w:rPr>
            </w:pPr>
            <w:r w:rsidRPr="00220DC4">
              <w:rPr>
                <w:rFonts w:ascii="Futura Std Condensed Light" w:eastAsia="Calibri" w:hAnsi="Futura Std Condensed Light" w:cs="Calibri"/>
                <w:sz w:val="20"/>
                <w:szCs w:val="20"/>
              </w:rPr>
              <w:t>0</w:t>
            </w:r>
          </w:p>
        </w:tc>
        <w:tc>
          <w:tcPr>
            <w:tcW w:w="1713" w:type="dxa"/>
            <w:shd w:val="clear" w:color="auto" w:fill="auto"/>
            <w:noWrap/>
            <w:vAlign w:val="center"/>
          </w:tcPr>
          <w:p w14:paraId="73D898FF" w14:textId="77777777" w:rsidR="006D148B" w:rsidRPr="00220DC4" w:rsidRDefault="006D148B" w:rsidP="009E3B2F">
            <w:pPr>
              <w:spacing w:after="120" w:line="240" w:lineRule="auto"/>
              <w:jc w:val="right"/>
              <w:rPr>
                <w:rFonts w:ascii="Futura Std Condensed Light" w:eastAsia="Calibri" w:hAnsi="Futura Std Condensed Light" w:cs="Calibri"/>
                <w:sz w:val="20"/>
                <w:szCs w:val="20"/>
              </w:rPr>
            </w:pPr>
            <w:r w:rsidRPr="00220DC4">
              <w:rPr>
                <w:rFonts w:ascii="Futura Std Condensed Light" w:eastAsia="Calibri" w:hAnsi="Futura Std Condensed Light" w:cs="Calibri"/>
                <w:sz w:val="20"/>
                <w:szCs w:val="20"/>
              </w:rPr>
              <w:t>$1,392,065.89</w:t>
            </w:r>
          </w:p>
        </w:tc>
        <w:tc>
          <w:tcPr>
            <w:tcW w:w="1134" w:type="dxa"/>
            <w:shd w:val="clear" w:color="auto" w:fill="auto"/>
            <w:vAlign w:val="center"/>
            <w:hideMark/>
          </w:tcPr>
          <w:p w14:paraId="577251B1" w14:textId="77777777" w:rsidR="006D148B" w:rsidRPr="00220DC4" w:rsidRDefault="006D148B" w:rsidP="009E3B2F">
            <w:pPr>
              <w:spacing w:after="120" w:line="240" w:lineRule="auto"/>
              <w:jc w:val="center"/>
              <w:rPr>
                <w:rFonts w:ascii="Futura Std Condensed Light" w:eastAsia="Calibri" w:hAnsi="Futura Std Condensed Light" w:cs="Calibri"/>
                <w:sz w:val="20"/>
                <w:szCs w:val="20"/>
              </w:rPr>
            </w:pPr>
            <w:r w:rsidRPr="00220DC4">
              <w:rPr>
                <w:rFonts w:ascii="Futura Std Condensed Light" w:eastAsia="Calibri" w:hAnsi="Futura Std Condensed Light" w:cs="Calibri"/>
                <w:sz w:val="20"/>
                <w:szCs w:val="20"/>
              </w:rPr>
              <w:t>BÁSICO</w:t>
            </w:r>
          </w:p>
        </w:tc>
      </w:tr>
      <w:tr w:rsidR="006D148B" w:rsidRPr="00B141B9" w14:paraId="17C306F4" w14:textId="77777777" w:rsidTr="008D78F1">
        <w:trPr>
          <w:trHeight w:val="420"/>
          <w:jc w:val="center"/>
        </w:trPr>
        <w:tc>
          <w:tcPr>
            <w:tcW w:w="3539" w:type="dxa"/>
            <w:shd w:val="clear" w:color="auto" w:fill="auto"/>
            <w:vAlign w:val="center"/>
          </w:tcPr>
          <w:p w14:paraId="4EF226F5" w14:textId="27004414" w:rsidR="006D148B" w:rsidRPr="00220DC4" w:rsidRDefault="00220DC4" w:rsidP="00220DC4">
            <w:pPr>
              <w:spacing w:after="120" w:line="240" w:lineRule="auto"/>
              <w:jc w:val="left"/>
              <w:rPr>
                <w:rFonts w:ascii="Futura Std Condensed Light" w:eastAsia="Calibri" w:hAnsi="Futura Std Condensed Light" w:cs="Calibri"/>
                <w:sz w:val="20"/>
                <w:szCs w:val="20"/>
              </w:rPr>
            </w:pPr>
            <w:r w:rsidRPr="00220DC4">
              <w:rPr>
                <w:rFonts w:ascii="Futura Std Condensed Light" w:eastAsia="Calibri" w:hAnsi="Futura Std Condensed Light" w:cs="Calibri"/>
                <w:sz w:val="20"/>
                <w:szCs w:val="20"/>
              </w:rPr>
              <w:t xml:space="preserve">Convenio con </w:t>
            </w:r>
            <w:r w:rsidR="006D148B" w:rsidRPr="00220DC4">
              <w:rPr>
                <w:rFonts w:ascii="Futura Std Condensed Light" w:eastAsia="Calibri" w:hAnsi="Futura Std Condensed Light" w:cs="Calibri"/>
                <w:sz w:val="20"/>
                <w:szCs w:val="20"/>
              </w:rPr>
              <w:t>SEDESO</w:t>
            </w:r>
          </w:p>
        </w:tc>
        <w:tc>
          <w:tcPr>
            <w:tcW w:w="624" w:type="dxa"/>
            <w:shd w:val="clear" w:color="auto" w:fill="auto"/>
            <w:noWrap/>
            <w:vAlign w:val="center"/>
          </w:tcPr>
          <w:p w14:paraId="3ACD52B5" w14:textId="77777777" w:rsidR="006D148B" w:rsidRPr="00220DC4" w:rsidRDefault="006D148B" w:rsidP="009E3B2F">
            <w:pPr>
              <w:spacing w:after="120" w:line="240" w:lineRule="auto"/>
              <w:jc w:val="center"/>
              <w:rPr>
                <w:rFonts w:ascii="Futura Std Condensed Light" w:eastAsia="Calibri" w:hAnsi="Futura Std Condensed Light" w:cs="Calibri"/>
                <w:sz w:val="20"/>
                <w:szCs w:val="20"/>
              </w:rPr>
            </w:pPr>
            <w:r w:rsidRPr="00220DC4">
              <w:rPr>
                <w:rFonts w:ascii="Futura Std Condensed Light" w:eastAsia="Calibri" w:hAnsi="Futura Std Condensed Light" w:cs="Calibri"/>
                <w:sz w:val="20"/>
                <w:szCs w:val="20"/>
              </w:rPr>
              <w:t>2</w:t>
            </w:r>
          </w:p>
        </w:tc>
        <w:tc>
          <w:tcPr>
            <w:tcW w:w="794" w:type="dxa"/>
            <w:gridSpan w:val="3"/>
            <w:shd w:val="clear" w:color="auto" w:fill="auto"/>
            <w:noWrap/>
            <w:vAlign w:val="center"/>
          </w:tcPr>
          <w:p w14:paraId="71EAAB17" w14:textId="77777777" w:rsidR="006D148B" w:rsidRPr="00220DC4" w:rsidRDefault="006D148B" w:rsidP="009E3B2F">
            <w:pPr>
              <w:spacing w:after="120" w:line="240" w:lineRule="auto"/>
              <w:jc w:val="center"/>
              <w:rPr>
                <w:rFonts w:ascii="Futura Std Condensed Light" w:eastAsia="Calibri" w:hAnsi="Futura Std Condensed Light" w:cs="Calibri"/>
                <w:sz w:val="20"/>
                <w:szCs w:val="20"/>
              </w:rPr>
            </w:pPr>
            <w:r w:rsidRPr="00220DC4">
              <w:rPr>
                <w:rFonts w:ascii="Futura Std Condensed Light" w:eastAsia="Calibri" w:hAnsi="Futura Std Condensed Light" w:cs="Calibri"/>
                <w:sz w:val="20"/>
                <w:szCs w:val="20"/>
              </w:rPr>
              <w:t>0</w:t>
            </w:r>
          </w:p>
        </w:tc>
        <w:tc>
          <w:tcPr>
            <w:tcW w:w="456" w:type="dxa"/>
            <w:shd w:val="clear" w:color="auto" w:fill="auto"/>
            <w:noWrap/>
            <w:vAlign w:val="center"/>
          </w:tcPr>
          <w:p w14:paraId="52B27A2E" w14:textId="77777777" w:rsidR="006D148B" w:rsidRPr="00220DC4" w:rsidRDefault="006D148B" w:rsidP="009E3B2F">
            <w:pPr>
              <w:spacing w:after="120" w:line="240" w:lineRule="auto"/>
              <w:jc w:val="center"/>
              <w:rPr>
                <w:rFonts w:ascii="Futura Std Condensed Light" w:eastAsia="Calibri" w:hAnsi="Futura Std Condensed Light" w:cs="Calibri"/>
                <w:sz w:val="20"/>
                <w:szCs w:val="20"/>
              </w:rPr>
            </w:pPr>
            <w:r w:rsidRPr="00220DC4">
              <w:rPr>
                <w:rFonts w:ascii="Futura Std Condensed Light" w:eastAsia="Calibri" w:hAnsi="Futura Std Condensed Light" w:cs="Calibri"/>
                <w:sz w:val="20"/>
                <w:szCs w:val="20"/>
              </w:rPr>
              <w:t>0</w:t>
            </w:r>
          </w:p>
        </w:tc>
        <w:tc>
          <w:tcPr>
            <w:tcW w:w="625" w:type="dxa"/>
            <w:gridSpan w:val="2"/>
            <w:shd w:val="clear" w:color="auto" w:fill="auto"/>
            <w:noWrap/>
            <w:vAlign w:val="center"/>
          </w:tcPr>
          <w:p w14:paraId="2406150C" w14:textId="77777777" w:rsidR="006D148B" w:rsidRPr="00220DC4" w:rsidRDefault="006D148B" w:rsidP="009E3B2F">
            <w:pPr>
              <w:spacing w:after="120" w:line="240" w:lineRule="auto"/>
              <w:jc w:val="center"/>
              <w:rPr>
                <w:rFonts w:ascii="Futura Std Condensed Light" w:eastAsia="Calibri" w:hAnsi="Futura Std Condensed Light" w:cs="Calibri"/>
                <w:sz w:val="20"/>
                <w:szCs w:val="20"/>
              </w:rPr>
            </w:pPr>
            <w:r w:rsidRPr="00220DC4">
              <w:rPr>
                <w:rFonts w:ascii="Futura Std Condensed Light" w:eastAsia="Calibri" w:hAnsi="Futura Std Condensed Light" w:cs="Calibri"/>
                <w:sz w:val="20"/>
                <w:szCs w:val="20"/>
              </w:rPr>
              <w:t>0</w:t>
            </w:r>
          </w:p>
        </w:tc>
        <w:tc>
          <w:tcPr>
            <w:tcW w:w="625" w:type="dxa"/>
            <w:gridSpan w:val="2"/>
            <w:shd w:val="clear" w:color="auto" w:fill="auto"/>
            <w:noWrap/>
            <w:vAlign w:val="center"/>
          </w:tcPr>
          <w:p w14:paraId="18623B23" w14:textId="77777777" w:rsidR="006D148B" w:rsidRPr="00220DC4" w:rsidRDefault="006D148B" w:rsidP="009E3B2F">
            <w:pPr>
              <w:spacing w:after="120" w:line="240" w:lineRule="auto"/>
              <w:jc w:val="center"/>
              <w:rPr>
                <w:rFonts w:ascii="Futura Std Condensed Light" w:eastAsia="Calibri" w:hAnsi="Futura Std Condensed Light" w:cs="Calibri"/>
                <w:sz w:val="20"/>
                <w:szCs w:val="20"/>
              </w:rPr>
            </w:pPr>
            <w:r w:rsidRPr="00220DC4">
              <w:rPr>
                <w:rFonts w:ascii="Futura Std Condensed Light" w:eastAsia="Calibri" w:hAnsi="Futura Std Condensed Light" w:cs="Calibri"/>
                <w:sz w:val="20"/>
                <w:szCs w:val="20"/>
              </w:rPr>
              <w:t>2</w:t>
            </w:r>
          </w:p>
        </w:tc>
        <w:tc>
          <w:tcPr>
            <w:tcW w:w="1713" w:type="dxa"/>
            <w:shd w:val="clear" w:color="auto" w:fill="auto"/>
            <w:noWrap/>
            <w:vAlign w:val="center"/>
          </w:tcPr>
          <w:p w14:paraId="0B837606" w14:textId="77777777" w:rsidR="006D148B" w:rsidRPr="00220DC4" w:rsidRDefault="006D148B" w:rsidP="009E3B2F">
            <w:pPr>
              <w:spacing w:after="120" w:line="240" w:lineRule="auto"/>
              <w:jc w:val="right"/>
              <w:rPr>
                <w:rFonts w:ascii="Futura Std Condensed Light" w:eastAsia="Calibri" w:hAnsi="Futura Std Condensed Light" w:cs="Calibri"/>
                <w:sz w:val="20"/>
                <w:szCs w:val="20"/>
              </w:rPr>
            </w:pPr>
            <w:r w:rsidRPr="00220DC4">
              <w:rPr>
                <w:rFonts w:ascii="Futura Std Condensed Light" w:eastAsia="Calibri" w:hAnsi="Futura Std Condensed Light" w:cs="Calibri"/>
                <w:sz w:val="20"/>
                <w:szCs w:val="20"/>
              </w:rPr>
              <w:t>$2,000,000.00</w:t>
            </w:r>
          </w:p>
        </w:tc>
        <w:tc>
          <w:tcPr>
            <w:tcW w:w="1134" w:type="dxa"/>
            <w:shd w:val="clear" w:color="auto" w:fill="auto"/>
            <w:vAlign w:val="center"/>
          </w:tcPr>
          <w:p w14:paraId="4D538285" w14:textId="77777777" w:rsidR="006D148B" w:rsidRPr="00220DC4" w:rsidRDefault="006D148B" w:rsidP="009E3B2F">
            <w:pPr>
              <w:spacing w:after="120" w:line="240" w:lineRule="auto"/>
              <w:jc w:val="center"/>
              <w:rPr>
                <w:rFonts w:ascii="Futura Std Condensed Light" w:eastAsia="Calibri" w:hAnsi="Futura Std Condensed Light" w:cs="Calibri"/>
                <w:sz w:val="20"/>
                <w:szCs w:val="20"/>
              </w:rPr>
            </w:pPr>
            <w:r w:rsidRPr="00220DC4">
              <w:rPr>
                <w:rFonts w:ascii="Futura Std Condensed Light" w:eastAsia="Calibri" w:hAnsi="Futura Std Condensed Light" w:cs="Calibri"/>
                <w:sz w:val="20"/>
                <w:szCs w:val="20"/>
              </w:rPr>
              <w:t>BASICO</w:t>
            </w:r>
          </w:p>
        </w:tc>
      </w:tr>
      <w:tr w:rsidR="006D148B" w:rsidRPr="00B141B9" w14:paraId="264940A3" w14:textId="77777777" w:rsidTr="008D78F1">
        <w:trPr>
          <w:trHeight w:val="420"/>
          <w:jc w:val="center"/>
        </w:trPr>
        <w:tc>
          <w:tcPr>
            <w:tcW w:w="3539" w:type="dxa"/>
            <w:shd w:val="clear" w:color="auto" w:fill="auto"/>
            <w:vAlign w:val="center"/>
          </w:tcPr>
          <w:p w14:paraId="2FEE81ED" w14:textId="49645961" w:rsidR="006D148B" w:rsidRPr="00220DC4" w:rsidRDefault="00220DC4" w:rsidP="00220DC4">
            <w:pPr>
              <w:spacing w:after="120" w:line="240" w:lineRule="auto"/>
              <w:jc w:val="left"/>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Fondo d</w:t>
            </w:r>
            <w:r w:rsidRPr="00220DC4">
              <w:rPr>
                <w:rFonts w:ascii="Futura Std Condensed Light" w:eastAsia="Calibri" w:hAnsi="Futura Std Condensed Light" w:cs="Calibri"/>
                <w:sz w:val="20"/>
                <w:szCs w:val="20"/>
              </w:rPr>
              <w:t xml:space="preserve">e Fortalecimiento </w:t>
            </w:r>
            <w:r>
              <w:rPr>
                <w:rFonts w:ascii="Futura Std Condensed Light" w:eastAsia="Calibri" w:hAnsi="Futura Std Condensed Light" w:cs="Calibri"/>
                <w:sz w:val="20"/>
                <w:szCs w:val="20"/>
              </w:rPr>
              <w:t>de l</w:t>
            </w:r>
            <w:r w:rsidRPr="00220DC4">
              <w:rPr>
                <w:rFonts w:ascii="Futura Std Condensed Light" w:eastAsia="Calibri" w:hAnsi="Futura Std Condensed Light" w:cs="Calibri"/>
                <w:sz w:val="20"/>
                <w:szCs w:val="20"/>
              </w:rPr>
              <w:t>as Entidades Federativas</w:t>
            </w:r>
          </w:p>
        </w:tc>
        <w:tc>
          <w:tcPr>
            <w:tcW w:w="624" w:type="dxa"/>
            <w:shd w:val="clear" w:color="auto" w:fill="auto"/>
            <w:noWrap/>
            <w:vAlign w:val="center"/>
          </w:tcPr>
          <w:p w14:paraId="6BFB3F48" w14:textId="77777777" w:rsidR="006D148B" w:rsidRPr="00220DC4" w:rsidRDefault="006D148B" w:rsidP="009E3B2F">
            <w:pPr>
              <w:spacing w:after="120" w:line="240" w:lineRule="auto"/>
              <w:jc w:val="center"/>
              <w:rPr>
                <w:rFonts w:ascii="Futura Std Condensed Light" w:eastAsia="Calibri" w:hAnsi="Futura Std Condensed Light" w:cs="Calibri"/>
                <w:sz w:val="20"/>
                <w:szCs w:val="20"/>
              </w:rPr>
            </w:pPr>
            <w:r w:rsidRPr="00220DC4">
              <w:rPr>
                <w:rFonts w:ascii="Futura Std Condensed Light" w:eastAsia="Calibri" w:hAnsi="Futura Std Condensed Light" w:cs="Calibri"/>
                <w:sz w:val="20"/>
                <w:szCs w:val="20"/>
              </w:rPr>
              <w:t>1</w:t>
            </w:r>
          </w:p>
        </w:tc>
        <w:tc>
          <w:tcPr>
            <w:tcW w:w="794" w:type="dxa"/>
            <w:gridSpan w:val="3"/>
            <w:shd w:val="clear" w:color="auto" w:fill="auto"/>
            <w:noWrap/>
            <w:vAlign w:val="center"/>
          </w:tcPr>
          <w:p w14:paraId="20B7935C" w14:textId="77777777" w:rsidR="006D148B" w:rsidRPr="00220DC4" w:rsidRDefault="006D148B" w:rsidP="009E3B2F">
            <w:pPr>
              <w:spacing w:after="120" w:line="240" w:lineRule="auto"/>
              <w:jc w:val="center"/>
              <w:rPr>
                <w:rFonts w:ascii="Futura Std Condensed Light" w:eastAsia="Calibri" w:hAnsi="Futura Std Condensed Light" w:cs="Calibri"/>
                <w:sz w:val="20"/>
                <w:szCs w:val="20"/>
              </w:rPr>
            </w:pPr>
            <w:r w:rsidRPr="00220DC4">
              <w:rPr>
                <w:rFonts w:ascii="Futura Std Condensed Light" w:eastAsia="Calibri" w:hAnsi="Futura Std Condensed Light" w:cs="Calibri"/>
                <w:sz w:val="20"/>
                <w:szCs w:val="20"/>
              </w:rPr>
              <w:t>0</w:t>
            </w:r>
          </w:p>
        </w:tc>
        <w:tc>
          <w:tcPr>
            <w:tcW w:w="456" w:type="dxa"/>
            <w:shd w:val="clear" w:color="auto" w:fill="auto"/>
            <w:noWrap/>
            <w:vAlign w:val="center"/>
          </w:tcPr>
          <w:p w14:paraId="3D9D00F8" w14:textId="77777777" w:rsidR="006D148B" w:rsidRPr="00220DC4" w:rsidRDefault="006D148B" w:rsidP="009E3B2F">
            <w:pPr>
              <w:spacing w:after="120" w:line="240" w:lineRule="auto"/>
              <w:jc w:val="center"/>
              <w:rPr>
                <w:rFonts w:ascii="Futura Std Condensed Light" w:eastAsia="Calibri" w:hAnsi="Futura Std Condensed Light" w:cs="Calibri"/>
                <w:sz w:val="20"/>
                <w:szCs w:val="20"/>
              </w:rPr>
            </w:pPr>
            <w:r w:rsidRPr="00220DC4">
              <w:rPr>
                <w:rFonts w:ascii="Futura Std Condensed Light" w:eastAsia="Calibri" w:hAnsi="Futura Std Condensed Light" w:cs="Calibri"/>
                <w:sz w:val="20"/>
                <w:szCs w:val="20"/>
              </w:rPr>
              <w:t>0</w:t>
            </w:r>
          </w:p>
        </w:tc>
        <w:tc>
          <w:tcPr>
            <w:tcW w:w="625" w:type="dxa"/>
            <w:gridSpan w:val="2"/>
            <w:shd w:val="clear" w:color="auto" w:fill="auto"/>
            <w:noWrap/>
            <w:vAlign w:val="center"/>
          </w:tcPr>
          <w:p w14:paraId="4B3B0E0C" w14:textId="77777777" w:rsidR="006D148B" w:rsidRPr="00220DC4" w:rsidRDefault="006D148B" w:rsidP="009E3B2F">
            <w:pPr>
              <w:spacing w:after="120" w:line="240" w:lineRule="auto"/>
              <w:jc w:val="center"/>
              <w:rPr>
                <w:rFonts w:ascii="Futura Std Condensed Light" w:eastAsia="Calibri" w:hAnsi="Futura Std Condensed Light" w:cs="Calibri"/>
                <w:sz w:val="20"/>
                <w:szCs w:val="20"/>
              </w:rPr>
            </w:pPr>
            <w:r w:rsidRPr="00220DC4">
              <w:rPr>
                <w:rFonts w:ascii="Futura Std Condensed Light" w:eastAsia="Calibri" w:hAnsi="Futura Std Condensed Light" w:cs="Calibri"/>
                <w:sz w:val="20"/>
                <w:szCs w:val="20"/>
              </w:rPr>
              <w:t>0</w:t>
            </w:r>
          </w:p>
        </w:tc>
        <w:tc>
          <w:tcPr>
            <w:tcW w:w="625" w:type="dxa"/>
            <w:gridSpan w:val="2"/>
            <w:shd w:val="clear" w:color="auto" w:fill="auto"/>
            <w:noWrap/>
            <w:vAlign w:val="center"/>
          </w:tcPr>
          <w:p w14:paraId="3396C80A" w14:textId="77777777" w:rsidR="006D148B" w:rsidRPr="00220DC4" w:rsidRDefault="006D148B" w:rsidP="009E3B2F">
            <w:pPr>
              <w:spacing w:after="120" w:line="240" w:lineRule="auto"/>
              <w:jc w:val="center"/>
              <w:rPr>
                <w:rFonts w:ascii="Futura Std Condensed Light" w:eastAsia="Calibri" w:hAnsi="Futura Std Condensed Light" w:cs="Calibri"/>
                <w:sz w:val="20"/>
                <w:szCs w:val="20"/>
              </w:rPr>
            </w:pPr>
            <w:r w:rsidRPr="00220DC4">
              <w:rPr>
                <w:rFonts w:ascii="Futura Std Condensed Light" w:eastAsia="Calibri" w:hAnsi="Futura Std Condensed Light" w:cs="Calibri"/>
                <w:sz w:val="20"/>
                <w:szCs w:val="20"/>
              </w:rPr>
              <w:t>0</w:t>
            </w:r>
          </w:p>
        </w:tc>
        <w:tc>
          <w:tcPr>
            <w:tcW w:w="1713" w:type="dxa"/>
            <w:shd w:val="clear" w:color="auto" w:fill="auto"/>
            <w:noWrap/>
            <w:vAlign w:val="center"/>
          </w:tcPr>
          <w:p w14:paraId="3A84EDC4" w14:textId="77777777" w:rsidR="006D148B" w:rsidRPr="00220DC4" w:rsidRDefault="006D148B" w:rsidP="009E3B2F">
            <w:pPr>
              <w:spacing w:after="120" w:line="240" w:lineRule="auto"/>
              <w:jc w:val="right"/>
              <w:rPr>
                <w:rFonts w:ascii="Futura Std Condensed Light" w:eastAsia="Calibri" w:hAnsi="Futura Std Condensed Light" w:cs="Calibri"/>
                <w:sz w:val="20"/>
                <w:szCs w:val="20"/>
              </w:rPr>
            </w:pPr>
            <w:r w:rsidRPr="00220DC4">
              <w:rPr>
                <w:rFonts w:ascii="Futura Std Condensed Light" w:eastAsia="Calibri" w:hAnsi="Futura Std Condensed Light" w:cs="Calibri"/>
                <w:sz w:val="20"/>
                <w:szCs w:val="20"/>
              </w:rPr>
              <w:t>$156,343.44</w:t>
            </w:r>
          </w:p>
        </w:tc>
        <w:tc>
          <w:tcPr>
            <w:tcW w:w="1134" w:type="dxa"/>
            <w:shd w:val="clear" w:color="auto" w:fill="auto"/>
            <w:vAlign w:val="center"/>
            <w:hideMark/>
          </w:tcPr>
          <w:p w14:paraId="18A252A5" w14:textId="77777777" w:rsidR="006D148B" w:rsidRPr="00220DC4" w:rsidRDefault="006D148B" w:rsidP="009E3B2F">
            <w:pPr>
              <w:spacing w:after="120" w:line="240" w:lineRule="auto"/>
              <w:jc w:val="center"/>
              <w:rPr>
                <w:rFonts w:ascii="Futura Std Condensed Light" w:eastAsia="Calibri" w:hAnsi="Futura Std Condensed Light" w:cs="Calibri"/>
                <w:sz w:val="20"/>
                <w:szCs w:val="20"/>
              </w:rPr>
            </w:pPr>
            <w:r w:rsidRPr="00220DC4">
              <w:rPr>
                <w:rFonts w:ascii="Futura Std Condensed Light" w:eastAsia="Calibri" w:hAnsi="Futura Std Condensed Light" w:cs="Calibri"/>
                <w:sz w:val="20"/>
                <w:szCs w:val="20"/>
              </w:rPr>
              <w:t>BÁSICO</w:t>
            </w:r>
          </w:p>
        </w:tc>
      </w:tr>
      <w:tr w:rsidR="006D148B" w:rsidRPr="00B141B9" w14:paraId="583A2A8C" w14:textId="77777777" w:rsidTr="008D78F1">
        <w:trPr>
          <w:trHeight w:val="97"/>
          <w:jc w:val="center"/>
        </w:trPr>
        <w:tc>
          <w:tcPr>
            <w:tcW w:w="3539" w:type="dxa"/>
            <w:shd w:val="clear" w:color="auto" w:fill="auto"/>
            <w:vAlign w:val="center"/>
          </w:tcPr>
          <w:p w14:paraId="634165A2" w14:textId="77777777" w:rsidR="006D148B" w:rsidRPr="00220DC4" w:rsidRDefault="006D148B" w:rsidP="00220DC4">
            <w:pPr>
              <w:spacing w:after="120" w:line="240" w:lineRule="auto"/>
              <w:jc w:val="left"/>
              <w:rPr>
                <w:rFonts w:ascii="Futura Std Condensed Light" w:eastAsia="Calibri" w:hAnsi="Futura Std Condensed Light" w:cs="Calibri"/>
                <w:sz w:val="20"/>
                <w:szCs w:val="20"/>
              </w:rPr>
            </w:pPr>
            <w:r w:rsidRPr="00220DC4">
              <w:rPr>
                <w:rFonts w:ascii="Futura Std Condensed Light" w:eastAsia="Calibri" w:hAnsi="Futura Std Condensed Light" w:cs="Calibri"/>
                <w:sz w:val="20"/>
                <w:szCs w:val="20"/>
              </w:rPr>
              <w:t>FISE</w:t>
            </w:r>
          </w:p>
        </w:tc>
        <w:tc>
          <w:tcPr>
            <w:tcW w:w="624" w:type="dxa"/>
            <w:shd w:val="clear" w:color="auto" w:fill="auto"/>
            <w:noWrap/>
            <w:vAlign w:val="center"/>
          </w:tcPr>
          <w:p w14:paraId="5EE4EF70" w14:textId="77777777" w:rsidR="006D148B" w:rsidRPr="00220DC4" w:rsidRDefault="006D148B" w:rsidP="009E3B2F">
            <w:pPr>
              <w:spacing w:after="120" w:line="240" w:lineRule="auto"/>
              <w:jc w:val="center"/>
              <w:rPr>
                <w:rFonts w:ascii="Futura Std Condensed Light" w:eastAsia="Calibri" w:hAnsi="Futura Std Condensed Light" w:cs="Calibri"/>
                <w:sz w:val="20"/>
                <w:szCs w:val="20"/>
              </w:rPr>
            </w:pPr>
            <w:r w:rsidRPr="00220DC4">
              <w:rPr>
                <w:rFonts w:ascii="Futura Std Condensed Light" w:eastAsia="Calibri" w:hAnsi="Futura Std Condensed Light" w:cs="Calibri"/>
                <w:sz w:val="20"/>
                <w:szCs w:val="20"/>
              </w:rPr>
              <w:t>1</w:t>
            </w:r>
          </w:p>
        </w:tc>
        <w:tc>
          <w:tcPr>
            <w:tcW w:w="794" w:type="dxa"/>
            <w:gridSpan w:val="3"/>
            <w:shd w:val="clear" w:color="auto" w:fill="auto"/>
            <w:noWrap/>
            <w:vAlign w:val="center"/>
          </w:tcPr>
          <w:p w14:paraId="0FC271A2" w14:textId="77777777" w:rsidR="006D148B" w:rsidRPr="00220DC4" w:rsidRDefault="006D148B" w:rsidP="009E3B2F">
            <w:pPr>
              <w:spacing w:after="120" w:line="240" w:lineRule="auto"/>
              <w:jc w:val="center"/>
              <w:rPr>
                <w:rFonts w:ascii="Futura Std Condensed Light" w:eastAsia="Calibri" w:hAnsi="Futura Std Condensed Light" w:cs="Calibri"/>
                <w:sz w:val="20"/>
                <w:szCs w:val="20"/>
              </w:rPr>
            </w:pPr>
            <w:r w:rsidRPr="00220DC4">
              <w:rPr>
                <w:rFonts w:ascii="Futura Std Condensed Light" w:eastAsia="Calibri" w:hAnsi="Futura Std Condensed Light" w:cs="Calibri"/>
                <w:sz w:val="20"/>
                <w:szCs w:val="20"/>
              </w:rPr>
              <w:t>0</w:t>
            </w:r>
          </w:p>
        </w:tc>
        <w:tc>
          <w:tcPr>
            <w:tcW w:w="456" w:type="dxa"/>
            <w:shd w:val="clear" w:color="auto" w:fill="auto"/>
            <w:noWrap/>
            <w:vAlign w:val="center"/>
          </w:tcPr>
          <w:p w14:paraId="318E1471" w14:textId="77777777" w:rsidR="006D148B" w:rsidRPr="00220DC4" w:rsidRDefault="006D148B" w:rsidP="009E3B2F">
            <w:pPr>
              <w:spacing w:after="120" w:line="240" w:lineRule="auto"/>
              <w:jc w:val="center"/>
              <w:rPr>
                <w:rFonts w:ascii="Futura Std Condensed Light" w:eastAsia="Calibri" w:hAnsi="Futura Std Condensed Light" w:cs="Calibri"/>
                <w:sz w:val="20"/>
                <w:szCs w:val="20"/>
              </w:rPr>
            </w:pPr>
            <w:r w:rsidRPr="00220DC4">
              <w:rPr>
                <w:rFonts w:ascii="Futura Std Condensed Light" w:eastAsia="Calibri" w:hAnsi="Futura Std Condensed Light" w:cs="Calibri"/>
                <w:sz w:val="20"/>
                <w:szCs w:val="20"/>
              </w:rPr>
              <w:t>0</w:t>
            </w:r>
          </w:p>
        </w:tc>
        <w:tc>
          <w:tcPr>
            <w:tcW w:w="625" w:type="dxa"/>
            <w:gridSpan w:val="2"/>
            <w:shd w:val="clear" w:color="auto" w:fill="auto"/>
            <w:noWrap/>
            <w:vAlign w:val="center"/>
          </w:tcPr>
          <w:p w14:paraId="32B2FC8E" w14:textId="77777777" w:rsidR="006D148B" w:rsidRPr="00220DC4" w:rsidRDefault="006D148B" w:rsidP="009E3B2F">
            <w:pPr>
              <w:spacing w:after="120" w:line="240" w:lineRule="auto"/>
              <w:jc w:val="center"/>
              <w:rPr>
                <w:rFonts w:ascii="Futura Std Condensed Light" w:eastAsia="Calibri" w:hAnsi="Futura Std Condensed Light" w:cs="Calibri"/>
                <w:sz w:val="20"/>
                <w:szCs w:val="20"/>
              </w:rPr>
            </w:pPr>
            <w:r w:rsidRPr="00220DC4">
              <w:rPr>
                <w:rFonts w:ascii="Futura Std Condensed Light" w:eastAsia="Calibri" w:hAnsi="Futura Std Condensed Light" w:cs="Calibri"/>
                <w:sz w:val="20"/>
                <w:szCs w:val="20"/>
              </w:rPr>
              <w:t>0</w:t>
            </w:r>
          </w:p>
        </w:tc>
        <w:tc>
          <w:tcPr>
            <w:tcW w:w="625" w:type="dxa"/>
            <w:gridSpan w:val="2"/>
            <w:shd w:val="clear" w:color="auto" w:fill="auto"/>
            <w:noWrap/>
            <w:vAlign w:val="center"/>
          </w:tcPr>
          <w:p w14:paraId="178FB4B2" w14:textId="77777777" w:rsidR="006D148B" w:rsidRPr="00220DC4" w:rsidRDefault="006D148B" w:rsidP="009E3B2F">
            <w:pPr>
              <w:spacing w:after="120" w:line="240" w:lineRule="auto"/>
              <w:jc w:val="center"/>
              <w:rPr>
                <w:rFonts w:ascii="Futura Std Condensed Light" w:eastAsia="Calibri" w:hAnsi="Futura Std Condensed Light" w:cs="Calibri"/>
                <w:sz w:val="20"/>
                <w:szCs w:val="20"/>
              </w:rPr>
            </w:pPr>
            <w:r w:rsidRPr="00220DC4">
              <w:rPr>
                <w:rFonts w:ascii="Futura Std Condensed Light" w:eastAsia="Calibri" w:hAnsi="Futura Std Condensed Light" w:cs="Calibri"/>
                <w:sz w:val="20"/>
                <w:szCs w:val="20"/>
              </w:rPr>
              <w:t>0</w:t>
            </w:r>
          </w:p>
        </w:tc>
        <w:tc>
          <w:tcPr>
            <w:tcW w:w="1713" w:type="dxa"/>
            <w:shd w:val="clear" w:color="auto" w:fill="auto"/>
            <w:noWrap/>
            <w:vAlign w:val="center"/>
          </w:tcPr>
          <w:p w14:paraId="7F13D3B9" w14:textId="77777777" w:rsidR="006D148B" w:rsidRPr="00220DC4" w:rsidRDefault="006D148B" w:rsidP="009E3B2F">
            <w:pPr>
              <w:spacing w:after="120" w:line="240" w:lineRule="auto"/>
              <w:jc w:val="right"/>
              <w:rPr>
                <w:rFonts w:ascii="Futura Std Condensed Light" w:eastAsia="Calibri" w:hAnsi="Futura Std Condensed Light" w:cs="Calibri"/>
                <w:sz w:val="20"/>
                <w:szCs w:val="20"/>
              </w:rPr>
            </w:pPr>
            <w:r w:rsidRPr="00220DC4">
              <w:rPr>
                <w:rFonts w:ascii="Futura Std Condensed Light" w:eastAsia="Calibri" w:hAnsi="Futura Std Condensed Light" w:cs="Calibri"/>
                <w:sz w:val="20"/>
                <w:szCs w:val="20"/>
              </w:rPr>
              <w:t>$698,495.37</w:t>
            </w:r>
          </w:p>
        </w:tc>
        <w:tc>
          <w:tcPr>
            <w:tcW w:w="1134" w:type="dxa"/>
            <w:shd w:val="clear" w:color="auto" w:fill="auto"/>
            <w:vAlign w:val="center"/>
            <w:hideMark/>
          </w:tcPr>
          <w:p w14:paraId="36AE4FDA" w14:textId="77777777" w:rsidR="006D148B" w:rsidRPr="00220DC4" w:rsidRDefault="006D148B" w:rsidP="009E3B2F">
            <w:pPr>
              <w:spacing w:after="120" w:line="240" w:lineRule="auto"/>
              <w:jc w:val="center"/>
              <w:rPr>
                <w:rFonts w:ascii="Futura Std Condensed Light" w:eastAsia="Calibri" w:hAnsi="Futura Std Condensed Light" w:cs="Calibri"/>
                <w:sz w:val="20"/>
                <w:szCs w:val="20"/>
              </w:rPr>
            </w:pPr>
            <w:r w:rsidRPr="00220DC4">
              <w:rPr>
                <w:rFonts w:ascii="Futura Std Condensed Light" w:eastAsia="Calibri" w:hAnsi="Futura Std Condensed Light" w:cs="Calibri"/>
                <w:sz w:val="20"/>
                <w:szCs w:val="20"/>
              </w:rPr>
              <w:t>BÁSICO</w:t>
            </w:r>
          </w:p>
        </w:tc>
      </w:tr>
      <w:tr w:rsidR="006D148B" w:rsidRPr="00B141B9" w14:paraId="0D684380" w14:textId="77777777" w:rsidTr="008D78F1">
        <w:trPr>
          <w:trHeight w:val="319"/>
          <w:jc w:val="center"/>
        </w:trPr>
        <w:tc>
          <w:tcPr>
            <w:tcW w:w="3539" w:type="dxa"/>
            <w:shd w:val="clear" w:color="auto" w:fill="A6A6A6"/>
            <w:vAlign w:val="center"/>
            <w:hideMark/>
          </w:tcPr>
          <w:p w14:paraId="4A7F1A38" w14:textId="48540B16" w:rsidR="006D148B" w:rsidRPr="004075F6" w:rsidRDefault="000E1F53" w:rsidP="009E3B2F">
            <w:pPr>
              <w:spacing w:after="120" w:line="240" w:lineRule="auto"/>
              <w:jc w:val="center"/>
              <w:rPr>
                <w:rFonts w:ascii="Futura Std Condensed Light" w:eastAsia="Calibri" w:hAnsi="Futura Std Condensed Light" w:cs="Calibri"/>
                <w:sz w:val="20"/>
                <w:szCs w:val="20"/>
              </w:rPr>
            </w:pPr>
            <w:r w:rsidRPr="004075F6">
              <w:rPr>
                <w:rFonts w:ascii="Futura Std Condensed Light" w:eastAsia="Calibri" w:hAnsi="Futura Std Condensed Light" w:cs="Calibri"/>
                <w:sz w:val="20"/>
                <w:szCs w:val="20"/>
              </w:rPr>
              <w:t>Total Básico</w:t>
            </w:r>
          </w:p>
        </w:tc>
        <w:tc>
          <w:tcPr>
            <w:tcW w:w="624" w:type="dxa"/>
            <w:shd w:val="clear" w:color="auto" w:fill="A6A6A6"/>
            <w:noWrap/>
            <w:vAlign w:val="center"/>
          </w:tcPr>
          <w:p w14:paraId="091DBCA0" w14:textId="77777777" w:rsidR="006D148B" w:rsidRPr="004075F6" w:rsidRDefault="006D148B" w:rsidP="009E3B2F">
            <w:pPr>
              <w:spacing w:after="120" w:line="240" w:lineRule="auto"/>
              <w:jc w:val="center"/>
              <w:rPr>
                <w:rFonts w:ascii="Futura Std Condensed Light" w:eastAsia="Calibri" w:hAnsi="Futura Std Condensed Light" w:cs="Calibri"/>
                <w:sz w:val="20"/>
                <w:szCs w:val="20"/>
              </w:rPr>
            </w:pPr>
            <w:r w:rsidRPr="004075F6">
              <w:rPr>
                <w:rFonts w:ascii="Futura Std Condensed Light" w:eastAsia="Calibri" w:hAnsi="Futura Std Condensed Light" w:cs="Calibri"/>
                <w:sz w:val="20"/>
                <w:szCs w:val="20"/>
              </w:rPr>
              <w:t>381</w:t>
            </w:r>
          </w:p>
        </w:tc>
        <w:tc>
          <w:tcPr>
            <w:tcW w:w="794" w:type="dxa"/>
            <w:gridSpan w:val="3"/>
            <w:shd w:val="clear" w:color="auto" w:fill="A6A6A6"/>
            <w:noWrap/>
            <w:vAlign w:val="center"/>
          </w:tcPr>
          <w:p w14:paraId="54D9F747" w14:textId="77777777" w:rsidR="006D148B" w:rsidRPr="004075F6" w:rsidRDefault="006D148B" w:rsidP="009E3B2F">
            <w:pPr>
              <w:spacing w:after="120" w:line="240" w:lineRule="auto"/>
              <w:jc w:val="center"/>
              <w:rPr>
                <w:rFonts w:ascii="Futura Std Condensed Light" w:eastAsia="Calibri" w:hAnsi="Futura Std Condensed Light" w:cs="Calibri"/>
                <w:sz w:val="20"/>
                <w:szCs w:val="20"/>
              </w:rPr>
            </w:pPr>
            <w:r w:rsidRPr="004075F6">
              <w:rPr>
                <w:rFonts w:ascii="Futura Std Condensed Light" w:eastAsia="Calibri" w:hAnsi="Futura Std Condensed Light" w:cs="Calibri"/>
                <w:sz w:val="20"/>
                <w:szCs w:val="20"/>
              </w:rPr>
              <w:t>1078</w:t>
            </w:r>
          </w:p>
        </w:tc>
        <w:tc>
          <w:tcPr>
            <w:tcW w:w="456" w:type="dxa"/>
            <w:shd w:val="clear" w:color="auto" w:fill="A6A6A6"/>
            <w:noWrap/>
            <w:vAlign w:val="center"/>
          </w:tcPr>
          <w:p w14:paraId="48F03EA0" w14:textId="77777777" w:rsidR="006D148B" w:rsidRPr="004075F6" w:rsidRDefault="006D148B" w:rsidP="009E3B2F">
            <w:pPr>
              <w:spacing w:after="120" w:line="240" w:lineRule="auto"/>
              <w:jc w:val="center"/>
              <w:rPr>
                <w:rFonts w:ascii="Futura Std Condensed Light" w:eastAsia="Calibri" w:hAnsi="Futura Std Condensed Light" w:cs="Calibri"/>
                <w:sz w:val="20"/>
                <w:szCs w:val="20"/>
              </w:rPr>
            </w:pPr>
            <w:r w:rsidRPr="004075F6">
              <w:rPr>
                <w:rFonts w:ascii="Futura Std Condensed Light" w:eastAsia="Calibri" w:hAnsi="Futura Std Condensed Light" w:cs="Calibri"/>
                <w:sz w:val="20"/>
                <w:szCs w:val="20"/>
              </w:rPr>
              <w:t>2</w:t>
            </w:r>
          </w:p>
        </w:tc>
        <w:tc>
          <w:tcPr>
            <w:tcW w:w="625" w:type="dxa"/>
            <w:gridSpan w:val="2"/>
            <w:shd w:val="clear" w:color="auto" w:fill="A6A6A6"/>
            <w:noWrap/>
            <w:vAlign w:val="center"/>
          </w:tcPr>
          <w:p w14:paraId="439F662D" w14:textId="77777777" w:rsidR="006D148B" w:rsidRPr="004075F6" w:rsidRDefault="006D148B" w:rsidP="009E3B2F">
            <w:pPr>
              <w:spacing w:after="120" w:line="240" w:lineRule="auto"/>
              <w:jc w:val="center"/>
              <w:rPr>
                <w:rFonts w:ascii="Futura Std Condensed Light" w:eastAsia="Calibri" w:hAnsi="Futura Std Condensed Light" w:cs="Calibri"/>
                <w:sz w:val="20"/>
                <w:szCs w:val="20"/>
              </w:rPr>
            </w:pPr>
            <w:r w:rsidRPr="004075F6">
              <w:rPr>
                <w:rFonts w:ascii="Futura Std Condensed Light" w:eastAsia="Calibri" w:hAnsi="Futura Std Condensed Light" w:cs="Calibri"/>
                <w:sz w:val="20"/>
                <w:szCs w:val="20"/>
              </w:rPr>
              <w:t>0</w:t>
            </w:r>
          </w:p>
        </w:tc>
        <w:tc>
          <w:tcPr>
            <w:tcW w:w="625" w:type="dxa"/>
            <w:gridSpan w:val="2"/>
            <w:shd w:val="clear" w:color="auto" w:fill="A6A6A6"/>
            <w:noWrap/>
            <w:vAlign w:val="center"/>
          </w:tcPr>
          <w:p w14:paraId="551FB552" w14:textId="77777777" w:rsidR="006D148B" w:rsidRPr="004075F6" w:rsidRDefault="006D148B" w:rsidP="009E3B2F">
            <w:pPr>
              <w:spacing w:after="120" w:line="240" w:lineRule="auto"/>
              <w:jc w:val="center"/>
              <w:rPr>
                <w:rFonts w:ascii="Futura Std Condensed Light" w:eastAsia="Calibri" w:hAnsi="Futura Std Condensed Light" w:cs="Calibri"/>
                <w:sz w:val="20"/>
                <w:szCs w:val="20"/>
              </w:rPr>
            </w:pPr>
            <w:r w:rsidRPr="004075F6">
              <w:rPr>
                <w:rFonts w:ascii="Futura Std Condensed Light" w:eastAsia="Calibri" w:hAnsi="Futura Std Condensed Light" w:cs="Calibri"/>
                <w:sz w:val="20"/>
                <w:szCs w:val="20"/>
              </w:rPr>
              <w:t>86</w:t>
            </w:r>
          </w:p>
        </w:tc>
        <w:tc>
          <w:tcPr>
            <w:tcW w:w="1713" w:type="dxa"/>
            <w:shd w:val="clear" w:color="auto" w:fill="A6A6A6"/>
            <w:noWrap/>
            <w:vAlign w:val="center"/>
          </w:tcPr>
          <w:p w14:paraId="3C7BF6FC" w14:textId="77777777" w:rsidR="006D148B" w:rsidRPr="004075F6" w:rsidRDefault="006D148B" w:rsidP="009E3B2F">
            <w:pPr>
              <w:spacing w:after="120" w:line="240" w:lineRule="auto"/>
              <w:jc w:val="right"/>
              <w:rPr>
                <w:rFonts w:ascii="Futura Std Condensed Light" w:eastAsia="Calibri" w:hAnsi="Futura Std Condensed Light" w:cs="Calibri"/>
                <w:sz w:val="20"/>
                <w:szCs w:val="20"/>
              </w:rPr>
            </w:pPr>
            <w:r w:rsidRPr="004075F6">
              <w:rPr>
                <w:rFonts w:ascii="Futura Std Condensed Light" w:eastAsia="Calibri" w:hAnsi="Futura Std Condensed Light" w:cs="Calibri"/>
                <w:sz w:val="20"/>
                <w:szCs w:val="20"/>
              </w:rPr>
              <w:t>$278,328,815.10</w:t>
            </w:r>
          </w:p>
        </w:tc>
        <w:tc>
          <w:tcPr>
            <w:tcW w:w="1134" w:type="dxa"/>
            <w:shd w:val="clear" w:color="auto" w:fill="A6A6A6"/>
            <w:vAlign w:val="center"/>
            <w:hideMark/>
          </w:tcPr>
          <w:p w14:paraId="7ABF0679" w14:textId="77777777" w:rsidR="006D148B" w:rsidRPr="004075F6" w:rsidRDefault="006D148B" w:rsidP="009E3B2F">
            <w:pPr>
              <w:spacing w:after="120" w:line="240" w:lineRule="auto"/>
              <w:jc w:val="center"/>
              <w:rPr>
                <w:rFonts w:ascii="Futura Std Condensed Light" w:eastAsia="Calibri" w:hAnsi="Futura Std Condensed Light" w:cs="Calibri"/>
                <w:sz w:val="20"/>
                <w:szCs w:val="20"/>
              </w:rPr>
            </w:pPr>
            <w:r w:rsidRPr="004075F6">
              <w:rPr>
                <w:rFonts w:ascii="Futura Std Condensed Light" w:eastAsia="Calibri" w:hAnsi="Futura Std Condensed Light" w:cs="Calibri"/>
                <w:sz w:val="20"/>
                <w:szCs w:val="20"/>
              </w:rPr>
              <w:t>BÁSICO </w:t>
            </w:r>
          </w:p>
        </w:tc>
      </w:tr>
      <w:tr w:rsidR="006D148B" w:rsidRPr="00B141B9" w14:paraId="55F22041" w14:textId="77777777" w:rsidTr="008D78F1">
        <w:trPr>
          <w:trHeight w:val="268"/>
          <w:jc w:val="center"/>
        </w:trPr>
        <w:tc>
          <w:tcPr>
            <w:tcW w:w="3539" w:type="dxa"/>
            <w:shd w:val="clear" w:color="auto" w:fill="auto"/>
            <w:vAlign w:val="center"/>
          </w:tcPr>
          <w:p w14:paraId="73F23C92" w14:textId="44CA866D" w:rsidR="006D148B" w:rsidRPr="00220DC4" w:rsidRDefault="00FD3242" w:rsidP="004075F6">
            <w:pPr>
              <w:spacing w:after="120" w:line="240" w:lineRule="auto"/>
              <w:jc w:val="left"/>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Fondo d</w:t>
            </w:r>
            <w:r w:rsidRPr="00220DC4">
              <w:rPr>
                <w:rFonts w:ascii="Futura Std Condensed Light" w:eastAsia="Calibri" w:hAnsi="Futura Std Condensed Light" w:cs="Calibri"/>
                <w:sz w:val="20"/>
                <w:szCs w:val="20"/>
              </w:rPr>
              <w:t>e Aportaciones Múltiples Nivel Media Superior</w:t>
            </w:r>
            <w:r w:rsidR="006D148B" w:rsidRPr="00220DC4">
              <w:rPr>
                <w:rFonts w:ascii="Futura Std Condensed Light" w:eastAsia="Calibri" w:hAnsi="Futura Std Condensed Light" w:cs="Calibri"/>
                <w:sz w:val="20"/>
                <w:szCs w:val="20"/>
              </w:rPr>
              <w:t xml:space="preserve"> FAM</w:t>
            </w:r>
          </w:p>
        </w:tc>
        <w:tc>
          <w:tcPr>
            <w:tcW w:w="624" w:type="dxa"/>
            <w:shd w:val="clear" w:color="auto" w:fill="auto"/>
            <w:noWrap/>
            <w:vAlign w:val="center"/>
          </w:tcPr>
          <w:p w14:paraId="2F0A9A49" w14:textId="77777777" w:rsidR="006D148B" w:rsidRPr="00220DC4" w:rsidRDefault="006D148B" w:rsidP="009E3B2F">
            <w:pPr>
              <w:spacing w:after="120" w:line="240" w:lineRule="auto"/>
              <w:jc w:val="center"/>
              <w:rPr>
                <w:rFonts w:ascii="Futura Std Condensed Light" w:eastAsia="Calibri" w:hAnsi="Futura Std Condensed Light" w:cs="Calibri"/>
                <w:sz w:val="20"/>
                <w:szCs w:val="20"/>
              </w:rPr>
            </w:pPr>
            <w:r w:rsidRPr="00220DC4">
              <w:rPr>
                <w:rFonts w:ascii="Futura Std Condensed Light" w:eastAsia="Calibri" w:hAnsi="Futura Std Condensed Light" w:cs="Calibri"/>
                <w:sz w:val="20"/>
                <w:szCs w:val="20"/>
              </w:rPr>
              <w:t>7</w:t>
            </w:r>
          </w:p>
        </w:tc>
        <w:tc>
          <w:tcPr>
            <w:tcW w:w="794" w:type="dxa"/>
            <w:gridSpan w:val="3"/>
            <w:shd w:val="clear" w:color="auto" w:fill="auto"/>
            <w:noWrap/>
            <w:vAlign w:val="center"/>
          </w:tcPr>
          <w:p w14:paraId="44CDB611" w14:textId="77777777" w:rsidR="006D148B" w:rsidRPr="00220DC4" w:rsidRDefault="006D148B" w:rsidP="009E3B2F">
            <w:pPr>
              <w:spacing w:after="120" w:line="240" w:lineRule="auto"/>
              <w:jc w:val="center"/>
              <w:rPr>
                <w:rFonts w:ascii="Futura Std Condensed Light" w:eastAsia="Calibri" w:hAnsi="Futura Std Condensed Light" w:cs="Calibri"/>
                <w:sz w:val="20"/>
                <w:szCs w:val="20"/>
              </w:rPr>
            </w:pPr>
            <w:r w:rsidRPr="00220DC4">
              <w:rPr>
                <w:rFonts w:ascii="Futura Std Condensed Light" w:eastAsia="Calibri" w:hAnsi="Futura Std Condensed Light" w:cs="Calibri"/>
                <w:sz w:val="20"/>
                <w:szCs w:val="20"/>
              </w:rPr>
              <w:t>16</w:t>
            </w:r>
          </w:p>
        </w:tc>
        <w:tc>
          <w:tcPr>
            <w:tcW w:w="456" w:type="dxa"/>
            <w:shd w:val="clear" w:color="auto" w:fill="auto"/>
            <w:noWrap/>
            <w:vAlign w:val="center"/>
          </w:tcPr>
          <w:p w14:paraId="22CE71F6" w14:textId="77777777" w:rsidR="006D148B" w:rsidRPr="00220DC4" w:rsidRDefault="006D148B" w:rsidP="009E3B2F">
            <w:pPr>
              <w:spacing w:after="120" w:line="240" w:lineRule="auto"/>
              <w:jc w:val="center"/>
              <w:rPr>
                <w:rFonts w:ascii="Futura Std Condensed Light" w:eastAsia="Calibri" w:hAnsi="Futura Std Condensed Light" w:cs="Calibri"/>
                <w:sz w:val="20"/>
                <w:szCs w:val="20"/>
              </w:rPr>
            </w:pPr>
            <w:r w:rsidRPr="00220DC4">
              <w:rPr>
                <w:rFonts w:ascii="Futura Std Condensed Light" w:eastAsia="Calibri" w:hAnsi="Futura Std Condensed Light" w:cs="Calibri"/>
                <w:sz w:val="20"/>
                <w:szCs w:val="20"/>
              </w:rPr>
              <w:t>1</w:t>
            </w:r>
          </w:p>
        </w:tc>
        <w:tc>
          <w:tcPr>
            <w:tcW w:w="625" w:type="dxa"/>
            <w:gridSpan w:val="2"/>
            <w:shd w:val="clear" w:color="auto" w:fill="auto"/>
            <w:noWrap/>
            <w:vAlign w:val="center"/>
          </w:tcPr>
          <w:p w14:paraId="64F69E4A" w14:textId="77777777" w:rsidR="006D148B" w:rsidRPr="00220DC4" w:rsidRDefault="006D148B" w:rsidP="009E3B2F">
            <w:pPr>
              <w:spacing w:after="120" w:line="240" w:lineRule="auto"/>
              <w:jc w:val="center"/>
              <w:rPr>
                <w:rFonts w:ascii="Futura Std Condensed Light" w:eastAsia="Calibri" w:hAnsi="Futura Std Condensed Light" w:cs="Calibri"/>
                <w:sz w:val="20"/>
                <w:szCs w:val="20"/>
              </w:rPr>
            </w:pPr>
            <w:r w:rsidRPr="00220DC4">
              <w:rPr>
                <w:rFonts w:ascii="Futura Std Condensed Light" w:eastAsia="Calibri" w:hAnsi="Futura Std Condensed Light" w:cs="Calibri"/>
                <w:sz w:val="20"/>
                <w:szCs w:val="20"/>
              </w:rPr>
              <w:t>0</w:t>
            </w:r>
          </w:p>
        </w:tc>
        <w:tc>
          <w:tcPr>
            <w:tcW w:w="625" w:type="dxa"/>
            <w:gridSpan w:val="2"/>
            <w:shd w:val="clear" w:color="auto" w:fill="auto"/>
            <w:noWrap/>
            <w:vAlign w:val="center"/>
          </w:tcPr>
          <w:p w14:paraId="6423785D" w14:textId="77777777" w:rsidR="006D148B" w:rsidRPr="00220DC4" w:rsidRDefault="006D148B" w:rsidP="009E3B2F">
            <w:pPr>
              <w:spacing w:after="120" w:line="240" w:lineRule="auto"/>
              <w:jc w:val="center"/>
              <w:rPr>
                <w:rFonts w:ascii="Futura Std Condensed Light" w:eastAsia="Calibri" w:hAnsi="Futura Std Condensed Light" w:cs="Calibri"/>
                <w:sz w:val="20"/>
                <w:szCs w:val="20"/>
              </w:rPr>
            </w:pPr>
            <w:r w:rsidRPr="00220DC4">
              <w:rPr>
                <w:rFonts w:ascii="Futura Std Condensed Light" w:eastAsia="Calibri" w:hAnsi="Futura Std Condensed Light" w:cs="Calibri"/>
                <w:sz w:val="20"/>
                <w:szCs w:val="20"/>
              </w:rPr>
              <w:t>1</w:t>
            </w:r>
          </w:p>
        </w:tc>
        <w:tc>
          <w:tcPr>
            <w:tcW w:w="1713" w:type="dxa"/>
            <w:shd w:val="clear" w:color="auto" w:fill="auto"/>
            <w:noWrap/>
            <w:vAlign w:val="center"/>
          </w:tcPr>
          <w:p w14:paraId="3FCD6ED0" w14:textId="77777777" w:rsidR="006D148B" w:rsidRPr="00220DC4" w:rsidRDefault="006D148B" w:rsidP="009E3B2F">
            <w:pPr>
              <w:spacing w:after="120" w:line="240" w:lineRule="auto"/>
              <w:jc w:val="right"/>
              <w:rPr>
                <w:rFonts w:ascii="Futura Std Condensed Light" w:eastAsia="Calibri" w:hAnsi="Futura Std Condensed Light" w:cs="Calibri"/>
                <w:sz w:val="20"/>
                <w:szCs w:val="20"/>
              </w:rPr>
            </w:pPr>
            <w:r w:rsidRPr="00220DC4">
              <w:rPr>
                <w:rFonts w:ascii="Futura Std Condensed Light" w:eastAsia="Calibri" w:hAnsi="Futura Std Condensed Light" w:cs="Calibri"/>
                <w:sz w:val="20"/>
                <w:szCs w:val="20"/>
              </w:rPr>
              <w:t>$6,889,723.17</w:t>
            </w:r>
          </w:p>
        </w:tc>
        <w:tc>
          <w:tcPr>
            <w:tcW w:w="1134" w:type="dxa"/>
            <w:shd w:val="clear" w:color="auto" w:fill="auto"/>
            <w:vAlign w:val="center"/>
            <w:hideMark/>
          </w:tcPr>
          <w:p w14:paraId="4720F209" w14:textId="77777777" w:rsidR="006D148B" w:rsidRPr="00220DC4" w:rsidRDefault="006D148B" w:rsidP="009E3B2F">
            <w:pPr>
              <w:spacing w:after="120" w:line="240" w:lineRule="auto"/>
              <w:jc w:val="center"/>
              <w:rPr>
                <w:rFonts w:ascii="Futura Std Condensed Light" w:eastAsia="Calibri" w:hAnsi="Futura Std Condensed Light" w:cs="Calibri"/>
                <w:sz w:val="20"/>
                <w:szCs w:val="20"/>
              </w:rPr>
            </w:pPr>
            <w:r w:rsidRPr="00220DC4">
              <w:rPr>
                <w:rFonts w:ascii="Futura Std Condensed Light" w:eastAsia="Calibri" w:hAnsi="Futura Std Condensed Light" w:cs="Calibri"/>
                <w:sz w:val="20"/>
                <w:szCs w:val="20"/>
              </w:rPr>
              <w:t>MEDIA</w:t>
            </w:r>
          </w:p>
        </w:tc>
      </w:tr>
      <w:tr w:rsidR="006D148B" w:rsidRPr="00B141B9" w14:paraId="22A5E3AE" w14:textId="77777777" w:rsidTr="008D78F1">
        <w:trPr>
          <w:trHeight w:val="304"/>
          <w:jc w:val="center"/>
        </w:trPr>
        <w:tc>
          <w:tcPr>
            <w:tcW w:w="3539" w:type="dxa"/>
            <w:shd w:val="clear" w:color="auto" w:fill="auto"/>
            <w:vAlign w:val="center"/>
          </w:tcPr>
          <w:p w14:paraId="44CC4769" w14:textId="77777777" w:rsidR="006D148B" w:rsidRPr="00220DC4" w:rsidRDefault="006D148B" w:rsidP="004075F6">
            <w:pPr>
              <w:spacing w:after="120" w:line="240" w:lineRule="auto"/>
              <w:jc w:val="left"/>
              <w:rPr>
                <w:rFonts w:ascii="Futura Std Condensed Light" w:eastAsia="Calibri" w:hAnsi="Futura Std Condensed Light" w:cs="Calibri"/>
                <w:sz w:val="20"/>
                <w:szCs w:val="20"/>
              </w:rPr>
            </w:pPr>
            <w:r w:rsidRPr="00220DC4">
              <w:rPr>
                <w:rFonts w:ascii="Futura Std Condensed Light" w:eastAsia="Calibri" w:hAnsi="Futura Std Condensed Light" w:cs="Calibri"/>
                <w:sz w:val="20"/>
                <w:szCs w:val="20"/>
              </w:rPr>
              <w:t>PROEXEMS</w:t>
            </w:r>
          </w:p>
        </w:tc>
        <w:tc>
          <w:tcPr>
            <w:tcW w:w="624" w:type="dxa"/>
            <w:shd w:val="clear" w:color="auto" w:fill="auto"/>
            <w:noWrap/>
            <w:vAlign w:val="center"/>
          </w:tcPr>
          <w:p w14:paraId="6BDC7344" w14:textId="77777777" w:rsidR="006D148B" w:rsidRPr="00220DC4" w:rsidRDefault="006D148B" w:rsidP="009E3B2F">
            <w:pPr>
              <w:spacing w:after="120" w:line="240" w:lineRule="auto"/>
              <w:jc w:val="center"/>
              <w:rPr>
                <w:rFonts w:ascii="Futura Std Condensed Light" w:eastAsia="Calibri" w:hAnsi="Futura Std Condensed Light" w:cs="Calibri"/>
                <w:sz w:val="20"/>
                <w:szCs w:val="20"/>
              </w:rPr>
            </w:pPr>
            <w:r w:rsidRPr="00220DC4">
              <w:rPr>
                <w:rFonts w:ascii="Futura Std Condensed Light" w:eastAsia="Calibri" w:hAnsi="Futura Std Condensed Light" w:cs="Calibri"/>
                <w:sz w:val="20"/>
                <w:szCs w:val="20"/>
              </w:rPr>
              <w:t>2</w:t>
            </w:r>
          </w:p>
        </w:tc>
        <w:tc>
          <w:tcPr>
            <w:tcW w:w="794" w:type="dxa"/>
            <w:gridSpan w:val="3"/>
            <w:shd w:val="clear" w:color="auto" w:fill="auto"/>
            <w:noWrap/>
            <w:vAlign w:val="center"/>
          </w:tcPr>
          <w:p w14:paraId="033ED5AB" w14:textId="77777777" w:rsidR="006D148B" w:rsidRPr="00220DC4" w:rsidRDefault="006D148B" w:rsidP="009E3B2F">
            <w:pPr>
              <w:spacing w:after="120" w:line="240" w:lineRule="auto"/>
              <w:jc w:val="center"/>
              <w:rPr>
                <w:rFonts w:ascii="Futura Std Condensed Light" w:eastAsia="Calibri" w:hAnsi="Futura Std Condensed Light" w:cs="Calibri"/>
                <w:sz w:val="20"/>
                <w:szCs w:val="20"/>
              </w:rPr>
            </w:pPr>
            <w:r w:rsidRPr="00220DC4">
              <w:rPr>
                <w:rFonts w:ascii="Futura Std Condensed Light" w:eastAsia="Calibri" w:hAnsi="Futura Std Condensed Light" w:cs="Calibri"/>
                <w:sz w:val="20"/>
                <w:szCs w:val="20"/>
              </w:rPr>
              <w:t>7</w:t>
            </w:r>
          </w:p>
        </w:tc>
        <w:tc>
          <w:tcPr>
            <w:tcW w:w="456" w:type="dxa"/>
            <w:shd w:val="clear" w:color="auto" w:fill="auto"/>
            <w:noWrap/>
            <w:vAlign w:val="center"/>
          </w:tcPr>
          <w:p w14:paraId="1C97AC35" w14:textId="77777777" w:rsidR="006D148B" w:rsidRPr="00220DC4" w:rsidRDefault="006D148B" w:rsidP="009E3B2F">
            <w:pPr>
              <w:spacing w:after="120" w:line="240" w:lineRule="auto"/>
              <w:jc w:val="center"/>
              <w:rPr>
                <w:rFonts w:ascii="Futura Std Condensed Light" w:eastAsia="Calibri" w:hAnsi="Futura Std Condensed Light" w:cs="Calibri"/>
                <w:sz w:val="20"/>
                <w:szCs w:val="20"/>
              </w:rPr>
            </w:pPr>
            <w:r w:rsidRPr="00220DC4">
              <w:rPr>
                <w:rFonts w:ascii="Futura Std Condensed Light" w:eastAsia="Calibri" w:hAnsi="Futura Std Condensed Light" w:cs="Calibri"/>
                <w:sz w:val="20"/>
                <w:szCs w:val="20"/>
              </w:rPr>
              <w:t>2</w:t>
            </w:r>
          </w:p>
        </w:tc>
        <w:tc>
          <w:tcPr>
            <w:tcW w:w="625" w:type="dxa"/>
            <w:gridSpan w:val="2"/>
            <w:shd w:val="clear" w:color="auto" w:fill="auto"/>
            <w:noWrap/>
            <w:vAlign w:val="center"/>
          </w:tcPr>
          <w:p w14:paraId="01B631BF" w14:textId="77777777" w:rsidR="006D148B" w:rsidRPr="00220DC4" w:rsidRDefault="006D148B" w:rsidP="009E3B2F">
            <w:pPr>
              <w:spacing w:after="120" w:line="240" w:lineRule="auto"/>
              <w:jc w:val="center"/>
              <w:rPr>
                <w:rFonts w:ascii="Futura Std Condensed Light" w:eastAsia="Calibri" w:hAnsi="Futura Std Condensed Light" w:cs="Calibri"/>
                <w:sz w:val="20"/>
                <w:szCs w:val="20"/>
              </w:rPr>
            </w:pPr>
            <w:r w:rsidRPr="00220DC4">
              <w:rPr>
                <w:rFonts w:ascii="Futura Std Condensed Light" w:eastAsia="Calibri" w:hAnsi="Futura Std Condensed Light" w:cs="Calibri"/>
                <w:sz w:val="20"/>
                <w:szCs w:val="20"/>
              </w:rPr>
              <w:t>0</w:t>
            </w:r>
          </w:p>
        </w:tc>
        <w:tc>
          <w:tcPr>
            <w:tcW w:w="625" w:type="dxa"/>
            <w:gridSpan w:val="2"/>
            <w:shd w:val="clear" w:color="auto" w:fill="auto"/>
            <w:noWrap/>
            <w:vAlign w:val="center"/>
          </w:tcPr>
          <w:p w14:paraId="459F1140" w14:textId="77777777" w:rsidR="006D148B" w:rsidRPr="00220DC4" w:rsidRDefault="006D148B" w:rsidP="009E3B2F">
            <w:pPr>
              <w:spacing w:after="120" w:line="240" w:lineRule="auto"/>
              <w:jc w:val="center"/>
              <w:rPr>
                <w:rFonts w:ascii="Futura Std Condensed Light" w:eastAsia="Calibri" w:hAnsi="Futura Std Condensed Light" w:cs="Calibri"/>
                <w:sz w:val="20"/>
                <w:szCs w:val="20"/>
              </w:rPr>
            </w:pPr>
            <w:r w:rsidRPr="00220DC4">
              <w:rPr>
                <w:rFonts w:ascii="Futura Std Condensed Light" w:eastAsia="Calibri" w:hAnsi="Futura Std Condensed Light" w:cs="Calibri"/>
                <w:sz w:val="20"/>
                <w:szCs w:val="20"/>
              </w:rPr>
              <w:t>3</w:t>
            </w:r>
          </w:p>
        </w:tc>
        <w:tc>
          <w:tcPr>
            <w:tcW w:w="1713" w:type="dxa"/>
            <w:shd w:val="clear" w:color="auto" w:fill="auto"/>
            <w:noWrap/>
            <w:vAlign w:val="center"/>
          </w:tcPr>
          <w:p w14:paraId="0265AC2F" w14:textId="77777777" w:rsidR="006D148B" w:rsidRPr="00220DC4" w:rsidRDefault="006D148B" w:rsidP="009E3B2F">
            <w:pPr>
              <w:spacing w:after="120" w:line="240" w:lineRule="auto"/>
              <w:jc w:val="right"/>
              <w:rPr>
                <w:rFonts w:ascii="Futura Std Condensed Light" w:eastAsia="Calibri" w:hAnsi="Futura Std Condensed Light" w:cs="Calibri"/>
                <w:sz w:val="20"/>
                <w:szCs w:val="20"/>
              </w:rPr>
            </w:pPr>
            <w:r w:rsidRPr="00220DC4">
              <w:rPr>
                <w:rFonts w:ascii="Futura Std Condensed Light" w:eastAsia="Calibri" w:hAnsi="Futura Std Condensed Light" w:cs="Calibri"/>
                <w:sz w:val="20"/>
                <w:szCs w:val="20"/>
              </w:rPr>
              <w:t>$10,000,000.00</w:t>
            </w:r>
          </w:p>
        </w:tc>
        <w:tc>
          <w:tcPr>
            <w:tcW w:w="1134" w:type="dxa"/>
            <w:shd w:val="clear" w:color="auto" w:fill="auto"/>
            <w:vAlign w:val="center"/>
            <w:hideMark/>
          </w:tcPr>
          <w:p w14:paraId="118B28B8" w14:textId="77777777" w:rsidR="006D148B" w:rsidRPr="00220DC4" w:rsidRDefault="006D148B" w:rsidP="009E3B2F">
            <w:pPr>
              <w:spacing w:after="120" w:line="240" w:lineRule="auto"/>
              <w:jc w:val="center"/>
              <w:rPr>
                <w:rFonts w:ascii="Futura Std Condensed Light" w:eastAsia="Calibri" w:hAnsi="Futura Std Condensed Light" w:cs="Calibri"/>
                <w:sz w:val="20"/>
                <w:szCs w:val="20"/>
              </w:rPr>
            </w:pPr>
            <w:r w:rsidRPr="00220DC4">
              <w:rPr>
                <w:rFonts w:ascii="Futura Std Condensed Light" w:eastAsia="Calibri" w:hAnsi="Futura Std Condensed Light" w:cs="Calibri"/>
                <w:sz w:val="20"/>
                <w:szCs w:val="20"/>
              </w:rPr>
              <w:t>MEDIA</w:t>
            </w:r>
          </w:p>
        </w:tc>
      </w:tr>
      <w:tr w:rsidR="006D148B" w:rsidRPr="00B141B9" w14:paraId="0BB4FA25" w14:textId="77777777" w:rsidTr="008D78F1">
        <w:trPr>
          <w:trHeight w:val="335"/>
          <w:jc w:val="center"/>
        </w:trPr>
        <w:tc>
          <w:tcPr>
            <w:tcW w:w="3539" w:type="dxa"/>
            <w:shd w:val="clear" w:color="auto" w:fill="auto"/>
            <w:vAlign w:val="center"/>
          </w:tcPr>
          <w:p w14:paraId="511C439B" w14:textId="3B8AA26E" w:rsidR="006D148B" w:rsidRPr="00220DC4" w:rsidRDefault="00FD3242" w:rsidP="00FD3242">
            <w:pPr>
              <w:spacing w:after="120" w:line="240" w:lineRule="auto"/>
              <w:jc w:val="left"/>
              <w:rPr>
                <w:rFonts w:ascii="Futura Std Condensed Light" w:eastAsia="Calibri" w:hAnsi="Futura Std Condensed Light" w:cs="Calibri"/>
                <w:sz w:val="20"/>
                <w:szCs w:val="20"/>
              </w:rPr>
            </w:pPr>
            <w:r w:rsidRPr="00220DC4">
              <w:rPr>
                <w:rFonts w:ascii="Futura Std Condensed Light" w:eastAsia="Calibri" w:hAnsi="Futura Std Condensed Light" w:cs="Calibri"/>
                <w:sz w:val="20"/>
                <w:szCs w:val="20"/>
              </w:rPr>
              <w:t xml:space="preserve">Fondo </w:t>
            </w:r>
            <w:r>
              <w:rPr>
                <w:rFonts w:ascii="Futura Std Condensed Light" w:eastAsia="Calibri" w:hAnsi="Futura Std Condensed Light" w:cs="Calibri"/>
                <w:sz w:val="20"/>
                <w:szCs w:val="20"/>
              </w:rPr>
              <w:t>d</w:t>
            </w:r>
            <w:r w:rsidRPr="00220DC4">
              <w:rPr>
                <w:rFonts w:ascii="Futura Std Condensed Light" w:eastAsia="Calibri" w:hAnsi="Futura Std Condensed Light" w:cs="Calibri"/>
                <w:sz w:val="20"/>
                <w:szCs w:val="20"/>
              </w:rPr>
              <w:t xml:space="preserve">e Fortalecimiento </w:t>
            </w:r>
            <w:r>
              <w:rPr>
                <w:rFonts w:ascii="Futura Std Condensed Light" w:eastAsia="Calibri" w:hAnsi="Futura Std Condensed Light" w:cs="Calibri"/>
                <w:sz w:val="20"/>
                <w:szCs w:val="20"/>
              </w:rPr>
              <w:t>de l</w:t>
            </w:r>
            <w:r w:rsidRPr="00220DC4">
              <w:rPr>
                <w:rFonts w:ascii="Futura Std Condensed Light" w:eastAsia="Calibri" w:hAnsi="Futura Std Condensed Light" w:cs="Calibri"/>
                <w:sz w:val="20"/>
                <w:szCs w:val="20"/>
              </w:rPr>
              <w:t>as Entidades Federativas</w:t>
            </w:r>
          </w:p>
        </w:tc>
        <w:tc>
          <w:tcPr>
            <w:tcW w:w="624" w:type="dxa"/>
            <w:shd w:val="clear" w:color="auto" w:fill="auto"/>
            <w:noWrap/>
            <w:vAlign w:val="center"/>
          </w:tcPr>
          <w:p w14:paraId="445A7065" w14:textId="77777777" w:rsidR="006D148B" w:rsidRPr="00220DC4" w:rsidRDefault="006D148B" w:rsidP="009E3B2F">
            <w:pPr>
              <w:spacing w:after="120" w:line="240" w:lineRule="auto"/>
              <w:jc w:val="center"/>
              <w:rPr>
                <w:rFonts w:ascii="Futura Std Condensed Light" w:eastAsia="Calibri" w:hAnsi="Futura Std Condensed Light" w:cs="Calibri"/>
                <w:sz w:val="20"/>
                <w:szCs w:val="20"/>
              </w:rPr>
            </w:pPr>
            <w:r w:rsidRPr="00220DC4">
              <w:rPr>
                <w:rFonts w:ascii="Futura Std Condensed Light" w:eastAsia="Calibri" w:hAnsi="Futura Std Condensed Light" w:cs="Calibri"/>
                <w:sz w:val="20"/>
                <w:szCs w:val="20"/>
              </w:rPr>
              <w:t>1</w:t>
            </w:r>
          </w:p>
        </w:tc>
        <w:tc>
          <w:tcPr>
            <w:tcW w:w="794" w:type="dxa"/>
            <w:gridSpan w:val="3"/>
            <w:shd w:val="clear" w:color="auto" w:fill="auto"/>
            <w:noWrap/>
            <w:vAlign w:val="center"/>
          </w:tcPr>
          <w:p w14:paraId="5C96996C" w14:textId="77777777" w:rsidR="006D148B" w:rsidRPr="00220DC4" w:rsidRDefault="006D148B" w:rsidP="009E3B2F">
            <w:pPr>
              <w:spacing w:after="120" w:line="240" w:lineRule="auto"/>
              <w:jc w:val="center"/>
              <w:rPr>
                <w:rFonts w:ascii="Futura Std Condensed Light" w:eastAsia="Calibri" w:hAnsi="Futura Std Condensed Light" w:cs="Calibri"/>
                <w:sz w:val="20"/>
                <w:szCs w:val="20"/>
              </w:rPr>
            </w:pPr>
            <w:r w:rsidRPr="00220DC4">
              <w:rPr>
                <w:rFonts w:ascii="Futura Std Condensed Light" w:eastAsia="Calibri" w:hAnsi="Futura Std Condensed Light" w:cs="Calibri"/>
                <w:sz w:val="20"/>
                <w:szCs w:val="20"/>
              </w:rPr>
              <w:t>0</w:t>
            </w:r>
          </w:p>
        </w:tc>
        <w:tc>
          <w:tcPr>
            <w:tcW w:w="456" w:type="dxa"/>
            <w:shd w:val="clear" w:color="auto" w:fill="auto"/>
            <w:noWrap/>
            <w:vAlign w:val="center"/>
          </w:tcPr>
          <w:p w14:paraId="1888B00F" w14:textId="77777777" w:rsidR="006D148B" w:rsidRPr="00220DC4" w:rsidRDefault="006D148B" w:rsidP="009E3B2F">
            <w:pPr>
              <w:spacing w:after="120" w:line="240" w:lineRule="auto"/>
              <w:jc w:val="center"/>
              <w:rPr>
                <w:rFonts w:ascii="Futura Std Condensed Light" w:eastAsia="Calibri" w:hAnsi="Futura Std Condensed Light" w:cs="Calibri"/>
                <w:sz w:val="20"/>
                <w:szCs w:val="20"/>
              </w:rPr>
            </w:pPr>
            <w:r w:rsidRPr="00220DC4">
              <w:rPr>
                <w:rFonts w:ascii="Futura Std Condensed Light" w:eastAsia="Calibri" w:hAnsi="Futura Std Condensed Light" w:cs="Calibri"/>
                <w:sz w:val="20"/>
                <w:szCs w:val="20"/>
              </w:rPr>
              <w:t>0</w:t>
            </w:r>
          </w:p>
        </w:tc>
        <w:tc>
          <w:tcPr>
            <w:tcW w:w="625" w:type="dxa"/>
            <w:gridSpan w:val="2"/>
            <w:shd w:val="clear" w:color="auto" w:fill="auto"/>
            <w:noWrap/>
            <w:vAlign w:val="center"/>
          </w:tcPr>
          <w:p w14:paraId="4ED6F189" w14:textId="77777777" w:rsidR="006D148B" w:rsidRPr="00220DC4" w:rsidRDefault="006D148B" w:rsidP="009E3B2F">
            <w:pPr>
              <w:spacing w:after="120" w:line="240" w:lineRule="auto"/>
              <w:jc w:val="center"/>
              <w:rPr>
                <w:rFonts w:ascii="Futura Std Condensed Light" w:eastAsia="Calibri" w:hAnsi="Futura Std Condensed Light" w:cs="Calibri"/>
                <w:sz w:val="20"/>
                <w:szCs w:val="20"/>
              </w:rPr>
            </w:pPr>
            <w:r w:rsidRPr="00220DC4">
              <w:rPr>
                <w:rFonts w:ascii="Futura Std Condensed Light" w:eastAsia="Calibri" w:hAnsi="Futura Std Condensed Light" w:cs="Calibri"/>
                <w:sz w:val="20"/>
                <w:szCs w:val="20"/>
              </w:rPr>
              <w:t>0</w:t>
            </w:r>
          </w:p>
        </w:tc>
        <w:tc>
          <w:tcPr>
            <w:tcW w:w="625" w:type="dxa"/>
            <w:gridSpan w:val="2"/>
            <w:shd w:val="clear" w:color="auto" w:fill="auto"/>
            <w:noWrap/>
            <w:vAlign w:val="center"/>
          </w:tcPr>
          <w:p w14:paraId="26FCF68E" w14:textId="77777777" w:rsidR="006D148B" w:rsidRPr="00220DC4" w:rsidRDefault="006D148B" w:rsidP="009E3B2F">
            <w:pPr>
              <w:spacing w:after="120" w:line="240" w:lineRule="auto"/>
              <w:jc w:val="center"/>
              <w:rPr>
                <w:rFonts w:ascii="Futura Std Condensed Light" w:eastAsia="Calibri" w:hAnsi="Futura Std Condensed Light" w:cs="Calibri"/>
                <w:sz w:val="20"/>
                <w:szCs w:val="20"/>
              </w:rPr>
            </w:pPr>
            <w:r w:rsidRPr="00220DC4">
              <w:rPr>
                <w:rFonts w:ascii="Futura Std Condensed Light" w:eastAsia="Calibri" w:hAnsi="Futura Std Condensed Light" w:cs="Calibri"/>
                <w:sz w:val="20"/>
                <w:szCs w:val="20"/>
              </w:rPr>
              <w:t>0</w:t>
            </w:r>
          </w:p>
        </w:tc>
        <w:tc>
          <w:tcPr>
            <w:tcW w:w="1713" w:type="dxa"/>
            <w:shd w:val="clear" w:color="auto" w:fill="auto"/>
            <w:noWrap/>
            <w:vAlign w:val="center"/>
          </w:tcPr>
          <w:p w14:paraId="518B5AA2" w14:textId="77777777" w:rsidR="006D148B" w:rsidRPr="00220DC4" w:rsidRDefault="006D148B" w:rsidP="009E3B2F">
            <w:pPr>
              <w:spacing w:after="120" w:line="240" w:lineRule="auto"/>
              <w:jc w:val="right"/>
              <w:rPr>
                <w:rFonts w:ascii="Futura Std Condensed Light" w:eastAsia="Calibri" w:hAnsi="Futura Std Condensed Light" w:cs="Calibri"/>
                <w:sz w:val="20"/>
                <w:szCs w:val="20"/>
              </w:rPr>
            </w:pPr>
            <w:r w:rsidRPr="00220DC4">
              <w:rPr>
                <w:rFonts w:ascii="Futura Std Condensed Light" w:eastAsia="Calibri" w:hAnsi="Futura Std Condensed Light" w:cs="Calibri"/>
                <w:sz w:val="20"/>
                <w:szCs w:val="20"/>
              </w:rPr>
              <w:t>$1,155,144.16</w:t>
            </w:r>
          </w:p>
        </w:tc>
        <w:tc>
          <w:tcPr>
            <w:tcW w:w="1134" w:type="dxa"/>
            <w:shd w:val="clear" w:color="auto" w:fill="auto"/>
            <w:vAlign w:val="center"/>
          </w:tcPr>
          <w:p w14:paraId="6A20E9C4" w14:textId="77777777" w:rsidR="006D148B" w:rsidRPr="00220DC4" w:rsidRDefault="006D148B" w:rsidP="009E3B2F">
            <w:pPr>
              <w:spacing w:after="120" w:line="240" w:lineRule="auto"/>
              <w:jc w:val="center"/>
              <w:rPr>
                <w:rFonts w:ascii="Futura Std Condensed Light" w:eastAsia="Calibri" w:hAnsi="Futura Std Condensed Light" w:cs="Calibri"/>
                <w:sz w:val="20"/>
                <w:szCs w:val="20"/>
              </w:rPr>
            </w:pPr>
            <w:r w:rsidRPr="00220DC4">
              <w:rPr>
                <w:rFonts w:ascii="Futura Std Condensed Light" w:eastAsia="Calibri" w:hAnsi="Futura Std Condensed Light" w:cs="Calibri"/>
                <w:sz w:val="20"/>
                <w:szCs w:val="20"/>
              </w:rPr>
              <w:t>MEDIA</w:t>
            </w:r>
          </w:p>
        </w:tc>
      </w:tr>
      <w:tr w:rsidR="006D148B" w:rsidRPr="00B141B9" w14:paraId="24F5B1A4" w14:textId="77777777" w:rsidTr="008D78F1">
        <w:trPr>
          <w:trHeight w:val="335"/>
          <w:jc w:val="center"/>
        </w:trPr>
        <w:tc>
          <w:tcPr>
            <w:tcW w:w="3539" w:type="dxa"/>
            <w:shd w:val="clear" w:color="auto" w:fill="auto"/>
            <w:vAlign w:val="center"/>
          </w:tcPr>
          <w:p w14:paraId="38ED0D2C" w14:textId="1065181F" w:rsidR="006D148B" w:rsidRPr="00220DC4" w:rsidRDefault="00FD3242" w:rsidP="00FD3242">
            <w:pPr>
              <w:spacing w:after="120" w:line="240" w:lineRule="auto"/>
              <w:jc w:val="left"/>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Convenio para el Otorgamiento de Subsidios del Fondo p</w:t>
            </w:r>
            <w:r w:rsidRPr="00220DC4">
              <w:rPr>
                <w:rFonts w:ascii="Futura Std Condensed Light" w:eastAsia="Calibri" w:hAnsi="Futura Std Condensed Light" w:cs="Calibri"/>
                <w:sz w:val="20"/>
                <w:szCs w:val="20"/>
              </w:rPr>
              <w:t xml:space="preserve">ara </w:t>
            </w:r>
            <w:r>
              <w:rPr>
                <w:rFonts w:ascii="Futura Std Condensed Light" w:eastAsia="Calibri" w:hAnsi="Futura Std Condensed Light" w:cs="Calibri"/>
                <w:sz w:val="20"/>
                <w:szCs w:val="20"/>
              </w:rPr>
              <w:t>e</w:t>
            </w:r>
            <w:r w:rsidRPr="00220DC4">
              <w:rPr>
                <w:rFonts w:ascii="Futura Std Condensed Light" w:eastAsia="Calibri" w:hAnsi="Futura Std Condensed Light" w:cs="Calibri"/>
                <w:sz w:val="20"/>
                <w:szCs w:val="20"/>
              </w:rPr>
              <w:t xml:space="preserve">l Fortalecimiento financiero </w:t>
            </w:r>
            <w:r>
              <w:rPr>
                <w:rFonts w:ascii="Futura Std Condensed Light" w:eastAsia="Calibri" w:hAnsi="Futura Std Condensed Light" w:cs="Calibri"/>
                <w:sz w:val="20"/>
                <w:szCs w:val="20"/>
              </w:rPr>
              <w:t>p</w:t>
            </w:r>
            <w:r w:rsidRPr="00220DC4">
              <w:rPr>
                <w:rFonts w:ascii="Futura Std Condensed Light" w:eastAsia="Calibri" w:hAnsi="Futura Std Condensed Light" w:cs="Calibri"/>
                <w:sz w:val="20"/>
                <w:szCs w:val="20"/>
              </w:rPr>
              <w:t>ara Inversión 2018</w:t>
            </w:r>
          </w:p>
        </w:tc>
        <w:tc>
          <w:tcPr>
            <w:tcW w:w="624" w:type="dxa"/>
            <w:shd w:val="clear" w:color="auto" w:fill="auto"/>
            <w:noWrap/>
            <w:vAlign w:val="center"/>
          </w:tcPr>
          <w:p w14:paraId="791F1F82" w14:textId="77777777" w:rsidR="006D148B" w:rsidRPr="00220DC4" w:rsidRDefault="006D148B" w:rsidP="009E3B2F">
            <w:pPr>
              <w:spacing w:after="120" w:line="240" w:lineRule="auto"/>
              <w:jc w:val="center"/>
              <w:rPr>
                <w:rFonts w:ascii="Futura Std Condensed Light" w:eastAsia="Calibri" w:hAnsi="Futura Std Condensed Light" w:cs="Calibri"/>
                <w:sz w:val="20"/>
                <w:szCs w:val="20"/>
              </w:rPr>
            </w:pPr>
            <w:r w:rsidRPr="00220DC4">
              <w:rPr>
                <w:rFonts w:ascii="Futura Std Condensed Light" w:eastAsia="Calibri" w:hAnsi="Futura Std Condensed Light" w:cs="Calibri"/>
                <w:sz w:val="20"/>
                <w:szCs w:val="20"/>
              </w:rPr>
              <w:t>2</w:t>
            </w:r>
          </w:p>
        </w:tc>
        <w:tc>
          <w:tcPr>
            <w:tcW w:w="794" w:type="dxa"/>
            <w:gridSpan w:val="3"/>
            <w:shd w:val="clear" w:color="auto" w:fill="auto"/>
            <w:noWrap/>
            <w:vAlign w:val="center"/>
          </w:tcPr>
          <w:p w14:paraId="3A08A5DA" w14:textId="77777777" w:rsidR="006D148B" w:rsidRPr="00220DC4" w:rsidRDefault="006D148B" w:rsidP="009E3B2F">
            <w:pPr>
              <w:spacing w:after="120" w:line="240" w:lineRule="auto"/>
              <w:jc w:val="center"/>
              <w:rPr>
                <w:rFonts w:ascii="Futura Std Condensed Light" w:eastAsia="Calibri" w:hAnsi="Futura Std Condensed Light" w:cs="Calibri"/>
                <w:sz w:val="20"/>
                <w:szCs w:val="20"/>
              </w:rPr>
            </w:pPr>
            <w:r w:rsidRPr="00220DC4">
              <w:rPr>
                <w:rFonts w:ascii="Futura Std Condensed Light" w:eastAsia="Calibri" w:hAnsi="Futura Std Condensed Light" w:cs="Calibri"/>
                <w:sz w:val="20"/>
                <w:szCs w:val="20"/>
              </w:rPr>
              <w:t>0</w:t>
            </w:r>
          </w:p>
        </w:tc>
        <w:tc>
          <w:tcPr>
            <w:tcW w:w="456" w:type="dxa"/>
            <w:shd w:val="clear" w:color="auto" w:fill="auto"/>
            <w:noWrap/>
            <w:vAlign w:val="center"/>
          </w:tcPr>
          <w:p w14:paraId="78CF7E20" w14:textId="77777777" w:rsidR="006D148B" w:rsidRPr="00220DC4" w:rsidRDefault="006D148B" w:rsidP="009E3B2F">
            <w:pPr>
              <w:spacing w:after="120" w:line="240" w:lineRule="auto"/>
              <w:jc w:val="center"/>
              <w:rPr>
                <w:rFonts w:ascii="Futura Std Condensed Light" w:eastAsia="Calibri" w:hAnsi="Futura Std Condensed Light" w:cs="Calibri"/>
                <w:sz w:val="20"/>
                <w:szCs w:val="20"/>
              </w:rPr>
            </w:pPr>
            <w:r w:rsidRPr="00220DC4">
              <w:rPr>
                <w:rFonts w:ascii="Futura Std Condensed Light" w:eastAsia="Calibri" w:hAnsi="Futura Std Condensed Light" w:cs="Calibri"/>
                <w:sz w:val="20"/>
                <w:szCs w:val="20"/>
              </w:rPr>
              <w:t>0</w:t>
            </w:r>
          </w:p>
        </w:tc>
        <w:tc>
          <w:tcPr>
            <w:tcW w:w="625" w:type="dxa"/>
            <w:gridSpan w:val="2"/>
            <w:shd w:val="clear" w:color="auto" w:fill="auto"/>
            <w:noWrap/>
            <w:vAlign w:val="center"/>
          </w:tcPr>
          <w:p w14:paraId="4B267AF9" w14:textId="77777777" w:rsidR="006D148B" w:rsidRPr="00220DC4" w:rsidRDefault="006D148B" w:rsidP="009E3B2F">
            <w:pPr>
              <w:spacing w:after="120" w:line="240" w:lineRule="auto"/>
              <w:jc w:val="center"/>
              <w:rPr>
                <w:rFonts w:ascii="Futura Std Condensed Light" w:eastAsia="Calibri" w:hAnsi="Futura Std Condensed Light" w:cs="Calibri"/>
                <w:sz w:val="20"/>
                <w:szCs w:val="20"/>
              </w:rPr>
            </w:pPr>
            <w:r w:rsidRPr="00220DC4">
              <w:rPr>
                <w:rFonts w:ascii="Futura Std Condensed Light" w:eastAsia="Calibri" w:hAnsi="Futura Std Condensed Light" w:cs="Calibri"/>
                <w:sz w:val="20"/>
                <w:szCs w:val="20"/>
              </w:rPr>
              <w:t>0</w:t>
            </w:r>
          </w:p>
        </w:tc>
        <w:tc>
          <w:tcPr>
            <w:tcW w:w="625" w:type="dxa"/>
            <w:gridSpan w:val="2"/>
            <w:shd w:val="clear" w:color="auto" w:fill="auto"/>
            <w:noWrap/>
            <w:vAlign w:val="center"/>
          </w:tcPr>
          <w:p w14:paraId="1E488B49" w14:textId="77777777" w:rsidR="006D148B" w:rsidRPr="00220DC4" w:rsidRDefault="006D148B" w:rsidP="009E3B2F">
            <w:pPr>
              <w:spacing w:after="120" w:line="240" w:lineRule="auto"/>
              <w:jc w:val="center"/>
              <w:rPr>
                <w:rFonts w:ascii="Futura Std Condensed Light" w:eastAsia="Calibri" w:hAnsi="Futura Std Condensed Light" w:cs="Calibri"/>
                <w:sz w:val="20"/>
                <w:szCs w:val="20"/>
              </w:rPr>
            </w:pPr>
            <w:r w:rsidRPr="00220DC4">
              <w:rPr>
                <w:rFonts w:ascii="Futura Std Condensed Light" w:eastAsia="Calibri" w:hAnsi="Futura Std Condensed Light" w:cs="Calibri"/>
                <w:sz w:val="20"/>
                <w:szCs w:val="20"/>
              </w:rPr>
              <w:t>0</w:t>
            </w:r>
          </w:p>
        </w:tc>
        <w:tc>
          <w:tcPr>
            <w:tcW w:w="1713" w:type="dxa"/>
            <w:shd w:val="clear" w:color="auto" w:fill="auto"/>
            <w:noWrap/>
            <w:vAlign w:val="center"/>
          </w:tcPr>
          <w:p w14:paraId="6014276A" w14:textId="77777777" w:rsidR="006D148B" w:rsidRPr="00220DC4" w:rsidRDefault="006D148B" w:rsidP="009E3B2F">
            <w:pPr>
              <w:spacing w:after="120" w:line="240" w:lineRule="auto"/>
              <w:jc w:val="right"/>
              <w:rPr>
                <w:rFonts w:ascii="Futura Std Condensed Light" w:eastAsia="Calibri" w:hAnsi="Futura Std Condensed Light" w:cs="Calibri"/>
                <w:sz w:val="20"/>
                <w:szCs w:val="20"/>
              </w:rPr>
            </w:pPr>
            <w:r w:rsidRPr="00220DC4">
              <w:rPr>
                <w:rFonts w:ascii="Futura Std Condensed Light" w:eastAsia="Calibri" w:hAnsi="Futura Std Condensed Light" w:cs="Calibri"/>
                <w:sz w:val="20"/>
                <w:szCs w:val="20"/>
              </w:rPr>
              <w:t>$1,999,999.06</w:t>
            </w:r>
          </w:p>
        </w:tc>
        <w:tc>
          <w:tcPr>
            <w:tcW w:w="1134" w:type="dxa"/>
            <w:shd w:val="clear" w:color="auto" w:fill="auto"/>
            <w:vAlign w:val="center"/>
            <w:hideMark/>
          </w:tcPr>
          <w:p w14:paraId="0038FAAF" w14:textId="77777777" w:rsidR="006D148B" w:rsidRPr="00220DC4" w:rsidRDefault="006D148B" w:rsidP="009E3B2F">
            <w:pPr>
              <w:spacing w:after="120" w:line="240" w:lineRule="auto"/>
              <w:jc w:val="center"/>
              <w:rPr>
                <w:rFonts w:ascii="Futura Std Condensed Light" w:eastAsia="Calibri" w:hAnsi="Futura Std Condensed Light" w:cs="Calibri"/>
                <w:sz w:val="20"/>
                <w:szCs w:val="20"/>
              </w:rPr>
            </w:pPr>
            <w:r w:rsidRPr="00220DC4">
              <w:rPr>
                <w:rFonts w:ascii="Futura Std Condensed Light" w:eastAsia="Calibri" w:hAnsi="Futura Std Condensed Light" w:cs="Calibri"/>
                <w:sz w:val="20"/>
                <w:szCs w:val="20"/>
              </w:rPr>
              <w:t>MEDIA</w:t>
            </w:r>
          </w:p>
        </w:tc>
      </w:tr>
      <w:tr w:rsidR="006D148B" w:rsidRPr="00B141B9" w14:paraId="16D790A9" w14:textId="77777777" w:rsidTr="008D78F1">
        <w:trPr>
          <w:trHeight w:val="522"/>
          <w:jc w:val="center"/>
        </w:trPr>
        <w:tc>
          <w:tcPr>
            <w:tcW w:w="3539" w:type="dxa"/>
            <w:shd w:val="clear" w:color="auto" w:fill="A6A6A6"/>
            <w:vAlign w:val="center"/>
            <w:hideMark/>
          </w:tcPr>
          <w:p w14:paraId="00AC9E8D" w14:textId="4CDC6503" w:rsidR="006D148B" w:rsidRPr="00FD3242" w:rsidRDefault="006D148B" w:rsidP="009E3B2F">
            <w:pPr>
              <w:spacing w:after="120" w:line="240" w:lineRule="auto"/>
              <w:jc w:val="center"/>
              <w:rPr>
                <w:rFonts w:ascii="Futura Std Condensed Light" w:eastAsia="Calibri" w:hAnsi="Futura Std Condensed Light" w:cs="Calibri"/>
                <w:sz w:val="20"/>
                <w:szCs w:val="18"/>
              </w:rPr>
            </w:pPr>
            <w:r w:rsidRPr="00FD3242">
              <w:rPr>
                <w:rFonts w:ascii="Futura Std Condensed Light" w:eastAsia="Calibri" w:hAnsi="Futura Std Condensed Light" w:cs="Calibri"/>
                <w:sz w:val="20"/>
                <w:szCs w:val="18"/>
              </w:rPr>
              <w:t> </w:t>
            </w:r>
            <w:r w:rsidR="000E1F53" w:rsidRPr="00FD3242">
              <w:rPr>
                <w:rFonts w:ascii="Futura Std Condensed Light" w:eastAsia="Calibri" w:hAnsi="Futura Std Condensed Light" w:cs="Calibri"/>
                <w:sz w:val="20"/>
                <w:szCs w:val="18"/>
              </w:rPr>
              <w:t>Total Media Superior</w:t>
            </w:r>
          </w:p>
        </w:tc>
        <w:tc>
          <w:tcPr>
            <w:tcW w:w="624" w:type="dxa"/>
            <w:shd w:val="clear" w:color="auto" w:fill="A6A6A6"/>
            <w:noWrap/>
            <w:vAlign w:val="center"/>
          </w:tcPr>
          <w:p w14:paraId="794B2B09" w14:textId="77777777" w:rsidR="006D148B" w:rsidRPr="00FD3242" w:rsidRDefault="006D148B" w:rsidP="009E3B2F">
            <w:pPr>
              <w:spacing w:after="120" w:line="240" w:lineRule="auto"/>
              <w:jc w:val="center"/>
              <w:rPr>
                <w:rFonts w:ascii="Futura Std Condensed Light" w:eastAsia="Calibri" w:hAnsi="Futura Std Condensed Light" w:cs="Calibri"/>
                <w:sz w:val="20"/>
                <w:szCs w:val="18"/>
              </w:rPr>
            </w:pPr>
            <w:r w:rsidRPr="00FD3242">
              <w:rPr>
                <w:rFonts w:ascii="Futura Std Condensed Light" w:eastAsia="Calibri" w:hAnsi="Futura Std Condensed Light" w:cs="Calibri"/>
                <w:sz w:val="20"/>
                <w:szCs w:val="18"/>
              </w:rPr>
              <w:t>12</w:t>
            </w:r>
          </w:p>
        </w:tc>
        <w:tc>
          <w:tcPr>
            <w:tcW w:w="794" w:type="dxa"/>
            <w:gridSpan w:val="3"/>
            <w:shd w:val="clear" w:color="auto" w:fill="A6A6A6"/>
            <w:noWrap/>
            <w:vAlign w:val="center"/>
          </w:tcPr>
          <w:p w14:paraId="53BEF1BB" w14:textId="77777777" w:rsidR="006D148B" w:rsidRPr="00FD3242" w:rsidRDefault="006D148B" w:rsidP="009E3B2F">
            <w:pPr>
              <w:spacing w:after="120" w:line="240" w:lineRule="auto"/>
              <w:jc w:val="center"/>
              <w:rPr>
                <w:rFonts w:ascii="Futura Std Condensed Light" w:eastAsia="Calibri" w:hAnsi="Futura Std Condensed Light" w:cs="Calibri"/>
                <w:sz w:val="20"/>
                <w:szCs w:val="18"/>
              </w:rPr>
            </w:pPr>
            <w:r w:rsidRPr="00FD3242">
              <w:rPr>
                <w:rFonts w:ascii="Futura Std Condensed Light" w:eastAsia="Calibri" w:hAnsi="Futura Std Condensed Light" w:cs="Calibri"/>
                <w:sz w:val="20"/>
                <w:szCs w:val="18"/>
              </w:rPr>
              <w:t>23</w:t>
            </w:r>
          </w:p>
        </w:tc>
        <w:tc>
          <w:tcPr>
            <w:tcW w:w="456" w:type="dxa"/>
            <w:shd w:val="clear" w:color="auto" w:fill="A6A6A6"/>
            <w:noWrap/>
            <w:vAlign w:val="center"/>
          </w:tcPr>
          <w:p w14:paraId="5F4C62E1" w14:textId="77777777" w:rsidR="006D148B" w:rsidRPr="00FD3242" w:rsidRDefault="006D148B" w:rsidP="009E3B2F">
            <w:pPr>
              <w:spacing w:after="120" w:line="240" w:lineRule="auto"/>
              <w:jc w:val="center"/>
              <w:rPr>
                <w:rFonts w:ascii="Futura Std Condensed Light" w:eastAsia="Calibri" w:hAnsi="Futura Std Condensed Light" w:cs="Calibri"/>
                <w:sz w:val="20"/>
                <w:szCs w:val="18"/>
              </w:rPr>
            </w:pPr>
            <w:r w:rsidRPr="00FD3242">
              <w:rPr>
                <w:rFonts w:ascii="Futura Std Condensed Light" w:eastAsia="Calibri" w:hAnsi="Futura Std Condensed Light" w:cs="Calibri"/>
                <w:sz w:val="20"/>
                <w:szCs w:val="18"/>
              </w:rPr>
              <w:t>3</w:t>
            </w:r>
          </w:p>
        </w:tc>
        <w:tc>
          <w:tcPr>
            <w:tcW w:w="625" w:type="dxa"/>
            <w:gridSpan w:val="2"/>
            <w:shd w:val="clear" w:color="auto" w:fill="A6A6A6"/>
            <w:noWrap/>
            <w:vAlign w:val="center"/>
          </w:tcPr>
          <w:p w14:paraId="107A4AAD" w14:textId="77777777" w:rsidR="006D148B" w:rsidRPr="00FD3242" w:rsidRDefault="006D148B" w:rsidP="009E3B2F">
            <w:pPr>
              <w:spacing w:after="120" w:line="240" w:lineRule="auto"/>
              <w:jc w:val="center"/>
              <w:rPr>
                <w:rFonts w:ascii="Futura Std Condensed Light" w:eastAsia="Calibri" w:hAnsi="Futura Std Condensed Light" w:cs="Calibri"/>
                <w:sz w:val="20"/>
                <w:szCs w:val="18"/>
              </w:rPr>
            </w:pPr>
            <w:r w:rsidRPr="00FD3242">
              <w:rPr>
                <w:rFonts w:ascii="Futura Std Condensed Light" w:eastAsia="Calibri" w:hAnsi="Futura Std Condensed Light" w:cs="Calibri"/>
                <w:sz w:val="20"/>
                <w:szCs w:val="18"/>
              </w:rPr>
              <w:t>0</w:t>
            </w:r>
          </w:p>
        </w:tc>
        <w:tc>
          <w:tcPr>
            <w:tcW w:w="625" w:type="dxa"/>
            <w:gridSpan w:val="2"/>
            <w:shd w:val="clear" w:color="auto" w:fill="A6A6A6"/>
            <w:noWrap/>
            <w:vAlign w:val="center"/>
          </w:tcPr>
          <w:p w14:paraId="3E8F88C5" w14:textId="77777777" w:rsidR="006D148B" w:rsidRPr="00FD3242" w:rsidRDefault="006D148B" w:rsidP="009E3B2F">
            <w:pPr>
              <w:spacing w:after="120" w:line="240" w:lineRule="auto"/>
              <w:jc w:val="center"/>
              <w:rPr>
                <w:rFonts w:ascii="Futura Std Condensed Light" w:eastAsia="Calibri" w:hAnsi="Futura Std Condensed Light" w:cs="Calibri"/>
                <w:sz w:val="20"/>
                <w:szCs w:val="18"/>
              </w:rPr>
            </w:pPr>
            <w:r w:rsidRPr="00FD3242">
              <w:rPr>
                <w:rFonts w:ascii="Futura Std Condensed Light" w:eastAsia="Calibri" w:hAnsi="Futura Std Condensed Light" w:cs="Calibri"/>
                <w:sz w:val="20"/>
                <w:szCs w:val="18"/>
              </w:rPr>
              <w:t>4</w:t>
            </w:r>
          </w:p>
        </w:tc>
        <w:tc>
          <w:tcPr>
            <w:tcW w:w="1713" w:type="dxa"/>
            <w:shd w:val="clear" w:color="auto" w:fill="A6A6A6"/>
            <w:noWrap/>
            <w:vAlign w:val="center"/>
          </w:tcPr>
          <w:p w14:paraId="237EB0B4" w14:textId="77777777" w:rsidR="006D148B" w:rsidRPr="00FD3242" w:rsidRDefault="006D148B" w:rsidP="009E3B2F">
            <w:pPr>
              <w:spacing w:after="120" w:line="240" w:lineRule="auto"/>
              <w:jc w:val="right"/>
              <w:rPr>
                <w:rFonts w:ascii="Futura Std Condensed Light" w:eastAsia="Calibri" w:hAnsi="Futura Std Condensed Light" w:cs="Calibri"/>
                <w:sz w:val="20"/>
                <w:szCs w:val="18"/>
              </w:rPr>
            </w:pPr>
            <w:r w:rsidRPr="00FD3242">
              <w:rPr>
                <w:rFonts w:ascii="Futura Std Condensed Light" w:eastAsia="Calibri" w:hAnsi="Futura Std Condensed Light" w:cs="Calibri"/>
                <w:sz w:val="20"/>
                <w:szCs w:val="18"/>
              </w:rPr>
              <w:t>$20,044,866.39</w:t>
            </w:r>
          </w:p>
        </w:tc>
        <w:tc>
          <w:tcPr>
            <w:tcW w:w="1134" w:type="dxa"/>
            <w:shd w:val="clear" w:color="auto" w:fill="A6A6A6"/>
            <w:vAlign w:val="center"/>
            <w:hideMark/>
          </w:tcPr>
          <w:p w14:paraId="4E4DB9A3" w14:textId="77777777" w:rsidR="006D148B" w:rsidRPr="00FD3242" w:rsidRDefault="006D148B" w:rsidP="009E3B2F">
            <w:pPr>
              <w:spacing w:after="120" w:line="240" w:lineRule="auto"/>
              <w:jc w:val="center"/>
              <w:rPr>
                <w:rFonts w:ascii="Futura Std Condensed Light" w:eastAsia="Calibri" w:hAnsi="Futura Std Condensed Light" w:cs="Calibri"/>
                <w:sz w:val="20"/>
                <w:szCs w:val="18"/>
              </w:rPr>
            </w:pPr>
            <w:r w:rsidRPr="00FD3242">
              <w:rPr>
                <w:rFonts w:ascii="Futura Std Condensed Light" w:eastAsia="Calibri" w:hAnsi="Futura Std Condensed Light" w:cs="Calibri"/>
                <w:sz w:val="20"/>
                <w:szCs w:val="18"/>
              </w:rPr>
              <w:t>MEDIA </w:t>
            </w:r>
          </w:p>
        </w:tc>
      </w:tr>
      <w:tr w:rsidR="006D148B" w:rsidRPr="00B141B9" w14:paraId="4C812E74" w14:textId="77777777" w:rsidTr="008D78F1">
        <w:trPr>
          <w:trHeight w:val="333"/>
          <w:jc w:val="center"/>
        </w:trPr>
        <w:tc>
          <w:tcPr>
            <w:tcW w:w="3539" w:type="dxa"/>
            <w:shd w:val="clear" w:color="auto" w:fill="auto"/>
            <w:vAlign w:val="center"/>
          </w:tcPr>
          <w:p w14:paraId="66D57331" w14:textId="3A91CCEE" w:rsidR="006D148B" w:rsidRPr="00FD3242" w:rsidRDefault="00FD3242" w:rsidP="00FF77CB">
            <w:pPr>
              <w:spacing w:after="120" w:line="240" w:lineRule="auto"/>
              <w:jc w:val="left"/>
              <w:rPr>
                <w:rFonts w:ascii="Futura Std Condensed Light" w:eastAsia="Calibri" w:hAnsi="Futura Std Condensed Light" w:cs="Calibri"/>
                <w:sz w:val="20"/>
                <w:szCs w:val="18"/>
              </w:rPr>
            </w:pPr>
            <w:r w:rsidRPr="00FD3242">
              <w:rPr>
                <w:rFonts w:ascii="Futura Std Condensed Light" w:eastAsia="Calibri" w:hAnsi="Futura Std Condensed Light" w:cs="Calibri"/>
                <w:sz w:val="20"/>
                <w:szCs w:val="18"/>
              </w:rPr>
              <w:t xml:space="preserve">Fondo </w:t>
            </w:r>
            <w:r>
              <w:rPr>
                <w:rFonts w:ascii="Futura Std Condensed Light" w:eastAsia="Calibri" w:hAnsi="Futura Std Condensed Light" w:cs="Calibri"/>
                <w:sz w:val="20"/>
                <w:szCs w:val="18"/>
              </w:rPr>
              <w:t>d</w:t>
            </w:r>
            <w:r w:rsidRPr="00FD3242">
              <w:rPr>
                <w:rFonts w:ascii="Futura Std Condensed Light" w:eastAsia="Calibri" w:hAnsi="Futura Std Condensed Light" w:cs="Calibri"/>
                <w:sz w:val="20"/>
                <w:szCs w:val="18"/>
              </w:rPr>
              <w:t>e Aportaciones Múltiples Nivel Superior</w:t>
            </w:r>
            <w:r w:rsidR="006D148B" w:rsidRPr="00FD3242">
              <w:rPr>
                <w:rFonts w:ascii="Futura Std Condensed Light" w:eastAsia="Calibri" w:hAnsi="Futura Std Condensed Light" w:cs="Calibri"/>
                <w:sz w:val="20"/>
                <w:szCs w:val="18"/>
              </w:rPr>
              <w:t xml:space="preserve"> FAM</w:t>
            </w:r>
          </w:p>
        </w:tc>
        <w:tc>
          <w:tcPr>
            <w:tcW w:w="624" w:type="dxa"/>
            <w:shd w:val="clear" w:color="auto" w:fill="auto"/>
            <w:noWrap/>
            <w:vAlign w:val="center"/>
          </w:tcPr>
          <w:p w14:paraId="25B109CD" w14:textId="77777777" w:rsidR="006D148B" w:rsidRPr="00FD3242" w:rsidRDefault="006D148B" w:rsidP="009E3B2F">
            <w:pPr>
              <w:spacing w:after="120" w:line="240" w:lineRule="auto"/>
              <w:jc w:val="center"/>
              <w:rPr>
                <w:rFonts w:ascii="Futura Std Condensed Light" w:eastAsia="Calibri" w:hAnsi="Futura Std Condensed Light" w:cs="Calibri"/>
                <w:sz w:val="20"/>
                <w:szCs w:val="18"/>
              </w:rPr>
            </w:pPr>
            <w:r w:rsidRPr="00FD3242">
              <w:rPr>
                <w:rFonts w:ascii="Futura Std Condensed Light" w:eastAsia="Calibri" w:hAnsi="Futura Std Condensed Light" w:cs="Calibri"/>
                <w:sz w:val="20"/>
                <w:szCs w:val="18"/>
              </w:rPr>
              <w:t>29</w:t>
            </w:r>
          </w:p>
        </w:tc>
        <w:tc>
          <w:tcPr>
            <w:tcW w:w="794" w:type="dxa"/>
            <w:gridSpan w:val="3"/>
            <w:shd w:val="clear" w:color="auto" w:fill="auto"/>
            <w:noWrap/>
            <w:vAlign w:val="center"/>
          </w:tcPr>
          <w:p w14:paraId="13D1BFA3" w14:textId="77777777" w:rsidR="006D148B" w:rsidRPr="00FD3242" w:rsidRDefault="006D148B" w:rsidP="009E3B2F">
            <w:pPr>
              <w:spacing w:after="120" w:line="240" w:lineRule="auto"/>
              <w:jc w:val="center"/>
              <w:rPr>
                <w:rFonts w:ascii="Futura Std Condensed Light" w:eastAsia="Calibri" w:hAnsi="Futura Std Condensed Light" w:cs="Calibri"/>
                <w:sz w:val="20"/>
                <w:szCs w:val="18"/>
              </w:rPr>
            </w:pPr>
            <w:r w:rsidRPr="00FD3242">
              <w:rPr>
                <w:rFonts w:ascii="Futura Std Condensed Light" w:eastAsia="Calibri" w:hAnsi="Futura Std Condensed Light" w:cs="Calibri"/>
                <w:sz w:val="20"/>
                <w:szCs w:val="18"/>
              </w:rPr>
              <w:t>0</w:t>
            </w:r>
          </w:p>
        </w:tc>
        <w:tc>
          <w:tcPr>
            <w:tcW w:w="456" w:type="dxa"/>
            <w:shd w:val="clear" w:color="auto" w:fill="auto"/>
            <w:noWrap/>
            <w:vAlign w:val="center"/>
          </w:tcPr>
          <w:p w14:paraId="70B19299" w14:textId="77777777" w:rsidR="006D148B" w:rsidRPr="00FD3242" w:rsidRDefault="006D148B" w:rsidP="009E3B2F">
            <w:pPr>
              <w:spacing w:after="120" w:line="240" w:lineRule="auto"/>
              <w:jc w:val="center"/>
              <w:rPr>
                <w:rFonts w:ascii="Futura Std Condensed Light" w:eastAsia="Calibri" w:hAnsi="Futura Std Condensed Light" w:cs="Calibri"/>
                <w:sz w:val="20"/>
                <w:szCs w:val="18"/>
              </w:rPr>
            </w:pPr>
            <w:r w:rsidRPr="00FD3242">
              <w:rPr>
                <w:rFonts w:ascii="Futura Std Condensed Light" w:eastAsia="Calibri" w:hAnsi="Futura Std Condensed Light" w:cs="Calibri"/>
                <w:sz w:val="20"/>
                <w:szCs w:val="18"/>
              </w:rPr>
              <w:t>6</w:t>
            </w:r>
          </w:p>
        </w:tc>
        <w:tc>
          <w:tcPr>
            <w:tcW w:w="625" w:type="dxa"/>
            <w:gridSpan w:val="2"/>
            <w:shd w:val="clear" w:color="auto" w:fill="auto"/>
            <w:noWrap/>
            <w:vAlign w:val="center"/>
          </w:tcPr>
          <w:p w14:paraId="6751F53C" w14:textId="77777777" w:rsidR="006D148B" w:rsidRPr="00FD3242" w:rsidRDefault="006D148B" w:rsidP="009E3B2F">
            <w:pPr>
              <w:spacing w:after="120" w:line="240" w:lineRule="auto"/>
              <w:jc w:val="center"/>
              <w:rPr>
                <w:rFonts w:ascii="Futura Std Condensed Light" w:eastAsia="Calibri" w:hAnsi="Futura Std Condensed Light" w:cs="Calibri"/>
                <w:sz w:val="20"/>
                <w:szCs w:val="18"/>
              </w:rPr>
            </w:pPr>
            <w:r w:rsidRPr="00FD3242">
              <w:rPr>
                <w:rFonts w:ascii="Futura Std Condensed Light" w:eastAsia="Calibri" w:hAnsi="Futura Std Condensed Light" w:cs="Calibri"/>
                <w:sz w:val="20"/>
                <w:szCs w:val="18"/>
              </w:rPr>
              <w:t>4</w:t>
            </w:r>
          </w:p>
        </w:tc>
        <w:tc>
          <w:tcPr>
            <w:tcW w:w="625" w:type="dxa"/>
            <w:gridSpan w:val="2"/>
            <w:shd w:val="clear" w:color="auto" w:fill="auto"/>
            <w:noWrap/>
            <w:vAlign w:val="center"/>
          </w:tcPr>
          <w:p w14:paraId="4E39F02A" w14:textId="77777777" w:rsidR="006D148B" w:rsidRPr="00FD3242" w:rsidRDefault="006D148B" w:rsidP="009E3B2F">
            <w:pPr>
              <w:spacing w:after="120" w:line="240" w:lineRule="auto"/>
              <w:jc w:val="center"/>
              <w:rPr>
                <w:rFonts w:ascii="Futura Std Condensed Light" w:eastAsia="Calibri" w:hAnsi="Futura Std Condensed Light" w:cs="Calibri"/>
                <w:sz w:val="20"/>
                <w:szCs w:val="18"/>
              </w:rPr>
            </w:pPr>
            <w:r w:rsidRPr="00FD3242">
              <w:rPr>
                <w:rFonts w:ascii="Futura Std Condensed Light" w:eastAsia="Calibri" w:hAnsi="Futura Std Condensed Light" w:cs="Calibri"/>
                <w:sz w:val="20"/>
                <w:szCs w:val="18"/>
              </w:rPr>
              <w:t>9</w:t>
            </w:r>
          </w:p>
        </w:tc>
        <w:tc>
          <w:tcPr>
            <w:tcW w:w="1713" w:type="dxa"/>
            <w:shd w:val="clear" w:color="auto" w:fill="auto"/>
            <w:noWrap/>
            <w:vAlign w:val="center"/>
          </w:tcPr>
          <w:p w14:paraId="1FBF4E48" w14:textId="77777777" w:rsidR="006D148B" w:rsidRPr="00FD3242" w:rsidRDefault="006D148B" w:rsidP="009E3B2F">
            <w:pPr>
              <w:spacing w:after="120" w:line="240" w:lineRule="auto"/>
              <w:jc w:val="center"/>
              <w:rPr>
                <w:rFonts w:ascii="Futura Std Condensed Light" w:eastAsia="Calibri" w:hAnsi="Futura Std Condensed Light" w:cs="Calibri"/>
                <w:sz w:val="20"/>
                <w:szCs w:val="18"/>
              </w:rPr>
            </w:pPr>
            <w:r w:rsidRPr="00FD3242">
              <w:rPr>
                <w:rFonts w:ascii="Futura Std Condensed Light" w:eastAsia="Calibri" w:hAnsi="Futura Std Condensed Light" w:cs="Calibri"/>
                <w:sz w:val="20"/>
                <w:szCs w:val="18"/>
              </w:rPr>
              <w:t>$151,237,691.67</w:t>
            </w:r>
          </w:p>
        </w:tc>
        <w:tc>
          <w:tcPr>
            <w:tcW w:w="1134" w:type="dxa"/>
            <w:shd w:val="clear" w:color="auto" w:fill="auto"/>
            <w:vAlign w:val="center"/>
            <w:hideMark/>
          </w:tcPr>
          <w:p w14:paraId="092ADD87" w14:textId="77777777" w:rsidR="006D148B" w:rsidRPr="00FD3242" w:rsidRDefault="006D148B" w:rsidP="009E3B2F">
            <w:pPr>
              <w:spacing w:after="120" w:line="240" w:lineRule="auto"/>
              <w:jc w:val="center"/>
              <w:rPr>
                <w:rFonts w:ascii="Futura Std Condensed Light" w:eastAsia="Calibri" w:hAnsi="Futura Std Condensed Light" w:cs="Calibri"/>
                <w:sz w:val="20"/>
                <w:szCs w:val="18"/>
              </w:rPr>
            </w:pPr>
            <w:r w:rsidRPr="00FD3242">
              <w:rPr>
                <w:rFonts w:ascii="Futura Std Condensed Light" w:eastAsia="Calibri" w:hAnsi="Futura Std Condensed Light" w:cs="Calibri"/>
                <w:sz w:val="20"/>
                <w:szCs w:val="18"/>
              </w:rPr>
              <w:t>SUPERIOR</w:t>
            </w:r>
          </w:p>
        </w:tc>
      </w:tr>
      <w:tr w:rsidR="006D148B" w:rsidRPr="00B141B9" w14:paraId="72C0C317" w14:textId="77777777" w:rsidTr="008D78F1">
        <w:trPr>
          <w:trHeight w:val="435"/>
          <w:jc w:val="center"/>
        </w:trPr>
        <w:tc>
          <w:tcPr>
            <w:tcW w:w="3539" w:type="dxa"/>
            <w:shd w:val="clear" w:color="auto" w:fill="A6A6A6"/>
            <w:noWrap/>
            <w:vAlign w:val="center"/>
            <w:hideMark/>
          </w:tcPr>
          <w:p w14:paraId="12DFEAA4" w14:textId="29C7C445" w:rsidR="006D148B" w:rsidRPr="00FD3242" w:rsidRDefault="000E1F53" w:rsidP="009E3B2F">
            <w:pPr>
              <w:spacing w:after="120" w:line="240" w:lineRule="auto"/>
              <w:jc w:val="center"/>
              <w:rPr>
                <w:rFonts w:ascii="Futura Std Condensed Light" w:eastAsia="Calibri" w:hAnsi="Futura Std Condensed Light" w:cs="Calibri"/>
                <w:sz w:val="20"/>
                <w:szCs w:val="18"/>
              </w:rPr>
            </w:pPr>
            <w:r w:rsidRPr="00FD3242">
              <w:rPr>
                <w:rFonts w:ascii="Futura Std Condensed Light" w:eastAsia="Calibri" w:hAnsi="Futura Std Condensed Light" w:cs="Calibri"/>
                <w:sz w:val="20"/>
                <w:szCs w:val="18"/>
              </w:rPr>
              <w:t> Total Superior</w:t>
            </w:r>
          </w:p>
        </w:tc>
        <w:tc>
          <w:tcPr>
            <w:tcW w:w="624" w:type="dxa"/>
            <w:shd w:val="clear" w:color="auto" w:fill="A6A6A6"/>
            <w:noWrap/>
            <w:vAlign w:val="center"/>
            <w:hideMark/>
          </w:tcPr>
          <w:p w14:paraId="33394888" w14:textId="77777777" w:rsidR="006D148B" w:rsidRPr="00FD3242" w:rsidRDefault="006D148B" w:rsidP="009E3B2F">
            <w:pPr>
              <w:spacing w:after="120" w:line="240" w:lineRule="auto"/>
              <w:jc w:val="center"/>
              <w:rPr>
                <w:rFonts w:ascii="Futura Std Condensed Light" w:eastAsia="Calibri" w:hAnsi="Futura Std Condensed Light" w:cs="Calibri"/>
                <w:sz w:val="20"/>
                <w:szCs w:val="18"/>
              </w:rPr>
            </w:pPr>
            <w:r w:rsidRPr="00FD3242">
              <w:rPr>
                <w:rFonts w:ascii="Futura Std Condensed Light" w:eastAsia="Calibri" w:hAnsi="Futura Std Condensed Light" w:cs="Calibri"/>
                <w:sz w:val="20"/>
                <w:szCs w:val="18"/>
              </w:rPr>
              <w:t>29</w:t>
            </w:r>
          </w:p>
        </w:tc>
        <w:tc>
          <w:tcPr>
            <w:tcW w:w="794" w:type="dxa"/>
            <w:gridSpan w:val="3"/>
            <w:shd w:val="clear" w:color="auto" w:fill="A6A6A6"/>
            <w:noWrap/>
            <w:vAlign w:val="center"/>
            <w:hideMark/>
          </w:tcPr>
          <w:p w14:paraId="37A050AA" w14:textId="77777777" w:rsidR="006D148B" w:rsidRPr="00FD3242" w:rsidRDefault="006D148B" w:rsidP="009E3B2F">
            <w:pPr>
              <w:spacing w:after="120" w:line="240" w:lineRule="auto"/>
              <w:jc w:val="center"/>
              <w:rPr>
                <w:rFonts w:ascii="Futura Std Condensed Light" w:eastAsia="Calibri" w:hAnsi="Futura Std Condensed Light" w:cs="Calibri"/>
                <w:sz w:val="20"/>
                <w:szCs w:val="18"/>
              </w:rPr>
            </w:pPr>
            <w:r w:rsidRPr="00FD3242">
              <w:rPr>
                <w:rFonts w:ascii="Futura Std Condensed Light" w:eastAsia="Calibri" w:hAnsi="Futura Std Condensed Light" w:cs="Calibri"/>
                <w:sz w:val="20"/>
                <w:szCs w:val="18"/>
              </w:rPr>
              <w:t>0</w:t>
            </w:r>
          </w:p>
        </w:tc>
        <w:tc>
          <w:tcPr>
            <w:tcW w:w="456" w:type="dxa"/>
            <w:shd w:val="clear" w:color="auto" w:fill="A6A6A6"/>
            <w:noWrap/>
            <w:vAlign w:val="center"/>
            <w:hideMark/>
          </w:tcPr>
          <w:p w14:paraId="1C4359A2" w14:textId="77777777" w:rsidR="006D148B" w:rsidRPr="00FD3242" w:rsidRDefault="006D148B" w:rsidP="009E3B2F">
            <w:pPr>
              <w:spacing w:after="120" w:line="240" w:lineRule="auto"/>
              <w:jc w:val="center"/>
              <w:rPr>
                <w:rFonts w:ascii="Futura Std Condensed Light" w:eastAsia="Calibri" w:hAnsi="Futura Std Condensed Light" w:cs="Calibri"/>
                <w:sz w:val="20"/>
                <w:szCs w:val="18"/>
              </w:rPr>
            </w:pPr>
            <w:r w:rsidRPr="00FD3242">
              <w:rPr>
                <w:rFonts w:ascii="Futura Std Condensed Light" w:eastAsia="Calibri" w:hAnsi="Futura Std Condensed Light" w:cs="Calibri"/>
                <w:sz w:val="20"/>
                <w:szCs w:val="18"/>
              </w:rPr>
              <w:t>6</w:t>
            </w:r>
          </w:p>
        </w:tc>
        <w:tc>
          <w:tcPr>
            <w:tcW w:w="625" w:type="dxa"/>
            <w:gridSpan w:val="2"/>
            <w:shd w:val="clear" w:color="auto" w:fill="A6A6A6"/>
            <w:noWrap/>
            <w:vAlign w:val="center"/>
            <w:hideMark/>
          </w:tcPr>
          <w:p w14:paraId="5ED26774" w14:textId="77777777" w:rsidR="006D148B" w:rsidRPr="00FD3242" w:rsidRDefault="006D148B" w:rsidP="009E3B2F">
            <w:pPr>
              <w:spacing w:after="120" w:line="240" w:lineRule="auto"/>
              <w:jc w:val="center"/>
              <w:rPr>
                <w:rFonts w:ascii="Futura Std Condensed Light" w:eastAsia="Calibri" w:hAnsi="Futura Std Condensed Light" w:cs="Calibri"/>
                <w:sz w:val="20"/>
                <w:szCs w:val="18"/>
              </w:rPr>
            </w:pPr>
            <w:r w:rsidRPr="00FD3242">
              <w:rPr>
                <w:rFonts w:ascii="Futura Std Condensed Light" w:eastAsia="Calibri" w:hAnsi="Futura Std Condensed Light" w:cs="Calibri"/>
                <w:sz w:val="20"/>
                <w:szCs w:val="18"/>
              </w:rPr>
              <w:t>4</w:t>
            </w:r>
          </w:p>
        </w:tc>
        <w:tc>
          <w:tcPr>
            <w:tcW w:w="625" w:type="dxa"/>
            <w:gridSpan w:val="2"/>
            <w:shd w:val="clear" w:color="auto" w:fill="A6A6A6"/>
            <w:noWrap/>
            <w:vAlign w:val="center"/>
            <w:hideMark/>
          </w:tcPr>
          <w:p w14:paraId="48D7B18B" w14:textId="77777777" w:rsidR="006D148B" w:rsidRPr="00FD3242" w:rsidRDefault="006D148B" w:rsidP="009E3B2F">
            <w:pPr>
              <w:spacing w:after="120" w:line="240" w:lineRule="auto"/>
              <w:jc w:val="center"/>
              <w:rPr>
                <w:rFonts w:ascii="Futura Std Condensed Light" w:eastAsia="Calibri" w:hAnsi="Futura Std Condensed Light" w:cs="Calibri"/>
                <w:sz w:val="20"/>
                <w:szCs w:val="18"/>
              </w:rPr>
            </w:pPr>
            <w:r w:rsidRPr="00FD3242">
              <w:rPr>
                <w:rFonts w:ascii="Futura Std Condensed Light" w:eastAsia="Calibri" w:hAnsi="Futura Std Condensed Light" w:cs="Calibri"/>
                <w:sz w:val="20"/>
                <w:szCs w:val="18"/>
              </w:rPr>
              <w:t>9</w:t>
            </w:r>
          </w:p>
        </w:tc>
        <w:tc>
          <w:tcPr>
            <w:tcW w:w="1713" w:type="dxa"/>
            <w:shd w:val="clear" w:color="auto" w:fill="A6A6A6"/>
            <w:noWrap/>
            <w:vAlign w:val="center"/>
            <w:hideMark/>
          </w:tcPr>
          <w:p w14:paraId="15C30AA0" w14:textId="77777777" w:rsidR="006D148B" w:rsidRPr="00FD3242" w:rsidRDefault="006D148B" w:rsidP="009E3B2F">
            <w:pPr>
              <w:spacing w:after="120" w:line="240" w:lineRule="auto"/>
              <w:jc w:val="right"/>
              <w:rPr>
                <w:rFonts w:ascii="Futura Std Condensed Light" w:eastAsia="Calibri" w:hAnsi="Futura Std Condensed Light" w:cs="Calibri"/>
                <w:sz w:val="20"/>
                <w:szCs w:val="18"/>
              </w:rPr>
            </w:pPr>
            <w:r w:rsidRPr="00FD3242">
              <w:rPr>
                <w:rFonts w:ascii="Futura Std Condensed Light" w:eastAsia="Calibri" w:hAnsi="Futura Std Condensed Light" w:cs="Calibri"/>
                <w:sz w:val="20"/>
                <w:szCs w:val="18"/>
              </w:rPr>
              <w:t>$151,237,691.67</w:t>
            </w:r>
          </w:p>
        </w:tc>
        <w:tc>
          <w:tcPr>
            <w:tcW w:w="1134" w:type="dxa"/>
            <w:shd w:val="clear" w:color="auto" w:fill="A6A6A6"/>
            <w:vAlign w:val="center"/>
            <w:hideMark/>
          </w:tcPr>
          <w:p w14:paraId="767B4987" w14:textId="77777777" w:rsidR="006D148B" w:rsidRPr="00FD3242" w:rsidRDefault="006D148B" w:rsidP="009E3B2F">
            <w:pPr>
              <w:spacing w:after="120" w:line="240" w:lineRule="auto"/>
              <w:jc w:val="center"/>
              <w:rPr>
                <w:rFonts w:ascii="Futura Std Condensed Light" w:eastAsia="Calibri" w:hAnsi="Futura Std Condensed Light" w:cs="Calibri"/>
                <w:sz w:val="20"/>
                <w:szCs w:val="18"/>
              </w:rPr>
            </w:pPr>
            <w:r w:rsidRPr="00FD3242">
              <w:rPr>
                <w:rFonts w:ascii="Futura Std Condensed Light" w:eastAsia="Calibri" w:hAnsi="Futura Std Condensed Light" w:cs="Calibri"/>
                <w:sz w:val="20"/>
                <w:szCs w:val="18"/>
              </w:rPr>
              <w:t>SUPERIOR</w:t>
            </w:r>
          </w:p>
        </w:tc>
      </w:tr>
    </w:tbl>
    <w:p w14:paraId="23A46268" w14:textId="77777777" w:rsidR="008D78F1" w:rsidRDefault="006D148B" w:rsidP="008D78F1">
      <w:pPr>
        <w:spacing w:after="0"/>
        <w:jc w:val="center"/>
        <w:rPr>
          <w:sz w:val="16"/>
          <w:szCs w:val="16"/>
        </w:rPr>
      </w:pPr>
      <w:r w:rsidRPr="00E1715F">
        <w:rPr>
          <w:sz w:val="16"/>
          <w:szCs w:val="16"/>
        </w:rPr>
        <w:t xml:space="preserve">Fuente: Instituto de Infraestructura Física Educativa de Quintana Roo. </w:t>
      </w:r>
      <w:r w:rsidR="008D78F1">
        <w:rPr>
          <w:sz w:val="16"/>
          <w:szCs w:val="16"/>
        </w:rPr>
        <w:t>E: Escuelas, A: Aula, L: Laboratorio, T: Taller, A: Anexo</w:t>
      </w:r>
    </w:p>
    <w:p w14:paraId="45919921" w14:textId="77777777" w:rsidR="006D148B" w:rsidRDefault="006D148B" w:rsidP="006D148B">
      <w:pPr>
        <w:spacing w:after="0"/>
        <w:jc w:val="center"/>
        <w:rPr>
          <w:sz w:val="16"/>
          <w:szCs w:val="16"/>
        </w:rPr>
      </w:pPr>
      <w:r w:rsidRPr="00E1715F">
        <w:rPr>
          <w:sz w:val="16"/>
          <w:szCs w:val="16"/>
        </w:rPr>
        <w:t>NOTA: EN 734 AULAS DEL PROGRAMA DE FAM BASICO 2018, SE ATENDIO MOBILIARIO DE REPOSICION.</w:t>
      </w:r>
    </w:p>
    <w:p w14:paraId="2C6CD126" w14:textId="524B6C52" w:rsidR="006D148B" w:rsidRPr="00E1715F" w:rsidRDefault="006D148B" w:rsidP="006D148B">
      <w:pPr>
        <w:spacing w:after="120"/>
        <w:jc w:val="center"/>
        <w:rPr>
          <w:b/>
          <w:color w:val="4BACC6" w:themeColor="accent5"/>
        </w:rPr>
      </w:pPr>
      <w:r>
        <w:rPr>
          <w:b/>
          <w:color w:val="4BACC6" w:themeColor="accent5"/>
        </w:rPr>
        <w:lastRenderedPageBreak/>
        <w:t>Cuadro 17</w:t>
      </w:r>
      <w:r w:rsidR="00447FBB">
        <w:rPr>
          <w:b/>
          <w:color w:val="4BACC6" w:themeColor="accent5"/>
        </w:rPr>
        <w:t>.</w:t>
      </w:r>
      <w:r w:rsidRPr="00E1715F">
        <w:rPr>
          <w:b/>
          <w:color w:val="4BACC6" w:themeColor="accent5"/>
        </w:rPr>
        <w:t xml:space="preserve"> Resumen de escuelas atendidas por nivel educativo con diversos fondos 2019</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5"/>
        <w:gridCol w:w="606"/>
        <w:gridCol w:w="606"/>
        <w:gridCol w:w="425"/>
        <w:gridCol w:w="426"/>
        <w:gridCol w:w="606"/>
        <w:gridCol w:w="1718"/>
        <w:gridCol w:w="1317"/>
      </w:tblGrid>
      <w:tr w:rsidR="006D148B" w:rsidRPr="00B141B9" w14:paraId="3F17EF59" w14:textId="77777777" w:rsidTr="00244A3A">
        <w:trPr>
          <w:trHeight w:val="256"/>
          <w:tblHeader/>
          <w:jc w:val="center"/>
        </w:trPr>
        <w:tc>
          <w:tcPr>
            <w:tcW w:w="3335" w:type="dxa"/>
            <w:vMerge w:val="restart"/>
            <w:shd w:val="clear" w:color="auto" w:fill="A6A6A6" w:themeFill="background1" w:themeFillShade="A6"/>
            <w:noWrap/>
            <w:vAlign w:val="center"/>
            <w:hideMark/>
          </w:tcPr>
          <w:p w14:paraId="65A077D1" w14:textId="47024C1F" w:rsidR="006D148B" w:rsidRPr="00FF77CB" w:rsidRDefault="00FF77CB" w:rsidP="009E3B2F">
            <w:pPr>
              <w:spacing w:after="120" w:line="240" w:lineRule="auto"/>
              <w:jc w:val="center"/>
              <w:rPr>
                <w:rFonts w:ascii="Futura Std Condensed Light" w:eastAsia="Calibri" w:hAnsi="Futura Std Condensed Light" w:cs="Calibri"/>
                <w:sz w:val="20"/>
                <w:szCs w:val="20"/>
              </w:rPr>
            </w:pPr>
            <w:r w:rsidRPr="00FF77CB">
              <w:rPr>
                <w:rFonts w:ascii="Futura Std Condensed Light" w:eastAsia="Calibri" w:hAnsi="Futura Std Condensed Light" w:cs="Calibri"/>
                <w:sz w:val="20"/>
                <w:szCs w:val="20"/>
              </w:rPr>
              <w:t>Programa</w:t>
            </w:r>
          </w:p>
        </w:tc>
        <w:tc>
          <w:tcPr>
            <w:tcW w:w="2669" w:type="dxa"/>
            <w:gridSpan w:val="5"/>
            <w:shd w:val="clear" w:color="auto" w:fill="A6A6A6" w:themeFill="background1" w:themeFillShade="A6"/>
            <w:noWrap/>
            <w:vAlign w:val="center"/>
            <w:hideMark/>
          </w:tcPr>
          <w:p w14:paraId="58218509" w14:textId="30A560D1" w:rsidR="006D148B" w:rsidRPr="00FF77CB" w:rsidRDefault="00FF77CB" w:rsidP="009E3B2F">
            <w:pPr>
              <w:spacing w:after="120" w:line="240" w:lineRule="auto"/>
              <w:jc w:val="center"/>
              <w:rPr>
                <w:rFonts w:ascii="Futura Std Condensed Light" w:eastAsia="Calibri" w:hAnsi="Futura Std Condensed Light" w:cs="Calibri"/>
                <w:sz w:val="20"/>
                <w:szCs w:val="20"/>
              </w:rPr>
            </w:pPr>
            <w:r w:rsidRPr="00FF77CB">
              <w:rPr>
                <w:rFonts w:ascii="Futura Std Condensed Light" w:eastAsia="Calibri" w:hAnsi="Futura Std Condensed Light" w:cs="Calibri"/>
                <w:sz w:val="20"/>
                <w:szCs w:val="20"/>
              </w:rPr>
              <w:t xml:space="preserve">Ejercido </w:t>
            </w:r>
          </w:p>
        </w:tc>
        <w:tc>
          <w:tcPr>
            <w:tcW w:w="1718" w:type="dxa"/>
            <w:vMerge w:val="restart"/>
            <w:shd w:val="clear" w:color="auto" w:fill="A6A6A6" w:themeFill="background1" w:themeFillShade="A6"/>
            <w:noWrap/>
            <w:vAlign w:val="center"/>
            <w:hideMark/>
          </w:tcPr>
          <w:p w14:paraId="18F98AA1" w14:textId="6FEBEB6B" w:rsidR="006D148B" w:rsidRPr="00FF77CB" w:rsidRDefault="00FF77CB" w:rsidP="009E3B2F">
            <w:pPr>
              <w:spacing w:after="120" w:line="240" w:lineRule="auto"/>
              <w:jc w:val="center"/>
              <w:rPr>
                <w:rFonts w:ascii="Futura Std Condensed Light" w:eastAsia="Calibri" w:hAnsi="Futura Std Condensed Light" w:cs="Calibri"/>
                <w:sz w:val="20"/>
                <w:szCs w:val="20"/>
              </w:rPr>
            </w:pPr>
            <w:r w:rsidRPr="00FF77CB">
              <w:rPr>
                <w:rFonts w:ascii="Futura Std Condensed Light" w:eastAsia="Calibri" w:hAnsi="Futura Std Condensed Light" w:cs="Calibri"/>
                <w:sz w:val="20"/>
                <w:szCs w:val="20"/>
              </w:rPr>
              <w:t>Monto De Inversión</w:t>
            </w:r>
          </w:p>
        </w:tc>
        <w:tc>
          <w:tcPr>
            <w:tcW w:w="1317" w:type="dxa"/>
            <w:vMerge w:val="restart"/>
            <w:shd w:val="clear" w:color="auto" w:fill="A6A6A6" w:themeFill="background1" w:themeFillShade="A6"/>
            <w:vAlign w:val="center"/>
            <w:hideMark/>
          </w:tcPr>
          <w:p w14:paraId="38480C98" w14:textId="24EBDB3E" w:rsidR="006D148B" w:rsidRPr="00FF77CB" w:rsidRDefault="00FF77CB" w:rsidP="009E3B2F">
            <w:pPr>
              <w:spacing w:after="120" w:line="240" w:lineRule="auto"/>
              <w:jc w:val="center"/>
              <w:rPr>
                <w:rFonts w:ascii="Futura Std Condensed Light" w:eastAsia="Calibri" w:hAnsi="Futura Std Condensed Light" w:cs="Calibri"/>
                <w:sz w:val="20"/>
                <w:szCs w:val="20"/>
              </w:rPr>
            </w:pPr>
            <w:r w:rsidRPr="00FF77CB">
              <w:rPr>
                <w:rFonts w:ascii="Futura Std Condensed Light" w:eastAsia="Calibri" w:hAnsi="Futura Std Condensed Light" w:cs="Calibri"/>
                <w:sz w:val="20"/>
                <w:szCs w:val="20"/>
              </w:rPr>
              <w:t>Nivel</w:t>
            </w:r>
          </w:p>
        </w:tc>
      </w:tr>
      <w:tr w:rsidR="006D148B" w:rsidRPr="00B141B9" w14:paraId="776875C7" w14:textId="77777777" w:rsidTr="00244A3A">
        <w:trPr>
          <w:trHeight w:val="175"/>
          <w:jc w:val="center"/>
        </w:trPr>
        <w:tc>
          <w:tcPr>
            <w:tcW w:w="3335" w:type="dxa"/>
            <w:vMerge/>
            <w:shd w:val="clear" w:color="auto" w:fill="auto"/>
            <w:vAlign w:val="center"/>
            <w:hideMark/>
          </w:tcPr>
          <w:p w14:paraId="1445F1CA" w14:textId="77777777" w:rsidR="006D148B" w:rsidRPr="00FF77CB" w:rsidRDefault="006D148B" w:rsidP="009E3B2F">
            <w:pPr>
              <w:spacing w:after="120" w:line="240" w:lineRule="auto"/>
              <w:jc w:val="center"/>
              <w:rPr>
                <w:rFonts w:ascii="Futura Std Condensed Light" w:eastAsia="Calibri" w:hAnsi="Futura Std Condensed Light" w:cs="Calibri"/>
                <w:sz w:val="20"/>
                <w:szCs w:val="20"/>
              </w:rPr>
            </w:pPr>
          </w:p>
        </w:tc>
        <w:tc>
          <w:tcPr>
            <w:tcW w:w="606" w:type="dxa"/>
            <w:shd w:val="clear" w:color="auto" w:fill="A6A6A6" w:themeFill="background1" w:themeFillShade="A6"/>
            <w:noWrap/>
            <w:vAlign w:val="center"/>
            <w:hideMark/>
          </w:tcPr>
          <w:p w14:paraId="5A599EA9" w14:textId="77777777" w:rsidR="006D148B" w:rsidRPr="00FF77CB" w:rsidRDefault="006D148B" w:rsidP="009E3B2F">
            <w:pPr>
              <w:spacing w:after="120" w:line="240" w:lineRule="auto"/>
              <w:jc w:val="center"/>
              <w:rPr>
                <w:rFonts w:ascii="Futura Std Condensed Light" w:eastAsia="Calibri" w:hAnsi="Futura Std Condensed Light" w:cs="Calibri"/>
                <w:sz w:val="20"/>
                <w:szCs w:val="20"/>
              </w:rPr>
            </w:pPr>
            <w:r w:rsidRPr="00FF77CB">
              <w:rPr>
                <w:rFonts w:ascii="Futura Std Condensed Light" w:eastAsia="Calibri" w:hAnsi="Futura Std Condensed Light" w:cs="Calibri"/>
                <w:sz w:val="20"/>
                <w:szCs w:val="20"/>
              </w:rPr>
              <w:t>E</w:t>
            </w:r>
          </w:p>
        </w:tc>
        <w:tc>
          <w:tcPr>
            <w:tcW w:w="606" w:type="dxa"/>
            <w:shd w:val="clear" w:color="auto" w:fill="A6A6A6" w:themeFill="background1" w:themeFillShade="A6"/>
            <w:noWrap/>
            <w:vAlign w:val="center"/>
            <w:hideMark/>
          </w:tcPr>
          <w:p w14:paraId="3B288FCA" w14:textId="77777777" w:rsidR="006D148B" w:rsidRPr="00FF77CB" w:rsidRDefault="006D148B" w:rsidP="009E3B2F">
            <w:pPr>
              <w:spacing w:after="120" w:line="240" w:lineRule="auto"/>
              <w:jc w:val="center"/>
              <w:rPr>
                <w:rFonts w:ascii="Futura Std Condensed Light" w:eastAsia="Calibri" w:hAnsi="Futura Std Condensed Light" w:cs="Calibri"/>
                <w:sz w:val="20"/>
                <w:szCs w:val="20"/>
              </w:rPr>
            </w:pPr>
            <w:r w:rsidRPr="00FF77CB">
              <w:rPr>
                <w:rFonts w:ascii="Futura Std Condensed Light" w:eastAsia="Calibri" w:hAnsi="Futura Std Condensed Light" w:cs="Calibri"/>
                <w:sz w:val="20"/>
                <w:szCs w:val="20"/>
              </w:rPr>
              <w:t>A</w:t>
            </w:r>
          </w:p>
        </w:tc>
        <w:tc>
          <w:tcPr>
            <w:tcW w:w="425" w:type="dxa"/>
            <w:shd w:val="clear" w:color="auto" w:fill="A6A6A6" w:themeFill="background1" w:themeFillShade="A6"/>
            <w:noWrap/>
            <w:vAlign w:val="center"/>
            <w:hideMark/>
          </w:tcPr>
          <w:p w14:paraId="1E20FC6C" w14:textId="77777777" w:rsidR="006D148B" w:rsidRPr="00FF77CB" w:rsidRDefault="006D148B" w:rsidP="009E3B2F">
            <w:pPr>
              <w:spacing w:after="120" w:line="240" w:lineRule="auto"/>
              <w:jc w:val="center"/>
              <w:rPr>
                <w:rFonts w:ascii="Futura Std Condensed Light" w:eastAsia="Calibri" w:hAnsi="Futura Std Condensed Light" w:cs="Calibri"/>
                <w:sz w:val="20"/>
                <w:szCs w:val="20"/>
              </w:rPr>
            </w:pPr>
            <w:r w:rsidRPr="00FF77CB">
              <w:rPr>
                <w:rFonts w:ascii="Futura Std Condensed Light" w:eastAsia="Calibri" w:hAnsi="Futura Std Condensed Light" w:cs="Calibri"/>
                <w:sz w:val="20"/>
                <w:szCs w:val="20"/>
              </w:rPr>
              <w:t>L</w:t>
            </w:r>
          </w:p>
        </w:tc>
        <w:tc>
          <w:tcPr>
            <w:tcW w:w="426" w:type="dxa"/>
            <w:shd w:val="clear" w:color="auto" w:fill="A6A6A6" w:themeFill="background1" w:themeFillShade="A6"/>
            <w:noWrap/>
            <w:vAlign w:val="center"/>
            <w:hideMark/>
          </w:tcPr>
          <w:p w14:paraId="72806C03" w14:textId="77777777" w:rsidR="006D148B" w:rsidRPr="00FF77CB" w:rsidRDefault="006D148B" w:rsidP="009E3B2F">
            <w:pPr>
              <w:spacing w:after="120" w:line="240" w:lineRule="auto"/>
              <w:jc w:val="center"/>
              <w:rPr>
                <w:rFonts w:ascii="Futura Std Condensed Light" w:eastAsia="Calibri" w:hAnsi="Futura Std Condensed Light" w:cs="Calibri"/>
                <w:sz w:val="20"/>
                <w:szCs w:val="20"/>
              </w:rPr>
            </w:pPr>
            <w:r w:rsidRPr="00FF77CB">
              <w:rPr>
                <w:rFonts w:ascii="Futura Std Condensed Light" w:eastAsia="Calibri" w:hAnsi="Futura Std Condensed Light" w:cs="Calibri"/>
                <w:sz w:val="20"/>
                <w:szCs w:val="20"/>
              </w:rPr>
              <w:t>T</w:t>
            </w:r>
          </w:p>
        </w:tc>
        <w:tc>
          <w:tcPr>
            <w:tcW w:w="606" w:type="dxa"/>
            <w:shd w:val="clear" w:color="auto" w:fill="A6A6A6" w:themeFill="background1" w:themeFillShade="A6"/>
            <w:noWrap/>
            <w:vAlign w:val="center"/>
            <w:hideMark/>
          </w:tcPr>
          <w:p w14:paraId="43BC9272" w14:textId="77777777" w:rsidR="006D148B" w:rsidRPr="00FF77CB" w:rsidRDefault="006D148B" w:rsidP="009E3B2F">
            <w:pPr>
              <w:spacing w:after="120" w:line="240" w:lineRule="auto"/>
              <w:jc w:val="center"/>
              <w:rPr>
                <w:rFonts w:ascii="Futura Std Condensed Light" w:eastAsia="Calibri" w:hAnsi="Futura Std Condensed Light" w:cs="Calibri"/>
                <w:sz w:val="20"/>
                <w:szCs w:val="20"/>
              </w:rPr>
            </w:pPr>
            <w:r w:rsidRPr="00FF77CB">
              <w:rPr>
                <w:rFonts w:ascii="Futura Std Condensed Light" w:eastAsia="Calibri" w:hAnsi="Futura Std Condensed Light" w:cs="Calibri"/>
                <w:sz w:val="20"/>
                <w:szCs w:val="20"/>
              </w:rPr>
              <w:t>A</w:t>
            </w:r>
          </w:p>
        </w:tc>
        <w:tc>
          <w:tcPr>
            <w:tcW w:w="1718" w:type="dxa"/>
            <w:vMerge/>
            <w:shd w:val="clear" w:color="auto" w:fill="auto"/>
            <w:vAlign w:val="center"/>
            <w:hideMark/>
          </w:tcPr>
          <w:p w14:paraId="344AF3DC" w14:textId="77777777" w:rsidR="006D148B" w:rsidRPr="00FF77CB" w:rsidRDefault="006D148B" w:rsidP="009E3B2F">
            <w:pPr>
              <w:spacing w:after="120" w:line="240" w:lineRule="auto"/>
              <w:jc w:val="center"/>
              <w:rPr>
                <w:rFonts w:ascii="Futura Std Condensed Light" w:eastAsia="Calibri" w:hAnsi="Futura Std Condensed Light" w:cs="Calibri"/>
                <w:sz w:val="20"/>
                <w:szCs w:val="20"/>
              </w:rPr>
            </w:pPr>
          </w:p>
        </w:tc>
        <w:tc>
          <w:tcPr>
            <w:tcW w:w="1317" w:type="dxa"/>
            <w:vMerge/>
            <w:shd w:val="clear" w:color="auto" w:fill="auto"/>
            <w:vAlign w:val="center"/>
            <w:hideMark/>
          </w:tcPr>
          <w:p w14:paraId="3A7A0D99" w14:textId="77777777" w:rsidR="006D148B" w:rsidRPr="00FF77CB" w:rsidRDefault="006D148B" w:rsidP="009E3B2F">
            <w:pPr>
              <w:spacing w:after="120" w:line="240" w:lineRule="auto"/>
              <w:jc w:val="center"/>
              <w:rPr>
                <w:rFonts w:ascii="Futura Std Condensed Light" w:eastAsia="Calibri" w:hAnsi="Futura Std Condensed Light" w:cs="Calibri"/>
                <w:sz w:val="20"/>
                <w:szCs w:val="20"/>
              </w:rPr>
            </w:pPr>
          </w:p>
        </w:tc>
      </w:tr>
      <w:tr w:rsidR="006D148B" w:rsidRPr="00B141B9" w14:paraId="4998C0F6" w14:textId="77777777" w:rsidTr="009E3B2F">
        <w:trPr>
          <w:trHeight w:val="614"/>
          <w:jc w:val="center"/>
        </w:trPr>
        <w:tc>
          <w:tcPr>
            <w:tcW w:w="3335" w:type="dxa"/>
            <w:shd w:val="clear" w:color="auto" w:fill="auto"/>
            <w:vAlign w:val="center"/>
          </w:tcPr>
          <w:p w14:paraId="7D7B5344" w14:textId="652F118B" w:rsidR="006D148B" w:rsidRPr="00FF77CB" w:rsidRDefault="00FF77CB" w:rsidP="00FF77CB">
            <w:pPr>
              <w:spacing w:after="120" w:line="240" w:lineRule="auto"/>
              <w:jc w:val="left"/>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Fondo d</w:t>
            </w:r>
            <w:r w:rsidRPr="00FF77CB">
              <w:rPr>
                <w:rFonts w:ascii="Futura Std Condensed Light" w:eastAsia="Calibri" w:hAnsi="Futura Std Condensed Light" w:cs="Calibri"/>
                <w:sz w:val="20"/>
                <w:szCs w:val="20"/>
              </w:rPr>
              <w:t>e Aportaciones Múltiples Nivel Básico</w:t>
            </w:r>
            <w:r w:rsidR="006D148B" w:rsidRPr="00FF77CB">
              <w:rPr>
                <w:rFonts w:ascii="Futura Std Condensed Light" w:eastAsia="Calibri" w:hAnsi="Futura Std Condensed Light" w:cs="Calibri"/>
                <w:sz w:val="20"/>
                <w:szCs w:val="20"/>
              </w:rPr>
              <w:t xml:space="preserve"> FAM</w:t>
            </w:r>
          </w:p>
        </w:tc>
        <w:tc>
          <w:tcPr>
            <w:tcW w:w="606" w:type="dxa"/>
            <w:shd w:val="clear" w:color="auto" w:fill="auto"/>
            <w:noWrap/>
            <w:vAlign w:val="center"/>
          </w:tcPr>
          <w:p w14:paraId="7F366131" w14:textId="77777777" w:rsidR="006D148B" w:rsidRPr="00FF77CB" w:rsidRDefault="006D148B" w:rsidP="009E3B2F">
            <w:pPr>
              <w:spacing w:after="120" w:line="240" w:lineRule="auto"/>
              <w:jc w:val="center"/>
              <w:rPr>
                <w:rFonts w:ascii="Futura Std Condensed Light" w:eastAsia="Calibri" w:hAnsi="Futura Std Condensed Light" w:cs="Calibri"/>
                <w:sz w:val="20"/>
                <w:szCs w:val="20"/>
              </w:rPr>
            </w:pPr>
            <w:r w:rsidRPr="00FF77CB">
              <w:rPr>
                <w:rFonts w:ascii="Futura Std Condensed Light" w:eastAsia="Calibri" w:hAnsi="Futura Std Condensed Light" w:cs="Calibri"/>
                <w:sz w:val="20"/>
                <w:szCs w:val="20"/>
              </w:rPr>
              <w:t>398</w:t>
            </w:r>
          </w:p>
        </w:tc>
        <w:tc>
          <w:tcPr>
            <w:tcW w:w="606" w:type="dxa"/>
            <w:shd w:val="clear" w:color="auto" w:fill="auto"/>
            <w:noWrap/>
            <w:vAlign w:val="center"/>
          </w:tcPr>
          <w:p w14:paraId="643BA0FD" w14:textId="77777777" w:rsidR="006D148B" w:rsidRPr="00FF77CB" w:rsidRDefault="006D148B" w:rsidP="009E3B2F">
            <w:pPr>
              <w:spacing w:after="120" w:line="240" w:lineRule="auto"/>
              <w:jc w:val="center"/>
              <w:rPr>
                <w:rFonts w:ascii="Futura Std Condensed Light" w:eastAsia="Calibri" w:hAnsi="Futura Std Condensed Light" w:cs="Calibri"/>
                <w:sz w:val="20"/>
                <w:szCs w:val="20"/>
              </w:rPr>
            </w:pPr>
            <w:r w:rsidRPr="00FF77CB">
              <w:rPr>
                <w:rFonts w:ascii="Futura Std Condensed Light" w:eastAsia="Calibri" w:hAnsi="Futura Std Condensed Light" w:cs="Calibri"/>
                <w:sz w:val="20"/>
                <w:szCs w:val="20"/>
              </w:rPr>
              <w:t>403</w:t>
            </w:r>
          </w:p>
        </w:tc>
        <w:tc>
          <w:tcPr>
            <w:tcW w:w="425" w:type="dxa"/>
            <w:shd w:val="clear" w:color="auto" w:fill="auto"/>
            <w:noWrap/>
            <w:vAlign w:val="center"/>
          </w:tcPr>
          <w:p w14:paraId="5E9C046B" w14:textId="77777777" w:rsidR="006D148B" w:rsidRPr="00FF77CB" w:rsidRDefault="006D148B" w:rsidP="009E3B2F">
            <w:pPr>
              <w:spacing w:after="120" w:line="240" w:lineRule="auto"/>
              <w:jc w:val="center"/>
              <w:rPr>
                <w:rFonts w:ascii="Futura Std Condensed Light" w:eastAsia="Calibri" w:hAnsi="Futura Std Condensed Light" w:cs="Calibri"/>
                <w:sz w:val="20"/>
                <w:szCs w:val="20"/>
              </w:rPr>
            </w:pPr>
            <w:r w:rsidRPr="00FF77CB">
              <w:rPr>
                <w:rFonts w:ascii="Futura Std Condensed Light" w:eastAsia="Calibri" w:hAnsi="Futura Std Condensed Light" w:cs="Calibri"/>
                <w:sz w:val="20"/>
                <w:szCs w:val="20"/>
              </w:rPr>
              <w:t>3</w:t>
            </w:r>
          </w:p>
        </w:tc>
        <w:tc>
          <w:tcPr>
            <w:tcW w:w="426" w:type="dxa"/>
            <w:shd w:val="clear" w:color="auto" w:fill="auto"/>
            <w:noWrap/>
            <w:vAlign w:val="center"/>
          </w:tcPr>
          <w:p w14:paraId="2262560A" w14:textId="77777777" w:rsidR="006D148B" w:rsidRPr="00FF77CB" w:rsidRDefault="006D148B" w:rsidP="009E3B2F">
            <w:pPr>
              <w:spacing w:after="120" w:line="240" w:lineRule="auto"/>
              <w:jc w:val="center"/>
              <w:rPr>
                <w:rFonts w:ascii="Futura Std Condensed Light" w:eastAsia="Calibri" w:hAnsi="Futura Std Condensed Light" w:cs="Calibri"/>
                <w:sz w:val="20"/>
                <w:szCs w:val="20"/>
              </w:rPr>
            </w:pPr>
            <w:r w:rsidRPr="00FF77CB">
              <w:rPr>
                <w:rFonts w:ascii="Futura Std Condensed Light" w:eastAsia="Calibri" w:hAnsi="Futura Std Condensed Light" w:cs="Calibri"/>
                <w:sz w:val="20"/>
                <w:szCs w:val="20"/>
              </w:rPr>
              <w:t>0</w:t>
            </w:r>
          </w:p>
        </w:tc>
        <w:tc>
          <w:tcPr>
            <w:tcW w:w="606" w:type="dxa"/>
            <w:shd w:val="clear" w:color="auto" w:fill="auto"/>
            <w:noWrap/>
            <w:vAlign w:val="center"/>
          </w:tcPr>
          <w:p w14:paraId="318B76F4" w14:textId="77777777" w:rsidR="006D148B" w:rsidRPr="00FF77CB" w:rsidRDefault="006D148B" w:rsidP="009E3B2F">
            <w:pPr>
              <w:spacing w:after="120" w:line="240" w:lineRule="auto"/>
              <w:jc w:val="center"/>
              <w:rPr>
                <w:rFonts w:ascii="Futura Std Condensed Light" w:eastAsia="Calibri" w:hAnsi="Futura Std Condensed Light" w:cs="Calibri"/>
                <w:sz w:val="20"/>
                <w:szCs w:val="20"/>
              </w:rPr>
            </w:pPr>
            <w:r w:rsidRPr="00FF77CB">
              <w:rPr>
                <w:rFonts w:ascii="Futura Std Condensed Light" w:eastAsia="Calibri" w:hAnsi="Futura Std Condensed Light" w:cs="Calibri"/>
                <w:sz w:val="20"/>
                <w:szCs w:val="20"/>
              </w:rPr>
              <w:t>139</w:t>
            </w:r>
          </w:p>
        </w:tc>
        <w:tc>
          <w:tcPr>
            <w:tcW w:w="1718" w:type="dxa"/>
            <w:shd w:val="clear" w:color="auto" w:fill="auto"/>
            <w:noWrap/>
            <w:vAlign w:val="center"/>
          </w:tcPr>
          <w:p w14:paraId="4E5F46C1" w14:textId="77777777" w:rsidR="006D148B" w:rsidRPr="00FF77CB" w:rsidRDefault="006D148B" w:rsidP="009E3B2F">
            <w:pPr>
              <w:spacing w:after="120" w:line="240" w:lineRule="auto"/>
              <w:jc w:val="right"/>
              <w:rPr>
                <w:rFonts w:ascii="Futura Std Condensed Light" w:eastAsia="Calibri" w:hAnsi="Futura Std Condensed Light" w:cs="Calibri"/>
                <w:sz w:val="20"/>
                <w:szCs w:val="20"/>
              </w:rPr>
            </w:pPr>
            <w:r w:rsidRPr="00FF77CB">
              <w:rPr>
                <w:rFonts w:ascii="Futura Std Condensed Light" w:eastAsia="Calibri" w:hAnsi="Futura Std Condensed Light" w:cs="Calibri"/>
                <w:sz w:val="20"/>
                <w:szCs w:val="20"/>
              </w:rPr>
              <w:t>$289,037,704.98</w:t>
            </w:r>
          </w:p>
        </w:tc>
        <w:tc>
          <w:tcPr>
            <w:tcW w:w="1317" w:type="dxa"/>
            <w:shd w:val="clear" w:color="auto" w:fill="auto"/>
            <w:vAlign w:val="center"/>
            <w:hideMark/>
          </w:tcPr>
          <w:p w14:paraId="382A4B55" w14:textId="77777777" w:rsidR="006D148B" w:rsidRPr="00FF77CB" w:rsidRDefault="006D148B" w:rsidP="009E3B2F">
            <w:pPr>
              <w:spacing w:after="120" w:line="240" w:lineRule="auto"/>
              <w:jc w:val="center"/>
              <w:rPr>
                <w:rFonts w:ascii="Futura Std Condensed Light" w:eastAsia="Calibri" w:hAnsi="Futura Std Condensed Light" w:cs="Calibri"/>
                <w:sz w:val="20"/>
                <w:szCs w:val="20"/>
              </w:rPr>
            </w:pPr>
            <w:r w:rsidRPr="00FF77CB">
              <w:rPr>
                <w:rFonts w:ascii="Futura Std Condensed Light" w:eastAsia="Calibri" w:hAnsi="Futura Std Condensed Light" w:cs="Calibri"/>
                <w:sz w:val="20"/>
                <w:szCs w:val="20"/>
              </w:rPr>
              <w:t>BÁSICO</w:t>
            </w:r>
          </w:p>
        </w:tc>
      </w:tr>
      <w:tr w:rsidR="006D148B" w:rsidRPr="00B141B9" w14:paraId="00B7AFD6" w14:textId="77777777" w:rsidTr="009E3B2F">
        <w:trPr>
          <w:trHeight w:val="207"/>
          <w:jc w:val="center"/>
        </w:trPr>
        <w:tc>
          <w:tcPr>
            <w:tcW w:w="3335" w:type="dxa"/>
            <w:shd w:val="clear" w:color="auto" w:fill="auto"/>
            <w:vAlign w:val="center"/>
          </w:tcPr>
          <w:p w14:paraId="042F8958" w14:textId="77777777" w:rsidR="006D148B" w:rsidRPr="00FF77CB" w:rsidRDefault="006D148B" w:rsidP="00FF77CB">
            <w:pPr>
              <w:spacing w:after="120" w:line="240" w:lineRule="auto"/>
              <w:jc w:val="left"/>
              <w:rPr>
                <w:rFonts w:ascii="Futura Std Condensed Light" w:eastAsia="Calibri" w:hAnsi="Futura Std Condensed Light" w:cs="Calibri"/>
                <w:sz w:val="20"/>
                <w:szCs w:val="20"/>
              </w:rPr>
            </w:pPr>
            <w:r w:rsidRPr="00FF77CB">
              <w:rPr>
                <w:rFonts w:ascii="Futura Std Condensed Light" w:eastAsia="Calibri" w:hAnsi="Futura Std Condensed Light" w:cs="Calibri"/>
                <w:sz w:val="20"/>
                <w:szCs w:val="20"/>
              </w:rPr>
              <w:t>PACTEN</w:t>
            </w:r>
          </w:p>
        </w:tc>
        <w:tc>
          <w:tcPr>
            <w:tcW w:w="606" w:type="dxa"/>
            <w:shd w:val="clear" w:color="auto" w:fill="auto"/>
            <w:noWrap/>
            <w:vAlign w:val="center"/>
          </w:tcPr>
          <w:p w14:paraId="2EB49EA1" w14:textId="77777777" w:rsidR="006D148B" w:rsidRPr="00FF77CB" w:rsidRDefault="006D148B" w:rsidP="009E3B2F">
            <w:pPr>
              <w:spacing w:after="120" w:line="240" w:lineRule="auto"/>
              <w:jc w:val="center"/>
              <w:rPr>
                <w:rFonts w:ascii="Futura Std Condensed Light" w:eastAsia="Calibri" w:hAnsi="Futura Std Condensed Light" w:cs="Calibri"/>
                <w:sz w:val="20"/>
                <w:szCs w:val="20"/>
              </w:rPr>
            </w:pPr>
            <w:r w:rsidRPr="00FF77CB">
              <w:rPr>
                <w:rFonts w:ascii="Futura Std Condensed Light" w:eastAsia="Calibri" w:hAnsi="Futura Std Condensed Light" w:cs="Calibri"/>
                <w:sz w:val="20"/>
                <w:szCs w:val="20"/>
              </w:rPr>
              <w:t>1</w:t>
            </w:r>
          </w:p>
        </w:tc>
        <w:tc>
          <w:tcPr>
            <w:tcW w:w="606" w:type="dxa"/>
            <w:shd w:val="clear" w:color="auto" w:fill="auto"/>
            <w:noWrap/>
            <w:vAlign w:val="center"/>
          </w:tcPr>
          <w:p w14:paraId="62366007" w14:textId="77777777" w:rsidR="006D148B" w:rsidRPr="00FF77CB" w:rsidRDefault="006D148B" w:rsidP="009E3B2F">
            <w:pPr>
              <w:spacing w:after="120" w:line="240" w:lineRule="auto"/>
              <w:jc w:val="center"/>
              <w:rPr>
                <w:rFonts w:ascii="Futura Std Condensed Light" w:eastAsia="Calibri" w:hAnsi="Futura Std Condensed Light" w:cs="Calibri"/>
                <w:sz w:val="20"/>
                <w:szCs w:val="20"/>
              </w:rPr>
            </w:pPr>
            <w:r w:rsidRPr="00FF77CB">
              <w:rPr>
                <w:rFonts w:ascii="Futura Std Condensed Light" w:eastAsia="Calibri" w:hAnsi="Futura Std Condensed Light" w:cs="Calibri"/>
                <w:sz w:val="20"/>
                <w:szCs w:val="20"/>
              </w:rPr>
              <w:t>0</w:t>
            </w:r>
          </w:p>
        </w:tc>
        <w:tc>
          <w:tcPr>
            <w:tcW w:w="425" w:type="dxa"/>
            <w:shd w:val="clear" w:color="auto" w:fill="auto"/>
            <w:noWrap/>
            <w:vAlign w:val="center"/>
          </w:tcPr>
          <w:p w14:paraId="5B0EC8B4" w14:textId="77777777" w:rsidR="006D148B" w:rsidRPr="00FF77CB" w:rsidRDefault="006D148B" w:rsidP="009E3B2F">
            <w:pPr>
              <w:spacing w:after="120" w:line="240" w:lineRule="auto"/>
              <w:jc w:val="center"/>
              <w:rPr>
                <w:rFonts w:ascii="Futura Std Condensed Light" w:eastAsia="Calibri" w:hAnsi="Futura Std Condensed Light" w:cs="Calibri"/>
                <w:sz w:val="20"/>
                <w:szCs w:val="20"/>
              </w:rPr>
            </w:pPr>
            <w:r w:rsidRPr="00FF77CB">
              <w:rPr>
                <w:rFonts w:ascii="Futura Std Condensed Light" w:eastAsia="Calibri" w:hAnsi="Futura Std Condensed Light" w:cs="Calibri"/>
                <w:sz w:val="20"/>
                <w:szCs w:val="20"/>
              </w:rPr>
              <w:t>0</w:t>
            </w:r>
          </w:p>
        </w:tc>
        <w:tc>
          <w:tcPr>
            <w:tcW w:w="426" w:type="dxa"/>
            <w:shd w:val="clear" w:color="auto" w:fill="auto"/>
            <w:noWrap/>
            <w:vAlign w:val="center"/>
          </w:tcPr>
          <w:p w14:paraId="61368B43" w14:textId="77777777" w:rsidR="006D148B" w:rsidRPr="00FF77CB" w:rsidRDefault="006D148B" w:rsidP="009E3B2F">
            <w:pPr>
              <w:spacing w:after="120" w:line="240" w:lineRule="auto"/>
              <w:jc w:val="center"/>
              <w:rPr>
                <w:rFonts w:ascii="Futura Std Condensed Light" w:eastAsia="Calibri" w:hAnsi="Futura Std Condensed Light" w:cs="Calibri"/>
                <w:sz w:val="20"/>
                <w:szCs w:val="20"/>
              </w:rPr>
            </w:pPr>
            <w:r w:rsidRPr="00FF77CB">
              <w:rPr>
                <w:rFonts w:ascii="Futura Std Condensed Light" w:eastAsia="Calibri" w:hAnsi="Futura Std Condensed Light" w:cs="Calibri"/>
                <w:sz w:val="20"/>
                <w:szCs w:val="20"/>
              </w:rPr>
              <w:t>0</w:t>
            </w:r>
          </w:p>
        </w:tc>
        <w:tc>
          <w:tcPr>
            <w:tcW w:w="606" w:type="dxa"/>
            <w:shd w:val="clear" w:color="auto" w:fill="auto"/>
            <w:noWrap/>
            <w:vAlign w:val="center"/>
          </w:tcPr>
          <w:p w14:paraId="04897C6F" w14:textId="77777777" w:rsidR="006D148B" w:rsidRPr="00FF77CB" w:rsidRDefault="006D148B" w:rsidP="009E3B2F">
            <w:pPr>
              <w:spacing w:after="120" w:line="240" w:lineRule="auto"/>
              <w:jc w:val="center"/>
              <w:rPr>
                <w:rFonts w:ascii="Futura Std Condensed Light" w:eastAsia="Calibri" w:hAnsi="Futura Std Condensed Light" w:cs="Calibri"/>
                <w:sz w:val="20"/>
                <w:szCs w:val="20"/>
              </w:rPr>
            </w:pPr>
            <w:r w:rsidRPr="00FF77CB">
              <w:rPr>
                <w:rFonts w:ascii="Futura Std Condensed Light" w:eastAsia="Calibri" w:hAnsi="Futura Std Condensed Light" w:cs="Calibri"/>
                <w:sz w:val="20"/>
                <w:szCs w:val="20"/>
              </w:rPr>
              <w:t>0</w:t>
            </w:r>
          </w:p>
        </w:tc>
        <w:tc>
          <w:tcPr>
            <w:tcW w:w="1718" w:type="dxa"/>
            <w:shd w:val="clear" w:color="auto" w:fill="auto"/>
            <w:noWrap/>
            <w:vAlign w:val="center"/>
          </w:tcPr>
          <w:p w14:paraId="297761CD" w14:textId="77777777" w:rsidR="006D148B" w:rsidRPr="00FF77CB" w:rsidRDefault="006D148B" w:rsidP="009E3B2F">
            <w:pPr>
              <w:spacing w:after="120" w:line="240" w:lineRule="auto"/>
              <w:jc w:val="right"/>
              <w:rPr>
                <w:rFonts w:ascii="Futura Std Condensed Light" w:eastAsia="Calibri" w:hAnsi="Futura Std Condensed Light" w:cs="Calibri"/>
                <w:sz w:val="20"/>
                <w:szCs w:val="20"/>
              </w:rPr>
            </w:pPr>
            <w:r w:rsidRPr="00FF77CB">
              <w:rPr>
                <w:rFonts w:ascii="Futura Std Condensed Light" w:eastAsia="Calibri" w:hAnsi="Futura Std Condensed Light" w:cs="Calibri"/>
                <w:sz w:val="20"/>
                <w:szCs w:val="20"/>
              </w:rPr>
              <w:t>$480,000.00</w:t>
            </w:r>
          </w:p>
        </w:tc>
        <w:tc>
          <w:tcPr>
            <w:tcW w:w="1317" w:type="dxa"/>
            <w:shd w:val="clear" w:color="auto" w:fill="auto"/>
            <w:vAlign w:val="center"/>
            <w:hideMark/>
          </w:tcPr>
          <w:p w14:paraId="63EFC725" w14:textId="77777777" w:rsidR="006D148B" w:rsidRPr="00FF77CB" w:rsidRDefault="006D148B" w:rsidP="009E3B2F">
            <w:pPr>
              <w:spacing w:after="120" w:line="240" w:lineRule="auto"/>
              <w:jc w:val="center"/>
              <w:rPr>
                <w:rFonts w:ascii="Futura Std Condensed Light" w:eastAsia="Calibri" w:hAnsi="Futura Std Condensed Light" w:cs="Calibri"/>
                <w:sz w:val="20"/>
                <w:szCs w:val="20"/>
              </w:rPr>
            </w:pPr>
            <w:r w:rsidRPr="00FF77CB">
              <w:rPr>
                <w:rFonts w:ascii="Futura Std Condensed Light" w:eastAsia="Calibri" w:hAnsi="Futura Std Condensed Light" w:cs="Calibri"/>
                <w:sz w:val="20"/>
                <w:szCs w:val="20"/>
              </w:rPr>
              <w:t>BÁSICO</w:t>
            </w:r>
          </w:p>
        </w:tc>
      </w:tr>
      <w:tr w:rsidR="006D148B" w:rsidRPr="00B141B9" w14:paraId="17B64705" w14:textId="77777777" w:rsidTr="009E3B2F">
        <w:trPr>
          <w:trHeight w:val="70"/>
          <w:jc w:val="center"/>
        </w:trPr>
        <w:tc>
          <w:tcPr>
            <w:tcW w:w="3335" w:type="dxa"/>
            <w:shd w:val="clear" w:color="auto" w:fill="auto"/>
            <w:vAlign w:val="center"/>
          </w:tcPr>
          <w:p w14:paraId="21E14C9B" w14:textId="77777777" w:rsidR="006D148B" w:rsidRPr="00FF77CB" w:rsidRDefault="006D148B" w:rsidP="00FF77CB">
            <w:pPr>
              <w:spacing w:after="120" w:line="240" w:lineRule="auto"/>
              <w:jc w:val="left"/>
              <w:rPr>
                <w:rFonts w:ascii="Futura Std Condensed Light" w:eastAsia="Calibri" w:hAnsi="Futura Std Condensed Light" w:cs="Calibri"/>
                <w:sz w:val="20"/>
                <w:szCs w:val="20"/>
              </w:rPr>
            </w:pPr>
            <w:r w:rsidRPr="00FF77CB">
              <w:rPr>
                <w:rFonts w:ascii="Futura Std Condensed Light" w:eastAsia="Calibri" w:hAnsi="Futura Std Condensed Light" w:cs="Calibri"/>
                <w:sz w:val="20"/>
                <w:szCs w:val="20"/>
              </w:rPr>
              <w:t>PEEI</w:t>
            </w:r>
          </w:p>
        </w:tc>
        <w:tc>
          <w:tcPr>
            <w:tcW w:w="606" w:type="dxa"/>
            <w:shd w:val="clear" w:color="auto" w:fill="auto"/>
            <w:noWrap/>
            <w:vAlign w:val="center"/>
          </w:tcPr>
          <w:p w14:paraId="5B44A210" w14:textId="77777777" w:rsidR="006D148B" w:rsidRPr="00FF77CB" w:rsidRDefault="006D148B" w:rsidP="009E3B2F">
            <w:pPr>
              <w:spacing w:after="120" w:line="240" w:lineRule="auto"/>
              <w:jc w:val="center"/>
              <w:rPr>
                <w:rFonts w:ascii="Futura Std Condensed Light" w:eastAsia="Calibri" w:hAnsi="Futura Std Condensed Light" w:cs="Calibri"/>
                <w:sz w:val="20"/>
                <w:szCs w:val="20"/>
              </w:rPr>
            </w:pPr>
            <w:r w:rsidRPr="00FF77CB">
              <w:rPr>
                <w:rFonts w:ascii="Futura Std Condensed Light" w:eastAsia="Calibri" w:hAnsi="Futura Std Condensed Light" w:cs="Calibri"/>
                <w:sz w:val="20"/>
                <w:szCs w:val="20"/>
              </w:rPr>
              <w:t>4</w:t>
            </w:r>
          </w:p>
        </w:tc>
        <w:tc>
          <w:tcPr>
            <w:tcW w:w="606" w:type="dxa"/>
            <w:shd w:val="clear" w:color="auto" w:fill="auto"/>
            <w:noWrap/>
            <w:vAlign w:val="center"/>
          </w:tcPr>
          <w:p w14:paraId="730A174A" w14:textId="77777777" w:rsidR="006D148B" w:rsidRPr="00FF77CB" w:rsidRDefault="006D148B" w:rsidP="009E3B2F">
            <w:pPr>
              <w:spacing w:after="120" w:line="240" w:lineRule="auto"/>
              <w:jc w:val="center"/>
              <w:rPr>
                <w:rFonts w:ascii="Futura Std Condensed Light" w:eastAsia="Calibri" w:hAnsi="Futura Std Condensed Light" w:cs="Calibri"/>
                <w:sz w:val="20"/>
                <w:szCs w:val="20"/>
              </w:rPr>
            </w:pPr>
            <w:r w:rsidRPr="00FF77CB">
              <w:rPr>
                <w:rFonts w:ascii="Futura Std Condensed Light" w:eastAsia="Calibri" w:hAnsi="Futura Std Condensed Light" w:cs="Calibri"/>
                <w:sz w:val="20"/>
                <w:szCs w:val="20"/>
              </w:rPr>
              <w:t>0</w:t>
            </w:r>
          </w:p>
        </w:tc>
        <w:tc>
          <w:tcPr>
            <w:tcW w:w="425" w:type="dxa"/>
            <w:shd w:val="clear" w:color="auto" w:fill="auto"/>
            <w:noWrap/>
            <w:vAlign w:val="center"/>
          </w:tcPr>
          <w:p w14:paraId="652C6160" w14:textId="77777777" w:rsidR="006D148B" w:rsidRPr="00FF77CB" w:rsidRDefault="006D148B" w:rsidP="009E3B2F">
            <w:pPr>
              <w:spacing w:after="120" w:line="240" w:lineRule="auto"/>
              <w:jc w:val="center"/>
              <w:rPr>
                <w:rFonts w:ascii="Futura Std Condensed Light" w:eastAsia="Calibri" w:hAnsi="Futura Std Condensed Light" w:cs="Calibri"/>
                <w:sz w:val="20"/>
                <w:szCs w:val="20"/>
              </w:rPr>
            </w:pPr>
            <w:r w:rsidRPr="00FF77CB">
              <w:rPr>
                <w:rFonts w:ascii="Futura Std Condensed Light" w:eastAsia="Calibri" w:hAnsi="Futura Std Condensed Light" w:cs="Calibri"/>
                <w:sz w:val="20"/>
                <w:szCs w:val="20"/>
              </w:rPr>
              <w:t>0</w:t>
            </w:r>
          </w:p>
        </w:tc>
        <w:tc>
          <w:tcPr>
            <w:tcW w:w="426" w:type="dxa"/>
            <w:shd w:val="clear" w:color="auto" w:fill="auto"/>
            <w:noWrap/>
            <w:vAlign w:val="center"/>
          </w:tcPr>
          <w:p w14:paraId="72A08480" w14:textId="77777777" w:rsidR="006D148B" w:rsidRPr="00FF77CB" w:rsidRDefault="006D148B" w:rsidP="009E3B2F">
            <w:pPr>
              <w:spacing w:after="120" w:line="240" w:lineRule="auto"/>
              <w:jc w:val="center"/>
              <w:rPr>
                <w:rFonts w:ascii="Futura Std Condensed Light" w:eastAsia="Calibri" w:hAnsi="Futura Std Condensed Light" w:cs="Calibri"/>
                <w:sz w:val="20"/>
                <w:szCs w:val="20"/>
              </w:rPr>
            </w:pPr>
            <w:r w:rsidRPr="00FF77CB">
              <w:rPr>
                <w:rFonts w:ascii="Futura Std Condensed Light" w:eastAsia="Calibri" w:hAnsi="Futura Std Condensed Light" w:cs="Calibri"/>
                <w:sz w:val="20"/>
                <w:szCs w:val="20"/>
              </w:rPr>
              <w:t>0</w:t>
            </w:r>
          </w:p>
        </w:tc>
        <w:tc>
          <w:tcPr>
            <w:tcW w:w="606" w:type="dxa"/>
            <w:shd w:val="clear" w:color="auto" w:fill="auto"/>
            <w:noWrap/>
            <w:vAlign w:val="center"/>
          </w:tcPr>
          <w:p w14:paraId="13082088" w14:textId="77777777" w:rsidR="006D148B" w:rsidRPr="00FF77CB" w:rsidRDefault="006D148B" w:rsidP="009E3B2F">
            <w:pPr>
              <w:spacing w:after="120" w:line="240" w:lineRule="auto"/>
              <w:jc w:val="center"/>
              <w:rPr>
                <w:rFonts w:ascii="Futura Std Condensed Light" w:eastAsia="Calibri" w:hAnsi="Futura Std Condensed Light" w:cs="Calibri"/>
                <w:sz w:val="20"/>
                <w:szCs w:val="20"/>
              </w:rPr>
            </w:pPr>
            <w:r w:rsidRPr="00FF77CB">
              <w:rPr>
                <w:rFonts w:ascii="Futura Std Condensed Light" w:eastAsia="Calibri" w:hAnsi="Futura Std Condensed Light" w:cs="Calibri"/>
                <w:sz w:val="20"/>
                <w:szCs w:val="20"/>
              </w:rPr>
              <w:t>0</w:t>
            </w:r>
          </w:p>
        </w:tc>
        <w:tc>
          <w:tcPr>
            <w:tcW w:w="1718" w:type="dxa"/>
            <w:shd w:val="clear" w:color="auto" w:fill="auto"/>
            <w:noWrap/>
            <w:vAlign w:val="center"/>
          </w:tcPr>
          <w:p w14:paraId="39D4C8F7" w14:textId="77777777" w:rsidR="006D148B" w:rsidRPr="00FF77CB" w:rsidRDefault="006D148B" w:rsidP="009E3B2F">
            <w:pPr>
              <w:spacing w:after="120" w:line="240" w:lineRule="auto"/>
              <w:jc w:val="right"/>
              <w:rPr>
                <w:rFonts w:ascii="Futura Std Condensed Light" w:eastAsia="Calibri" w:hAnsi="Futura Std Condensed Light" w:cs="Calibri"/>
                <w:sz w:val="20"/>
                <w:szCs w:val="20"/>
              </w:rPr>
            </w:pPr>
            <w:r w:rsidRPr="00FF77CB">
              <w:rPr>
                <w:rFonts w:ascii="Futura Std Condensed Light" w:eastAsia="Calibri" w:hAnsi="Futura Std Condensed Light" w:cs="Calibri"/>
                <w:sz w:val="20"/>
                <w:szCs w:val="20"/>
              </w:rPr>
              <w:t>$1,547,200.00</w:t>
            </w:r>
          </w:p>
        </w:tc>
        <w:tc>
          <w:tcPr>
            <w:tcW w:w="1317" w:type="dxa"/>
            <w:shd w:val="clear" w:color="auto" w:fill="auto"/>
            <w:vAlign w:val="center"/>
            <w:hideMark/>
          </w:tcPr>
          <w:p w14:paraId="332E711D" w14:textId="77777777" w:rsidR="006D148B" w:rsidRPr="00FF77CB" w:rsidRDefault="006D148B" w:rsidP="009E3B2F">
            <w:pPr>
              <w:spacing w:after="120" w:line="240" w:lineRule="auto"/>
              <w:jc w:val="center"/>
              <w:rPr>
                <w:rFonts w:ascii="Futura Std Condensed Light" w:eastAsia="Calibri" w:hAnsi="Futura Std Condensed Light" w:cs="Calibri"/>
                <w:sz w:val="20"/>
                <w:szCs w:val="20"/>
              </w:rPr>
            </w:pPr>
            <w:r w:rsidRPr="00FF77CB">
              <w:rPr>
                <w:rFonts w:ascii="Futura Std Condensed Light" w:eastAsia="Calibri" w:hAnsi="Futura Std Condensed Light" w:cs="Calibri"/>
                <w:sz w:val="20"/>
                <w:szCs w:val="20"/>
              </w:rPr>
              <w:t>BÁSICO</w:t>
            </w:r>
          </w:p>
        </w:tc>
      </w:tr>
      <w:tr w:rsidR="006D148B" w:rsidRPr="00B141B9" w14:paraId="50B628EF" w14:textId="77777777" w:rsidTr="009E3B2F">
        <w:trPr>
          <w:trHeight w:val="380"/>
          <w:jc w:val="center"/>
        </w:trPr>
        <w:tc>
          <w:tcPr>
            <w:tcW w:w="3335" w:type="dxa"/>
            <w:shd w:val="clear" w:color="auto" w:fill="auto"/>
            <w:vAlign w:val="center"/>
          </w:tcPr>
          <w:p w14:paraId="46CF4A5B" w14:textId="11C7F9D7" w:rsidR="006D148B" w:rsidRPr="00FF77CB" w:rsidRDefault="00FF77CB" w:rsidP="00FF77CB">
            <w:pPr>
              <w:spacing w:after="120" w:line="240" w:lineRule="auto"/>
              <w:jc w:val="left"/>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Fondo de Fortalecimiento de l</w:t>
            </w:r>
            <w:r w:rsidRPr="00FF77CB">
              <w:rPr>
                <w:rFonts w:ascii="Futura Std Condensed Light" w:eastAsia="Calibri" w:hAnsi="Futura Std Condensed Light" w:cs="Calibri"/>
                <w:sz w:val="20"/>
                <w:szCs w:val="20"/>
              </w:rPr>
              <w:t>as Entidades Federativas</w:t>
            </w:r>
            <w:r w:rsidR="006D148B" w:rsidRPr="00FF77CB">
              <w:rPr>
                <w:rFonts w:ascii="Futura Std Condensed Light" w:eastAsia="Calibri" w:hAnsi="Futura Std Condensed Light" w:cs="Calibri"/>
                <w:sz w:val="20"/>
                <w:szCs w:val="20"/>
              </w:rPr>
              <w:t xml:space="preserve"> FAFEF</w:t>
            </w:r>
          </w:p>
        </w:tc>
        <w:tc>
          <w:tcPr>
            <w:tcW w:w="606" w:type="dxa"/>
            <w:shd w:val="clear" w:color="auto" w:fill="auto"/>
            <w:noWrap/>
            <w:vAlign w:val="center"/>
          </w:tcPr>
          <w:p w14:paraId="19646019" w14:textId="77777777" w:rsidR="006D148B" w:rsidRPr="00FF77CB" w:rsidRDefault="006D148B" w:rsidP="009E3B2F">
            <w:pPr>
              <w:spacing w:after="120" w:line="240" w:lineRule="auto"/>
              <w:jc w:val="center"/>
              <w:rPr>
                <w:rFonts w:ascii="Futura Std Condensed Light" w:eastAsia="Calibri" w:hAnsi="Futura Std Condensed Light" w:cs="Calibri"/>
                <w:sz w:val="20"/>
                <w:szCs w:val="20"/>
              </w:rPr>
            </w:pPr>
            <w:r w:rsidRPr="00FF77CB">
              <w:rPr>
                <w:rFonts w:ascii="Futura Std Condensed Light" w:eastAsia="Calibri" w:hAnsi="Futura Std Condensed Light" w:cs="Calibri"/>
                <w:sz w:val="20"/>
                <w:szCs w:val="20"/>
              </w:rPr>
              <w:t>13</w:t>
            </w:r>
          </w:p>
        </w:tc>
        <w:tc>
          <w:tcPr>
            <w:tcW w:w="606" w:type="dxa"/>
            <w:shd w:val="clear" w:color="auto" w:fill="auto"/>
            <w:noWrap/>
            <w:vAlign w:val="center"/>
          </w:tcPr>
          <w:p w14:paraId="3AC76D28" w14:textId="77777777" w:rsidR="006D148B" w:rsidRPr="00FF77CB" w:rsidRDefault="006D148B" w:rsidP="009E3B2F">
            <w:pPr>
              <w:spacing w:after="120" w:line="240" w:lineRule="auto"/>
              <w:jc w:val="center"/>
              <w:rPr>
                <w:rFonts w:ascii="Futura Std Condensed Light" w:eastAsia="Calibri" w:hAnsi="Futura Std Condensed Light" w:cs="Calibri"/>
                <w:sz w:val="20"/>
                <w:szCs w:val="20"/>
              </w:rPr>
            </w:pPr>
            <w:r w:rsidRPr="00FF77CB">
              <w:rPr>
                <w:rFonts w:ascii="Futura Std Condensed Light" w:eastAsia="Calibri" w:hAnsi="Futura Std Condensed Light" w:cs="Calibri"/>
                <w:sz w:val="20"/>
                <w:szCs w:val="20"/>
              </w:rPr>
              <w:t>3</w:t>
            </w:r>
          </w:p>
        </w:tc>
        <w:tc>
          <w:tcPr>
            <w:tcW w:w="425" w:type="dxa"/>
            <w:shd w:val="clear" w:color="auto" w:fill="auto"/>
            <w:noWrap/>
            <w:vAlign w:val="center"/>
          </w:tcPr>
          <w:p w14:paraId="0FB37BB7" w14:textId="77777777" w:rsidR="006D148B" w:rsidRPr="00FF77CB" w:rsidRDefault="006D148B" w:rsidP="009E3B2F">
            <w:pPr>
              <w:spacing w:after="120" w:line="240" w:lineRule="auto"/>
              <w:jc w:val="center"/>
              <w:rPr>
                <w:rFonts w:ascii="Futura Std Condensed Light" w:eastAsia="Calibri" w:hAnsi="Futura Std Condensed Light" w:cs="Calibri"/>
                <w:sz w:val="20"/>
                <w:szCs w:val="20"/>
              </w:rPr>
            </w:pPr>
            <w:r w:rsidRPr="00FF77CB">
              <w:rPr>
                <w:rFonts w:ascii="Futura Std Condensed Light" w:eastAsia="Calibri" w:hAnsi="Futura Std Condensed Light" w:cs="Calibri"/>
                <w:sz w:val="20"/>
                <w:szCs w:val="20"/>
              </w:rPr>
              <w:t>1</w:t>
            </w:r>
          </w:p>
        </w:tc>
        <w:tc>
          <w:tcPr>
            <w:tcW w:w="426" w:type="dxa"/>
            <w:shd w:val="clear" w:color="auto" w:fill="auto"/>
            <w:noWrap/>
            <w:vAlign w:val="center"/>
          </w:tcPr>
          <w:p w14:paraId="739DC955" w14:textId="77777777" w:rsidR="006D148B" w:rsidRPr="00FF77CB" w:rsidRDefault="006D148B" w:rsidP="009E3B2F">
            <w:pPr>
              <w:spacing w:after="120" w:line="240" w:lineRule="auto"/>
              <w:jc w:val="center"/>
              <w:rPr>
                <w:rFonts w:ascii="Futura Std Condensed Light" w:eastAsia="Calibri" w:hAnsi="Futura Std Condensed Light" w:cs="Calibri"/>
                <w:sz w:val="20"/>
                <w:szCs w:val="20"/>
              </w:rPr>
            </w:pPr>
            <w:r w:rsidRPr="00FF77CB">
              <w:rPr>
                <w:rFonts w:ascii="Futura Std Condensed Light" w:eastAsia="Calibri" w:hAnsi="Futura Std Condensed Light" w:cs="Calibri"/>
                <w:sz w:val="20"/>
                <w:szCs w:val="20"/>
              </w:rPr>
              <w:t>0</w:t>
            </w:r>
          </w:p>
        </w:tc>
        <w:tc>
          <w:tcPr>
            <w:tcW w:w="606" w:type="dxa"/>
            <w:shd w:val="clear" w:color="auto" w:fill="auto"/>
            <w:noWrap/>
            <w:vAlign w:val="center"/>
          </w:tcPr>
          <w:p w14:paraId="0741C861" w14:textId="77777777" w:rsidR="006D148B" w:rsidRPr="00FF77CB" w:rsidRDefault="006D148B" w:rsidP="009E3B2F">
            <w:pPr>
              <w:spacing w:after="120" w:line="240" w:lineRule="auto"/>
              <w:jc w:val="center"/>
              <w:rPr>
                <w:rFonts w:ascii="Futura Std Condensed Light" w:eastAsia="Calibri" w:hAnsi="Futura Std Condensed Light" w:cs="Calibri"/>
                <w:sz w:val="20"/>
                <w:szCs w:val="20"/>
              </w:rPr>
            </w:pPr>
            <w:r w:rsidRPr="00FF77CB">
              <w:rPr>
                <w:rFonts w:ascii="Futura Std Condensed Light" w:eastAsia="Calibri" w:hAnsi="Futura Std Condensed Light" w:cs="Calibri"/>
                <w:sz w:val="20"/>
                <w:szCs w:val="20"/>
              </w:rPr>
              <w:t>1</w:t>
            </w:r>
          </w:p>
        </w:tc>
        <w:tc>
          <w:tcPr>
            <w:tcW w:w="1718" w:type="dxa"/>
            <w:shd w:val="clear" w:color="auto" w:fill="auto"/>
            <w:noWrap/>
            <w:vAlign w:val="center"/>
          </w:tcPr>
          <w:p w14:paraId="01B0E684" w14:textId="77777777" w:rsidR="006D148B" w:rsidRPr="00FF77CB" w:rsidRDefault="006D148B" w:rsidP="009E3B2F">
            <w:pPr>
              <w:spacing w:after="120" w:line="240" w:lineRule="auto"/>
              <w:jc w:val="right"/>
              <w:rPr>
                <w:rFonts w:ascii="Futura Std Condensed Light" w:eastAsia="Calibri" w:hAnsi="Futura Std Condensed Light" w:cs="Calibri"/>
                <w:sz w:val="20"/>
                <w:szCs w:val="20"/>
              </w:rPr>
            </w:pPr>
            <w:r w:rsidRPr="00FF77CB">
              <w:rPr>
                <w:rFonts w:ascii="Futura Std Condensed Light" w:eastAsia="Calibri" w:hAnsi="Futura Std Condensed Light" w:cs="Calibri"/>
                <w:sz w:val="20"/>
                <w:szCs w:val="20"/>
              </w:rPr>
              <w:t>28,687,428.09</w:t>
            </w:r>
          </w:p>
        </w:tc>
        <w:tc>
          <w:tcPr>
            <w:tcW w:w="1317" w:type="dxa"/>
            <w:shd w:val="clear" w:color="auto" w:fill="auto"/>
            <w:vAlign w:val="center"/>
            <w:hideMark/>
          </w:tcPr>
          <w:p w14:paraId="7A880F0C" w14:textId="77777777" w:rsidR="006D148B" w:rsidRPr="00FF77CB" w:rsidRDefault="006D148B" w:rsidP="009E3B2F">
            <w:pPr>
              <w:spacing w:after="120" w:line="240" w:lineRule="auto"/>
              <w:jc w:val="center"/>
              <w:rPr>
                <w:rFonts w:ascii="Futura Std Condensed Light" w:eastAsia="Calibri" w:hAnsi="Futura Std Condensed Light" w:cs="Calibri"/>
                <w:sz w:val="20"/>
                <w:szCs w:val="20"/>
              </w:rPr>
            </w:pPr>
            <w:r w:rsidRPr="00FF77CB">
              <w:rPr>
                <w:rFonts w:ascii="Futura Std Condensed Light" w:eastAsia="Calibri" w:hAnsi="Futura Std Condensed Light" w:cs="Calibri"/>
                <w:sz w:val="20"/>
                <w:szCs w:val="20"/>
              </w:rPr>
              <w:t>BÁSICO</w:t>
            </w:r>
          </w:p>
        </w:tc>
      </w:tr>
      <w:tr w:rsidR="006D148B" w:rsidRPr="00B141B9" w14:paraId="244EBAA9" w14:textId="77777777" w:rsidTr="00244A3A">
        <w:trPr>
          <w:trHeight w:val="293"/>
          <w:jc w:val="center"/>
        </w:trPr>
        <w:tc>
          <w:tcPr>
            <w:tcW w:w="3335" w:type="dxa"/>
            <w:shd w:val="clear" w:color="auto" w:fill="A6A6A6"/>
            <w:vAlign w:val="center"/>
            <w:hideMark/>
          </w:tcPr>
          <w:p w14:paraId="774D470A" w14:textId="35A59573" w:rsidR="006D148B" w:rsidRPr="00FF77CB" w:rsidRDefault="00FF77CB" w:rsidP="009E3B2F">
            <w:pPr>
              <w:spacing w:after="120" w:line="240" w:lineRule="auto"/>
              <w:jc w:val="center"/>
              <w:rPr>
                <w:rFonts w:ascii="Futura Std Condensed Light" w:eastAsia="Calibri" w:hAnsi="Futura Std Condensed Light" w:cs="Calibri"/>
                <w:sz w:val="20"/>
                <w:szCs w:val="20"/>
              </w:rPr>
            </w:pPr>
            <w:r w:rsidRPr="00FF77CB">
              <w:rPr>
                <w:rFonts w:ascii="Futura Std Condensed Light" w:eastAsia="Calibri" w:hAnsi="Futura Std Condensed Light" w:cs="Calibri"/>
                <w:sz w:val="20"/>
                <w:szCs w:val="20"/>
              </w:rPr>
              <w:t>Total Básico</w:t>
            </w:r>
          </w:p>
        </w:tc>
        <w:tc>
          <w:tcPr>
            <w:tcW w:w="606" w:type="dxa"/>
            <w:shd w:val="clear" w:color="auto" w:fill="A6A6A6"/>
            <w:noWrap/>
            <w:vAlign w:val="center"/>
          </w:tcPr>
          <w:p w14:paraId="6AAB5240" w14:textId="75C5B679" w:rsidR="006D148B" w:rsidRPr="00FF77CB" w:rsidRDefault="00FF77CB" w:rsidP="009E3B2F">
            <w:pPr>
              <w:spacing w:after="120" w:line="240" w:lineRule="auto"/>
              <w:jc w:val="center"/>
              <w:rPr>
                <w:rFonts w:ascii="Futura Std Condensed Light" w:eastAsia="Calibri" w:hAnsi="Futura Std Condensed Light" w:cs="Calibri"/>
                <w:sz w:val="20"/>
                <w:szCs w:val="20"/>
              </w:rPr>
            </w:pPr>
            <w:r w:rsidRPr="00FF77CB">
              <w:rPr>
                <w:rFonts w:ascii="Futura Std Condensed Light" w:eastAsia="Calibri" w:hAnsi="Futura Std Condensed Light" w:cs="Calibri"/>
                <w:sz w:val="20"/>
                <w:szCs w:val="20"/>
              </w:rPr>
              <w:t>416</w:t>
            </w:r>
          </w:p>
        </w:tc>
        <w:tc>
          <w:tcPr>
            <w:tcW w:w="606" w:type="dxa"/>
            <w:shd w:val="clear" w:color="auto" w:fill="A6A6A6"/>
            <w:noWrap/>
            <w:vAlign w:val="center"/>
          </w:tcPr>
          <w:p w14:paraId="497F58C3" w14:textId="4B36B707" w:rsidR="006D148B" w:rsidRPr="00FF77CB" w:rsidRDefault="00FF77CB" w:rsidP="009E3B2F">
            <w:pPr>
              <w:spacing w:after="120" w:line="240" w:lineRule="auto"/>
              <w:jc w:val="center"/>
              <w:rPr>
                <w:rFonts w:ascii="Futura Std Condensed Light" w:eastAsia="Calibri" w:hAnsi="Futura Std Condensed Light" w:cs="Calibri"/>
                <w:sz w:val="20"/>
                <w:szCs w:val="20"/>
              </w:rPr>
            </w:pPr>
            <w:r w:rsidRPr="00FF77CB">
              <w:rPr>
                <w:rFonts w:ascii="Futura Std Condensed Light" w:eastAsia="Calibri" w:hAnsi="Futura Std Condensed Light" w:cs="Calibri"/>
                <w:sz w:val="20"/>
                <w:szCs w:val="20"/>
              </w:rPr>
              <w:t>406</w:t>
            </w:r>
          </w:p>
        </w:tc>
        <w:tc>
          <w:tcPr>
            <w:tcW w:w="425" w:type="dxa"/>
            <w:shd w:val="clear" w:color="auto" w:fill="A6A6A6"/>
            <w:noWrap/>
            <w:vAlign w:val="center"/>
          </w:tcPr>
          <w:p w14:paraId="357CFFD1" w14:textId="7B14E181" w:rsidR="006D148B" w:rsidRPr="00FF77CB" w:rsidRDefault="00FF77CB" w:rsidP="009E3B2F">
            <w:pPr>
              <w:spacing w:after="120" w:line="240" w:lineRule="auto"/>
              <w:jc w:val="center"/>
              <w:rPr>
                <w:rFonts w:ascii="Futura Std Condensed Light" w:eastAsia="Calibri" w:hAnsi="Futura Std Condensed Light" w:cs="Calibri"/>
                <w:sz w:val="20"/>
                <w:szCs w:val="20"/>
              </w:rPr>
            </w:pPr>
            <w:r w:rsidRPr="00FF77CB">
              <w:rPr>
                <w:rFonts w:ascii="Futura Std Condensed Light" w:eastAsia="Calibri" w:hAnsi="Futura Std Condensed Light" w:cs="Calibri"/>
                <w:sz w:val="20"/>
                <w:szCs w:val="20"/>
              </w:rPr>
              <w:t>4</w:t>
            </w:r>
          </w:p>
        </w:tc>
        <w:tc>
          <w:tcPr>
            <w:tcW w:w="426" w:type="dxa"/>
            <w:shd w:val="clear" w:color="auto" w:fill="A6A6A6"/>
            <w:noWrap/>
            <w:vAlign w:val="center"/>
          </w:tcPr>
          <w:p w14:paraId="176EB9A3" w14:textId="2D0DDD72" w:rsidR="006D148B" w:rsidRPr="00FF77CB" w:rsidRDefault="00FF77CB" w:rsidP="009E3B2F">
            <w:pPr>
              <w:spacing w:after="120" w:line="240" w:lineRule="auto"/>
              <w:jc w:val="center"/>
              <w:rPr>
                <w:rFonts w:ascii="Futura Std Condensed Light" w:eastAsia="Calibri" w:hAnsi="Futura Std Condensed Light" w:cs="Calibri"/>
                <w:sz w:val="20"/>
                <w:szCs w:val="20"/>
              </w:rPr>
            </w:pPr>
            <w:r w:rsidRPr="00FF77CB">
              <w:rPr>
                <w:rFonts w:ascii="Futura Std Condensed Light" w:eastAsia="Calibri" w:hAnsi="Futura Std Condensed Light" w:cs="Calibri"/>
                <w:sz w:val="20"/>
                <w:szCs w:val="20"/>
              </w:rPr>
              <w:t>0</w:t>
            </w:r>
          </w:p>
        </w:tc>
        <w:tc>
          <w:tcPr>
            <w:tcW w:w="606" w:type="dxa"/>
            <w:shd w:val="clear" w:color="auto" w:fill="A6A6A6"/>
            <w:noWrap/>
            <w:vAlign w:val="center"/>
          </w:tcPr>
          <w:p w14:paraId="0DD46B59" w14:textId="65146BF0" w:rsidR="006D148B" w:rsidRPr="00FF77CB" w:rsidRDefault="00FF77CB" w:rsidP="009E3B2F">
            <w:pPr>
              <w:spacing w:after="120" w:line="240" w:lineRule="auto"/>
              <w:jc w:val="center"/>
              <w:rPr>
                <w:rFonts w:ascii="Futura Std Condensed Light" w:eastAsia="Calibri" w:hAnsi="Futura Std Condensed Light" w:cs="Calibri"/>
                <w:sz w:val="20"/>
                <w:szCs w:val="20"/>
              </w:rPr>
            </w:pPr>
            <w:r w:rsidRPr="00FF77CB">
              <w:rPr>
                <w:rFonts w:ascii="Futura Std Condensed Light" w:eastAsia="Calibri" w:hAnsi="Futura Std Condensed Light" w:cs="Calibri"/>
                <w:sz w:val="20"/>
                <w:szCs w:val="20"/>
              </w:rPr>
              <w:t>140</w:t>
            </w:r>
          </w:p>
        </w:tc>
        <w:tc>
          <w:tcPr>
            <w:tcW w:w="1718" w:type="dxa"/>
            <w:shd w:val="clear" w:color="auto" w:fill="A6A6A6"/>
            <w:noWrap/>
            <w:vAlign w:val="center"/>
          </w:tcPr>
          <w:p w14:paraId="2926F399" w14:textId="04C1D593" w:rsidR="006D148B" w:rsidRPr="00FF77CB" w:rsidRDefault="00FF77CB" w:rsidP="009E3B2F">
            <w:pPr>
              <w:spacing w:after="120" w:line="240" w:lineRule="auto"/>
              <w:jc w:val="right"/>
              <w:rPr>
                <w:rFonts w:ascii="Futura Std Condensed Light" w:eastAsia="Calibri" w:hAnsi="Futura Std Condensed Light" w:cs="Calibri"/>
                <w:sz w:val="20"/>
                <w:szCs w:val="20"/>
              </w:rPr>
            </w:pPr>
            <w:r w:rsidRPr="00FF77CB">
              <w:rPr>
                <w:rFonts w:ascii="Futura Std Condensed Light" w:eastAsia="Calibri" w:hAnsi="Futura Std Condensed Light" w:cs="Calibri"/>
                <w:sz w:val="20"/>
                <w:szCs w:val="20"/>
              </w:rPr>
              <w:t>$319,752,333.07</w:t>
            </w:r>
          </w:p>
        </w:tc>
        <w:tc>
          <w:tcPr>
            <w:tcW w:w="1317" w:type="dxa"/>
            <w:shd w:val="clear" w:color="auto" w:fill="A6A6A6"/>
            <w:vAlign w:val="center"/>
            <w:hideMark/>
          </w:tcPr>
          <w:p w14:paraId="565C0C3F" w14:textId="5F7D5C8C" w:rsidR="006D148B" w:rsidRPr="00FF77CB" w:rsidRDefault="00FF77CB" w:rsidP="009E3B2F">
            <w:pPr>
              <w:spacing w:after="120" w:line="240" w:lineRule="auto"/>
              <w:jc w:val="center"/>
              <w:rPr>
                <w:rFonts w:ascii="Futura Std Condensed Light" w:eastAsia="Calibri" w:hAnsi="Futura Std Condensed Light" w:cs="Calibri"/>
                <w:sz w:val="20"/>
                <w:szCs w:val="20"/>
              </w:rPr>
            </w:pPr>
            <w:r w:rsidRPr="00FF77CB">
              <w:rPr>
                <w:rFonts w:ascii="Futura Std Condensed Light" w:eastAsia="Calibri" w:hAnsi="Futura Std Condensed Light" w:cs="Calibri"/>
                <w:sz w:val="20"/>
                <w:szCs w:val="20"/>
              </w:rPr>
              <w:t>Básico </w:t>
            </w:r>
          </w:p>
        </w:tc>
      </w:tr>
      <w:tr w:rsidR="006D148B" w:rsidRPr="00B141B9" w14:paraId="6A0C1E33" w14:textId="77777777" w:rsidTr="009E3B2F">
        <w:trPr>
          <w:trHeight w:val="268"/>
          <w:jc w:val="center"/>
        </w:trPr>
        <w:tc>
          <w:tcPr>
            <w:tcW w:w="3335" w:type="dxa"/>
            <w:shd w:val="clear" w:color="auto" w:fill="auto"/>
            <w:vAlign w:val="center"/>
          </w:tcPr>
          <w:p w14:paraId="7B5B9CD7" w14:textId="13816E7E" w:rsidR="006D148B" w:rsidRPr="00FF77CB" w:rsidRDefault="00244A3A" w:rsidP="00244A3A">
            <w:pPr>
              <w:spacing w:after="120" w:line="240" w:lineRule="auto"/>
              <w:jc w:val="left"/>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Fondo d</w:t>
            </w:r>
            <w:r w:rsidRPr="00FF77CB">
              <w:rPr>
                <w:rFonts w:ascii="Futura Std Condensed Light" w:eastAsia="Calibri" w:hAnsi="Futura Std Condensed Light" w:cs="Calibri"/>
                <w:sz w:val="20"/>
                <w:szCs w:val="20"/>
              </w:rPr>
              <w:t>e Aportaciones Múltiples Nivel Media Superior</w:t>
            </w:r>
            <w:r w:rsidR="006D148B" w:rsidRPr="00FF77CB">
              <w:rPr>
                <w:rFonts w:ascii="Futura Std Condensed Light" w:eastAsia="Calibri" w:hAnsi="Futura Std Condensed Light" w:cs="Calibri"/>
                <w:sz w:val="20"/>
                <w:szCs w:val="20"/>
              </w:rPr>
              <w:t xml:space="preserve"> FAM</w:t>
            </w:r>
          </w:p>
        </w:tc>
        <w:tc>
          <w:tcPr>
            <w:tcW w:w="606" w:type="dxa"/>
            <w:shd w:val="clear" w:color="auto" w:fill="auto"/>
            <w:noWrap/>
            <w:vAlign w:val="center"/>
          </w:tcPr>
          <w:p w14:paraId="049CCDD5" w14:textId="77777777" w:rsidR="006D148B" w:rsidRPr="00FF77CB" w:rsidRDefault="006D148B" w:rsidP="009E3B2F">
            <w:pPr>
              <w:spacing w:after="120" w:line="240" w:lineRule="auto"/>
              <w:jc w:val="center"/>
              <w:rPr>
                <w:rFonts w:ascii="Futura Std Condensed Light" w:eastAsia="Calibri" w:hAnsi="Futura Std Condensed Light" w:cs="Calibri"/>
                <w:sz w:val="20"/>
                <w:szCs w:val="20"/>
              </w:rPr>
            </w:pPr>
            <w:r w:rsidRPr="00FF77CB">
              <w:rPr>
                <w:rFonts w:ascii="Futura Std Condensed Light" w:eastAsia="Calibri" w:hAnsi="Futura Std Condensed Light" w:cs="Calibri"/>
                <w:sz w:val="20"/>
                <w:szCs w:val="20"/>
              </w:rPr>
              <w:t>8</w:t>
            </w:r>
          </w:p>
        </w:tc>
        <w:tc>
          <w:tcPr>
            <w:tcW w:w="606" w:type="dxa"/>
            <w:shd w:val="clear" w:color="auto" w:fill="auto"/>
            <w:noWrap/>
            <w:vAlign w:val="center"/>
          </w:tcPr>
          <w:p w14:paraId="0E91233F" w14:textId="77777777" w:rsidR="006D148B" w:rsidRPr="00FF77CB" w:rsidRDefault="006D148B" w:rsidP="009E3B2F">
            <w:pPr>
              <w:spacing w:after="120" w:line="240" w:lineRule="auto"/>
              <w:jc w:val="center"/>
              <w:rPr>
                <w:rFonts w:ascii="Futura Std Condensed Light" w:eastAsia="Calibri" w:hAnsi="Futura Std Condensed Light" w:cs="Calibri"/>
                <w:sz w:val="20"/>
                <w:szCs w:val="20"/>
              </w:rPr>
            </w:pPr>
            <w:r w:rsidRPr="00FF77CB">
              <w:rPr>
                <w:rFonts w:ascii="Futura Std Condensed Light" w:eastAsia="Calibri" w:hAnsi="Futura Std Condensed Light" w:cs="Calibri"/>
                <w:sz w:val="20"/>
                <w:szCs w:val="20"/>
              </w:rPr>
              <w:t>6</w:t>
            </w:r>
          </w:p>
        </w:tc>
        <w:tc>
          <w:tcPr>
            <w:tcW w:w="425" w:type="dxa"/>
            <w:shd w:val="clear" w:color="auto" w:fill="auto"/>
            <w:noWrap/>
            <w:vAlign w:val="center"/>
          </w:tcPr>
          <w:p w14:paraId="7101EA92" w14:textId="77777777" w:rsidR="006D148B" w:rsidRPr="00FF77CB" w:rsidRDefault="006D148B" w:rsidP="009E3B2F">
            <w:pPr>
              <w:spacing w:after="120" w:line="240" w:lineRule="auto"/>
              <w:jc w:val="center"/>
              <w:rPr>
                <w:rFonts w:ascii="Futura Std Condensed Light" w:eastAsia="Calibri" w:hAnsi="Futura Std Condensed Light" w:cs="Calibri"/>
                <w:sz w:val="20"/>
                <w:szCs w:val="20"/>
              </w:rPr>
            </w:pPr>
            <w:r w:rsidRPr="00FF77CB">
              <w:rPr>
                <w:rFonts w:ascii="Futura Std Condensed Light" w:eastAsia="Calibri" w:hAnsi="Futura Std Condensed Light" w:cs="Calibri"/>
                <w:sz w:val="20"/>
                <w:szCs w:val="20"/>
              </w:rPr>
              <w:t>0</w:t>
            </w:r>
          </w:p>
        </w:tc>
        <w:tc>
          <w:tcPr>
            <w:tcW w:w="426" w:type="dxa"/>
            <w:shd w:val="clear" w:color="auto" w:fill="auto"/>
            <w:noWrap/>
            <w:vAlign w:val="center"/>
          </w:tcPr>
          <w:p w14:paraId="7190D633" w14:textId="77777777" w:rsidR="006D148B" w:rsidRPr="00FF77CB" w:rsidRDefault="006D148B" w:rsidP="009E3B2F">
            <w:pPr>
              <w:spacing w:after="120" w:line="240" w:lineRule="auto"/>
              <w:jc w:val="center"/>
              <w:rPr>
                <w:rFonts w:ascii="Futura Std Condensed Light" w:eastAsia="Calibri" w:hAnsi="Futura Std Condensed Light" w:cs="Calibri"/>
                <w:sz w:val="20"/>
                <w:szCs w:val="20"/>
              </w:rPr>
            </w:pPr>
            <w:r w:rsidRPr="00FF77CB">
              <w:rPr>
                <w:rFonts w:ascii="Futura Std Condensed Light" w:eastAsia="Calibri" w:hAnsi="Futura Std Condensed Light" w:cs="Calibri"/>
                <w:sz w:val="20"/>
                <w:szCs w:val="20"/>
              </w:rPr>
              <w:t>0</w:t>
            </w:r>
          </w:p>
        </w:tc>
        <w:tc>
          <w:tcPr>
            <w:tcW w:w="606" w:type="dxa"/>
            <w:shd w:val="clear" w:color="auto" w:fill="auto"/>
            <w:noWrap/>
            <w:vAlign w:val="center"/>
          </w:tcPr>
          <w:p w14:paraId="5C7669C6" w14:textId="77777777" w:rsidR="006D148B" w:rsidRPr="00FF77CB" w:rsidRDefault="006D148B" w:rsidP="009E3B2F">
            <w:pPr>
              <w:spacing w:after="120" w:line="240" w:lineRule="auto"/>
              <w:jc w:val="center"/>
              <w:rPr>
                <w:rFonts w:ascii="Futura Std Condensed Light" w:eastAsia="Calibri" w:hAnsi="Futura Std Condensed Light" w:cs="Calibri"/>
                <w:sz w:val="20"/>
                <w:szCs w:val="20"/>
              </w:rPr>
            </w:pPr>
            <w:r w:rsidRPr="00FF77CB">
              <w:rPr>
                <w:rFonts w:ascii="Futura Std Condensed Light" w:eastAsia="Calibri" w:hAnsi="Futura Std Condensed Light" w:cs="Calibri"/>
                <w:sz w:val="20"/>
                <w:szCs w:val="20"/>
              </w:rPr>
              <w:t>0</w:t>
            </w:r>
          </w:p>
        </w:tc>
        <w:tc>
          <w:tcPr>
            <w:tcW w:w="1718" w:type="dxa"/>
            <w:shd w:val="clear" w:color="auto" w:fill="auto"/>
            <w:noWrap/>
            <w:vAlign w:val="center"/>
          </w:tcPr>
          <w:p w14:paraId="45C4A586" w14:textId="77777777" w:rsidR="006D148B" w:rsidRPr="00FF77CB" w:rsidRDefault="006D148B" w:rsidP="009E3B2F">
            <w:pPr>
              <w:spacing w:after="120" w:line="240" w:lineRule="auto"/>
              <w:jc w:val="right"/>
              <w:rPr>
                <w:rFonts w:ascii="Futura Std Condensed Light" w:eastAsia="Calibri" w:hAnsi="Futura Std Condensed Light" w:cs="Calibri"/>
                <w:sz w:val="20"/>
                <w:szCs w:val="20"/>
              </w:rPr>
            </w:pPr>
            <w:r w:rsidRPr="00FF77CB">
              <w:rPr>
                <w:rFonts w:ascii="Futura Std Condensed Light" w:eastAsia="Calibri" w:hAnsi="Futura Std Condensed Light" w:cs="Calibri"/>
                <w:sz w:val="20"/>
                <w:szCs w:val="20"/>
              </w:rPr>
              <w:t>$7,176,848.70</w:t>
            </w:r>
          </w:p>
        </w:tc>
        <w:tc>
          <w:tcPr>
            <w:tcW w:w="1317" w:type="dxa"/>
            <w:shd w:val="clear" w:color="auto" w:fill="auto"/>
            <w:vAlign w:val="center"/>
            <w:hideMark/>
          </w:tcPr>
          <w:p w14:paraId="240EE24B" w14:textId="77777777" w:rsidR="006D148B" w:rsidRPr="00FF77CB" w:rsidRDefault="006D148B" w:rsidP="009E3B2F">
            <w:pPr>
              <w:spacing w:after="120" w:line="240" w:lineRule="auto"/>
              <w:jc w:val="center"/>
              <w:rPr>
                <w:rFonts w:ascii="Futura Std Condensed Light" w:eastAsia="Calibri" w:hAnsi="Futura Std Condensed Light" w:cs="Calibri"/>
                <w:sz w:val="20"/>
                <w:szCs w:val="20"/>
              </w:rPr>
            </w:pPr>
            <w:r w:rsidRPr="00FF77CB">
              <w:rPr>
                <w:rFonts w:ascii="Futura Std Condensed Light" w:eastAsia="Calibri" w:hAnsi="Futura Std Condensed Light" w:cs="Calibri"/>
                <w:sz w:val="20"/>
                <w:szCs w:val="20"/>
              </w:rPr>
              <w:t>MEDIA</w:t>
            </w:r>
          </w:p>
        </w:tc>
      </w:tr>
      <w:tr w:rsidR="006D148B" w:rsidRPr="00B141B9" w14:paraId="3460D4C5" w14:textId="77777777" w:rsidTr="009E3B2F">
        <w:trPr>
          <w:trHeight w:val="304"/>
          <w:jc w:val="center"/>
        </w:trPr>
        <w:tc>
          <w:tcPr>
            <w:tcW w:w="3335" w:type="dxa"/>
            <w:shd w:val="clear" w:color="auto" w:fill="auto"/>
            <w:vAlign w:val="center"/>
          </w:tcPr>
          <w:p w14:paraId="6DEF8B40" w14:textId="0E3083B1" w:rsidR="006D148B" w:rsidRPr="00FF77CB" w:rsidRDefault="00244A3A" w:rsidP="00244A3A">
            <w:pPr>
              <w:spacing w:after="120" w:line="240" w:lineRule="auto"/>
              <w:jc w:val="left"/>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Fondo de Fortalecimiento de l</w:t>
            </w:r>
            <w:r w:rsidRPr="00FF77CB">
              <w:rPr>
                <w:rFonts w:ascii="Futura Std Condensed Light" w:eastAsia="Calibri" w:hAnsi="Futura Std Condensed Light" w:cs="Calibri"/>
                <w:sz w:val="20"/>
                <w:szCs w:val="20"/>
              </w:rPr>
              <w:t>as Entidades Federativas</w:t>
            </w:r>
            <w:r w:rsidR="006D148B" w:rsidRPr="00FF77CB">
              <w:rPr>
                <w:rFonts w:ascii="Futura Std Condensed Light" w:eastAsia="Calibri" w:hAnsi="Futura Std Condensed Light" w:cs="Calibri"/>
                <w:sz w:val="20"/>
                <w:szCs w:val="20"/>
              </w:rPr>
              <w:t xml:space="preserve"> FAFEF</w:t>
            </w:r>
          </w:p>
        </w:tc>
        <w:tc>
          <w:tcPr>
            <w:tcW w:w="606" w:type="dxa"/>
            <w:shd w:val="clear" w:color="auto" w:fill="auto"/>
            <w:noWrap/>
            <w:vAlign w:val="center"/>
          </w:tcPr>
          <w:p w14:paraId="19BE18B4" w14:textId="77777777" w:rsidR="006D148B" w:rsidRPr="00FF77CB" w:rsidRDefault="006D148B" w:rsidP="009E3B2F">
            <w:pPr>
              <w:spacing w:after="120" w:line="240" w:lineRule="auto"/>
              <w:jc w:val="center"/>
              <w:rPr>
                <w:rFonts w:ascii="Futura Std Condensed Light" w:eastAsia="Calibri" w:hAnsi="Futura Std Condensed Light" w:cs="Calibri"/>
                <w:sz w:val="20"/>
                <w:szCs w:val="20"/>
              </w:rPr>
            </w:pPr>
            <w:r w:rsidRPr="00FF77CB">
              <w:rPr>
                <w:rFonts w:ascii="Futura Std Condensed Light" w:eastAsia="Calibri" w:hAnsi="Futura Std Condensed Light" w:cs="Calibri"/>
                <w:sz w:val="20"/>
                <w:szCs w:val="20"/>
              </w:rPr>
              <w:t>4</w:t>
            </w:r>
          </w:p>
        </w:tc>
        <w:tc>
          <w:tcPr>
            <w:tcW w:w="606" w:type="dxa"/>
            <w:shd w:val="clear" w:color="auto" w:fill="auto"/>
            <w:noWrap/>
            <w:vAlign w:val="center"/>
          </w:tcPr>
          <w:p w14:paraId="2CC66E02" w14:textId="77777777" w:rsidR="006D148B" w:rsidRPr="00FF77CB" w:rsidRDefault="006D148B" w:rsidP="009E3B2F">
            <w:pPr>
              <w:spacing w:after="120" w:line="240" w:lineRule="auto"/>
              <w:jc w:val="center"/>
              <w:rPr>
                <w:rFonts w:ascii="Futura Std Condensed Light" w:eastAsia="Calibri" w:hAnsi="Futura Std Condensed Light" w:cs="Calibri"/>
                <w:sz w:val="20"/>
                <w:szCs w:val="20"/>
              </w:rPr>
            </w:pPr>
            <w:r w:rsidRPr="00FF77CB">
              <w:rPr>
                <w:rFonts w:ascii="Futura Std Condensed Light" w:eastAsia="Calibri" w:hAnsi="Futura Std Condensed Light" w:cs="Calibri"/>
                <w:sz w:val="20"/>
                <w:szCs w:val="20"/>
              </w:rPr>
              <w:t>3</w:t>
            </w:r>
          </w:p>
        </w:tc>
        <w:tc>
          <w:tcPr>
            <w:tcW w:w="425" w:type="dxa"/>
            <w:shd w:val="clear" w:color="auto" w:fill="auto"/>
            <w:noWrap/>
            <w:vAlign w:val="center"/>
          </w:tcPr>
          <w:p w14:paraId="53771A8B" w14:textId="77777777" w:rsidR="006D148B" w:rsidRPr="00FF77CB" w:rsidRDefault="006D148B" w:rsidP="009E3B2F">
            <w:pPr>
              <w:spacing w:after="120" w:line="240" w:lineRule="auto"/>
              <w:jc w:val="center"/>
              <w:rPr>
                <w:rFonts w:ascii="Futura Std Condensed Light" w:eastAsia="Calibri" w:hAnsi="Futura Std Condensed Light" w:cs="Calibri"/>
                <w:sz w:val="20"/>
                <w:szCs w:val="20"/>
              </w:rPr>
            </w:pPr>
            <w:r w:rsidRPr="00FF77CB">
              <w:rPr>
                <w:rFonts w:ascii="Futura Std Condensed Light" w:eastAsia="Calibri" w:hAnsi="Futura Std Condensed Light" w:cs="Calibri"/>
                <w:sz w:val="20"/>
                <w:szCs w:val="20"/>
              </w:rPr>
              <w:t>1</w:t>
            </w:r>
          </w:p>
        </w:tc>
        <w:tc>
          <w:tcPr>
            <w:tcW w:w="426" w:type="dxa"/>
            <w:shd w:val="clear" w:color="auto" w:fill="auto"/>
            <w:noWrap/>
            <w:vAlign w:val="center"/>
          </w:tcPr>
          <w:p w14:paraId="1B421BD8" w14:textId="77777777" w:rsidR="006D148B" w:rsidRPr="00FF77CB" w:rsidRDefault="006D148B" w:rsidP="009E3B2F">
            <w:pPr>
              <w:spacing w:after="120" w:line="240" w:lineRule="auto"/>
              <w:jc w:val="center"/>
              <w:rPr>
                <w:rFonts w:ascii="Futura Std Condensed Light" w:eastAsia="Calibri" w:hAnsi="Futura Std Condensed Light" w:cs="Calibri"/>
                <w:sz w:val="20"/>
                <w:szCs w:val="20"/>
              </w:rPr>
            </w:pPr>
            <w:r w:rsidRPr="00FF77CB">
              <w:rPr>
                <w:rFonts w:ascii="Futura Std Condensed Light" w:eastAsia="Calibri" w:hAnsi="Futura Std Condensed Light" w:cs="Calibri"/>
                <w:sz w:val="20"/>
                <w:szCs w:val="20"/>
              </w:rPr>
              <w:t>0</w:t>
            </w:r>
          </w:p>
        </w:tc>
        <w:tc>
          <w:tcPr>
            <w:tcW w:w="606" w:type="dxa"/>
            <w:shd w:val="clear" w:color="auto" w:fill="auto"/>
            <w:noWrap/>
            <w:vAlign w:val="center"/>
          </w:tcPr>
          <w:p w14:paraId="5232DCAC" w14:textId="77777777" w:rsidR="006D148B" w:rsidRPr="00FF77CB" w:rsidRDefault="006D148B" w:rsidP="009E3B2F">
            <w:pPr>
              <w:spacing w:after="120" w:line="240" w:lineRule="auto"/>
              <w:jc w:val="center"/>
              <w:rPr>
                <w:rFonts w:ascii="Futura Std Condensed Light" w:eastAsia="Calibri" w:hAnsi="Futura Std Condensed Light" w:cs="Calibri"/>
                <w:sz w:val="20"/>
                <w:szCs w:val="20"/>
              </w:rPr>
            </w:pPr>
            <w:r w:rsidRPr="00FF77CB">
              <w:rPr>
                <w:rFonts w:ascii="Futura Std Condensed Light" w:eastAsia="Calibri" w:hAnsi="Futura Std Condensed Light" w:cs="Calibri"/>
                <w:sz w:val="20"/>
                <w:szCs w:val="20"/>
              </w:rPr>
              <w:t>1</w:t>
            </w:r>
          </w:p>
        </w:tc>
        <w:tc>
          <w:tcPr>
            <w:tcW w:w="1718" w:type="dxa"/>
            <w:shd w:val="clear" w:color="auto" w:fill="auto"/>
            <w:noWrap/>
            <w:vAlign w:val="center"/>
          </w:tcPr>
          <w:p w14:paraId="04489CF6" w14:textId="77777777" w:rsidR="006D148B" w:rsidRPr="00FF77CB" w:rsidRDefault="006D148B" w:rsidP="009E3B2F">
            <w:pPr>
              <w:spacing w:after="120" w:line="240" w:lineRule="auto"/>
              <w:jc w:val="right"/>
              <w:rPr>
                <w:rFonts w:ascii="Futura Std Condensed Light" w:eastAsia="Calibri" w:hAnsi="Futura Std Condensed Light" w:cs="Calibri"/>
                <w:sz w:val="20"/>
                <w:szCs w:val="20"/>
              </w:rPr>
            </w:pPr>
            <w:r w:rsidRPr="00FF77CB">
              <w:rPr>
                <w:rFonts w:ascii="Futura Std Condensed Light" w:eastAsia="Calibri" w:hAnsi="Futura Std Condensed Light" w:cs="Calibri"/>
                <w:sz w:val="20"/>
                <w:szCs w:val="20"/>
              </w:rPr>
              <w:t>10,538,974.87</w:t>
            </w:r>
          </w:p>
        </w:tc>
        <w:tc>
          <w:tcPr>
            <w:tcW w:w="1317" w:type="dxa"/>
            <w:shd w:val="clear" w:color="auto" w:fill="auto"/>
            <w:vAlign w:val="center"/>
            <w:hideMark/>
          </w:tcPr>
          <w:p w14:paraId="70BA411C" w14:textId="77777777" w:rsidR="006D148B" w:rsidRPr="00FF77CB" w:rsidRDefault="006D148B" w:rsidP="009E3B2F">
            <w:pPr>
              <w:spacing w:after="120" w:line="240" w:lineRule="auto"/>
              <w:jc w:val="center"/>
              <w:rPr>
                <w:rFonts w:ascii="Futura Std Condensed Light" w:eastAsia="Calibri" w:hAnsi="Futura Std Condensed Light" w:cs="Calibri"/>
                <w:sz w:val="20"/>
                <w:szCs w:val="20"/>
              </w:rPr>
            </w:pPr>
            <w:r w:rsidRPr="00FF77CB">
              <w:rPr>
                <w:rFonts w:ascii="Futura Std Condensed Light" w:eastAsia="Calibri" w:hAnsi="Futura Std Condensed Light" w:cs="Calibri"/>
                <w:sz w:val="20"/>
                <w:szCs w:val="20"/>
              </w:rPr>
              <w:t>MEDIA</w:t>
            </w:r>
          </w:p>
        </w:tc>
      </w:tr>
      <w:tr w:rsidR="006D148B" w:rsidRPr="00B141B9" w14:paraId="42EC21BB" w14:textId="77777777" w:rsidTr="00244A3A">
        <w:trPr>
          <w:trHeight w:val="173"/>
          <w:jc w:val="center"/>
        </w:trPr>
        <w:tc>
          <w:tcPr>
            <w:tcW w:w="3335" w:type="dxa"/>
            <w:shd w:val="clear" w:color="auto" w:fill="A6A6A6"/>
            <w:vAlign w:val="center"/>
            <w:hideMark/>
          </w:tcPr>
          <w:p w14:paraId="01CF5E50" w14:textId="34BAFE53" w:rsidR="006D148B" w:rsidRPr="00244A3A" w:rsidRDefault="006D148B" w:rsidP="009E3B2F">
            <w:pPr>
              <w:spacing w:after="120" w:line="240" w:lineRule="auto"/>
              <w:jc w:val="center"/>
              <w:rPr>
                <w:rFonts w:ascii="Futura Std Condensed Light" w:eastAsia="Calibri" w:hAnsi="Futura Std Condensed Light" w:cs="Calibri"/>
                <w:sz w:val="20"/>
                <w:szCs w:val="20"/>
              </w:rPr>
            </w:pPr>
            <w:r w:rsidRPr="00244A3A">
              <w:rPr>
                <w:rFonts w:ascii="Futura Std Condensed Light" w:eastAsia="Calibri" w:hAnsi="Futura Std Condensed Light" w:cs="Calibri"/>
                <w:sz w:val="20"/>
                <w:szCs w:val="20"/>
              </w:rPr>
              <w:t> </w:t>
            </w:r>
            <w:r w:rsidR="00244A3A" w:rsidRPr="00244A3A">
              <w:rPr>
                <w:rFonts w:ascii="Futura Std Condensed Light" w:eastAsia="Calibri" w:hAnsi="Futura Std Condensed Light" w:cs="Calibri"/>
                <w:sz w:val="20"/>
                <w:szCs w:val="20"/>
              </w:rPr>
              <w:t>Total Media Superior</w:t>
            </w:r>
          </w:p>
        </w:tc>
        <w:tc>
          <w:tcPr>
            <w:tcW w:w="606" w:type="dxa"/>
            <w:shd w:val="clear" w:color="auto" w:fill="A6A6A6"/>
            <w:noWrap/>
            <w:vAlign w:val="center"/>
          </w:tcPr>
          <w:p w14:paraId="0B61E740" w14:textId="77777777" w:rsidR="006D148B" w:rsidRPr="00244A3A" w:rsidRDefault="006D148B" w:rsidP="009E3B2F">
            <w:pPr>
              <w:spacing w:after="120" w:line="240" w:lineRule="auto"/>
              <w:jc w:val="center"/>
              <w:rPr>
                <w:rFonts w:ascii="Futura Std Condensed Light" w:eastAsia="Calibri" w:hAnsi="Futura Std Condensed Light" w:cs="Calibri"/>
                <w:sz w:val="20"/>
                <w:szCs w:val="20"/>
              </w:rPr>
            </w:pPr>
            <w:r w:rsidRPr="00244A3A">
              <w:rPr>
                <w:rFonts w:ascii="Futura Std Condensed Light" w:eastAsia="Calibri" w:hAnsi="Futura Std Condensed Light" w:cs="Calibri"/>
                <w:sz w:val="20"/>
                <w:szCs w:val="20"/>
              </w:rPr>
              <w:t>12</w:t>
            </w:r>
          </w:p>
        </w:tc>
        <w:tc>
          <w:tcPr>
            <w:tcW w:w="606" w:type="dxa"/>
            <w:shd w:val="clear" w:color="auto" w:fill="A6A6A6"/>
            <w:noWrap/>
            <w:vAlign w:val="center"/>
          </w:tcPr>
          <w:p w14:paraId="45F140F8" w14:textId="77777777" w:rsidR="006D148B" w:rsidRPr="00244A3A" w:rsidRDefault="006D148B" w:rsidP="009E3B2F">
            <w:pPr>
              <w:spacing w:after="120" w:line="240" w:lineRule="auto"/>
              <w:jc w:val="center"/>
              <w:rPr>
                <w:rFonts w:ascii="Futura Std Condensed Light" w:eastAsia="Calibri" w:hAnsi="Futura Std Condensed Light" w:cs="Calibri"/>
                <w:sz w:val="20"/>
                <w:szCs w:val="20"/>
              </w:rPr>
            </w:pPr>
            <w:r w:rsidRPr="00244A3A">
              <w:rPr>
                <w:rFonts w:ascii="Futura Std Condensed Light" w:eastAsia="Calibri" w:hAnsi="Futura Std Condensed Light" w:cs="Calibri"/>
                <w:sz w:val="20"/>
                <w:szCs w:val="20"/>
              </w:rPr>
              <w:t>9</w:t>
            </w:r>
          </w:p>
        </w:tc>
        <w:tc>
          <w:tcPr>
            <w:tcW w:w="425" w:type="dxa"/>
            <w:shd w:val="clear" w:color="auto" w:fill="A6A6A6"/>
            <w:noWrap/>
            <w:vAlign w:val="center"/>
          </w:tcPr>
          <w:p w14:paraId="535635D6" w14:textId="77777777" w:rsidR="006D148B" w:rsidRPr="00244A3A" w:rsidRDefault="006D148B" w:rsidP="009E3B2F">
            <w:pPr>
              <w:spacing w:after="120" w:line="240" w:lineRule="auto"/>
              <w:jc w:val="center"/>
              <w:rPr>
                <w:rFonts w:ascii="Futura Std Condensed Light" w:eastAsia="Calibri" w:hAnsi="Futura Std Condensed Light" w:cs="Calibri"/>
                <w:sz w:val="20"/>
                <w:szCs w:val="20"/>
              </w:rPr>
            </w:pPr>
            <w:r w:rsidRPr="00244A3A">
              <w:rPr>
                <w:rFonts w:ascii="Futura Std Condensed Light" w:eastAsia="Calibri" w:hAnsi="Futura Std Condensed Light" w:cs="Calibri"/>
                <w:sz w:val="20"/>
                <w:szCs w:val="20"/>
              </w:rPr>
              <w:t>1</w:t>
            </w:r>
          </w:p>
        </w:tc>
        <w:tc>
          <w:tcPr>
            <w:tcW w:w="426" w:type="dxa"/>
            <w:shd w:val="clear" w:color="auto" w:fill="A6A6A6"/>
            <w:noWrap/>
            <w:vAlign w:val="center"/>
          </w:tcPr>
          <w:p w14:paraId="2D5C35CD" w14:textId="77777777" w:rsidR="006D148B" w:rsidRPr="00244A3A" w:rsidRDefault="006D148B" w:rsidP="009E3B2F">
            <w:pPr>
              <w:spacing w:after="120" w:line="240" w:lineRule="auto"/>
              <w:jc w:val="center"/>
              <w:rPr>
                <w:rFonts w:ascii="Futura Std Condensed Light" w:eastAsia="Calibri" w:hAnsi="Futura Std Condensed Light" w:cs="Calibri"/>
                <w:sz w:val="20"/>
                <w:szCs w:val="20"/>
              </w:rPr>
            </w:pPr>
            <w:r w:rsidRPr="00244A3A">
              <w:rPr>
                <w:rFonts w:ascii="Futura Std Condensed Light" w:eastAsia="Calibri" w:hAnsi="Futura Std Condensed Light" w:cs="Calibri"/>
                <w:sz w:val="20"/>
                <w:szCs w:val="20"/>
              </w:rPr>
              <w:t>0</w:t>
            </w:r>
          </w:p>
        </w:tc>
        <w:tc>
          <w:tcPr>
            <w:tcW w:w="606" w:type="dxa"/>
            <w:shd w:val="clear" w:color="auto" w:fill="A6A6A6"/>
            <w:noWrap/>
            <w:vAlign w:val="center"/>
          </w:tcPr>
          <w:p w14:paraId="4588B1E5" w14:textId="77777777" w:rsidR="006D148B" w:rsidRPr="00244A3A" w:rsidRDefault="006D148B" w:rsidP="009E3B2F">
            <w:pPr>
              <w:spacing w:after="120" w:line="240" w:lineRule="auto"/>
              <w:jc w:val="center"/>
              <w:rPr>
                <w:rFonts w:ascii="Futura Std Condensed Light" w:eastAsia="Calibri" w:hAnsi="Futura Std Condensed Light" w:cs="Calibri"/>
                <w:sz w:val="20"/>
                <w:szCs w:val="20"/>
              </w:rPr>
            </w:pPr>
            <w:r w:rsidRPr="00244A3A">
              <w:rPr>
                <w:rFonts w:ascii="Futura Std Condensed Light" w:eastAsia="Calibri" w:hAnsi="Futura Std Condensed Light" w:cs="Calibri"/>
                <w:sz w:val="20"/>
                <w:szCs w:val="20"/>
              </w:rPr>
              <w:t>1</w:t>
            </w:r>
          </w:p>
        </w:tc>
        <w:tc>
          <w:tcPr>
            <w:tcW w:w="1718" w:type="dxa"/>
            <w:shd w:val="clear" w:color="auto" w:fill="A6A6A6"/>
            <w:noWrap/>
            <w:vAlign w:val="center"/>
          </w:tcPr>
          <w:p w14:paraId="281D6F6A" w14:textId="77777777" w:rsidR="006D148B" w:rsidRPr="00244A3A" w:rsidRDefault="006D148B" w:rsidP="009E3B2F">
            <w:pPr>
              <w:spacing w:after="120" w:line="240" w:lineRule="auto"/>
              <w:jc w:val="right"/>
              <w:rPr>
                <w:rFonts w:ascii="Futura Std Condensed Light" w:eastAsia="Calibri" w:hAnsi="Futura Std Condensed Light" w:cs="Calibri"/>
                <w:sz w:val="20"/>
                <w:szCs w:val="20"/>
              </w:rPr>
            </w:pPr>
            <w:r w:rsidRPr="00244A3A">
              <w:rPr>
                <w:rFonts w:ascii="Futura Std Condensed Light" w:eastAsia="Calibri" w:hAnsi="Futura Std Condensed Light" w:cs="Calibri"/>
                <w:sz w:val="20"/>
                <w:szCs w:val="20"/>
              </w:rPr>
              <w:t>$17,715,823.57</w:t>
            </w:r>
          </w:p>
        </w:tc>
        <w:tc>
          <w:tcPr>
            <w:tcW w:w="1317" w:type="dxa"/>
            <w:shd w:val="clear" w:color="auto" w:fill="A6A6A6"/>
            <w:vAlign w:val="center"/>
            <w:hideMark/>
          </w:tcPr>
          <w:p w14:paraId="0C480B74" w14:textId="77777777" w:rsidR="006D148B" w:rsidRPr="00244A3A" w:rsidRDefault="006D148B" w:rsidP="009E3B2F">
            <w:pPr>
              <w:spacing w:after="120" w:line="240" w:lineRule="auto"/>
              <w:jc w:val="center"/>
              <w:rPr>
                <w:rFonts w:ascii="Futura Std Condensed Light" w:eastAsia="Calibri" w:hAnsi="Futura Std Condensed Light" w:cs="Calibri"/>
                <w:sz w:val="20"/>
                <w:szCs w:val="20"/>
              </w:rPr>
            </w:pPr>
            <w:r w:rsidRPr="00244A3A">
              <w:rPr>
                <w:rFonts w:ascii="Futura Std Condensed Light" w:eastAsia="Calibri" w:hAnsi="Futura Std Condensed Light" w:cs="Calibri"/>
                <w:sz w:val="20"/>
                <w:szCs w:val="20"/>
              </w:rPr>
              <w:t>MEDIA </w:t>
            </w:r>
          </w:p>
        </w:tc>
      </w:tr>
      <w:tr w:rsidR="006D148B" w:rsidRPr="00B141B9" w14:paraId="15794D3A" w14:textId="77777777" w:rsidTr="009E3B2F">
        <w:trPr>
          <w:trHeight w:val="333"/>
          <w:jc w:val="center"/>
        </w:trPr>
        <w:tc>
          <w:tcPr>
            <w:tcW w:w="3335" w:type="dxa"/>
            <w:shd w:val="clear" w:color="auto" w:fill="auto"/>
            <w:vAlign w:val="center"/>
          </w:tcPr>
          <w:p w14:paraId="77D6CC6F" w14:textId="73BEC1FC" w:rsidR="006D148B" w:rsidRPr="00FF77CB" w:rsidRDefault="00244A3A" w:rsidP="00244A3A">
            <w:pPr>
              <w:spacing w:after="120" w:line="240" w:lineRule="auto"/>
              <w:jc w:val="left"/>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Fondo d</w:t>
            </w:r>
            <w:r w:rsidRPr="00FF77CB">
              <w:rPr>
                <w:rFonts w:ascii="Futura Std Condensed Light" w:eastAsia="Calibri" w:hAnsi="Futura Std Condensed Light" w:cs="Calibri"/>
                <w:sz w:val="20"/>
                <w:szCs w:val="20"/>
              </w:rPr>
              <w:t xml:space="preserve">e Aportaciones Múltiples Nivel Superior </w:t>
            </w:r>
            <w:r w:rsidR="006D148B" w:rsidRPr="00FF77CB">
              <w:rPr>
                <w:rFonts w:ascii="Futura Std Condensed Light" w:eastAsia="Calibri" w:hAnsi="Futura Std Condensed Light" w:cs="Calibri"/>
                <w:sz w:val="20"/>
                <w:szCs w:val="20"/>
              </w:rPr>
              <w:t>FAM</w:t>
            </w:r>
          </w:p>
        </w:tc>
        <w:tc>
          <w:tcPr>
            <w:tcW w:w="606" w:type="dxa"/>
            <w:shd w:val="clear" w:color="auto" w:fill="auto"/>
            <w:noWrap/>
            <w:vAlign w:val="center"/>
          </w:tcPr>
          <w:p w14:paraId="066DC5CC" w14:textId="77777777" w:rsidR="006D148B" w:rsidRPr="00FF77CB" w:rsidRDefault="006D148B" w:rsidP="009E3B2F">
            <w:pPr>
              <w:spacing w:after="120" w:line="240" w:lineRule="auto"/>
              <w:jc w:val="center"/>
              <w:rPr>
                <w:rFonts w:ascii="Futura Std Condensed Light" w:eastAsia="Calibri" w:hAnsi="Futura Std Condensed Light" w:cs="Calibri"/>
                <w:sz w:val="20"/>
                <w:szCs w:val="20"/>
              </w:rPr>
            </w:pPr>
            <w:r w:rsidRPr="00FF77CB">
              <w:rPr>
                <w:rFonts w:ascii="Futura Std Condensed Light" w:eastAsia="Calibri" w:hAnsi="Futura Std Condensed Light" w:cs="Calibri"/>
                <w:sz w:val="20"/>
                <w:szCs w:val="20"/>
              </w:rPr>
              <w:t>20</w:t>
            </w:r>
          </w:p>
        </w:tc>
        <w:tc>
          <w:tcPr>
            <w:tcW w:w="606" w:type="dxa"/>
            <w:shd w:val="clear" w:color="auto" w:fill="auto"/>
            <w:noWrap/>
            <w:vAlign w:val="center"/>
          </w:tcPr>
          <w:p w14:paraId="3C49E62C" w14:textId="77777777" w:rsidR="006D148B" w:rsidRPr="00FF77CB" w:rsidRDefault="006D148B" w:rsidP="009E3B2F">
            <w:pPr>
              <w:spacing w:after="120" w:line="240" w:lineRule="auto"/>
              <w:jc w:val="center"/>
              <w:rPr>
                <w:rFonts w:ascii="Futura Std Condensed Light" w:eastAsia="Calibri" w:hAnsi="Futura Std Condensed Light" w:cs="Calibri"/>
                <w:sz w:val="20"/>
                <w:szCs w:val="20"/>
              </w:rPr>
            </w:pPr>
            <w:r w:rsidRPr="00FF77CB">
              <w:rPr>
                <w:rFonts w:ascii="Futura Std Condensed Light" w:eastAsia="Calibri" w:hAnsi="Futura Std Condensed Light" w:cs="Calibri"/>
                <w:sz w:val="20"/>
                <w:szCs w:val="20"/>
              </w:rPr>
              <w:t>0</w:t>
            </w:r>
          </w:p>
        </w:tc>
        <w:tc>
          <w:tcPr>
            <w:tcW w:w="425" w:type="dxa"/>
            <w:shd w:val="clear" w:color="auto" w:fill="auto"/>
            <w:noWrap/>
            <w:vAlign w:val="center"/>
          </w:tcPr>
          <w:p w14:paraId="7A0FEF43" w14:textId="77777777" w:rsidR="006D148B" w:rsidRPr="00FF77CB" w:rsidRDefault="006D148B" w:rsidP="009E3B2F">
            <w:pPr>
              <w:spacing w:after="120" w:line="240" w:lineRule="auto"/>
              <w:jc w:val="center"/>
              <w:rPr>
                <w:rFonts w:ascii="Futura Std Condensed Light" w:eastAsia="Calibri" w:hAnsi="Futura Std Condensed Light" w:cs="Calibri"/>
                <w:sz w:val="20"/>
                <w:szCs w:val="20"/>
              </w:rPr>
            </w:pPr>
            <w:r w:rsidRPr="00FF77CB">
              <w:rPr>
                <w:rFonts w:ascii="Futura Std Condensed Light" w:eastAsia="Calibri" w:hAnsi="Futura Std Condensed Light" w:cs="Calibri"/>
                <w:sz w:val="20"/>
                <w:szCs w:val="20"/>
              </w:rPr>
              <w:t>0</w:t>
            </w:r>
          </w:p>
        </w:tc>
        <w:tc>
          <w:tcPr>
            <w:tcW w:w="426" w:type="dxa"/>
            <w:shd w:val="clear" w:color="auto" w:fill="auto"/>
            <w:noWrap/>
            <w:vAlign w:val="center"/>
          </w:tcPr>
          <w:p w14:paraId="505ACFE8" w14:textId="77777777" w:rsidR="006D148B" w:rsidRPr="00FF77CB" w:rsidRDefault="006D148B" w:rsidP="009E3B2F">
            <w:pPr>
              <w:spacing w:after="120" w:line="240" w:lineRule="auto"/>
              <w:jc w:val="center"/>
              <w:rPr>
                <w:rFonts w:ascii="Futura Std Condensed Light" w:eastAsia="Calibri" w:hAnsi="Futura Std Condensed Light" w:cs="Calibri"/>
                <w:sz w:val="20"/>
                <w:szCs w:val="20"/>
              </w:rPr>
            </w:pPr>
            <w:r w:rsidRPr="00FF77CB">
              <w:rPr>
                <w:rFonts w:ascii="Futura Std Condensed Light" w:eastAsia="Calibri" w:hAnsi="Futura Std Condensed Light" w:cs="Calibri"/>
                <w:sz w:val="20"/>
                <w:szCs w:val="20"/>
              </w:rPr>
              <w:t>0</w:t>
            </w:r>
          </w:p>
        </w:tc>
        <w:tc>
          <w:tcPr>
            <w:tcW w:w="606" w:type="dxa"/>
            <w:shd w:val="clear" w:color="auto" w:fill="auto"/>
            <w:noWrap/>
            <w:vAlign w:val="center"/>
          </w:tcPr>
          <w:p w14:paraId="46E6C6C8" w14:textId="77777777" w:rsidR="006D148B" w:rsidRPr="00FF77CB" w:rsidRDefault="006D148B" w:rsidP="009E3B2F">
            <w:pPr>
              <w:spacing w:after="120" w:line="240" w:lineRule="auto"/>
              <w:jc w:val="center"/>
              <w:rPr>
                <w:rFonts w:ascii="Futura Std Condensed Light" w:eastAsia="Calibri" w:hAnsi="Futura Std Condensed Light" w:cs="Calibri"/>
                <w:sz w:val="20"/>
                <w:szCs w:val="20"/>
              </w:rPr>
            </w:pPr>
            <w:r w:rsidRPr="00FF77CB">
              <w:rPr>
                <w:rFonts w:ascii="Futura Std Condensed Light" w:eastAsia="Calibri" w:hAnsi="Futura Std Condensed Light" w:cs="Calibri"/>
                <w:sz w:val="20"/>
                <w:szCs w:val="20"/>
              </w:rPr>
              <w:t>5</w:t>
            </w:r>
          </w:p>
        </w:tc>
        <w:tc>
          <w:tcPr>
            <w:tcW w:w="1718" w:type="dxa"/>
            <w:shd w:val="clear" w:color="auto" w:fill="auto"/>
            <w:noWrap/>
            <w:vAlign w:val="center"/>
          </w:tcPr>
          <w:p w14:paraId="1E64B5C8" w14:textId="77777777" w:rsidR="006D148B" w:rsidRPr="00FF77CB" w:rsidRDefault="006D148B" w:rsidP="009E3B2F">
            <w:pPr>
              <w:spacing w:after="120" w:line="240" w:lineRule="auto"/>
              <w:jc w:val="center"/>
              <w:rPr>
                <w:rFonts w:ascii="Futura Std Condensed Light" w:eastAsia="Calibri" w:hAnsi="Futura Std Condensed Light" w:cs="Calibri"/>
                <w:sz w:val="20"/>
                <w:szCs w:val="20"/>
              </w:rPr>
            </w:pPr>
            <w:r w:rsidRPr="00FF77CB">
              <w:rPr>
                <w:rFonts w:ascii="Futura Std Condensed Light" w:eastAsia="Calibri" w:hAnsi="Futura Std Condensed Light" w:cs="Calibri"/>
                <w:sz w:val="20"/>
                <w:szCs w:val="20"/>
              </w:rPr>
              <w:t>$90,942,504.07</w:t>
            </w:r>
          </w:p>
        </w:tc>
        <w:tc>
          <w:tcPr>
            <w:tcW w:w="1317" w:type="dxa"/>
            <w:shd w:val="clear" w:color="auto" w:fill="auto"/>
            <w:vAlign w:val="center"/>
            <w:hideMark/>
          </w:tcPr>
          <w:p w14:paraId="189E8C4E" w14:textId="77777777" w:rsidR="006D148B" w:rsidRPr="00FF77CB" w:rsidRDefault="006D148B" w:rsidP="009E3B2F">
            <w:pPr>
              <w:spacing w:after="120" w:line="240" w:lineRule="auto"/>
              <w:jc w:val="center"/>
              <w:rPr>
                <w:rFonts w:ascii="Futura Std Condensed Light" w:eastAsia="Calibri" w:hAnsi="Futura Std Condensed Light" w:cs="Calibri"/>
                <w:sz w:val="20"/>
                <w:szCs w:val="20"/>
              </w:rPr>
            </w:pPr>
            <w:r w:rsidRPr="00FF77CB">
              <w:rPr>
                <w:rFonts w:ascii="Futura Std Condensed Light" w:eastAsia="Calibri" w:hAnsi="Futura Std Condensed Light" w:cs="Calibri"/>
                <w:sz w:val="20"/>
                <w:szCs w:val="20"/>
              </w:rPr>
              <w:t>SUPERIOR</w:t>
            </w:r>
          </w:p>
        </w:tc>
      </w:tr>
      <w:tr w:rsidR="006D148B" w:rsidRPr="00B141B9" w14:paraId="73D4D9A5" w14:textId="77777777" w:rsidTr="009E3B2F">
        <w:trPr>
          <w:trHeight w:val="541"/>
          <w:jc w:val="center"/>
        </w:trPr>
        <w:tc>
          <w:tcPr>
            <w:tcW w:w="3335" w:type="dxa"/>
            <w:shd w:val="clear" w:color="auto" w:fill="auto"/>
            <w:vAlign w:val="center"/>
          </w:tcPr>
          <w:p w14:paraId="69946915" w14:textId="166B6C8F" w:rsidR="006D148B" w:rsidRPr="00244A3A" w:rsidRDefault="00244A3A" w:rsidP="00244A3A">
            <w:pPr>
              <w:spacing w:after="120" w:line="240" w:lineRule="auto"/>
              <w:jc w:val="left"/>
              <w:rPr>
                <w:rFonts w:ascii="Futura Std Condensed Light" w:eastAsia="Calibri" w:hAnsi="Futura Std Condensed Light" w:cs="Calibri"/>
                <w:sz w:val="20"/>
                <w:szCs w:val="18"/>
              </w:rPr>
            </w:pPr>
            <w:r w:rsidRPr="00244A3A">
              <w:rPr>
                <w:rFonts w:ascii="Futura Std Condensed Light" w:eastAsia="Calibri" w:hAnsi="Futura Std Condensed Light" w:cs="Calibri"/>
                <w:sz w:val="20"/>
                <w:szCs w:val="18"/>
              </w:rPr>
              <w:t>Fondo para el Fortalecimiento de las Entidades Federativas</w:t>
            </w:r>
            <w:r w:rsidR="006D148B" w:rsidRPr="00244A3A">
              <w:rPr>
                <w:rFonts w:ascii="Futura Std Condensed Light" w:eastAsia="Calibri" w:hAnsi="Futura Std Condensed Light" w:cs="Calibri"/>
                <w:sz w:val="20"/>
                <w:szCs w:val="18"/>
              </w:rPr>
              <w:t xml:space="preserve"> FAFEF</w:t>
            </w:r>
          </w:p>
        </w:tc>
        <w:tc>
          <w:tcPr>
            <w:tcW w:w="606" w:type="dxa"/>
            <w:shd w:val="clear" w:color="auto" w:fill="auto"/>
            <w:noWrap/>
            <w:vAlign w:val="center"/>
          </w:tcPr>
          <w:p w14:paraId="7D90419D" w14:textId="77777777" w:rsidR="006D148B" w:rsidRPr="00E1715F" w:rsidRDefault="006D148B" w:rsidP="009E3B2F">
            <w:pPr>
              <w:spacing w:after="120" w:line="240" w:lineRule="auto"/>
              <w:jc w:val="center"/>
              <w:rPr>
                <w:rFonts w:ascii="Futura Std Condensed Light" w:eastAsia="Calibri" w:hAnsi="Futura Std Condensed Light" w:cs="Calibri"/>
                <w:sz w:val="18"/>
                <w:szCs w:val="18"/>
              </w:rPr>
            </w:pPr>
            <w:r w:rsidRPr="00E1715F">
              <w:rPr>
                <w:rFonts w:ascii="Futura Std Condensed Light" w:eastAsia="Calibri" w:hAnsi="Futura Std Condensed Light" w:cs="Calibri"/>
                <w:sz w:val="18"/>
                <w:szCs w:val="18"/>
              </w:rPr>
              <w:t>3</w:t>
            </w:r>
          </w:p>
        </w:tc>
        <w:tc>
          <w:tcPr>
            <w:tcW w:w="606" w:type="dxa"/>
            <w:shd w:val="clear" w:color="auto" w:fill="auto"/>
            <w:noWrap/>
            <w:vAlign w:val="center"/>
          </w:tcPr>
          <w:p w14:paraId="22320EF6" w14:textId="77777777" w:rsidR="006D148B" w:rsidRPr="00E1715F" w:rsidRDefault="006D148B" w:rsidP="009E3B2F">
            <w:pPr>
              <w:spacing w:after="120" w:line="240" w:lineRule="auto"/>
              <w:jc w:val="center"/>
              <w:rPr>
                <w:rFonts w:ascii="Futura Std Condensed Light" w:eastAsia="Calibri" w:hAnsi="Futura Std Condensed Light" w:cs="Calibri"/>
                <w:sz w:val="18"/>
                <w:szCs w:val="18"/>
              </w:rPr>
            </w:pPr>
            <w:r w:rsidRPr="00E1715F">
              <w:rPr>
                <w:rFonts w:ascii="Futura Std Condensed Light" w:eastAsia="Calibri" w:hAnsi="Futura Std Condensed Light" w:cs="Calibri"/>
                <w:sz w:val="18"/>
                <w:szCs w:val="18"/>
              </w:rPr>
              <w:t>0</w:t>
            </w:r>
          </w:p>
        </w:tc>
        <w:tc>
          <w:tcPr>
            <w:tcW w:w="425" w:type="dxa"/>
            <w:shd w:val="clear" w:color="auto" w:fill="auto"/>
            <w:noWrap/>
            <w:vAlign w:val="center"/>
          </w:tcPr>
          <w:p w14:paraId="7574AEA2" w14:textId="77777777" w:rsidR="006D148B" w:rsidRPr="00E1715F" w:rsidRDefault="006D148B" w:rsidP="009E3B2F">
            <w:pPr>
              <w:spacing w:after="120" w:line="240" w:lineRule="auto"/>
              <w:jc w:val="center"/>
              <w:rPr>
                <w:rFonts w:ascii="Futura Std Condensed Light" w:eastAsia="Calibri" w:hAnsi="Futura Std Condensed Light" w:cs="Calibri"/>
                <w:sz w:val="18"/>
                <w:szCs w:val="18"/>
              </w:rPr>
            </w:pPr>
            <w:r w:rsidRPr="00E1715F">
              <w:rPr>
                <w:rFonts w:ascii="Futura Std Condensed Light" w:eastAsia="Calibri" w:hAnsi="Futura Std Condensed Light" w:cs="Calibri"/>
                <w:sz w:val="18"/>
                <w:szCs w:val="18"/>
              </w:rPr>
              <w:t>0</w:t>
            </w:r>
          </w:p>
        </w:tc>
        <w:tc>
          <w:tcPr>
            <w:tcW w:w="426" w:type="dxa"/>
            <w:shd w:val="clear" w:color="auto" w:fill="auto"/>
            <w:noWrap/>
            <w:vAlign w:val="center"/>
          </w:tcPr>
          <w:p w14:paraId="185C70B2" w14:textId="77777777" w:rsidR="006D148B" w:rsidRPr="00E1715F" w:rsidRDefault="006D148B" w:rsidP="009E3B2F">
            <w:pPr>
              <w:spacing w:after="120" w:line="240" w:lineRule="auto"/>
              <w:jc w:val="center"/>
              <w:rPr>
                <w:rFonts w:ascii="Futura Std Condensed Light" w:eastAsia="Calibri" w:hAnsi="Futura Std Condensed Light" w:cs="Calibri"/>
                <w:sz w:val="18"/>
                <w:szCs w:val="18"/>
              </w:rPr>
            </w:pPr>
            <w:r w:rsidRPr="00E1715F">
              <w:rPr>
                <w:rFonts w:ascii="Futura Std Condensed Light" w:eastAsia="Calibri" w:hAnsi="Futura Std Condensed Light" w:cs="Calibri"/>
                <w:sz w:val="18"/>
                <w:szCs w:val="18"/>
              </w:rPr>
              <w:t>0</w:t>
            </w:r>
          </w:p>
        </w:tc>
        <w:tc>
          <w:tcPr>
            <w:tcW w:w="606" w:type="dxa"/>
            <w:shd w:val="clear" w:color="auto" w:fill="auto"/>
            <w:noWrap/>
            <w:vAlign w:val="center"/>
          </w:tcPr>
          <w:p w14:paraId="2D5C093F" w14:textId="77777777" w:rsidR="006D148B" w:rsidRPr="00E1715F" w:rsidRDefault="006D148B" w:rsidP="009E3B2F">
            <w:pPr>
              <w:spacing w:after="120" w:line="240" w:lineRule="auto"/>
              <w:jc w:val="center"/>
              <w:rPr>
                <w:rFonts w:ascii="Futura Std Condensed Light" w:eastAsia="Calibri" w:hAnsi="Futura Std Condensed Light" w:cs="Calibri"/>
                <w:sz w:val="18"/>
                <w:szCs w:val="18"/>
              </w:rPr>
            </w:pPr>
            <w:r w:rsidRPr="00E1715F">
              <w:rPr>
                <w:rFonts w:ascii="Futura Std Condensed Light" w:eastAsia="Calibri" w:hAnsi="Futura Std Condensed Light" w:cs="Calibri"/>
                <w:sz w:val="18"/>
                <w:szCs w:val="18"/>
              </w:rPr>
              <w:t>0</w:t>
            </w:r>
          </w:p>
        </w:tc>
        <w:tc>
          <w:tcPr>
            <w:tcW w:w="1718" w:type="dxa"/>
            <w:shd w:val="clear" w:color="auto" w:fill="auto"/>
            <w:noWrap/>
            <w:vAlign w:val="center"/>
          </w:tcPr>
          <w:p w14:paraId="3EDB92A6" w14:textId="77777777" w:rsidR="006D148B" w:rsidRPr="00E1715F" w:rsidRDefault="006D148B" w:rsidP="009E3B2F">
            <w:pPr>
              <w:spacing w:after="120" w:line="240" w:lineRule="auto"/>
              <w:jc w:val="center"/>
              <w:rPr>
                <w:rFonts w:ascii="Futura Std Condensed Light" w:eastAsia="Calibri" w:hAnsi="Futura Std Condensed Light" w:cs="Calibri"/>
                <w:sz w:val="18"/>
                <w:szCs w:val="18"/>
              </w:rPr>
            </w:pPr>
            <w:r w:rsidRPr="00E1715F">
              <w:rPr>
                <w:rFonts w:ascii="Futura Std Condensed Light" w:eastAsia="Calibri" w:hAnsi="Futura Std Condensed Light" w:cs="Calibri"/>
                <w:sz w:val="18"/>
                <w:szCs w:val="18"/>
              </w:rPr>
              <w:t>$4,757,613.11</w:t>
            </w:r>
          </w:p>
        </w:tc>
        <w:tc>
          <w:tcPr>
            <w:tcW w:w="1317" w:type="dxa"/>
            <w:shd w:val="clear" w:color="auto" w:fill="auto"/>
            <w:vAlign w:val="center"/>
            <w:hideMark/>
          </w:tcPr>
          <w:p w14:paraId="0895BF34" w14:textId="77777777" w:rsidR="006D148B" w:rsidRPr="00E1715F" w:rsidRDefault="006D148B" w:rsidP="009E3B2F">
            <w:pPr>
              <w:spacing w:after="120" w:line="240" w:lineRule="auto"/>
              <w:jc w:val="center"/>
              <w:rPr>
                <w:rFonts w:ascii="Futura Std Condensed Light" w:eastAsia="Calibri" w:hAnsi="Futura Std Condensed Light" w:cs="Calibri"/>
                <w:sz w:val="18"/>
                <w:szCs w:val="18"/>
              </w:rPr>
            </w:pPr>
            <w:r w:rsidRPr="00E1715F">
              <w:rPr>
                <w:rFonts w:ascii="Futura Std Condensed Light" w:eastAsia="Calibri" w:hAnsi="Futura Std Condensed Light" w:cs="Calibri"/>
                <w:sz w:val="18"/>
                <w:szCs w:val="18"/>
              </w:rPr>
              <w:t>SUPERIOR</w:t>
            </w:r>
          </w:p>
        </w:tc>
      </w:tr>
      <w:tr w:rsidR="006D148B" w:rsidRPr="00B141B9" w14:paraId="24105746" w14:textId="77777777" w:rsidTr="00244A3A">
        <w:trPr>
          <w:trHeight w:val="324"/>
          <w:jc w:val="center"/>
        </w:trPr>
        <w:tc>
          <w:tcPr>
            <w:tcW w:w="3335" w:type="dxa"/>
            <w:shd w:val="clear" w:color="auto" w:fill="A6A6A6"/>
            <w:noWrap/>
            <w:vAlign w:val="center"/>
            <w:hideMark/>
          </w:tcPr>
          <w:p w14:paraId="47AE9224" w14:textId="6C68B576" w:rsidR="006D148B" w:rsidRPr="00244A3A" w:rsidRDefault="00244A3A" w:rsidP="009E3B2F">
            <w:pPr>
              <w:spacing w:after="120" w:line="240" w:lineRule="auto"/>
              <w:jc w:val="center"/>
              <w:rPr>
                <w:rFonts w:ascii="Futura Std Condensed Light" w:eastAsia="Calibri" w:hAnsi="Futura Std Condensed Light" w:cs="Calibri"/>
                <w:sz w:val="20"/>
                <w:szCs w:val="18"/>
              </w:rPr>
            </w:pPr>
            <w:r w:rsidRPr="00244A3A">
              <w:rPr>
                <w:rFonts w:ascii="Futura Std Condensed Light" w:eastAsia="Calibri" w:hAnsi="Futura Std Condensed Light" w:cs="Calibri"/>
                <w:sz w:val="20"/>
                <w:szCs w:val="18"/>
              </w:rPr>
              <w:t> Total Superior</w:t>
            </w:r>
          </w:p>
        </w:tc>
        <w:tc>
          <w:tcPr>
            <w:tcW w:w="606" w:type="dxa"/>
            <w:shd w:val="clear" w:color="auto" w:fill="A6A6A6"/>
            <w:noWrap/>
            <w:vAlign w:val="center"/>
          </w:tcPr>
          <w:p w14:paraId="0F294B05" w14:textId="77777777" w:rsidR="006D148B" w:rsidRPr="00244A3A" w:rsidRDefault="006D148B" w:rsidP="009E3B2F">
            <w:pPr>
              <w:spacing w:after="120" w:line="240" w:lineRule="auto"/>
              <w:jc w:val="center"/>
              <w:rPr>
                <w:rFonts w:ascii="Futura Std Condensed Light" w:eastAsia="Calibri" w:hAnsi="Futura Std Condensed Light" w:cs="Calibri"/>
                <w:sz w:val="20"/>
                <w:szCs w:val="18"/>
              </w:rPr>
            </w:pPr>
            <w:r w:rsidRPr="00244A3A">
              <w:rPr>
                <w:rFonts w:ascii="Futura Std Condensed Light" w:eastAsia="Calibri" w:hAnsi="Futura Std Condensed Light" w:cs="Calibri"/>
                <w:sz w:val="20"/>
                <w:szCs w:val="18"/>
              </w:rPr>
              <w:t>23</w:t>
            </w:r>
          </w:p>
        </w:tc>
        <w:tc>
          <w:tcPr>
            <w:tcW w:w="606" w:type="dxa"/>
            <w:shd w:val="clear" w:color="auto" w:fill="A6A6A6"/>
            <w:noWrap/>
            <w:vAlign w:val="center"/>
          </w:tcPr>
          <w:p w14:paraId="3E2FAD6C" w14:textId="77777777" w:rsidR="006D148B" w:rsidRPr="00244A3A" w:rsidRDefault="006D148B" w:rsidP="009E3B2F">
            <w:pPr>
              <w:spacing w:after="120" w:line="240" w:lineRule="auto"/>
              <w:jc w:val="center"/>
              <w:rPr>
                <w:rFonts w:ascii="Futura Std Condensed Light" w:eastAsia="Calibri" w:hAnsi="Futura Std Condensed Light" w:cs="Calibri"/>
                <w:sz w:val="20"/>
                <w:szCs w:val="18"/>
              </w:rPr>
            </w:pPr>
            <w:r w:rsidRPr="00244A3A">
              <w:rPr>
                <w:rFonts w:ascii="Futura Std Condensed Light" w:eastAsia="Calibri" w:hAnsi="Futura Std Condensed Light" w:cs="Calibri"/>
                <w:sz w:val="20"/>
                <w:szCs w:val="18"/>
              </w:rPr>
              <w:t>0</w:t>
            </w:r>
          </w:p>
        </w:tc>
        <w:tc>
          <w:tcPr>
            <w:tcW w:w="425" w:type="dxa"/>
            <w:shd w:val="clear" w:color="auto" w:fill="A6A6A6"/>
            <w:noWrap/>
            <w:vAlign w:val="center"/>
          </w:tcPr>
          <w:p w14:paraId="461CE153" w14:textId="77777777" w:rsidR="006D148B" w:rsidRPr="00244A3A" w:rsidRDefault="006D148B" w:rsidP="009E3B2F">
            <w:pPr>
              <w:spacing w:after="120" w:line="240" w:lineRule="auto"/>
              <w:jc w:val="center"/>
              <w:rPr>
                <w:rFonts w:ascii="Futura Std Condensed Light" w:eastAsia="Calibri" w:hAnsi="Futura Std Condensed Light" w:cs="Calibri"/>
                <w:sz w:val="20"/>
                <w:szCs w:val="18"/>
              </w:rPr>
            </w:pPr>
            <w:r w:rsidRPr="00244A3A">
              <w:rPr>
                <w:rFonts w:ascii="Futura Std Condensed Light" w:eastAsia="Calibri" w:hAnsi="Futura Std Condensed Light" w:cs="Calibri"/>
                <w:sz w:val="20"/>
                <w:szCs w:val="18"/>
              </w:rPr>
              <w:t>0</w:t>
            </w:r>
          </w:p>
        </w:tc>
        <w:tc>
          <w:tcPr>
            <w:tcW w:w="426" w:type="dxa"/>
            <w:shd w:val="clear" w:color="auto" w:fill="A6A6A6"/>
            <w:noWrap/>
            <w:vAlign w:val="center"/>
          </w:tcPr>
          <w:p w14:paraId="5CFD05DE" w14:textId="77777777" w:rsidR="006D148B" w:rsidRPr="00244A3A" w:rsidRDefault="006D148B" w:rsidP="009E3B2F">
            <w:pPr>
              <w:spacing w:after="120" w:line="240" w:lineRule="auto"/>
              <w:jc w:val="center"/>
              <w:rPr>
                <w:rFonts w:ascii="Futura Std Condensed Light" w:eastAsia="Calibri" w:hAnsi="Futura Std Condensed Light" w:cs="Calibri"/>
                <w:sz w:val="20"/>
                <w:szCs w:val="18"/>
              </w:rPr>
            </w:pPr>
            <w:r w:rsidRPr="00244A3A">
              <w:rPr>
                <w:rFonts w:ascii="Futura Std Condensed Light" w:eastAsia="Calibri" w:hAnsi="Futura Std Condensed Light" w:cs="Calibri"/>
                <w:sz w:val="20"/>
                <w:szCs w:val="18"/>
              </w:rPr>
              <w:t>0</w:t>
            </w:r>
          </w:p>
        </w:tc>
        <w:tc>
          <w:tcPr>
            <w:tcW w:w="606" w:type="dxa"/>
            <w:shd w:val="clear" w:color="auto" w:fill="A6A6A6"/>
            <w:noWrap/>
            <w:vAlign w:val="center"/>
          </w:tcPr>
          <w:p w14:paraId="71D6F1E2" w14:textId="77777777" w:rsidR="006D148B" w:rsidRPr="00244A3A" w:rsidRDefault="006D148B" w:rsidP="009E3B2F">
            <w:pPr>
              <w:spacing w:after="120" w:line="240" w:lineRule="auto"/>
              <w:jc w:val="center"/>
              <w:rPr>
                <w:rFonts w:ascii="Futura Std Condensed Light" w:eastAsia="Calibri" w:hAnsi="Futura Std Condensed Light" w:cs="Calibri"/>
                <w:sz w:val="20"/>
                <w:szCs w:val="18"/>
              </w:rPr>
            </w:pPr>
            <w:r w:rsidRPr="00244A3A">
              <w:rPr>
                <w:rFonts w:ascii="Futura Std Condensed Light" w:eastAsia="Calibri" w:hAnsi="Futura Std Condensed Light" w:cs="Calibri"/>
                <w:sz w:val="20"/>
                <w:szCs w:val="18"/>
              </w:rPr>
              <w:t>5</w:t>
            </w:r>
          </w:p>
        </w:tc>
        <w:tc>
          <w:tcPr>
            <w:tcW w:w="1718" w:type="dxa"/>
            <w:shd w:val="clear" w:color="auto" w:fill="A6A6A6"/>
            <w:noWrap/>
            <w:vAlign w:val="center"/>
          </w:tcPr>
          <w:p w14:paraId="5E0A5BF1" w14:textId="77777777" w:rsidR="006D148B" w:rsidRPr="00244A3A" w:rsidRDefault="006D148B" w:rsidP="009E3B2F">
            <w:pPr>
              <w:spacing w:after="120" w:line="240" w:lineRule="auto"/>
              <w:jc w:val="right"/>
              <w:rPr>
                <w:rFonts w:ascii="Futura Std Condensed Light" w:eastAsia="Calibri" w:hAnsi="Futura Std Condensed Light" w:cs="Calibri"/>
                <w:sz w:val="20"/>
                <w:szCs w:val="18"/>
              </w:rPr>
            </w:pPr>
            <w:r w:rsidRPr="00244A3A">
              <w:rPr>
                <w:rFonts w:ascii="Futura Std Condensed Light" w:eastAsia="Calibri" w:hAnsi="Futura Std Condensed Light" w:cs="Calibri"/>
                <w:sz w:val="20"/>
                <w:szCs w:val="18"/>
              </w:rPr>
              <w:t>$95,700,117.18</w:t>
            </w:r>
          </w:p>
        </w:tc>
        <w:tc>
          <w:tcPr>
            <w:tcW w:w="1317" w:type="dxa"/>
            <w:shd w:val="clear" w:color="auto" w:fill="A6A6A6"/>
            <w:vAlign w:val="center"/>
          </w:tcPr>
          <w:p w14:paraId="4E761BAB" w14:textId="77777777" w:rsidR="006D148B" w:rsidRPr="00244A3A" w:rsidRDefault="006D148B" w:rsidP="009E3B2F">
            <w:pPr>
              <w:spacing w:after="120" w:line="240" w:lineRule="auto"/>
              <w:jc w:val="center"/>
              <w:rPr>
                <w:rFonts w:ascii="Futura Std Condensed Light" w:eastAsia="Calibri" w:hAnsi="Futura Std Condensed Light" w:cs="Calibri"/>
                <w:sz w:val="20"/>
                <w:szCs w:val="18"/>
              </w:rPr>
            </w:pPr>
            <w:r w:rsidRPr="00244A3A">
              <w:rPr>
                <w:rFonts w:ascii="Futura Std Condensed Light" w:eastAsia="Calibri" w:hAnsi="Futura Std Condensed Light" w:cs="Calibri"/>
                <w:sz w:val="20"/>
                <w:szCs w:val="18"/>
              </w:rPr>
              <w:t>SUPER</w:t>
            </w:r>
          </w:p>
        </w:tc>
      </w:tr>
    </w:tbl>
    <w:p w14:paraId="21F0DE57" w14:textId="77777777" w:rsidR="006D148B" w:rsidRDefault="006D148B" w:rsidP="006D148B">
      <w:pPr>
        <w:spacing w:after="0"/>
        <w:jc w:val="center"/>
        <w:rPr>
          <w:sz w:val="16"/>
          <w:szCs w:val="16"/>
        </w:rPr>
      </w:pPr>
      <w:r w:rsidRPr="00E1715F">
        <w:rPr>
          <w:sz w:val="16"/>
          <w:szCs w:val="16"/>
        </w:rPr>
        <w:t xml:space="preserve">Fuente: Instituto de Infraestructura Física Educativa de Quintana Roo. </w:t>
      </w:r>
    </w:p>
    <w:p w14:paraId="308E7524" w14:textId="77777777" w:rsidR="006D148B" w:rsidRPr="00E1715F" w:rsidRDefault="006D148B" w:rsidP="006D148B">
      <w:pPr>
        <w:spacing w:after="0"/>
        <w:jc w:val="center"/>
        <w:rPr>
          <w:sz w:val="16"/>
          <w:szCs w:val="16"/>
        </w:rPr>
      </w:pPr>
      <w:r>
        <w:rPr>
          <w:sz w:val="16"/>
          <w:szCs w:val="16"/>
        </w:rPr>
        <w:t>E: Escuelas, A: Aula, L: Laboratorio, T: Taller, A: Anexo</w:t>
      </w:r>
    </w:p>
    <w:p w14:paraId="33872111" w14:textId="77777777" w:rsidR="00447FBB" w:rsidRDefault="00447FBB" w:rsidP="00886807">
      <w:pPr>
        <w:rPr>
          <w:rFonts w:eastAsia="Times New Roman" w:cs="Futura"/>
        </w:rPr>
      </w:pPr>
    </w:p>
    <w:p w14:paraId="478413E0" w14:textId="3384014E" w:rsidR="006D148B" w:rsidRPr="00886807" w:rsidRDefault="006D148B" w:rsidP="00886807">
      <w:pPr>
        <w:rPr>
          <w:rFonts w:eastAsia="Times New Roman" w:cs="Futura"/>
        </w:rPr>
      </w:pPr>
      <w:r w:rsidRPr="00886807">
        <w:rPr>
          <w:rFonts w:eastAsia="Times New Roman" w:cs="Futura"/>
        </w:rPr>
        <w:t xml:space="preserve">Parte de las atribuciones del Instituto de Infraestructura Física Educativa y en cumplimiento de la función social educativa por parte del Estado; es una responsabilidad que implica procurar instalaciones educativas con estándares de calidad en su infraestructura y equipamiento, a efecto de lograr los principios y criterios de la Educación Pública contenidas en el artículo 3º. Constitucional, la Ley General de Educación, la Ley Estatal de Educación y el Programa Nacional de Certificación, por lo tanto se implementa el Programa Estatal de Certificación, con este programa se detecta, las carencias de cada plantel  y si éste cumple con los principios básicos de la infraestructura física educativa, tales como </w:t>
      </w:r>
      <w:r w:rsidRPr="00886807">
        <w:rPr>
          <w:rFonts w:eastAsia="Times New Roman" w:cs="Futura"/>
        </w:rPr>
        <w:lastRenderedPageBreak/>
        <w:t xml:space="preserve">seguridad, salubridad, suficiencia espacial, aprovechamiento sustentable, independencia, accesibilidad, utilización de las tecnologías de la información, protección al ambiente e innovación, principios que también deben de cumplir las escuelas privadas. </w:t>
      </w:r>
    </w:p>
    <w:p w14:paraId="30FB65C6" w14:textId="77777777" w:rsidR="006D148B" w:rsidRPr="00886807" w:rsidRDefault="006D148B" w:rsidP="00886807">
      <w:pPr>
        <w:rPr>
          <w:rFonts w:eastAsia="Times New Roman" w:cs="Futura"/>
        </w:rPr>
      </w:pPr>
      <w:r w:rsidRPr="00886807">
        <w:rPr>
          <w:rFonts w:eastAsia="Times New Roman" w:cs="Futura"/>
        </w:rPr>
        <w:t xml:space="preserve">Con la implementación del Programa de Certificación en el Estado, se tiene una estrategia coordinada entre todos involucrados en el proceso de construcción, equipamiento, mantenimiento, rehabilitación, refuerzo, reconstrucción, reconversión y habilitación de inmuebles e instalaciones educativas y así atender las necesidades de la infraestructura física educativa el estado. Al efectuarse dicho programa se cuenta con profesionales en materia de infraestructura física educativa, de acuerdo a los criterios de certificación que se requieran para alinearlos al cumplimiento de estándares de calidad. </w:t>
      </w:r>
    </w:p>
    <w:p w14:paraId="377C17E6" w14:textId="77777777" w:rsidR="006D148B" w:rsidRPr="00886807" w:rsidRDefault="006D148B" w:rsidP="00886807">
      <w:pPr>
        <w:rPr>
          <w:rFonts w:eastAsia="Times New Roman" w:cs="Futura"/>
        </w:rPr>
      </w:pPr>
      <w:r w:rsidRPr="00886807">
        <w:rPr>
          <w:rFonts w:eastAsia="Times New Roman" w:cs="Futura"/>
        </w:rPr>
        <w:t xml:space="preserve">La certificación de la calidad de la Infraestructura Física Educativa es procedimiento regulado, coordinado, para asegurar que los muebles e inmuebles y servicios necesarios para su operación destinados a la impartición de la educación en el Estado, cumplan con las disposiciones normativas. </w:t>
      </w:r>
    </w:p>
    <w:p w14:paraId="520DC596" w14:textId="4723AB40" w:rsidR="00244A3A" w:rsidRPr="00886807" w:rsidRDefault="006D148B" w:rsidP="00886807">
      <w:pPr>
        <w:rPr>
          <w:rFonts w:eastAsia="Times New Roman" w:cs="Futura"/>
        </w:rPr>
      </w:pPr>
      <w:r w:rsidRPr="00886807">
        <w:rPr>
          <w:rFonts w:eastAsia="Times New Roman" w:cs="Futura"/>
        </w:rPr>
        <w:t>Como parte de las acciones implementadas en el año 2019, el IFEQROO llevó a cabo 1 mil 242 inspecciones directas en los planteles de educación básica que operan en el Estado. Lo anterior, con el ánimo de detectar las necesidades que prevalecen en los planteles educativos, y con ello permitir una planeación un tanto más efectiva de la asignación de recursos asignados al estado para la atención de las demandas en infraestructura física educativa, de lo cual se obtuvo los siguientes datos:</w:t>
      </w:r>
    </w:p>
    <w:p w14:paraId="57739398" w14:textId="7C80E1F0" w:rsidR="006D148B" w:rsidRPr="007B1CB1" w:rsidRDefault="00447FBB" w:rsidP="006D148B">
      <w:pPr>
        <w:spacing w:after="120"/>
        <w:jc w:val="center"/>
        <w:rPr>
          <w:b/>
          <w:color w:val="4BACC6" w:themeColor="accent5"/>
        </w:rPr>
      </w:pPr>
      <w:r>
        <w:rPr>
          <w:b/>
          <w:color w:val="4BACC6" w:themeColor="accent5"/>
        </w:rPr>
        <w:t>Cuadro 18.</w:t>
      </w:r>
      <w:r w:rsidR="006D148B">
        <w:rPr>
          <w:b/>
          <w:color w:val="4BACC6" w:themeColor="accent5"/>
        </w:rPr>
        <w:t>Estado que guardan las instalaciones que integran la Infraestructura Educativa de nivel básico del Estado de Quintana Roo</w:t>
      </w:r>
    </w:p>
    <w:tbl>
      <w:tblPr>
        <w:tblStyle w:val="Tablaconcuadrcula"/>
        <w:tblW w:w="5000" w:type="pct"/>
        <w:jc w:val="center"/>
        <w:tblLook w:val="04A0" w:firstRow="1" w:lastRow="0" w:firstColumn="1" w:lastColumn="0" w:noHBand="0" w:noVBand="1"/>
      </w:tblPr>
      <w:tblGrid>
        <w:gridCol w:w="4080"/>
        <w:gridCol w:w="3412"/>
        <w:gridCol w:w="2045"/>
      </w:tblGrid>
      <w:tr w:rsidR="006D148B" w:rsidRPr="007B1CB1" w14:paraId="5E6831FF" w14:textId="77777777" w:rsidTr="009E3B2F">
        <w:trPr>
          <w:trHeight w:val="365"/>
          <w:jc w:val="center"/>
        </w:trPr>
        <w:tc>
          <w:tcPr>
            <w:tcW w:w="2139" w:type="pct"/>
            <w:shd w:val="clear" w:color="auto" w:fill="BFBFBF" w:themeFill="background1" w:themeFillShade="BF"/>
          </w:tcPr>
          <w:p w14:paraId="07F221E9" w14:textId="1FEADA4B" w:rsidR="006D148B" w:rsidRPr="00447FBB" w:rsidRDefault="00244A3A" w:rsidP="009E3B2F">
            <w:pPr>
              <w:spacing w:after="120" w:line="240" w:lineRule="auto"/>
              <w:jc w:val="center"/>
              <w:rPr>
                <w:rFonts w:ascii="Futura Std Condensed Light" w:eastAsia="Calibri" w:hAnsi="Futura Std Condensed Light" w:cs="Calibri"/>
                <w:b/>
                <w:sz w:val="20"/>
                <w:szCs w:val="18"/>
              </w:rPr>
            </w:pPr>
            <w:r w:rsidRPr="00447FBB">
              <w:rPr>
                <w:rFonts w:ascii="Futura Std Condensed Light" w:eastAsia="Calibri" w:hAnsi="Futura Std Condensed Light" w:cs="Calibri"/>
                <w:b/>
                <w:sz w:val="20"/>
                <w:szCs w:val="18"/>
              </w:rPr>
              <w:t>Estado del Centro Educativo</w:t>
            </w:r>
          </w:p>
        </w:tc>
        <w:tc>
          <w:tcPr>
            <w:tcW w:w="1789" w:type="pct"/>
            <w:shd w:val="clear" w:color="auto" w:fill="BFBFBF" w:themeFill="background1" w:themeFillShade="BF"/>
          </w:tcPr>
          <w:p w14:paraId="6F0BAC80" w14:textId="63C82A25" w:rsidR="006D148B" w:rsidRPr="00447FBB" w:rsidRDefault="00244A3A" w:rsidP="009E3B2F">
            <w:pPr>
              <w:spacing w:after="120" w:line="240" w:lineRule="auto"/>
              <w:jc w:val="center"/>
              <w:rPr>
                <w:rFonts w:ascii="Futura Std Condensed Light" w:eastAsia="Calibri" w:hAnsi="Futura Std Condensed Light" w:cs="Calibri"/>
                <w:b/>
                <w:sz w:val="20"/>
                <w:szCs w:val="18"/>
              </w:rPr>
            </w:pPr>
            <w:r w:rsidRPr="00447FBB">
              <w:rPr>
                <w:rFonts w:ascii="Futura Std Condensed Light" w:eastAsia="Calibri" w:hAnsi="Futura Std Condensed Light" w:cs="Calibri"/>
                <w:b/>
                <w:sz w:val="20"/>
                <w:szCs w:val="18"/>
              </w:rPr>
              <w:t>General</w:t>
            </w:r>
          </w:p>
        </w:tc>
        <w:tc>
          <w:tcPr>
            <w:tcW w:w="1072" w:type="pct"/>
            <w:shd w:val="clear" w:color="auto" w:fill="BFBFBF" w:themeFill="background1" w:themeFillShade="BF"/>
          </w:tcPr>
          <w:p w14:paraId="2DE5A7EE" w14:textId="265E883C" w:rsidR="006D148B" w:rsidRPr="00447FBB" w:rsidRDefault="00244A3A" w:rsidP="009E3B2F">
            <w:pPr>
              <w:spacing w:after="120" w:line="240" w:lineRule="auto"/>
              <w:jc w:val="center"/>
              <w:rPr>
                <w:rFonts w:ascii="Futura Std Condensed Light" w:eastAsia="Calibri" w:hAnsi="Futura Std Condensed Light" w:cs="Calibri"/>
                <w:b/>
                <w:sz w:val="20"/>
                <w:szCs w:val="18"/>
              </w:rPr>
            </w:pPr>
            <w:r w:rsidRPr="00447FBB">
              <w:rPr>
                <w:rFonts w:ascii="Futura Std Condensed Light" w:eastAsia="Calibri" w:hAnsi="Futura Std Condensed Light" w:cs="Calibri"/>
                <w:b/>
                <w:sz w:val="20"/>
                <w:szCs w:val="18"/>
              </w:rPr>
              <w:t>Porcentaje (%)</w:t>
            </w:r>
          </w:p>
        </w:tc>
      </w:tr>
      <w:tr w:rsidR="006D148B" w:rsidRPr="007B1CB1" w14:paraId="552930D8" w14:textId="77777777" w:rsidTr="009E3B2F">
        <w:trPr>
          <w:jc w:val="center"/>
        </w:trPr>
        <w:tc>
          <w:tcPr>
            <w:tcW w:w="2139" w:type="pct"/>
          </w:tcPr>
          <w:p w14:paraId="5E52E9FD" w14:textId="1A0D5EE5" w:rsidR="006D148B" w:rsidRPr="00244A3A" w:rsidRDefault="00244A3A" w:rsidP="00244A3A">
            <w:pPr>
              <w:spacing w:after="120" w:line="240" w:lineRule="auto"/>
              <w:jc w:val="left"/>
              <w:rPr>
                <w:rFonts w:ascii="Futura Std Condensed Light" w:eastAsia="Calibri" w:hAnsi="Futura Std Condensed Light" w:cs="Calibri"/>
                <w:sz w:val="20"/>
                <w:szCs w:val="18"/>
              </w:rPr>
            </w:pPr>
            <w:r w:rsidRPr="00244A3A">
              <w:rPr>
                <w:rFonts w:ascii="Futura Std Condensed Light" w:eastAsia="Calibri" w:hAnsi="Futura Std Condensed Light" w:cs="Calibri"/>
                <w:sz w:val="20"/>
                <w:szCs w:val="18"/>
              </w:rPr>
              <w:t>Malo</w:t>
            </w:r>
          </w:p>
        </w:tc>
        <w:tc>
          <w:tcPr>
            <w:tcW w:w="1789" w:type="pct"/>
          </w:tcPr>
          <w:p w14:paraId="2DE76D65" w14:textId="77777777" w:rsidR="006D148B" w:rsidRPr="00244A3A" w:rsidRDefault="006D148B" w:rsidP="009E3B2F">
            <w:pPr>
              <w:spacing w:after="120" w:line="240" w:lineRule="auto"/>
              <w:jc w:val="center"/>
              <w:rPr>
                <w:rFonts w:ascii="Futura Std Condensed Light" w:eastAsia="Calibri" w:hAnsi="Futura Std Condensed Light" w:cs="Calibri"/>
                <w:sz w:val="20"/>
                <w:szCs w:val="18"/>
              </w:rPr>
            </w:pPr>
            <w:r w:rsidRPr="00244A3A">
              <w:rPr>
                <w:rFonts w:ascii="Futura Std Condensed Light" w:eastAsia="Calibri" w:hAnsi="Futura Std Condensed Light" w:cs="Calibri"/>
                <w:sz w:val="20"/>
                <w:szCs w:val="18"/>
              </w:rPr>
              <w:t>104</w:t>
            </w:r>
          </w:p>
        </w:tc>
        <w:tc>
          <w:tcPr>
            <w:tcW w:w="1072" w:type="pct"/>
          </w:tcPr>
          <w:p w14:paraId="225C9768" w14:textId="77777777" w:rsidR="006D148B" w:rsidRPr="00244A3A" w:rsidRDefault="006D148B" w:rsidP="009E3B2F">
            <w:pPr>
              <w:spacing w:after="120" w:line="240" w:lineRule="auto"/>
              <w:jc w:val="center"/>
              <w:rPr>
                <w:rFonts w:ascii="Futura Std Condensed Light" w:eastAsia="Calibri" w:hAnsi="Futura Std Condensed Light" w:cs="Calibri"/>
                <w:sz w:val="20"/>
                <w:szCs w:val="18"/>
              </w:rPr>
            </w:pPr>
            <w:r w:rsidRPr="00244A3A">
              <w:rPr>
                <w:rFonts w:ascii="Futura Std Condensed Light" w:eastAsia="Calibri" w:hAnsi="Futura Std Condensed Light" w:cs="Calibri"/>
                <w:sz w:val="20"/>
                <w:szCs w:val="18"/>
              </w:rPr>
              <w:t>8.37</w:t>
            </w:r>
          </w:p>
        </w:tc>
      </w:tr>
      <w:tr w:rsidR="006D148B" w:rsidRPr="007B1CB1" w14:paraId="674ECC92" w14:textId="77777777" w:rsidTr="009E3B2F">
        <w:trPr>
          <w:jc w:val="center"/>
        </w:trPr>
        <w:tc>
          <w:tcPr>
            <w:tcW w:w="2139" w:type="pct"/>
          </w:tcPr>
          <w:p w14:paraId="2843B3EC" w14:textId="6D91E9F2" w:rsidR="006D148B" w:rsidRPr="00244A3A" w:rsidRDefault="00244A3A" w:rsidP="00244A3A">
            <w:pPr>
              <w:spacing w:after="120" w:line="240" w:lineRule="auto"/>
              <w:jc w:val="left"/>
              <w:rPr>
                <w:rFonts w:ascii="Futura Std Condensed Light" w:eastAsia="Calibri" w:hAnsi="Futura Std Condensed Light" w:cs="Calibri"/>
                <w:sz w:val="20"/>
                <w:szCs w:val="18"/>
              </w:rPr>
            </w:pPr>
            <w:r w:rsidRPr="00244A3A">
              <w:rPr>
                <w:rFonts w:ascii="Futura Std Condensed Light" w:eastAsia="Calibri" w:hAnsi="Futura Std Condensed Light" w:cs="Calibri"/>
                <w:sz w:val="20"/>
                <w:szCs w:val="18"/>
              </w:rPr>
              <w:t>Regular</w:t>
            </w:r>
          </w:p>
        </w:tc>
        <w:tc>
          <w:tcPr>
            <w:tcW w:w="1789" w:type="pct"/>
          </w:tcPr>
          <w:p w14:paraId="485A3C53" w14:textId="77777777" w:rsidR="006D148B" w:rsidRPr="00244A3A" w:rsidRDefault="006D148B" w:rsidP="009E3B2F">
            <w:pPr>
              <w:spacing w:after="120" w:line="240" w:lineRule="auto"/>
              <w:jc w:val="center"/>
              <w:rPr>
                <w:rFonts w:ascii="Futura Std Condensed Light" w:eastAsia="Calibri" w:hAnsi="Futura Std Condensed Light" w:cs="Calibri"/>
                <w:sz w:val="20"/>
                <w:szCs w:val="18"/>
              </w:rPr>
            </w:pPr>
            <w:r w:rsidRPr="00244A3A">
              <w:rPr>
                <w:rFonts w:ascii="Futura Std Condensed Light" w:eastAsia="Calibri" w:hAnsi="Futura Std Condensed Light" w:cs="Calibri"/>
                <w:sz w:val="20"/>
                <w:szCs w:val="18"/>
              </w:rPr>
              <w:t>823</w:t>
            </w:r>
          </w:p>
        </w:tc>
        <w:tc>
          <w:tcPr>
            <w:tcW w:w="1072" w:type="pct"/>
          </w:tcPr>
          <w:p w14:paraId="48C922F4" w14:textId="77777777" w:rsidR="006D148B" w:rsidRPr="00244A3A" w:rsidRDefault="006D148B" w:rsidP="009E3B2F">
            <w:pPr>
              <w:spacing w:after="120" w:line="240" w:lineRule="auto"/>
              <w:jc w:val="center"/>
              <w:rPr>
                <w:rFonts w:ascii="Futura Std Condensed Light" w:eastAsia="Calibri" w:hAnsi="Futura Std Condensed Light" w:cs="Calibri"/>
                <w:sz w:val="20"/>
                <w:szCs w:val="18"/>
              </w:rPr>
            </w:pPr>
            <w:r w:rsidRPr="00244A3A">
              <w:rPr>
                <w:rFonts w:ascii="Futura Std Condensed Light" w:eastAsia="Calibri" w:hAnsi="Futura Std Condensed Light" w:cs="Calibri"/>
                <w:sz w:val="20"/>
                <w:szCs w:val="18"/>
              </w:rPr>
              <w:t>66.26</w:t>
            </w:r>
          </w:p>
        </w:tc>
      </w:tr>
      <w:tr w:rsidR="006D148B" w:rsidRPr="007B1CB1" w14:paraId="496B0FF8" w14:textId="77777777" w:rsidTr="009E3B2F">
        <w:trPr>
          <w:jc w:val="center"/>
        </w:trPr>
        <w:tc>
          <w:tcPr>
            <w:tcW w:w="2139" w:type="pct"/>
          </w:tcPr>
          <w:p w14:paraId="550AE663" w14:textId="60933906" w:rsidR="006D148B" w:rsidRPr="00244A3A" w:rsidRDefault="00244A3A" w:rsidP="00244A3A">
            <w:pPr>
              <w:spacing w:after="120" w:line="240" w:lineRule="auto"/>
              <w:jc w:val="left"/>
              <w:rPr>
                <w:rFonts w:ascii="Futura Std Condensed Light" w:eastAsia="Calibri" w:hAnsi="Futura Std Condensed Light" w:cs="Calibri"/>
                <w:sz w:val="20"/>
                <w:szCs w:val="18"/>
              </w:rPr>
            </w:pPr>
            <w:r w:rsidRPr="00244A3A">
              <w:rPr>
                <w:rFonts w:ascii="Futura Std Condensed Light" w:eastAsia="Calibri" w:hAnsi="Futura Std Condensed Light" w:cs="Calibri"/>
                <w:sz w:val="20"/>
                <w:szCs w:val="18"/>
              </w:rPr>
              <w:t>Bueno</w:t>
            </w:r>
          </w:p>
        </w:tc>
        <w:tc>
          <w:tcPr>
            <w:tcW w:w="1789" w:type="pct"/>
          </w:tcPr>
          <w:p w14:paraId="1E354CA4" w14:textId="77777777" w:rsidR="006D148B" w:rsidRPr="00244A3A" w:rsidRDefault="006D148B" w:rsidP="009E3B2F">
            <w:pPr>
              <w:spacing w:after="120" w:line="240" w:lineRule="auto"/>
              <w:jc w:val="center"/>
              <w:rPr>
                <w:rFonts w:ascii="Futura Std Condensed Light" w:eastAsia="Calibri" w:hAnsi="Futura Std Condensed Light" w:cs="Calibri"/>
                <w:sz w:val="20"/>
                <w:szCs w:val="18"/>
              </w:rPr>
            </w:pPr>
            <w:r w:rsidRPr="00244A3A">
              <w:rPr>
                <w:rFonts w:ascii="Futura Std Condensed Light" w:eastAsia="Calibri" w:hAnsi="Futura Std Condensed Light" w:cs="Calibri"/>
                <w:sz w:val="20"/>
                <w:szCs w:val="18"/>
              </w:rPr>
              <w:t>315</w:t>
            </w:r>
          </w:p>
        </w:tc>
        <w:tc>
          <w:tcPr>
            <w:tcW w:w="1072" w:type="pct"/>
          </w:tcPr>
          <w:p w14:paraId="7DC9FFE6" w14:textId="77777777" w:rsidR="006D148B" w:rsidRPr="00244A3A" w:rsidRDefault="006D148B" w:rsidP="009E3B2F">
            <w:pPr>
              <w:spacing w:after="120" w:line="240" w:lineRule="auto"/>
              <w:jc w:val="center"/>
              <w:rPr>
                <w:rFonts w:ascii="Futura Std Condensed Light" w:eastAsia="Calibri" w:hAnsi="Futura Std Condensed Light" w:cs="Calibri"/>
                <w:sz w:val="20"/>
                <w:szCs w:val="18"/>
              </w:rPr>
            </w:pPr>
            <w:r w:rsidRPr="00244A3A">
              <w:rPr>
                <w:rFonts w:ascii="Futura Std Condensed Light" w:eastAsia="Calibri" w:hAnsi="Futura Std Condensed Light" w:cs="Calibri"/>
                <w:sz w:val="20"/>
                <w:szCs w:val="18"/>
              </w:rPr>
              <w:t>25.36</w:t>
            </w:r>
          </w:p>
        </w:tc>
      </w:tr>
      <w:tr w:rsidR="006D148B" w:rsidRPr="007B1CB1" w14:paraId="5A9C6026" w14:textId="77777777" w:rsidTr="009E3B2F">
        <w:trPr>
          <w:jc w:val="center"/>
        </w:trPr>
        <w:tc>
          <w:tcPr>
            <w:tcW w:w="2139" w:type="pct"/>
          </w:tcPr>
          <w:p w14:paraId="2B5068D9" w14:textId="0416290C" w:rsidR="006D148B" w:rsidRPr="00244A3A" w:rsidRDefault="00244A3A" w:rsidP="00244A3A">
            <w:pPr>
              <w:spacing w:after="120" w:line="240" w:lineRule="auto"/>
              <w:jc w:val="left"/>
              <w:rPr>
                <w:rFonts w:ascii="Futura Std Condensed Light" w:eastAsia="Calibri" w:hAnsi="Futura Std Condensed Light" w:cs="Calibri"/>
                <w:sz w:val="20"/>
                <w:szCs w:val="18"/>
              </w:rPr>
            </w:pPr>
            <w:r>
              <w:rPr>
                <w:rFonts w:ascii="Futura Std Condensed Light" w:eastAsia="Calibri" w:hAnsi="Futura Std Condensed Light" w:cs="Calibri"/>
                <w:sz w:val="20"/>
                <w:szCs w:val="18"/>
              </w:rPr>
              <w:t>Total d</w:t>
            </w:r>
            <w:r w:rsidRPr="00244A3A">
              <w:rPr>
                <w:rFonts w:ascii="Futura Std Condensed Light" w:eastAsia="Calibri" w:hAnsi="Futura Std Condensed Light" w:cs="Calibri"/>
                <w:sz w:val="20"/>
                <w:szCs w:val="18"/>
              </w:rPr>
              <w:t>e Escuelas</w:t>
            </w:r>
          </w:p>
        </w:tc>
        <w:tc>
          <w:tcPr>
            <w:tcW w:w="1789" w:type="pct"/>
          </w:tcPr>
          <w:p w14:paraId="46D318CF" w14:textId="77777777" w:rsidR="006D148B" w:rsidRPr="00244A3A" w:rsidRDefault="006D148B" w:rsidP="009E3B2F">
            <w:pPr>
              <w:spacing w:after="120" w:line="240" w:lineRule="auto"/>
              <w:jc w:val="center"/>
              <w:rPr>
                <w:rFonts w:ascii="Futura Std Condensed Light" w:eastAsia="Calibri" w:hAnsi="Futura Std Condensed Light" w:cs="Calibri"/>
                <w:sz w:val="20"/>
                <w:szCs w:val="18"/>
              </w:rPr>
            </w:pPr>
            <w:r w:rsidRPr="00244A3A">
              <w:rPr>
                <w:rFonts w:ascii="Futura Std Condensed Light" w:eastAsia="Calibri" w:hAnsi="Futura Std Condensed Light" w:cs="Calibri"/>
                <w:sz w:val="20"/>
                <w:szCs w:val="18"/>
              </w:rPr>
              <w:t>1,242</w:t>
            </w:r>
          </w:p>
        </w:tc>
        <w:tc>
          <w:tcPr>
            <w:tcW w:w="1072" w:type="pct"/>
          </w:tcPr>
          <w:p w14:paraId="2B6B9E15" w14:textId="77777777" w:rsidR="006D148B" w:rsidRPr="00244A3A" w:rsidRDefault="006D148B" w:rsidP="009E3B2F">
            <w:pPr>
              <w:spacing w:after="120" w:line="240" w:lineRule="auto"/>
              <w:jc w:val="center"/>
              <w:rPr>
                <w:rFonts w:ascii="Futura Std Condensed Light" w:eastAsia="Calibri" w:hAnsi="Futura Std Condensed Light" w:cs="Calibri"/>
                <w:sz w:val="20"/>
                <w:szCs w:val="18"/>
              </w:rPr>
            </w:pPr>
            <w:r w:rsidRPr="00244A3A">
              <w:rPr>
                <w:rFonts w:ascii="Futura Std Condensed Light" w:eastAsia="Calibri" w:hAnsi="Futura Std Condensed Light" w:cs="Calibri"/>
                <w:sz w:val="20"/>
                <w:szCs w:val="18"/>
              </w:rPr>
              <w:t>100</w:t>
            </w:r>
          </w:p>
        </w:tc>
      </w:tr>
    </w:tbl>
    <w:p w14:paraId="529E426D" w14:textId="463D7A29" w:rsidR="00447FBB" w:rsidRPr="00030CFD" w:rsidRDefault="00447FBB" w:rsidP="00030CFD">
      <w:pPr>
        <w:spacing w:after="120"/>
        <w:jc w:val="center"/>
        <w:rPr>
          <w:rFonts w:asciiTheme="minorHAnsi" w:eastAsiaTheme="minorHAnsi" w:hAnsiTheme="minorHAnsi"/>
          <w:sz w:val="28"/>
          <w:szCs w:val="28"/>
          <w:lang w:val="es-MX" w:eastAsia="en-US"/>
        </w:rPr>
      </w:pPr>
      <w:r w:rsidRPr="00447FBB">
        <w:rPr>
          <w:b/>
          <w:sz w:val="16"/>
          <w:szCs w:val="16"/>
        </w:rPr>
        <w:t>Fuente:</w:t>
      </w:r>
      <w:r w:rsidRPr="00E1715F">
        <w:rPr>
          <w:sz w:val="16"/>
          <w:szCs w:val="16"/>
        </w:rPr>
        <w:t xml:space="preserve"> Instituto de Infraestructura Física Educativa de Quintana Roo.</w:t>
      </w:r>
    </w:p>
    <w:p w14:paraId="77D8C6CD" w14:textId="77777777" w:rsidR="00447FBB" w:rsidRDefault="00447FBB" w:rsidP="006D148B">
      <w:pPr>
        <w:autoSpaceDE w:val="0"/>
        <w:autoSpaceDN w:val="0"/>
        <w:adjustRightInd w:val="0"/>
        <w:spacing w:after="0"/>
        <w:rPr>
          <w:rFonts w:eastAsia="Times New Roman" w:cs="Futura"/>
          <w:b/>
        </w:rPr>
      </w:pPr>
    </w:p>
    <w:p w14:paraId="32EAB98D" w14:textId="77777777" w:rsidR="00E07551" w:rsidRDefault="00E07551" w:rsidP="006D148B">
      <w:pPr>
        <w:autoSpaceDE w:val="0"/>
        <w:autoSpaceDN w:val="0"/>
        <w:adjustRightInd w:val="0"/>
        <w:spacing w:after="0"/>
        <w:rPr>
          <w:rFonts w:eastAsia="Times New Roman" w:cs="Futura"/>
          <w:b/>
        </w:rPr>
      </w:pPr>
    </w:p>
    <w:p w14:paraId="75A12B67" w14:textId="77777777" w:rsidR="00E93157" w:rsidRDefault="00E93157">
      <w:pPr>
        <w:spacing w:after="0" w:line="240" w:lineRule="auto"/>
        <w:jc w:val="left"/>
        <w:rPr>
          <w:rFonts w:eastAsia="Times New Roman" w:cs="Futura"/>
          <w:b/>
        </w:rPr>
      </w:pPr>
      <w:r>
        <w:rPr>
          <w:rFonts w:eastAsia="Times New Roman" w:cs="Futura"/>
          <w:b/>
        </w:rPr>
        <w:br w:type="page"/>
      </w:r>
    </w:p>
    <w:p w14:paraId="688A71DA" w14:textId="01B0C5CE" w:rsidR="006D148B" w:rsidRPr="00E35FBA" w:rsidRDefault="006D148B" w:rsidP="006D148B">
      <w:pPr>
        <w:autoSpaceDE w:val="0"/>
        <w:autoSpaceDN w:val="0"/>
        <w:adjustRightInd w:val="0"/>
        <w:spacing w:after="0"/>
        <w:rPr>
          <w:rFonts w:eastAsia="Times New Roman" w:cs="Futura"/>
          <w:b/>
        </w:rPr>
      </w:pPr>
      <w:r w:rsidRPr="00E35FBA">
        <w:rPr>
          <w:rFonts w:eastAsia="Times New Roman" w:cs="Futura"/>
          <w:b/>
        </w:rPr>
        <w:lastRenderedPageBreak/>
        <w:t xml:space="preserve">Rezago Educativo </w:t>
      </w:r>
    </w:p>
    <w:p w14:paraId="223EB88D" w14:textId="77777777" w:rsidR="006D148B" w:rsidRDefault="006D148B" w:rsidP="006D148B">
      <w:pPr>
        <w:autoSpaceDE w:val="0"/>
        <w:autoSpaceDN w:val="0"/>
        <w:adjustRightInd w:val="0"/>
        <w:spacing w:after="0"/>
        <w:rPr>
          <w:rFonts w:eastAsia="Times New Roman" w:cs="Futura"/>
        </w:rPr>
      </w:pPr>
    </w:p>
    <w:p w14:paraId="5B3AB277" w14:textId="77777777" w:rsidR="006D148B" w:rsidRDefault="006D148B" w:rsidP="00886807">
      <w:pPr>
        <w:rPr>
          <w:rFonts w:eastAsia="Times New Roman" w:cs="Futura"/>
        </w:rPr>
      </w:pPr>
      <w:r w:rsidRPr="00E35FBA">
        <w:rPr>
          <w:rFonts w:eastAsia="Times New Roman" w:cs="Futura"/>
        </w:rPr>
        <w:t>Cuand</w:t>
      </w:r>
      <w:r>
        <w:rPr>
          <w:rFonts w:eastAsia="Times New Roman" w:cs="Futura"/>
        </w:rPr>
        <w:t>o se habla de</w:t>
      </w:r>
      <w:r w:rsidRPr="00E35FBA">
        <w:rPr>
          <w:rFonts w:eastAsia="Times New Roman" w:cs="Futura"/>
        </w:rPr>
        <w:t xml:space="preserve"> rezago educativo, se hace referencia a aquella parte de la población de 15 años o más que no sabe leer o escribir, y que no tuvo la oportunidad de cursar y concluir su educación primaria y/o secundaria. El analfabetismo y el rezago educativo en la población de jóvenes y adultos es un impedimento para m</w:t>
      </w:r>
      <w:r>
        <w:rPr>
          <w:rFonts w:eastAsia="Times New Roman" w:cs="Futura"/>
        </w:rPr>
        <w:t xml:space="preserve">ejorar sus condiciones de vida. </w:t>
      </w:r>
    </w:p>
    <w:p w14:paraId="48ECA713" w14:textId="77777777" w:rsidR="00030CFD" w:rsidRDefault="006D148B" w:rsidP="00030CFD">
      <w:pPr>
        <w:rPr>
          <w:rFonts w:eastAsia="Times New Roman" w:cs="Futura"/>
        </w:rPr>
      </w:pPr>
      <w:r>
        <w:rPr>
          <w:rFonts w:eastAsia="Times New Roman" w:cs="Futura"/>
        </w:rPr>
        <w:t xml:space="preserve">Se considera que, para salir del rezago educativo, la persona tiene que terminar su secundaria, por lo que una persona alfabetizada o una persona que concluye su educación primaria, sigue permaneciendo en Rezago Educativo en tanto no concluya con su educación secundaria. </w:t>
      </w:r>
    </w:p>
    <w:p w14:paraId="5DCCDEB1" w14:textId="77777777" w:rsidR="00B529B9" w:rsidRDefault="006D148B" w:rsidP="00B529B9">
      <w:pPr>
        <w:rPr>
          <w:rFonts w:eastAsia="Times New Roman" w:cs="Futura"/>
        </w:rPr>
      </w:pPr>
      <w:r w:rsidRPr="00E35FBA">
        <w:rPr>
          <w:rFonts w:eastAsia="Times New Roman" w:cs="Futura"/>
        </w:rPr>
        <w:t>En el Estado de Quintana Roo, la estadística del rezago educativo en analfabetismo, de acuerdo a los censos de población realizados por el Instituto Nacional de Estadística y Geografía (INEGI), es la siguiente:</w:t>
      </w:r>
    </w:p>
    <w:p w14:paraId="617A3E4C" w14:textId="4846C3A8" w:rsidR="006D148B" w:rsidRPr="00030CFD" w:rsidRDefault="006D148B" w:rsidP="00B529B9">
      <w:pPr>
        <w:jc w:val="center"/>
        <w:rPr>
          <w:rFonts w:eastAsia="Times New Roman" w:cs="Futura"/>
        </w:rPr>
      </w:pPr>
      <w:r w:rsidRPr="00E35FBA">
        <w:rPr>
          <w:rFonts w:eastAsia="Arial" w:cs="Times New Roman"/>
          <w:b/>
          <w:bCs/>
          <w:color w:val="4BACC6"/>
          <w:lang w:val="es-MX" w:eastAsia="en-US"/>
        </w:rPr>
        <w:t>Cuadro</w:t>
      </w:r>
      <w:r>
        <w:rPr>
          <w:rFonts w:eastAsia="Arial" w:cs="Times New Roman"/>
          <w:b/>
          <w:bCs/>
          <w:color w:val="4BACC6"/>
          <w:lang w:val="es-MX" w:eastAsia="en-US"/>
        </w:rPr>
        <w:t xml:space="preserve"> 19</w:t>
      </w:r>
      <w:r w:rsidRPr="00E35FBA">
        <w:rPr>
          <w:rFonts w:eastAsia="Arial" w:cs="Times New Roman"/>
          <w:b/>
          <w:bCs/>
          <w:color w:val="4BACC6"/>
          <w:lang w:val="es-MX" w:eastAsia="en-US"/>
        </w:rPr>
        <w:t>. Analfabetismo en Quintana Roo</w:t>
      </w:r>
    </w:p>
    <w:tbl>
      <w:tblPr>
        <w:tblStyle w:val="Tablaconcuadrcula1"/>
        <w:tblW w:w="0" w:type="auto"/>
        <w:tblLook w:val="04A0" w:firstRow="1" w:lastRow="0" w:firstColumn="1" w:lastColumn="0" w:noHBand="0" w:noVBand="1"/>
      </w:tblPr>
      <w:tblGrid>
        <w:gridCol w:w="749"/>
        <w:gridCol w:w="1364"/>
        <w:gridCol w:w="1370"/>
        <w:gridCol w:w="829"/>
        <w:gridCol w:w="1083"/>
        <w:gridCol w:w="1323"/>
        <w:gridCol w:w="1497"/>
        <w:gridCol w:w="1322"/>
      </w:tblGrid>
      <w:tr w:rsidR="006D148B" w:rsidRPr="00CE450D" w14:paraId="712AAB58" w14:textId="77777777" w:rsidTr="00CE450D">
        <w:trPr>
          <w:trHeight w:val="317"/>
          <w:tblHeader/>
        </w:trPr>
        <w:tc>
          <w:tcPr>
            <w:tcW w:w="753" w:type="dxa"/>
            <w:vMerge w:val="restart"/>
            <w:shd w:val="clear" w:color="auto" w:fill="A6A6A6" w:themeFill="background1" w:themeFillShade="A6"/>
          </w:tcPr>
          <w:p w14:paraId="29B4C21A" w14:textId="77777777" w:rsidR="006D148B" w:rsidRPr="00CE450D" w:rsidRDefault="006D148B" w:rsidP="009E3B2F">
            <w:pPr>
              <w:spacing w:after="0"/>
              <w:jc w:val="center"/>
              <w:rPr>
                <w:rFonts w:ascii="Futura Std Condensed Light" w:eastAsia="Calibri" w:hAnsi="Futura Std Condensed Light" w:cs="Calibri"/>
              </w:rPr>
            </w:pPr>
          </w:p>
          <w:p w14:paraId="168726C8" w14:textId="77777777" w:rsidR="006D148B" w:rsidRPr="00CE450D" w:rsidRDefault="006D148B" w:rsidP="009E3B2F">
            <w:pPr>
              <w:spacing w:after="0"/>
              <w:jc w:val="center"/>
              <w:rPr>
                <w:rFonts w:ascii="Futura Std Condensed Light" w:eastAsia="Calibri" w:hAnsi="Futura Std Condensed Light" w:cs="Calibri"/>
              </w:rPr>
            </w:pPr>
            <w:r w:rsidRPr="00CE450D">
              <w:rPr>
                <w:rFonts w:ascii="Futura Std Condensed Light" w:eastAsia="Calibri" w:hAnsi="Futura Std Condensed Light" w:cs="Calibri"/>
              </w:rPr>
              <w:t>Año</w:t>
            </w:r>
          </w:p>
        </w:tc>
        <w:tc>
          <w:tcPr>
            <w:tcW w:w="1369" w:type="dxa"/>
            <w:vMerge w:val="restart"/>
            <w:shd w:val="clear" w:color="auto" w:fill="A6A6A6" w:themeFill="background1" w:themeFillShade="A6"/>
          </w:tcPr>
          <w:p w14:paraId="59E77722" w14:textId="77777777" w:rsidR="006D148B" w:rsidRPr="00CE450D" w:rsidRDefault="006D148B" w:rsidP="009E3B2F">
            <w:pPr>
              <w:autoSpaceDE w:val="0"/>
              <w:autoSpaceDN w:val="0"/>
              <w:adjustRightInd w:val="0"/>
              <w:spacing w:after="0" w:line="240" w:lineRule="auto"/>
              <w:jc w:val="center"/>
              <w:rPr>
                <w:rFonts w:ascii="Futura Std Condensed Light" w:eastAsia="Calibri" w:hAnsi="Futura Std Condensed Light" w:cs="Calibri"/>
              </w:rPr>
            </w:pPr>
            <w:r w:rsidRPr="00CE450D">
              <w:rPr>
                <w:rFonts w:ascii="Futura Std Condensed Light" w:eastAsia="Calibri" w:hAnsi="Futura Std Condensed Light" w:cs="Calibri"/>
              </w:rPr>
              <w:t xml:space="preserve">Población de </w:t>
            </w:r>
          </w:p>
          <w:p w14:paraId="1FD24133" w14:textId="77777777" w:rsidR="006D148B" w:rsidRPr="00CE450D" w:rsidRDefault="006D148B" w:rsidP="009E3B2F">
            <w:pPr>
              <w:spacing w:after="0"/>
              <w:jc w:val="center"/>
              <w:rPr>
                <w:rFonts w:ascii="Futura Std Condensed Light" w:eastAsia="Calibri" w:hAnsi="Futura Std Condensed Light" w:cs="Calibri"/>
              </w:rPr>
            </w:pPr>
            <w:r w:rsidRPr="00CE450D">
              <w:rPr>
                <w:rFonts w:ascii="Futura Std Condensed Light" w:eastAsia="Calibri" w:hAnsi="Futura Std Condensed Light" w:cs="Calibri"/>
              </w:rPr>
              <w:t>15 años y más</w:t>
            </w:r>
          </w:p>
        </w:tc>
        <w:tc>
          <w:tcPr>
            <w:tcW w:w="1380" w:type="dxa"/>
            <w:vMerge w:val="restart"/>
            <w:shd w:val="clear" w:color="auto" w:fill="A6A6A6" w:themeFill="background1" w:themeFillShade="A6"/>
          </w:tcPr>
          <w:p w14:paraId="601BFFF1" w14:textId="77777777" w:rsidR="006D148B" w:rsidRPr="00CE450D" w:rsidRDefault="006D148B" w:rsidP="009E3B2F">
            <w:pPr>
              <w:spacing w:after="0"/>
              <w:jc w:val="center"/>
              <w:rPr>
                <w:rFonts w:ascii="Futura Std Condensed Light" w:eastAsia="Calibri" w:hAnsi="Futura Std Condensed Light" w:cs="Calibri"/>
              </w:rPr>
            </w:pPr>
          </w:p>
          <w:p w14:paraId="2D36A628" w14:textId="77777777" w:rsidR="006D148B" w:rsidRPr="00CE450D" w:rsidRDefault="006D148B" w:rsidP="009E3B2F">
            <w:pPr>
              <w:spacing w:after="0"/>
              <w:jc w:val="center"/>
              <w:rPr>
                <w:rFonts w:ascii="Futura Std Condensed Light" w:eastAsia="Calibri" w:hAnsi="Futura Std Condensed Light" w:cs="Calibri"/>
              </w:rPr>
            </w:pPr>
            <w:r w:rsidRPr="00CE450D">
              <w:rPr>
                <w:rFonts w:ascii="Futura Std Condensed Light" w:eastAsia="Calibri" w:hAnsi="Futura Std Condensed Light" w:cs="Calibri"/>
              </w:rPr>
              <w:t>Alfabeta</w:t>
            </w:r>
          </w:p>
        </w:tc>
        <w:tc>
          <w:tcPr>
            <w:tcW w:w="3247" w:type="dxa"/>
            <w:gridSpan w:val="3"/>
            <w:shd w:val="clear" w:color="auto" w:fill="A6A6A6" w:themeFill="background1" w:themeFillShade="A6"/>
          </w:tcPr>
          <w:p w14:paraId="24910BB3" w14:textId="77777777" w:rsidR="006D148B" w:rsidRPr="00CE450D" w:rsidRDefault="006D148B" w:rsidP="009E3B2F">
            <w:pPr>
              <w:spacing w:after="0"/>
              <w:jc w:val="center"/>
              <w:rPr>
                <w:rFonts w:ascii="Futura Std Condensed Light" w:eastAsia="Calibri" w:hAnsi="Futura Std Condensed Light" w:cs="Calibri"/>
              </w:rPr>
            </w:pPr>
            <w:r w:rsidRPr="00CE450D">
              <w:rPr>
                <w:rFonts w:ascii="Futura Std Condensed Light" w:eastAsia="Calibri" w:hAnsi="Futura Std Condensed Light" w:cs="Calibri"/>
              </w:rPr>
              <w:t>Analfabeta</w:t>
            </w:r>
          </w:p>
        </w:tc>
        <w:tc>
          <w:tcPr>
            <w:tcW w:w="1477" w:type="dxa"/>
            <w:vMerge w:val="restart"/>
            <w:shd w:val="clear" w:color="auto" w:fill="A6A6A6" w:themeFill="background1" w:themeFillShade="A6"/>
          </w:tcPr>
          <w:p w14:paraId="6B7A8A39" w14:textId="77777777" w:rsidR="006D148B" w:rsidRPr="00CE450D" w:rsidRDefault="006D148B" w:rsidP="009E3B2F">
            <w:pPr>
              <w:spacing w:after="0"/>
              <w:jc w:val="center"/>
              <w:rPr>
                <w:rFonts w:ascii="Futura Std Condensed Light" w:eastAsia="Calibri" w:hAnsi="Futura Std Condensed Light" w:cs="Calibri"/>
              </w:rPr>
            </w:pPr>
            <w:r w:rsidRPr="00CE450D">
              <w:rPr>
                <w:rFonts w:ascii="Futura Std Condensed Light" w:eastAsia="Calibri" w:hAnsi="Futura Std Condensed Light" w:cs="Calibri"/>
              </w:rPr>
              <w:t>No especificado</w:t>
            </w:r>
          </w:p>
        </w:tc>
        <w:tc>
          <w:tcPr>
            <w:tcW w:w="1296" w:type="dxa"/>
            <w:vMerge w:val="restart"/>
            <w:shd w:val="clear" w:color="auto" w:fill="A6A6A6" w:themeFill="background1" w:themeFillShade="A6"/>
          </w:tcPr>
          <w:p w14:paraId="57158F63" w14:textId="77777777" w:rsidR="006D148B" w:rsidRPr="00CE450D" w:rsidRDefault="006D148B" w:rsidP="009E3B2F">
            <w:pPr>
              <w:spacing w:after="0"/>
              <w:jc w:val="center"/>
              <w:rPr>
                <w:rFonts w:ascii="Futura Std Condensed Light" w:eastAsia="Calibri" w:hAnsi="Futura Std Condensed Light" w:cs="Calibri"/>
              </w:rPr>
            </w:pPr>
            <w:r w:rsidRPr="00CE450D">
              <w:rPr>
                <w:rFonts w:ascii="Futura Std Condensed Light" w:eastAsia="Calibri" w:hAnsi="Futura Std Condensed Light" w:cs="Calibri"/>
              </w:rPr>
              <w:t>% de población analfabeta</w:t>
            </w:r>
          </w:p>
        </w:tc>
      </w:tr>
      <w:tr w:rsidR="006D148B" w:rsidRPr="00E35FBA" w14:paraId="2FD53176" w14:textId="77777777" w:rsidTr="00CE450D">
        <w:tc>
          <w:tcPr>
            <w:tcW w:w="753" w:type="dxa"/>
            <w:vMerge/>
          </w:tcPr>
          <w:p w14:paraId="0CFC3BC5" w14:textId="77777777" w:rsidR="006D148B" w:rsidRPr="00E35FBA" w:rsidRDefault="006D148B" w:rsidP="009E3B2F">
            <w:pPr>
              <w:rPr>
                <w:rFonts w:eastAsia="MS PGothic"/>
                <w:b/>
                <w:bCs/>
              </w:rPr>
            </w:pPr>
          </w:p>
        </w:tc>
        <w:tc>
          <w:tcPr>
            <w:tcW w:w="1369" w:type="dxa"/>
            <w:vMerge/>
          </w:tcPr>
          <w:p w14:paraId="438D9E27" w14:textId="77777777" w:rsidR="006D148B" w:rsidRPr="00E35FBA" w:rsidRDefault="006D148B" w:rsidP="009E3B2F">
            <w:pPr>
              <w:autoSpaceDE w:val="0"/>
              <w:autoSpaceDN w:val="0"/>
              <w:adjustRightInd w:val="0"/>
              <w:spacing w:after="0" w:line="240" w:lineRule="auto"/>
              <w:jc w:val="left"/>
              <w:rPr>
                <w:rFonts w:ascii="Arial" w:eastAsia="MS PGothic" w:hAnsi="Arial" w:cs="Arial"/>
                <w:b/>
                <w:bCs/>
                <w:color w:val="000000"/>
              </w:rPr>
            </w:pPr>
          </w:p>
        </w:tc>
        <w:tc>
          <w:tcPr>
            <w:tcW w:w="1380" w:type="dxa"/>
            <w:vMerge/>
          </w:tcPr>
          <w:p w14:paraId="2AF910BE" w14:textId="77777777" w:rsidR="006D148B" w:rsidRPr="00E35FBA" w:rsidRDefault="006D148B" w:rsidP="009E3B2F">
            <w:pPr>
              <w:rPr>
                <w:rFonts w:eastAsia="MS PGothic"/>
                <w:b/>
                <w:bCs/>
              </w:rPr>
            </w:pPr>
          </w:p>
        </w:tc>
        <w:tc>
          <w:tcPr>
            <w:tcW w:w="829" w:type="dxa"/>
            <w:shd w:val="clear" w:color="auto" w:fill="A6A6A6" w:themeFill="background1" w:themeFillShade="A6"/>
          </w:tcPr>
          <w:p w14:paraId="300402F2" w14:textId="77777777" w:rsidR="006D148B" w:rsidRPr="00CE450D" w:rsidRDefault="006D148B" w:rsidP="009E3B2F">
            <w:pPr>
              <w:rPr>
                <w:rFonts w:ascii="Futura Std Condensed Light" w:eastAsia="Calibri" w:hAnsi="Futura Std Condensed Light" w:cs="Calibri"/>
              </w:rPr>
            </w:pPr>
            <w:r w:rsidRPr="00CE450D">
              <w:rPr>
                <w:rFonts w:ascii="Futura Std Condensed Light" w:eastAsia="Calibri" w:hAnsi="Futura Std Condensed Light" w:cs="Calibri"/>
              </w:rPr>
              <w:t>Total</w:t>
            </w:r>
          </w:p>
        </w:tc>
        <w:tc>
          <w:tcPr>
            <w:tcW w:w="1083" w:type="dxa"/>
            <w:shd w:val="clear" w:color="auto" w:fill="A6A6A6" w:themeFill="background1" w:themeFillShade="A6"/>
          </w:tcPr>
          <w:p w14:paraId="24F1C10D" w14:textId="77777777" w:rsidR="006D148B" w:rsidRPr="00CE450D" w:rsidRDefault="006D148B" w:rsidP="009E3B2F">
            <w:pPr>
              <w:rPr>
                <w:rFonts w:ascii="Futura Std Condensed Light" w:eastAsia="Calibri" w:hAnsi="Futura Std Condensed Light" w:cs="Calibri"/>
              </w:rPr>
            </w:pPr>
            <w:r w:rsidRPr="00CE450D">
              <w:rPr>
                <w:rFonts w:ascii="Futura Std Condensed Light" w:eastAsia="Calibri" w:hAnsi="Futura Std Condensed Light" w:cs="Calibri"/>
              </w:rPr>
              <w:t>Hombres</w:t>
            </w:r>
          </w:p>
        </w:tc>
        <w:tc>
          <w:tcPr>
            <w:tcW w:w="1335" w:type="dxa"/>
            <w:shd w:val="clear" w:color="auto" w:fill="A6A6A6" w:themeFill="background1" w:themeFillShade="A6"/>
          </w:tcPr>
          <w:p w14:paraId="6987DFF8" w14:textId="77777777" w:rsidR="006D148B" w:rsidRPr="00CE450D" w:rsidRDefault="006D148B" w:rsidP="009E3B2F">
            <w:pPr>
              <w:rPr>
                <w:rFonts w:ascii="Futura Std Condensed Light" w:eastAsia="Calibri" w:hAnsi="Futura Std Condensed Light" w:cs="Calibri"/>
              </w:rPr>
            </w:pPr>
            <w:r w:rsidRPr="00CE450D">
              <w:rPr>
                <w:rFonts w:ascii="Futura Std Condensed Light" w:eastAsia="Calibri" w:hAnsi="Futura Std Condensed Light" w:cs="Calibri"/>
              </w:rPr>
              <w:t>Mujeres</w:t>
            </w:r>
          </w:p>
        </w:tc>
        <w:tc>
          <w:tcPr>
            <w:tcW w:w="1477" w:type="dxa"/>
            <w:vMerge/>
          </w:tcPr>
          <w:p w14:paraId="1CA81B8A" w14:textId="77777777" w:rsidR="006D148B" w:rsidRPr="00E35FBA" w:rsidRDefault="006D148B" w:rsidP="009E3B2F">
            <w:pPr>
              <w:rPr>
                <w:rFonts w:eastAsia="MS PGothic"/>
              </w:rPr>
            </w:pPr>
          </w:p>
        </w:tc>
        <w:tc>
          <w:tcPr>
            <w:tcW w:w="1296" w:type="dxa"/>
            <w:vMerge/>
          </w:tcPr>
          <w:p w14:paraId="78354CEE" w14:textId="77777777" w:rsidR="006D148B" w:rsidRPr="00E35FBA" w:rsidRDefault="006D148B" w:rsidP="009E3B2F">
            <w:pPr>
              <w:rPr>
                <w:rFonts w:eastAsia="MS PGothic"/>
              </w:rPr>
            </w:pPr>
          </w:p>
        </w:tc>
      </w:tr>
      <w:tr w:rsidR="006D148B" w:rsidRPr="00E35FBA" w14:paraId="3910D56B" w14:textId="77777777" w:rsidTr="00CE450D">
        <w:tc>
          <w:tcPr>
            <w:tcW w:w="753" w:type="dxa"/>
          </w:tcPr>
          <w:p w14:paraId="20D73E08" w14:textId="77777777" w:rsidR="006D148B" w:rsidRPr="00E35FBA" w:rsidRDefault="006D148B" w:rsidP="009E3B2F">
            <w:pPr>
              <w:jc w:val="center"/>
              <w:rPr>
                <w:rFonts w:ascii="Futura Std Condensed Light" w:hAnsi="Futura Std Condensed Light" w:cs="Futura"/>
              </w:rPr>
            </w:pPr>
            <w:r w:rsidRPr="00E35FBA">
              <w:rPr>
                <w:rFonts w:ascii="Futura Std Condensed Light" w:hAnsi="Futura Std Condensed Light" w:cs="Futura"/>
              </w:rPr>
              <w:t>1980</w:t>
            </w:r>
          </w:p>
        </w:tc>
        <w:tc>
          <w:tcPr>
            <w:tcW w:w="1369" w:type="dxa"/>
          </w:tcPr>
          <w:p w14:paraId="7C737B4A" w14:textId="77777777" w:rsidR="006D148B" w:rsidRPr="00E35FBA" w:rsidRDefault="006D148B" w:rsidP="009E3B2F">
            <w:pPr>
              <w:autoSpaceDE w:val="0"/>
              <w:autoSpaceDN w:val="0"/>
              <w:adjustRightInd w:val="0"/>
              <w:spacing w:after="0" w:line="240" w:lineRule="auto"/>
              <w:jc w:val="center"/>
              <w:rPr>
                <w:rFonts w:ascii="Futura Std Condensed Light" w:hAnsi="Futura Std Condensed Light" w:cs="Futura"/>
              </w:rPr>
            </w:pPr>
            <w:r w:rsidRPr="00E35FBA">
              <w:rPr>
                <w:rFonts w:ascii="Futura Std Condensed Light" w:hAnsi="Futura Std Condensed Light" w:cs="Futura"/>
              </w:rPr>
              <w:t>123,191</w:t>
            </w:r>
          </w:p>
        </w:tc>
        <w:tc>
          <w:tcPr>
            <w:tcW w:w="1380" w:type="dxa"/>
          </w:tcPr>
          <w:p w14:paraId="754DC389" w14:textId="77777777" w:rsidR="006D148B" w:rsidRPr="00E35FBA" w:rsidRDefault="006D148B" w:rsidP="009E3B2F">
            <w:pPr>
              <w:jc w:val="center"/>
              <w:rPr>
                <w:rFonts w:ascii="Futura Std Condensed Light" w:hAnsi="Futura Std Condensed Light" w:cs="Futura"/>
              </w:rPr>
            </w:pPr>
            <w:r w:rsidRPr="00E35FBA">
              <w:rPr>
                <w:rFonts w:ascii="Futura Std Condensed Light" w:hAnsi="Futura Std Condensed Light" w:cs="Futura"/>
              </w:rPr>
              <w:t>102,411</w:t>
            </w:r>
          </w:p>
        </w:tc>
        <w:tc>
          <w:tcPr>
            <w:tcW w:w="829" w:type="dxa"/>
          </w:tcPr>
          <w:p w14:paraId="43535023" w14:textId="77777777" w:rsidR="006D148B" w:rsidRPr="00E35FBA" w:rsidRDefault="006D148B" w:rsidP="009E3B2F">
            <w:pPr>
              <w:jc w:val="center"/>
              <w:rPr>
                <w:rFonts w:ascii="Futura Std Condensed Light" w:hAnsi="Futura Std Condensed Light" w:cs="Futura"/>
              </w:rPr>
            </w:pPr>
            <w:r w:rsidRPr="00E35FBA">
              <w:rPr>
                <w:rFonts w:ascii="Futura Std Condensed Light" w:hAnsi="Futura Std Condensed Light" w:cs="Futura"/>
              </w:rPr>
              <w:t>20,780</w:t>
            </w:r>
          </w:p>
        </w:tc>
        <w:tc>
          <w:tcPr>
            <w:tcW w:w="1083" w:type="dxa"/>
          </w:tcPr>
          <w:p w14:paraId="6E3621CF" w14:textId="77777777" w:rsidR="006D148B" w:rsidRPr="00E35FBA" w:rsidRDefault="006D148B" w:rsidP="009E3B2F">
            <w:pPr>
              <w:jc w:val="center"/>
              <w:rPr>
                <w:rFonts w:ascii="Futura Std Condensed Light" w:hAnsi="Futura Std Condensed Light" w:cs="Futura"/>
              </w:rPr>
            </w:pPr>
            <w:r w:rsidRPr="00E35FBA">
              <w:rPr>
                <w:rFonts w:ascii="Futura Std Condensed Light" w:hAnsi="Futura Std Condensed Light" w:cs="Futura"/>
              </w:rPr>
              <w:t>8,532</w:t>
            </w:r>
          </w:p>
        </w:tc>
        <w:tc>
          <w:tcPr>
            <w:tcW w:w="1335" w:type="dxa"/>
          </w:tcPr>
          <w:p w14:paraId="2DBBECE6" w14:textId="77777777" w:rsidR="006D148B" w:rsidRPr="00E35FBA" w:rsidRDefault="006D148B" w:rsidP="009E3B2F">
            <w:pPr>
              <w:jc w:val="center"/>
              <w:rPr>
                <w:rFonts w:ascii="Futura Std Condensed Light" w:hAnsi="Futura Std Condensed Light" w:cs="Futura"/>
              </w:rPr>
            </w:pPr>
            <w:r w:rsidRPr="00E35FBA">
              <w:rPr>
                <w:rFonts w:ascii="Futura Std Condensed Light" w:hAnsi="Futura Std Condensed Light" w:cs="Futura"/>
              </w:rPr>
              <w:t>12,248</w:t>
            </w:r>
          </w:p>
        </w:tc>
        <w:tc>
          <w:tcPr>
            <w:tcW w:w="1477" w:type="dxa"/>
          </w:tcPr>
          <w:p w14:paraId="1D7C0035" w14:textId="77777777" w:rsidR="006D148B" w:rsidRPr="00E35FBA" w:rsidRDefault="006D148B" w:rsidP="009E3B2F">
            <w:pPr>
              <w:jc w:val="center"/>
              <w:rPr>
                <w:rFonts w:ascii="Futura Std Condensed Light" w:hAnsi="Futura Std Condensed Light" w:cs="Futura"/>
              </w:rPr>
            </w:pPr>
            <w:r w:rsidRPr="00E35FBA">
              <w:rPr>
                <w:rFonts w:ascii="Futura Std Condensed Light" w:hAnsi="Futura Std Condensed Light" w:cs="Futura"/>
              </w:rPr>
              <w:t>-</w:t>
            </w:r>
          </w:p>
        </w:tc>
        <w:tc>
          <w:tcPr>
            <w:tcW w:w="1296" w:type="dxa"/>
          </w:tcPr>
          <w:p w14:paraId="3920C420" w14:textId="77777777" w:rsidR="006D148B" w:rsidRPr="00E35FBA" w:rsidRDefault="006D148B" w:rsidP="009E3B2F">
            <w:pPr>
              <w:jc w:val="center"/>
              <w:rPr>
                <w:rFonts w:ascii="Futura Std Condensed Light" w:hAnsi="Futura Std Condensed Light" w:cs="Futura"/>
              </w:rPr>
            </w:pPr>
            <w:r w:rsidRPr="00E35FBA">
              <w:rPr>
                <w:rFonts w:ascii="Futura Std Condensed Light" w:hAnsi="Futura Std Condensed Light" w:cs="Futura"/>
              </w:rPr>
              <w:t>16.87%</w:t>
            </w:r>
          </w:p>
        </w:tc>
      </w:tr>
      <w:tr w:rsidR="006D148B" w:rsidRPr="00E35FBA" w14:paraId="6C770A1B" w14:textId="77777777" w:rsidTr="00CE450D">
        <w:trPr>
          <w:trHeight w:val="327"/>
        </w:trPr>
        <w:tc>
          <w:tcPr>
            <w:tcW w:w="753" w:type="dxa"/>
          </w:tcPr>
          <w:p w14:paraId="55D842E3" w14:textId="77777777" w:rsidR="006D148B" w:rsidRPr="00E35FBA" w:rsidRDefault="006D148B" w:rsidP="009E3B2F">
            <w:pPr>
              <w:jc w:val="center"/>
              <w:rPr>
                <w:rFonts w:ascii="Futura Std Condensed Light" w:hAnsi="Futura Std Condensed Light" w:cs="Futura"/>
              </w:rPr>
            </w:pPr>
            <w:r w:rsidRPr="00E35FBA">
              <w:rPr>
                <w:rFonts w:ascii="Futura Std Condensed Light" w:hAnsi="Futura Std Condensed Light" w:cs="Futura"/>
              </w:rPr>
              <w:t>1990</w:t>
            </w:r>
          </w:p>
        </w:tc>
        <w:tc>
          <w:tcPr>
            <w:tcW w:w="1369" w:type="dxa"/>
          </w:tcPr>
          <w:p w14:paraId="648AD036" w14:textId="77777777" w:rsidR="006D148B" w:rsidRPr="00E35FBA" w:rsidRDefault="006D148B" w:rsidP="009E3B2F">
            <w:pPr>
              <w:autoSpaceDE w:val="0"/>
              <w:autoSpaceDN w:val="0"/>
              <w:adjustRightInd w:val="0"/>
              <w:spacing w:after="0" w:line="240" w:lineRule="auto"/>
              <w:jc w:val="center"/>
              <w:rPr>
                <w:rFonts w:ascii="Futura Std Condensed Light" w:hAnsi="Futura Std Condensed Light" w:cs="Futura"/>
              </w:rPr>
            </w:pPr>
            <w:r w:rsidRPr="00E35FBA">
              <w:rPr>
                <w:rFonts w:ascii="Futura Std Condensed Light" w:hAnsi="Futura Std Condensed Light" w:cs="Futura"/>
              </w:rPr>
              <w:t>288,019</w:t>
            </w:r>
          </w:p>
        </w:tc>
        <w:tc>
          <w:tcPr>
            <w:tcW w:w="1380" w:type="dxa"/>
          </w:tcPr>
          <w:p w14:paraId="3C6287FA" w14:textId="77777777" w:rsidR="006D148B" w:rsidRPr="00E35FBA" w:rsidRDefault="006D148B" w:rsidP="009E3B2F">
            <w:pPr>
              <w:jc w:val="center"/>
              <w:rPr>
                <w:rFonts w:ascii="Futura Std Condensed Light" w:hAnsi="Futura Std Condensed Light" w:cs="Futura"/>
              </w:rPr>
            </w:pPr>
            <w:r w:rsidRPr="00E35FBA">
              <w:rPr>
                <w:rFonts w:ascii="Futura Std Condensed Light" w:hAnsi="Futura Std Condensed Light" w:cs="Futura"/>
              </w:rPr>
              <w:t>251,742</w:t>
            </w:r>
          </w:p>
        </w:tc>
        <w:tc>
          <w:tcPr>
            <w:tcW w:w="829" w:type="dxa"/>
          </w:tcPr>
          <w:p w14:paraId="2B074BED" w14:textId="77777777" w:rsidR="006D148B" w:rsidRPr="00E35FBA" w:rsidRDefault="006D148B" w:rsidP="009E3B2F">
            <w:pPr>
              <w:jc w:val="center"/>
              <w:rPr>
                <w:rFonts w:ascii="Futura Std Condensed Light" w:hAnsi="Futura Std Condensed Light" w:cs="Futura"/>
              </w:rPr>
            </w:pPr>
            <w:r w:rsidRPr="00E35FBA">
              <w:rPr>
                <w:rFonts w:ascii="Futura Std Condensed Light" w:hAnsi="Futura Std Condensed Light" w:cs="Futura"/>
              </w:rPr>
              <w:t>35,323</w:t>
            </w:r>
          </w:p>
        </w:tc>
        <w:tc>
          <w:tcPr>
            <w:tcW w:w="1083" w:type="dxa"/>
          </w:tcPr>
          <w:p w14:paraId="51F88F39" w14:textId="77777777" w:rsidR="006D148B" w:rsidRPr="00E35FBA" w:rsidRDefault="006D148B" w:rsidP="009E3B2F">
            <w:pPr>
              <w:jc w:val="center"/>
              <w:rPr>
                <w:rFonts w:ascii="Futura Std Condensed Light" w:hAnsi="Futura Std Condensed Light" w:cs="Futura"/>
              </w:rPr>
            </w:pPr>
            <w:r w:rsidRPr="00E35FBA">
              <w:rPr>
                <w:rFonts w:ascii="Futura Std Condensed Light" w:hAnsi="Futura Std Condensed Light" w:cs="Futura"/>
              </w:rPr>
              <w:t>13,932</w:t>
            </w:r>
          </w:p>
        </w:tc>
        <w:tc>
          <w:tcPr>
            <w:tcW w:w="1335" w:type="dxa"/>
          </w:tcPr>
          <w:p w14:paraId="479B6C87" w14:textId="77777777" w:rsidR="006D148B" w:rsidRPr="00E35FBA" w:rsidRDefault="006D148B" w:rsidP="009E3B2F">
            <w:pPr>
              <w:jc w:val="center"/>
              <w:rPr>
                <w:rFonts w:ascii="Futura Std Condensed Light" w:hAnsi="Futura Std Condensed Light" w:cs="Futura"/>
              </w:rPr>
            </w:pPr>
            <w:r w:rsidRPr="00E35FBA">
              <w:rPr>
                <w:rFonts w:ascii="Futura Std Condensed Light" w:hAnsi="Futura Std Condensed Light" w:cs="Futura"/>
              </w:rPr>
              <w:t>21,391</w:t>
            </w:r>
          </w:p>
        </w:tc>
        <w:tc>
          <w:tcPr>
            <w:tcW w:w="1477" w:type="dxa"/>
          </w:tcPr>
          <w:p w14:paraId="309F4352" w14:textId="77777777" w:rsidR="006D148B" w:rsidRPr="00E35FBA" w:rsidRDefault="006D148B" w:rsidP="009E3B2F">
            <w:pPr>
              <w:jc w:val="center"/>
              <w:rPr>
                <w:rFonts w:ascii="Futura Std Condensed Light" w:hAnsi="Futura Std Condensed Light" w:cs="Futura"/>
              </w:rPr>
            </w:pPr>
            <w:r w:rsidRPr="00E35FBA">
              <w:rPr>
                <w:rFonts w:ascii="Futura Std Condensed Light" w:hAnsi="Futura Std Condensed Light" w:cs="Futura"/>
              </w:rPr>
              <w:t>954</w:t>
            </w:r>
          </w:p>
        </w:tc>
        <w:tc>
          <w:tcPr>
            <w:tcW w:w="1296" w:type="dxa"/>
          </w:tcPr>
          <w:p w14:paraId="68E6772E" w14:textId="77777777" w:rsidR="006D148B" w:rsidRPr="00E35FBA" w:rsidRDefault="006D148B" w:rsidP="009E3B2F">
            <w:pPr>
              <w:jc w:val="center"/>
              <w:rPr>
                <w:rFonts w:ascii="Futura Std Condensed Light" w:hAnsi="Futura Std Condensed Light" w:cs="Futura"/>
              </w:rPr>
            </w:pPr>
            <w:r w:rsidRPr="00E35FBA">
              <w:rPr>
                <w:rFonts w:ascii="Futura Std Condensed Light" w:hAnsi="Futura Std Condensed Light" w:cs="Futura"/>
              </w:rPr>
              <w:t>12.26%</w:t>
            </w:r>
          </w:p>
        </w:tc>
      </w:tr>
      <w:tr w:rsidR="006D148B" w:rsidRPr="00E35FBA" w14:paraId="60CC9E66" w14:textId="77777777" w:rsidTr="00CE450D">
        <w:tc>
          <w:tcPr>
            <w:tcW w:w="753" w:type="dxa"/>
          </w:tcPr>
          <w:p w14:paraId="2DCBAB51" w14:textId="77777777" w:rsidR="006D148B" w:rsidRPr="00E35FBA" w:rsidRDefault="006D148B" w:rsidP="009E3B2F">
            <w:pPr>
              <w:jc w:val="center"/>
              <w:rPr>
                <w:rFonts w:ascii="Futura Std Condensed Light" w:hAnsi="Futura Std Condensed Light" w:cs="Futura"/>
              </w:rPr>
            </w:pPr>
            <w:r w:rsidRPr="00E35FBA">
              <w:rPr>
                <w:rFonts w:ascii="Futura Std Condensed Light" w:hAnsi="Futura Std Condensed Light" w:cs="Futura"/>
              </w:rPr>
              <w:t>1995</w:t>
            </w:r>
          </w:p>
        </w:tc>
        <w:tc>
          <w:tcPr>
            <w:tcW w:w="1369" w:type="dxa"/>
          </w:tcPr>
          <w:p w14:paraId="7977FF7D" w14:textId="77777777" w:rsidR="006D148B" w:rsidRPr="00E35FBA" w:rsidRDefault="006D148B" w:rsidP="009E3B2F">
            <w:pPr>
              <w:autoSpaceDE w:val="0"/>
              <w:autoSpaceDN w:val="0"/>
              <w:adjustRightInd w:val="0"/>
              <w:spacing w:after="0" w:line="240" w:lineRule="auto"/>
              <w:jc w:val="center"/>
              <w:rPr>
                <w:rFonts w:ascii="Futura Std Condensed Light" w:hAnsi="Futura Std Condensed Light" w:cs="Futura"/>
              </w:rPr>
            </w:pPr>
            <w:r w:rsidRPr="00E35FBA">
              <w:rPr>
                <w:rFonts w:ascii="Futura Std Condensed Light" w:hAnsi="Futura Std Condensed Light" w:cs="Futura"/>
              </w:rPr>
              <w:t>440,066</w:t>
            </w:r>
          </w:p>
        </w:tc>
        <w:tc>
          <w:tcPr>
            <w:tcW w:w="1380" w:type="dxa"/>
          </w:tcPr>
          <w:p w14:paraId="0B91600A" w14:textId="77777777" w:rsidR="006D148B" w:rsidRPr="00E35FBA" w:rsidRDefault="006D148B" w:rsidP="009E3B2F">
            <w:pPr>
              <w:jc w:val="center"/>
              <w:rPr>
                <w:rFonts w:ascii="Futura Std Condensed Light" w:hAnsi="Futura Std Condensed Light" w:cs="Futura"/>
              </w:rPr>
            </w:pPr>
            <w:r w:rsidRPr="00E35FBA">
              <w:rPr>
                <w:rFonts w:ascii="Futura Std Condensed Light" w:hAnsi="Futura Std Condensed Light" w:cs="Futura"/>
              </w:rPr>
              <w:t>396,858</w:t>
            </w:r>
          </w:p>
        </w:tc>
        <w:tc>
          <w:tcPr>
            <w:tcW w:w="829" w:type="dxa"/>
          </w:tcPr>
          <w:p w14:paraId="631E1C66" w14:textId="77777777" w:rsidR="006D148B" w:rsidRPr="00E35FBA" w:rsidRDefault="006D148B" w:rsidP="009E3B2F">
            <w:pPr>
              <w:jc w:val="center"/>
              <w:rPr>
                <w:rFonts w:ascii="Futura Std Condensed Light" w:hAnsi="Futura Std Condensed Light" w:cs="Futura"/>
              </w:rPr>
            </w:pPr>
            <w:r w:rsidRPr="00E35FBA">
              <w:rPr>
                <w:rFonts w:ascii="Futura Std Condensed Light" w:hAnsi="Futura Std Condensed Light" w:cs="Futura"/>
              </w:rPr>
              <w:t>42,707</w:t>
            </w:r>
          </w:p>
        </w:tc>
        <w:tc>
          <w:tcPr>
            <w:tcW w:w="1083" w:type="dxa"/>
          </w:tcPr>
          <w:p w14:paraId="15345ACF" w14:textId="77777777" w:rsidR="006D148B" w:rsidRPr="00E35FBA" w:rsidRDefault="006D148B" w:rsidP="009E3B2F">
            <w:pPr>
              <w:jc w:val="center"/>
              <w:rPr>
                <w:rFonts w:ascii="Futura Std Condensed Light" w:hAnsi="Futura Std Condensed Light" w:cs="Futura"/>
              </w:rPr>
            </w:pPr>
            <w:r w:rsidRPr="00E35FBA">
              <w:rPr>
                <w:rFonts w:ascii="Futura Std Condensed Light" w:hAnsi="Futura Std Condensed Light" w:cs="Futura"/>
              </w:rPr>
              <w:t>16,905</w:t>
            </w:r>
          </w:p>
        </w:tc>
        <w:tc>
          <w:tcPr>
            <w:tcW w:w="1335" w:type="dxa"/>
          </w:tcPr>
          <w:p w14:paraId="148C844E" w14:textId="77777777" w:rsidR="006D148B" w:rsidRPr="00E35FBA" w:rsidRDefault="006D148B" w:rsidP="009E3B2F">
            <w:pPr>
              <w:jc w:val="center"/>
              <w:rPr>
                <w:rFonts w:ascii="Futura Std Condensed Light" w:hAnsi="Futura Std Condensed Light" w:cs="Futura"/>
              </w:rPr>
            </w:pPr>
            <w:r w:rsidRPr="00E35FBA">
              <w:rPr>
                <w:rFonts w:ascii="Futura Std Condensed Light" w:hAnsi="Futura Std Condensed Light" w:cs="Futura"/>
              </w:rPr>
              <w:t>25,802</w:t>
            </w:r>
          </w:p>
        </w:tc>
        <w:tc>
          <w:tcPr>
            <w:tcW w:w="1477" w:type="dxa"/>
          </w:tcPr>
          <w:p w14:paraId="6DBC544A" w14:textId="77777777" w:rsidR="006D148B" w:rsidRPr="00E35FBA" w:rsidRDefault="006D148B" w:rsidP="009E3B2F">
            <w:pPr>
              <w:jc w:val="center"/>
              <w:rPr>
                <w:rFonts w:ascii="Futura Std Condensed Light" w:hAnsi="Futura Std Condensed Light" w:cs="Futura"/>
              </w:rPr>
            </w:pPr>
            <w:r w:rsidRPr="00E35FBA">
              <w:rPr>
                <w:rFonts w:ascii="Futura Std Condensed Light" w:hAnsi="Futura Std Condensed Light" w:cs="Futura"/>
              </w:rPr>
              <w:t>501</w:t>
            </w:r>
          </w:p>
        </w:tc>
        <w:tc>
          <w:tcPr>
            <w:tcW w:w="1296" w:type="dxa"/>
          </w:tcPr>
          <w:p w14:paraId="6CFA7E4F" w14:textId="77777777" w:rsidR="006D148B" w:rsidRPr="00E35FBA" w:rsidRDefault="006D148B" w:rsidP="009E3B2F">
            <w:pPr>
              <w:jc w:val="center"/>
              <w:rPr>
                <w:rFonts w:ascii="Futura Std Condensed Light" w:hAnsi="Futura Std Condensed Light" w:cs="Futura"/>
              </w:rPr>
            </w:pPr>
            <w:r w:rsidRPr="00E35FBA">
              <w:rPr>
                <w:rFonts w:ascii="Futura Std Condensed Light" w:hAnsi="Futura Std Condensed Light" w:cs="Futura"/>
              </w:rPr>
              <w:t>9.70%</w:t>
            </w:r>
          </w:p>
        </w:tc>
      </w:tr>
      <w:tr w:rsidR="006D148B" w:rsidRPr="00E35FBA" w14:paraId="2EE5F8C7" w14:textId="77777777" w:rsidTr="00CE450D">
        <w:tc>
          <w:tcPr>
            <w:tcW w:w="753" w:type="dxa"/>
          </w:tcPr>
          <w:p w14:paraId="24E59915" w14:textId="77777777" w:rsidR="006D148B" w:rsidRPr="00E35FBA" w:rsidRDefault="006D148B" w:rsidP="009E3B2F">
            <w:pPr>
              <w:jc w:val="center"/>
              <w:rPr>
                <w:rFonts w:ascii="Futura Std Condensed Light" w:hAnsi="Futura Std Condensed Light" w:cs="Futura"/>
              </w:rPr>
            </w:pPr>
            <w:r w:rsidRPr="00E35FBA">
              <w:rPr>
                <w:rFonts w:ascii="Futura Std Condensed Light" w:hAnsi="Futura Std Condensed Light" w:cs="Futura"/>
              </w:rPr>
              <w:t>2000</w:t>
            </w:r>
          </w:p>
        </w:tc>
        <w:tc>
          <w:tcPr>
            <w:tcW w:w="1369" w:type="dxa"/>
          </w:tcPr>
          <w:p w14:paraId="172E6EEF" w14:textId="77777777" w:rsidR="006D148B" w:rsidRPr="00E35FBA" w:rsidRDefault="006D148B" w:rsidP="009E3B2F">
            <w:pPr>
              <w:autoSpaceDE w:val="0"/>
              <w:autoSpaceDN w:val="0"/>
              <w:adjustRightInd w:val="0"/>
              <w:spacing w:after="0" w:line="240" w:lineRule="auto"/>
              <w:jc w:val="center"/>
              <w:rPr>
                <w:rFonts w:ascii="Futura Std Condensed Light" w:hAnsi="Futura Std Condensed Light" w:cs="Futura"/>
              </w:rPr>
            </w:pPr>
            <w:r w:rsidRPr="00E35FBA">
              <w:rPr>
                <w:rFonts w:ascii="Futura Std Condensed Light" w:hAnsi="Futura Std Condensed Light" w:cs="Futura"/>
              </w:rPr>
              <w:t>559,713</w:t>
            </w:r>
          </w:p>
        </w:tc>
        <w:tc>
          <w:tcPr>
            <w:tcW w:w="1380" w:type="dxa"/>
          </w:tcPr>
          <w:p w14:paraId="6B62720E" w14:textId="77777777" w:rsidR="006D148B" w:rsidRPr="00E35FBA" w:rsidRDefault="006D148B" w:rsidP="009E3B2F">
            <w:pPr>
              <w:jc w:val="center"/>
              <w:rPr>
                <w:rFonts w:ascii="Futura Std Condensed Light" w:hAnsi="Futura Std Condensed Light" w:cs="Futura"/>
              </w:rPr>
            </w:pPr>
            <w:r w:rsidRPr="00E35FBA">
              <w:rPr>
                <w:rFonts w:ascii="Futura Std Condensed Light" w:hAnsi="Futura Std Condensed Light" w:cs="Futura"/>
              </w:rPr>
              <w:t>517,213</w:t>
            </w:r>
          </w:p>
        </w:tc>
        <w:tc>
          <w:tcPr>
            <w:tcW w:w="829" w:type="dxa"/>
          </w:tcPr>
          <w:p w14:paraId="3ABE7BDF" w14:textId="77777777" w:rsidR="006D148B" w:rsidRPr="00E35FBA" w:rsidRDefault="006D148B" w:rsidP="009E3B2F">
            <w:pPr>
              <w:jc w:val="center"/>
              <w:rPr>
                <w:rFonts w:ascii="Futura Std Condensed Light" w:hAnsi="Futura Std Condensed Light" w:cs="Futura"/>
              </w:rPr>
            </w:pPr>
            <w:r w:rsidRPr="00E35FBA">
              <w:rPr>
                <w:rFonts w:ascii="Futura Std Condensed Light" w:hAnsi="Futura Std Condensed Light" w:cs="Futura"/>
              </w:rPr>
              <w:t>42,064</w:t>
            </w:r>
          </w:p>
        </w:tc>
        <w:tc>
          <w:tcPr>
            <w:tcW w:w="1083" w:type="dxa"/>
          </w:tcPr>
          <w:p w14:paraId="38A2EC5C" w14:textId="77777777" w:rsidR="006D148B" w:rsidRPr="00E35FBA" w:rsidRDefault="006D148B" w:rsidP="009E3B2F">
            <w:pPr>
              <w:jc w:val="center"/>
              <w:rPr>
                <w:rFonts w:ascii="Futura Std Condensed Light" w:hAnsi="Futura Std Condensed Light" w:cs="Futura"/>
              </w:rPr>
            </w:pPr>
            <w:r w:rsidRPr="00E35FBA">
              <w:rPr>
                <w:rFonts w:ascii="Futura Std Condensed Light" w:hAnsi="Futura Std Condensed Light" w:cs="Futura"/>
              </w:rPr>
              <w:t>16,368</w:t>
            </w:r>
          </w:p>
        </w:tc>
        <w:tc>
          <w:tcPr>
            <w:tcW w:w="1335" w:type="dxa"/>
          </w:tcPr>
          <w:p w14:paraId="5D5250CC" w14:textId="77777777" w:rsidR="006D148B" w:rsidRPr="00E35FBA" w:rsidRDefault="006D148B" w:rsidP="009E3B2F">
            <w:pPr>
              <w:jc w:val="center"/>
              <w:rPr>
                <w:rFonts w:ascii="Futura Std Condensed Light" w:hAnsi="Futura Std Condensed Light" w:cs="Futura"/>
              </w:rPr>
            </w:pPr>
            <w:r w:rsidRPr="00E35FBA">
              <w:rPr>
                <w:rFonts w:ascii="Futura Std Condensed Light" w:hAnsi="Futura Std Condensed Light" w:cs="Futura"/>
              </w:rPr>
              <w:t>25,696</w:t>
            </w:r>
          </w:p>
        </w:tc>
        <w:tc>
          <w:tcPr>
            <w:tcW w:w="1477" w:type="dxa"/>
          </w:tcPr>
          <w:p w14:paraId="39F297F9" w14:textId="77777777" w:rsidR="006D148B" w:rsidRPr="00E35FBA" w:rsidRDefault="006D148B" w:rsidP="009E3B2F">
            <w:pPr>
              <w:jc w:val="center"/>
              <w:rPr>
                <w:rFonts w:ascii="Futura Std Condensed Light" w:hAnsi="Futura Std Condensed Light" w:cs="Futura"/>
              </w:rPr>
            </w:pPr>
            <w:r w:rsidRPr="00E35FBA">
              <w:rPr>
                <w:rFonts w:ascii="Futura Std Condensed Light" w:hAnsi="Futura Std Condensed Light" w:cs="Futura"/>
              </w:rPr>
              <w:t>436</w:t>
            </w:r>
          </w:p>
        </w:tc>
        <w:tc>
          <w:tcPr>
            <w:tcW w:w="1296" w:type="dxa"/>
          </w:tcPr>
          <w:p w14:paraId="2ABCFA95" w14:textId="77777777" w:rsidR="006D148B" w:rsidRPr="00E35FBA" w:rsidRDefault="006D148B" w:rsidP="009E3B2F">
            <w:pPr>
              <w:jc w:val="center"/>
              <w:rPr>
                <w:rFonts w:ascii="Futura Std Condensed Light" w:hAnsi="Futura Std Condensed Light" w:cs="Futura"/>
              </w:rPr>
            </w:pPr>
            <w:r w:rsidRPr="00E35FBA">
              <w:rPr>
                <w:rFonts w:ascii="Futura Std Condensed Light" w:hAnsi="Futura Std Condensed Light" w:cs="Futura"/>
              </w:rPr>
              <w:t>7.52%</w:t>
            </w:r>
          </w:p>
        </w:tc>
      </w:tr>
      <w:tr w:rsidR="006D148B" w:rsidRPr="00E35FBA" w14:paraId="51E94D05" w14:textId="77777777" w:rsidTr="00CE450D">
        <w:trPr>
          <w:trHeight w:val="163"/>
        </w:trPr>
        <w:tc>
          <w:tcPr>
            <w:tcW w:w="753" w:type="dxa"/>
          </w:tcPr>
          <w:p w14:paraId="4785AB2E" w14:textId="77777777" w:rsidR="006D148B" w:rsidRPr="00E35FBA" w:rsidRDefault="006D148B" w:rsidP="009E3B2F">
            <w:pPr>
              <w:jc w:val="center"/>
              <w:rPr>
                <w:rFonts w:ascii="Futura Std Condensed Light" w:hAnsi="Futura Std Condensed Light" w:cs="Futura"/>
              </w:rPr>
            </w:pPr>
            <w:r w:rsidRPr="00E35FBA">
              <w:rPr>
                <w:rFonts w:ascii="Futura Std Condensed Light" w:hAnsi="Futura Std Condensed Light" w:cs="Futura"/>
              </w:rPr>
              <w:t>2010</w:t>
            </w:r>
          </w:p>
        </w:tc>
        <w:tc>
          <w:tcPr>
            <w:tcW w:w="1369" w:type="dxa"/>
          </w:tcPr>
          <w:p w14:paraId="6E04E916" w14:textId="77777777" w:rsidR="006D148B" w:rsidRPr="00E35FBA" w:rsidRDefault="006D148B" w:rsidP="009E3B2F">
            <w:pPr>
              <w:autoSpaceDE w:val="0"/>
              <w:autoSpaceDN w:val="0"/>
              <w:adjustRightInd w:val="0"/>
              <w:spacing w:after="0" w:line="240" w:lineRule="auto"/>
              <w:jc w:val="center"/>
              <w:rPr>
                <w:rFonts w:ascii="Futura Std Condensed Light" w:hAnsi="Futura Std Condensed Light" w:cs="Futura"/>
              </w:rPr>
            </w:pPr>
            <w:r w:rsidRPr="00E35FBA">
              <w:rPr>
                <w:rFonts w:ascii="Futura Std Condensed Light" w:hAnsi="Futura Std Condensed Light" w:cs="Futura"/>
              </w:rPr>
              <w:t>924,855</w:t>
            </w:r>
          </w:p>
        </w:tc>
        <w:tc>
          <w:tcPr>
            <w:tcW w:w="1380" w:type="dxa"/>
          </w:tcPr>
          <w:p w14:paraId="4D6EE7FA" w14:textId="77777777" w:rsidR="006D148B" w:rsidRPr="00E35FBA" w:rsidRDefault="006D148B" w:rsidP="009E3B2F">
            <w:pPr>
              <w:jc w:val="center"/>
              <w:rPr>
                <w:rFonts w:ascii="Futura Std Condensed Light" w:hAnsi="Futura Std Condensed Light" w:cs="Futura"/>
              </w:rPr>
            </w:pPr>
            <w:r w:rsidRPr="00E35FBA">
              <w:rPr>
                <w:rFonts w:ascii="Futura Std Condensed Light" w:hAnsi="Futura Std Condensed Light" w:cs="Futura"/>
              </w:rPr>
              <w:t>864,030</w:t>
            </w:r>
          </w:p>
        </w:tc>
        <w:tc>
          <w:tcPr>
            <w:tcW w:w="829" w:type="dxa"/>
          </w:tcPr>
          <w:p w14:paraId="32C64CBE" w14:textId="77777777" w:rsidR="006D148B" w:rsidRPr="00E35FBA" w:rsidRDefault="006D148B" w:rsidP="009E3B2F">
            <w:pPr>
              <w:jc w:val="center"/>
              <w:rPr>
                <w:rFonts w:ascii="Futura Std Condensed Light" w:hAnsi="Futura Std Condensed Light" w:cs="Futura"/>
              </w:rPr>
            </w:pPr>
            <w:r w:rsidRPr="00E35FBA">
              <w:rPr>
                <w:rFonts w:ascii="Futura Std Condensed Light" w:hAnsi="Futura Std Condensed Light" w:cs="Futura"/>
              </w:rPr>
              <w:t>44,137</w:t>
            </w:r>
          </w:p>
        </w:tc>
        <w:tc>
          <w:tcPr>
            <w:tcW w:w="1083" w:type="dxa"/>
          </w:tcPr>
          <w:p w14:paraId="7C7AF694" w14:textId="77777777" w:rsidR="006D148B" w:rsidRPr="00E35FBA" w:rsidRDefault="006D148B" w:rsidP="009E3B2F">
            <w:pPr>
              <w:jc w:val="center"/>
              <w:rPr>
                <w:rFonts w:ascii="Futura Std Condensed Light" w:hAnsi="Futura Std Condensed Light" w:cs="Futura"/>
              </w:rPr>
            </w:pPr>
            <w:r w:rsidRPr="00E35FBA">
              <w:rPr>
                <w:rFonts w:ascii="Futura Std Condensed Light" w:hAnsi="Futura Std Condensed Light" w:cs="Futura"/>
              </w:rPr>
              <w:t>17,709</w:t>
            </w:r>
          </w:p>
        </w:tc>
        <w:tc>
          <w:tcPr>
            <w:tcW w:w="1335" w:type="dxa"/>
          </w:tcPr>
          <w:p w14:paraId="145278A4" w14:textId="77777777" w:rsidR="006D148B" w:rsidRPr="00E35FBA" w:rsidRDefault="006D148B" w:rsidP="009E3B2F">
            <w:pPr>
              <w:jc w:val="center"/>
              <w:rPr>
                <w:rFonts w:ascii="Futura Std Condensed Light" w:hAnsi="Futura Std Condensed Light" w:cs="Futura"/>
              </w:rPr>
            </w:pPr>
            <w:r w:rsidRPr="00E35FBA">
              <w:rPr>
                <w:rFonts w:ascii="Futura Std Condensed Light" w:hAnsi="Futura Std Condensed Light" w:cs="Futura"/>
              </w:rPr>
              <w:t>26,428</w:t>
            </w:r>
          </w:p>
        </w:tc>
        <w:tc>
          <w:tcPr>
            <w:tcW w:w="1477" w:type="dxa"/>
          </w:tcPr>
          <w:p w14:paraId="3AEADC35" w14:textId="77777777" w:rsidR="006D148B" w:rsidRPr="00E35FBA" w:rsidRDefault="006D148B" w:rsidP="009E3B2F">
            <w:pPr>
              <w:jc w:val="center"/>
              <w:rPr>
                <w:rFonts w:ascii="Futura Std Condensed Light" w:hAnsi="Futura Std Condensed Light" w:cs="Futura"/>
              </w:rPr>
            </w:pPr>
            <w:r w:rsidRPr="00E35FBA">
              <w:rPr>
                <w:rFonts w:ascii="Futura Std Condensed Light" w:hAnsi="Futura Std Condensed Light" w:cs="Futura"/>
              </w:rPr>
              <w:t>16,688</w:t>
            </w:r>
          </w:p>
        </w:tc>
        <w:tc>
          <w:tcPr>
            <w:tcW w:w="1296" w:type="dxa"/>
          </w:tcPr>
          <w:p w14:paraId="5F0EB2AC" w14:textId="77777777" w:rsidR="006D148B" w:rsidRPr="00E35FBA" w:rsidRDefault="006D148B" w:rsidP="009E3B2F">
            <w:pPr>
              <w:jc w:val="center"/>
              <w:rPr>
                <w:rFonts w:ascii="Futura Std Condensed Light" w:hAnsi="Futura Std Condensed Light" w:cs="Futura"/>
              </w:rPr>
            </w:pPr>
            <w:r w:rsidRPr="00E35FBA">
              <w:rPr>
                <w:rFonts w:ascii="Futura Std Condensed Light" w:hAnsi="Futura Std Condensed Light" w:cs="Futura"/>
              </w:rPr>
              <w:t>4.77%</w:t>
            </w:r>
          </w:p>
        </w:tc>
      </w:tr>
    </w:tbl>
    <w:p w14:paraId="7E3C9F2A" w14:textId="77777777" w:rsidR="006D148B" w:rsidRPr="00E35FBA" w:rsidRDefault="006D148B" w:rsidP="006D148B">
      <w:pPr>
        <w:rPr>
          <w:rFonts w:eastAsia="Times New Roman" w:cs="Futura"/>
          <w:sz w:val="16"/>
        </w:rPr>
      </w:pPr>
      <w:r w:rsidRPr="00E35FBA">
        <w:rPr>
          <w:rFonts w:eastAsia="Times New Roman" w:cs="Futura"/>
          <w:sz w:val="16"/>
        </w:rPr>
        <w:t>Fuente: Elaborado con información del sitio web http://www.inegi.org.mx/est/contenidos/proyectos/CCP</w:t>
      </w:r>
    </w:p>
    <w:p w14:paraId="20B3C9D3" w14:textId="4B852D2A" w:rsidR="00030CFD" w:rsidRDefault="006D148B" w:rsidP="00886807">
      <w:pPr>
        <w:rPr>
          <w:rFonts w:eastAsia="Times New Roman" w:cs="Futura"/>
        </w:rPr>
      </w:pPr>
      <w:r w:rsidRPr="00E35FBA">
        <w:rPr>
          <w:rFonts w:eastAsia="Times New Roman" w:cs="Futura"/>
        </w:rPr>
        <w:t xml:space="preserve">En el cuadro </w:t>
      </w:r>
      <w:r>
        <w:rPr>
          <w:rFonts w:eastAsia="Times New Roman" w:cs="Futura"/>
        </w:rPr>
        <w:t xml:space="preserve">19 </w:t>
      </w:r>
      <w:r w:rsidRPr="00E35FBA">
        <w:rPr>
          <w:rFonts w:eastAsia="Times New Roman" w:cs="Futura"/>
        </w:rPr>
        <w:t xml:space="preserve"> se puede observar que la estadística del analfabetismo en el Estado, ha ido disminuyendo con el transcurso de los años, es decir, que las políticas públicas implementadas para contribuir a la disminución del rezago educativo han proporcionado resultados positivos, siendo un factor importante en estas acciones, la existencia de un Instituto en el Estado que cuente con infraestructura adecuada y recursos humanos y </w:t>
      </w:r>
      <w:r w:rsidRPr="00E35FBA">
        <w:rPr>
          <w:rFonts w:eastAsia="Times New Roman" w:cs="Futura"/>
        </w:rPr>
        <w:lastRenderedPageBreak/>
        <w:t xml:space="preserve">financieros para el desarrollo de las actividades correspondientes, como es el caso del Instituto Estatal para la </w:t>
      </w:r>
      <w:r>
        <w:rPr>
          <w:rFonts w:eastAsia="Times New Roman" w:cs="Futura"/>
        </w:rPr>
        <w:t>Educación de Jóvenes y Adultos.</w:t>
      </w:r>
    </w:p>
    <w:p w14:paraId="4EF0CE98" w14:textId="77777777" w:rsidR="006D148B" w:rsidRPr="00E35FBA" w:rsidRDefault="006D148B" w:rsidP="006D148B">
      <w:pPr>
        <w:spacing w:before="120" w:after="120"/>
        <w:jc w:val="center"/>
        <w:rPr>
          <w:rFonts w:eastAsia="Arial" w:cs="Times New Roman"/>
          <w:b/>
          <w:bCs/>
          <w:color w:val="4BACC6"/>
          <w:lang w:val="es-MX" w:eastAsia="en-US"/>
        </w:rPr>
      </w:pPr>
      <w:r>
        <w:rPr>
          <w:rFonts w:eastAsia="Arial" w:cs="Times New Roman"/>
          <w:b/>
          <w:bCs/>
          <w:color w:val="4BACC6"/>
          <w:lang w:val="es-MX" w:eastAsia="en-US"/>
        </w:rPr>
        <w:t>Gráfica 9</w:t>
      </w:r>
      <w:r w:rsidRPr="00E35FBA">
        <w:rPr>
          <w:rFonts w:eastAsia="Arial" w:cs="Times New Roman"/>
          <w:b/>
          <w:bCs/>
          <w:color w:val="4BACC6"/>
          <w:lang w:val="es-MX" w:eastAsia="en-US"/>
        </w:rPr>
        <w:t>. Analfabetismo por género en la población de 15 años y más.</w:t>
      </w:r>
    </w:p>
    <w:p w14:paraId="07328AB1" w14:textId="77777777" w:rsidR="006D148B" w:rsidRPr="00E35FBA" w:rsidRDefault="006D148B" w:rsidP="006D148B">
      <w:pPr>
        <w:jc w:val="center"/>
        <w:rPr>
          <w:rFonts w:eastAsia="MS PGothic" w:cs="Times New Roman"/>
          <w:sz w:val="23"/>
          <w:szCs w:val="23"/>
        </w:rPr>
      </w:pPr>
      <w:r w:rsidRPr="00E35FBA">
        <w:rPr>
          <w:rFonts w:eastAsia="Calibri" w:cs="Times New Roman"/>
          <w:noProof/>
          <w:szCs w:val="22"/>
          <w:lang w:val="es-MX" w:eastAsia="es-MX"/>
        </w:rPr>
        <w:drawing>
          <wp:inline distT="0" distB="0" distL="0" distR="0" wp14:anchorId="7DF34E14" wp14:editId="4E783141">
            <wp:extent cx="4905375" cy="1943100"/>
            <wp:effectExtent l="0" t="0" r="0" b="0"/>
            <wp:docPr id="5" name="Gráfico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8FF6A3D" w14:textId="66EE476A" w:rsidR="00AE16F1" w:rsidRDefault="006D148B" w:rsidP="006D148B">
      <w:pPr>
        <w:jc w:val="center"/>
        <w:rPr>
          <w:rFonts w:eastAsia="Times New Roman" w:cs="Futura"/>
          <w:sz w:val="16"/>
        </w:rPr>
      </w:pPr>
      <w:r w:rsidRPr="00E35FBA">
        <w:rPr>
          <w:rFonts w:eastAsia="Times New Roman" w:cs="Futura"/>
          <w:sz w:val="16"/>
        </w:rPr>
        <w:t>Fuente: Instituto Estatal para la Educación de los Jóvenes y Adultos de Q. Roo 2015.</w:t>
      </w:r>
    </w:p>
    <w:p w14:paraId="399B7A01" w14:textId="77777777" w:rsidR="006D148B" w:rsidRPr="00E35FBA" w:rsidRDefault="006D148B" w:rsidP="006D148B">
      <w:pPr>
        <w:rPr>
          <w:rFonts w:eastAsia="Times New Roman" w:cs="Futura"/>
        </w:rPr>
      </w:pPr>
      <w:r w:rsidRPr="00E35FBA">
        <w:rPr>
          <w:rFonts w:eastAsia="Times New Roman" w:cs="Futura"/>
        </w:rPr>
        <w:t>Como se puede apreciar, dentro de la población de 15 años y más que se encuentra en rezago educativo, el mayor porcentaje está integrado por personas del sexo femenino. Esta tendencia se mantiene constante a través de los años, pues el porcentaje de mujeres analf</w:t>
      </w:r>
      <w:r>
        <w:rPr>
          <w:rFonts w:eastAsia="Times New Roman" w:cs="Futura"/>
        </w:rPr>
        <w:t>abetas se encuentra entre el 58 y 61 por ciento</w:t>
      </w:r>
      <w:r w:rsidRPr="00E35FBA">
        <w:rPr>
          <w:rFonts w:eastAsia="Times New Roman" w:cs="Futura"/>
        </w:rPr>
        <w:t xml:space="preserve"> de la población total en esa situación.</w:t>
      </w:r>
    </w:p>
    <w:p w14:paraId="1CA45C05" w14:textId="77777777" w:rsidR="006D148B" w:rsidRDefault="006D148B" w:rsidP="006D148B">
      <w:pPr>
        <w:rPr>
          <w:rFonts w:eastAsia="Times New Roman" w:cs="Futura"/>
        </w:rPr>
      </w:pPr>
      <w:r w:rsidRPr="00E35FBA">
        <w:rPr>
          <w:rFonts w:eastAsia="Times New Roman" w:cs="Futura"/>
        </w:rPr>
        <w:t>De acuerdo al censo de población y vivienda del 2010 en México, por cada 6 hombres analfabetos, hay 8 mujeres mayores de 15 años que nos saben leer y escribir. Una de las causas principales de esta desigualdad, se origina porque las mujeres siguen siendo un sector oprimido y como consecuencia vulnerable dentro de la sociedad y las condiciones económicas, sociales y familiares, no les favorecen para estudiar.</w:t>
      </w:r>
    </w:p>
    <w:p w14:paraId="686AF59E" w14:textId="77777777" w:rsidR="006D148B" w:rsidRPr="00E35FBA" w:rsidRDefault="006D148B" w:rsidP="006D148B">
      <w:pPr>
        <w:rPr>
          <w:rFonts w:eastAsia="Times New Roman" w:cs="Futura"/>
        </w:rPr>
      </w:pPr>
      <w:r>
        <w:rPr>
          <w:rFonts w:eastAsia="Times New Roman" w:cs="Futura"/>
        </w:rPr>
        <w:t xml:space="preserve">El Instituto Estatal para la Educación de Jóvenes y Adultos (IEEA), es el organismo encargado en el Estado de Quintana Roo de promover y realizar acciones para organizar e impartir educación a individuos de 15 años o más que no se incorporaron o abandonaron el sistema educativo. </w:t>
      </w:r>
    </w:p>
    <w:p w14:paraId="01EED5E8" w14:textId="1648BF2A" w:rsidR="00374A10" w:rsidRPr="0089009A" w:rsidRDefault="006D148B" w:rsidP="006D148B">
      <w:pPr>
        <w:rPr>
          <w:rFonts w:eastAsia="Times New Roman" w:cs="Futura"/>
        </w:rPr>
      </w:pPr>
      <w:r w:rsidRPr="0089009A">
        <w:rPr>
          <w:rFonts w:eastAsia="Times New Roman" w:cs="Futura"/>
        </w:rPr>
        <w:t xml:space="preserve">En 2015, la población estatal de 15 años y más que se encuentra en rezago educativo es de 305 mil 507 personas, de estas, 42 mil 209 no saben leer ni escribir, 102 mil 500 no han concluido su educación primaria y 160 mil 798 no ha terminado la secundaria. La tasa de rezago educativo fue de 28.0 por ciento, durante las últimas tres décadas disminuyo 35.6 </w:t>
      </w:r>
      <w:r w:rsidRPr="0089009A">
        <w:rPr>
          <w:rFonts w:eastAsia="Times New Roman" w:cs="Futura"/>
        </w:rPr>
        <w:lastRenderedPageBreak/>
        <w:t>puntos porcentuales, pasando de 68.1 en 1980 a 32.5 por ciento en 2010, una disminución promedio de 11.84 puntos porcentuales cada diez años. Durante los últimos 5 años el rezago paso de 32.5 en 2010 a 28.0 en 2015 una disminución de 4.5 puntos porcentuales, una disminución promedio de 0.90 puntos</w:t>
      </w:r>
      <w:r>
        <w:rPr>
          <w:rFonts w:eastAsia="Times New Roman" w:cs="Futura"/>
        </w:rPr>
        <w:t xml:space="preserve"> porcentuales por año, gráfica 10. </w:t>
      </w:r>
      <w:r w:rsidRPr="0089009A">
        <w:rPr>
          <w:rFonts w:eastAsia="Times New Roman" w:cs="Futura"/>
        </w:rPr>
        <w:t xml:space="preserve"> </w:t>
      </w:r>
    </w:p>
    <w:p w14:paraId="2684812E" w14:textId="77777777" w:rsidR="006D148B" w:rsidRPr="002B293D" w:rsidRDefault="006D148B" w:rsidP="006D148B">
      <w:pPr>
        <w:spacing w:after="0"/>
        <w:jc w:val="center"/>
        <w:rPr>
          <w:b/>
          <w:color w:val="4BACC6" w:themeColor="accent5"/>
        </w:rPr>
      </w:pPr>
      <w:r>
        <w:rPr>
          <w:b/>
          <w:color w:val="4BACC6" w:themeColor="accent5"/>
        </w:rPr>
        <w:t xml:space="preserve">Gráfica 10. </w:t>
      </w:r>
      <w:r w:rsidRPr="002B293D">
        <w:rPr>
          <w:b/>
          <w:color w:val="4BACC6" w:themeColor="accent5"/>
        </w:rPr>
        <w:t>Rezago en la escolarización de la población de 15 años o más</w:t>
      </w:r>
    </w:p>
    <w:p w14:paraId="445C8C7D" w14:textId="77777777" w:rsidR="006D148B" w:rsidRPr="00E109FE" w:rsidRDefault="006D148B" w:rsidP="006D148B">
      <w:pPr>
        <w:spacing w:after="0"/>
        <w:jc w:val="center"/>
        <w:rPr>
          <w:b/>
          <w:color w:val="4BACC6" w:themeColor="accent5"/>
        </w:rPr>
      </w:pPr>
      <w:r>
        <w:rPr>
          <w:b/>
          <w:color w:val="4BACC6" w:themeColor="accent5"/>
        </w:rPr>
        <w:t>en Quintana Roo, 1980-2015</w:t>
      </w:r>
    </w:p>
    <w:p w14:paraId="2D867BE4" w14:textId="77777777" w:rsidR="006D148B" w:rsidRDefault="006D148B" w:rsidP="006D148B">
      <w:pPr>
        <w:spacing w:after="0"/>
        <w:jc w:val="center"/>
      </w:pPr>
      <w:r>
        <w:rPr>
          <w:noProof/>
          <w:lang w:val="es-MX" w:eastAsia="es-MX"/>
        </w:rPr>
        <w:drawing>
          <wp:inline distT="0" distB="0" distL="0" distR="0" wp14:anchorId="035311C8" wp14:editId="24DDCA00">
            <wp:extent cx="5158596" cy="1647645"/>
            <wp:effectExtent l="0" t="0" r="23495" b="10160"/>
            <wp:docPr id="16" name="Gráfico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3FCE7499" w14:textId="11DF6315" w:rsidR="006D148B" w:rsidRPr="00030CFD" w:rsidRDefault="006D148B" w:rsidP="00030CFD">
      <w:pPr>
        <w:pStyle w:val="Textonotapie"/>
        <w:rPr>
          <w:rFonts w:ascii="Futura T OT" w:eastAsiaTheme="minorEastAsia" w:hAnsi="Futura T OT" w:cstheme="minorBidi"/>
          <w:sz w:val="24"/>
          <w:szCs w:val="16"/>
          <w:lang w:val="es-ES_tradnl" w:eastAsia="es-ES"/>
        </w:rPr>
      </w:pPr>
      <w:r w:rsidRPr="005268E8">
        <w:rPr>
          <w:rFonts w:ascii="Futura T OT" w:eastAsiaTheme="minorEastAsia" w:hAnsi="Futura T OT" w:cstheme="minorBidi"/>
          <w:szCs w:val="16"/>
          <w:lang w:val="es-ES_tradnl" w:eastAsia="es-ES"/>
        </w:rPr>
        <w:t xml:space="preserve">Fuente: Subdirección de Información y Estadística del Instituto Nacional para la </w:t>
      </w:r>
      <w:r>
        <w:rPr>
          <w:rFonts w:ascii="Futura T OT" w:eastAsiaTheme="minorEastAsia" w:hAnsi="Futura T OT" w:cstheme="minorBidi"/>
          <w:szCs w:val="16"/>
          <w:lang w:val="es-ES_tradnl" w:eastAsia="es-ES"/>
        </w:rPr>
        <w:t>Educación de los Adultos, INEA.</w:t>
      </w:r>
    </w:p>
    <w:p w14:paraId="6E5BEEA4" w14:textId="77777777" w:rsidR="006D148B" w:rsidRDefault="006D148B" w:rsidP="006D148B">
      <w:pPr>
        <w:rPr>
          <w:rFonts w:eastAsia="Times New Roman" w:cs="Futura"/>
        </w:rPr>
      </w:pPr>
      <w:r w:rsidRPr="00E35FBA">
        <w:rPr>
          <w:rFonts w:eastAsia="Times New Roman" w:cs="Futura"/>
        </w:rPr>
        <w:t>El objetivo del IEEA es contribuir a la disminución del rezago educativo en la población de 15 años y más que se encuentran en esa situación. Para ello, dentro de los servicios que ofrece a la comunidad se encuentran los Programas de Alfabetización y de Educación Básica, este último contempla la educación primaria y secundaria. Dentro de cada uno de estos programas, existe la atención especial a grupos vulnerables como población indígena, ciegos y débiles visuales, jornaleros agrícolas migrantes y niños de 10 a 14 años que aband</w:t>
      </w:r>
      <w:r>
        <w:rPr>
          <w:rFonts w:eastAsia="Times New Roman" w:cs="Futura"/>
        </w:rPr>
        <w:t>onaron el sistema escolarizado.</w:t>
      </w:r>
    </w:p>
    <w:p w14:paraId="57DEFA58" w14:textId="00D15EC6" w:rsidR="006D148B" w:rsidRDefault="006D148B" w:rsidP="00582297">
      <w:pPr>
        <w:rPr>
          <w:rFonts w:eastAsia="Times New Roman" w:cs="Futura"/>
        </w:rPr>
      </w:pPr>
      <w:r w:rsidRPr="00E35FBA">
        <w:rPr>
          <w:rFonts w:eastAsia="Times New Roman" w:cs="Futura"/>
        </w:rPr>
        <w:t xml:space="preserve">Sin embargo, </w:t>
      </w:r>
      <w:r>
        <w:rPr>
          <w:rFonts w:eastAsia="Times New Roman" w:cs="Futura"/>
        </w:rPr>
        <w:t>aún existen retos importantes en la erradicación del rezago educativo</w:t>
      </w:r>
      <w:r w:rsidRPr="00E35FBA">
        <w:rPr>
          <w:rFonts w:eastAsia="Times New Roman" w:cs="Futura"/>
        </w:rPr>
        <w:t>, pues debido a factores externos a la Institución, como el crecimiento poblacional, la deserción escolar,</w:t>
      </w:r>
      <w:r>
        <w:rPr>
          <w:rFonts w:eastAsia="Times New Roman" w:cs="Futura"/>
        </w:rPr>
        <w:t xml:space="preserve"> los factores de migración de la población,</w:t>
      </w:r>
      <w:r w:rsidRPr="00E35FBA">
        <w:rPr>
          <w:rFonts w:eastAsia="Times New Roman" w:cs="Futura"/>
        </w:rPr>
        <w:t xml:space="preserve"> la situación económica por la que atraviesa el país, entre otros, oca</w:t>
      </w:r>
      <w:r>
        <w:rPr>
          <w:rFonts w:eastAsia="Times New Roman" w:cs="Futura"/>
        </w:rPr>
        <w:t>siona que sea un riesgo latente</w:t>
      </w:r>
      <w:r w:rsidRPr="00E35FBA">
        <w:rPr>
          <w:rFonts w:eastAsia="Times New Roman" w:cs="Futura"/>
        </w:rPr>
        <w:t xml:space="preserve"> el incremento de la población en rezago educativo; por lo que es importante, fortalecer al Instituto para que continúe con las labores proyectadas a favor de contribuir a la disminución del rezago educativo.</w:t>
      </w:r>
    </w:p>
    <w:p w14:paraId="2036EA0C" w14:textId="430AF7C5" w:rsidR="00E93157" w:rsidRDefault="00E93157">
      <w:pPr>
        <w:spacing w:after="0" w:line="240" w:lineRule="auto"/>
        <w:jc w:val="left"/>
        <w:rPr>
          <w:rFonts w:eastAsia="Times New Roman" w:cs="Futura"/>
        </w:rPr>
      </w:pPr>
      <w:r>
        <w:rPr>
          <w:rFonts w:eastAsia="Times New Roman" w:cs="Futura"/>
        </w:rPr>
        <w:br w:type="page"/>
      </w:r>
    </w:p>
    <w:p w14:paraId="75BD8D4C" w14:textId="77A1CA35" w:rsidR="006D148B" w:rsidRDefault="00B529B9" w:rsidP="006D148B">
      <w:pPr>
        <w:autoSpaceDE w:val="0"/>
        <w:autoSpaceDN w:val="0"/>
        <w:adjustRightInd w:val="0"/>
        <w:spacing w:after="0"/>
        <w:rPr>
          <w:rFonts w:eastAsia="Times New Roman" w:cs="Futura"/>
          <w:b/>
        </w:rPr>
      </w:pPr>
      <w:r>
        <w:rPr>
          <w:rFonts w:eastAsia="Times New Roman" w:cs="Futura"/>
          <w:b/>
        </w:rPr>
        <w:lastRenderedPageBreak/>
        <w:t>Fomento a la Investigación e ci</w:t>
      </w:r>
      <w:r w:rsidR="006D148B">
        <w:rPr>
          <w:rFonts w:eastAsia="Times New Roman" w:cs="Futura"/>
          <w:b/>
        </w:rPr>
        <w:t>entífica</w:t>
      </w:r>
      <w:r>
        <w:rPr>
          <w:rFonts w:eastAsia="Times New Roman" w:cs="Futura"/>
          <w:b/>
        </w:rPr>
        <w:t xml:space="preserve">, el Desarrollo Tecnológico, la Innovación </w:t>
      </w:r>
      <w:r w:rsidR="006D148B">
        <w:rPr>
          <w:rFonts w:eastAsia="Times New Roman" w:cs="Futura"/>
          <w:b/>
        </w:rPr>
        <w:t xml:space="preserve"> y</w:t>
      </w:r>
      <w:r>
        <w:rPr>
          <w:rFonts w:eastAsia="Times New Roman" w:cs="Futura"/>
          <w:b/>
        </w:rPr>
        <w:t xml:space="preserve"> el  P</w:t>
      </w:r>
      <w:r w:rsidR="006D148B">
        <w:rPr>
          <w:rFonts w:eastAsia="Times New Roman" w:cs="Futura"/>
          <w:b/>
        </w:rPr>
        <w:t>osgrado</w:t>
      </w:r>
    </w:p>
    <w:p w14:paraId="03E28CA2" w14:textId="77777777" w:rsidR="006D148B" w:rsidRDefault="006D148B" w:rsidP="006D148B">
      <w:pPr>
        <w:autoSpaceDE w:val="0"/>
        <w:autoSpaceDN w:val="0"/>
        <w:adjustRightInd w:val="0"/>
        <w:spacing w:after="0"/>
        <w:rPr>
          <w:rFonts w:eastAsia="Times New Roman" w:cs="Futura"/>
          <w:b/>
        </w:rPr>
      </w:pPr>
    </w:p>
    <w:p w14:paraId="2539C53F" w14:textId="77777777" w:rsidR="006D148B" w:rsidRPr="005C4328" w:rsidRDefault="006D148B" w:rsidP="006D148B">
      <w:pPr>
        <w:rPr>
          <w:rFonts w:eastAsia="Times New Roman" w:cs="Futura"/>
        </w:rPr>
      </w:pPr>
      <w:r w:rsidRPr="005C4328">
        <w:rPr>
          <w:rFonts w:eastAsia="Times New Roman" w:cs="Futura"/>
        </w:rPr>
        <w:t xml:space="preserve">La generación de riqueza y crecimiento de una sociedad se explica por las capacidades para generar nuevos conocimientos científicos, traducirlos en nuevas tecnologías, y realizar innovaciones que impulsen la eficiencia de los factores de producción, creando finalmente condiciones de bienestar en la colectividad y en lo individual. </w:t>
      </w:r>
    </w:p>
    <w:p w14:paraId="3450C3AD" w14:textId="77777777" w:rsidR="006D148B" w:rsidRPr="005C4328" w:rsidRDefault="006D148B" w:rsidP="00582297">
      <w:pPr>
        <w:rPr>
          <w:rFonts w:eastAsia="Times New Roman" w:cs="Futura"/>
        </w:rPr>
      </w:pPr>
      <w:r>
        <w:rPr>
          <w:rFonts w:eastAsia="Times New Roman" w:cs="Futura"/>
        </w:rPr>
        <w:t>En México, l</w:t>
      </w:r>
      <w:r w:rsidRPr="005C4328">
        <w:rPr>
          <w:rFonts w:eastAsia="Times New Roman" w:cs="Futura"/>
        </w:rPr>
        <w:t>a inversión en Ciencia, Tecnología e Innovación como porcentaje del Producto Interno Bruto Nacional fue en promedio de 0.48</w:t>
      </w:r>
      <w:r>
        <w:rPr>
          <w:rFonts w:eastAsia="Times New Roman" w:cs="Futura"/>
        </w:rPr>
        <w:t xml:space="preserve"> por ciento</w:t>
      </w:r>
      <w:r w:rsidRPr="005C4328">
        <w:rPr>
          <w:rFonts w:eastAsia="Times New Roman" w:cs="Futura"/>
        </w:rPr>
        <w:t xml:space="preserve">. En los últimos cinco </w:t>
      </w:r>
      <w:r>
        <w:rPr>
          <w:rFonts w:eastAsia="Times New Roman" w:cs="Futura"/>
        </w:rPr>
        <w:t>años, en contraste con el 2.24 por ciento</w:t>
      </w:r>
      <w:r w:rsidRPr="005C4328">
        <w:rPr>
          <w:rFonts w:eastAsia="Times New Roman" w:cs="Futura"/>
        </w:rPr>
        <w:t xml:space="preserve"> dedicado en promedio por los países miembros de la Organización para la Cooperación y el Desarrollo Económico (OCDE) en el período comprendido entre el año 2000 y el 2015.  </w:t>
      </w:r>
    </w:p>
    <w:p w14:paraId="67049D02" w14:textId="77777777" w:rsidR="006D148B" w:rsidRPr="005C4328" w:rsidRDefault="006D148B" w:rsidP="00582297">
      <w:pPr>
        <w:rPr>
          <w:rFonts w:eastAsia="Times New Roman" w:cs="Futura"/>
        </w:rPr>
      </w:pPr>
      <w:r w:rsidRPr="005C4328">
        <w:rPr>
          <w:rFonts w:eastAsia="Times New Roman" w:cs="Futura"/>
        </w:rPr>
        <w:t>Por otra parte, del Gasto Federal en Ciencia, Tecnología como porcentaje del Producto Interno Bruto (PIB) experimento un crecimiento sostenido a partir de 2012, hasta alcanzar, de acuerdo con datos del Foro Consultivo</w:t>
      </w:r>
      <w:r>
        <w:rPr>
          <w:rFonts w:eastAsia="Times New Roman" w:cs="Futura"/>
        </w:rPr>
        <w:t xml:space="preserve"> Científico y Tecnológico, 0.55 por ciento</w:t>
      </w:r>
      <w:r w:rsidRPr="005C4328">
        <w:rPr>
          <w:rFonts w:eastAsia="Times New Roman" w:cs="Futura"/>
        </w:rPr>
        <w:t xml:space="preserve"> en el 2015, para posteriormente desce</w:t>
      </w:r>
      <w:r>
        <w:rPr>
          <w:rFonts w:eastAsia="Times New Roman" w:cs="Futura"/>
        </w:rPr>
        <w:t>nder a 0.51 por ciento</w:t>
      </w:r>
      <w:r w:rsidRPr="005C4328">
        <w:rPr>
          <w:rFonts w:eastAsia="Times New Roman" w:cs="Futura"/>
        </w:rPr>
        <w:t xml:space="preserve"> en el 2017.</w:t>
      </w:r>
    </w:p>
    <w:p w14:paraId="53517A1A" w14:textId="77777777" w:rsidR="006D148B" w:rsidRPr="005C4328" w:rsidRDefault="006D148B" w:rsidP="00582297">
      <w:pPr>
        <w:rPr>
          <w:rFonts w:eastAsia="Times New Roman" w:cs="Futura"/>
        </w:rPr>
      </w:pPr>
      <w:r w:rsidRPr="005C4328">
        <w:rPr>
          <w:rFonts w:eastAsia="Times New Roman" w:cs="Futura"/>
        </w:rPr>
        <w:t xml:space="preserve">De acuerdo con el INEGI, Quintana Roo tuvo en 2015 un Producto Interno Bruto de 223, 437 millones de pesos, a precios constantes de 2008; en ese mismo año, el Estado destinó </w:t>
      </w:r>
      <w:r>
        <w:rPr>
          <w:rFonts w:eastAsia="Times New Roman" w:cs="Futura"/>
        </w:rPr>
        <w:t>0.01454 por ciento</w:t>
      </w:r>
      <w:r w:rsidRPr="005C4328">
        <w:rPr>
          <w:rFonts w:eastAsia="Times New Roman" w:cs="Futura"/>
        </w:rPr>
        <w:t xml:space="preserve"> de su PIB a actividades científicas, tecnológicas y de innovación; observándose un incremento gradual para alcanzar el 0.02</w:t>
      </w:r>
      <w:r>
        <w:rPr>
          <w:rFonts w:eastAsia="Times New Roman" w:cs="Futura"/>
        </w:rPr>
        <w:t xml:space="preserve"> por ciento</w:t>
      </w:r>
      <w:r w:rsidRPr="005C4328">
        <w:rPr>
          <w:rFonts w:eastAsia="Times New Roman" w:cs="Futura"/>
        </w:rPr>
        <w:t xml:space="preserve"> en 2017, y</w:t>
      </w:r>
      <w:r>
        <w:rPr>
          <w:rFonts w:eastAsia="Times New Roman" w:cs="Futura"/>
        </w:rPr>
        <w:t xml:space="preserve"> disminuir nuevamente al 0.0161 por ciento</w:t>
      </w:r>
      <w:r w:rsidRPr="005C4328">
        <w:rPr>
          <w:rFonts w:eastAsia="Times New Roman" w:cs="Futura"/>
        </w:rPr>
        <w:t xml:space="preserve"> en 2019; hechos que han dificultado el impulsar programas destinados a promover la vinculación entre la academia, las empresas, el gobierno y la sociedad, de forma tal que se agregue valor a los productos y servicios, con sustento en la generación de talento humano con capacidad de innovar, entre otros, con el objeto de disminuir las asimetrías entre las diferentes regiones del Estado.</w:t>
      </w:r>
    </w:p>
    <w:p w14:paraId="77C6133B" w14:textId="77777777" w:rsidR="006D148B" w:rsidRPr="005C4328" w:rsidRDefault="006D148B" w:rsidP="006D148B">
      <w:pPr>
        <w:rPr>
          <w:rFonts w:eastAsia="Times New Roman" w:cs="Futura"/>
        </w:rPr>
      </w:pPr>
      <w:r w:rsidRPr="005C4328">
        <w:rPr>
          <w:rFonts w:eastAsia="Times New Roman" w:cs="Futura"/>
        </w:rPr>
        <w:t>De acuerdo con el CONACYT, en 2017 el Gasto en Investigación Científica y Desarrollo Experimental (GIDE)</w:t>
      </w:r>
      <w:r>
        <w:rPr>
          <w:rFonts w:eastAsia="Times New Roman" w:cs="Futura"/>
        </w:rPr>
        <w:t xml:space="preserve">, se estimó en 97 millones 166 millones </w:t>
      </w:r>
      <w:r w:rsidRPr="005C4328">
        <w:rPr>
          <w:rFonts w:eastAsia="Times New Roman" w:cs="Futura"/>
        </w:rPr>
        <w:t>pesos, lo que muestra una disminución del orden de los 6.4 puntos porcentuales respecto de 2016. Del monto estimado el sector empresarial contribu</w:t>
      </w:r>
      <w:r>
        <w:rPr>
          <w:rFonts w:eastAsia="Times New Roman" w:cs="Futura"/>
        </w:rPr>
        <w:t>yó con 21.9 por ciento</w:t>
      </w:r>
      <w:r w:rsidRPr="005C4328">
        <w:rPr>
          <w:rFonts w:eastAsia="Times New Roman" w:cs="Futura"/>
        </w:rPr>
        <w:t>, el gobierno con 62.94</w:t>
      </w:r>
      <w:r>
        <w:rPr>
          <w:rFonts w:eastAsia="Times New Roman" w:cs="Futura"/>
        </w:rPr>
        <w:t xml:space="preserve"> por ciento</w:t>
      </w:r>
      <w:r w:rsidRPr="005C4328">
        <w:rPr>
          <w:rFonts w:eastAsia="Times New Roman" w:cs="Futura"/>
        </w:rPr>
        <w:t xml:space="preserve"> y otros sectores con 15.16</w:t>
      </w:r>
      <w:r>
        <w:rPr>
          <w:rFonts w:eastAsia="Times New Roman" w:cs="Futura"/>
        </w:rPr>
        <w:t xml:space="preserve"> por ciento</w:t>
      </w:r>
      <w:r w:rsidRPr="005C4328">
        <w:rPr>
          <w:rFonts w:eastAsia="Times New Roman" w:cs="Futura"/>
        </w:rPr>
        <w:t>, mostrando una</w:t>
      </w:r>
      <w:r>
        <w:rPr>
          <w:rFonts w:eastAsia="Times New Roman" w:cs="Futura"/>
        </w:rPr>
        <w:t xml:space="preserve"> tendencia positiva con un 3.97 por ciento</w:t>
      </w:r>
      <w:r w:rsidRPr="005C4328">
        <w:rPr>
          <w:rFonts w:eastAsia="Times New Roman" w:cs="Futura"/>
        </w:rPr>
        <w:t xml:space="preserve"> en términos reales en el periodo 2012-2017. </w:t>
      </w:r>
    </w:p>
    <w:p w14:paraId="04DCABD5" w14:textId="77777777" w:rsidR="006D148B" w:rsidRPr="005C4328" w:rsidRDefault="006D148B" w:rsidP="006D148B">
      <w:pPr>
        <w:spacing w:after="0"/>
        <w:rPr>
          <w:rFonts w:eastAsia="Times New Roman" w:cs="Futura"/>
        </w:rPr>
      </w:pPr>
      <w:r w:rsidRPr="005C4328">
        <w:rPr>
          <w:rFonts w:eastAsia="Times New Roman" w:cs="Futura"/>
        </w:rPr>
        <w:lastRenderedPageBreak/>
        <w:t>En el Informe General del Estado de la Ciencia, la Tecnología y la innovación publicado por el CONACYT en 2017, se da a conocer que el número de egresados de licenciatura a nivel nacional, fue de 631</w:t>
      </w:r>
      <w:r>
        <w:rPr>
          <w:rFonts w:eastAsia="Times New Roman" w:cs="Futura"/>
        </w:rPr>
        <w:t xml:space="preserve"> mil </w:t>
      </w:r>
      <w:r w:rsidRPr="005C4328">
        <w:rPr>
          <w:rFonts w:eastAsia="Times New Roman" w:cs="Futura"/>
        </w:rPr>
        <w:t>454 profesionistas; 4</w:t>
      </w:r>
      <w:r>
        <w:rPr>
          <w:rFonts w:eastAsia="Times New Roman" w:cs="Futura"/>
        </w:rPr>
        <w:t xml:space="preserve"> por ciento</w:t>
      </w:r>
      <w:r w:rsidRPr="005C4328">
        <w:rPr>
          <w:rFonts w:eastAsia="Times New Roman" w:cs="Futura"/>
        </w:rPr>
        <w:t xml:space="preserve"> superior a lo registrado en 2016. El mayor porcentaje de egresados, 65</w:t>
      </w:r>
      <w:r>
        <w:rPr>
          <w:rFonts w:eastAsia="Times New Roman" w:cs="Futura"/>
        </w:rPr>
        <w:t xml:space="preserve"> por ciento</w:t>
      </w:r>
      <w:r w:rsidRPr="005C4328">
        <w:rPr>
          <w:rFonts w:eastAsia="Times New Roman" w:cs="Futura"/>
        </w:rPr>
        <w:t>, se encuentra en áreas de las ciencias sociales, pasando las áreas de ingeniería, manufacturas y construcción del correspondiendo el 35</w:t>
      </w:r>
      <w:r>
        <w:rPr>
          <w:rFonts w:eastAsia="Times New Roman" w:cs="Futura"/>
        </w:rPr>
        <w:t xml:space="preserve"> por ciento. </w:t>
      </w:r>
      <w:r w:rsidRPr="005C4328">
        <w:rPr>
          <w:rFonts w:eastAsia="Times New Roman" w:cs="Futura"/>
        </w:rPr>
        <w:t xml:space="preserve"> </w:t>
      </w:r>
    </w:p>
    <w:p w14:paraId="20B8C55A" w14:textId="77777777" w:rsidR="006D148B" w:rsidRPr="005C4328" w:rsidRDefault="006D148B" w:rsidP="006D148B">
      <w:pPr>
        <w:spacing w:after="0"/>
        <w:rPr>
          <w:rFonts w:eastAsia="Times New Roman" w:cs="Futura"/>
        </w:rPr>
      </w:pPr>
    </w:p>
    <w:p w14:paraId="6B77BF4C" w14:textId="77777777" w:rsidR="006D148B" w:rsidRPr="005C4328" w:rsidRDefault="006D148B" w:rsidP="006D148B">
      <w:pPr>
        <w:spacing w:after="0"/>
        <w:rPr>
          <w:rFonts w:eastAsia="Times New Roman" w:cs="Futura"/>
        </w:rPr>
      </w:pPr>
      <w:r w:rsidRPr="005C4328">
        <w:rPr>
          <w:rFonts w:eastAsia="Times New Roman" w:cs="Futura"/>
        </w:rPr>
        <w:t>Los alumnos egresados de maestría en 2017 fueron 8</w:t>
      </w:r>
      <w:r>
        <w:rPr>
          <w:rFonts w:eastAsia="Times New Roman" w:cs="Futura"/>
        </w:rPr>
        <w:t xml:space="preserve">7 mil </w:t>
      </w:r>
      <w:r w:rsidRPr="005C4328">
        <w:rPr>
          <w:rFonts w:eastAsia="Times New Roman" w:cs="Futura"/>
        </w:rPr>
        <w:t>772, lo que representa 5</w:t>
      </w:r>
      <w:r>
        <w:rPr>
          <w:rFonts w:eastAsia="Times New Roman" w:cs="Futura"/>
        </w:rPr>
        <w:t xml:space="preserve"> por ciento</w:t>
      </w:r>
      <w:r w:rsidRPr="005C4328">
        <w:rPr>
          <w:rFonts w:eastAsia="Times New Roman" w:cs="Futura"/>
        </w:rPr>
        <w:t xml:space="preserve"> más respecto a 2016. El campo de la ciencia que presentó mayor número de egresos fue ciencias sociales, administración y derecho con 53</w:t>
      </w:r>
      <w:r>
        <w:rPr>
          <w:rFonts w:eastAsia="Times New Roman" w:cs="Futura"/>
        </w:rPr>
        <w:t xml:space="preserve"> por ciento</w:t>
      </w:r>
      <w:r w:rsidRPr="005C4328">
        <w:rPr>
          <w:rFonts w:eastAsia="Times New Roman" w:cs="Futura"/>
        </w:rPr>
        <w:t>. En segundo lugar, se observa</w:t>
      </w:r>
      <w:r>
        <w:rPr>
          <w:rFonts w:eastAsia="Times New Roman" w:cs="Futura"/>
        </w:rPr>
        <w:t xml:space="preserve"> al área de educación con 31.86 por ciento</w:t>
      </w:r>
      <w:r w:rsidRPr="005C4328">
        <w:rPr>
          <w:rFonts w:eastAsia="Times New Roman" w:cs="Futura"/>
        </w:rPr>
        <w:t xml:space="preserve"> de los egresos. </w:t>
      </w:r>
    </w:p>
    <w:p w14:paraId="6BF2A9E3" w14:textId="77777777" w:rsidR="006D148B" w:rsidRPr="005C4328" w:rsidRDefault="006D148B" w:rsidP="006D148B">
      <w:pPr>
        <w:spacing w:after="0"/>
        <w:rPr>
          <w:rFonts w:eastAsia="Times New Roman" w:cs="Futura"/>
        </w:rPr>
      </w:pPr>
    </w:p>
    <w:p w14:paraId="576C5D3A" w14:textId="77777777" w:rsidR="006D148B" w:rsidRPr="005C4328" w:rsidRDefault="006D148B" w:rsidP="006D148B">
      <w:pPr>
        <w:spacing w:after="0"/>
        <w:rPr>
          <w:rFonts w:eastAsia="Times New Roman" w:cs="Futura"/>
        </w:rPr>
      </w:pPr>
      <w:r w:rsidRPr="005C4328">
        <w:rPr>
          <w:rFonts w:eastAsia="Times New Roman" w:cs="Futura"/>
        </w:rPr>
        <w:t xml:space="preserve">El número de egresados de doctorado en 2017 fue </w:t>
      </w:r>
      <w:r>
        <w:rPr>
          <w:rFonts w:eastAsia="Times New Roman" w:cs="Futura"/>
        </w:rPr>
        <w:t xml:space="preserve">9 mil </w:t>
      </w:r>
      <w:r w:rsidRPr="005C4328">
        <w:rPr>
          <w:rFonts w:eastAsia="Times New Roman" w:cs="Futura"/>
        </w:rPr>
        <w:t>268; lo que representa un incremento de 9</w:t>
      </w:r>
      <w:r>
        <w:rPr>
          <w:rFonts w:eastAsia="Times New Roman" w:cs="Futura"/>
        </w:rPr>
        <w:t xml:space="preserve"> por ciento</w:t>
      </w:r>
      <w:r w:rsidRPr="005C4328">
        <w:rPr>
          <w:rFonts w:eastAsia="Times New Roman" w:cs="Futura"/>
        </w:rPr>
        <w:t xml:space="preserve"> con relación a 2016. El mayor porcentaje de egresos, también se observa en el campo de la educación con 39.42</w:t>
      </w:r>
      <w:r>
        <w:rPr>
          <w:rFonts w:eastAsia="Times New Roman" w:cs="Futura"/>
        </w:rPr>
        <w:t xml:space="preserve"> por ciento</w:t>
      </w:r>
      <w:r w:rsidRPr="005C4328">
        <w:rPr>
          <w:rFonts w:eastAsia="Times New Roman" w:cs="Futura"/>
        </w:rPr>
        <w:t>, seguido por ciencias sociales, administración y derecho con 31.4</w:t>
      </w:r>
      <w:r>
        <w:rPr>
          <w:rFonts w:eastAsia="Times New Roman" w:cs="Futura"/>
        </w:rPr>
        <w:t>0 por ciento</w:t>
      </w:r>
      <w:r w:rsidRPr="005C4328">
        <w:rPr>
          <w:rFonts w:eastAsia="Times New Roman" w:cs="Futura"/>
        </w:rPr>
        <w:t xml:space="preserve">. </w:t>
      </w:r>
    </w:p>
    <w:p w14:paraId="73416C55" w14:textId="77777777" w:rsidR="006D148B" w:rsidRPr="005C4328" w:rsidRDefault="006D148B" w:rsidP="006D148B">
      <w:pPr>
        <w:spacing w:after="120"/>
        <w:contextualSpacing/>
        <w:rPr>
          <w:rFonts w:eastAsia="Times New Roman" w:cs="Futura"/>
        </w:rPr>
      </w:pPr>
    </w:p>
    <w:p w14:paraId="2FE5F928" w14:textId="77777777" w:rsidR="006D148B" w:rsidRPr="005C4328" w:rsidRDefault="006D148B" w:rsidP="006D148B">
      <w:pPr>
        <w:spacing w:after="120"/>
        <w:contextualSpacing/>
        <w:rPr>
          <w:rFonts w:eastAsia="Times New Roman" w:cs="Futura"/>
        </w:rPr>
      </w:pPr>
      <w:r w:rsidRPr="005C4328">
        <w:rPr>
          <w:rFonts w:eastAsia="Times New Roman" w:cs="Futura"/>
        </w:rPr>
        <w:t>En mayo de 2012, el Estado</w:t>
      </w:r>
      <w:r>
        <w:rPr>
          <w:rFonts w:eastAsia="Times New Roman" w:cs="Futura"/>
        </w:rPr>
        <w:t xml:space="preserve"> de Quintana Roo</w:t>
      </w:r>
      <w:r w:rsidRPr="005C4328">
        <w:rPr>
          <w:rFonts w:eastAsia="Times New Roman" w:cs="Futura"/>
        </w:rPr>
        <w:t xml:space="preserve"> convino con la Federación el establecimiento de una Agenda Estratégica con la finalidad de lograr, en un horizonte de mediano plazo, un avance sustantivo en el incremento de la capacidad, competitividad y pertinencia del sistema científico, tecnológico y de innovación del Estado.  Como uno de los temas fundamentales de la Agenda, queda pendiente aún la atención por parte de la legislatura local, de la Iniciativa de Decreto para reformar la Ley de Ciencia y Tecnología de Quintana Roo, cuya aprobación data de 2006, con el consecuente rezago en relación a la similar de orden federal de 2015, no habiendo también incorporado recomendaciones del Foro Consultivo Científico y Tecnológico.</w:t>
      </w:r>
    </w:p>
    <w:p w14:paraId="24944C2C" w14:textId="77777777" w:rsidR="006D148B" w:rsidRPr="005C4328" w:rsidRDefault="006D148B" w:rsidP="006D148B">
      <w:pPr>
        <w:pStyle w:val="Textoindependiente"/>
        <w:rPr>
          <w:rFonts w:cs="Futura"/>
        </w:rPr>
      </w:pPr>
      <w:r w:rsidRPr="005C4328">
        <w:rPr>
          <w:rFonts w:cs="Futura"/>
        </w:rPr>
        <w:t xml:space="preserve">La Formación de Recursos Humanos de Alto Nivel, recibió un retroceso a su impulso al convenir con la Federación en 2016, la asignación de hasta 20 Becas para realizar estudios de posgrado en el extranjero, y 50 para posgrados de calidad a nivel nacional exclusivas para quintanarroenses. Por otra parte, a partir de 2014 el Estado participó con éxito en convocatorias nacionales logrando la atracción de recursos destinados a impulsar la participación de Mujeres Indígenas de la Entidad, en el Programa de Fortalecimiento al Posgrado Nacional de Calidad, con lo que 156 mujeres profesionistas de origen indígena se han visto beneficiadas con una pre-beca para prepararse y reforzar sus conocimientos </w:t>
      </w:r>
      <w:r w:rsidRPr="005C4328">
        <w:rPr>
          <w:rFonts w:cs="Futura"/>
        </w:rPr>
        <w:lastRenderedPageBreak/>
        <w:t>antes de ingresar a un programa de posgrado (22 de ellas tan solo entre el último trimestre de 2019); lo anterior, es un claro indicador de que se requiere continuar con este esfuerzo, para crear una masa crítica que permita lograr en el mediano plazo, con el apoyo al regresar a su lugar de origen de estas profesionistas, un cambio significativo en las regiones centro y sur del Estado que contribuirá a modificar el panorama actual en el que se desarrollan las actividades económicas de la Entidad.</w:t>
      </w:r>
    </w:p>
    <w:p w14:paraId="683B0940" w14:textId="77777777" w:rsidR="006D148B" w:rsidRPr="005C4328" w:rsidRDefault="006D148B" w:rsidP="006D148B">
      <w:pPr>
        <w:pStyle w:val="Textoindependiente"/>
        <w:rPr>
          <w:rFonts w:cs="Futura"/>
        </w:rPr>
      </w:pPr>
      <w:r w:rsidRPr="005C4328">
        <w:rPr>
          <w:rFonts w:cs="Futura"/>
        </w:rPr>
        <w:t>En 2017</w:t>
      </w:r>
      <w:r>
        <w:rPr>
          <w:rFonts w:cs="Futura"/>
        </w:rPr>
        <w:t xml:space="preserve"> la matrícula del Sistema Nacional de Investigadores (SNI) era de 27 mil </w:t>
      </w:r>
      <w:r w:rsidRPr="005C4328">
        <w:rPr>
          <w:rFonts w:cs="Futura"/>
        </w:rPr>
        <w:t>186 miembros, el número de</w:t>
      </w:r>
      <w:r>
        <w:rPr>
          <w:rFonts w:cs="Futura"/>
        </w:rPr>
        <w:t xml:space="preserve"> miembros del Sistema creció 64 por ciento</w:t>
      </w:r>
      <w:r w:rsidRPr="005C4328">
        <w:rPr>
          <w:rFonts w:cs="Futura"/>
        </w:rPr>
        <w:t xml:space="preserve"> con r</w:t>
      </w:r>
      <w:r>
        <w:rPr>
          <w:rFonts w:cs="Futura"/>
        </w:rPr>
        <w:t xml:space="preserve">especto a 2010 en donde eran 16 mil </w:t>
      </w:r>
      <w:r w:rsidRPr="005C4328">
        <w:rPr>
          <w:rFonts w:cs="Futura"/>
        </w:rPr>
        <w:t>600, las áreas del conocimiento con mayor porcentaje de miembro</w:t>
      </w:r>
      <w:r>
        <w:rPr>
          <w:rFonts w:cs="Futura"/>
        </w:rPr>
        <w:t>s fueron Físico-matemáticas con 16 por ciento</w:t>
      </w:r>
      <w:r w:rsidRPr="005C4328">
        <w:rPr>
          <w:rFonts w:cs="Futura"/>
        </w:rPr>
        <w:t xml:space="preserve"> en contraparte las áreas con menor porcentaje de investigadores Medicina y ciencia de la salud, y Biotecnología y Ciencias agropecuarias con 12 y 11</w:t>
      </w:r>
      <w:r>
        <w:rPr>
          <w:rFonts w:cs="Futura"/>
        </w:rPr>
        <w:t xml:space="preserve"> por ciento</w:t>
      </w:r>
      <w:r w:rsidRPr="005C4328">
        <w:rPr>
          <w:rFonts w:cs="Futura"/>
        </w:rPr>
        <w:t xml:space="preserve"> respectivamente. </w:t>
      </w:r>
    </w:p>
    <w:p w14:paraId="3BDED137" w14:textId="77777777" w:rsidR="006D148B" w:rsidRPr="00E7617B" w:rsidRDefault="006D148B" w:rsidP="006D148B">
      <w:pPr>
        <w:pStyle w:val="Textoindependiente"/>
        <w:contextualSpacing/>
        <w:rPr>
          <w:rFonts w:cs="Futura"/>
        </w:rPr>
      </w:pPr>
      <w:r w:rsidRPr="005C4328">
        <w:rPr>
          <w:rFonts w:cs="Futura"/>
        </w:rPr>
        <w:t xml:space="preserve">En los últimos años el Estado fortaleció significativamente su infraestructura dedicada a la Difusión y Divulgación del Conocimiento Científico y Tecnológico, creándose el Sistema Estatal para la Apropiación Social del Conocimiento, integrado por la Caravana Móvil de Divulgación y la Red de Planetarios, la cual cuenta con nodos en las ciudades de Chetumal, Cancún, Cozumel y Playa del Carmen.    </w:t>
      </w:r>
    </w:p>
    <w:p w14:paraId="6E0CF335" w14:textId="77777777" w:rsidR="006D148B" w:rsidRPr="00E7617B" w:rsidRDefault="006D148B" w:rsidP="006D148B">
      <w:pPr>
        <w:rPr>
          <w:rFonts w:eastAsia="Times New Roman" w:cs="Futura"/>
          <w:b/>
        </w:rPr>
      </w:pPr>
      <w:r w:rsidRPr="00E7617B">
        <w:rPr>
          <w:rFonts w:eastAsia="Times New Roman" w:cs="Futura"/>
          <w:b/>
        </w:rPr>
        <w:t>Capacidad para formar talento.</w:t>
      </w:r>
    </w:p>
    <w:p w14:paraId="01DB3C5B" w14:textId="77777777" w:rsidR="006D148B" w:rsidRPr="005C4328" w:rsidRDefault="006D148B" w:rsidP="006D148B">
      <w:pPr>
        <w:rPr>
          <w:rFonts w:eastAsia="Times New Roman" w:cs="Futura"/>
        </w:rPr>
      </w:pPr>
      <w:r w:rsidRPr="005C4328">
        <w:rPr>
          <w:rFonts w:eastAsia="Times New Roman" w:cs="Futura"/>
        </w:rPr>
        <w:t>La capacidad estatal para la formación de talento, está conformada por 54 instituciones de educación superior, 5 de educación normal, y 5 subsedes de centros públicos nacionales de investigación.</w:t>
      </w:r>
    </w:p>
    <w:p w14:paraId="57576CB2" w14:textId="111E83C1" w:rsidR="00582297" w:rsidRPr="005C4328" w:rsidRDefault="006D148B" w:rsidP="006D148B">
      <w:pPr>
        <w:rPr>
          <w:rFonts w:eastAsia="Times New Roman" w:cs="Futura"/>
        </w:rPr>
      </w:pPr>
      <w:r w:rsidRPr="005C4328">
        <w:rPr>
          <w:rFonts w:eastAsia="Times New Roman" w:cs="Futura"/>
        </w:rPr>
        <w:t xml:space="preserve">De acuerdo con datos de la COPAES, del total de Instituciones de nivel superior en el Estado, únicamente 49 cuentan con programas de licenciaturas certificados, destacando la Universidad de Quintana Roo con el mayor número de ellos (13). En junio de 2017, el Padrón Nacional de Posgrados de Calidad (PNPC), del CONACYT, contaba con 2,381 programas registrados, encontrándose Quintana Roo entre las entidades con el menor número de programas inscritos, únicamente 13 (11 a nivel Maestría y 2 a nivel Doctorado). </w:t>
      </w:r>
    </w:p>
    <w:p w14:paraId="723DA3EC" w14:textId="77777777" w:rsidR="006D148B" w:rsidRPr="00E7617B" w:rsidRDefault="006D148B" w:rsidP="006D148B">
      <w:pPr>
        <w:rPr>
          <w:rFonts w:eastAsia="Times New Roman" w:cs="Futura"/>
          <w:b/>
        </w:rPr>
      </w:pPr>
      <w:r w:rsidRPr="00E7617B">
        <w:rPr>
          <w:rFonts w:eastAsia="Times New Roman" w:cs="Futura"/>
          <w:b/>
        </w:rPr>
        <w:t xml:space="preserve">Infraestructura física </w:t>
      </w:r>
    </w:p>
    <w:p w14:paraId="41C68953" w14:textId="77777777" w:rsidR="006D148B" w:rsidRPr="005C4328" w:rsidRDefault="006D148B" w:rsidP="006D148B">
      <w:pPr>
        <w:rPr>
          <w:rFonts w:eastAsia="Times New Roman" w:cs="Futura"/>
        </w:rPr>
      </w:pPr>
      <w:r w:rsidRPr="005C4328">
        <w:rPr>
          <w:rFonts w:eastAsia="Times New Roman" w:cs="Futura"/>
        </w:rPr>
        <w:t xml:space="preserve">Respecto a Centros de Investigación, en la Entidad se ubican 4 subsedes: 2 de Centros CONACYT (CICY: Centro de Investigación Científica de Yucatán y ECOSUR: El Colegio de la Frontera Sur), 1 de la Universidad Nacional Autónoma de México (Instituto de </w:t>
      </w:r>
      <w:r w:rsidRPr="005C4328">
        <w:rPr>
          <w:rFonts w:eastAsia="Times New Roman" w:cs="Futura"/>
        </w:rPr>
        <w:lastRenderedPageBreak/>
        <w:t xml:space="preserve">Ciencias del Mar y Limnología) y  1 del Instituto Nacional de Investigaciones Forestales, </w:t>
      </w:r>
      <w:r>
        <w:rPr>
          <w:rFonts w:eastAsia="Times New Roman" w:cs="Futura"/>
        </w:rPr>
        <w:t xml:space="preserve">Agrícolas y Pecuarias (INIFAP). </w:t>
      </w:r>
    </w:p>
    <w:p w14:paraId="788F00E7" w14:textId="77777777" w:rsidR="006D148B" w:rsidRPr="00E7617B" w:rsidRDefault="006D148B" w:rsidP="006D148B">
      <w:pPr>
        <w:rPr>
          <w:rFonts w:eastAsia="Times New Roman" w:cs="Futura"/>
          <w:b/>
        </w:rPr>
      </w:pPr>
      <w:r w:rsidRPr="00E7617B">
        <w:rPr>
          <w:rFonts w:eastAsia="Times New Roman" w:cs="Futura"/>
          <w:b/>
        </w:rPr>
        <w:t>Capacidad para la generación de conocimiento</w:t>
      </w:r>
    </w:p>
    <w:p w14:paraId="21229043" w14:textId="77777777" w:rsidR="006D148B" w:rsidRPr="005C4328" w:rsidRDefault="006D148B" w:rsidP="00CA6F4D">
      <w:pPr>
        <w:ind w:right="-92"/>
        <w:rPr>
          <w:rFonts w:eastAsia="Times New Roman" w:cs="Futura"/>
        </w:rPr>
      </w:pPr>
      <w:r w:rsidRPr="005C4328">
        <w:rPr>
          <w:rFonts w:eastAsia="Times New Roman" w:cs="Futura"/>
        </w:rPr>
        <w:t>La inversión en investigación, desarrollo tecnológico e innovación, durante los últimos cinco año</w:t>
      </w:r>
      <w:r>
        <w:rPr>
          <w:rFonts w:eastAsia="Times New Roman" w:cs="Futura"/>
        </w:rPr>
        <w:t>s, apenas ha alcanzado el 0.02 por ciento</w:t>
      </w:r>
      <w:r w:rsidRPr="005C4328">
        <w:rPr>
          <w:rFonts w:eastAsia="Times New Roman" w:cs="Futura"/>
        </w:rPr>
        <w:t xml:space="preserve"> del PIB estatal, siendo que a nivel nacional el porcentaje del Gasto en Investigación y Desarrollo Experimental (GIDE), pasó de 0.45</w:t>
      </w:r>
      <w:r>
        <w:rPr>
          <w:rFonts w:eastAsia="Times New Roman" w:cs="Futura"/>
        </w:rPr>
        <w:t xml:space="preserve"> por ciento en 2010 a 0.48 por ciento</w:t>
      </w:r>
      <w:r w:rsidRPr="005C4328">
        <w:rPr>
          <w:rFonts w:eastAsia="Times New Roman" w:cs="Futura"/>
        </w:rPr>
        <w:t xml:space="preserve"> en el 2017. De acuerdo con datos del CONACYT, en diciembre de 2019, Quintana Roo Respecto al Registro Nacional de Instituciones y Empresas Científicas y Tecnológicas (RENIECyT), durante el periodo que se informa actualmente el Estado cuenta con 197 registros distribuidos de la siguiente manera: 50 inscripción definitiva y 147 preinscritos.</w:t>
      </w:r>
    </w:p>
    <w:p w14:paraId="46051502" w14:textId="77777777" w:rsidR="006D148B" w:rsidRPr="00CA6F4D" w:rsidRDefault="006D148B" w:rsidP="006D148B">
      <w:pPr>
        <w:ind w:right="532"/>
        <w:rPr>
          <w:rFonts w:eastAsia="Times New Roman" w:cs="Futura"/>
        </w:rPr>
      </w:pPr>
      <w:r w:rsidRPr="00CA6F4D">
        <w:rPr>
          <w:rFonts w:eastAsia="Times New Roman" w:cs="Futura"/>
        </w:rPr>
        <w:t>Capacidad de emprendimiento</w:t>
      </w:r>
    </w:p>
    <w:p w14:paraId="4C03D02F" w14:textId="29E4F893" w:rsidR="006D148B" w:rsidRDefault="006D148B" w:rsidP="00CA6F4D">
      <w:pPr>
        <w:tabs>
          <w:tab w:val="left" w:pos="7938"/>
        </w:tabs>
        <w:spacing w:after="0"/>
        <w:ind w:right="-92"/>
        <w:contextualSpacing/>
        <w:rPr>
          <w:rFonts w:eastAsia="Times New Roman" w:cs="Futura"/>
        </w:rPr>
      </w:pPr>
      <w:r w:rsidRPr="005C4328">
        <w:rPr>
          <w:rFonts w:eastAsia="Times New Roman" w:cs="Futura"/>
        </w:rPr>
        <w:t>En 2016, según el Instituto Mexicano de la Competitividad (IMCO), Quintana Roo ocupó el lugar número 10 en competitividad y su PIB per cápita para ese mismo año fue de 284 mil 590 pesos, en base del año 2013. En cuanto a su capacidad para innovar, de acuerdo con el subíndice de innovación del IMCO, el cual mide la capacidad de los estados para competir con éxito en la economía, particularmente en sectores de alto valor agregado, intensivos en conocimiento y tecnología de punta, el Estado paso de la posición 32 que ocupo en 2014 a la 18 en 2016. Otro dato importante lo constituye el número de patentes por cada 100 habitantes, donde el promedio nacional fue de 2.0 y el de la entidad de 0.95. El Estado</w:t>
      </w:r>
      <w:r>
        <w:rPr>
          <w:rFonts w:eastAsia="Times New Roman" w:cs="Futura"/>
        </w:rPr>
        <w:t xml:space="preserve"> registró en junio de 2017 a 14 mil </w:t>
      </w:r>
      <w:r w:rsidRPr="005C4328">
        <w:rPr>
          <w:rFonts w:eastAsia="Times New Roman" w:cs="Futura"/>
        </w:rPr>
        <w:t>4</w:t>
      </w:r>
      <w:r>
        <w:rPr>
          <w:rFonts w:eastAsia="Times New Roman" w:cs="Futura"/>
        </w:rPr>
        <w:t xml:space="preserve">84 empresas, de un total de 555 mil </w:t>
      </w:r>
      <w:r w:rsidRPr="005C4328">
        <w:rPr>
          <w:rFonts w:eastAsia="Times New Roman" w:cs="Futura"/>
        </w:rPr>
        <w:t>493 en el Sistema Empresarial Mexicano (SIEM), lo que represent</w:t>
      </w:r>
      <w:r>
        <w:rPr>
          <w:rFonts w:eastAsia="Times New Roman" w:cs="Futura"/>
        </w:rPr>
        <w:t>a un retroceso al pasar de 3.02 por ciento</w:t>
      </w:r>
      <w:r w:rsidRPr="005C4328">
        <w:rPr>
          <w:rFonts w:eastAsia="Times New Roman" w:cs="Futura"/>
        </w:rPr>
        <w:t xml:space="preserve"> del </w:t>
      </w:r>
      <w:r>
        <w:rPr>
          <w:rFonts w:eastAsia="Times New Roman" w:cs="Futura"/>
        </w:rPr>
        <w:t xml:space="preserve">total registrado en 2011 a 2.6 por ciento </w:t>
      </w:r>
      <w:r w:rsidRPr="005C4328">
        <w:rPr>
          <w:rFonts w:eastAsia="Times New Roman" w:cs="Futura"/>
        </w:rPr>
        <w:t>en 2017; igualmente destaca el hecho de que de los 2</w:t>
      </w:r>
      <w:r>
        <w:rPr>
          <w:rFonts w:eastAsia="Times New Roman" w:cs="Futura"/>
        </w:rPr>
        <w:t xml:space="preserve">1 mil </w:t>
      </w:r>
      <w:r w:rsidRPr="005C4328">
        <w:rPr>
          <w:rFonts w:eastAsia="Times New Roman" w:cs="Futura"/>
        </w:rPr>
        <w:t>098 establecimientos r</w:t>
      </w:r>
      <w:r>
        <w:rPr>
          <w:rFonts w:eastAsia="Times New Roman" w:cs="Futura"/>
        </w:rPr>
        <w:t>egistrados en el Estado, el 4.8 por ciento</w:t>
      </w:r>
      <w:r w:rsidRPr="005C4328">
        <w:rPr>
          <w:rFonts w:eastAsia="Times New Roman" w:cs="Futura"/>
        </w:rPr>
        <w:t xml:space="preserve"> se encuentran</w:t>
      </w:r>
      <w:r>
        <w:rPr>
          <w:rFonts w:eastAsia="Times New Roman" w:cs="Futura"/>
        </w:rPr>
        <w:t xml:space="preserve"> en el sector industrial, el 54 por ciento en el sector comercio y 41.2 por ciento </w:t>
      </w:r>
      <w:r w:rsidRPr="005C4328">
        <w:rPr>
          <w:rFonts w:eastAsia="Times New Roman" w:cs="Futura"/>
        </w:rPr>
        <w:t xml:space="preserve">en el sector de servicios. </w:t>
      </w:r>
    </w:p>
    <w:p w14:paraId="5020E6BC" w14:textId="77777777" w:rsidR="008F653E" w:rsidRPr="005C4328" w:rsidRDefault="008F653E" w:rsidP="006D148B">
      <w:pPr>
        <w:spacing w:after="0"/>
        <w:ind w:right="532"/>
        <w:contextualSpacing/>
        <w:rPr>
          <w:rFonts w:eastAsia="Times New Roman" w:cs="Futura"/>
        </w:rPr>
      </w:pPr>
    </w:p>
    <w:p w14:paraId="7C41B9ED" w14:textId="0BF28EE5" w:rsidR="008F653E" w:rsidRDefault="006D148B" w:rsidP="00CA6F4D">
      <w:pPr>
        <w:spacing w:after="0"/>
        <w:ind w:right="49"/>
        <w:contextualSpacing/>
        <w:rPr>
          <w:rFonts w:eastAsia="Times New Roman" w:cs="Futura"/>
        </w:rPr>
      </w:pPr>
      <w:r w:rsidRPr="005C4328">
        <w:rPr>
          <w:rFonts w:eastAsia="Times New Roman" w:cs="Futura"/>
        </w:rPr>
        <w:t>De acuerdo con el INEGI, d</w:t>
      </w:r>
      <w:r>
        <w:rPr>
          <w:rFonts w:eastAsia="Times New Roman" w:cs="Futura"/>
        </w:rPr>
        <w:t>el total del PIB estatal el 0.7 por ciento</w:t>
      </w:r>
      <w:r w:rsidRPr="005C4328">
        <w:rPr>
          <w:rFonts w:eastAsia="Times New Roman" w:cs="Futura"/>
        </w:rPr>
        <w:t xml:space="preserve"> corresponde al sector primario; el </w:t>
      </w:r>
      <w:r>
        <w:rPr>
          <w:rFonts w:eastAsia="Times New Roman" w:cs="Futura"/>
        </w:rPr>
        <w:t>13.5 por ciento al sector secundario y el 85.8 por ciento</w:t>
      </w:r>
      <w:r w:rsidRPr="005C4328">
        <w:rPr>
          <w:rFonts w:eastAsia="Times New Roman" w:cs="Futura"/>
        </w:rPr>
        <w:t xml:space="preserve"> al sector terciario; destacándose que la participación del sector e</w:t>
      </w:r>
      <w:r>
        <w:rPr>
          <w:rFonts w:eastAsia="Times New Roman" w:cs="Futura"/>
        </w:rPr>
        <w:t>s mayor que la nacional de 62.3 por ciento</w:t>
      </w:r>
      <w:r w:rsidRPr="005C4328">
        <w:rPr>
          <w:rFonts w:eastAsia="Times New Roman" w:cs="Futura"/>
        </w:rPr>
        <w:t>.</w:t>
      </w:r>
    </w:p>
    <w:p w14:paraId="01965284" w14:textId="1BB99000" w:rsidR="002C15E8" w:rsidRDefault="002C15E8">
      <w:pPr>
        <w:spacing w:after="0" w:line="240" w:lineRule="auto"/>
        <w:jc w:val="left"/>
        <w:rPr>
          <w:rFonts w:eastAsia="Times New Roman" w:cs="Futura"/>
        </w:rPr>
      </w:pPr>
      <w:r>
        <w:rPr>
          <w:rFonts w:eastAsia="Times New Roman" w:cs="Futura"/>
        </w:rPr>
        <w:br w:type="page"/>
      </w:r>
    </w:p>
    <w:p w14:paraId="7EE8407B" w14:textId="77777777" w:rsidR="006D148B" w:rsidRPr="00DB3DE3" w:rsidRDefault="006D148B" w:rsidP="006D148B">
      <w:pPr>
        <w:tabs>
          <w:tab w:val="left" w:pos="2962"/>
        </w:tabs>
        <w:spacing w:after="160" w:line="360" w:lineRule="auto"/>
        <w:rPr>
          <w:rFonts w:eastAsia="Times New Roman" w:cs="Futura"/>
          <w:b/>
        </w:rPr>
      </w:pPr>
      <w:r w:rsidRPr="00DB3DE3">
        <w:rPr>
          <w:rFonts w:eastAsia="Times New Roman" w:cs="Futura"/>
          <w:b/>
        </w:rPr>
        <w:lastRenderedPageBreak/>
        <w:t>Capacitación y Certificación para y en el Trabajo</w:t>
      </w:r>
    </w:p>
    <w:p w14:paraId="2EFEA72C" w14:textId="77777777" w:rsidR="006D148B" w:rsidRPr="00DB3DE3" w:rsidRDefault="006D148B" w:rsidP="006D148B">
      <w:pPr>
        <w:tabs>
          <w:tab w:val="left" w:pos="2962"/>
        </w:tabs>
        <w:spacing w:after="160"/>
        <w:rPr>
          <w:rFonts w:eastAsia="Times New Roman" w:cs="Futura"/>
        </w:rPr>
      </w:pPr>
      <w:r w:rsidRPr="00DB3DE3">
        <w:rPr>
          <w:rFonts w:eastAsia="Times New Roman" w:cs="Futura"/>
        </w:rPr>
        <w:t xml:space="preserve">El Estado de Quintana Roo es la segunda entidad con mayor crecimiento de población 2014- 2018, referido en la Encuesta Nacional de la Dinámica Demográfica 2018. La edad laboral es de 15 a 59 años, ubicándose como la segunda con mayor crecimiento de acuerdo con la Secretaría del Trabajo y Previsión Social. </w:t>
      </w:r>
    </w:p>
    <w:p w14:paraId="7A6004FE" w14:textId="42BB485E" w:rsidR="006D148B" w:rsidRDefault="006D148B" w:rsidP="006D148B">
      <w:pPr>
        <w:tabs>
          <w:tab w:val="left" w:pos="2962"/>
        </w:tabs>
        <w:spacing w:after="160"/>
        <w:rPr>
          <w:rFonts w:eastAsia="Times New Roman" w:cs="Futura"/>
        </w:rPr>
      </w:pPr>
      <w:r>
        <w:rPr>
          <w:rFonts w:eastAsia="Times New Roman" w:cs="Futura"/>
        </w:rPr>
        <w:t>En la Entidad existen un total de 63 escuelas que o</w:t>
      </w:r>
      <w:r w:rsidR="008756FF">
        <w:rPr>
          <w:rFonts w:eastAsia="Times New Roman" w:cs="Futura"/>
        </w:rPr>
        <w:t xml:space="preserve">frecen capacitación </w:t>
      </w:r>
      <w:r>
        <w:rPr>
          <w:rFonts w:eastAsia="Times New Roman" w:cs="Futura"/>
        </w:rPr>
        <w:t xml:space="preserve"> para el trabajo, de los cuales 16 son públicas y 47 privadas que brindan programas de capacitación para los trabajadores que requieren obtener, actualizar y certificar sus conocimientos, competencias y habilidades. </w:t>
      </w:r>
    </w:p>
    <w:p w14:paraId="50AC8573" w14:textId="77777777" w:rsidR="006D148B" w:rsidRPr="00DB3DE3" w:rsidRDefault="006D148B" w:rsidP="006D148B">
      <w:pPr>
        <w:tabs>
          <w:tab w:val="left" w:pos="2962"/>
        </w:tabs>
        <w:spacing w:after="160"/>
        <w:rPr>
          <w:rFonts w:eastAsia="Times New Roman" w:cs="Futura"/>
        </w:rPr>
      </w:pPr>
      <w:r>
        <w:rPr>
          <w:rFonts w:eastAsia="Times New Roman" w:cs="Futura"/>
        </w:rPr>
        <w:t xml:space="preserve">El Instituto de Capacitación para el Trabajo del Estado de Quintana Roo cuenta con 8 unidades de capacitación para el trabajo y 5 acciones móviles, distribuidas en los municipios </w:t>
      </w:r>
      <w:r w:rsidRPr="00DB3DE3">
        <w:rPr>
          <w:rFonts w:eastAsia="Times New Roman" w:cs="Futura"/>
        </w:rPr>
        <w:t>de Othón P. Blanco, Felipe Carrillo Puerto, Tulum, Solidaridad, Puerto Morelos, Cozumel, Benito Juárez y Bacalar, y cinco acciones móviles en los municipios de José María Morelos, Isla Mujeres y Lázaro Cárdenas y en las localida</w:t>
      </w:r>
      <w:r>
        <w:rPr>
          <w:rFonts w:eastAsia="Times New Roman" w:cs="Futura"/>
        </w:rPr>
        <w:t xml:space="preserve">des de Nicolás Bravo y Tihosuco. </w:t>
      </w:r>
    </w:p>
    <w:p w14:paraId="05886C51" w14:textId="77777777" w:rsidR="006D148B" w:rsidRPr="00DB3DE3" w:rsidRDefault="006D148B" w:rsidP="006D148B">
      <w:pPr>
        <w:tabs>
          <w:tab w:val="left" w:pos="2962"/>
        </w:tabs>
        <w:spacing w:after="160"/>
        <w:rPr>
          <w:rFonts w:eastAsia="Times New Roman" w:cs="Futura"/>
        </w:rPr>
      </w:pPr>
      <w:r w:rsidRPr="00DB3DE3">
        <w:rPr>
          <w:rFonts w:eastAsia="Times New Roman" w:cs="Futura"/>
        </w:rPr>
        <w:t>El Instituto se constituye como resultado de la unión de esfuerzos del Gobierno del Estado con la Secretaria de Educación Pública, para descentralizar en Quintana Roo la formación para y en el trabajo representando una amplia oferta de servicios para la capacitación evaluación o certificación del elemento humano, a través del impulso a la adquisición de conocimientos, habilidades y destrezas relacionadas con un oficio calificado que permita mejorar la calidad de vida de las personas mediante un modelo académico y con estándares de competencia laboral.</w:t>
      </w:r>
    </w:p>
    <w:p w14:paraId="5DB0033D" w14:textId="77777777" w:rsidR="006D148B" w:rsidRPr="00DB3DE3" w:rsidRDefault="006D148B" w:rsidP="006D148B">
      <w:pPr>
        <w:tabs>
          <w:tab w:val="left" w:pos="2962"/>
        </w:tabs>
        <w:spacing w:after="160"/>
        <w:rPr>
          <w:rFonts w:eastAsia="Times New Roman" w:cs="Futura"/>
        </w:rPr>
      </w:pPr>
      <w:r w:rsidRPr="00DB3DE3">
        <w:rPr>
          <w:rFonts w:eastAsia="Times New Roman" w:cs="Futura"/>
        </w:rPr>
        <w:t>Para que esto sea posible el Instituto cuenta con servicios de Capacitación y Certificación para el Trabajo, los cuales se detallan a continuación:</w:t>
      </w:r>
    </w:p>
    <w:p w14:paraId="4479349E" w14:textId="77777777" w:rsidR="006D148B" w:rsidRPr="00DB3DE3" w:rsidRDefault="006D148B" w:rsidP="00DD5EE2">
      <w:pPr>
        <w:numPr>
          <w:ilvl w:val="0"/>
          <w:numId w:val="14"/>
        </w:numPr>
        <w:tabs>
          <w:tab w:val="left" w:pos="2962"/>
        </w:tabs>
        <w:spacing w:after="160"/>
        <w:contextualSpacing/>
        <w:jc w:val="left"/>
        <w:rPr>
          <w:rFonts w:eastAsia="Times New Roman" w:cs="Futura"/>
        </w:rPr>
      </w:pPr>
      <w:r w:rsidRPr="00DB3DE3">
        <w:rPr>
          <w:rFonts w:eastAsia="Times New Roman" w:cs="Futura"/>
        </w:rPr>
        <w:t>Cursos de Extensión</w:t>
      </w:r>
    </w:p>
    <w:p w14:paraId="78E47C18" w14:textId="77777777" w:rsidR="006D148B" w:rsidRPr="00DB3DE3" w:rsidRDefault="006D148B" w:rsidP="00DD5EE2">
      <w:pPr>
        <w:numPr>
          <w:ilvl w:val="0"/>
          <w:numId w:val="14"/>
        </w:numPr>
        <w:tabs>
          <w:tab w:val="left" w:pos="2962"/>
        </w:tabs>
        <w:spacing w:after="160"/>
        <w:contextualSpacing/>
        <w:jc w:val="left"/>
        <w:rPr>
          <w:rFonts w:eastAsia="Times New Roman" w:cs="Futura"/>
        </w:rPr>
      </w:pPr>
      <w:r w:rsidRPr="00DB3DE3">
        <w:rPr>
          <w:rFonts w:eastAsia="Times New Roman" w:cs="Futura"/>
        </w:rPr>
        <w:t>Cursos Regulares</w:t>
      </w:r>
    </w:p>
    <w:p w14:paraId="707997BB" w14:textId="77777777" w:rsidR="006D148B" w:rsidRPr="00DB3DE3" w:rsidRDefault="006D148B" w:rsidP="00DD5EE2">
      <w:pPr>
        <w:numPr>
          <w:ilvl w:val="0"/>
          <w:numId w:val="14"/>
        </w:numPr>
        <w:tabs>
          <w:tab w:val="left" w:pos="2962"/>
        </w:tabs>
        <w:spacing w:after="160"/>
        <w:contextualSpacing/>
        <w:jc w:val="left"/>
        <w:rPr>
          <w:rFonts w:eastAsia="Times New Roman" w:cs="Futura"/>
        </w:rPr>
      </w:pPr>
      <w:r w:rsidRPr="00DB3DE3">
        <w:rPr>
          <w:rFonts w:eastAsia="Times New Roman" w:cs="Futura"/>
        </w:rPr>
        <w:t>Cursos de Capacitación Acelerada Especifica (CAE )</w:t>
      </w:r>
    </w:p>
    <w:p w14:paraId="03BEDA3F" w14:textId="77777777" w:rsidR="006D148B" w:rsidRPr="00DB3DE3" w:rsidRDefault="006D148B" w:rsidP="00DD5EE2">
      <w:pPr>
        <w:numPr>
          <w:ilvl w:val="0"/>
          <w:numId w:val="14"/>
        </w:numPr>
        <w:tabs>
          <w:tab w:val="left" w:pos="2962"/>
        </w:tabs>
        <w:spacing w:after="160"/>
        <w:contextualSpacing/>
        <w:jc w:val="left"/>
        <w:rPr>
          <w:rFonts w:eastAsia="Times New Roman" w:cs="Futura"/>
        </w:rPr>
      </w:pPr>
      <w:r w:rsidRPr="00DB3DE3">
        <w:rPr>
          <w:rFonts w:eastAsia="Times New Roman" w:cs="Futura"/>
        </w:rPr>
        <w:t>Reconocimiento Oficial a la Competencia Ocupacional (ROCO)</w:t>
      </w:r>
    </w:p>
    <w:p w14:paraId="4BC7595C" w14:textId="77777777" w:rsidR="006D148B" w:rsidRPr="00DB3DE3" w:rsidRDefault="006D148B" w:rsidP="00DD5EE2">
      <w:pPr>
        <w:numPr>
          <w:ilvl w:val="0"/>
          <w:numId w:val="14"/>
        </w:numPr>
        <w:tabs>
          <w:tab w:val="left" w:pos="2962"/>
        </w:tabs>
        <w:spacing w:after="160"/>
        <w:contextualSpacing/>
        <w:jc w:val="left"/>
        <w:rPr>
          <w:rFonts w:eastAsia="Times New Roman" w:cs="Futura"/>
        </w:rPr>
      </w:pPr>
      <w:r w:rsidRPr="00DB3DE3">
        <w:rPr>
          <w:rFonts w:eastAsia="Times New Roman" w:cs="Futura"/>
        </w:rPr>
        <w:t>Estándares de Competencia Laboral</w:t>
      </w:r>
    </w:p>
    <w:p w14:paraId="39BBFA49" w14:textId="77777777" w:rsidR="006D148B" w:rsidRPr="00DB3DE3" w:rsidRDefault="006D148B" w:rsidP="00DD5EE2">
      <w:pPr>
        <w:numPr>
          <w:ilvl w:val="0"/>
          <w:numId w:val="14"/>
        </w:numPr>
        <w:tabs>
          <w:tab w:val="left" w:pos="2962"/>
        </w:tabs>
        <w:spacing w:after="160"/>
        <w:contextualSpacing/>
        <w:jc w:val="left"/>
        <w:rPr>
          <w:rFonts w:eastAsia="Times New Roman" w:cs="Futura"/>
        </w:rPr>
      </w:pPr>
      <w:r w:rsidRPr="00DB3DE3">
        <w:rPr>
          <w:rFonts w:eastAsia="Times New Roman" w:cs="Futura"/>
        </w:rPr>
        <w:t>Formación en Línea</w:t>
      </w:r>
    </w:p>
    <w:p w14:paraId="7B7D9084" w14:textId="1F8803D4" w:rsidR="006D148B" w:rsidRPr="00DB3DE3" w:rsidRDefault="00C73635" w:rsidP="00DD5EE2">
      <w:pPr>
        <w:numPr>
          <w:ilvl w:val="0"/>
          <w:numId w:val="14"/>
        </w:numPr>
        <w:tabs>
          <w:tab w:val="left" w:pos="2962"/>
        </w:tabs>
        <w:spacing w:after="160"/>
        <w:contextualSpacing/>
        <w:jc w:val="left"/>
        <w:rPr>
          <w:rFonts w:eastAsia="Times New Roman" w:cs="Futura"/>
        </w:rPr>
      </w:pPr>
      <w:r>
        <w:rPr>
          <w:rFonts w:eastAsia="Times New Roman" w:cs="Futura"/>
        </w:rPr>
        <w:t>RVOE</w:t>
      </w:r>
    </w:p>
    <w:p w14:paraId="6D12E262" w14:textId="77777777" w:rsidR="006D148B" w:rsidRPr="00DB3DE3" w:rsidRDefault="006D148B" w:rsidP="006D148B">
      <w:pPr>
        <w:tabs>
          <w:tab w:val="left" w:pos="2962"/>
        </w:tabs>
        <w:spacing w:after="160"/>
        <w:rPr>
          <w:rFonts w:eastAsia="Times New Roman" w:cs="Futura"/>
        </w:rPr>
      </w:pPr>
      <w:r w:rsidRPr="00DB3DE3">
        <w:rPr>
          <w:rFonts w:eastAsia="Times New Roman" w:cs="Futura"/>
        </w:rPr>
        <w:lastRenderedPageBreak/>
        <w:t>El Instituto a lo largo de los últimos cinco años ha tenido un incremento favorable de inscritos, dando como resultado mayor número de personas con la adquisición de conocimiento, habilidades y destrezas que sin duda alguna es un beneficio económicamente y de desarrollo</w:t>
      </w:r>
      <w:r>
        <w:rPr>
          <w:rFonts w:eastAsia="Times New Roman" w:cs="Futura"/>
        </w:rPr>
        <w:t xml:space="preserve"> social en nuestro E</w:t>
      </w:r>
      <w:r w:rsidRPr="00DB3DE3">
        <w:rPr>
          <w:rFonts w:eastAsia="Times New Roman" w:cs="Futura"/>
        </w:rPr>
        <w:t>stado.</w:t>
      </w:r>
    </w:p>
    <w:p w14:paraId="7770ED57" w14:textId="493DA370" w:rsidR="00003FDE" w:rsidRDefault="006D148B" w:rsidP="006D148B">
      <w:pPr>
        <w:tabs>
          <w:tab w:val="left" w:pos="2962"/>
        </w:tabs>
        <w:spacing w:after="160"/>
        <w:rPr>
          <w:rFonts w:eastAsia="Times New Roman" w:cs="Futura"/>
        </w:rPr>
      </w:pPr>
      <w:r w:rsidRPr="00DB3DE3">
        <w:rPr>
          <w:rFonts w:eastAsia="Times New Roman" w:cs="Futura"/>
        </w:rPr>
        <w:t xml:space="preserve">En el cuadro </w:t>
      </w:r>
      <w:r>
        <w:rPr>
          <w:rFonts w:eastAsia="Times New Roman" w:cs="Futura"/>
        </w:rPr>
        <w:t xml:space="preserve">20 </w:t>
      </w:r>
      <w:r w:rsidRPr="00DB3DE3">
        <w:rPr>
          <w:rFonts w:eastAsia="Times New Roman" w:cs="Futura"/>
        </w:rPr>
        <w:t>que se menciona a continuación se puede notar el ascenso por cada servicio en el periodo de los últimos cinco años.</w:t>
      </w:r>
    </w:p>
    <w:p w14:paraId="3E050DA8" w14:textId="77777777" w:rsidR="006D148B" w:rsidRPr="00DB3DE3" w:rsidRDefault="006D148B" w:rsidP="006D148B">
      <w:pPr>
        <w:spacing w:after="0"/>
        <w:jc w:val="center"/>
        <w:rPr>
          <w:b/>
          <w:color w:val="4BACC6" w:themeColor="accent5"/>
        </w:rPr>
      </w:pPr>
      <w:r>
        <w:rPr>
          <w:b/>
          <w:color w:val="4BACC6" w:themeColor="accent5"/>
        </w:rPr>
        <w:t xml:space="preserve">Cuadro 20. Matrícula atendida en los Servicios del Instituto de Capacitación para el Trabajo </w:t>
      </w:r>
    </w:p>
    <w:tbl>
      <w:tblPr>
        <w:tblStyle w:val="TablaSectorial"/>
        <w:tblW w:w="8642" w:type="dxa"/>
        <w:tblLook w:val="04A0" w:firstRow="1" w:lastRow="0" w:firstColumn="1" w:lastColumn="0" w:noHBand="0" w:noVBand="1"/>
      </w:tblPr>
      <w:tblGrid>
        <w:gridCol w:w="2719"/>
        <w:gridCol w:w="1245"/>
        <w:gridCol w:w="993"/>
        <w:gridCol w:w="1275"/>
        <w:gridCol w:w="1134"/>
        <w:gridCol w:w="1276"/>
      </w:tblGrid>
      <w:tr w:rsidR="006D148B" w:rsidRPr="00DB3DE3" w14:paraId="76CF2A70" w14:textId="77777777" w:rsidTr="00323D54">
        <w:trPr>
          <w:cnfStyle w:val="100000000000" w:firstRow="1" w:lastRow="0" w:firstColumn="0" w:lastColumn="0" w:oddVBand="0" w:evenVBand="0" w:oddHBand="0" w:evenHBand="0" w:firstRowFirstColumn="0" w:firstRowLastColumn="0" w:lastRowFirstColumn="0" w:lastRowLastColumn="0"/>
          <w:trHeight w:val="465"/>
        </w:trPr>
        <w:tc>
          <w:tcPr>
            <w:tcW w:w="2719" w:type="dxa"/>
            <w:noWrap/>
            <w:hideMark/>
          </w:tcPr>
          <w:p w14:paraId="62E9BAB3" w14:textId="77777777" w:rsidR="006D148B" w:rsidRPr="00447FBB" w:rsidRDefault="006D148B" w:rsidP="009E3B2F">
            <w:pPr>
              <w:autoSpaceDE w:val="0"/>
              <w:autoSpaceDN w:val="0"/>
              <w:adjustRightInd w:val="0"/>
              <w:spacing w:after="0" w:line="240" w:lineRule="auto"/>
              <w:jc w:val="center"/>
              <w:rPr>
                <w:rFonts w:ascii="Futura Std Condensed Light" w:eastAsia="Calibri" w:hAnsi="Futura Std Condensed Light" w:cs="Calibri"/>
                <w:b/>
                <w:szCs w:val="20"/>
              </w:rPr>
            </w:pPr>
            <w:r w:rsidRPr="00447FBB">
              <w:rPr>
                <w:rFonts w:ascii="Futura Std Condensed Light" w:eastAsia="Calibri" w:hAnsi="Futura Std Condensed Light" w:cs="Calibri"/>
                <w:b/>
                <w:szCs w:val="20"/>
              </w:rPr>
              <w:t>Servicio</w:t>
            </w:r>
          </w:p>
        </w:tc>
        <w:tc>
          <w:tcPr>
            <w:tcW w:w="1245" w:type="dxa"/>
            <w:noWrap/>
            <w:hideMark/>
          </w:tcPr>
          <w:p w14:paraId="3BAC489C" w14:textId="77777777" w:rsidR="006D148B" w:rsidRPr="00447FBB" w:rsidRDefault="006D148B" w:rsidP="009E3B2F">
            <w:pPr>
              <w:autoSpaceDE w:val="0"/>
              <w:autoSpaceDN w:val="0"/>
              <w:adjustRightInd w:val="0"/>
              <w:spacing w:after="0" w:line="240" w:lineRule="auto"/>
              <w:jc w:val="center"/>
              <w:rPr>
                <w:rFonts w:ascii="Futura Std Condensed Light" w:eastAsia="Calibri" w:hAnsi="Futura Std Condensed Light" w:cs="Calibri"/>
                <w:b/>
                <w:szCs w:val="20"/>
              </w:rPr>
            </w:pPr>
            <w:r w:rsidRPr="00447FBB">
              <w:rPr>
                <w:rFonts w:ascii="Futura Std Condensed Light" w:eastAsia="Calibri" w:hAnsi="Futura Std Condensed Light" w:cs="Calibri"/>
                <w:b/>
                <w:szCs w:val="20"/>
              </w:rPr>
              <w:t>2015</w:t>
            </w:r>
          </w:p>
        </w:tc>
        <w:tc>
          <w:tcPr>
            <w:tcW w:w="993" w:type="dxa"/>
            <w:noWrap/>
            <w:hideMark/>
          </w:tcPr>
          <w:p w14:paraId="5B6A4B82" w14:textId="77777777" w:rsidR="006D148B" w:rsidRPr="00447FBB" w:rsidRDefault="006D148B" w:rsidP="009E3B2F">
            <w:pPr>
              <w:autoSpaceDE w:val="0"/>
              <w:autoSpaceDN w:val="0"/>
              <w:adjustRightInd w:val="0"/>
              <w:spacing w:after="0" w:line="240" w:lineRule="auto"/>
              <w:jc w:val="center"/>
              <w:rPr>
                <w:rFonts w:ascii="Futura Std Condensed Light" w:eastAsia="Calibri" w:hAnsi="Futura Std Condensed Light" w:cs="Calibri"/>
                <w:b/>
                <w:szCs w:val="20"/>
              </w:rPr>
            </w:pPr>
            <w:r w:rsidRPr="00447FBB">
              <w:rPr>
                <w:rFonts w:ascii="Futura Std Condensed Light" w:eastAsia="Calibri" w:hAnsi="Futura Std Condensed Light" w:cs="Calibri"/>
                <w:b/>
                <w:szCs w:val="20"/>
              </w:rPr>
              <w:t>2016</w:t>
            </w:r>
          </w:p>
        </w:tc>
        <w:tc>
          <w:tcPr>
            <w:tcW w:w="1275" w:type="dxa"/>
            <w:noWrap/>
            <w:hideMark/>
          </w:tcPr>
          <w:p w14:paraId="17DF94F8" w14:textId="77777777" w:rsidR="006D148B" w:rsidRPr="00447FBB" w:rsidRDefault="006D148B" w:rsidP="009E3B2F">
            <w:pPr>
              <w:autoSpaceDE w:val="0"/>
              <w:autoSpaceDN w:val="0"/>
              <w:adjustRightInd w:val="0"/>
              <w:spacing w:after="0" w:line="240" w:lineRule="auto"/>
              <w:jc w:val="center"/>
              <w:rPr>
                <w:rFonts w:ascii="Futura Std Condensed Light" w:eastAsia="Calibri" w:hAnsi="Futura Std Condensed Light" w:cs="Calibri"/>
                <w:b/>
                <w:szCs w:val="20"/>
              </w:rPr>
            </w:pPr>
            <w:r w:rsidRPr="00447FBB">
              <w:rPr>
                <w:rFonts w:ascii="Futura Std Condensed Light" w:eastAsia="Calibri" w:hAnsi="Futura Std Condensed Light" w:cs="Calibri"/>
                <w:b/>
                <w:szCs w:val="20"/>
              </w:rPr>
              <w:t>2017</w:t>
            </w:r>
          </w:p>
        </w:tc>
        <w:tc>
          <w:tcPr>
            <w:tcW w:w="1134" w:type="dxa"/>
            <w:noWrap/>
            <w:hideMark/>
          </w:tcPr>
          <w:p w14:paraId="7762A04B" w14:textId="77777777" w:rsidR="006D148B" w:rsidRPr="00447FBB" w:rsidRDefault="006D148B" w:rsidP="009E3B2F">
            <w:pPr>
              <w:autoSpaceDE w:val="0"/>
              <w:autoSpaceDN w:val="0"/>
              <w:adjustRightInd w:val="0"/>
              <w:spacing w:after="0" w:line="240" w:lineRule="auto"/>
              <w:jc w:val="center"/>
              <w:rPr>
                <w:rFonts w:ascii="Futura Std Condensed Light" w:eastAsia="Calibri" w:hAnsi="Futura Std Condensed Light" w:cs="Calibri"/>
                <w:b/>
                <w:szCs w:val="20"/>
              </w:rPr>
            </w:pPr>
            <w:r w:rsidRPr="00447FBB">
              <w:rPr>
                <w:rFonts w:ascii="Futura Std Condensed Light" w:eastAsia="Calibri" w:hAnsi="Futura Std Condensed Light" w:cs="Calibri"/>
                <w:b/>
                <w:szCs w:val="20"/>
              </w:rPr>
              <w:t>2018</w:t>
            </w:r>
          </w:p>
        </w:tc>
        <w:tc>
          <w:tcPr>
            <w:tcW w:w="1276" w:type="dxa"/>
            <w:noWrap/>
            <w:hideMark/>
          </w:tcPr>
          <w:p w14:paraId="1DAC51E9" w14:textId="77777777" w:rsidR="006D148B" w:rsidRPr="00447FBB" w:rsidRDefault="006D148B" w:rsidP="009E3B2F">
            <w:pPr>
              <w:autoSpaceDE w:val="0"/>
              <w:autoSpaceDN w:val="0"/>
              <w:adjustRightInd w:val="0"/>
              <w:spacing w:after="0" w:line="240" w:lineRule="auto"/>
              <w:jc w:val="center"/>
              <w:rPr>
                <w:rFonts w:ascii="Futura Std Condensed Light" w:eastAsia="Calibri" w:hAnsi="Futura Std Condensed Light" w:cs="Calibri"/>
                <w:b/>
                <w:szCs w:val="20"/>
              </w:rPr>
            </w:pPr>
            <w:r w:rsidRPr="00447FBB">
              <w:rPr>
                <w:rFonts w:ascii="Futura Std Condensed Light" w:eastAsia="Calibri" w:hAnsi="Futura Std Condensed Light" w:cs="Calibri"/>
                <w:b/>
                <w:szCs w:val="20"/>
              </w:rPr>
              <w:t>2019</w:t>
            </w:r>
          </w:p>
        </w:tc>
      </w:tr>
      <w:tr w:rsidR="006D148B" w:rsidRPr="00DB3DE3" w14:paraId="1A0BA237" w14:textId="77777777" w:rsidTr="00323D54">
        <w:trPr>
          <w:trHeight w:val="499"/>
        </w:trPr>
        <w:tc>
          <w:tcPr>
            <w:tcW w:w="2719" w:type="dxa"/>
            <w:hideMark/>
          </w:tcPr>
          <w:p w14:paraId="049BFFE1" w14:textId="77777777" w:rsidR="006D148B" w:rsidRPr="00DB3DE3" w:rsidRDefault="006D148B" w:rsidP="00374A10">
            <w:pPr>
              <w:autoSpaceDE w:val="0"/>
              <w:autoSpaceDN w:val="0"/>
              <w:adjustRightInd w:val="0"/>
              <w:spacing w:after="0" w:line="240" w:lineRule="auto"/>
              <w:jc w:val="left"/>
              <w:rPr>
                <w:rFonts w:ascii="Futura Std Condensed Light" w:eastAsia="Calibri" w:hAnsi="Futura Std Condensed Light" w:cs="Calibri"/>
                <w:szCs w:val="20"/>
              </w:rPr>
            </w:pPr>
            <w:r w:rsidRPr="00DB3DE3">
              <w:rPr>
                <w:rFonts w:ascii="Futura Std Condensed Light" w:eastAsia="Calibri" w:hAnsi="Futura Std Condensed Light" w:cs="Calibri"/>
                <w:szCs w:val="20"/>
              </w:rPr>
              <w:t>Regular</w:t>
            </w:r>
          </w:p>
        </w:tc>
        <w:tc>
          <w:tcPr>
            <w:tcW w:w="1245" w:type="dxa"/>
            <w:noWrap/>
            <w:hideMark/>
          </w:tcPr>
          <w:p w14:paraId="6FB41182" w14:textId="77777777" w:rsidR="006D148B" w:rsidRPr="00DB3DE3" w:rsidRDefault="006D148B" w:rsidP="009E3B2F">
            <w:pPr>
              <w:autoSpaceDE w:val="0"/>
              <w:autoSpaceDN w:val="0"/>
              <w:adjustRightInd w:val="0"/>
              <w:spacing w:after="0" w:line="240" w:lineRule="auto"/>
              <w:jc w:val="center"/>
              <w:rPr>
                <w:rFonts w:ascii="Futura Std Condensed Light" w:eastAsia="Calibri" w:hAnsi="Futura Std Condensed Light" w:cs="Calibri"/>
                <w:szCs w:val="20"/>
              </w:rPr>
            </w:pPr>
            <w:r w:rsidRPr="00DB3DE3">
              <w:rPr>
                <w:rFonts w:ascii="Futura Std Condensed Light" w:eastAsia="Calibri" w:hAnsi="Futura Std Condensed Light" w:cs="Calibri"/>
                <w:szCs w:val="20"/>
              </w:rPr>
              <w:t>2310</w:t>
            </w:r>
          </w:p>
        </w:tc>
        <w:tc>
          <w:tcPr>
            <w:tcW w:w="993" w:type="dxa"/>
            <w:noWrap/>
            <w:hideMark/>
          </w:tcPr>
          <w:p w14:paraId="6A109FF6" w14:textId="77777777" w:rsidR="006D148B" w:rsidRPr="00DB3DE3" w:rsidRDefault="006D148B" w:rsidP="009E3B2F">
            <w:pPr>
              <w:autoSpaceDE w:val="0"/>
              <w:autoSpaceDN w:val="0"/>
              <w:adjustRightInd w:val="0"/>
              <w:spacing w:after="0" w:line="240" w:lineRule="auto"/>
              <w:jc w:val="center"/>
              <w:rPr>
                <w:rFonts w:ascii="Futura Std Condensed Light" w:eastAsia="Calibri" w:hAnsi="Futura Std Condensed Light" w:cs="Calibri"/>
                <w:szCs w:val="20"/>
              </w:rPr>
            </w:pPr>
            <w:r w:rsidRPr="00DB3DE3">
              <w:rPr>
                <w:rFonts w:ascii="Futura Std Condensed Light" w:eastAsia="Calibri" w:hAnsi="Futura Std Condensed Light" w:cs="Calibri"/>
                <w:szCs w:val="20"/>
              </w:rPr>
              <w:t>862</w:t>
            </w:r>
          </w:p>
        </w:tc>
        <w:tc>
          <w:tcPr>
            <w:tcW w:w="1275" w:type="dxa"/>
            <w:noWrap/>
            <w:hideMark/>
          </w:tcPr>
          <w:p w14:paraId="1AD58466" w14:textId="77777777" w:rsidR="006D148B" w:rsidRPr="00DB3DE3" w:rsidRDefault="006D148B" w:rsidP="009E3B2F">
            <w:pPr>
              <w:autoSpaceDE w:val="0"/>
              <w:autoSpaceDN w:val="0"/>
              <w:adjustRightInd w:val="0"/>
              <w:spacing w:after="0" w:line="240" w:lineRule="auto"/>
              <w:jc w:val="center"/>
              <w:rPr>
                <w:rFonts w:ascii="Futura Std Condensed Light" w:eastAsia="Calibri" w:hAnsi="Futura Std Condensed Light" w:cs="Calibri"/>
                <w:szCs w:val="20"/>
              </w:rPr>
            </w:pPr>
            <w:r w:rsidRPr="00DB3DE3">
              <w:rPr>
                <w:rFonts w:ascii="Futura Std Condensed Light" w:eastAsia="Calibri" w:hAnsi="Futura Std Condensed Light" w:cs="Calibri"/>
                <w:szCs w:val="20"/>
              </w:rPr>
              <w:t>1120</w:t>
            </w:r>
          </w:p>
        </w:tc>
        <w:tc>
          <w:tcPr>
            <w:tcW w:w="1134" w:type="dxa"/>
            <w:noWrap/>
            <w:hideMark/>
          </w:tcPr>
          <w:p w14:paraId="0C450357" w14:textId="77777777" w:rsidR="006D148B" w:rsidRPr="00DB3DE3" w:rsidRDefault="006D148B" w:rsidP="009E3B2F">
            <w:pPr>
              <w:autoSpaceDE w:val="0"/>
              <w:autoSpaceDN w:val="0"/>
              <w:adjustRightInd w:val="0"/>
              <w:spacing w:after="0" w:line="240" w:lineRule="auto"/>
              <w:jc w:val="center"/>
              <w:rPr>
                <w:rFonts w:ascii="Futura Std Condensed Light" w:eastAsia="Calibri" w:hAnsi="Futura Std Condensed Light" w:cs="Calibri"/>
                <w:szCs w:val="20"/>
              </w:rPr>
            </w:pPr>
            <w:r w:rsidRPr="00DB3DE3">
              <w:rPr>
                <w:rFonts w:ascii="Futura Std Condensed Light" w:eastAsia="Calibri" w:hAnsi="Futura Std Condensed Light" w:cs="Calibri"/>
                <w:szCs w:val="20"/>
              </w:rPr>
              <w:t>678</w:t>
            </w:r>
          </w:p>
        </w:tc>
        <w:tc>
          <w:tcPr>
            <w:tcW w:w="1276" w:type="dxa"/>
            <w:noWrap/>
            <w:hideMark/>
          </w:tcPr>
          <w:p w14:paraId="4E9DE29E" w14:textId="77777777" w:rsidR="006D148B" w:rsidRPr="00DB3DE3" w:rsidRDefault="006D148B" w:rsidP="009E3B2F">
            <w:pPr>
              <w:autoSpaceDE w:val="0"/>
              <w:autoSpaceDN w:val="0"/>
              <w:adjustRightInd w:val="0"/>
              <w:spacing w:after="0" w:line="240" w:lineRule="auto"/>
              <w:jc w:val="center"/>
              <w:rPr>
                <w:rFonts w:ascii="Futura Std Condensed Light" w:eastAsia="Calibri" w:hAnsi="Futura Std Condensed Light" w:cs="Calibri"/>
                <w:szCs w:val="20"/>
              </w:rPr>
            </w:pPr>
            <w:r w:rsidRPr="00DB3DE3">
              <w:rPr>
                <w:rFonts w:ascii="Futura Std Condensed Light" w:eastAsia="Calibri" w:hAnsi="Futura Std Condensed Light" w:cs="Calibri"/>
                <w:szCs w:val="20"/>
              </w:rPr>
              <w:t>440</w:t>
            </w:r>
          </w:p>
        </w:tc>
      </w:tr>
      <w:tr w:rsidR="006D148B" w:rsidRPr="00DB3DE3" w14:paraId="4A3E529D" w14:textId="77777777" w:rsidTr="00323D54">
        <w:trPr>
          <w:trHeight w:val="499"/>
        </w:trPr>
        <w:tc>
          <w:tcPr>
            <w:tcW w:w="2719" w:type="dxa"/>
            <w:hideMark/>
          </w:tcPr>
          <w:p w14:paraId="4B5AD127" w14:textId="77777777" w:rsidR="006D148B" w:rsidRPr="00DB3DE3" w:rsidRDefault="006D148B" w:rsidP="00374A10">
            <w:pPr>
              <w:autoSpaceDE w:val="0"/>
              <w:autoSpaceDN w:val="0"/>
              <w:adjustRightInd w:val="0"/>
              <w:spacing w:after="0" w:line="240" w:lineRule="auto"/>
              <w:jc w:val="left"/>
              <w:rPr>
                <w:rFonts w:ascii="Futura Std Condensed Light" w:eastAsia="Calibri" w:hAnsi="Futura Std Condensed Light" w:cs="Calibri"/>
                <w:szCs w:val="20"/>
              </w:rPr>
            </w:pPr>
            <w:r w:rsidRPr="00DB3DE3">
              <w:rPr>
                <w:rFonts w:ascii="Futura Std Condensed Light" w:eastAsia="Calibri" w:hAnsi="Futura Std Condensed Light" w:cs="Calibri"/>
                <w:szCs w:val="20"/>
              </w:rPr>
              <w:t>Extensión</w:t>
            </w:r>
          </w:p>
        </w:tc>
        <w:tc>
          <w:tcPr>
            <w:tcW w:w="1245" w:type="dxa"/>
            <w:noWrap/>
            <w:hideMark/>
          </w:tcPr>
          <w:p w14:paraId="76168F58" w14:textId="77777777" w:rsidR="006D148B" w:rsidRPr="00DB3DE3" w:rsidRDefault="006D148B" w:rsidP="009E3B2F">
            <w:pPr>
              <w:autoSpaceDE w:val="0"/>
              <w:autoSpaceDN w:val="0"/>
              <w:adjustRightInd w:val="0"/>
              <w:spacing w:after="0" w:line="240" w:lineRule="auto"/>
              <w:jc w:val="center"/>
              <w:rPr>
                <w:rFonts w:ascii="Futura Std Condensed Light" w:eastAsia="Calibri" w:hAnsi="Futura Std Condensed Light" w:cs="Calibri"/>
                <w:szCs w:val="20"/>
              </w:rPr>
            </w:pPr>
            <w:r w:rsidRPr="00DB3DE3">
              <w:rPr>
                <w:rFonts w:ascii="Futura Std Condensed Light" w:eastAsia="Calibri" w:hAnsi="Futura Std Condensed Light" w:cs="Calibri"/>
                <w:szCs w:val="20"/>
              </w:rPr>
              <w:t>33,612</w:t>
            </w:r>
          </w:p>
        </w:tc>
        <w:tc>
          <w:tcPr>
            <w:tcW w:w="993" w:type="dxa"/>
            <w:noWrap/>
            <w:hideMark/>
          </w:tcPr>
          <w:p w14:paraId="5A861C6D" w14:textId="77777777" w:rsidR="006D148B" w:rsidRPr="00DB3DE3" w:rsidRDefault="006D148B" w:rsidP="009E3B2F">
            <w:pPr>
              <w:autoSpaceDE w:val="0"/>
              <w:autoSpaceDN w:val="0"/>
              <w:adjustRightInd w:val="0"/>
              <w:spacing w:after="0" w:line="240" w:lineRule="auto"/>
              <w:jc w:val="center"/>
              <w:rPr>
                <w:rFonts w:ascii="Futura Std Condensed Light" w:eastAsia="Calibri" w:hAnsi="Futura Std Condensed Light" w:cs="Calibri"/>
                <w:szCs w:val="20"/>
              </w:rPr>
            </w:pPr>
            <w:r w:rsidRPr="00DB3DE3">
              <w:rPr>
                <w:rFonts w:ascii="Futura Std Condensed Light" w:eastAsia="Calibri" w:hAnsi="Futura Std Condensed Light" w:cs="Calibri"/>
                <w:szCs w:val="20"/>
              </w:rPr>
              <w:t>23,888</w:t>
            </w:r>
          </w:p>
        </w:tc>
        <w:tc>
          <w:tcPr>
            <w:tcW w:w="1275" w:type="dxa"/>
            <w:noWrap/>
            <w:hideMark/>
          </w:tcPr>
          <w:p w14:paraId="65FD6C5E" w14:textId="77777777" w:rsidR="006D148B" w:rsidRPr="00DB3DE3" w:rsidRDefault="006D148B" w:rsidP="009E3B2F">
            <w:pPr>
              <w:autoSpaceDE w:val="0"/>
              <w:autoSpaceDN w:val="0"/>
              <w:adjustRightInd w:val="0"/>
              <w:spacing w:after="0" w:line="240" w:lineRule="auto"/>
              <w:jc w:val="center"/>
              <w:rPr>
                <w:rFonts w:ascii="Futura Std Condensed Light" w:eastAsia="Calibri" w:hAnsi="Futura Std Condensed Light" w:cs="Calibri"/>
                <w:szCs w:val="20"/>
              </w:rPr>
            </w:pPr>
            <w:r w:rsidRPr="00DB3DE3">
              <w:rPr>
                <w:rFonts w:ascii="Futura Std Condensed Light" w:eastAsia="Calibri" w:hAnsi="Futura Std Condensed Light" w:cs="Calibri"/>
                <w:szCs w:val="20"/>
              </w:rPr>
              <w:t>30,591</w:t>
            </w:r>
          </w:p>
        </w:tc>
        <w:tc>
          <w:tcPr>
            <w:tcW w:w="1134" w:type="dxa"/>
            <w:noWrap/>
            <w:hideMark/>
          </w:tcPr>
          <w:p w14:paraId="46334C22" w14:textId="77777777" w:rsidR="006D148B" w:rsidRPr="00DB3DE3" w:rsidRDefault="006D148B" w:rsidP="009E3B2F">
            <w:pPr>
              <w:autoSpaceDE w:val="0"/>
              <w:autoSpaceDN w:val="0"/>
              <w:adjustRightInd w:val="0"/>
              <w:spacing w:after="0" w:line="240" w:lineRule="auto"/>
              <w:jc w:val="center"/>
              <w:rPr>
                <w:rFonts w:ascii="Futura Std Condensed Light" w:eastAsia="Calibri" w:hAnsi="Futura Std Condensed Light" w:cs="Calibri"/>
                <w:szCs w:val="20"/>
              </w:rPr>
            </w:pPr>
            <w:r w:rsidRPr="00DB3DE3">
              <w:rPr>
                <w:rFonts w:ascii="Futura Std Condensed Light" w:eastAsia="Calibri" w:hAnsi="Futura Std Condensed Light" w:cs="Calibri"/>
                <w:szCs w:val="20"/>
              </w:rPr>
              <w:t>32,980</w:t>
            </w:r>
          </w:p>
        </w:tc>
        <w:tc>
          <w:tcPr>
            <w:tcW w:w="1276" w:type="dxa"/>
            <w:noWrap/>
            <w:hideMark/>
          </w:tcPr>
          <w:p w14:paraId="38FC831A" w14:textId="77777777" w:rsidR="006D148B" w:rsidRPr="00DB3DE3" w:rsidRDefault="006D148B" w:rsidP="009E3B2F">
            <w:pPr>
              <w:autoSpaceDE w:val="0"/>
              <w:autoSpaceDN w:val="0"/>
              <w:adjustRightInd w:val="0"/>
              <w:spacing w:after="0" w:line="240" w:lineRule="auto"/>
              <w:jc w:val="center"/>
              <w:rPr>
                <w:rFonts w:ascii="Futura Std Condensed Light" w:eastAsia="Calibri" w:hAnsi="Futura Std Condensed Light" w:cs="Calibri"/>
                <w:szCs w:val="20"/>
              </w:rPr>
            </w:pPr>
            <w:r w:rsidRPr="00DB3DE3">
              <w:rPr>
                <w:rFonts w:ascii="Futura Std Condensed Light" w:eastAsia="Calibri" w:hAnsi="Futura Std Condensed Light" w:cs="Calibri"/>
                <w:szCs w:val="20"/>
              </w:rPr>
              <w:t>44,143</w:t>
            </w:r>
          </w:p>
        </w:tc>
      </w:tr>
      <w:tr w:rsidR="006D148B" w:rsidRPr="00DB3DE3" w14:paraId="252DAF2A" w14:textId="77777777" w:rsidTr="00323D54">
        <w:trPr>
          <w:trHeight w:val="499"/>
        </w:trPr>
        <w:tc>
          <w:tcPr>
            <w:tcW w:w="2719" w:type="dxa"/>
            <w:hideMark/>
          </w:tcPr>
          <w:p w14:paraId="53F42687" w14:textId="77777777" w:rsidR="006D148B" w:rsidRPr="00DB3DE3" w:rsidRDefault="006D148B" w:rsidP="00374A10">
            <w:pPr>
              <w:autoSpaceDE w:val="0"/>
              <w:autoSpaceDN w:val="0"/>
              <w:adjustRightInd w:val="0"/>
              <w:spacing w:after="0" w:line="240" w:lineRule="auto"/>
              <w:jc w:val="left"/>
              <w:rPr>
                <w:rFonts w:ascii="Futura Std Condensed Light" w:eastAsia="Calibri" w:hAnsi="Futura Std Condensed Light" w:cs="Calibri"/>
                <w:szCs w:val="20"/>
              </w:rPr>
            </w:pPr>
            <w:r w:rsidRPr="00DB3DE3">
              <w:rPr>
                <w:rFonts w:ascii="Futura Std Condensed Light" w:eastAsia="Calibri" w:hAnsi="Futura Std Condensed Light" w:cs="Calibri"/>
                <w:szCs w:val="20"/>
              </w:rPr>
              <w:t>CAE</w:t>
            </w:r>
          </w:p>
        </w:tc>
        <w:tc>
          <w:tcPr>
            <w:tcW w:w="1245" w:type="dxa"/>
            <w:noWrap/>
            <w:hideMark/>
          </w:tcPr>
          <w:p w14:paraId="5876EC8C" w14:textId="77777777" w:rsidR="006D148B" w:rsidRPr="00DB3DE3" w:rsidRDefault="006D148B" w:rsidP="009E3B2F">
            <w:pPr>
              <w:autoSpaceDE w:val="0"/>
              <w:autoSpaceDN w:val="0"/>
              <w:adjustRightInd w:val="0"/>
              <w:spacing w:after="0" w:line="240" w:lineRule="auto"/>
              <w:jc w:val="center"/>
              <w:rPr>
                <w:rFonts w:ascii="Futura Std Condensed Light" w:eastAsia="Calibri" w:hAnsi="Futura Std Condensed Light" w:cs="Calibri"/>
                <w:szCs w:val="20"/>
              </w:rPr>
            </w:pPr>
            <w:r w:rsidRPr="00DB3DE3">
              <w:rPr>
                <w:rFonts w:ascii="Futura Std Condensed Light" w:eastAsia="Calibri" w:hAnsi="Futura Std Condensed Light" w:cs="Calibri"/>
                <w:szCs w:val="20"/>
              </w:rPr>
              <w:t>2,936</w:t>
            </w:r>
          </w:p>
        </w:tc>
        <w:tc>
          <w:tcPr>
            <w:tcW w:w="993" w:type="dxa"/>
            <w:noWrap/>
            <w:hideMark/>
          </w:tcPr>
          <w:p w14:paraId="655D9917" w14:textId="77777777" w:rsidR="006D148B" w:rsidRPr="00DB3DE3" w:rsidRDefault="006D148B" w:rsidP="009E3B2F">
            <w:pPr>
              <w:autoSpaceDE w:val="0"/>
              <w:autoSpaceDN w:val="0"/>
              <w:adjustRightInd w:val="0"/>
              <w:spacing w:after="0" w:line="240" w:lineRule="auto"/>
              <w:jc w:val="center"/>
              <w:rPr>
                <w:rFonts w:ascii="Futura Std Condensed Light" w:eastAsia="Calibri" w:hAnsi="Futura Std Condensed Light" w:cs="Calibri"/>
                <w:szCs w:val="20"/>
              </w:rPr>
            </w:pPr>
            <w:r w:rsidRPr="00DB3DE3">
              <w:rPr>
                <w:rFonts w:ascii="Futura Std Condensed Light" w:eastAsia="Calibri" w:hAnsi="Futura Std Condensed Light" w:cs="Calibri"/>
                <w:szCs w:val="20"/>
              </w:rPr>
              <w:t>3,907</w:t>
            </w:r>
          </w:p>
        </w:tc>
        <w:tc>
          <w:tcPr>
            <w:tcW w:w="1275" w:type="dxa"/>
            <w:noWrap/>
            <w:hideMark/>
          </w:tcPr>
          <w:p w14:paraId="52C6E637" w14:textId="77777777" w:rsidR="006D148B" w:rsidRPr="00DB3DE3" w:rsidRDefault="006D148B" w:rsidP="009E3B2F">
            <w:pPr>
              <w:autoSpaceDE w:val="0"/>
              <w:autoSpaceDN w:val="0"/>
              <w:adjustRightInd w:val="0"/>
              <w:spacing w:after="0" w:line="240" w:lineRule="auto"/>
              <w:jc w:val="center"/>
              <w:rPr>
                <w:rFonts w:ascii="Futura Std Condensed Light" w:eastAsia="Calibri" w:hAnsi="Futura Std Condensed Light" w:cs="Calibri"/>
                <w:szCs w:val="20"/>
              </w:rPr>
            </w:pPr>
            <w:r w:rsidRPr="00DB3DE3">
              <w:rPr>
                <w:rFonts w:ascii="Futura Std Condensed Light" w:eastAsia="Calibri" w:hAnsi="Futura Std Condensed Light" w:cs="Calibri"/>
                <w:szCs w:val="20"/>
              </w:rPr>
              <w:t>8,915</w:t>
            </w:r>
          </w:p>
        </w:tc>
        <w:tc>
          <w:tcPr>
            <w:tcW w:w="1134" w:type="dxa"/>
            <w:noWrap/>
            <w:hideMark/>
          </w:tcPr>
          <w:p w14:paraId="337AA42C" w14:textId="77777777" w:rsidR="006D148B" w:rsidRPr="00DB3DE3" w:rsidRDefault="006D148B" w:rsidP="009E3B2F">
            <w:pPr>
              <w:autoSpaceDE w:val="0"/>
              <w:autoSpaceDN w:val="0"/>
              <w:adjustRightInd w:val="0"/>
              <w:spacing w:after="0" w:line="240" w:lineRule="auto"/>
              <w:jc w:val="center"/>
              <w:rPr>
                <w:rFonts w:ascii="Futura Std Condensed Light" w:eastAsia="Calibri" w:hAnsi="Futura Std Condensed Light" w:cs="Calibri"/>
                <w:szCs w:val="20"/>
              </w:rPr>
            </w:pPr>
            <w:r w:rsidRPr="00DB3DE3">
              <w:rPr>
                <w:rFonts w:ascii="Futura Std Condensed Light" w:eastAsia="Calibri" w:hAnsi="Futura Std Condensed Light" w:cs="Calibri"/>
                <w:szCs w:val="20"/>
              </w:rPr>
              <w:t>8,840</w:t>
            </w:r>
          </w:p>
        </w:tc>
        <w:tc>
          <w:tcPr>
            <w:tcW w:w="1276" w:type="dxa"/>
            <w:noWrap/>
            <w:hideMark/>
          </w:tcPr>
          <w:p w14:paraId="02F8FDCF" w14:textId="77777777" w:rsidR="006D148B" w:rsidRPr="00DB3DE3" w:rsidRDefault="006D148B" w:rsidP="009E3B2F">
            <w:pPr>
              <w:autoSpaceDE w:val="0"/>
              <w:autoSpaceDN w:val="0"/>
              <w:adjustRightInd w:val="0"/>
              <w:spacing w:after="0" w:line="240" w:lineRule="auto"/>
              <w:jc w:val="center"/>
              <w:rPr>
                <w:rFonts w:ascii="Futura Std Condensed Light" w:eastAsia="Calibri" w:hAnsi="Futura Std Condensed Light" w:cs="Calibri"/>
                <w:szCs w:val="20"/>
              </w:rPr>
            </w:pPr>
            <w:r w:rsidRPr="00DB3DE3">
              <w:rPr>
                <w:rFonts w:ascii="Futura Std Condensed Light" w:eastAsia="Calibri" w:hAnsi="Futura Std Condensed Light" w:cs="Calibri"/>
                <w:szCs w:val="20"/>
              </w:rPr>
              <w:t>2,659</w:t>
            </w:r>
          </w:p>
        </w:tc>
      </w:tr>
      <w:tr w:rsidR="006D148B" w:rsidRPr="00DB3DE3" w14:paraId="20BABD1D" w14:textId="77777777" w:rsidTr="00323D54">
        <w:trPr>
          <w:trHeight w:val="499"/>
        </w:trPr>
        <w:tc>
          <w:tcPr>
            <w:tcW w:w="2719" w:type="dxa"/>
            <w:hideMark/>
          </w:tcPr>
          <w:p w14:paraId="64A5A43E" w14:textId="77777777" w:rsidR="006D148B" w:rsidRPr="00DB3DE3" w:rsidRDefault="006D148B" w:rsidP="00374A10">
            <w:pPr>
              <w:autoSpaceDE w:val="0"/>
              <w:autoSpaceDN w:val="0"/>
              <w:adjustRightInd w:val="0"/>
              <w:spacing w:after="0" w:line="240" w:lineRule="auto"/>
              <w:jc w:val="left"/>
              <w:rPr>
                <w:rFonts w:ascii="Futura Std Condensed Light" w:eastAsia="Calibri" w:hAnsi="Futura Std Condensed Light" w:cs="Calibri"/>
                <w:szCs w:val="20"/>
              </w:rPr>
            </w:pPr>
            <w:r w:rsidRPr="00DB3DE3">
              <w:rPr>
                <w:rFonts w:ascii="Futura Std Condensed Light" w:eastAsia="Calibri" w:hAnsi="Futura Std Condensed Light" w:cs="Calibri"/>
                <w:szCs w:val="20"/>
              </w:rPr>
              <w:t>Roco</w:t>
            </w:r>
          </w:p>
        </w:tc>
        <w:tc>
          <w:tcPr>
            <w:tcW w:w="1245" w:type="dxa"/>
            <w:noWrap/>
            <w:hideMark/>
          </w:tcPr>
          <w:p w14:paraId="419AC207" w14:textId="77777777" w:rsidR="006D148B" w:rsidRPr="00DB3DE3" w:rsidRDefault="006D148B" w:rsidP="009E3B2F">
            <w:pPr>
              <w:autoSpaceDE w:val="0"/>
              <w:autoSpaceDN w:val="0"/>
              <w:adjustRightInd w:val="0"/>
              <w:spacing w:after="0" w:line="240" w:lineRule="auto"/>
              <w:jc w:val="center"/>
              <w:rPr>
                <w:rFonts w:ascii="Futura Std Condensed Light" w:eastAsia="Calibri" w:hAnsi="Futura Std Condensed Light" w:cs="Calibri"/>
                <w:szCs w:val="20"/>
              </w:rPr>
            </w:pPr>
            <w:r w:rsidRPr="00DB3DE3">
              <w:rPr>
                <w:rFonts w:ascii="Futura Std Condensed Light" w:eastAsia="Calibri" w:hAnsi="Futura Std Condensed Light" w:cs="Calibri"/>
                <w:szCs w:val="20"/>
              </w:rPr>
              <w:t>227</w:t>
            </w:r>
          </w:p>
        </w:tc>
        <w:tc>
          <w:tcPr>
            <w:tcW w:w="993" w:type="dxa"/>
            <w:noWrap/>
            <w:hideMark/>
          </w:tcPr>
          <w:p w14:paraId="691268C6" w14:textId="77777777" w:rsidR="006D148B" w:rsidRPr="00DB3DE3" w:rsidRDefault="006D148B" w:rsidP="009E3B2F">
            <w:pPr>
              <w:autoSpaceDE w:val="0"/>
              <w:autoSpaceDN w:val="0"/>
              <w:adjustRightInd w:val="0"/>
              <w:spacing w:after="0" w:line="240" w:lineRule="auto"/>
              <w:jc w:val="center"/>
              <w:rPr>
                <w:rFonts w:ascii="Futura Std Condensed Light" w:eastAsia="Calibri" w:hAnsi="Futura Std Condensed Light" w:cs="Calibri"/>
                <w:szCs w:val="20"/>
              </w:rPr>
            </w:pPr>
            <w:r w:rsidRPr="00DB3DE3">
              <w:rPr>
                <w:rFonts w:ascii="Futura Std Condensed Light" w:eastAsia="Calibri" w:hAnsi="Futura Std Condensed Light" w:cs="Calibri"/>
                <w:szCs w:val="20"/>
              </w:rPr>
              <w:t>204</w:t>
            </w:r>
          </w:p>
        </w:tc>
        <w:tc>
          <w:tcPr>
            <w:tcW w:w="1275" w:type="dxa"/>
            <w:noWrap/>
            <w:hideMark/>
          </w:tcPr>
          <w:p w14:paraId="024A52CB" w14:textId="77777777" w:rsidR="006D148B" w:rsidRPr="00DB3DE3" w:rsidRDefault="006D148B" w:rsidP="009E3B2F">
            <w:pPr>
              <w:autoSpaceDE w:val="0"/>
              <w:autoSpaceDN w:val="0"/>
              <w:adjustRightInd w:val="0"/>
              <w:spacing w:after="0" w:line="240" w:lineRule="auto"/>
              <w:jc w:val="center"/>
              <w:rPr>
                <w:rFonts w:ascii="Futura Std Condensed Light" w:eastAsia="Calibri" w:hAnsi="Futura Std Condensed Light" w:cs="Calibri"/>
                <w:szCs w:val="20"/>
              </w:rPr>
            </w:pPr>
            <w:r w:rsidRPr="00DB3DE3">
              <w:rPr>
                <w:rFonts w:ascii="Futura Std Condensed Light" w:eastAsia="Calibri" w:hAnsi="Futura Std Condensed Light" w:cs="Calibri"/>
                <w:szCs w:val="20"/>
              </w:rPr>
              <w:t>240</w:t>
            </w:r>
          </w:p>
        </w:tc>
        <w:tc>
          <w:tcPr>
            <w:tcW w:w="1134" w:type="dxa"/>
            <w:noWrap/>
            <w:hideMark/>
          </w:tcPr>
          <w:p w14:paraId="7856E792" w14:textId="77777777" w:rsidR="006D148B" w:rsidRPr="00DB3DE3" w:rsidRDefault="006D148B" w:rsidP="009E3B2F">
            <w:pPr>
              <w:autoSpaceDE w:val="0"/>
              <w:autoSpaceDN w:val="0"/>
              <w:adjustRightInd w:val="0"/>
              <w:spacing w:after="0" w:line="240" w:lineRule="auto"/>
              <w:jc w:val="center"/>
              <w:rPr>
                <w:rFonts w:ascii="Futura Std Condensed Light" w:eastAsia="Calibri" w:hAnsi="Futura Std Condensed Light" w:cs="Calibri"/>
                <w:szCs w:val="20"/>
              </w:rPr>
            </w:pPr>
            <w:r w:rsidRPr="00DB3DE3">
              <w:rPr>
                <w:rFonts w:ascii="Futura Std Condensed Light" w:eastAsia="Calibri" w:hAnsi="Futura Std Condensed Light" w:cs="Calibri"/>
                <w:szCs w:val="20"/>
              </w:rPr>
              <w:t>224</w:t>
            </w:r>
          </w:p>
        </w:tc>
        <w:tc>
          <w:tcPr>
            <w:tcW w:w="1276" w:type="dxa"/>
            <w:noWrap/>
            <w:hideMark/>
          </w:tcPr>
          <w:p w14:paraId="38FEC43A" w14:textId="77777777" w:rsidR="006D148B" w:rsidRPr="00DB3DE3" w:rsidRDefault="006D148B" w:rsidP="009E3B2F">
            <w:pPr>
              <w:autoSpaceDE w:val="0"/>
              <w:autoSpaceDN w:val="0"/>
              <w:adjustRightInd w:val="0"/>
              <w:spacing w:after="0" w:line="240" w:lineRule="auto"/>
              <w:jc w:val="center"/>
              <w:rPr>
                <w:rFonts w:ascii="Futura Std Condensed Light" w:eastAsia="Calibri" w:hAnsi="Futura Std Condensed Light" w:cs="Calibri"/>
                <w:szCs w:val="20"/>
              </w:rPr>
            </w:pPr>
            <w:r w:rsidRPr="00DB3DE3">
              <w:rPr>
                <w:rFonts w:ascii="Futura Std Condensed Light" w:eastAsia="Calibri" w:hAnsi="Futura Std Condensed Light" w:cs="Calibri"/>
                <w:szCs w:val="20"/>
              </w:rPr>
              <w:t>100</w:t>
            </w:r>
          </w:p>
        </w:tc>
      </w:tr>
      <w:tr w:rsidR="006D148B" w:rsidRPr="00DB3DE3" w14:paraId="66338770" w14:textId="77777777" w:rsidTr="00323D54">
        <w:trPr>
          <w:trHeight w:val="585"/>
        </w:trPr>
        <w:tc>
          <w:tcPr>
            <w:tcW w:w="2719" w:type="dxa"/>
            <w:hideMark/>
          </w:tcPr>
          <w:p w14:paraId="36F5C56C" w14:textId="77777777" w:rsidR="006D148B" w:rsidRPr="00DB3DE3" w:rsidRDefault="006D148B" w:rsidP="00374A10">
            <w:pPr>
              <w:autoSpaceDE w:val="0"/>
              <w:autoSpaceDN w:val="0"/>
              <w:adjustRightInd w:val="0"/>
              <w:spacing w:after="0" w:line="240" w:lineRule="auto"/>
              <w:jc w:val="left"/>
              <w:rPr>
                <w:rFonts w:ascii="Futura Std Condensed Light" w:eastAsia="Calibri" w:hAnsi="Futura Std Condensed Light" w:cs="Calibri"/>
                <w:szCs w:val="20"/>
              </w:rPr>
            </w:pPr>
            <w:r w:rsidRPr="00DB3DE3">
              <w:rPr>
                <w:rFonts w:ascii="Futura Std Condensed Light" w:eastAsia="Calibri" w:hAnsi="Futura Std Condensed Light" w:cs="Calibri"/>
                <w:szCs w:val="20"/>
              </w:rPr>
              <w:t>Evaluación de Competencia Laboral</w:t>
            </w:r>
          </w:p>
        </w:tc>
        <w:tc>
          <w:tcPr>
            <w:tcW w:w="1245" w:type="dxa"/>
            <w:noWrap/>
            <w:hideMark/>
          </w:tcPr>
          <w:p w14:paraId="0DA38971" w14:textId="77777777" w:rsidR="006D148B" w:rsidRPr="00DB3DE3" w:rsidRDefault="006D148B" w:rsidP="009E3B2F">
            <w:pPr>
              <w:autoSpaceDE w:val="0"/>
              <w:autoSpaceDN w:val="0"/>
              <w:adjustRightInd w:val="0"/>
              <w:spacing w:after="0" w:line="240" w:lineRule="auto"/>
              <w:jc w:val="center"/>
              <w:rPr>
                <w:rFonts w:ascii="Futura Std Condensed Light" w:eastAsia="Calibri" w:hAnsi="Futura Std Condensed Light" w:cs="Calibri"/>
                <w:szCs w:val="20"/>
              </w:rPr>
            </w:pPr>
            <w:r w:rsidRPr="00DB3DE3">
              <w:rPr>
                <w:rFonts w:ascii="Futura Std Condensed Light" w:eastAsia="Calibri" w:hAnsi="Futura Std Condensed Light" w:cs="Calibri"/>
                <w:szCs w:val="20"/>
              </w:rPr>
              <w:t>41</w:t>
            </w:r>
          </w:p>
        </w:tc>
        <w:tc>
          <w:tcPr>
            <w:tcW w:w="993" w:type="dxa"/>
            <w:noWrap/>
            <w:hideMark/>
          </w:tcPr>
          <w:p w14:paraId="55DC7949" w14:textId="77777777" w:rsidR="006D148B" w:rsidRPr="00DB3DE3" w:rsidRDefault="006D148B" w:rsidP="009E3B2F">
            <w:pPr>
              <w:autoSpaceDE w:val="0"/>
              <w:autoSpaceDN w:val="0"/>
              <w:adjustRightInd w:val="0"/>
              <w:spacing w:after="0" w:line="240" w:lineRule="auto"/>
              <w:jc w:val="center"/>
              <w:rPr>
                <w:rFonts w:ascii="Futura Std Condensed Light" w:eastAsia="Calibri" w:hAnsi="Futura Std Condensed Light" w:cs="Calibri"/>
                <w:szCs w:val="20"/>
              </w:rPr>
            </w:pPr>
            <w:r w:rsidRPr="00DB3DE3">
              <w:rPr>
                <w:rFonts w:ascii="Futura Std Condensed Light" w:eastAsia="Calibri" w:hAnsi="Futura Std Condensed Light" w:cs="Calibri"/>
                <w:szCs w:val="20"/>
              </w:rPr>
              <w:t>191</w:t>
            </w:r>
          </w:p>
        </w:tc>
        <w:tc>
          <w:tcPr>
            <w:tcW w:w="1275" w:type="dxa"/>
            <w:noWrap/>
            <w:hideMark/>
          </w:tcPr>
          <w:p w14:paraId="0625B912" w14:textId="77777777" w:rsidR="006D148B" w:rsidRPr="00DB3DE3" w:rsidRDefault="006D148B" w:rsidP="009E3B2F">
            <w:pPr>
              <w:autoSpaceDE w:val="0"/>
              <w:autoSpaceDN w:val="0"/>
              <w:adjustRightInd w:val="0"/>
              <w:spacing w:after="0" w:line="240" w:lineRule="auto"/>
              <w:jc w:val="center"/>
              <w:rPr>
                <w:rFonts w:ascii="Futura Std Condensed Light" w:eastAsia="Calibri" w:hAnsi="Futura Std Condensed Light" w:cs="Calibri"/>
                <w:szCs w:val="20"/>
              </w:rPr>
            </w:pPr>
            <w:r w:rsidRPr="00DB3DE3">
              <w:rPr>
                <w:rFonts w:ascii="Futura Std Condensed Light" w:eastAsia="Calibri" w:hAnsi="Futura Std Condensed Light" w:cs="Calibri"/>
                <w:szCs w:val="20"/>
              </w:rPr>
              <w:t>487</w:t>
            </w:r>
          </w:p>
        </w:tc>
        <w:tc>
          <w:tcPr>
            <w:tcW w:w="1134" w:type="dxa"/>
            <w:noWrap/>
            <w:hideMark/>
          </w:tcPr>
          <w:p w14:paraId="703988F4" w14:textId="77777777" w:rsidR="006D148B" w:rsidRPr="00DB3DE3" w:rsidRDefault="006D148B" w:rsidP="009E3B2F">
            <w:pPr>
              <w:autoSpaceDE w:val="0"/>
              <w:autoSpaceDN w:val="0"/>
              <w:adjustRightInd w:val="0"/>
              <w:spacing w:after="0" w:line="240" w:lineRule="auto"/>
              <w:jc w:val="center"/>
              <w:rPr>
                <w:rFonts w:ascii="Futura Std Condensed Light" w:eastAsia="Calibri" w:hAnsi="Futura Std Condensed Light" w:cs="Calibri"/>
                <w:szCs w:val="20"/>
              </w:rPr>
            </w:pPr>
            <w:r w:rsidRPr="00DB3DE3">
              <w:rPr>
                <w:rFonts w:ascii="Futura Std Condensed Light" w:eastAsia="Calibri" w:hAnsi="Futura Std Condensed Light" w:cs="Calibri"/>
                <w:szCs w:val="20"/>
              </w:rPr>
              <w:t>535</w:t>
            </w:r>
          </w:p>
        </w:tc>
        <w:tc>
          <w:tcPr>
            <w:tcW w:w="1276" w:type="dxa"/>
            <w:noWrap/>
            <w:hideMark/>
          </w:tcPr>
          <w:p w14:paraId="6A47F94A" w14:textId="77777777" w:rsidR="006D148B" w:rsidRPr="00DB3DE3" w:rsidRDefault="006D148B" w:rsidP="009E3B2F">
            <w:pPr>
              <w:autoSpaceDE w:val="0"/>
              <w:autoSpaceDN w:val="0"/>
              <w:adjustRightInd w:val="0"/>
              <w:spacing w:after="0" w:line="240" w:lineRule="auto"/>
              <w:jc w:val="center"/>
              <w:rPr>
                <w:rFonts w:ascii="Futura Std Condensed Light" w:eastAsia="Calibri" w:hAnsi="Futura Std Condensed Light" w:cs="Calibri"/>
                <w:szCs w:val="20"/>
              </w:rPr>
            </w:pPr>
            <w:r w:rsidRPr="00DB3DE3">
              <w:rPr>
                <w:rFonts w:ascii="Futura Std Condensed Light" w:eastAsia="Calibri" w:hAnsi="Futura Std Condensed Light" w:cs="Calibri"/>
                <w:szCs w:val="20"/>
              </w:rPr>
              <w:t>374</w:t>
            </w:r>
          </w:p>
        </w:tc>
      </w:tr>
      <w:tr w:rsidR="006D148B" w:rsidRPr="00DB3DE3" w14:paraId="079993FB" w14:textId="77777777" w:rsidTr="00323D54">
        <w:trPr>
          <w:trHeight w:val="720"/>
        </w:trPr>
        <w:tc>
          <w:tcPr>
            <w:tcW w:w="2719" w:type="dxa"/>
            <w:hideMark/>
          </w:tcPr>
          <w:p w14:paraId="61DFC1AE" w14:textId="77777777" w:rsidR="006D148B" w:rsidRPr="00447FBB" w:rsidRDefault="006D148B" w:rsidP="00374A10">
            <w:pPr>
              <w:autoSpaceDE w:val="0"/>
              <w:autoSpaceDN w:val="0"/>
              <w:adjustRightInd w:val="0"/>
              <w:spacing w:after="0" w:line="240" w:lineRule="auto"/>
              <w:jc w:val="left"/>
              <w:rPr>
                <w:rFonts w:ascii="Futura Std Condensed Light" w:eastAsia="Calibri" w:hAnsi="Futura Std Condensed Light" w:cs="Calibri"/>
                <w:b/>
                <w:szCs w:val="20"/>
              </w:rPr>
            </w:pPr>
            <w:r w:rsidRPr="00447FBB">
              <w:rPr>
                <w:rFonts w:ascii="Futura Std Condensed Light" w:eastAsia="Calibri" w:hAnsi="Futura Std Condensed Light" w:cs="Calibri"/>
                <w:b/>
                <w:szCs w:val="20"/>
              </w:rPr>
              <w:t>Total de personas atendidas</w:t>
            </w:r>
          </w:p>
        </w:tc>
        <w:tc>
          <w:tcPr>
            <w:tcW w:w="1245" w:type="dxa"/>
            <w:noWrap/>
            <w:hideMark/>
          </w:tcPr>
          <w:p w14:paraId="601622ED" w14:textId="77777777" w:rsidR="006D148B" w:rsidRPr="00447FBB" w:rsidRDefault="006D148B" w:rsidP="009E3B2F">
            <w:pPr>
              <w:autoSpaceDE w:val="0"/>
              <w:autoSpaceDN w:val="0"/>
              <w:adjustRightInd w:val="0"/>
              <w:spacing w:after="0" w:line="240" w:lineRule="auto"/>
              <w:jc w:val="center"/>
              <w:rPr>
                <w:rFonts w:ascii="Futura Std Condensed Light" w:eastAsia="Calibri" w:hAnsi="Futura Std Condensed Light" w:cs="Calibri"/>
                <w:b/>
                <w:szCs w:val="20"/>
              </w:rPr>
            </w:pPr>
            <w:r w:rsidRPr="00447FBB">
              <w:rPr>
                <w:rFonts w:ascii="Futura Std Condensed Light" w:eastAsia="Calibri" w:hAnsi="Futura Std Condensed Light" w:cs="Calibri"/>
                <w:b/>
                <w:szCs w:val="20"/>
              </w:rPr>
              <w:t>39,126</w:t>
            </w:r>
          </w:p>
        </w:tc>
        <w:tc>
          <w:tcPr>
            <w:tcW w:w="993" w:type="dxa"/>
            <w:noWrap/>
            <w:hideMark/>
          </w:tcPr>
          <w:p w14:paraId="4C46BB75" w14:textId="77777777" w:rsidR="006D148B" w:rsidRPr="00447FBB" w:rsidRDefault="006D148B" w:rsidP="009E3B2F">
            <w:pPr>
              <w:autoSpaceDE w:val="0"/>
              <w:autoSpaceDN w:val="0"/>
              <w:adjustRightInd w:val="0"/>
              <w:spacing w:after="0" w:line="240" w:lineRule="auto"/>
              <w:jc w:val="center"/>
              <w:rPr>
                <w:rFonts w:ascii="Futura Std Condensed Light" w:eastAsia="Calibri" w:hAnsi="Futura Std Condensed Light" w:cs="Calibri"/>
                <w:b/>
                <w:szCs w:val="20"/>
              </w:rPr>
            </w:pPr>
            <w:r w:rsidRPr="00447FBB">
              <w:rPr>
                <w:rFonts w:ascii="Futura Std Condensed Light" w:eastAsia="Calibri" w:hAnsi="Futura Std Condensed Light" w:cs="Calibri"/>
                <w:b/>
                <w:szCs w:val="20"/>
              </w:rPr>
              <w:t>29,052</w:t>
            </w:r>
          </w:p>
        </w:tc>
        <w:tc>
          <w:tcPr>
            <w:tcW w:w="1275" w:type="dxa"/>
            <w:noWrap/>
            <w:hideMark/>
          </w:tcPr>
          <w:p w14:paraId="50925DC8" w14:textId="77777777" w:rsidR="006D148B" w:rsidRPr="00447FBB" w:rsidRDefault="006D148B" w:rsidP="009E3B2F">
            <w:pPr>
              <w:autoSpaceDE w:val="0"/>
              <w:autoSpaceDN w:val="0"/>
              <w:adjustRightInd w:val="0"/>
              <w:spacing w:after="0" w:line="240" w:lineRule="auto"/>
              <w:jc w:val="center"/>
              <w:rPr>
                <w:rFonts w:ascii="Futura Std Condensed Light" w:eastAsia="Calibri" w:hAnsi="Futura Std Condensed Light" w:cs="Calibri"/>
                <w:b/>
                <w:szCs w:val="20"/>
              </w:rPr>
            </w:pPr>
            <w:r w:rsidRPr="00447FBB">
              <w:rPr>
                <w:rFonts w:ascii="Futura Std Condensed Light" w:eastAsia="Calibri" w:hAnsi="Futura Std Condensed Light" w:cs="Calibri"/>
                <w:b/>
                <w:szCs w:val="20"/>
              </w:rPr>
              <w:t>41,353</w:t>
            </w:r>
          </w:p>
        </w:tc>
        <w:tc>
          <w:tcPr>
            <w:tcW w:w="1134" w:type="dxa"/>
            <w:noWrap/>
            <w:hideMark/>
          </w:tcPr>
          <w:p w14:paraId="1A24992D" w14:textId="77777777" w:rsidR="006D148B" w:rsidRPr="00447FBB" w:rsidRDefault="006D148B" w:rsidP="009E3B2F">
            <w:pPr>
              <w:autoSpaceDE w:val="0"/>
              <w:autoSpaceDN w:val="0"/>
              <w:adjustRightInd w:val="0"/>
              <w:spacing w:after="0" w:line="240" w:lineRule="auto"/>
              <w:jc w:val="center"/>
              <w:rPr>
                <w:rFonts w:ascii="Futura Std Condensed Light" w:eastAsia="Calibri" w:hAnsi="Futura Std Condensed Light" w:cs="Calibri"/>
                <w:b/>
                <w:szCs w:val="20"/>
              </w:rPr>
            </w:pPr>
            <w:r w:rsidRPr="00447FBB">
              <w:rPr>
                <w:rFonts w:ascii="Futura Std Condensed Light" w:eastAsia="Calibri" w:hAnsi="Futura Std Condensed Light" w:cs="Calibri"/>
                <w:b/>
                <w:szCs w:val="20"/>
              </w:rPr>
              <w:t>43,257</w:t>
            </w:r>
          </w:p>
        </w:tc>
        <w:tc>
          <w:tcPr>
            <w:tcW w:w="1276" w:type="dxa"/>
            <w:noWrap/>
            <w:hideMark/>
          </w:tcPr>
          <w:p w14:paraId="09150CD2" w14:textId="77777777" w:rsidR="006D148B" w:rsidRPr="00447FBB" w:rsidRDefault="006D148B" w:rsidP="009E3B2F">
            <w:pPr>
              <w:autoSpaceDE w:val="0"/>
              <w:autoSpaceDN w:val="0"/>
              <w:adjustRightInd w:val="0"/>
              <w:spacing w:after="0" w:line="240" w:lineRule="auto"/>
              <w:jc w:val="center"/>
              <w:rPr>
                <w:rFonts w:ascii="Futura Std Condensed Light" w:eastAsia="Calibri" w:hAnsi="Futura Std Condensed Light" w:cs="Calibri"/>
                <w:b/>
                <w:szCs w:val="20"/>
              </w:rPr>
            </w:pPr>
            <w:r w:rsidRPr="00447FBB">
              <w:rPr>
                <w:rFonts w:ascii="Futura Std Condensed Light" w:eastAsia="Calibri" w:hAnsi="Futura Std Condensed Light" w:cs="Calibri"/>
                <w:b/>
                <w:szCs w:val="20"/>
              </w:rPr>
              <w:t>47,716</w:t>
            </w:r>
          </w:p>
        </w:tc>
      </w:tr>
    </w:tbl>
    <w:p w14:paraId="7CAD45F0" w14:textId="02AA6A0F" w:rsidR="006D148B" w:rsidRPr="00447FBB" w:rsidRDefault="006D148B" w:rsidP="00447FBB">
      <w:pPr>
        <w:autoSpaceDE w:val="0"/>
        <w:autoSpaceDN w:val="0"/>
        <w:adjustRightInd w:val="0"/>
        <w:spacing w:after="0" w:line="240" w:lineRule="auto"/>
        <w:ind w:left="709"/>
        <w:jc w:val="center"/>
        <w:rPr>
          <w:rStyle w:val="Textoennegrita"/>
          <w:rFonts w:ascii="Futura Std Condensed Light" w:eastAsia="Calibri" w:hAnsi="Futura Std Condensed Light" w:cs="Calibri"/>
          <w:bCs w:val="0"/>
          <w:sz w:val="20"/>
          <w:szCs w:val="20"/>
        </w:rPr>
      </w:pPr>
      <w:r w:rsidRPr="00DB3DE3">
        <w:rPr>
          <w:rFonts w:ascii="Futura Std Condensed Light" w:eastAsia="Calibri" w:hAnsi="Futura Std Condensed Light" w:cs="Calibri"/>
          <w:sz w:val="16"/>
          <w:szCs w:val="20"/>
        </w:rPr>
        <w:t>Fuente: Instituto de Capacitación para el Trabajo de Quintana Roo, 2020</w:t>
      </w:r>
      <w:r w:rsidR="00447FBB">
        <w:rPr>
          <w:rFonts w:ascii="Futura Std Condensed Light" w:eastAsia="Calibri" w:hAnsi="Futura Std Condensed Light" w:cs="Calibri"/>
          <w:b/>
          <w:sz w:val="20"/>
          <w:szCs w:val="20"/>
        </w:rPr>
        <w:t>.</w:t>
      </w:r>
    </w:p>
    <w:p w14:paraId="61F8F481" w14:textId="77777777" w:rsidR="00FB37B5" w:rsidRDefault="00FB37B5" w:rsidP="006D148B">
      <w:pPr>
        <w:rPr>
          <w:rStyle w:val="Textoennegrita"/>
        </w:rPr>
      </w:pPr>
    </w:p>
    <w:p w14:paraId="1E61137B" w14:textId="2F6572FC" w:rsidR="006D148B" w:rsidRPr="00401044" w:rsidRDefault="006D148B" w:rsidP="006D148B">
      <w:pPr>
        <w:rPr>
          <w:rStyle w:val="Textoennegrita"/>
        </w:rPr>
      </w:pPr>
      <w:r w:rsidRPr="00401044">
        <w:rPr>
          <w:rStyle w:val="Textoennegrita"/>
        </w:rPr>
        <w:t>Resumen de los Problemas Relevantes del Sector</w:t>
      </w:r>
    </w:p>
    <w:p w14:paraId="45A839E2" w14:textId="7EA31A76" w:rsidR="00AE16F1" w:rsidRDefault="006D148B" w:rsidP="00AE16F1">
      <w:pPr>
        <w:rPr>
          <w:rFonts w:eastAsia="Times New Roman" w:cs="Futura"/>
        </w:rPr>
      </w:pPr>
      <w:r w:rsidRPr="006A02EF">
        <w:rPr>
          <w:rFonts w:eastAsia="Times New Roman" w:cs="Futura"/>
        </w:rPr>
        <w:t xml:space="preserve">En el siguiente cuadro se presenta un resumen de la problemática presentada en el sector educativo del Estado de Quintana Roo, producto del análisis </w:t>
      </w:r>
      <w:r>
        <w:rPr>
          <w:rFonts w:eastAsia="Times New Roman" w:cs="Futura"/>
        </w:rPr>
        <w:t>de las áreas sustantivas y organismos del sector educativo, los cuales son atendidos en las líneas de acción integradas en el Programa Sectorial de Educación Pública de Calidad 2016- 2022.</w:t>
      </w:r>
      <w:r w:rsidR="00447FBB">
        <w:rPr>
          <w:rFonts w:eastAsia="Times New Roman" w:cs="Futura"/>
        </w:rPr>
        <w:t xml:space="preserve"> </w:t>
      </w:r>
      <w:r w:rsidR="00AE16F1">
        <w:rPr>
          <w:rFonts w:eastAsia="Times New Roman" w:cs="Futura"/>
        </w:rPr>
        <w:br w:type="page"/>
      </w:r>
    </w:p>
    <w:p w14:paraId="4A8A0F14" w14:textId="49084FE1" w:rsidR="006D148B" w:rsidRPr="00447FBB" w:rsidRDefault="006D148B" w:rsidP="00374A10">
      <w:pPr>
        <w:pStyle w:val="Descripcin"/>
        <w:rPr>
          <w:rFonts w:eastAsiaTheme="minorEastAsia" w:cstheme="minorBidi"/>
          <w:b/>
          <w:bCs w:val="0"/>
          <w:color w:val="4BACC6" w:themeColor="accent5"/>
          <w:sz w:val="24"/>
          <w:szCs w:val="24"/>
          <w:lang w:val="es-ES_tradnl" w:eastAsia="es-ES"/>
        </w:rPr>
      </w:pPr>
      <w:r w:rsidRPr="00447FBB">
        <w:rPr>
          <w:rFonts w:eastAsiaTheme="minorEastAsia" w:cstheme="minorBidi"/>
          <w:b/>
          <w:bCs w:val="0"/>
          <w:color w:val="4BACC6" w:themeColor="accent5"/>
          <w:sz w:val="24"/>
          <w:szCs w:val="24"/>
          <w:lang w:val="es-ES_tradnl" w:eastAsia="es-ES"/>
        </w:rPr>
        <w:lastRenderedPageBreak/>
        <w:t>Cuadro 21. Resumen de prob</w:t>
      </w:r>
      <w:r w:rsidR="00764022">
        <w:rPr>
          <w:rFonts w:eastAsiaTheme="minorEastAsia" w:cstheme="minorBidi"/>
          <w:b/>
          <w:bCs w:val="0"/>
          <w:color w:val="4BACC6" w:themeColor="accent5"/>
          <w:sz w:val="24"/>
          <w:szCs w:val="24"/>
          <w:lang w:val="es-ES_tradnl" w:eastAsia="es-ES"/>
        </w:rPr>
        <w:t>lemas relevantes del sector Educativo</w:t>
      </w:r>
    </w:p>
    <w:tbl>
      <w:tblPr>
        <w:tblStyle w:val="TablaSectorial"/>
        <w:tblW w:w="0" w:type="auto"/>
        <w:tblLook w:val="04A0" w:firstRow="1" w:lastRow="0" w:firstColumn="1" w:lastColumn="0" w:noHBand="0" w:noVBand="1"/>
      </w:tblPr>
      <w:tblGrid>
        <w:gridCol w:w="3277"/>
        <w:gridCol w:w="5551"/>
      </w:tblGrid>
      <w:tr w:rsidR="006D148B" w:rsidRPr="0034191F" w14:paraId="3911AF1B" w14:textId="77777777" w:rsidTr="009E3B2F">
        <w:trPr>
          <w:cnfStyle w:val="100000000000" w:firstRow="1" w:lastRow="0" w:firstColumn="0" w:lastColumn="0" w:oddVBand="0" w:evenVBand="0" w:oddHBand="0" w:evenHBand="0" w:firstRowFirstColumn="0" w:firstRowLastColumn="0" w:lastRowFirstColumn="0" w:lastRowLastColumn="0"/>
          <w:trHeight w:val="284"/>
        </w:trPr>
        <w:tc>
          <w:tcPr>
            <w:tcW w:w="3277" w:type="dxa"/>
          </w:tcPr>
          <w:p w14:paraId="2D714D74" w14:textId="77777777" w:rsidR="006D148B" w:rsidRPr="00447FBB" w:rsidRDefault="006D148B" w:rsidP="00374A10">
            <w:pPr>
              <w:tabs>
                <w:tab w:val="left" w:pos="4536"/>
              </w:tabs>
              <w:spacing w:before="120" w:after="120"/>
              <w:jc w:val="center"/>
              <w:rPr>
                <w:rFonts w:ascii="Futura Std Condensed Light" w:eastAsia="Calibri" w:hAnsi="Futura Std Condensed Light" w:cs="Calibri"/>
                <w:b/>
                <w:szCs w:val="18"/>
              </w:rPr>
            </w:pPr>
            <w:r w:rsidRPr="00447FBB">
              <w:rPr>
                <w:rFonts w:ascii="Futura Std Condensed Light" w:eastAsia="Calibri" w:hAnsi="Futura Std Condensed Light" w:cs="Calibri"/>
                <w:b/>
                <w:szCs w:val="18"/>
              </w:rPr>
              <w:t>Problemas</w:t>
            </w:r>
          </w:p>
        </w:tc>
        <w:tc>
          <w:tcPr>
            <w:tcW w:w="5551" w:type="dxa"/>
          </w:tcPr>
          <w:p w14:paraId="6EB53726" w14:textId="77777777" w:rsidR="006D148B" w:rsidRPr="00447FBB" w:rsidRDefault="006D148B" w:rsidP="009E3B2F">
            <w:pPr>
              <w:tabs>
                <w:tab w:val="left" w:pos="4536"/>
              </w:tabs>
              <w:spacing w:before="120" w:after="120"/>
              <w:jc w:val="center"/>
              <w:rPr>
                <w:rFonts w:ascii="Futura Std Condensed Light" w:eastAsia="Calibri" w:hAnsi="Futura Std Condensed Light" w:cs="Calibri"/>
                <w:b/>
                <w:szCs w:val="18"/>
              </w:rPr>
            </w:pPr>
            <w:r w:rsidRPr="00447FBB">
              <w:rPr>
                <w:rFonts w:ascii="Futura Std Condensed Light" w:eastAsia="Calibri" w:hAnsi="Futura Std Condensed Light" w:cs="Calibri"/>
                <w:b/>
                <w:szCs w:val="18"/>
              </w:rPr>
              <w:t>Causas</w:t>
            </w:r>
          </w:p>
        </w:tc>
      </w:tr>
      <w:tr w:rsidR="006D148B" w:rsidRPr="0034191F" w14:paraId="3DF45C5C" w14:textId="77777777" w:rsidTr="00374A10">
        <w:trPr>
          <w:trHeight w:hRule="exact" w:val="732"/>
        </w:trPr>
        <w:tc>
          <w:tcPr>
            <w:tcW w:w="3277" w:type="dxa"/>
            <w:vMerge w:val="restart"/>
          </w:tcPr>
          <w:p w14:paraId="767773D9" w14:textId="77777777" w:rsidR="006D148B" w:rsidRPr="00374A10" w:rsidRDefault="006D148B" w:rsidP="00374A10">
            <w:pPr>
              <w:tabs>
                <w:tab w:val="left" w:pos="4536"/>
              </w:tabs>
              <w:jc w:val="left"/>
              <w:rPr>
                <w:rFonts w:ascii="Futura Std Condensed Light" w:eastAsia="Calibri" w:hAnsi="Futura Std Condensed Light" w:cs="Calibri"/>
                <w:szCs w:val="18"/>
              </w:rPr>
            </w:pPr>
            <w:r w:rsidRPr="00374A10">
              <w:rPr>
                <w:rFonts w:ascii="Futura Std Condensed Light" w:eastAsia="Calibri" w:hAnsi="Futura Std Condensed Light" w:cs="Calibri"/>
                <w:szCs w:val="18"/>
              </w:rPr>
              <w:t>Bajo desempeño escolar de los alumnos en los niveles educativos</w:t>
            </w:r>
          </w:p>
        </w:tc>
        <w:tc>
          <w:tcPr>
            <w:tcW w:w="5551" w:type="dxa"/>
          </w:tcPr>
          <w:p w14:paraId="5FA45240" w14:textId="77777777" w:rsidR="006D148B" w:rsidRPr="00374A10" w:rsidRDefault="006D148B" w:rsidP="009E3B2F">
            <w:pPr>
              <w:tabs>
                <w:tab w:val="left" w:pos="4536"/>
              </w:tabs>
              <w:spacing w:before="120" w:after="120"/>
              <w:rPr>
                <w:rFonts w:ascii="Futura Std Condensed Light" w:eastAsia="Calibri" w:hAnsi="Futura Std Condensed Light" w:cs="Calibri"/>
                <w:szCs w:val="18"/>
              </w:rPr>
            </w:pPr>
            <w:r w:rsidRPr="00374A10">
              <w:rPr>
                <w:rFonts w:ascii="Futura Std Condensed Light" w:eastAsia="Calibri" w:hAnsi="Futura Std Condensed Light" w:cs="Calibri"/>
                <w:szCs w:val="18"/>
              </w:rPr>
              <w:t xml:space="preserve">Falta de estrategias didácticas para elevar el desempeño escolar.  </w:t>
            </w:r>
          </w:p>
        </w:tc>
      </w:tr>
      <w:tr w:rsidR="006D148B" w:rsidRPr="0034191F" w14:paraId="5A6C7514" w14:textId="77777777" w:rsidTr="009E3B2F">
        <w:trPr>
          <w:trHeight w:hRule="exact" w:val="738"/>
        </w:trPr>
        <w:tc>
          <w:tcPr>
            <w:tcW w:w="3277" w:type="dxa"/>
            <w:vMerge/>
          </w:tcPr>
          <w:p w14:paraId="6287F99B" w14:textId="77777777" w:rsidR="006D148B" w:rsidRPr="00374A10" w:rsidRDefault="006D148B" w:rsidP="00374A10">
            <w:pPr>
              <w:tabs>
                <w:tab w:val="left" w:pos="4536"/>
              </w:tabs>
              <w:jc w:val="left"/>
              <w:rPr>
                <w:rFonts w:ascii="Futura Std Condensed Light" w:eastAsia="Calibri" w:hAnsi="Futura Std Condensed Light" w:cs="Calibri"/>
                <w:szCs w:val="18"/>
              </w:rPr>
            </w:pPr>
          </w:p>
        </w:tc>
        <w:tc>
          <w:tcPr>
            <w:tcW w:w="5551" w:type="dxa"/>
          </w:tcPr>
          <w:p w14:paraId="157F9464" w14:textId="77777777" w:rsidR="006D148B" w:rsidRPr="00374A10" w:rsidRDefault="006D148B" w:rsidP="009E3B2F">
            <w:pPr>
              <w:tabs>
                <w:tab w:val="left" w:pos="4536"/>
              </w:tabs>
              <w:spacing w:before="120" w:after="120"/>
              <w:rPr>
                <w:rFonts w:ascii="Futura Std Condensed Light" w:eastAsia="Calibri" w:hAnsi="Futura Std Condensed Light" w:cs="Calibri"/>
                <w:szCs w:val="18"/>
              </w:rPr>
            </w:pPr>
            <w:r w:rsidRPr="00374A10">
              <w:rPr>
                <w:rFonts w:ascii="Futura Std Condensed Light" w:eastAsia="Calibri" w:hAnsi="Futura Std Condensed Light" w:cs="Calibri"/>
                <w:szCs w:val="18"/>
              </w:rPr>
              <w:t xml:space="preserve">Escasa participación de los padres de familia en la formación de sus hijos. </w:t>
            </w:r>
          </w:p>
        </w:tc>
      </w:tr>
      <w:tr w:rsidR="006D148B" w:rsidRPr="0034191F" w14:paraId="279FC213" w14:textId="77777777" w:rsidTr="009E3B2F">
        <w:trPr>
          <w:trHeight w:hRule="exact" w:val="720"/>
        </w:trPr>
        <w:tc>
          <w:tcPr>
            <w:tcW w:w="3277" w:type="dxa"/>
            <w:vMerge/>
          </w:tcPr>
          <w:p w14:paraId="0DD45550" w14:textId="77777777" w:rsidR="006D148B" w:rsidRPr="00374A10" w:rsidRDefault="006D148B" w:rsidP="00374A10">
            <w:pPr>
              <w:tabs>
                <w:tab w:val="left" w:pos="4536"/>
              </w:tabs>
              <w:jc w:val="left"/>
              <w:rPr>
                <w:rFonts w:ascii="Futura Std Condensed Light" w:eastAsia="Calibri" w:hAnsi="Futura Std Condensed Light" w:cs="Calibri"/>
                <w:szCs w:val="18"/>
              </w:rPr>
            </w:pPr>
          </w:p>
        </w:tc>
        <w:tc>
          <w:tcPr>
            <w:tcW w:w="5551" w:type="dxa"/>
          </w:tcPr>
          <w:p w14:paraId="25D997C2" w14:textId="77777777" w:rsidR="006D148B" w:rsidRPr="00374A10" w:rsidRDefault="006D148B" w:rsidP="009E3B2F">
            <w:pPr>
              <w:tabs>
                <w:tab w:val="left" w:pos="4536"/>
              </w:tabs>
              <w:spacing w:before="120" w:after="120"/>
              <w:rPr>
                <w:rFonts w:ascii="Futura Std Condensed Light" w:eastAsia="Calibri" w:hAnsi="Futura Std Condensed Light" w:cs="Calibri"/>
                <w:szCs w:val="18"/>
              </w:rPr>
            </w:pPr>
            <w:r w:rsidRPr="00374A10">
              <w:rPr>
                <w:rFonts w:ascii="Futura Std Condensed Light" w:eastAsia="Calibri" w:hAnsi="Futura Std Condensed Light" w:cs="Calibri"/>
                <w:szCs w:val="18"/>
              </w:rPr>
              <w:t>Insuficientes estrategias de atención a la niñez indígena que hablan lengua maya.</w:t>
            </w:r>
          </w:p>
        </w:tc>
      </w:tr>
      <w:tr w:rsidR="006D148B" w:rsidRPr="0034191F" w14:paraId="1CE879FE" w14:textId="77777777" w:rsidTr="009E3B2F">
        <w:trPr>
          <w:trHeight w:hRule="exact" w:val="703"/>
        </w:trPr>
        <w:tc>
          <w:tcPr>
            <w:tcW w:w="3277" w:type="dxa"/>
            <w:vMerge/>
          </w:tcPr>
          <w:p w14:paraId="36E50927" w14:textId="77777777" w:rsidR="006D148B" w:rsidRPr="00374A10" w:rsidRDefault="006D148B" w:rsidP="00374A10">
            <w:pPr>
              <w:tabs>
                <w:tab w:val="left" w:pos="4536"/>
              </w:tabs>
              <w:jc w:val="left"/>
              <w:rPr>
                <w:rFonts w:ascii="Futura Std Condensed Light" w:eastAsia="Calibri" w:hAnsi="Futura Std Condensed Light" w:cs="Calibri"/>
                <w:szCs w:val="18"/>
              </w:rPr>
            </w:pPr>
          </w:p>
        </w:tc>
        <w:tc>
          <w:tcPr>
            <w:tcW w:w="5551" w:type="dxa"/>
          </w:tcPr>
          <w:p w14:paraId="0B9CE421" w14:textId="77777777" w:rsidR="006D148B" w:rsidRPr="00374A10" w:rsidRDefault="006D148B" w:rsidP="009E3B2F">
            <w:pPr>
              <w:tabs>
                <w:tab w:val="left" w:pos="4536"/>
              </w:tabs>
              <w:spacing w:before="120" w:after="120"/>
              <w:rPr>
                <w:rFonts w:ascii="Futura Std Condensed Light" w:eastAsia="Calibri" w:hAnsi="Futura Std Condensed Light" w:cs="Calibri"/>
                <w:szCs w:val="18"/>
              </w:rPr>
            </w:pPr>
            <w:r w:rsidRPr="00374A10">
              <w:rPr>
                <w:rFonts w:ascii="Futura Std Condensed Light" w:eastAsia="Calibri" w:hAnsi="Futura Std Condensed Light" w:cs="Calibri"/>
                <w:szCs w:val="18"/>
              </w:rPr>
              <w:t xml:space="preserve">Insuficientes metodologías pedagógicas para promover la lecto- escritura y el pensamiento lógico matemático. </w:t>
            </w:r>
          </w:p>
        </w:tc>
      </w:tr>
      <w:tr w:rsidR="006D148B" w:rsidRPr="0034191F" w14:paraId="4DC7C458" w14:textId="77777777" w:rsidTr="009E3B2F">
        <w:trPr>
          <w:trHeight w:hRule="exact" w:val="429"/>
        </w:trPr>
        <w:tc>
          <w:tcPr>
            <w:tcW w:w="3277" w:type="dxa"/>
            <w:vMerge/>
          </w:tcPr>
          <w:p w14:paraId="1D9CBB00" w14:textId="77777777" w:rsidR="006D148B" w:rsidRPr="00374A10" w:rsidRDefault="006D148B" w:rsidP="00374A10">
            <w:pPr>
              <w:tabs>
                <w:tab w:val="left" w:pos="4536"/>
              </w:tabs>
              <w:jc w:val="left"/>
              <w:rPr>
                <w:rFonts w:ascii="Futura Std Condensed Light" w:eastAsia="Calibri" w:hAnsi="Futura Std Condensed Light" w:cs="Calibri"/>
                <w:szCs w:val="18"/>
              </w:rPr>
            </w:pPr>
          </w:p>
        </w:tc>
        <w:tc>
          <w:tcPr>
            <w:tcW w:w="5551" w:type="dxa"/>
          </w:tcPr>
          <w:p w14:paraId="20BEAB8B" w14:textId="77777777" w:rsidR="006D148B" w:rsidRPr="00374A10" w:rsidRDefault="006D148B" w:rsidP="009E3B2F">
            <w:pPr>
              <w:tabs>
                <w:tab w:val="left" w:pos="4536"/>
              </w:tabs>
              <w:spacing w:before="120" w:after="120"/>
              <w:rPr>
                <w:rFonts w:ascii="Futura Std Condensed Light" w:eastAsia="Calibri" w:hAnsi="Futura Std Condensed Light" w:cs="Calibri"/>
                <w:szCs w:val="18"/>
              </w:rPr>
            </w:pPr>
            <w:r w:rsidRPr="00374A10">
              <w:rPr>
                <w:rFonts w:ascii="Futura Std Condensed Light" w:eastAsia="Calibri" w:hAnsi="Futura Std Condensed Light" w:cs="Calibri"/>
                <w:szCs w:val="18"/>
              </w:rPr>
              <w:t xml:space="preserve">Falta de materiales didácticos en las escuelas. </w:t>
            </w:r>
          </w:p>
        </w:tc>
      </w:tr>
      <w:tr w:rsidR="006D148B" w:rsidRPr="0034191F" w14:paraId="2D9BD5F3" w14:textId="77777777" w:rsidTr="009E3B2F">
        <w:trPr>
          <w:trHeight w:hRule="exact" w:val="691"/>
        </w:trPr>
        <w:tc>
          <w:tcPr>
            <w:tcW w:w="3277" w:type="dxa"/>
            <w:vMerge/>
          </w:tcPr>
          <w:p w14:paraId="03C43D70" w14:textId="77777777" w:rsidR="006D148B" w:rsidRPr="00374A10" w:rsidRDefault="006D148B" w:rsidP="00374A10">
            <w:pPr>
              <w:tabs>
                <w:tab w:val="left" w:pos="4536"/>
              </w:tabs>
              <w:jc w:val="left"/>
              <w:rPr>
                <w:rFonts w:ascii="Futura Std Condensed Light" w:eastAsia="Calibri" w:hAnsi="Futura Std Condensed Light" w:cs="Calibri"/>
                <w:szCs w:val="18"/>
              </w:rPr>
            </w:pPr>
          </w:p>
        </w:tc>
        <w:tc>
          <w:tcPr>
            <w:tcW w:w="5551" w:type="dxa"/>
          </w:tcPr>
          <w:p w14:paraId="1A75A085" w14:textId="77777777" w:rsidR="006D148B" w:rsidRPr="00374A10" w:rsidRDefault="006D148B" w:rsidP="009E3B2F">
            <w:pPr>
              <w:autoSpaceDE w:val="0"/>
              <w:autoSpaceDN w:val="0"/>
              <w:adjustRightInd w:val="0"/>
              <w:spacing w:before="120" w:after="120"/>
              <w:rPr>
                <w:rFonts w:ascii="Futura Std Condensed Light" w:eastAsia="Calibri" w:hAnsi="Futura Std Condensed Light" w:cs="Calibri"/>
                <w:szCs w:val="18"/>
              </w:rPr>
            </w:pPr>
            <w:r w:rsidRPr="00374A10">
              <w:rPr>
                <w:rFonts w:ascii="Futura Std Condensed Light" w:eastAsia="Calibri" w:hAnsi="Futura Std Condensed Light" w:cs="Calibri"/>
                <w:szCs w:val="18"/>
              </w:rPr>
              <w:t xml:space="preserve">Falta de pertinencia en la oferta educativa de nivel superior de acuerdo a las necesidades de la Entidad. </w:t>
            </w:r>
          </w:p>
        </w:tc>
      </w:tr>
      <w:tr w:rsidR="006D148B" w:rsidRPr="0034191F" w14:paraId="1F1FE31D" w14:textId="77777777" w:rsidTr="00374A10">
        <w:trPr>
          <w:trHeight w:hRule="exact" w:val="675"/>
        </w:trPr>
        <w:tc>
          <w:tcPr>
            <w:tcW w:w="3277" w:type="dxa"/>
            <w:vMerge/>
          </w:tcPr>
          <w:p w14:paraId="4E6B97A1" w14:textId="77777777" w:rsidR="006D148B" w:rsidRPr="00374A10" w:rsidRDefault="006D148B" w:rsidP="00374A10">
            <w:pPr>
              <w:tabs>
                <w:tab w:val="left" w:pos="4536"/>
              </w:tabs>
              <w:jc w:val="left"/>
              <w:rPr>
                <w:rFonts w:ascii="Futura Std Condensed Light" w:eastAsia="Calibri" w:hAnsi="Futura Std Condensed Light" w:cs="Calibri"/>
                <w:szCs w:val="18"/>
              </w:rPr>
            </w:pPr>
          </w:p>
        </w:tc>
        <w:tc>
          <w:tcPr>
            <w:tcW w:w="5551" w:type="dxa"/>
          </w:tcPr>
          <w:p w14:paraId="10A4D8DA" w14:textId="77777777" w:rsidR="006D148B" w:rsidRPr="00374A10" w:rsidRDefault="006D148B" w:rsidP="009E3B2F">
            <w:pPr>
              <w:tabs>
                <w:tab w:val="left" w:pos="4536"/>
              </w:tabs>
              <w:spacing w:before="120" w:after="120"/>
              <w:rPr>
                <w:rFonts w:ascii="Futura Std Condensed Light" w:eastAsia="Calibri" w:hAnsi="Futura Std Condensed Light" w:cs="Calibri"/>
                <w:szCs w:val="18"/>
              </w:rPr>
            </w:pPr>
            <w:r w:rsidRPr="00374A10">
              <w:rPr>
                <w:rFonts w:ascii="Futura Std Condensed Light" w:eastAsia="Calibri" w:hAnsi="Futura Std Condensed Light" w:cs="Calibri"/>
                <w:szCs w:val="18"/>
              </w:rPr>
              <w:t>Planes y programas de estudios de nivel superior no acreditados.</w:t>
            </w:r>
          </w:p>
        </w:tc>
      </w:tr>
      <w:tr w:rsidR="006D148B" w:rsidRPr="0034191F" w14:paraId="74C2CE9E" w14:textId="77777777" w:rsidTr="009E3B2F">
        <w:trPr>
          <w:trHeight w:hRule="exact" w:val="769"/>
        </w:trPr>
        <w:tc>
          <w:tcPr>
            <w:tcW w:w="3277" w:type="dxa"/>
            <w:vMerge/>
          </w:tcPr>
          <w:p w14:paraId="255880B1" w14:textId="77777777" w:rsidR="006D148B" w:rsidRPr="00374A10" w:rsidRDefault="006D148B" w:rsidP="00374A10">
            <w:pPr>
              <w:tabs>
                <w:tab w:val="left" w:pos="4536"/>
              </w:tabs>
              <w:jc w:val="left"/>
              <w:rPr>
                <w:rFonts w:ascii="Futura Std Condensed Light" w:eastAsia="Calibri" w:hAnsi="Futura Std Condensed Light" w:cs="Calibri"/>
                <w:szCs w:val="18"/>
              </w:rPr>
            </w:pPr>
          </w:p>
        </w:tc>
        <w:tc>
          <w:tcPr>
            <w:tcW w:w="5551" w:type="dxa"/>
          </w:tcPr>
          <w:p w14:paraId="4F4DBFC5" w14:textId="77777777" w:rsidR="006D148B" w:rsidRPr="00374A10" w:rsidRDefault="006D148B" w:rsidP="009E3B2F">
            <w:pPr>
              <w:tabs>
                <w:tab w:val="left" w:pos="4536"/>
              </w:tabs>
              <w:spacing w:before="120" w:after="120"/>
              <w:rPr>
                <w:rFonts w:ascii="Futura Std Condensed Light" w:eastAsia="Calibri" w:hAnsi="Futura Std Condensed Light" w:cs="Calibri"/>
                <w:szCs w:val="18"/>
              </w:rPr>
            </w:pPr>
            <w:r w:rsidRPr="00374A10">
              <w:rPr>
                <w:rFonts w:ascii="Futura Std Condensed Light" w:eastAsia="Calibri" w:hAnsi="Futura Std Condensed Light" w:cs="Calibri"/>
                <w:szCs w:val="18"/>
              </w:rPr>
              <w:t>Falta de asesoría, acompañamiento académico y tutoría en los alumnos.</w:t>
            </w:r>
          </w:p>
        </w:tc>
      </w:tr>
      <w:tr w:rsidR="006D148B" w:rsidRPr="0034191F" w14:paraId="7B2E38A0" w14:textId="77777777" w:rsidTr="009E3B2F">
        <w:trPr>
          <w:trHeight w:hRule="exact" w:val="419"/>
        </w:trPr>
        <w:tc>
          <w:tcPr>
            <w:tcW w:w="3277" w:type="dxa"/>
            <w:vMerge w:val="restart"/>
          </w:tcPr>
          <w:p w14:paraId="707D6C5F" w14:textId="77777777" w:rsidR="006D148B" w:rsidRPr="00374A10" w:rsidRDefault="006D148B" w:rsidP="00374A10">
            <w:pPr>
              <w:autoSpaceDE w:val="0"/>
              <w:autoSpaceDN w:val="0"/>
              <w:adjustRightInd w:val="0"/>
              <w:jc w:val="left"/>
              <w:rPr>
                <w:rFonts w:ascii="Futura Std Condensed Light" w:eastAsia="Calibri" w:hAnsi="Futura Std Condensed Light" w:cs="Calibri"/>
                <w:szCs w:val="18"/>
              </w:rPr>
            </w:pPr>
            <w:r w:rsidRPr="00374A10">
              <w:rPr>
                <w:rFonts w:ascii="Futura Std Condensed Light" w:eastAsia="Calibri" w:hAnsi="Futura Std Condensed Light" w:cs="Calibri"/>
                <w:szCs w:val="18"/>
              </w:rPr>
              <w:t>Insuficiente atención a la demanda en los niveles educativos</w:t>
            </w:r>
          </w:p>
        </w:tc>
        <w:tc>
          <w:tcPr>
            <w:tcW w:w="5551" w:type="dxa"/>
          </w:tcPr>
          <w:p w14:paraId="16B364C9" w14:textId="77777777" w:rsidR="006D148B" w:rsidRPr="00374A10" w:rsidRDefault="006D148B" w:rsidP="009E3B2F">
            <w:pPr>
              <w:tabs>
                <w:tab w:val="left" w:pos="4536"/>
              </w:tabs>
              <w:spacing w:before="120" w:after="120"/>
              <w:rPr>
                <w:rFonts w:ascii="Futura Std Condensed Light" w:eastAsia="Calibri" w:hAnsi="Futura Std Condensed Light" w:cs="Calibri"/>
                <w:szCs w:val="18"/>
              </w:rPr>
            </w:pPr>
            <w:r w:rsidRPr="00374A10">
              <w:rPr>
                <w:rFonts w:ascii="Futura Std Condensed Light" w:eastAsia="Calibri" w:hAnsi="Futura Std Condensed Light" w:cs="Calibri"/>
                <w:szCs w:val="18"/>
              </w:rPr>
              <w:t>Falta de oferta en modalidades no convencionales.</w:t>
            </w:r>
          </w:p>
        </w:tc>
      </w:tr>
      <w:tr w:rsidR="006D148B" w:rsidRPr="0034191F" w14:paraId="18F80527" w14:textId="77777777" w:rsidTr="009E3B2F">
        <w:trPr>
          <w:trHeight w:hRule="exact" w:val="569"/>
        </w:trPr>
        <w:tc>
          <w:tcPr>
            <w:tcW w:w="3277" w:type="dxa"/>
            <w:vMerge/>
          </w:tcPr>
          <w:p w14:paraId="373F4883" w14:textId="77777777" w:rsidR="006D148B" w:rsidRPr="00374A10" w:rsidRDefault="006D148B" w:rsidP="00374A10">
            <w:pPr>
              <w:autoSpaceDE w:val="0"/>
              <w:autoSpaceDN w:val="0"/>
              <w:adjustRightInd w:val="0"/>
              <w:jc w:val="left"/>
              <w:rPr>
                <w:rFonts w:ascii="Futura Std Condensed Light" w:eastAsia="Calibri" w:hAnsi="Futura Std Condensed Light" w:cs="Calibri"/>
                <w:szCs w:val="18"/>
              </w:rPr>
            </w:pPr>
          </w:p>
        </w:tc>
        <w:tc>
          <w:tcPr>
            <w:tcW w:w="5551" w:type="dxa"/>
          </w:tcPr>
          <w:p w14:paraId="11CDA322" w14:textId="77777777" w:rsidR="006D148B" w:rsidRPr="00374A10" w:rsidRDefault="006D148B" w:rsidP="009E3B2F">
            <w:pPr>
              <w:tabs>
                <w:tab w:val="left" w:pos="4536"/>
              </w:tabs>
              <w:spacing w:before="120" w:after="120"/>
              <w:rPr>
                <w:rFonts w:ascii="Futura Std Condensed Light" w:eastAsia="Calibri" w:hAnsi="Futura Std Condensed Light" w:cs="Calibri"/>
                <w:szCs w:val="18"/>
              </w:rPr>
            </w:pPr>
            <w:r w:rsidRPr="00374A10">
              <w:rPr>
                <w:rFonts w:ascii="Futura Std Condensed Light" w:eastAsia="Calibri" w:hAnsi="Futura Std Condensed Light" w:cs="Calibri"/>
                <w:szCs w:val="18"/>
              </w:rPr>
              <w:t xml:space="preserve">Baja atención a la demanda en el primer grado de preescolar. </w:t>
            </w:r>
          </w:p>
        </w:tc>
      </w:tr>
      <w:tr w:rsidR="006D148B" w:rsidRPr="0034191F" w14:paraId="4034A007" w14:textId="77777777" w:rsidTr="009E3B2F">
        <w:trPr>
          <w:trHeight w:hRule="exact" w:val="700"/>
        </w:trPr>
        <w:tc>
          <w:tcPr>
            <w:tcW w:w="3277" w:type="dxa"/>
            <w:vMerge/>
          </w:tcPr>
          <w:p w14:paraId="7DEA6CAD" w14:textId="77777777" w:rsidR="006D148B" w:rsidRPr="00374A10" w:rsidRDefault="006D148B" w:rsidP="00374A10">
            <w:pPr>
              <w:autoSpaceDE w:val="0"/>
              <w:autoSpaceDN w:val="0"/>
              <w:adjustRightInd w:val="0"/>
              <w:jc w:val="left"/>
              <w:rPr>
                <w:rFonts w:ascii="Futura Std Condensed Light" w:eastAsia="Calibri" w:hAnsi="Futura Std Condensed Light" w:cs="Calibri"/>
                <w:szCs w:val="18"/>
              </w:rPr>
            </w:pPr>
          </w:p>
        </w:tc>
        <w:tc>
          <w:tcPr>
            <w:tcW w:w="5551" w:type="dxa"/>
          </w:tcPr>
          <w:p w14:paraId="25581BF1" w14:textId="77777777" w:rsidR="006D148B" w:rsidRPr="00374A10" w:rsidRDefault="006D148B" w:rsidP="009E3B2F">
            <w:pPr>
              <w:autoSpaceDE w:val="0"/>
              <w:autoSpaceDN w:val="0"/>
              <w:adjustRightInd w:val="0"/>
              <w:spacing w:before="120" w:after="120"/>
              <w:rPr>
                <w:rFonts w:ascii="Futura Std Condensed Light" w:eastAsia="Calibri" w:hAnsi="Futura Std Condensed Light" w:cs="Calibri"/>
                <w:szCs w:val="18"/>
              </w:rPr>
            </w:pPr>
            <w:r w:rsidRPr="00374A10">
              <w:rPr>
                <w:rFonts w:ascii="Futura Std Condensed Light" w:eastAsia="Calibri" w:hAnsi="Futura Std Condensed Light" w:cs="Calibri"/>
                <w:szCs w:val="18"/>
              </w:rPr>
              <w:t xml:space="preserve">Cobertura insuficiente en los niveles educativos medio superior y superior en el estado. </w:t>
            </w:r>
          </w:p>
        </w:tc>
      </w:tr>
      <w:tr w:rsidR="006D148B" w:rsidRPr="0034191F" w14:paraId="6DFED3BC" w14:textId="77777777" w:rsidTr="00AE16F1">
        <w:trPr>
          <w:trHeight w:hRule="exact" w:val="733"/>
        </w:trPr>
        <w:tc>
          <w:tcPr>
            <w:tcW w:w="3277" w:type="dxa"/>
            <w:vMerge/>
            <w:tcBorders>
              <w:bottom w:val="single" w:sz="4" w:space="0" w:color="auto"/>
            </w:tcBorders>
          </w:tcPr>
          <w:p w14:paraId="3DEBFE37" w14:textId="77777777" w:rsidR="006D148B" w:rsidRPr="00374A10" w:rsidRDefault="006D148B" w:rsidP="00374A10">
            <w:pPr>
              <w:tabs>
                <w:tab w:val="left" w:pos="4536"/>
              </w:tabs>
              <w:jc w:val="left"/>
              <w:rPr>
                <w:rFonts w:ascii="Futura Std Condensed Light" w:eastAsia="Calibri" w:hAnsi="Futura Std Condensed Light" w:cs="Calibri"/>
                <w:szCs w:val="18"/>
              </w:rPr>
            </w:pPr>
          </w:p>
        </w:tc>
        <w:tc>
          <w:tcPr>
            <w:tcW w:w="5551" w:type="dxa"/>
            <w:tcBorders>
              <w:bottom w:val="single" w:sz="4" w:space="0" w:color="auto"/>
            </w:tcBorders>
          </w:tcPr>
          <w:p w14:paraId="21845D5F" w14:textId="77777777" w:rsidR="006D148B" w:rsidRPr="00374A10" w:rsidRDefault="006D148B" w:rsidP="009E3B2F">
            <w:pPr>
              <w:tabs>
                <w:tab w:val="left" w:pos="4536"/>
              </w:tabs>
              <w:spacing w:before="120" w:after="120"/>
              <w:rPr>
                <w:rFonts w:ascii="Futura Std Condensed Light" w:eastAsia="Calibri" w:hAnsi="Futura Std Condensed Light" w:cs="Calibri"/>
                <w:szCs w:val="18"/>
              </w:rPr>
            </w:pPr>
            <w:r w:rsidRPr="00374A10">
              <w:rPr>
                <w:rFonts w:ascii="Futura Std Condensed Light" w:eastAsia="Calibri" w:hAnsi="Futura Std Condensed Light" w:cs="Calibri"/>
                <w:szCs w:val="18"/>
              </w:rPr>
              <w:t>Atención insuficiente a niños, jóvenes con discapacidad y necesidades especiales.</w:t>
            </w:r>
          </w:p>
        </w:tc>
      </w:tr>
      <w:tr w:rsidR="006D148B" w:rsidRPr="0034191F" w14:paraId="6AA238CC" w14:textId="77777777" w:rsidTr="00AE16F1">
        <w:trPr>
          <w:trHeight w:val="572"/>
        </w:trPr>
        <w:tc>
          <w:tcPr>
            <w:tcW w:w="3277" w:type="dxa"/>
            <w:vMerge w:val="restart"/>
            <w:tcBorders>
              <w:bottom w:val="single" w:sz="4" w:space="0" w:color="auto"/>
            </w:tcBorders>
          </w:tcPr>
          <w:p w14:paraId="640DC569" w14:textId="77777777" w:rsidR="006D148B" w:rsidRPr="00374A10" w:rsidRDefault="006D148B" w:rsidP="00374A10">
            <w:pPr>
              <w:tabs>
                <w:tab w:val="left" w:pos="4536"/>
              </w:tabs>
              <w:jc w:val="left"/>
              <w:rPr>
                <w:rFonts w:ascii="Futura Std Condensed Light" w:eastAsia="Calibri" w:hAnsi="Futura Std Condensed Light" w:cs="Calibri"/>
                <w:szCs w:val="18"/>
              </w:rPr>
            </w:pPr>
            <w:r w:rsidRPr="00374A10">
              <w:rPr>
                <w:rFonts w:ascii="Futura Std Condensed Light" w:eastAsia="Calibri" w:hAnsi="Futura Std Condensed Light" w:cs="Calibri"/>
                <w:szCs w:val="18"/>
              </w:rPr>
              <w:t>Deficiencias en las condiciones de infraestructura y falta de equipamiento en las escuelas.</w:t>
            </w:r>
          </w:p>
        </w:tc>
        <w:tc>
          <w:tcPr>
            <w:tcW w:w="5551" w:type="dxa"/>
          </w:tcPr>
          <w:p w14:paraId="7F5B3F8E" w14:textId="77777777" w:rsidR="006D148B" w:rsidRPr="00374A10" w:rsidRDefault="006D148B" w:rsidP="009E3B2F">
            <w:pPr>
              <w:tabs>
                <w:tab w:val="left" w:pos="4536"/>
              </w:tabs>
              <w:spacing w:before="120" w:after="120"/>
              <w:rPr>
                <w:rFonts w:ascii="Futura Std Condensed Light" w:eastAsia="Calibri" w:hAnsi="Futura Std Condensed Light" w:cs="Calibri"/>
                <w:szCs w:val="18"/>
              </w:rPr>
            </w:pPr>
            <w:r w:rsidRPr="00374A10">
              <w:rPr>
                <w:rFonts w:ascii="Futura Std Condensed Light" w:eastAsia="Calibri" w:hAnsi="Futura Std Condensed Light" w:cs="Calibri"/>
                <w:szCs w:val="18"/>
              </w:rPr>
              <w:t xml:space="preserve">Insuficientes recursos a las escuelas para la mejora de las condiciones físicas. </w:t>
            </w:r>
          </w:p>
        </w:tc>
      </w:tr>
      <w:tr w:rsidR="006D148B" w:rsidRPr="0034191F" w14:paraId="1E8F4B65" w14:textId="77777777" w:rsidTr="00AE16F1">
        <w:trPr>
          <w:trHeight w:hRule="exact" w:val="770"/>
        </w:trPr>
        <w:tc>
          <w:tcPr>
            <w:tcW w:w="3277" w:type="dxa"/>
            <w:vMerge/>
            <w:tcBorders>
              <w:bottom w:val="single" w:sz="4" w:space="0" w:color="auto"/>
            </w:tcBorders>
          </w:tcPr>
          <w:p w14:paraId="6C69E105" w14:textId="77777777" w:rsidR="006D148B" w:rsidRPr="0034191F" w:rsidRDefault="006D148B" w:rsidP="009E3B2F">
            <w:pPr>
              <w:tabs>
                <w:tab w:val="left" w:pos="4536"/>
              </w:tabs>
              <w:rPr>
                <w:rFonts w:ascii="Futura Std Condensed Light" w:eastAsia="Calibri" w:hAnsi="Futura Std Condensed Light" w:cs="Calibri"/>
                <w:sz w:val="18"/>
                <w:szCs w:val="18"/>
              </w:rPr>
            </w:pPr>
          </w:p>
        </w:tc>
        <w:tc>
          <w:tcPr>
            <w:tcW w:w="5551" w:type="dxa"/>
            <w:tcBorders>
              <w:bottom w:val="single" w:sz="4" w:space="0" w:color="auto"/>
            </w:tcBorders>
          </w:tcPr>
          <w:p w14:paraId="34EA60C6" w14:textId="77777777" w:rsidR="006D148B" w:rsidRPr="00374A10" w:rsidRDefault="006D148B" w:rsidP="009E3B2F">
            <w:pPr>
              <w:tabs>
                <w:tab w:val="left" w:pos="4536"/>
              </w:tabs>
              <w:spacing w:before="120" w:after="120"/>
              <w:rPr>
                <w:rFonts w:ascii="Futura Std Condensed Light" w:eastAsia="Calibri" w:hAnsi="Futura Std Condensed Light" w:cs="Calibri"/>
                <w:szCs w:val="18"/>
              </w:rPr>
            </w:pPr>
            <w:r w:rsidRPr="00374A10">
              <w:rPr>
                <w:rFonts w:ascii="Futura Std Condensed Light" w:eastAsia="Calibri" w:hAnsi="Futura Std Condensed Light" w:cs="Calibri"/>
                <w:szCs w:val="18"/>
              </w:rPr>
              <w:t xml:space="preserve">Falta de infraestructura tecnológica en las escuelas para desarrollar competencias digitales. </w:t>
            </w:r>
          </w:p>
        </w:tc>
      </w:tr>
      <w:tr w:rsidR="006D148B" w:rsidRPr="0034191F" w14:paraId="0AECD927" w14:textId="77777777" w:rsidTr="00AE16F1">
        <w:trPr>
          <w:trHeight w:hRule="exact" w:val="570"/>
        </w:trPr>
        <w:tc>
          <w:tcPr>
            <w:tcW w:w="3277" w:type="dxa"/>
            <w:vMerge/>
            <w:tcBorders>
              <w:bottom w:val="single" w:sz="4" w:space="0" w:color="auto"/>
            </w:tcBorders>
          </w:tcPr>
          <w:p w14:paraId="7A4C35C2" w14:textId="77777777" w:rsidR="006D148B" w:rsidRPr="0034191F" w:rsidRDefault="006D148B" w:rsidP="009E3B2F">
            <w:pPr>
              <w:tabs>
                <w:tab w:val="left" w:pos="4536"/>
              </w:tabs>
              <w:rPr>
                <w:rFonts w:ascii="Futura Std Condensed Light" w:eastAsia="Calibri" w:hAnsi="Futura Std Condensed Light" w:cs="Calibri"/>
                <w:sz w:val="18"/>
                <w:szCs w:val="18"/>
              </w:rPr>
            </w:pPr>
          </w:p>
        </w:tc>
        <w:tc>
          <w:tcPr>
            <w:tcW w:w="5551" w:type="dxa"/>
            <w:tcBorders>
              <w:bottom w:val="single" w:sz="4" w:space="0" w:color="auto"/>
            </w:tcBorders>
          </w:tcPr>
          <w:p w14:paraId="58B74C09" w14:textId="77777777" w:rsidR="006D148B" w:rsidRPr="00374A10" w:rsidRDefault="006D148B" w:rsidP="009E3B2F">
            <w:pPr>
              <w:tabs>
                <w:tab w:val="left" w:pos="4536"/>
              </w:tabs>
              <w:spacing w:before="120" w:after="120"/>
              <w:rPr>
                <w:rFonts w:ascii="Futura Std Condensed Light" w:eastAsia="Calibri" w:hAnsi="Futura Std Condensed Light" w:cs="Calibri"/>
                <w:szCs w:val="18"/>
              </w:rPr>
            </w:pPr>
            <w:r w:rsidRPr="00374A10">
              <w:rPr>
                <w:rFonts w:ascii="Futura Std Condensed Light" w:eastAsia="Calibri" w:hAnsi="Futura Std Condensed Light" w:cs="Calibri"/>
                <w:szCs w:val="18"/>
              </w:rPr>
              <w:t xml:space="preserve">Falta de espacios educativos para cubrir la atención a la demanda. </w:t>
            </w:r>
          </w:p>
        </w:tc>
      </w:tr>
      <w:tr w:rsidR="006D148B" w:rsidRPr="0034191F" w14:paraId="4CA12251" w14:textId="77777777" w:rsidTr="00AE16F1">
        <w:trPr>
          <w:trHeight w:hRule="exact" w:val="1257"/>
        </w:trPr>
        <w:tc>
          <w:tcPr>
            <w:tcW w:w="3277" w:type="dxa"/>
            <w:vMerge/>
            <w:tcBorders>
              <w:top w:val="nil"/>
              <w:bottom w:val="single" w:sz="4" w:space="0" w:color="auto"/>
            </w:tcBorders>
          </w:tcPr>
          <w:p w14:paraId="3B536584" w14:textId="77777777" w:rsidR="006D148B" w:rsidRPr="0034191F" w:rsidRDefault="006D148B" w:rsidP="009E3B2F">
            <w:pPr>
              <w:tabs>
                <w:tab w:val="left" w:pos="4536"/>
              </w:tabs>
              <w:rPr>
                <w:rFonts w:ascii="Futura Std Condensed Light" w:eastAsia="Calibri" w:hAnsi="Futura Std Condensed Light" w:cs="Calibri"/>
                <w:sz w:val="18"/>
                <w:szCs w:val="18"/>
              </w:rPr>
            </w:pPr>
          </w:p>
        </w:tc>
        <w:tc>
          <w:tcPr>
            <w:tcW w:w="5551" w:type="dxa"/>
            <w:tcBorders>
              <w:top w:val="single" w:sz="4" w:space="0" w:color="auto"/>
            </w:tcBorders>
          </w:tcPr>
          <w:p w14:paraId="096A4336" w14:textId="77777777" w:rsidR="006D148B" w:rsidRPr="00374A10" w:rsidRDefault="006D148B" w:rsidP="009E3B2F">
            <w:pPr>
              <w:tabs>
                <w:tab w:val="left" w:pos="4536"/>
              </w:tabs>
              <w:spacing w:before="120" w:after="120"/>
              <w:rPr>
                <w:rFonts w:ascii="Futura Std Condensed Light" w:eastAsia="Calibri" w:hAnsi="Futura Std Condensed Light" w:cs="Calibri"/>
                <w:szCs w:val="18"/>
              </w:rPr>
            </w:pPr>
            <w:r w:rsidRPr="00374A10">
              <w:rPr>
                <w:rFonts w:ascii="Futura Std Condensed Light" w:eastAsia="Calibri" w:hAnsi="Futura Std Condensed Light" w:cs="Calibri"/>
                <w:szCs w:val="18"/>
              </w:rPr>
              <w:t xml:space="preserve">Falta de un procedimiento para asegurar que los muebles e inmuebles y servicios necesarios para su operación destinados a la impartición de la educación en el Estado, cumplan con las disposiciones normativas. </w:t>
            </w:r>
          </w:p>
        </w:tc>
      </w:tr>
      <w:tr w:rsidR="006D148B" w:rsidRPr="0034191F" w14:paraId="7BA296AD" w14:textId="77777777" w:rsidTr="00AE16F1">
        <w:trPr>
          <w:trHeight w:hRule="exact" w:val="434"/>
        </w:trPr>
        <w:tc>
          <w:tcPr>
            <w:tcW w:w="3277" w:type="dxa"/>
            <w:vMerge w:val="restart"/>
            <w:tcBorders>
              <w:top w:val="single" w:sz="4" w:space="0" w:color="auto"/>
            </w:tcBorders>
          </w:tcPr>
          <w:p w14:paraId="5CAE6400" w14:textId="77777777" w:rsidR="006D148B" w:rsidRPr="00374A10" w:rsidRDefault="006D148B" w:rsidP="00374A10">
            <w:pPr>
              <w:tabs>
                <w:tab w:val="left" w:pos="4536"/>
              </w:tabs>
              <w:jc w:val="left"/>
              <w:rPr>
                <w:rFonts w:ascii="Futura Std Condensed Light" w:eastAsia="Calibri" w:hAnsi="Futura Std Condensed Light" w:cs="Calibri"/>
                <w:szCs w:val="18"/>
              </w:rPr>
            </w:pPr>
            <w:r w:rsidRPr="00374A10">
              <w:rPr>
                <w:rFonts w:ascii="Futura Std Condensed Light" w:eastAsia="Calibri" w:hAnsi="Futura Std Condensed Light" w:cs="Calibri"/>
                <w:szCs w:val="18"/>
              </w:rPr>
              <w:t xml:space="preserve">Abandono Escolar en los niveles educativos </w:t>
            </w:r>
          </w:p>
        </w:tc>
        <w:tc>
          <w:tcPr>
            <w:tcW w:w="5551" w:type="dxa"/>
          </w:tcPr>
          <w:p w14:paraId="293F4764" w14:textId="77777777" w:rsidR="006D148B" w:rsidRPr="00374A10" w:rsidRDefault="006D148B" w:rsidP="009E3B2F">
            <w:pPr>
              <w:tabs>
                <w:tab w:val="left" w:pos="4536"/>
              </w:tabs>
              <w:spacing w:before="120" w:after="120"/>
              <w:rPr>
                <w:rFonts w:ascii="Futura Std Condensed Light" w:eastAsia="Calibri" w:hAnsi="Futura Std Condensed Light" w:cs="Calibri"/>
                <w:szCs w:val="18"/>
              </w:rPr>
            </w:pPr>
            <w:r w:rsidRPr="00374A10">
              <w:rPr>
                <w:rFonts w:ascii="Futura Std Condensed Light" w:eastAsia="Calibri" w:hAnsi="Futura Std Condensed Light" w:cs="Calibri"/>
                <w:szCs w:val="18"/>
              </w:rPr>
              <w:t>Insuficientes apoyos para la permanencia de los estudiantes.</w:t>
            </w:r>
          </w:p>
        </w:tc>
      </w:tr>
      <w:tr w:rsidR="006D148B" w:rsidRPr="0034191F" w14:paraId="5AFEDCCB" w14:textId="77777777" w:rsidTr="009E3B2F">
        <w:trPr>
          <w:trHeight w:hRule="exact" w:val="694"/>
        </w:trPr>
        <w:tc>
          <w:tcPr>
            <w:tcW w:w="3277" w:type="dxa"/>
            <w:vMerge/>
          </w:tcPr>
          <w:p w14:paraId="277B5267" w14:textId="77777777" w:rsidR="006D148B" w:rsidRPr="00374A10" w:rsidRDefault="006D148B" w:rsidP="00374A10">
            <w:pPr>
              <w:tabs>
                <w:tab w:val="left" w:pos="4536"/>
              </w:tabs>
              <w:jc w:val="left"/>
              <w:rPr>
                <w:rFonts w:ascii="Futura Std Condensed Light" w:eastAsia="Calibri" w:hAnsi="Futura Std Condensed Light" w:cs="Calibri"/>
                <w:szCs w:val="18"/>
              </w:rPr>
            </w:pPr>
          </w:p>
        </w:tc>
        <w:tc>
          <w:tcPr>
            <w:tcW w:w="5551" w:type="dxa"/>
          </w:tcPr>
          <w:p w14:paraId="4114EE18" w14:textId="77777777" w:rsidR="006D148B" w:rsidRPr="00374A10" w:rsidRDefault="006D148B" w:rsidP="009E3B2F">
            <w:pPr>
              <w:tabs>
                <w:tab w:val="left" w:pos="4536"/>
              </w:tabs>
              <w:spacing w:before="120" w:after="120"/>
              <w:rPr>
                <w:rFonts w:ascii="Futura Std Condensed Light" w:eastAsia="Calibri" w:hAnsi="Futura Std Condensed Light" w:cs="Calibri"/>
                <w:szCs w:val="18"/>
              </w:rPr>
            </w:pPr>
            <w:r w:rsidRPr="00374A10">
              <w:rPr>
                <w:rFonts w:ascii="Futura Std Condensed Light" w:eastAsia="Calibri" w:hAnsi="Futura Std Condensed Light" w:cs="Calibri"/>
                <w:szCs w:val="18"/>
              </w:rPr>
              <w:t xml:space="preserve">Situación económica desfavorable que propicia el abandono escolar. </w:t>
            </w:r>
          </w:p>
        </w:tc>
      </w:tr>
      <w:tr w:rsidR="006D148B" w:rsidRPr="0034191F" w14:paraId="1EE74E90" w14:textId="77777777" w:rsidTr="009E3B2F">
        <w:trPr>
          <w:trHeight w:hRule="exact" w:val="718"/>
        </w:trPr>
        <w:tc>
          <w:tcPr>
            <w:tcW w:w="3277" w:type="dxa"/>
            <w:vMerge/>
          </w:tcPr>
          <w:p w14:paraId="7E693BEC" w14:textId="77777777" w:rsidR="006D148B" w:rsidRPr="00374A10" w:rsidRDefault="006D148B" w:rsidP="00374A10">
            <w:pPr>
              <w:tabs>
                <w:tab w:val="left" w:pos="4536"/>
              </w:tabs>
              <w:jc w:val="left"/>
              <w:rPr>
                <w:rFonts w:ascii="Futura Std Condensed Light" w:eastAsia="Calibri" w:hAnsi="Futura Std Condensed Light" w:cs="Calibri"/>
                <w:szCs w:val="18"/>
              </w:rPr>
            </w:pPr>
          </w:p>
        </w:tc>
        <w:tc>
          <w:tcPr>
            <w:tcW w:w="5551" w:type="dxa"/>
          </w:tcPr>
          <w:p w14:paraId="262CC752" w14:textId="77777777" w:rsidR="006D148B" w:rsidRPr="00374A10" w:rsidRDefault="006D148B" w:rsidP="009E3B2F">
            <w:pPr>
              <w:tabs>
                <w:tab w:val="left" w:pos="4536"/>
              </w:tabs>
              <w:spacing w:before="120" w:after="120"/>
              <w:rPr>
                <w:rFonts w:ascii="Futura Std Condensed Light" w:eastAsia="Calibri" w:hAnsi="Futura Std Condensed Light" w:cs="Calibri"/>
                <w:szCs w:val="18"/>
              </w:rPr>
            </w:pPr>
            <w:r w:rsidRPr="00374A10">
              <w:rPr>
                <w:rFonts w:ascii="Futura Std Condensed Light" w:eastAsia="Calibri" w:hAnsi="Futura Std Condensed Light" w:cs="Calibri"/>
                <w:szCs w:val="18"/>
              </w:rPr>
              <w:t xml:space="preserve">Ausencia de programas que desarrollen las habilidades socio-emocionales de los estudiantes. </w:t>
            </w:r>
          </w:p>
        </w:tc>
      </w:tr>
      <w:tr w:rsidR="006D148B" w:rsidRPr="0034191F" w14:paraId="763D15F5" w14:textId="77777777" w:rsidTr="009E3B2F">
        <w:trPr>
          <w:trHeight w:val="540"/>
        </w:trPr>
        <w:tc>
          <w:tcPr>
            <w:tcW w:w="3277" w:type="dxa"/>
            <w:vMerge/>
          </w:tcPr>
          <w:p w14:paraId="2ABD9F83" w14:textId="77777777" w:rsidR="006D148B" w:rsidRPr="00374A10" w:rsidRDefault="006D148B" w:rsidP="00374A10">
            <w:pPr>
              <w:tabs>
                <w:tab w:val="left" w:pos="4536"/>
              </w:tabs>
              <w:jc w:val="left"/>
              <w:rPr>
                <w:rFonts w:ascii="Futura Std Condensed Light" w:eastAsia="Calibri" w:hAnsi="Futura Std Condensed Light" w:cs="Calibri"/>
                <w:szCs w:val="18"/>
              </w:rPr>
            </w:pPr>
          </w:p>
        </w:tc>
        <w:tc>
          <w:tcPr>
            <w:tcW w:w="5551" w:type="dxa"/>
          </w:tcPr>
          <w:p w14:paraId="479D3D14" w14:textId="77777777" w:rsidR="006D148B" w:rsidRPr="00374A10" w:rsidRDefault="006D148B" w:rsidP="009E3B2F">
            <w:pPr>
              <w:spacing w:before="120" w:after="120"/>
              <w:rPr>
                <w:rFonts w:ascii="Futura Std Condensed Light" w:eastAsia="Calibri" w:hAnsi="Futura Std Condensed Light" w:cs="Calibri"/>
                <w:szCs w:val="18"/>
              </w:rPr>
            </w:pPr>
            <w:r w:rsidRPr="00374A10">
              <w:rPr>
                <w:rFonts w:ascii="Futura Std Condensed Light" w:eastAsia="Calibri" w:hAnsi="Futura Std Condensed Light" w:cs="Calibri"/>
                <w:szCs w:val="18"/>
              </w:rPr>
              <w:t>Escasa difusión y aplicación de los instrumentos para la referencia y atención de los casos de acoso y violencia escolar.</w:t>
            </w:r>
          </w:p>
        </w:tc>
      </w:tr>
      <w:tr w:rsidR="006D148B" w:rsidRPr="0034191F" w14:paraId="394643BB" w14:textId="77777777" w:rsidTr="009E3B2F">
        <w:trPr>
          <w:trHeight w:val="284"/>
        </w:trPr>
        <w:tc>
          <w:tcPr>
            <w:tcW w:w="3277" w:type="dxa"/>
            <w:vMerge/>
          </w:tcPr>
          <w:p w14:paraId="20805536" w14:textId="77777777" w:rsidR="006D148B" w:rsidRPr="00374A10" w:rsidRDefault="006D148B" w:rsidP="00374A10">
            <w:pPr>
              <w:tabs>
                <w:tab w:val="left" w:pos="4536"/>
              </w:tabs>
              <w:jc w:val="left"/>
              <w:rPr>
                <w:rFonts w:ascii="Futura Std Condensed Light" w:eastAsia="Calibri" w:hAnsi="Futura Std Condensed Light" w:cs="Calibri"/>
                <w:szCs w:val="18"/>
              </w:rPr>
            </w:pPr>
          </w:p>
        </w:tc>
        <w:tc>
          <w:tcPr>
            <w:tcW w:w="5551" w:type="dxa"/>
          </w:tcPr>
          <w:p w14:paraId="7651C02C" w14:textId="77777777" w:rsidR="006D148B" w:rsidRPr="00374A10" w:rsidRDefault="006D148B" w:rsidP="009E3B2F">
            <w:pPr>
              <w:tabs>
                <w:tab w:val="left" w:pos="4536"/>
              </w:tabs>
              <w:spacing w:before="120" w:after="120"/>
              <w:rPr>
                <w:rFonts w:ascii="Futura Std Condensed Light" w:eastAsia="Calibri" w:hAnsi="Futura Std Condensed Light" w:cs="Calibri"/>
                <w:szCs w:val="18"/>
              </w:rPr>
            </w:pPr>
            <w:r w:rsidRPr="00374A10">
              <w:rPr>
                <w:rFonts w:ascii="Futura Std Condensed Light" w:eastAsia="Calibri" w:hAnsi="Futura Std Condensed Light" w:cs="Calibri"/>
                <w:szCs w:val="18"/>
              </w:rPr>
              <w:t>Inexistencia de protocolos de prevención y atención en casos de violencia sexual en  el sector educativo.</w:t>
            </w:r>
          </w:p>
        </w:tc>
      </w:tr>
      <w:tr w:rsidR="006D148B" w:rsidRPr="0034191F" w14:paraId="312DC0F7" w14:textId="77777777" w:rsidTr="009E3B2F">
        <w:trPr>
          <w:trHeight w:val="261"/>
        </w:trPr>
        <w:tc>
          <w:tcPr>
            <w:tcW w:w="3277" w:type="dxa"/>
            <w:vMerge/>
          </w:tcPr>
          <w:p w14:paraId="57A13E90" w14:textId="77777777" w:rsidR="006D148B" w:rsidRPr="00374A10" w:rsidRDefault="006D148B" w:rsidP="00374A10">
            <w:pPr>
              <w:tabs>
                <w:tab w:val="left" w:pos="4536"/>
              </w:tabs>
              <w:jc w:val="left"/>
              <w:rPr>
                <w:rFonts w:ascii="Futura Std Condensed Light" w:eastAsia="Calibri" w:hAnsi="Futura Std Condensed Light" w:cs="Calibri"/>
                <w:szCs w:val="18"/>
              </w:rPr>
            </w:pPr>
          </w:p>
        </w:tc>
        <w:tc>
          <w:tcPr>
            <w:tcW w:w="5551" w:type="dxa"/>
          </w:tcPr>
          <w:p w14:paraId="5FEA0E26" w14:textId="77777777" w:rsidR="006D148B" w:rsidRPr="00374A10" w:rsidRDefault="006D148B" w:rsidP="009E3B2F">
            <w:pPr>
              <w:spacing w:before="120" w:after="120"/>
              <w:rPr>
                <w:rFonts w:ascii="Futura Std Condensed Light" w:eastAsia="Calibri" w:hAnsi="Futura Std Condensed Light" w:cs="Calibri"/>
                <w:szCs w:val="18"/>
              </w:rPr>
            </w:pPr>
            <w:r w:rsidRPr="00374A10">
              <w:rPr>
                <w:rFonts w:ascii="Futura Std Condensed Light" w:eastAsia="Calibri" w:hAnsi="Futura Std Condensed Light" w:cs="Calibri"/>
                <w:szCs w:val="18"/>
              </w:rPr>
              <w:t>Reproducción de estereotipos sexistas en las prácticas educativas.</w:t>
            </w:r>
          </w:p>
        </w:tc>
      </w:tr>
      <w:tr w:rsidR="006D148B" w:rsidRPr="0034191F" w14:paraId="4BF44094" w14:textId="77777777" w:rsidTr="009E3B2F">
        <w:trPr>
          <w:trHeight w:val="284"/>
        </w:trPr>
        <w:tc>
          <w:tcPr>
            <w:tcW w:w="3277" w:type="dxa"/>
            <w:vMerge w:val="restart"/>
          </w:tcPr>
          <w:p w14:paraId="4350928E" w14:textId="77777777" w:rsidR="006D148B" w:rsidRPr="00374A10" w:rsidRDefault="006D148B" w:rsidP="00374A10">
            <w:pPr>
              <w:tabs>
                <w:tab w:val="left" w:pos="4536"/>
              </w:tabs>
              <w:jc w:val="left"/>
              <w:rPr>
                <w:rFonts w:ascii="Futura Std Condensed Light" w:eastAsia="Calibri" w:hAnsi="Futura Std Condensed Light" w:cs="Calibri"/>
                <w:szCs w:val="18"/>
              </w:rPr>
            </w:pPr>
            <w:r w:rsidRPr="00374A10">
              <w:rPr>
                <w:rFonts w:ascii="Futura Std Condensed Light" w:eastAsia="Calibri" w:hAnsi="Futura Std Condensed Light" w:cs="Calibri"/>
                <w:szCs w:val="18"/>
              </w:rPr>
              <w:t>Rezago educativo</w:t>
            </w:r>
          </w:p>
        </w:tc>
        <w:tc>
          <w:tcPr>
            <w:tcW w:w="5551" w:type="dxa"/>
          </w:tcPr>
          <w:p w14:paraId="05132EBA" w14:textId="77777777" w:rsidR="006D148B" w:rsidRPr="00374A10" w:rsidRDefault="006D148B" w:rsidP="009E3B2F">
            <w:pPr>
              <w:spacing w:before="120" w:after="120"/>
              <w:rPr>
                <w:rFonts w:ascii="Futura Std Condensed Light" w:eastAsia="Calibri" w:hAnsi="Futura Std Condensed Light" w:cs="Calibri"/>
                <w:szCs w:val="18"/>
              </w:rPr>
            </w:pPr>
            <w:r w:rsidRPr="00374A10">
              <w:rPr>
                <w:rFonts w:ascii="Futura Std Condensed Light" w:eastAsia="Calibri" w:hAnsi="Futura Std Condensed Light" w:cs="Calibri"/>
                <w:szCs w:val="18"/>
              </w:rPr>
              <w:t>Insuficiente cobertura para la atención de jóvenes, adultos y adultos mayores en rezago educativo.</w:t>
            </w:r>
          </w:p>
        </w:tc>
      </w:tr>
      <w:tr w:rsidR="006D148B" w:rsidRPr="0034191F" w14:paraId="7B38A1EB" w14:textId="77777777" w:rsidTr="009E3B2F">
        <w:trPr>
          <w:trHeight w:val="535"/>
        </w:trPr>
        <w:tc>
          <w:tcPr>
            <w:tcW w:w="3277" w:type="dxa"/>
            <w:vMerge/>
          </w:tcPr>
          <w:p w14:paraId="745E51A4" w14:textId="77777777" w:rsidR="006D148B" w:rsidRPr="00374A10" w:rsidRDefault="006D148B" w:rsidP="00374A10">
            <w:pPr>
              <w:tabs>
                <w:tab w:val="left" w:pos="4536"/>
              </w:tabs>
              <w:jc w:val="left"/>
              <w:rPr>
                <w:rFonts w:ascii="Futura Std Condensed Light" w:eastAsia="Calibri" w:hAnsi="Futura Std Condensed Light" w:cs="Calibri"/>
                <w:szCs w:val="18"/>
              </w:rPr>
            </w:pPr>
          </w:p>
        </w:tc>
        <w:tc>
          <w:tcPr>
            <w:tcW w:w="5551" w:type="dxa"/>
          </w:tcPr>
          <w:p w14:paraId="616F05A6" w14:textId="77777777" w:rsidR="006D148B" w:rsidRPr="00374A10" w:rsidRDefault="006D148B" w:rsidP="009E3B2F">
            <w:pPr>
              <w:spacing w:before="120" w:after="120"/>
              <w:rPr>
                <w:rFonts w:ascii="Futura Std Condensed Light" w:eastAsia="Calibri" w:hAnsi="Futura Std Condensed Light" w:cs="Calibri"/>
                <w:szCs w:val="18"/>
              </w:rPr>
            </w:pPr>
            <w:r w:rsidRPr="00374A10">
              <w:rPr>
                <w:rFonts w:ascii="Futura Std Condensed Light" w:eastAsia="Calibri" w:hAnsi="Futura Std Condensed Light" w:cs="Calibri"/>
                <w:szCs w:val="18"/>
              </w:rPr>
              <w:t xml:space="preserve">Falta de atención a jóvenes, adultos y adultos mayores con necesidades especiales y/o discapacidad. </w:t>
            </w:r>
          </w:p>
        </w:tc>
      </w:tr>
      <w:tr w:rsidR="006D148B" w:rsidRPr="0034191F" w14:paraId="4120D8B5" w14:textId="77777777" w:rsidTr="009E3B2F">
        <w:trPr>
          <w:trHeight w:val="284"/>
        </w:trPr>
        <w:tc>
          <w:tcPr>
            <w:tcW w:w="3277" w:type="dxa"/>
            <w:vMerge/>
          </w:tcPr>
          <w:p w14:paraId="46A8B4CC" w14:textId="77777777" w:rsidR="006D148B" w:rsidRPr="00374A10" w:rsidRDefault="006D148B" w:rsidP="00374A10">
            <w:pPr>
              <w:tabs>
                <w:tab w:val="left" w:pos="4536"/>
              </w:tabs>
              <w:jc w:val="left"/>
              <w:rPr>
                <w:rFonts w:ascii="Futura Std Condensed Light" w:eastAsia="Calibri" w:hAnsi="Futura Std Condensed Light" w:cs="Calibri"/>
                <w:szCs w:val="18"/>
              </w:rPr>
            </w:pPr>
          </w:p>
        </w:tc>
        <w:tc>
          <w:tcPr>
            <w:tcW w:w="5551" w:type="dxa"/>
          </w:tcPr>
          <w:p w14:paraId="512CDCD6" w14:textId="77777777" w:rsidR="006D148B" w:rsidRPr="00374A10" w:rsidRDefault="006D148B" w:rsidP="009E3B2F">
            <w:pPr>
              <w:spacing w:before="120" w:after="120"/>
              <w:rPr>
                <w:rFonts w:ascii="Futura Std Condensed Light" w:eastAsia="Calibri" w:hAnsi="Futura Std Condensed Light" w:cs="Calibri"/>
                <w:szCs w:val="18"/>
              </w:rPr>
            </w:pPr>
            <w:r w:rsidRPr="00374A10">
              <w:rPr>
                <w:rFonts w:ascii="Futura Std Condensed Light" w:eastAsia="Calibri" w:hAnsi="Futura Std Condensed Light" w:cs="Calibri"/>
                <w:szCs w:val="18"/>
              </w:rPr>
              <w:t xml:space="preserve">Falta de certificación de saberes adquiridos a los jóvenes, adultos y adultos mayores. </w:t>
            </w:r>
          </w:p>
        </w:tc>
      </w:tr>
      <w:tr w:rsidR="006D148B" w:rsidRPr="0034191F" w14:paraId="21858C8E" w14:textId="77777777" w:rsidTr="009E3B2F">
        <w:trPr>
          <w:trHeight w:val="284"/>
        </w:trPr>
        <w:tc>
          <w:tcPr>
            <w:tcW w:w="3277" w:type="dxa"/>
            <w:vMerge w:val="restart"/>
          </w:tcPr>
          <w:p w14:paraId="24265EDD" w14:textId="77777777" w:rsidR="006D148B" w:rsidRPr="00374A10" w:rsidRDefault="006D148B" w:rsidP="00374A10">
            <w:pPr>
              <w:tabs>
                <w:tab w:val="left" w:pos="4536"/>
              </w:tabs>
              <w:jc w:val="left"/>
              <w:rPr>
                <w:rFonts w:ascii="Futura Std Condensed Light" w:eastAsia="Calibri" w:hAnsi="Futura Std Condensed Light" w:cs="Calibri"/>
                <w:szCs w:val="18"/>
              </w:rPr>
            </w:pPr>
            <w:r w:rsidRPr="00374A10">
              <w:rPr>
                <w:rFonts w:ascii="Futura Std Condensed Light" w:eastAsia="Calibri" w:hAnsi="Futura Std Condensed Light" w:cs="Calibri"/>
                <w:szCs w:val="18"/>
              </w:rPr>
              <w:t>Insuficiente formación continua y desarrollo profesional de los docentes</w:t>
            </w:r>
          </w:p>
        </w:tc>
        <w:tc>
          <w:tcPr>
            <w:tcW w:w="5551" w:type="dxa"/>
          </w:tcPr>
          <w:p w14:paraId="6F120638" w14:textId="287FE926" w:rsidR="006D148B" w:rsidRPr="00374A10" w:rsidRDefault="00FB37B5" w:rsidP="009E3B2F">
            <w:pPr>
              <w:autoSpaceDE w:val="0"/>
              <w:autoSpaceDN w:val="0"/>
              <w:adjustRightInd w:val="0"/>
              <w:spacing w:before="120" w:after="120"/>
              <w:rPr>
                <w:rFonts w:ascii="Futura Std Condensed Light" w:eastAsia="Calibri" w:hAnsi="Futura Std Condensed Light" w:cs="Calibri"/>
                <w:szCs w:val="18"/>
              </w:rPr>
            </w:pPr>
            <w:r>
              <w:rPr>
                <w:rFonts w:ascii="Futura Std Condensed Light" w:eastAsia="Calibri" w:hAnsi="Futura Std Condensed Light" w:cs="Calibri"/>
                <w:szCs w:val="18"/>
              </w:rPr>
              <w:t xml:space="preserve">Insuficiente </w:t>
            </w:r>
            <w:r w:rsidR="006D148B" w:rsidRPr="00374A10">
              <w:rPr>
                <w:rFonts w:ascii="Futura Std Condensed Light" w:eastAsia="Calibri" w:hAnsi="Futura Std Condensed Light" w:cs="Calibri"/>
                <w:szCs w:val="18"/>
              </w:rPr>
              <w:t xml:space="preserve"> formación continua de los docentes que responda a las necesidades reales.</w:t>
            </w:r>
          </w:p>
        </w:tc>
      </w:tr>
      <w:tr w:rsidR="006D148B" w:rsidRPr="0034191F" w14:paraId="1817D202" w14:textId="77777777" w:rsidTr="009E3B2F">
        <w:trPr>
          <w:trHeight w:val="284"/>
        </w:trPr>
        <w:tc>
          <w:tcPr>
            <w:tcW w:w="3277" w:type="dxa"/>
            <w:vMerge/>
          </w:tcPr>
          <w:p w14:paraId="1B6DE0F4" w14:textId="77777777" w:rsidR="006D148B" w:rsidRPr="00374A10" w:rsidRDefault="006D148B" w:rsidP="00374A10">
            <w:pPr>
              <w:tabs>
                <w:tab w:val="left" w:pos="4536"/>
              </w:tabs>
              <w:jc w:val="left"/>
              <w:rPr>
                <w:rFonts w:ascii="Futura Std Condensed Light" w:eastAsia="Calibri" w:hAnsi="Futura Std Condensed Light" w:cs="Calibri"/>
                <w:szCs w:val="18"/>
              </w:rPr>
            </w:pPr>
          </w:p>
        </w:tc>
        <w:tc>
          <w:tcPr>
            <w:tcW w:w="5551" w:type="dxa"/>
          </w:tcPr>
          <w:p w14:paraId="615BC169" w14:textId="77777777" w:rsidR="006D148B" w:rsidRPr="00374A10" w:rsidRDefault="006D148B" w:rsidP="009E3B2F">
            <w:pPr>
              <w:spacing w:before="120" w:after="120"/>
              <w:rPr>
                <w:rFonts w:ascii="Futura Std Condensed Light" w:eastAsia="Calibri" w:hAnsi="Futura Std Condensed Light" w:cs="Calibri"/>
                <w:szCs w:val="18"/>
              </w:rPr>
            </w:pPr>
            <w:r w:rsidRPr="00374A10">
              <w:rPr>
                <w:rFonts w:ascii="Futura Std Condensed Light" w:eastAsia="Calibri" w:hAnsi="Futura Std Condensed Light" w:cs="Calibri"/>
                <w:szCs w:val="18"/>
              </w:rPr>
              <w:t xml:space="preserve">Falta de fortalecimiento de la función supervisora y la Asesoría Técnica pedagógica. </w:t>
            </w:r>
          </w:p>
        </w:tc>
      </w:tr>
      <w:tr w:rsidR="006D148B" w:rsidRPr="0034191F" w14:paraId="7D964E77" w14:textId="77777777" w:rsidTr="009E3B2F">
        <w:trPr>
          <w:trHeight w:val="284"/>
        </w:trPr>
        <w:tc>
          <w:tcPr>
            <w:tcW w:w="3277" w:type="dxa"/>
            <w:vMerge/>
          </w:tcPr>
          <w:p w14:paraId="64E049AD" w14:textId="77777777" w:rsidR="006D148B" w:rsidRPr="0034191F" w:rsidRDefault="006D148B" w:rsidP="009E3B2F">
            <w:pPr>
              <w:tabs>
                <w:tab w:val="left" w:pos="4536"/>
              </w:tabs>
              <w:jc w:val="center"/>
              <w:rPr>
                <w:rFonts w:ascii="Futura Std Condensed Light" w:eastAsia="Calibri" w:hAnsi="Futura Std Condensed Light" w:cs="Calibri"/>
                <w:sz w:val="18"/>
                <w:szCs w:val="18"/>
              </w:rPr>
            </w:pPr>
          </w:p>
        </w:tc>
        <w:tc>
          <w:tcPr>
            <w:tcW w:w="5551" w:type="dxa"/>
          </w:tcPr>
          <w:p w14:paraId="0B775F79" w14:textId="77777777" w:rsidR="006D148B" w:rsidRPr="00374A10" w:rsidRDefault="006D148B" w:rsidP="009E3B2F">
            <w:pPr>
              <w:spacing w:before="120" w:after="120"/>
              <w:rPr>
                <w:rFonts w:ascii="Futura Std Condensed Light" w:eastAsia="Calibri" w:hAnsi="Futura Std Condensed Light" w:cs="Calibri"/>
                <w:szCs w:val="18"/>
              </w:rPr>
            </w:pPr>
            <w:r w:rsidRPr="00374A10">
              <w:rPr>
                <w:rFonts w:ascii="Futura Std Condensed Light" w:eastAsia="Calibri" w:hAnsi="Futura Std Condensed Light" w:cs="Calibri"/>
                <w:szCs w:val="18"/>
              </w:rPr>
              <w:t xml:space="preserve">Insuficiente capacitación lingüística a docentes que atienden a la niñez indígena maya. </w:t>
            </w:r>
          </w:p>
        </w:tc>
      </w:tr>
      <w:tr w:rsidR="006D148B" w:rsidRPr="0034191F" w14:paraId="200DE2AC" w14:textId="77777777" w:rsidTr="009E3B2F">
        <w:trPr>
          <w:trHeight w:val="914"/>
        </w:trPr>
        <w:tc>
          <w:tcPr>
            <w:tcW w:w="3277" w:type="dxa"/>
            <w:vMerge/>
          </w:tcPr>
          <w:p w14:paraId="0A4D1D33" w14:textId="77777777" w:rsidR="006D148B" w:rsidRPr="0034191F" w:rsidRDefault="006D148B" w:rsidP="009E3B2F">
            <w:pPr>
              <w:tabs>
                <w:tab w:val="left" w:pos="4536"/>
              </w:tabs>
              <w:jc w:val="center"/>
              <w:rPr>
                <w:rFonts w:ascii="Futura Std Condensed Light" w:eastAsia="Calibri" w:hAnsi="Futura Std Condensed Light" w:cs="Calibri"/>
                <w:sz w:val="18"/>
                <w:szCs w:val="18"/>
              </w:rPr>
            </w:pPr>
          </w:p>
        </w:tc>
        <w:tc>
          <w:tcPr>
            <w:tcW w:w="5551" w:type="dxa"/>
          </w:tcPr>
          <w:p w14:paraId="4B65EBA4" w14:textId="77777777" w:rsidR="006D148B" w:rsidRPr="00374A10" w:rsidRDefault="006D148B" w:rsidP="009E3B2F">
            <w:pPr>
              <w:spacing w:before="120" w:after="120"/>
              <w:rPr>
                <w:rFonts w:ascii="Futura Std Condensed Light" w:eastAsia="Calibri" w:hAnsi="Futura Std Condensed Light" w:cs="Calibri"/>
                <w:szCs w:val="18"/>
              </w:rPr>
            </w:pPr>
            <w:r w:rsidRPr="00374A10">
              <w:rPr>
                <w:rFonts w:ascii="Futura Std Condensed Light" w:eastAsia="Calibri" w:hAnsi="Futura Std Condensed Light" w:cs="Calibri"/>
                <w:szCs w:val="18"/>
              </w:rPr>
              <w:t>Personal docente y administrativo escasamente sensibilizado en perspectivas de igualdad de género, derechos humanos y erradicación de las violencias.</w:t>
            </w:r>
          </w:p>
        </w:tc>
      </w:tr>
      <w:tr w:rsidR="006D148B" w:rsidRPr="0034191F" w14:paraId="11DFDDEA" w14:textId="77777777" w:rsidTr="009E3B2F">
        <w:trPr>
          <w:trHeight w:val="284"/>
        </w:trPr>
        <w:tc>
          <w:tcPr>
            <w:tcW w:w="3277" w:type="dxa"/>
            <w:vMerge w:val="restart"/>
          </w:tcPr>
          <w:p w14:paraId="4FBDB022" w14:textId="77777777" w:rsidR="006D148B" w:rsidRPr="00374A10" w:rsidRDefault="006D148B" w:rsidP="00374A10">
            <w:pPr>
              <w:tabs>
                <w:tab w:val="left" w:pos="4536"/>
              </w:tabs>
              <w:jc w:val="left"/>
              <w:rPr>
                <w:rFonts w:ascii="Futura Std Condensed Light" w:eastAsia="Calibri" w:hAnsi="Futura Std Condensed Light" w:cs="Calibri"/>
                <w:szCs w:val="18"/>
              </w:rPr>
            </w:pPr>
            <w:r w:rsidRPr="00374A10">
              <w:rPr>
                <w:rFonts w:ascii="Futura Std Condensed Light" w:eastAsia="Calibri" w:hAnsi="Futura Std Condensed Light" w:cs="Calibri"/>
                <w:szCs w:val="18"/>
              </w:rPr>
              <w:t>Falta de impulso a la investigación científica, tecnológica y educativa.</w:t>
            </w:r>
          </w:p>
        </w:tc>
        <w:tc>
          <w:tcPr>
            <w:tcW w:w="5551" w:type="dxa"/>
          </w:tcPr>
          <w:p w14:paraId="3B1AE56A" w14:textId="3D0BE562" w:rsidR="006D148B" w:rsidRPr="00374A10" w:rsidRDefault="006D148B" w:rsidP="009E3B2F">
            <w:pPr>
              <w:spacing w:before="120" w:after="120"/>
              <w:rPr>
                <w:rFonts w:ascii="Futura Std Condensed Light" w:eastAsia="Calibri" w:hAnsi="Futura Std Condensed Light" w:cs="Calibri"/>
                <w:szCs w:val="18"/>
              </w:rPr>
            </w:pPr>
            <w:r w:rsidRPr="00374A10">
              <w:rPr>
                <w:rFonts w:ascii="Futura Std Condensed Light" w:eastAsia="Calibri" w:hAnsi="Futura Std Condensed Light" w:cs="Calibri"/>
                <w:szCs w:val="18"/>
              </w:rPr>
              <w:t>Insuficiente capacitación a los profe</w:t>
            </w:r>
            <w:r w:rsidR="00C73635">
              <w:rPr>
                <w:rFonts w:ascii="Futura Std Condensed Light" w:eastAsia="Calibri" w:hAnsi="Futura Std Condensed Light" w:cs="Calibri"/>
                <w:szCs w:val="18"/>
              </w:rPr>
              <w:t>sores para acceder al SEI y SIN.</w:t>
            </w:r>
          </w:p>
        </w:tc>
      </w:tr>
      <w:tr w:rsidR="006D148B" w:rsidRPr="0034191F" w14:paraId="45ECDC92" w14:textId="77777777" w:rsidTr="009E3B2F">
        <w:trPr>
          <w:trHeight w:val="284"/>
        </w:trPr>
        <w:tc>
          <w:tcPr>
            <w:tcW w:w="3277" w:type="dxa"/>
            <w:vMerge/>
          </w:tcPr>
          <w:p w14:paraId="54511BA5" w14:textId="77777777" w:rsidR="006D148B" w:rsidRPr="00374A10" w:rsidRDefault="006D148B" w:rsidP="00374A10">
            <w:pPr>
              <w:tabs>
                <w:tab w:val="left" w:pos="4536"/>
              </w:tabs>
              <w:jc w:val="left"/>
              <w:rPr>
                <w:rFonts w:ascii="Futura Std Condensed Light" w:eastAsia="Calibri" w:hAnsi="Futura Std Condensed Light" w:cs="Calibri"/>
                <w:szCs w:val="18"/>
              </w:rPr>
            </w:pPr>
          </w:p>
        </w:tc>
        <w:tc>
          <w:tcPr>
            <w:tcW w:w="5551" w:type="dxa"/>
          </w:tcPr>
          <w:p w14:paraId="469E6747" w14:textId="77777777" w:rsidR="006D148B" w:rsidRPr="00374A10" w:rsidRDefault="006D148B" w:rsidP="009E3B2F">
            <w:pPr>
              <w:spacing w:before="120" w:after="120"/>
              <w:rPr>
                <w:rFonts w:ascii="Futura Std Condensed Light" w:eastAsia="Calibri" w:hAnsi="Futura Std Condensed Light" w:cs="Calibri"/>
                <w:szCs w:val="18"/>
              </w:rPr>
            </w:pPr>
            <w:r w:rsidRPr="00374A10">
              <w:rPr>
                <w:rFonts w:ascii="Futura Std Condensed Light" w:eastAsia="Calibri" w:hAnsi="Futura Std Condensed Light" w:cs="Calibri"/>
                <w:szCs w:val="18"/>
              </w:rPr>
              <w:t xml:space="preserve">Falta de desarrollo de talleres de metodología de la investigación donde identifican problemas sociales. </w:t>
            </w:r>
          </w:p>
        </w:tc>
      </w:tr>
      <w:tr w:rsidR="006D148B" w:rsidRPr="0034191F" w14:paraId="0C13E61F" w14:textId="77777777" w:rsidTr="009E3B2F">
        <w:trPr>
          <w:trHeight w:val="1061"/>
        </w:trPr>
        <w:tc>
          <w:tcPr>
            <w:tcW w:w="3277" w:type="dxa"/>
            <w:vMerge/>
          </w:tcPr>
          <w:p w14:paraId="2AD69559" w14:textId="77777777" w:rsidR="006D148B" w:rsidRPr="00374A10" w:rsidRDefault="006D148B" w:rsidP="00374A10">
            <w:pPr>
              <w:tabs>
                <w:tab w:val="left" w:pos="4536"/>
              </w:tabs>
              <w:jc w:val="left"/>
              <w:rPr>
                <w:rFonts w:ascii="Futura Std Condensed Light" w:eastAsia="Calibri" w:hAnsi="Futura Std Condensed Light" w:cs="Calibri"/>
                <w:szCs w:val="18"/>
              </w:rPr>
            </w:pPr>
          </w:p>
        </w:tc>
        <w:tc>
          <w:tcPr>
            <w:tcW w:w="5551" w:type="dxa"/>
          </w:tcPr>
          <w:p w14:paraId="052C35AD" w14:textId="77777777" w:rsidR="006D148B" w:rsidRPr="00374A10" w:rsidRDefault="006D148B" w:rsidP="009E3B2F">
            <w:pPr>
              <w:spacing w:before="120" w:after="120"/>
              <w:rPr>
                <w:rFonts w:ascii="Futura Std Condensed Light" w:eastAsia="Calibri" w:hAnsi="Futura Std Condensed Light" w:cs="Calibri"/>
                <w:szCs w:val="18"/>
              </w:rPr>
            </w:pPr>
            <w:r w:rsidRPr="00374A10">
              <w:rPr>
                <w:rFonts w:ascii="Futura Std Condensed Light" w:eastAsia="Calibri" w:hAnsi="Futura Std Condensed Light" w:cs="Calibri"/>
                <w:szCs w:val="18"/>
              </w:rPr>
              <w:t>Falta de conformación de una base de datos de los cuerpos académicos con sus líneas de investigación para identificar líneas de interés en común y participar para desarrollar investigación.</w:t>
            </w:r>
          </w:p>
        </w:tc>
      </w:tr>
      <w:tr w:rsidR="006D148B" w:rsidRPr="0034191F" w14:paraId="40505FF2" w14:textId="77777777" w:rsidTr="009E3B2F">
        <w:trPr>
          <w:trHeight w:hRule="exact" w:val="660"/>
        </w:trPr>
        <w:tc>
          <w:tcPr>
            <w:tcW w:w="3277" w:type="dxa"/>
            <w:vMerge/>
          </w:tcPr>
          <w:p w14:paraId="726FF68B" w14:textId="77777777" w:rsidR="006D148B" w:rsidRPr="00374A10" w:rsidRDefault="006D148B" w:rsidP="00374A10">
            <w:pPr>
              <w:tabs>
                <w:tab w:val="left" w:pos="4536"/>
              </w:tabs>
              <w:jc w:val="left"/>
              <w:rPr>
                <w:rFonts w:ascii="Futura Std Condensed Light" w:eastAsia="Calibri" w:hAnsi="Futura Std Condensed Light" w:cs="Calibri"/>
                <w:szCs w:val="18"/>
              </w:rPr>
            </w:pPr>
          </w:p>
        </w:tc>
        <w:tc>
          <w:tcPr>
            <w:tcW w:w="5551" w:type="dxa"/>
          </w:tcPr>
          <w:p w14:paraId="4C52370B" w14:textId="77777777" w:rsidR="006D148B" w:rsidRPr="00374A10" w:rsidRDefault="006D148B" w:rsidP="009E3B2F">
            <w:pPr>
              <w:spacing w:before="120" w:after="120"/>
              <w:rPr>
                <w:rFonts w:ascii="Futura Std Condensed Light" w:eastAsia="Calibri" w:hAnsi="Futura Std Condensed Light" w:cs="Calibri"/>
                <w:szCs w:val="18"/>
              </w:rPr>
            </w:pPr>
            <w:r w:rsidRPr="00374A10">
              <w:rPr>
                <w:rFonts w:ascii="Futura Std Condensed Light" w:eastAsia="Calibri" w:hAnsi="Futura Std Condensed Light" w:cs="Calibri"/>
                <w:szCs w:val="18"/>
              </w:rPr>
              <w:t xml:space="preserve">Falta de definición de líneas de Investigación pertinentes para el desarrollo de proyectos conjunto entre las IES del estado. </w:t>
            </w:r>
          </w:p>
          <w:p w14:paraId="09168747" w14:textId="77777777" w:rsidR="006D148B" w:rsidRPr="00374A10" w:rsidRDefault="006D148B" w:rsidP="009E3B2F">
            <w:pPr>
              <w:spacing w:before="120" w:after="120"/>
              <w:rPr>
                <w:rFonts w:ascii="Futura Std Condensed Light" w:eastAsia="Calibri" w:hAnsi="Futura Std Condensed Light" w:cs="Calibri"/>
                <w:szCs w:val="18"/>
              </w:rPr>
            </w:pPr>
          </w:p>
        </w:tc>
      </w:tr>
      <w:tr w:rsidR="006D148B" w:rsidRPr="0034191F" w14:paraId="392658AA" w14:textId="77777777" w:rsidTr="009E3B2F">
        <w:trPr>
          <w:trHeight w:val="284"/>
        </w:trPr>
        <w:tc>
          <w:tcPr>
            <w:tcW w:w="3277" w:type="dxa"/>
            <w:vMerge/>
          </w:tcPr>
          <w:p w14:paraId="667DA6BF" w14:textId="77777777" w:rsidR="006D148B" w:rsidRPr="00374A10" w:rsidRDefault="006D148B" w:rsidP="00374A10">
            <w:pPr>
              <w:tabs>
                <w:tab w:val="left" w:pos="4536"/>
              </w:tabs>
              <w:jc w:val="left"/>
              <w:rPr>
                <w:rFonts w:ascii="Futura Std Condensed Light" w:eastAsia="Calibri" w:hAnsi="Futura Std Condensed Light" w:cs="Calibri"/>
                <w:szCs w:val="18"/>
              </w:rPr>
            </w:pPr>
          </w:p>
        </w:tc>
        <w:tc>
          <w:tcPr>
            <w:tcW w:w="5551" w:type="dxa"/>
          </w:tcPr>
          <w:p w14:paraId="7D72D370" w14:textId="77777777" w:rsidR="006D148B" w:rsidRPr="00374A10" w:rsidRDefault="006D148B" w:rsidP="009E3B2F">
            <w:pPr>
              <w:spacing w:before="120" w:after="120"/>
              <w:rPr>
                <w:rFonts w:ascii="Futura Std Condensed Light" w:eastAsia="Calibri" w:hAnsi="Futura Std Condensed Light" w:cs="Calibri"/>
                <w:szCs w:val="18"/>
              </w:rPr>
            </w:pPr>
            <w:r w:rsidRPr="00374A10">
              <w:rPr>
                <w:rFonts w:ascii="Futura Std Condensed Light" w:eastAsia="Calibri" w:hAnsi="Futura Std Condensed Light" w:cs="Calibri"/>
                <w:szCs w:val="18"/>
              </w:rPr>
              <w:t xml:space="preserve">Escasos recursos destinados a la investigación en el Estado. </w:t>
            </w:r>
          </w:p>
        </w:tc>
      </w:tr>
      <w:tr w:rsidR="006D148B" w:rsidRPr="0034191F" w14:paraId="4BE3AD53" w14:textId="77777777" w:rsidTr="009E3B2F">
        <w:trPr>
          <w:trHeight w:val="245"/>
        </w:trPr>
        <w:tc>
          <w:tcPr>
            <w:tcW w:w="3277" w:type="dxa"/>
            <w:vMerge w:val="restart"/>
          </w:tcPr>
          <w:p w14:paraId="0F2437AB" w14:textId="77777777" w:rsidR="006D148B" w:rsidRPr="00374A10" w:rsidRDefault="006D148B" w:rsidP="00374A10">
            <w:pPr>
              <w:tabs>
                <w:tab w:val="left" w:pos="4536"/>
              </w:tabs>
              <w:jc w:val="left"/>
              <w:rPr>
                <w:rFonts w:ascii="Futura Std Condensed Light" w:eastAsia="Calibri" w:hAnsi="Futura Std Condensed Light" w:cs="Calibri"/>
                <w:szCs w:val="18"/>
              </w:rPr>
            </w:pPr>
            <w:r w:rsidRPr="00374A10">
              <w:rPr>
                <w:rFonts w:ascii="Futura Std Condensed Light" w:eastAsia="Calibri" w:hAnsi="Futura Std Condensed Light" w:cs="Calibri"/>
                <w:szCs w:val="18"/>
              </w:rPr>
              <w:t>Falta de impulso a la formación para el trabajo</w:t>
            </w:r>
          </w:p>
          <w:p w14:paraId="7B7860A7" w14:textId="77777777" w:rsidR="006D148B" w:rsidRPr="00374A10" w:rsidRDefault="006D148B" w:rsidP="00374A10">
            <w:pPr>
              <w:tabs>
                <w:tab w:val="left" w:pos="4536"/>
              </w:tabs>
              <w:jc w:val="left"/>
              <w:rPr>
                <w:rFonts w:ascii="Futura Std Condensed Light" w:eastAsia="Calibri" w:hAnsi="Futura Std Condensed Light" w:cs="Calibri"/>
                <w:szCs w:val="18"/>
              </w:rPr>
            </w:pPr>
          </w:p>
          <w:p w14:paraId="5420D616" w14:textId="77777777" w:rsidR="006D148B" w:rsidRPr="00374A10" w:rsidRDefault="006D148B" w:rsidP="00374A10">
            <w:pPr>
              <w:tabs>
                <w:tab w:val="left" w:pos="4536"/>
              </w:tabs>
              <w:jc w:val="left"/>
              <w:rPr>
                <w:rFonts w:ascii="Futura Std Condensed Light" w:eastAsia="Calibri" w:hAnsi="Futura Std Condensed Light" w:cs="Calibri"/>
                <w:szCs w:val="18"/>
              </w:rPr>
            </w:pPr>
          </w:p>
        </w:tc>
        <w:tc>
          <w:tcPr>
            <w:tcW w:w="5551" w:type="dxa"/>
          </w:tcPr>
          <w:p w14:paraId="0AC1E7BB" w14:textId="77777777" w:rsidR="006D148B" w:rsidRPr="00374A10" w:rsidRDefault="006D148B" w:rsidP="009E3B2F">
            <w:pPr>
              <w:spacing w:before="120" w:after="120" w:line="23" w:lineRule="atLeast"/>
              <w:rPr>
                <w:rFonts w:eastAsia="Times New Roman" w:cs="Futura"/>
                <w:szCs w:val="18"/>
              </w:rPr>
            </w:pPr>
            <w:r w:rsidRPr="00374A10">
              <w:rPr>
                <w:rFonts w:ascii="Futura Std Condensed Light" w:eastAsia="Calibri" w:hAnsi="Futura Std Condensed Light" w:cs="Calibri"/>
                <w:szCs w:val="18"/>
              </w:rPr>
              <w:t>Falta de diversificación de las acciones de vinculación y capacitación para el trabajo, dirigidas a la población desempleada y subempleada en todo el estado.</w:t>
            </w:r>
          </w:p>
        </w:tc>
      </w:tr>
      <w:tr w:rsidR="006D148B" w:rsidRPr="0034191F" w14:paraId="2115C1C8" w14:textId="77777777" w:rsidTr="009E3B2F">
        <w:trPr>
          <w:trHeight w:val="245"/>
        </w:trPr>
        <w:tc>
          <w:tcPr>
            <w:tcW w:w="3277" w:type="dxa"/>
            <w:vMerge/>
          </w:tcPr>
          <w:p w14:paraId="787D326C" w14:textId="77777777" w:rsidR="006D148B" w:rsidRPr="0034191F" w:rsidRDefault="006D148B" w:rsidP="009E3B2F">
            <w:pPr>
              <w:tabs>
                <w:tab w:val="left" w:pos="4536"/>
              </w:tabs>
              <w:jc w:val="center"/>
              <w:rPr>
                <w:rFonts w:ascii="Futura Std Condensed Light" w:eastAsia="Calibri" w:hAnsi="Futura Std Condensed Light" w:cs="Calibri"/>
                <w:sz w:val="18"/>
                <w:szCs w:val="18"/>
              </w:rPr>
            </w:pPr>
          </w:p>
        </w:tc>
        <w:tc>
          <w:tcPr>
            <w:tcW w:w="5551" w:type="dxa"/>
          </w:tcPr>
          <w:p w14:paraId="7604614D" w14:textId="77777777" w:rsidR="006D148B" w:rsidRPr="00374A10" w:rsidRDefault="006D148B" w:rsidP="009E3B2F">
            <w:pPr>
              <w:spacing w:before="120" w:after="120"/>
              <w:rPr>
                <w:rFonts w:ascii="Futura Std Condensed Light" w:eastAsia="Calibri" w:hAnsi="Futura Std Condensed Light" w:cs="Calibri"/>
                <w:szCs w:val="18"/>
              </w:rPr>
            </w:pPr>
            <w:r w:rsidRPr="00374A10">
              <w:rPr>
                <w:rFonts w:ascii="Futura Std Condensed Light" w:eastAsia="Calibri" w:hAnsi="Futura Std Condensed Light" w:cs="Calibri"/>
                <w:szCs w:val="18"/>
              </w:rPr>
              <w:t xml:space="preserve">Falta de impulso a programas de capacitación para las personas que requieran obtener y actualizar sus conocimientos. </w:t>
            </w:r>
          </w:p>
        </w:tc>
      </w:tr>
      <w:tr w:rsidR="006D148B" w:rsidRPr="0034191F" w14:paraId="461C22C5" w14:textId="77777777" w:rsidTr="009E3B2F">
        <w:trPr>
          <w:trHeight w:val="245"/>
        </w:trPr>
        <w:tc>
          <w:tcPr>
            <w:tcW w:w="3277" w:type="dxa"/>
            <w:vMerge/>
          </w:tcPr>
          <w:p w14:paraId="5AB7E468" w14:textId="77777777" w:rsidR="006D148B" w:rsidRPr="0034191F" w:rsidRDefault="006D148B" w:rsidP="009E3B2F">
            <w:pPr>
              <w:tabs>
                <w:tab w:val="left" w:pos="4536"/>
              </w:tabs>
              <w:jc w:val="center"/>
              <w:rPr>
                <w:rFonts w:ascii="Futura Std Condensed Light" w:eastAsia="Calibri" w:hAnsi="Futura Std Condensed Light" w:cs="Calibri"/>
                <w:sz w:val="18"/>
                <w:szCs w:val="18"/>
              </w:rPr>
            </w:pPr>
          </w:p>
        </w:tc>
        <w:tc>
          <w:tcPr>
            <w:tcW w:w="5551" w:type="dxa"/>
          </w:tcPr>
          <w:p w14:paraId="5BC23FF3" w14:textId="77777777" w:rsidR="006D148B" w:rsidRPr="00374A10" w:rsidRDefault="006D148B" w:rsidP="009E3B2F">
            <w:pPr>
              <w:spacing w:before="120" w:after="120"/>
              <w:rPr>
                <w:rFonts w:ascii="Futura Std Condensed Light" w:eastAsia="Calibri" w:hAnsi="Futura Std Condensed Light" w:cs="Calibri"/>
                <w:szCs w:val="18"/>
              </w:rPr>
            </w:pPr>
            <w:r w:rsidRPr="00374A10">
              <w:rPr>
                <w:rFonts w:ascii="Futura Std Condensed Light" w:eastAsia="Calibri" w:hAnsi="Futura Std Condensed Light" w:cs="Calibri"/>
                <w:szCs w:val="18"/>
              </w:rPr>
              <w:t xml:space="preserve">Falta de impulso a programas de certificación de conocimientos, y habilidades para el trabajo. </w:t>
            </w:r>
          </w:p>
        </w:tc>
      </w:tr>
    </w:tbl>
    <w:p w14:paraId="406EC312" w14:textId="47F023F3" w:rsidR="006D148B" w:rsidRPr="00F765C3" w:rsidRDefault="006D148B" w:rsidP="006D148B">
      <w:pPr>
        <w:jc w:val="center"/>
        <w:rPr>
          <w:rFonts w:eastAsia="Times New Roman" w:cs="Futura"/>
          <w:sz w:val="16"/>
        </w:rPr>
      </w:pPr>
      <w:r w:rsidRPr="00F765C3">
        <w:rPr>
          <w:rFonts w:eastAsia="Times New Roman" w:cs="Futura"/>
          <w:sz w:val="16"/>
        </w:rPr>
        <w:t>Fuente:</w:t>
      </w:r>
      <w:r>
        <w:rPr>
          <w:rFonts w:eastAsia="Times New Roman" w:cs="Futura"/>
          <w:sz w:val="16"/>
        </w:rPr>
        <w:t xml:space="preserve"> Elaboración </w:t>
      </w:r>
      <w:r w:rsidR="00447FBB">
        <w:rPr>
          <w:rFonts w:eastAsia="Times New Roman" w:cs="Futura"/>
          <w:sz w:val="16"/>
        </w:rPr>
        <w:t xml:space="preserve">Propia, Secretaría de Educación de Quintana Roo. </w:t>
      </w:r>
    </w:p>
    <w:p w14:paraId="743E6BC4" w14:textId="0E3DD1CD" w:rsidR="00913635" w:rsidRDefault="00913635">
      <w:pPr>
        <w:spacing w:after="0" w:line="240" w:lineRule="auto"/>
        <w:jc w:val="left"/>
        <w:rPr>
          <w:rFonts w:eastAsia="Times New Roman" w:cs="Futura"/>
        </w:rPr>
      </w:pPr>
      <w:r>
        <w:rPr>
          <w:rFonts w:eastAsia="Times New Roman" w:cs="Futura"/>
        </w:rPr>
        <w:br w:type="page"/>
      </w:r>
    </w:p>
    <w:bookmarkEnd w:id="16"/>
    <w:bookmarkEnd w:id="17"/>
    <w:bookmarkEnd w:id="18"/>
    <w:p w14:paraId="673B3D78" w14:textId="30A9A4DC" w:rsidR="003F4B9F" w:rsidRDefault="003F4B9F" w:rsidP="00695E2D">
      <w:pPr>
        <w:pStyle w:val="Ttulo"/>
        <w:rPr>
          <w:rFonts w:ascii="Futura Std Condensed Light" w:eastAsia="Calibri" w:hAnsi="Futura Std Condensed Light" w:cs="Calibri"/>
          <w:b w:val="0"/>
          <w:color w:val="595959"/>
          <w:sz w:val="20"/>
        </w:rPr>
      </w:pPr>
    </w:p>
    <w:p w14:paraId="7CD5574E" w14:textId="441B4ABB" w:rsidR="003F4B9F" w:rsidRPr="00401044" w:rsidRDefault="00695E2D" w:rsidP="00401044">
      <w:pPr>
        <w:pStyle w:val="Ttulo"/>
      </w:pPr>
      <w:r w:rsidRPr="00401044">
        <w:t>CONTEXTO</w:t>
      </w:r>
    </w:p>
    <w:p w14:paraId="63C35E2A" w14:textId="77777777" w:rsidR="00401044" w:rsidRDefault="00401044">
      <w:pPr>
        <w:spacing w:after="0" w:line="240" w:lineRule="auto"/>
        <w:jc w:val="left"/>
        <w:rPr>
          <w:rFonts w:eastAsia="Times New Roman" w:cs="Times New Roman"/>
          <w:b/>
          <w:bCs/>
          <w:caps/>
          <w:sz w:val="32"/>
          <w:szCs w:val="28"/>
          <w:lang w:val="es-MX" w:eastAsia="en-US"/>
        </w:rPr>
      </w:pPr>
      <w:bookmarkStart w:id="20" w:name="_Toc477971051"/>
      <w:r>
        <w:rPr>
          <w:rFonts w:eastAsia="Times New Roman" w:cs="Times New Roman"/>
          <w:b/>
          <w:bCs/>
          <w:caps/>
          <w:sz w:val="32"/>
          <w:szCs w:val="28"/>
          <w:lang w:val="es-MX" w:eastAsia="en-US"/>
        </w:rPr>
        <w:br w:type="page"/>
      </w:r>
    </w:p>
    <w:p w14:paraId="35E8A98E" w14:textId="77777777" w:rsidR="00401044" w:rsidRDefault="00401044" w:rsidP="00401044">
      <w:pPr>
        <w:pStyle w:val="Ttulo1"/>
      </w:pPr>
    </w:p>
    <w:p w14:paraId="64907483" w14:textId="77777777" w:rsidR="0021177B" w:rsidRDefault="0021177B" w:rsidP="0021177B">
      <w:pPr>
        <w:pStyle w:val="Ttulo1"/>
      </w:pPr>
      <w:bookmarkStart w:id="21" w:name="_Toc53409855"/>
      <w:bookmarkStart w:id="22" w:name="_Toc486858140"/>
      <w:r w:rsidRPr="003F4B9F">
        <w:t>VI. CONTEXTO</w:t>
      </w:r>
      <w:bookmarkEnd w:id="21"/>
    </w:p>
    <w:p w14:paraId="14D2AE1E" w14:textId="77777777" w:rsidR="0021177B" w:rsidRPr="007B655A" w:rsidRDefault="0021177B" w:rsidP="0021177B">
      <w:pPr>
        <w:spacing w:after="0"/>
      </w:pPr>
      <w:r w:rsidRPr="007B655A">
        <w:t>La población base para Quintana Roo en 2019 alcanzó 1 millón 684 mil 541 habitantes y quedó conformada por 50.4 por ciento de hombres y 49.6 por ciento de mujeres. Su volumen total constituye 1.3 por ciento del total nacional de 126 millones 347 mil 800 personas. La mayor parte de la población se encuentra en edades jóvenes, ya que 50 por ciento se acumula entre 0 y 27 años de edad. De los tres grandes grupos de edad, el de 0 a 14 años concentra el 26.3 por ciento de la población estatal, el de 15 a 64 años concentra el 69.2 por ciento y finalmente, el grupo de 65 y más años muestra ya los efectos de una esperanza de vida de 75.37 años y el impacto de la transición demográfica en su conjunto, representando el 4.5 por ciento de la población estatal.</w:t>
      </w:r>
    </w:p>
    <w:p w14:paraId="716E7748" w14:textId="77777777" w:rsidR="0021177B" w:rsidRPr="007B655A" w:rsidRDefault="0021177B" w:rsidP="0021177B">
      <w:pPr>
        <w:spacing w:after="0"/>
      </w:pPr>
    </w:p>
    <w:p w14:paraId="35E302D0" w14:textId="200A8AEA" w:rsidR="00BA704A" w:rsidRDefault="0021177B" w:rsidP="0021177B">
      <w:pPr>
        <w:spacing w:after="0"/>
      </w:pPr>
      <w:r w:rsidRPr="007B655A">
        <w:t>En Quintana Roo se prevé que la población continúe aumentando en las décadas futuras. En 2020 alcanzará un volumen de 1 millón 723 mil 259 personas con una tasa de crecimiento de 2.23 por ciento anual; en 2030 alcanzará 2 millones 075 mil 660 personas con una tasa de 1.54 por ciento; y para el 2050 la población llegará a 2 millones 565 mil 037 habitantes con un ritmo de crecimiento menor, 0.63 por ciento anual (Gráfica 1).  La estructura por edad y sexo aún concentra a la mayor población en edades jóvenes, pero irá acumulando una mayor proporción de población en edades adultas y avanzadas. Este comportamiento estará asociado a que el descenso de nacimientos será lento, pasará de 29 mil 985 nacimientos en 2020 a 29 mil 377 en 2030 y a 27 mil 282 en 2050.</w:t>
      </w:r>
      <w:r w:rsidR="00746F0C">
        <w:t xml:space="preserve"> (Gráfica 11). </w:t>
      </w:r>
    </w:p>
    <w:p w14:paraId="4F7FEB5A" w14:textId="77777777" w:rsidR="00BA704A" w:rsidRDefault="00BA704A">
      <w:pPr>
        <w:spacing w:after="0" w:line="240" w:lineRule="auto"/>
        <w:jc w:val="left"/>
      </w:pPr>
      <w:r>
        <w:br w:type="page"/>
      </w:r>
    </w:p>
    <w:p w14:paraId="6BCFCBA0" w14:textId="51E7DA34" w:rsidR="0021177B" w:rsidRPr="009378B4" w:rsidRDefault="0021177B" w:rsidP="0021177B">
      <w:pPr>
        <w:spacing w:after="0"/>
        <w:jc w:val="center"/>
        <w:rPr>
          <w:rFonts w:eastAsia="Arial" w:cs="Times New Roman"/>
          <w:b/>
          <w:bCs/>
          <w:color w:val="4BACC6" w:themeColor="accent5"/>
          <w:lang w:val="es-MX" w:eastAsia="en-US"/>
        </w:rPr>
      </w:pPr>
      <w:r w:rsidRPr="009378B4">
        <w:rPr>
          <w:rFonts w:eastAsia="Arial" w:cs="Times New Roman"/>
          <w:b/>
          <w:bCs/>
          <w:color w:val="4BACC6" w:themeColor="accent5"/>
          <w:lang w:val="es-MX" w:eastAsia="en-US"/>
        </w:rPr>
        <w:lastRenderedPageBreak/>
        <w:t>Gráfica 1</w:t>
      </w:r>
      <w:r w:rsidR="000017DA">
        <w:rPr>
          <w:rFonts w:eastAsia="Arial" w:cs="Times New Roman"/>
          <w:b/>
          <w:bCs/>
          <w:color w:val="4BACC6" w:themeColor="accent5"/>
          <w:lang w:val="es-MX" w:eastAsia="en-US"/>
        </w:rPr>
        <w:t>1</w:t>
      </w:r>
      <w:r w:rsidRPr="009378B4">
        <w:rPr>
          <w:rFonts w:eastAsia="Arial" w:cs="Times New Roman"/>
          <w:b/>
          <w:bCs/>
          <w:color w:val="4BACC6" w:themeColor="accent5"/>
          <w:lang w:val="es-MX" w:eastAsia="en-US"/>
        </w:rPr>
        <w:t>. Población y tasa de crecimiento promedio anual en Quintana Roo, 2000-2025</w:t>
      </w:r>
    </w:p>
    <w:p w14:paraId="12EF7AB6" w14:textId="3F55D479" w:rsidR="00A11E98" w:rsidRDefault="0021177B" w:rsidP="00A11E98">
      <w:pPr>
        <w:rPr>
          <w:rFonts w:ascii="Futura Bk BT" w:hAnsi="Futura Bk BT" w:cstheme="minorHAnsi"/>
          <w:b/>
          <w:sz w:val="16"/>
          <w:szCs w:val="16"/>
        </w:rPr>
      </w:pPr>
      <w:r>
        <w:rPr>
          <w:noProof/>
          <w:lang w:val="es-MX" w:eastAsia="es-MX"/>
        </w:rPr>
        <w:drawing>
          <wp:anchor distT="0" distB="0" distL="114300" distR="114300" simplePos="0" relativeHeight="251702272" behindDoc="0" locked="0" layoutInCell="1" allowOverlap="1" wp14:anchorId="18877720" wp14:editId="1FF1BC0D">
            <wp:simplePos x="0" y="0"/>
            <wp:positionH relativeFrom="column">
              <wp:posOffset>0</wp:posOffset>
            </wp:positionH>
            <wp:positionV relativeFrom="paragraph">
              <wp:posOffset>333375</wp:posOffset>
            </wp:positionV>
            <wp:extent cx="5497200" cy="2714400"/>
            <wp:effectExtent l="0" t="0" r="8255" b="0"/>
            <wp:wrapSquare wrapText="bothSides"/>
            <wp:docPr id="36" name="Gráfico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margin">
              <wp14:pctWidth>0</wp14:pctWidth>
            </wp14:sizeRelH>
            <wp14:sizeRelV relativeFrom="margin">
              <wp14:pctHeight>0</wp14:pctHeight>
            </wp14:sizeRelV>
          </wp:anchor>
        </w:drawing>
      </w:r>
    </w:p>
    <w:p w14:paraId="5AC5009E" w14:textId="77777777" w:rsidR="00A11E98" w:rsidRDefault="00A11E98" w:rsidP="00A11E98">
      <w:pPr>
        <w:rPr>
          <w:rFonts w:ascii="Futura Bk BT" w:hAnsi="Futura Bk BT" w:cstheme="minorHAnsi"/>
          <w:b/>
          <w:sz w:val="16"/>
          <w:szCs w:val="16"/>
        </w:rPr>
      </w:pPr>
    </w:p>
    <w:p w14:paraId="50FF5F1E" w14:textId="77777777" w:rsidR="00A11E98" w:rsidRDefault="00A11E98" w:rsidP="0021177B">
      <w:pPr>
        <w:jc w:val="center"/>
        <w:rPr>
          <w:rFonts w:ascii="Futura Bk BT" w:hAnsi="Futura Bk BT" w:cstheme="minorHAnsi"/>
          <w:b/>
          <w:sz w:val="16"/>
          <w:szCs w:val="16"/>
        </w:rPr>
      </w:pPr>
    </w:p>
    <w:p w14:paraId="6F6E7A35" w14:textId="77777777" w:rsidR="00A11E98" w:rsidRDefault="00A11E98" w:rsidP="0021177B">
      <w:pPr>
        <w:jc w:val="center"/>
        <w:rPr>
          <w:rFonts w:ascii="Futura Bk BT" w:hAnsi="Futura Bk BT" w:cstheme="minorHAnsi"/>
          <w:b/>
          <w:sz w:val="16"/>
          <w:szCs w:val="16"/>
        </w:rPr>
      </w:pPr>
    </w:p>
    <w:p w14:paraId="3C160BA4" w14:textId="77777777" w:rsidR="00A11E98" w:rsidRDefault="00A11E98" w:rsidP="0021177B">
      <w:pPr>
        <w:jc w:val="center"/>
        <w:rPr>
          <w:rFonts w:ascii="Futura Bk BT" w:hAnsi="Futura Bk BT" w:cstheme="minorHAnsi"/>
          <w:b/>
          <w:sz w:val="16"/>
          <w:szCs w:val="16"/>
        </w:rPr>
      </w:pPr>
    </w:p>
    <w:p w14:paraId="63931FD4" w14:textId="77777777" w:rsidR="00A11E98" w:rsidRDefault="00A11E98" w:rsidP="0021177B">
      <w:pPr>
        <w:jc w:val="center"/>
        <w:rPr>
          <w:rFonts w:ascii="Futura Bk BT" w:hAnsi="Futura Bk BT" w:cstheme="minorHAnsi"/>
          <w:b/>
          <w:sz w:val="16"/>
          <w:szCs w:val="16"/>
        </w:rPr>
      </w:pPr>
    </w:p>
    <w:p w14:paraId="31756A2A" w14:textId="77777777" w:rsidR="00A11E98" w:rsidRDefault="00A11E98" w:rsidP="0021177B">
      <w:pPr>
        <w:jc w:val="center"/>
        <w:rPr>
          <w:rFonts w:ascii="Futura Bk BT" w:hAnsi="Futura Bk BT" w:cstheme="minorHAnsi"/>
          <w:b/>
          <w:sz w:val="16"/>
          <w:szCs w:val="16"/>
        </w:rPr>
      </w:pPr>
    </w:p>
    <w:p w14:paraId="65F8984A" w14:textId="77777777" w:rsidR="00A11E98" w:rsidRDefault="00A11E98" w:rsidP="0021177B">
      <w:pPr>
        <w:jc w:val="center"/>
        <w:rPr>
          <w:rFonts w:ascii="Futura Bk BT" w:hAnsi="Futura Bk BT" w:cstheme="minorHAnsi"/>
          <w:b/>
          <w:sz w:val="16"/>
          <w:szCs w:val="16"/>
        </w:rPr>
      </w:pPr>
    </w:p>
    <w:p w14:paraId="4543C147" w14:textId="77777777" w:rsidR="00A11E98" w:rsidRDefault="00A11E98" w:rsidP="0021177B">
      <w:pPr>
        <w:jc w:val="center"/>
        <w:rPr>
          <w:rFonts w:ascii="Futura Bk BT" w:hAnsi="Futura Bk BT" w:cstheme="minorHAnsi"/>
          <w:b/>
          <w:sz w:val="16"/>
          <w:szCs w:val="16"/>
        </w:rPr>
      </w:pPr>
    </w:p>
    <w:p w14:paraId="247F7843" w14:textId="77777777" w:rsidR="00A11E98" w:rsidRDefault="00A11E98" w:rsidP="0021177B">
      <w:pPr>
        <w:jc w:val="center"/>
        <w:rPr>
          <w:rFonts w:ascii="Futura Bk BT" w:hAnsi="Futura Bk BT" w:cstheme="minorHAnsi"/>
          <w:b/>
          <w:sz w:val="16"/>
          <w:szCs w:val="16"/>
        </w:rPr>
      </w:pPr>
    </w:p>
    <w:p w14:paraId="1E33C605" w14:textId="77777777" w:rsidR="00A11E98" w:rsidRDefault="00A11E98" w:rsidP="0021177B">
      <w:pPr>
        <w:jc w:val="center"/>
        <w:rPr>
          <w:rFonts w:ascii="Futura Bk BT" w:hAnsi="Futura Bk BT" w:cstheme="minorHAnsi"/>
          <w:b/>
          <w:sz w:val="16"/>
          <w:szCs w:val="16"/>
        </w:rPr>
      </w:pPr>
    </w:p>
    <w:p w14:paraId="6D860744" w14:textId="77777777" w:rsidR="00A11E98" w:rsidRPr="00A11E98" w:rsidRDefault="00A11E98" w:rsidP="0021177B">
      <w:pPr>
        <w:jc w:val="center"/>
        <w:rPr>
          <w:rFonts w:ascii="Futura Bk BT" w:hAnsi="Futura Bk BT" w:cstheme="minorHAnsi"/>
          <w:b/>
          <w:sz w:val="8"/>
          <w:szCs w:val="16"/>
        </w:rPr>
      </w:pPr>
    </w:p>
    <w:p w14:paraId="74A48B8F" w14:textId="5A1833BF" w:rsidR="0021177B" w:rsidRPr="009378B4" w:rsidRDefault="0021177B" w:rsidP="0021177B">
      <w:pPr>
        <w:jc w:val="center"/>
        <w:rPr>
          <w:rFonts w:ascii="Futura Bk BT" w:hAnsi="Futura Bk BT" w:cstheme="minorHAnsi"/>
          <w:sz w:val="16"/>
          <w:szCs w:val="16"/>
        </w:rPr>
      </w:pPr>
      <w:r w:rsidRPr="000E1464">
        <w:rPr>
          <w:rFonts w:ascii="Futura Bk BT" w:hAnsi="Futura Bk BT" w:cstheme="minorHAnsi"/>
          <w:b/>
          <w:sz w:val="16"/>
          <w:szCs w:val="16"/>
        </w:rPr>
        <w:t>Fuente:</w:t>
      </w:r>
      <w:r w:rsidRPr="000E1464">
        <w:rPr>
          <w:rFonts w:ascii="Futura Bk BT" w:hAnsi="Futura Bk BT" w:cstheme="minorHAnsi"/>
          <w:sz w:val="16"/>
          <w:szCs w:val="16"/>
        </w:rPr>
        <w:t xml:space="preserve"> Proyecciones de la Población de México y de las Entidades Federativas, 2016-2050, CONAPO.</w:t>
      </w:r>
    </w:p>
    <w:p w14:paraId="678ADED7" w14:textId="77777777" w:rsidR="0021177B" w:rsidRPr="00247DF4" w:rsidRDefault="0021177B" w:rsidP="0021177B">
      <w:r w:rsidRPr="00247DF4">
        <w:t>El grado promedio de escolaridad se refiere al promedio de años estudiados y aprobados por la población de 15 años y más, en 2015, el estado contaba con un promedio de años aprobados de 9.62; a nivel nacional el promedio de escolaridad es de 9.16 años. Nueve años de estudio o más indican que la población, cuenta con la educación considerada como básica obligatoria. Los municipios que presentan un promedio de escolaridad mayor al estatal son: Benito Juárez con 10.1 años, Solidaridad con 9.99 y Othón P. Blanco con 9.72 años, caso contrario los municipios con menor promedio de escolaridad son Bacalar con 7.46, Lázaro Cárdenas con 7.53, José María Morelos con 7.56 y Felipe Carrillo Puerto con 7.88 años en promedio.</w:t>
      </w:r>
    </w:p>
    <w:p w14:paraId="5593BB8A" w14:textId="6D8496ED" w:rsidR="0021177B" w:rsidRDefault="0021177B" w:rsidP="0021177B">
      <w:r w:rsidRPr="00247DF4">
        <w:t>Conforme el número de grados promedio supere los nuev</w:t>
      </w:r>
      <w:r>
        <w:t>e grados, la población aumentará</w:t>
      </w:r>
      <w:r w:rsidRPr="00247DF4">
        <w:t xml:space="preserve"> sus capacidades para enfrentar los retos del desarrollo, una baja escolaridad es indicativa de desve</w:t>
      </w:r>
      <w:r>
        <w:t>ntaja social para la población.</w:t>
      </w:r>
    </w:p>
    <w:p w14:paraId="0862D3FF" w14:textId="0DB9483D" w:rsidR="00913635" w:rsidRDefault="00913635">
      <w:pPr>
        <w:spacing w:after="0" w:line="240" w:lineRule="auto"/>
        <w:jc w:val="left"/>
      </w:pPr>
      <w:r>
        <w:br w:type="page"/>
      </w:r>
    </w:p>
    <w:p w14:paraId="1F8E8A61" w14:textId="77777777" w:rsidR="0021177B" w:rsidRPr="009378B4" w:rsidRDefault="0021177B" w:rsidP="0021177B">
      <w:pPr>
        <w:rPr>
          <w:b/>
          <w:bCs/>
        </w:rPr>
      </w:pPr>
      <w:r w:rsidRPr="00EA140F">
        <w:rPr>
          <w:rStyle w:val="Textoennegrita"/>
        </w:rPr>
        <w:lastRenderedPageBreak/>
        <w:t>Evolución de la matrí</w:t>
      </w:r>
      <w:r>
        <w:rPr>
          <w:rStyle w:val="Textoennegrita"/>
        </w:rPr>
        <w:t>cula Estatal, ciclo escolar 2019-2020</w:t>
      </w:r>
    </w:p>
    <w:p w14:paraId="3A5F7EA2" w14:textId="1ECE90A1" w:rsidR="0021177B" w:rsidRPr="009378B4" w:rsidRDefault="0021177B" w:rsidP="0021177B">
      <w:pPr>
        <w:spacing w:after="0"/>
      </w:pPr>
      <w:r w:rsidRPr="009378B4">
        <w:t xml:space="preserve">La dinámica poblacional del estado de Quintana Roo anteriormente expuesta, se ha manifestado en un crecimiento constante de la matrícula escolar. Durante los </w:t>
      </w:r>
      <w:r w:rsidRPr="00164EDE">
        <w:t>últimos cinco años pasamos de 422 mil 704 alumnos en el ciclo escolar 2015-2016 a 473 mil 792 alumnos en el ciclo escolar 2019-2020, un incremento de 51 mil 088 alumnos, que represento un crecimiento medio anual de 2.89 por ciento durante los últimos cinco años. En el ciclo escolar 2019-2020 se tuvo un incremento</w:t>
      </w:r>
      <w:r w:rsidRPr="009378B4">
        <w:t xml:space="preserve"> en términos absolutos </w:t>
      </w:r>
      <w:r w:rsidRPr="00164EDE">
        <w:t xml:space="preserve">de 10 mil 613 alumnos con relación al ciclo escolar anterior y represento un crecimiento anual de 2.29 por ciento (Gráfica </w:t>
      </w:r>
      <w:r w:rsidR="00746F0C">
        <w:t>1</w:t>
      </w:r>
      <w:r w:rsidRPr="00164EDE">
        <w:t>2). Por genero la matrícula está conformada por 239 mil 506 hombres y 234 mil 286 mujeres</w:t>
      </w:r>
      <w:r w:rsidRPr="009378B4">
        <w:t>.</w:t>
      </w:r>
    </w:p>
    <w:p w14:paraId="7C89ED0E" w14:textId="77777777" w:rsidR="0021177B" w:rsidRDefault="0021177B" w:rsidP="0021177B">
      <w:pPr>
        <w:spacing w:after="0"/>
        <w:rPr>
          <w:rFonts w:ascii="Futura Bk BT" w:hAnsi="Futura Bk BT"/>
        </w:rPr>
      </w:pPr>
    </w:p>
    <w:p w14:paraId="52583AFB" w14:textId="7DDAE406" w:rsidR="0021177B" w:rsidRPr="009378B4" w:rsidRDefault="0021177B" w:rsidP="0021177B">
      <w:pPr>
        <w:spacing w:after="0"/>
        <w:jc w:val="center"/>
        <w:rPr>
          <w:rFonts w:eastAsia="Arial" w:cs="Times New Roman"/>
          <w:b/>
          <w:bCs/>
          <w:color w:val="4BACC6" w:themeColor="accent5"/>
          <w:lang w:val="es-MX" w:eastAsia="en-US"/>
        </w:rPr>
      </w:pPr>
      <w:r w:rsidRPr="009378B4">
        <w:rPr>
          <w:rFonts w:eastAsia="Arial" w:cs="Times New Roman"/>
          <w:b/>
          <w:bCs/>
          <w:color w:val="4BACC6" w:themeColor="accent5"/>
          <w:lang w:val="es-MX" w:eastAsia="en-US"/>
        </w:rPr>
        <w:t xml:space="preserve">Gráfica </w:t>
      </w:r>
      <w:r w:rsidR="000017DA">
        <w:rPr>
          <w:rFonts w:eastAsia="Arial" w:cs="Times New Roman"/>
          <w:b/>
          <w:bCs/>
          <w:color w:val="4BACC6" w:themeColor="accent5"/>
          <w:lang w:val="es-MX" w:eastAsia="en-US"/>
        </w:rPr>
        <w:t>1</w:t>
      </w:r>
      <w:r w:rsidRPr="009378B4">
        <w:rPr>
          <w:rFonts w:eastAsia="Arial" w:cs="Times New Roman"/>
          <w:b/>
          <w:bCs/>
          <w:color w:val="4BACC6" w:themeColor="accent5"/>
          <w:lang w:val="es-MX" w:eastAsia="en-US"/>
        </w:rPr>
        <w:t xml:space="preserve">2. Matrícula total estatal y tasa de crecimiento de la matrícula por ciclo escolar </w:t>
      </w:r>
    </w:p>
    <w:p w14:paraId="1DDB83A1" w14:textId="77777777" w:rsidR="0021177B" w:rsidRDefault="0021177B" w:rsidP="0021177B">
      <w:pPr>
        <w:rPr>
          <w:rStyle w:val="Textoennegrita"/>
        </w:rPr>
      </w:pPr>
      <w:r>
        <w:rPr>
          <w:noProof/>
          <w:lang w:val="es-MX" w:eastAsia="es-MX"/>
        </w:rPr>
        <w:drawing>
          <wp:inline distT="0" distB="0" distL="0" distR="0" wp14:anchorId="17C805C2" wp14:editId="6F919E71">
            <wp:extent cx="5076190" cy="2867025"/>
            <wp:effectExtent l="0" t="0" r="0" b="0"/>
            <wp:docPr id="37" name="Gráfico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0955862B" w14:textId="3E3B0E85" w:rsidR="0021177B" w:rsidRPr="000E1464" w:rsidRDefault="0021177B" w:rsidP="0021177B">
      <w:pPr>
        <w:spacing w:after="0"/>
        <w:jc w:val="center"/>
        <w:rPr>
          <w:rFonts w:ascii="Futura Bk BT" w:hAnsi="Futura Bk BT"/>
          <w:sz w:val="16"/>
          <w:szCs w:val="16"/>
        </w:rPr>
      </w:pPr>
      <w:r w:rsidRPr="000E1464">
        <w:rPr>
          <w:rFonts w:ascii="Futura Bk BT" w:hAnsi="Futura Bk BT"/>
          <w:b/>
          <w:sz w:val="16"/>
          <w:szCs w:val="16"/>
        </w:rPr>
        <w:t>Fuente:</w:t>
      </w:r>
      <w:r w:rsidRPr="000E1464">
        <w:rPr>
          <w:rFonts w:ascii="Futura Bk BT" w:hAnsi="Futura Bk BT"/>
          <w:sz w:val="16"/>
          <w:szCs w:val="16"/>
        </w:rPr>
        <w:t xml:space="preserve"> Estadísticas continúas del formato 911 (inicio de ciclo escolar) SEQ.</w:t>
      </w:r>
    </w:p>
    <w:p w14:paraId="3108C875" w14:textId="77777777" w:rsidR="0021177B" w:rsidRDefault="0021177B" w:rsidP="0021177B">
      <w:pPr>
        <w:spacing w:after="0"/>
        <w:rPr>
          <w:rFonts w:ascii="Futura Bk BT" w:hAnsi="Futura Bk BT"/>
        </w:rPr>
      </w:pPr>
    </w:p>
    <w:p w14:paraId="38FF0A1E" w14:textId="3A36BC8A" w:rsidR="0021177B" w:rsidRPr="009378B4" w:rsidRDefault="0021177B" w:rsidP="0021177B">
      <w:pPr>
        <w:spacing w:after="0"/>
      </w:pPr>
      <w:r w:rsidRPr="00164EDE">
        <w:t xml:space="preserve">En el ciclo escolar 2019-2020, se matricularon en educación inicial y especial 8 mil 784 alumnos(as) que representan el 1.85 por ciento de la matricula total del estado, en educación básica la matricula fue de 341 mil 855 alumnos(as) y representa el 72.16 por ciento del total, el nivel con el mayor número de alumnos(as) y contempla los niveles de </w:t>
      </w:r>
      <w:r w:rsidRPr="00164EDE">
        <w:lastRenderedPageBreak/>
        <w:t xml:space="preserve">preescolar, primaria y secundaria; en educación media se matricularon </w:t>
      </w:r>
      <w:r>
        <w:t>70 mil 964</w:t>
      </w:r>
      <w:r w:rsidRPr="00164EDE">
        <w:t xml:space="preserve"> alumnos(as) que representan el 14.97 por ciento de la matrícula total, y la matrícula de educación superior con 52 mil 208 alumnos(as) que representan el 11.02 por ciento del total de la matricula estatal (Gráfica </w:t>
      </w:r>
      <w:r w:rsidR="00746F0C">
        <w:t>1</w:t>
      </w:r>
      <w:r w:rsidRPr="00164EDE">
        <w:t>3).</w:t>
      </w:r>
    </w:p>
    <w:p w14:paraId="2B340408" w14:textId="77777777" w:rsidR="0021177B" w:rsidRPr="009378B4" w:rsidRDefault="0021177B" w:rsidP="0021177B">
      <w:pPr>
        <w:spacing w:after="0"/>
      </w:pPr>
    </w:p>
    <w:p w14:paraId="657F380A" w14:textId="4D24CCA7" w:rsidR="000017DA" w:rsidRDefault="000017DA" w:rsidP="000017DA">
      <w:pPr>
        <w:spacing w:after="0"/>
        <w:jc w:val="center"/>
        <w:rPr>
          <w:rFonts w:eastAsia="Arial" w:cs="Times New Roman"/>
          <w:b/>
          <w:bCs/>
          <w:color w:val="4BACC6" w:themeColor="accent5"/>
          <w:lang w:val="es-MX" w:eastAsia="en-US"/>
        </w:rPr>
      </w:pPr>
      <w:r w:rsidRPr="009378B4">
        <w:rPr>
          <w:rFonts w:eastAsia="Arial" w:cs="Times New Roman"/>
          <w:b/>
          <w:bCs/>
          <w:color w:val="4BACC6" w:themeColor="accent5"/>
          <w:lang w:val="es-MX" w:eastAsia="en-US"/>
        </w:rPr>
        <w:t xml:space="preserve">Gráfica </w:t>
      </w:r>
      <w:r>
        <w:rPr>
          <w:rFonts w:eastAsia="Arial" w:cs="Times New Roman"/>
          <w:b/>
          <w:bCs/>
          <w:color w:val="4BACC6" w:themeColor="accent5"/>
          <w:lang w:val="es-MX" w:eastAsia="en-US"/>
        </w:rPr>
        <w:t>13. Distribución de la matrícula estatal por nivel educativo</w:t>
      </w:r>
    </w:p>
    <w:p w14:paraId="4FE03EB6" w14:textId="17A4C921" w:rsidR="0021177B" w:rsidRPr="000017DA" w:rsidRDefault="000017DA" w:rsidP="000017DA">
      <w:pPr>
        <w:spacing w:after="0"/>
        <w:jc w:val="center"/>
        <w:rPr>
          <w:rStyle w:val="Textoennegrita"/>
          <w:rFonts w:eastAsia="Arial" w:cs="Times New Roman"/>
          <w:color w:val="4BACC6" w:themeColor="accent5"/>
          <w:lang w:val="es-MX" w:eastAsia="en-US"/>
        </w:rPr>
      </w:pPr>
      <w:r>
        <w:rPr>
          <w:rFonts w:eastAsia="Arial" w:cs="Times New Roman"/>
          <w:b/>
          <w:bCs/>
          <w:color w:val="4BACC6" w:themeColor="accent5"/>
          <w:lang w:val="es-MX" w:eastAsia="en-US"/>
        </w:rPr>
        <w:t>Ciclo Escolar 2019-2020</w:t>
      </w:r>
      <w:r w:rsidR="0021177B">
        <w:rPr>
          <w:noProof/>
          <w:lang w:val="es-MX" w:eastAsia="es-MX"/>
        </w:rPr>
        <w:drawing>
          <wp:anchor distT="0" distB="0" distL="114300" distR="114300" simplePos="0" relativeHeight="251703296" behindDoc="0" locked="0" layoutInCell="1" allowOverlap="1" wp14:anchorId="40785361" wp14:editId="6CB77A77">
            <wp:simplePos x="0" y="0"/>
            <wp:positionH relativeFrom="margin">
              <wp:align>center</wp:align>
            </wp:positionH>
            <wp:positionV relativeFrom="paragraph">
              <wp:posOffset>269875</wp:posOffset>
            </wp:positionV>
            <wp:extent cx="5277485" cy="4057650"/>
            <wp:effectExtent l="0" t="0" r="0" b="0"/>
            <wp:wrapSquare wrapText="bothSides"/>
            <wp:docPr id="38" name="Gráfico 38">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page">
              <wp14:pctWidth>0</wp14:pctWidth>
            </wp14:sizeRelH>
            <wp14:sizeRelV relativeFrom="page">
              <wp14:pctHeight>0</wp14:pctHeight>
            </wp14:sizeRelV>
          </wp:anchor>
        </w:drawing>
      </w:r>
    </w:p>
    <w:p w14:paraId="0E317896" w14:textId="77777777" w:rsidR="00B7361B" w:rsidRDefault="00B7361B" w:rsidP="0021177B">
      <w:pPr>
        <w:pStyle w:val="Ttulo2"/>
        <w:jc w:val="both"/>
        <w:rPr>
          <w:rFonts w:cs="Futura"/>
          <w:bCs w:val="0"/>
          <w:caps w:val="0"/>
          <w:color w:val="595959"/>
          <w:sz w:val="24"/>
          <w:szCs w:val="24"/>
          <w:lang w:val="es-ES_tradnl" w:eastAsia="es-ES"/>
        </w:rPr>
      </w:pPr>
      <w:bookmarkStart w:id="23" w:name="_Toc477971052"/>
      <w:bookmarkStart w:id="24" w:name="_Toc486841602"/>
      <w:bookmarkStart w:id="25" w:name="_Toc486858141"/>
    </w:p>
    <w:p w14:paraId="7B9ABA07" w14:textId="728065B9" w:rsidR="00B7361B" w:rsidRDefault="00B7361B" w:rsidP="0021177B">
      <w:pPr>
        <w:pStyle w:val="Ttulo2"/>
        <w:jc w:val="both"/>
        <w:rPr>
          <w:rFonts w:cs="Futura"/>
          <w:bCs w:val="0"/>
          <w:caps w:val="0"/>
          <w:color w:val="595959"/>
          <w:sz w:val="24"/>
          <w:szCs w:val="24"/>
          <w:lang w:val="es-ES_tradnl" w:eastAsia="es-ES"/>
        </w:rPr>
      </w:pPr>
    </w:p>
    <w:p w14:paraId="42CB5654" w14:textId="1BD11B23" w:rsidR="00B7361B" w:rsidRDefault="00B7361B" w:rsidP="00B7361B"/>
    <w:p w14:paraId="400AD592" w14:textId="6915794E" w:rsidR="00B7361B" w:rsidRDefault="00B7361B" w:rsidP="00B7361B"/>
    <w:p w14:paraId="77DB9E1E" w14:textId="7BD57D36" w:rsidR="00B7361B" w:rsidRDefault="00B7361B" w:rsidP="00B7361B"/>
    <w:p w14:paraId="48317A13" w14:textId="2CFE00DF" w:rsidR="00B7361B" w:rsidRDefault="00B7361B" w:rsidP="00B7361B"/>
    <w:p w14:paraId="27743E42" w14:textId="4A151949" w:rsidR="00B7361B" w:rsidRDefault="00B7361B" w:rsidP="00B7361B"/>
    <w:p w14:paraId="2677E92D" w14:textId="16B2A6E1" w:rsidR="00B7361B" w:rsidRDefault="00B7361B" w:rsidP="00B7361B"/>
    <w:p w14:paraId="5EB8C760" w14:textId="2958C291" w:rsidR="00B7361B" w:rsidRDefault="00B7361B" w:rsidP="00B7361B"/>
    <w:p w14:paraId="4D2D085F" w14:textId="08014C39" w:rsidR="00B7361B" w:rsidRDefault="00B7361B" w:rsidP="00B7361B"/>
    <w:p w14:paraId="34D5E858" w14:textId="7737DF7F" w:rsidR="00B7361B" w:rsidRDefault="00B7361B" w:rsidP="00B7361B"/>
    <w:p w14:paraId="5C06B0B7" w14:textId="218B58A9" w:rsidR="000017DA" w:rsidRDefault="000017DA" w:rsidP="000017DA"/>
    <w:p w14:paraId="4071019C" w14:textId="77777777" w:rsidR="000017DA" w:rsidRPr="000E1464" w:rsidRDefault="000017DA" w:rsidP="000017DA">
      <w:pPr>
        <w:spacing w:after="0"/>
        <w:jc w:val="center"/>
        <w:rPr>
          <w:rFonts w:ascii="Futura Bk BT" w:hAnsi="Futura Bk BT"/>
          <w:sz w:val="16"/>
          <w:szCs w:val="16"/>
        </w:rPr>
      </w:pPr>
      <w:r w:rsidRPr="000E1464">
        <w:rPr>
          <w:rFonts w:ascii="Futura Bk BT" w:hAnsi="Futura Bk BT"/>
          <w:b/>
          <w:sz w:val="16"/>
          <w:szCs w:val="16"/>
        </w:rPr>
        <w:t>Fuente:</w:t>
      </w:r>
      <w:r w:rsidRPr="000E1464">
        <w:rPr>
          <w:rFonts w:ascii="Futura Bk BT" w:hAnsi="Futura Bk BT"/>
          <w:sz w:val="16"/>
          <w:szCs w:val="16"/>
        </w:rPr>
        <w:t xml:space="preserve"> Estadísticas continúas del formato 911 (inicio de ciclo escolar) SEQ.</w:t>
      </w:r>
    </w:p>
    <w:p w14:paraId="79D510A0" w14:textId="77777777" w:rsidR="000017DA" w:rsidRPr="000017DA" w:rsidRDefault="000017DA" w:rsidP="000017DA"/>
    <w:p w14:paraId="68D2A26F" w14:textId="5C3262B9" w:rsidR="0021177B" w:rsidRPr="00814BC2" w:rsidRDefault="0021177B" w:rsidP="0021177B">
      <w:pPr>
        <w:pStyle w:val="Ttulo2"/>
        <w:jc w:val="both"/>
      </w:pPr>
      <w:bookmarkStart w:id="26" w:name="_Toc53409856"/>
      <w:r w:rsidRPr="00814BC2">
        <w:t>Alineación del Programa con el Plan Nacional de Desarrollo, Programa Sectorial Federal y el PED 2016-2022</w:t>
      </w:r>
      <w:bookmarkEnd w:id="23"/>
      <w:bookmarkEnd w:id="24"/>
      <w:bookmarkEnd w:id="25"/>
      <w:bookmarkEnd w:id="26"/>
    </w:p>
    <w:p w14:paraId="73AE5FC0" w14:textId="77777777" w:rsidR="0021177B" w:rsidRPr="00987602" w:rsidRDefault="0021177B" w:rsidP="0021177B">
      <w:r w:rsidRPr="00987602">
        <w:t>El Gobierno del Estado de Quintana Roo, a través de la Secretaría de Educación</w:t>
      </w:r>
      <w:r>
        <w:t xml:space="preserve"> </w:t>
      </w:r>
      <w:r w:rsidRPr="00987602">
        <w:t xml:space="preserve">, con fundamento en la normatividad vigente </w:t>
      </w:r>
      <w:r>
        <w:t>en materia de planeación actualiza</w:t>
      </w:r>
      <w:r w:rsidRPr="00987602">
        <w:t xml:space="preserve"> el siguiente </w:t>
      </w:r>
      <w:r w:rsidRPr="00987602">
        <w:lastRenderedPageBreak/>
        <w:t>Programa Sectorial de Educación Pública de Calidad</w:t>
      </w:r>
      <w:r>
        <w:t xml:space="preserve"> 2016-2022</w:t>
      </w:r>
      <w:r w:rsidRPr="00987602">
        <w:t xml:space="preserve"> que se alinea con otros instrumentos de planeación federal y estatal para cumplir con sus objetivos y avanzar de manera coordinada en el mejora</w:t>
      </w:r>
      <w:r>
        <w:t>miento de la calidad educativa además de</w:t>
      </w:r>
      <w:r w:rsidRPr="00987602">
        <w:t xml:space="preserve"> contribuir a alcanzar mejores niveles de bienestar y ampliar las oportunidades de crecimiento económico. </w:t>
      </w:r>
    </w:p>
    <w:p w14:paraId="039C4A61" w14:textId="77777777" w:rsidR="0021177B" w:rsidRPr="00987602" w:rsidRDefault="0021177B" w:rsidP="0021177B">
      <w:r w:rsidRPr="00987602">
        <w:t xml:space="preserve">En este apartado se expone la vinculación de los objeticos sectoriales de este programa y los objetivos prioritarios de otros instrumentos de planeación. </w:t>
      </w:r>
    </w:p>
    <w:p w14:paraId="5986CBCA" w14:textId="3C091CA7" w:rsidR="004337D4" w:rsidRPr="00E35711" w:rsidRDefault="0021177B" w:rsidP="0021177B">
      <w:r w:rsidRPr="00987602">
        <w:t xml:space="preserve">Los instrumentos con los que se vincula el presente programa son el </w:t>
      </w:r>
      <w:r>
        <w:t>Plan Nacional de Desarrollo 2019-2024</w:t>
      </w:r>
      <w:r w:rsidRPr="00987602">
        <w:t xml:space="preserve">, </w:t>
      </w:r>
      <w:r>
        <w:t xml:space="preserve">y </w:t>
      </w:r>
      <w:r w:rsidRPr="00987602">
        <w:t>el Plan Estatal de Desarrollo 2016-2022. En el cuadro 2</w:t>
      </w:r>
      <w:r w:rsidR="00FA0940">
        <w:t>1</w:t>
      </w:r>
      <w:r w:rsidRPr="00987602">
        <w:t xml:space="preserve"> se presenta el resumen de la vinculación con tales instrumentos de planeación en relación con el nivel de sus objetivos.</w:t>
      </w:r>
    </w:p>
    <w:p w14:paraId="2D8C1000" w14:textId="2BC0F581" w:rsidR="0021177B" w:rsidRPr="008F653E" w:rsidRDefault="00FA0940" w:rsidP="00374A10">
      <w:pPr>
        <w:pStyle w:val="Descripcin"/>
        <w:rPr>
          <w:b/>
          <w:color w:val="4BACC6" w:themeColor="accent5"/>
          <w:sz w:val="24"/>
          <w:szCs w:val="24"/>
        </w:rPr>
      </w:pPr>
      <w:r>
        <w:rPr>
          <w:b/>
          <w:color w:val="4BACC6" w:themeColor="accent5"/>
          <w:sz w:val="24"/>
          <w:szCs w:val="24"/>
        </w:rPr>
        <w:t>Cuadro 21</w:t>
      </w:r>
      <w:r w:rsidR="0021177B" w:rsidRPr="008F653E">
        <w:rPr>
          <w:b/>
          <w:color w:val="4BACC6" w:themeColor="accent5"/>
          <w:sz w:val="24"/>
          <w:szCs w:val="24"/>
        </w:rPr>
        <w:t xml:space="preserve">. </w:t>
      </w:r>
      <w:r w:rsidR="00E94A92" w:rsidRPr="00E94A92">
        <w:rPr>
          <w:b/>
          <w:color w:val="4BACC6" w:themeColor="accent5"/>
          <w:sz w:val="24"/>
          <w:szCs w:val="24"/>
        </w:rPr>
        <w:t>Alineación a los Objetivos Nacionales y Estatales</w:t>
      </w:r>
      <w:r w:rsidR="00E94A92" w:rsidRPr="008F653E">
        <w:rPr>
          <w:b/>
          <w:color w:val="4BACC6" w:themeColor="accent5"/>
          <w:sz w:val="24"/>
          <w:szCs w:val="24"/>
        </w:rPr>
        <w:t xml:space="preserve"> </w:t>
      </w:r>
    </w:p>
    <w:tbl>
      <w:tblPr>
        <w:tblW w:w="10055" w:type="dxa"/>
        <w:tblCellMar>
          <w:left w:w="0" w:type="dxa"/>
          <w:right w:w="0" w:type="dxa"/>
        </w:tblCellMar>
        <w:tblLook w:val="0420" w:firstRow="1" w:lastRow="0" w:firstColumn="0" w:lastColumn="0" w:noHBand="0" w:noVBand="1"/>
      </w:tblPr>
      <w:tblGrid>
        <w:gridCol w:w="1947"/>
        <w:gridCol w:w="1666"/>
        <w:gridCol w:w="1865"/>
        <w:gridCol w:w="1343"/>
        <w:gridCol w:w="1717"/>
        <w:gridCol w:w="1517"/>
      </w:tblGrid>
      <w:tr w:rsidR="00652E99" w:rsidRPr="00652E99" w14:paraId="41AFF431" w14:textId="77777777" w:rsidTr="00A95996">
        <w:trPr>
          <w:trHeight w:val="1286"/>
          <w:tblHeader/>
        </w:trPr>
        <w:tc>
          <w:tcPr>
            <w:tcW w:w="2110" w:type="dxa"/>
            <w:tcBorders>
              <w:top w:val="single" w:sz="4" w:space="0" w:color="auto"/>
              <w:left w:val="single" w:sz="4" w:space="0" w:color="auto"/>
              <w:bottom w:val="single" w:sz="4" w:space="0" w:color="auto"/>
              <w:right w:val="single" w:sz="4" w:space="0" w:color="auto"/>
            </w:tcBorders>
            <w:shd w:val="clear" w:color="auto" w:fill="A6A6A6" w:themeFill="background1" w:themeFillShade="A6"/>
            <w:tcMar>
              <w:top w:w="72" w:type="dxa"/>
              <w:left w:w="144" w:type="dxa"/>
              <w:bottom w:w="72" w:type="dxa"/>
              <w:right w:w="144" w:type="dxa"/>
            </w:tcMar>
            <w:vAlign w:val="center"/>
            <w:hideMark/>
          </w:tcPr>
          <w:p w14:paraId="715234B9" w14:textId="4118703E" w:rsidR="0021177B" w:rsidRPr="004337D4" w:rsidRDefault="0021177B" w:rsidP="000140F1">
            <w:pPr>
              <w:pStyle w:val="Textonotapie"/>
              <w:spacing w:before="0" w:after="0"/>
              <w:rPr>
                <w:rFonts w:ascii="Futura Std Condensed Light" w:hAnsi="Futura Std Condensed Light" w:cs="Calibri"/>
                <w:b/>
                <w:sz w:val="20"/>
                <w:szCs w:val="18"/>
                <w:lang w:val="es-ES_tradnl"/>
              </w:rPr>
            </w:pPr>
            <w:r w:rsidRPr="004337D4">
              <w:rPr>
                <w:rFonts w:ascii="Futura Std Condensed Light" w:hAnsi="Futura Std Condensed Light" w:cs="Calibri"/>
                <w:b/>
                <w:sz w:val="20"/>
                <w:szCs w:val="18"/>
                <w:lang w:val="es-ES_tradnl"/>
              </w:rPr>
              <w:t>Objetivos del Programa Sec</w:t>
            </w:r>
            <w:r w:rsidR="00152E28">
              <w:rPr>
                <w:rFonts w:ascii="Futura Std Condensed Light" w:hAnsi="Futura Std Condensed Light" w:cs="Calibri"/>
                <w:b/>
                <w:sz w:val="20"/>
                <w:szCs w:val="18"/>
                <w:lang w:val="es-ES_tradnl"/>
              </w:rPr>
              <w:t>torial de Educación Pública de Calidad</w:t>
            </w:r>
          </w:p>
        </w:tc>
        <w:tc>
          <w:tcPr>
            <w:tcW w:w="1836" w:type="dxa"/>
            <w:tcBorders>
              <w:top w:val="single" w:sz="4" w:space="0" w:color="auto"/>
              <w:left w:val="single" w:sz="4" w:space="0" w:color="auto"/>
              <w:bottom w:val="single" w:sz="4" w:space="0" w:color="auto"/>
              <w:right w:val="single" w:sz="4" w:space="0" w:color="auto"/>
            </w:tcBorders>
            <w:shd w:val="clear" w:color="auto" w:fill="A6A6A6" w:themeFill="background1" w:themeFillShade="A6"/>
            <w:tcMar>
              <w:top w:w="72" w:type="dxa"/>
              <w:left w:w="144" w:type="dxa"/>
              <w:bottom w:w="72" w:type="dxa"/>
              <w:right w:w="144" w:type="dxa"/>
            </w:tcMar>
            <w:vAlign w:val="center"/>
            <w:hideMark/>
          </w:tcPr>
          <w:p w14:paraId="79BD9AB5" w14:textId="77777777" w:rsidR="0021177B" w:rsidRPr="004337D4" w:rsidRDefault="0021177B" w:rsidP="009E3B2F">
            <w:pPr>
              <w:pStyle w:val="Textonotapie"/>
              <w:spacing w:before="0" w:after="0"/>
              <w:rPr>
                <w:rFonts w:ascii="Futura Std Condensed Light" w:hAnsi="Futura Std Condensed Light" w:cs="Calibri"/>
                <w:b/>
                <w:sz w:val="20"/>
                <w:szCs w:val="18"/>
                <w:lang w:val="es-ES_tradnl"/>
              </w:rPr>
            </w:pPr>
            <w:r w:rsidRPr="004337D4">
              <w:rPr>
                <w:rFonts w:ascii="Futura Std Condensed Light" w:hAnsi="Futura Std Condensed Light" w:cs="Calibri"/>
                <w:b/>
                <w:sz w:val="20"/>
                <w:szCs w:val="18"/>
                <w:lang w:val="es-ES_tradnl"/>
              </w:rPr>
              <w:t>Objetivos del Programa PED 2016-2022</w:t>
            </w:r>
          </w:p>
        </w:tc>
        <w:tc>
          <w:tcPr>
            <w:tcW w:w="2247" w:type="dxa"/>
            <w:tcBorders>
              <w:top w:val="single" w:sz="4" w:space="0" w:color="auto"/>
              <w:left w:val="single" w:sz="4" w:space="0" w:color="auto"/>
              <w:bottom w:val="single" w:sz="4" w:space="0" w:color="auto"/>
              <w:right w:val="single" w:sz="4" w:space="0" w:color="auto"/>
            </w:tcBorders>
            <w:shd w:val="clear" w:color="auto" w:fill="A6A6A6" w:themeFill="background1" w:themeFillShade="A6"/>
            <w:tcMar>
              <w:top w:w="72" w:type="dxa"/>
              <w:left w:w="144" w:type="dxa"/>
              <w:bottom w:w="72" w:type="dxa"/>
              <w:right w:w="144" w:type="dxa"/>
            </w:tcMar>
            <w:vAlign w:val="center"/>
            <w:hideMark/>
          </w:tcPr>
          <w:p w14:paraId="79E51B8B" w14:textId="77777777" w:rsidR="0021177B" w:rsidRPr="004337D4" w:rsidRDefault="0021177B" w:rsidP="009E3B2F">
            <w:pPr>
              <w:pStyle w:val="Textonotapie"/>
              <w:spacing w:before="0" w:after="0"/>
              <w:rPr>
                <w:rFonts w:ascii="Futura Std Condensed Light" w:hAnsi="Futura Std Condensed Light" w:cs="Calibri"/>
                <w:b/>
                <w:sz w:val="20"/>
                <w:szCs w:val="18"/>
                <w:lang w:val="es-ES_tradnl"/>
              </w:rPr>
            </w:pPr>
            <w:r w:rsidRPr="004337D4">
              <w:rPr>
                <w:rFonts w:ascii="Futura Std Condensed Light" w:hAnsi="Futura Std Condensed Light" w:cs="Calibri"/>
                <w:b/>
                <w:sz w:val="20"/>
                <w:szCs w:val="18"/>
                <w:lang w:val="es-ES_tradnl"/>
              </w:rPr>
              <w:t>Objetivos del Programa Sectorial u Homólogo Federal 2019-2024</w:t>
            </w:r>
          </w:p>
        </w:tc>
        <w:tc>
          <w:tcPr>
            <w:tcW w:w="1248" w:type="dxa"/>
            <w:tcBorders>
              <w:top w:val="single" w:sz="4" w:space="0" w:color="auto"/>
              <w:left w:val="single" w:sz="4" w:space="0" w:color="auto"/>
              <w:bottom w:val="single" w:sz="4" w:space="0" w:color="auto"/>
              <w:right w:val="single" w:sz="4" w:space="0" w:color="auto"/>
            </w:tcBorders>
            <w:shd w:val="clear" w:color="auto" w:fill="A6A6A6" w:themeFill="background1" w:themeFillShade="A6"/>
            <w:tcMar>
              <w:top w:w="72" w:type="dxa"/>
              <w:left w:w="144" w:type="dxa"/>
              <w:bottom w:w="72" w:type="dxa"/>
              <w:right w:w="144" w:type="dxa"/>
            </w:tcMar>
            <w:vAlign w:val="center"/>
            <w:hideMark/>
          </w:tcPr>
          <w:p w14:paraId="655EA532" w14:textId="77777777" w:rsidR="0021177B" w:rsidRPr="004337D4" w:rsidRDefault="0021177B" w:rsidP="009E3B2F">
            <w:pPr>
              <w:pStyle w:val="Textonotapie"/>
              <w:spacing w:before="0" w:after="0"/>
              <w:rPr>
                <w:rFonts w:ascii="Futura Std Condensed Light" w:hAnsi="Futura Std Condensed Light" w:cs="Calibri"/>
                <w:b/>
                <w:sz w:val="20"/>
                <w:szCs w:val="18"/>
                <w:lang w:val="es-ES_tradnl"/>
              </w:rPr>
            </w:pPr>
            <w:r w:rsidRPr="004337D4">
              <w:rPr>
                <w:rFonts w:ascii="Futura Std Condensed Light" w:hAnsi="Futura Std Condensed Light" w:cs="Calibri"/>
                <w:b/>
                <w:sz w:val="20"/>
                <w:szCs w:val="18"/>
                <w:lang w:val="es-ES_tradnl"/>
              </w:rPr>
              <w:t>Apartado del PND 2019-2024</w:t>
            </w:r>
          </w:p>
        </w:tc>
        <w:tc>
          <w:tcPr>
            <w:tcW w:w="1441" w:type="dxa"/>
            <w:tcBorders>
              <w:top w:val="single" w:sz="4" w:space="0" w:color="auto"/>
              <w:left w:val="single" w:sz="4" w:space="0" w:color="auto"/>
              <w:bottom w:val="single" w:sz="4" w:space="0" w:color="auto"/>
              <w:right w:val="single" w:sz="4" w:space="0" w:color="auto"/>
            </w:tcBorders>
            <w:shd w:val="clear" w:color="auto" w:fill="A6A6A6" w:themeFill="background1" w:themeFillShade="A6"/>
            <w:tcMar>
              <w:top w:w="15" w:type="dxa"/>
              <w:left w:w="15" w:type="dxa"/>
              <w:bottom w:w="0" w:type="dxa"/>
              <w:right w:w="15" w:type="dxa"/>
            </w:tcMar>
            <w:vAlign w:val="center"/>
            <w:hideMark/>
          </w:tcPr>
          <w:p w14:paraId="7AF4592F" w14:textId="77777777" w:rsidR="0021177B" w:rsidRPr="004337D4" w:rsidRDefault="0021177B" w:rsidP="009E3B2F">
            <w:pPr>
              <w:pStyle w:val="Textonotapie"/>
              <w:spacing w:before="0" w:after="0"/>
              <w:rPr>
                <w:rFonts w:ascii="Futura Std Condensed Light" w:hAnsi="Futura Std Condensed Light" w:cs="Calibri"/>
                <w:b/>
                <w:sz w:val="20"/>
                <w:szCs w:val="18"/>
                <w:lang w:val="es-ES_tradnl"/>
              </w:rPr>
            </w:pPr>
            <w:r w:rsidRPr="004337D4">
              <w:rPr>
                <w:rFonts w:ascii="Futura Std Condensed Light" w:hAnsi="Futura Std Condensed Light" w:cs="Calibri"/>
                <w:b/>
                <w:sz w:val="20"/>
                <w:szCs w:val="18"/>
                <w:lang w:val="es-ES_tradnl"/>
              </w:rPr>
              <w:t>Objetivo de la Agenda 2030</w:t>
            </w:r>
          </w:p>
        </w:tc>
        <w:tc>
          <w:tcPr>
            <w:tcW w:w="1173" w:type="dxa"/>
            <w:tcBorders>
              <w:top w:val="single" w:sz="4" w:space="0" w:color="auto"/>
              <w:left w:val="single" w:sz="4" w:space="0" w:color="auto"/>
              <w:bottom w:val="single" w:sz="4" w:space="0" w:color="auto"/>
              <w:right w:val="single" w:sz="4" w:space="0" w:color="auto"/>
            </w:tcBorders>
            <w:shd w:val="clear" w:color="auto" w:fill="A6A6A6" w:themeFill="background1" w:themeFillShade="A6"/>
            <w:tcMar>
              <w:top w:w="15" w:type="dxa"/>
              <w:left w:w="15" w:type="dxa"/>
              <w:bottom w:w="0" w:type="dxa"/>
              <w:right w:w="15" w:type="dxa"/>
            </w:tcMar>
            <w:vAlign w:val="center"/>
            <w:hideMark/>
          </w:tcPr>
          <w:p w14:paraId="0B0E611B" w14:textId="77777777" w:rsidR="0021177B" w:rsidRPr="004337D4" w:rsidRDefault="0021177B" w:rsidP="009E3B2F">
            <w:pPr>
              <w:pStyle w:val="Textonotapie"/>
              <w:spacing w:before="0" w:after="0"/>
              <w:rPr>
                <w:rFonts w:ascii="Futura Std Condensed Light" w:hAnsi="Futura Std Condensed Light" w:cs="Calibri"/>
                <w:b/>
                <w:sz w:val="20"/>
                <w:szCs w:val="18"/>
                <w:lang w:val="es-ES_tradnl"/>
              </w:rPr>
            </w:pPr>
            <w:r w:rsidRPr="004337D4">
              <w:rPr>
                <w:rFonts w:ascii="Futura Std Condensed Light" w:hAnsi="Futura Std Condensed Light" w:cs="Calibri"/>
                <w:b/>
                <w:sz w:val="20"/>
                <w:szCs w:val="18"/>
                <w:lang w:val="es-ES_tradnl"/>
              </w:rPr>
              <w:t>Objetivo General del Plan Estratégico 2018-2022</w:t>
            </w:r>
          </w:p>
        </w:tc>
      </w:tr>
      <w:tr w:rsidR="00077A92" w14:paraId="4AF98344" w14:textId="77777777" w:rsidTr="00A95996">
        <w:trPr>
          <w:trHeight w:val="630"/>
        </w:trPr>
        <w:tc>
          <w:tcPr>
            <w:tcW w:w="211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14:paraId="1A1CE2BB" w14:textId="77777777" w:rsidR="00904807" w:rsidRPr="00904807" w:rsidRDefault="00077A92" w:rsidP="00904807">
            <w:pPr>
              <w:spacing w:after="0" w:line="240" w:lineRule="auto"/>
              <w:rPr>
                <w:rFonts w:ascii="Futura Std Condensed Light" w:eastAsia="Calibri" w:hAnsi="Futura Std Condensed Light" w:cs="Calibri"/>
                <w:sz w:val="20"/>
                <w:szCs w:val="20"/>
              </w:rPr>
            </w:pPr>
            <w:r w:rsidRPr="00904807">
              <w:rPr>
                <w:rFonts w:ascii="Futura Std Condensed Light" w:hAnsi="Futura Std Condensed Light" w:cs="Calibri"/>
                <w:sz w:val="20"/>
                <w:szCs w:val="18"/>
              </w:rPr>
              <w:t xml:space="preserve">1. </w:t>
            </w:r>
            <w:r w:rsidR="00904807" w:rsidRPr="00904807">
              <w:rPr>
                <w:rFonts w:ascii="Futura Std Condensed Light" w:eastAsia="Calibri" w:hAnsi="Futura Std Condensed Light" w:cs="Calibri"/>
                <w:sz w:val="20"/>
                <w:szCs w:val="20"/>
              </w:rPr>
              <w:t>Incrementar el logro académico de los estudiantes de educación básica para una educación integral e inclusiva de calidad.</w:t>
            </w:r>
          </w:p>
          <w:p w14:paraId="1637DC29" w14:textId="4B62E924" w:rsidR="00077A92" w:rsidRPr="000140F1" w:rsidRDefault="00077A92" w:rsidP="00904807">
            <w:pPr>
              <w:pStyle w:val="Textonotapie"/>
              <w:spacing w:before="0" w:after="0"/>
              <w:rPr>
                <w:rFonts w:ascii="Futura Std Condensed Light" w:hAnsi="Futura Std Condensed Light" w:cs="Calibri"/>
                <w:sz w:val="20"/>
                <w:szCs w:val="18"/>
                <w:lang w:val="es-ES_tradnl"/>
              </w:rPr>
            </w:pPr>
          </w:p>
        </w:tc>
        <w:tc>
          <w:tcPr>
            <w:tcW w:w="1836" w:type="dxa"/>
            <w:vMerge w:val="restar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14:paraId="59E1291D" w14:textId="77777777" w:rsidR="00904807" w:rsidRDefault="00904807" w:rsidP="00904807">
            <w:pPr>
              <w:pStyle w:val="Textonotapie"/>
              <w:spacing w:before="0" w:after="0"/>
              <w:jc w:val="both"/>
              <w:rPr>
                <w:rFonts w:ascii="Futura Std Condensed Light" w:hAnsi="Futura Std Condensed Light" w:cs="Calibri"/>
                <w:sz w:val="20"/>
                <w:szCs w:val="18"/>
                <w:lang w:val="es-ES_tradnl"/>
              </w:rPr>
            </w:pPr>
          </w:p>
          <w:p w14:paraId="31EEADF4" w14:textId="77777777" w:rsidR="00904807" w:rsidRDefault="00904807" w:rsidP="00904807">
            <w:pPr>
              <w:pStyle w:val="Textonotapie"/>
              <w:spacing w:before="0" w:after="0"/>
              <w:jc w:val="both"/>
              <w:rPr>
                <w:rFonts w:ascii="Futura Std Condensed Light" w:hAnsi="Futura Std Condensed Light" w:cs="Calibri"/>
                <w:sz w:val="20"/>
                <w:szCs w:val="18"/>
                <w:lang w:val="es-ES_tradnl"/>
              </w:rPr>
            </w:pPr>
          </w:p>
          <w:p w14:paraId="7B5DF9FD" w14:textId="77777777" w:rsidR="00904807" w:rsidRDefault="00904807" w:rsidP="00904807">
            <w:pPr>
              <w:pStyle w:val="Textonotapie"/>
              <w:spacing w:before="0" w:after="0"/>
              <w:jc w:val="both"/>
              <w:rPr>
                <w:rFonts w:ascii="Futura Std Condensed Light" w:hAnsi="Futura Std Condensed Light" w:cs="Calibri"/>
                <w:sz w:val="20"/>
                <w:szCs w:val="18"/>
                <w:lang w:val="es-ES_tradnl"/>
              </w:rPr>
            </w:pPr>
          </w:p>
          <w:p w14:paraId="13FFE6D4" w14:textId="77777777" w:rsidR="00904807" w:rsidRDefault="00904807" w:rsidP="00904807">
            <w:pPr>
              <w:pStyle w:val="Textonotapie"/>
              <w:spacing w:before="0" w:after="0"/>
              <w:jc w:val="both"/>
              <w:rPr>
                <w:rFonts w:ascii="Futura Std Condensed Light" w:hAnsi="Futura Std Condensed Light" w:cs="Calibri"/>
                <w:sz w:val="20"/>
                <w:szCs w:val="18"/>
                <w:lang w:val="es-ES_tradnl"/>
              </w:rPr>
            </w:pPr>
          </w:p>
          <w:p w14:paraId="6CEF1F29" w14:textId="497FCB1B" w:rsidR="00904807" w:rsidRDefault="00904807" w:rsidP="00904807">
            <w:pPr>
              <w:pStyle w:val="Textonotapie"/>
              <w:spacing w:before="0" w:after="0"/>
              <w:jc w:val="both"/>
              <w:rPr>
                <w:rFonts w:ascii="Futura Std Condensed Light" w:hAnsi="Futura Std Condensed Light" w:cs="Calibri"/>
                <w:sz w:val="20"/>
                <w:szCs w:val="18"/>
                <w:lang w:val="es-ES_tradnl"/>
              </w:rPr>
            </w:pPr>
          </w:p>
          <w:p w14:paraId="469FAF23" w14:textId="556EF143" w:rsidR="00D056A4" w:rsidRDefault="00D056A4" w:rsidP="00904807">
            <w:pPr>
              <w:pStyle w:val="Textonotapie"/>
              <w:spacing w:before="0" w:after="0"/>
              <w:jc w:val="both"/>
              <w:rPr>
                <w:rFonts w:ascii="Futura Std Condensed Light" w:hAnsi="Futura Std Condensed Light" w:cs="Calibri"/>
                <w:sz w:val="20"/>
                <w:szCs w:val="18"/>
                <w:lang w:val="es-ES_tradnl"/>
              </w:rPr>
            </w:pPr>
          </w:p>
          <w:p w14:paraId="1C2A821D" w14:textId="224E93C9" w:rsidR="00D056A4" w:rsidRDefault="00D056A4" w:rsidP="00904807">
            <w:pPr>
              <w:pStyle w:val="Textonotapie"/>
              <w:spacing w:before="0" w:after="0"/>
              <w:jc w:val="both"/>
              <w:rPr>
                <w:rFonts w:ascii="Futura Std Condensed Light" w:hAnsi="Futura Std Condensed Light" w:cs="Calibri"/>
                <w:sz w:val="20"/>
                <w:szCs w:val="18"/>
                <w:lang w:val="es-ES_tradnl"/>
              </w:rPr>
            </w:pPr>
          </w:p>
          <w:p w14:paraId="3B88420A" w14:textId="00CC2F08" w:rsidR="00D056A4" w:rsidRDefault="00D056A4" w:rsidP="00904807">
            <w:pPr>
              <w:pStyle w:val="Textonotapie"/>
              <w:spacing w:before="0" w:after="0"/>
              <w:jc w:val="both"/>
              <w:rPr>
                <w:rFonts w:ascii="Futura Std Condensed Light" w:hAnsi="Futura Std Condensed Light" w:cs="Calibri"/>
                <w:sz w:val="20"/>
                <w:szCs w:val="18"/>
                <w:lang w:val="es-ES_tradnl"/>
              </w:rPr>
            </w:pPr>
          </w:p>
          <w:p w14:paraId="3434E860" w14:textId="7CBFBF58" w:rsidR="00D056A4" w:rsidRDefault="00D056A4" w:rsidP="00904807">
            <w:pPr>
              <w:pStyle w:val="Textonotapie"/>
              <w:spacing w:before="0" w:after="0"/>
              <w:jc w:val="both"/>
              <w:rPr>
                <w:rFonts w:ascii="Futura Std Condensed Light" w:hAnsi="Futura Std Condensed Light" w:cs="Calibri"/>
                <w:sz w:val="20"/>
                <w:szCs w:val="18"/>
                <w:lang w:val="es-ES_tradnl"/>
              </w:rPr>
            </w:pPr>
          </w:p>
          <w:p w14:paraId="631C921F" w14:textId="2D0E10DB" w:rsidR="00D056A4" w:rsidRDefault="00D056A4" w:rsidP="00904807">
            <w:pPr>
              <w:pStyle w:val="Textonotapie"/>
              <w:spacing w:before="0" w:after="0"/>
              <w:jc w:val="both"/>
              <w:rPr>
                <w:rFonts w:ascii="Futura Std Condensed Light" w:hAnsi="Futura Std Condensed Light" w:cs="Calibri"/>
                <w:sz w:val="20"/>
                <w:szCs w:val="18"/>
                <w:lang w:val="es-ES_tradnl"/>
              </w:rPr>
            </w:pPr>
          </w:p>
          <w:p w14:paraId="0FA9679F" w14:textId="2722B8C5" w:rsidR="00D056A4" w:rsidRDefault="00D056A4" w:rsidP="00904807">
            <w:pPr>
              <w:pStyle w:val="Textonotapie"/>
              <w:spacing w:before="0" w:after="0"/>
              <w:jc w:val="both"/>
              <w:rPr>
                <w:rFonts w:ascii="Futura Std Condensed Light" w:hAnsi="Futura Std Condensed Light" w:cs="Calibri"/>
                <w:sz w:val="20"/>
                <w:szCs w:val="18"/>
                <w:lang w:val="es-ES_tradnl"/>
              </w:rPr>
            </w:pPr>
          </w:p>
          <w:p w14:paraId="7A172365" w14:textId="6AE33A6C" w:rsidR="00D056A4" w:rsidRDefault="00D056A4" w:rsidP="00904807">
            <w:pPr>
              <w:pStyle w:val="Textonotapie"/>
              <w:spacing w:before="0" w:after="0"/>
              <w:jc w:val="both"/>
              <w:rPr>
                <w:rFonts w:ascii="Futura Std Condensed Light" w:hAnsi="Futura Std Condensed Light" w:cs="Calibri"/>
                <w:sz w:val="20"/>
                <w:szCs w:val="18"/>
                <w:lang w:val="es-ES_tradnl"/>
              </w:rPr>
            </w:pPr>
          </w:p>
          <w:p w14:paraId="2A4522A5" w14:textId="345E6838" w:rsidR="00D056A4" w:rsidRDefault="00D056A4" w:rsidP="00904807">
            <w:pPr>
              <w:pStyle w:val="Textonotapie"/>
              <w:spacing w:before="0" w:after="0"/>
              <w:jc w:val="both"/>
              <w:rPr>
                <w:rFonts w:ascii="Futura Std Condensed Light" w:hAnsi="Futura Std Condensed Light" w:cs="Calibri"/>
                <w:sz w:val="20"/>
                <w:szCs w:val="18"/>
                <w:lang w:val="es-ES_tradnl"/>
              </w:rPr>
            </w:pPr>
          </w:p>
          <w:p w14:paraId="24D0FD32" w14:textId="5CF5A69E" w:rsidR="00D056A4" w:rsidRDefault="00D056A4" w:rsidP="00904807">
            <w:pPr>
              <w:pStyle w:val="Textonotapie"/>
              <w:spacing w:before="0" w:after="0"/>
              <w:jc w:val="both"/>
              <w:rPr>
                <w:rFonts w:ascii="Futura Std Condensed Light" w:hAnsi="Futura Std Condensed Light" w:cs="Calibri"/>
                <w:sz w:val="20"/>
                <w:szCs w:val="18"/>
                <w:lang w:val="es-ES_tradnl"/>
              </w:rPr>
            </w:pPr>
          </w:p>
          <w:p w14:paraId="5705DA8E" w14:textId="41B4BB46" w:rsidR="00D056A4" w:rsidRDefault="00D056A4" w:rsidP="00904807">
            <w:pPr>
              <w:pStyle w:val="Textonotapie"/>
              <w:spacing w:before="0" w:after="0"/>
              <w:jc w:val="both"/>
              <w:rPr>
                <w:rFonts w:ascii="Futura Std Condensed Light" w:hAnsi="Futura Std Condensed Light" w:cs="Calibri"/>
                <w:sz w:val="20"/>
                <w:szCs w:val="18"/>
                <w:lang w:val="es-ES_tradnl"/>
              </w:rPr>
            </w:pPr>
          </w:p>
          <w:p w14:paraId="4D814F09" w14:textId="77777777" w:rsidR="00D056A4" w:rsidRDefault="00D056A4" w:rsidP="00904807">
            <w:pPr>
              <w:pStyle w:val="Textonotapie"/>
              <w:spacing w:before="0" w:after="0"/>
              <w:jc w:val="both"/>
              <w:rPr>
                <w:rFonts w:ascii="Futura Std Condensed Light" w:hAnsi="Futura Std Condensed Light" w:cs="Calibri"/>
                <w:sz w:val="20"/>
                <w:szCs w:val="18"/>
                <w:lang w:val="es-ES_tradnl"/>
              </w:rPr>
            </w:pPr>
          </w:p>
          <w:p w14:paraId="705AAD5B" w14:textId="77777777" w:rsidR="00904807" w:rsidRDefault="00904807" w:rsidP="00904807">
            <w:pPr>
              <w:pStyle w:val="Textonotapie"/>
              <w:spacing w:before="0" w:after="0"/>
              <w:jc w:val="both"/>
              <w:rPr>
                <w:rFonts w:ascii="Futura Std Condensed Light" w:hAnsi="Futura Std Condensed Light" w:cs="Calibri"/>
                <w:sz w:val="20"/>
                <w:szCs w:val="18"/>
                <w:lang w:val="es-ES_tradnl"/>
              </w:rPr>
            </w:pPr>
          </w:p>
          <w:p w14:paraId="32133BB9" w14:textId="77FBA6E4" w:rsidR="00077A92" w:rsidRDefault="00077A92" w:rsidP="00904807">
            <w:pPr>
              <w:pStyle w:val="Textonotapie"/>
              <w:spacing w:before="0" w:after="0"/>
              <w:jc w:val="both"/>
              <w:rPr>
                <w:rFonts w:ascii="Futura Std Condensed Light" w:hAnsi="Futura Std Condensed Light" w:cs="Calibri"/>
                <w:sz w:val="20"/>
                <w:szCs w:val="18"/>
                <w:lang w:val="es-ES_tradnl"/>
              </w:rPr>
            </w:pPr>
            <w:r w:rsidRPr="000140F1">
              <w:rPr>
                <w:rFonts w:ascii="Futura Std Condensed Light" w:hAnsi="Futura Std Condensed Light" w:cs="Calibri"/>
                <w:sz w:val="20"/>
                <w:szCs w:val="18"/>
                <w:lang w:val="es-ES_tradnl"/>
              </w:rPr>
              <w:t>1.Garantizar el acceso y permanencia a una educación inclusiva y de calidad en todos los niveles educativos que promueva en los educandos aprendizajes para la vida</w:t>
            </w:r>
          </w:p>
          <w:p w14:paraId="1F774C02" w14:textId="77777777" w:rsidR="00904807" w:rsidRDefault="00904807" w:rsidP="00904807">
            <w:pPr>
              <w:pStyle w:val="Textonotapie"/>
              <w:spacing w:before="0" w:after="0"/>
              <w:jc w:val="both"/>
              <w:rPr>
                <w:rFonts w:ascii="Futura Std Condensed Light" w:hAnsi="Futura Std Condensed Light" w:cs="Calibri"/>
                <w:sz w:val="20"/>
                <w:szCs w:val="18"/>
                <w:lang w:val="es-ES_tradnl"/>
              </w:rPr>
            </w:pPr>
          </w:p>
          <w:p w14:paraId="5F647655" w14:textId="77777777" w:rsidR="00904807" w:rsidRDefault="00904807" w:rsidP="00904807">
            <w:pPr>
              <w:pStyle w:val="Textonotapie"/>
              <w:spacing w:before="0" w:after="0"/>
              <w:jc w:val="both"/>
              <w:rPr>
                <w:rFonts w:ascii="Futura Std Condensed Light" w:hAnsi="Futura Std Condensed Light" w:cs="Calibri"/>
                <w:sz w:val="20"/>
                <w:szCs w:val="18"/>
                <w:lang w:val="es-ES_tradnl"/>
              </w:rPr>
            </w:pPr>
          </w:p>
          <w:p w14:paraId="259923DA" w14:textId="77777777" w:rsidR="00904807" w:rsidRDefault="00904807" w:rsidP="00904807">
            <w:pPr>
              <w:pStyle w:val="Textonotapie"/>
              <w:spacing w:before="0" w:after="0"/>
              <w:jc w:val="both"/>
              <w:rPr>
                <w:rFonts w:ascii="Futura Std Condensed Light" w:hAnsi="Futura Std Condensed Light" w:cs="Calibri"/>
                <w:sz w:val="20"/>
                <w:szCs w:val="18"/>
                <w:lang w:val="es-ES_tradnl"/>
              </w:rPr>
            </w:pPr>
          </w:p>
          <w:p w14:paraId="635A494B" w14:textId="77777777" w:rsidR="00904807" w:rsidRDefault="00904807" w:rsidP="00904807">
            <w:pPr>
              <w:pStyle w:val="Textonotapie"/>
              <w:spacing w:before="0" w:after="0"/>
              <w:jc w:val="both"/>
              <w:rPr>
                <w:rFonts w:ascii="Futura Std Condensed Light" w:hAnsi="Futura Std Condensed Light" w:cs="Calibri"/>
                <w:sz w:val="20"/>
                <w:szCs w:val="18"/>
                <w:lang w:val="es-ES_tradnl"/>
              </w:rPr>
            </w:pPr>
          </w:p>
          <w:p w14:paraId="3219DFBB" w14:textId="77777777" w:rsidR="00904807" w:rsidRDefault="00904807" w:rsidP="00904807">
            <w:pPr>
              <w:pStyle w:val="Textonotapie"/>
              <w:spacing w:before="0" w:after="0"/>
              <w:jc w:val="both"/>
              <w:rPr>
                <w:rFonts w:ascii="Futura Std Condensed Light" w:hAnsi="Futura Std Condensed Light" w:cs="Calibri"/>
                <w:sz w:val="20"/>
                <w:szCs w:val="18"/>
                <w:lang w:val="es-ES_tradnl"/>
              </w:rPr>
            </w:pPr>
          </w:p>
          <w:p w14:paraId="637ABE07" w14:textId="79A36618" w:rsidR="00904807" w:rsidRDefault="00904807" w:rsidP="00904807">
            <w:pPr>
              <w:pStyle w:val="Textonotapie"/>
              <w:spacing w:before="0" w:after="0"/>
              <w:jc w:val="both"/>
              <w:rPr>
                <w:rFonts w:ascii="Futura Std Condensed Light" w:hAnsi="Futura Std Condensed Light" w:cs="Calibri"/>
                <w:sz w:val="20"/>
                <w:szCs w:val="18"/>
                <w:lang w:val="es-ES_tradnl"/>
              </w:rPr>
            </w:pPr>
          </w:p>
          <w:p w14:paraId="0C90A80C" w14:textId="190F76BB" w:rsidR="00904807" w:rsidRDefault="00904807" w:rsidP="00904807">
            <w:pPr>
              <w:pStyle w:val="Textonotapie"/>
              <w:spacing w:before="0" w:after="0"/>
              <w:jc w:val="both"/>
              <w:rPr>
                <w:rFonts w:ascii="Futura Std Condensed Light" w:hAnsi="Futura Std Condensed Light" w:cs="Calibri"/>
                <w:sz w:val="20"/>
                <w:szCs w:val="18"/>
                <w:lang w:val="es-ES_tradnl"/>
              </w:rPr>
            </w:pPr>
          </w:p>
          <w:p w14:paraId="014AA619" w14:textId="0ABE35C1" w:rsidR="00904807" w:rsidRDefault="00904807" w:rsidP="00904807">
            <w:pPr>
              <w:pStyle w:val="Textonotapie"/>
              <w:spacing w:before="0" w:after="0"/>
              <w:jc w:val="both"/>
              <w:rPr>
                <w:rFonts w:ascii="Futura Std Condensed Light" w:hAnsi="Futura Std Condensed Light" w:cs="Calibri"/>
                <w:sz w:val="20"/>
                <w:szCs w:val="18"/>
                <w:lang w:val="es-ES_tradnl"/>
              </w:rPr>
            </w:pPr>
          </w:p>
          <w:p w14:paraId="3E20F33F" w14:textId="5C9EDE6F" w:rsidR="00904807" w:rsidRDefault="00904807" w:rsidP="00904807">
            <w:pPr>
              <w:pStyle w:val="Textonotapie"/>
              <w:spacing w:before="0" w:after="0"/>
              <w:jc w:val="both"/>
              <w:rPr>
                <w:rFonts w:ascii="Futura Std Condensed Light" w:hAnsi="Futura Std Condensed Light" w:cs="Calibri"/>
                <w:sz w:val="20"/>
                <w:szCs w:val="18"/>
                <w:lang w:val="es-ES_tradnl"/>
              </w:rPr>
            </w:pPr>
          </w:p>
          <w:p w14:paraId="55C82C21" w14:textId="7D702ECF" w:rsidR="00904807" w:rsidRDefault="00904807" w:rsidP="00904807">
            <w:pPr>
              <w:pStyle w:val="Textonotapie"/>
              <w:spacing w:before="0" w:after="0"/>
              <w:jc w:val="both"/>
              <w:rPr>
                <w:rFonts w:ascii="Futura Std Condensed Light" w:hAnsi="Futura Std Condensed Light" w:cs="Calibri"/>
                <w:sz w:val="20"/>
                <w:szCs w:val="18"/>
                <w:lang w:val="es-ES_tradnl"/>
              </w:rPr>
            </w:pPr>
          </w:p>
          <w:p w14:paraId="53C0C18B" w14:textId="1A552E89" w:rsidR="00904807" w:rsidRDefault="00904807" w:rsidP="00904807">
            <w:pPr>
              <w:pStyle w:val="Textonotapie"/>
              <w:spacing w:before="0" w:after="0"/>
              <w:jc w:val="both"/>
              <w:rPr>
                <w:rFonts w:ascii="Futura Std Condensed Light" w:hAnsi="Futura Std Condensed Light" w:cs="Calibri"/>
                <w:sz w:val="20"/>
                <w:szCs w:val="18"/>
                <w:lang w:val="es-ES_tradnl"/>
              </w:rPr>
            </w:pPr>
          </w:p>
          <w:p w14:paraId="50E6FFDB" w14:textId="42161B31" w:rsidR="00904807" w:rsidRDefault="00904807" w:rsidP="00904807">
            <w:pPr>
              <w:pStyle w:val="Textonotapie"/>
              <w:spacing w:before="0" w:after="0"/>
              <w:jc w:val="both"/>
              <w:rPr>
                <w:rFonts w:ascii="Futura Std Condensed Light" w:hAnsi="Futura Std Condensed Light" w:cs="Calibri"/>
                <w:sz w:val="20"/>
                <w:szCs w:val="18"/>
                <w:lang w:val="es-ES_tradnl"/>
              </w:rPr>
            </w:pPr>
          </w:p>
          <w:p w14:paraId="651DEC8F" w14:textId="151CA27D" w:rsidR="00904807" w:rsidRDefault="00904807" w:rsidP="00904807">
            <w:pPr>
              <w:pStyle w:val="Textonotapie"/>
              <w:spacing w:before="0" w:after="0"/>
              <w:jc w:val="both"/>
              <w:rPr>
                <w:rFonts w:ascii="Futura Std Condensed Light" w:hAnsi="Futura Std Condensed Light" w:cs="Calibri"/>
                <w:sz w:val="20"/>
                <w:szCs w:val="18"/>
                <w:lang w:val="es-ES_tradnl"/>
              </w:rPr>
            </w:pPr>
          </w:p>
          <w:p w14:paraId="06924C69" w14:textId="18E843FC" w:rsidR="00904807" w:rsidRDefault="00904807" w:rsidP="00904807">
            <w:pPr>
              <w:pStyle w:val="Textonotapie"/>
              <w:spacing w:before="0" w:after="0"/>
              <w:jc w:val="both"/>
              <w:rPr>
                <w:rFonts w:ascii="Futura Std Condensed Light" w:hAnsi="Futura Std Condensed Light" w:cs="Calibri"/>
                <w:sz w:val="20"/>
                <w:szCs w:val="18"/>
                <w:lang w:val="es-ES_tradnl"/>
              </w:rPr>
            </w:pPr>
          </w:p>
          <w:p w14:paraId="2184D18C" w14:textId="7407AF7A" w:rsidR="00904807" w:rsidRDefault="00904807" w:rsidP="00904807">
            <w:pPr>
              <w:pStyle w:val="Textonotapie"/>
              <w:spacing w:before="0" w:after="0"/>
              <w:jc w:val="both"/>
              <w:rPr>
                <w:rFonts w:ascii="Futura Std Condensed Light" w:hAnsi="Futura Std Condensed Light" w:cs="Calibri"/>
                <w:sz w:val="20"/>
                <w:szCs w:val="18"/>
                <w:lang w:val="es-ES_tradnl"/>
              </w:rPr>
            </w:pPr>
          </w:p>
          <w:p w14:paraId="65E3D560" w14:textId="2219621B" w:rsidR="00904807" w:rsidRDefault="00904807" w:rsidP="00904807">
            <w:pPr>
              <w:pStyle w:val="Textonotapie"/>
              <w:spacing w:before="0" w:after="0"/>
              <w:jc w:val="both"/>
              <w:rPr>
                <w:rFonts w:ascii="Futura Std Condensed Light" w:hAnsi="Futura Std Condensed Light" w:cs="Calibri"/>
                <w:sz w:val="20"/>
                <w:szCs w:val="18"/>
                <w:lang w:val="es-ES_tradnl"/>
              </w:rPr>
            </w:pPr>
          </w:p>
          <w:p w14:paraId="42D55EAE" w14:textId="1A1581DF" w:rsidR="00904807" w:rsidRDefault="00904807" w:rsidP="00904807">
            <w:pPr>
              <w:pStyle w:val="Textonotapie"/>
              <w:spacing w:before="0" w:after="0"/>
              <w:jc w:val="both"/>
              <w:rPr>
                <w:rFonts w:ascii="Futura Std Condensed Light" w:hAnsi="Futura Std Condensed Light" w:cs="Calibri"/>
                <w:sz w:val="20"/>
                <w:szCs w:val="18"/>
                <w:lang w:val="es-ES_tradnl"/>
              </w:rPr>
            </w:pPr>
          </w:p>
          <w:p w14:paraId="46241317" w14:textId="290E224C" w:rsidR="00904807" w:rsidRDefault="00904807" w:rsidP="00904807">
            <w:pPr>
              <w:pStyle w:val="Textonotapie"/>
              <w:spacing w:before="0" w:after="0"/>
              <w:jc w:val="both"/>
              <w:rPr>
                <w:rFonts w:ascii="Futura Std Condensed Light" w:hAnsi="Futura Std Condensed Light" w:cs="Calibri"/>
                <w:sz w:val="20"/>
                <w:szCs w:val="18"/>
                <w:lang w:val="es-ES_tradnl"/>
              </w:rPr>
            </w:pPr>
          </w:p>
          <w:p w14:paraId="1E4695CD" w14:textId="145A445C" w:rsidR="00D056A4" w:rsidRDefault="00D056A4" w:rsidP="00904807">
            <w:pPr>
              <w:pStyle w:val="Textonotapie"/>
              <w:spacing w:before="0" w:after="0"/>
              <w:jc w:val="both"/>
              <w:rPr>
                <w:rFonts w:ascii="Futura Std Condensed Light" w:hAnsi="Futura Std Condensed Light" w:cs="Calibri"/>
                <w:sz w:val="20"/>
                <w:szCs w:val="18"/>
                <w:lang w:val="es-ES_tradnl"/>
              </w:rPr>
            </w:pPr>
          </w:p>
          <w:p w14:paraId="65FD37A4" w14:textId="6B86297D" w:rsidR="00D056A4" w:rsidRDefault="00D056A4" w:rsidP="00904807">
            <w:pPr>
              <w:pStyle w:val="Textonotapie"/>
              <w:spacing w:before="0" w:after="0"/>
              <w:jc w:val="both"/>
              <w:rPr>
                <w:rFonts w:ascii="Futura Std Condensed Light" w:hAnsi="Futura Std Condensed Light" w:cs="Calibri"/>
                <w:sz w:val="20"/>
                <w:szCs w:val="18"/>
                <w:lang w:val="es-ES_tradnl"/>
              </w:rPr>
            </w:pPr>
          </w:p>
          <w:p w14:paraId="14F28245" w14:textId="517EDD70" w:rsidR="00D056A4" w:rsidRDefault="00D056A4" w:rsidP="00904807">
            <w:pPr>
              <w:pStyle w:val="Textonotapie"/>
              <w:spacing w:before="0" w:after="0"/>
              <w:jc w:val="both"/>
              <w:rPr>
                <w:rFonts w:ascii="Futura Std Condensed Light" w:hAnsi="Futura Std Condensed Light" w:cs="Calibri"/>
                <w:sz w:val="20"/>
                <w:szCs w:val="18"/>
                <w:lang w:val="es-ES_tradnl"/>
              </w:rPr>
            </w:pPr>
          </w:p>
          <w:p w14:paraId="0B01F3FF" w14:textId="063F7C67" w:rsidR="00D056A4" w:rsidRDefault="00D056A4" w:rsidP="00904807">
            <w:pPr>
              <w:pStyle w:val="Textonotapie"/>
              <w:spacing w:before="0" w:after="0"/>
              <w:jc w:val="both"/>
              <w:rPr>
                <w:rFonts w:ascii="Futura Std Condensed Light" w:hAnsi="Futura Std Condensed Light" w:cs="Calibri"/>
                <w:sz w:val="20"/>
                <w:szCs w:val="18"/>
                <w:lang w:val="es-ES_tradnl"/>
              </w:rPr>
            </w:pPr>
          </w:p>
          <w:p w14:paraId="4C9436E9" w14:textId="4BCC7F98" w:rsidR="00D056A4" w:rsidRDefault="00D056A4" w:rsidP="00904807">
            <w:pPr>
              <w:pStyle w:val="Textonotapie"/>
              <w:spacing w:before="0" w:after="0"/>
              <w:jc w:val="both"/>
              <w:rPr>
                <w:rFonts w:ascii="Futura Std Condensed Light" w:hAnsi="Futura Std Condensed Light" w:cs="Calibri"/>
                <w:sz w:val="20"/>
                <w:szCs w:val="18"/>
                <w:lang w:val="es-ES_tradnl"/>
              </w:rPr>
            </w:pPr>
          </w:p>
          <w:p w14:paraId="7F47BB5D" w14:textId="65DF295D" w:rsidR="00D056A4" w:rsidRDefault="00D056A4" w:rsidP="00904807">
            <w:pPr>
              <w:pStyle w:val="Textonotapie"/>
              <w:spacing w:before="0" w:after="0"/>
              <w:jc w:val="both"/>
              <w:rPr>
                <w:rFonts w:ascii="Futura Std Condensed Light" w:hAnsi="Futura Std Condensed Light" w:cs="Calibri"/>
                <w:sz w:val="20"/>
                <w:szCs w:val="18"/>
                <w:lang w:val="es-ES_tradnl"/>
              </w:rPr>
            </w:pPr>
          </w:p>
          <w:p w14:paraId="3D42D357" w14:textId="6D0BF844" w:rsidR="00D056A4" w:rsidRDefault="00D056A4" w:rsidP="00904807">
            <w:pPr>
              <w:pStyle w:val="Textonotapie"/>
              <w:spacing w:before="0" w:after="0"/>
              <w:jc w:val="both"/>
              <w:rPr>
                <w:rFonts w:ascii="Futura Std Condensed Light" w:hAnsi="Futura Std Condensed Light" w:cs="Calibri"/>
                <w:sz w:val="20"/>
                <w:szCs w:val="18"/>
                <w:lang w:val="es-ES_tradnl"/>
              </w:rPr>
            </w:pPr>
          </w:p>
          <w:p w14:paraId="7F4027EF" w14:textId="4EACE75E" w:rsidR="00D056A4" w:rsidRDefault="00D056A4" w:rsidP="00904807">
            <w:pPr>
              <w:pStyle w:val="Textonotapie"/>
              <w:spacing w:before="0" w:after="0"/>
              <w:jc w:val="both"/>
              <w:rPr>
                <w:rFonts w:ascii="Futura Std Condensed Light" w:hAnsi="Futura Std Condensed Light" w:cs="Calibri"/>
                <w:sz w:val="20"/>
                <w:szCs w:val="18"/>
                <w:lang w:val="es-ES_tradnl"/>
              </w:rPr>
            </w:pPr>
          </w:p>
          <w:p w14:paraId="5A34E7CD" w14:textId="5C9A8ABF" w:rsidR="00D056A4" w:rsidRDefault="00D056A4" w:rsidP="00904807">
            <w:pPr>
              <w:pStyle w:val="Textonotapie"/>
              <w:spacing w:before="0" w:after="0"/>
              <w:jc w:val="both"/>
              <w:rPr>
                <w:rFonts w:ascii="Futura Std Condensed Light" w:hAnsi="Futura Std Condensed Light" w:cs="Calibri"/>
                <w:sz w:val="20"/>
                <w:szCs w:val="18"/>
                <w:lang w:val="es-ES_tradnl"/>
              </w:rPr>
            </w:pPr>
          </w:p>
          <w:p w14:paraId="2FC9B54D" w14:textId="41757074" w:rsidR="00D056A4" w:rsidRDefault="00D056A4" w:rsidP="00904807">
            <w:pPr>
              <w:pStyle w:val="Textonotapie"/>
              <w:spacing w:before="0" w:after="0"/>
              <w:jc w:val="both"/>
              <w:rPr>
                <w:rFonts w:ascii="Futura Std Condensed Light" w:hAnsi="Futura Std Condensed Light" w:cs="Calibri"/>
                <w:sz w:val="20"/>
                <w:szCs w:val="18"/>
                <w:lang w:val="es-ES_tradnl"/>
              </w:rPr>
            </w:pPr>
          </w:p>
          <w:p w14:paraId="5167E982" w14:textId="7CAC14A0" w:rsidR="00D056A4" w:rsidRDefault="00D056A4" w:rsidP="00904807">
            <w:pPr>
              <w:pStyle w:val="Textonotapie"/>
              <w:spacing w:before="0" w:after="0"/>
              <w:jc w:val="both"/>
              <w:rPr>
                <w:rFonts w:ascii="Futura Std Condensed Light" w:hAnsi="Futura Std Condensed Light" w:cs="Calibri"/>
                <w:sz w:val="20"/>
                <w:szCs w:val="18"/>
                <w:lang w:val="es-ES_tradnl"/>
              </w:rPr>
            </w:pPr>
          </w:p>
          <w:p w14:paraId="70A0261F" w14:textId="5E812975" w:rsidR="00D056A4" w:rsidRDefault="00D056A4" w:rsidP="00904807">
            <w:pPr>
              <w:pStyle w:val="Textonotapie"/>
              <w:spacing w:before="0" w:after="0"/>
              <w:jc w:val="both"/>
              <w:rPr>
                <w:rFonts w:ascii="Futura Std Condensed Light" w:hAnsi="Futura Std Condensed Light" w:cs="Calibri"/>
                <w:sz w:val="20"/>
                <w:szCs w:val="18"/>
                <w:lang w:val="es-ES_tradnl"/>
              </w:rPr>
            </w:pPr>
          </w:p>
          <w:p w14:paraId="1C205804" w14:textId="0A46422C" w:rsidR="00D056A4" w:rsidRDefault="00D056A4" w:rsidP="00904807">
            <w:pPr>
              <w:pStyle w:val="Textonotapie"/>
              <w:spacing w:before="0" w:after="0"/>
              <w:jc w:val="both"/>
              <w:rPr>
                <w:rFonts w:ascii="Futura Std Condensed Light" w:hAnsi="Futura Std Condensed Light" w:cs="Calibri"/>
                <w:sz w:val="20"/>
                <w:szCs w:val="18"/>
                <w:lang w:val="es-ES_tradnl"/>
              </w:rPr>
            </w:pPr>
          </w:p>
          <w:p w14:paraId="446553B3" w14:textId="6A3A6E01" w:rsidR="00D056A4" w:rsidRDefault="00D056A4" w:rsidP="00904807">
            <w:pPr>
              <w:pStyle w:val="Textonotapie"/>
              <w:spacing w:before="0" w:after="0"/>
              <w:jc w:val="both"/>
              <w:rPr>
                <w:rFonts w:ascii="Futura Std Condensed Light" w:hAnsi="Futura Std Condensed Light" w:cs="Calibri"/>
                <w:sz w:val="20"/>
                <w:szCs w:val="18"/>
                <w:lang w:val="es-ES_tradnl"/>
              </w:rPr>
            </w:pPr>
          </w:p>
          <w:p w14:paraId="0980C2A2" w14:textId="11667B3B" w:rsidR="00904807" w:rsidRDefault="00904807" w:rsidP="00904807">
            <w:pPr>
              <w:pStyle w:val="Textonotapie"/>
              <w:spacing w:before="0" w:after="0"/>
              <w:jc w:val="both"/>
              <w:rPr>
                <w:rFonts w:ascii="Futura Std Condensed Light" w:hAnsi="Futura Std Condensed Light" w:cs="Calibri"/>
                <w:sz w:val="20"/>
                <w:szCs w:val="18"/>
                <w:lang w:val="es-ES_tradnl"/>
              </w:rPr>
            </w:pPr>
          </w:p>
          <w:p w14:paraId="6EE7FC74" w14:textId="77777777" w:rsidR="00904807" w:rsidRDefault="00904807" w:rsidP="00904807">
            <w:pPr>
              <w:pStyle w:val="Textonotapie"/>
              <w:spacing w:before="0" w:after="0"/>
              <w:jc w:val="both"/>
              <w:rPr>
                <w:rFonts w:ascii="Futura Std Condensed Light" w:hAnsi="Futura Std Condensed Light" w:cs="Calibri"/>
                <w:sz w:val="20"/>
                <w:szCs w:val="18"/>
                <w:lang w:val="es-ES_tradnl"/>
              </w:rPr>
            </w:pPr>
            <w:r>
              <w:rPr>
                <w:rFonts w:ascii="Futura Std Condensed Light" w:hAnsi="Futura Std Condensed Light" w:cs="Calibri"/>
                <w:sz w:val="20"/>
                <w:szCs w:val="18"/>
                <w:lang w:val="es-ES_tradnl"/>
              </w:rPr>
              <w:t>1.</w:t>
            </w:r>
            <w:r w:rsidRPr="000140F1">
              <w:rPr>
                <w:rFonts w:ascii="Futura Std Condensed Light" w:hAnsi="Futura Std Condensed Light" w:cs="Calibri"/>
                <w:sz w:val="20"/>
                <w:szCs w:val="18"/>
                <w:lang w:val="es-ES_tradnl"/>
              </w:rPr>
              <w:t>Garantizar el acceso y permanencia a una educación inclusiva y de calidad en todos los niveles educativos que promueva en los educandos aprendizajes para la vida</w:t>
            </w:r>
          </w:p>
          <w:p w14:paraId="0004C539" w14:textId="77777777" w:rsidR="009F165F" w:rsidRDefault="009F165F" w:rsidP="00904807">
            <w:pPr>
              <w:pStyle w:val="Textonotapie"/>
              <w:spacing w:before="0" w:after="0"/>
              <w:jc w:val="both"/>
              <w:rPr>
                <w:rFonts w:ascii="Futura Std Condensed Light" w:hAnsi="Futura Std Condensed Light" w:cs="Calibri"/>
                <w:sz w:val="20"/>
                <w:szCs w:val="18"/>
                <w:lang w:val="es-ES_tradnl"/>
              </w:rPr>
            </w:pPr>
          </w:p>
          <w:p w14:paraId="21F7F9E6" w14:textId="77777777" w:rsidR="009F165F" w:rsidRDefault="009F165F" w:rsidP="00904807">
            <w:pPr>
              <w:pStyle w:val="Textonotapie"/>
              <w:spacing w:before="0" w:after="0"/>
              <w:jc w:val="both"/>
              <w:rPr>
                <w:rFonts w:ascii="Futura Std Condensed Light" w:hAnsi="Futura Std Condensed Light" w:cs="Calibri"/>
                <w:sz w:val="20"/>
                <w:szCs w:val="18"/>
                <w:lang w:val="es-ES_tradnl"/>
              </w:rPr>
            </w:pPr>
          </w:p>
          <w:p w14:paraId="5BCA9592" w14:textId="77777777" w:rsidR="009F165F" w:rsidRDefault="009F165F" w:rsidP="00904807">
            <w:pPr>
              <w:pStyle w:val="Textonotapie"/>
              <w:spacing w:before="0" w:after="0"/>
              <w:jc w:val="both"/>
              <w:rPr>
                <w:rFonts w:ascii="Futura Std Condensed Light" w:hAnsi="Futura Std Condensed Light" w:cs="Calibri"/>
                <w:sz w:val="20"/>
                <w:szCs w:val="18"/>
                <w:lang w:val="es-ES_tradnl"/>
              </w:rPr>
            </w:pPr>
          </w:p>
          <w:p w14:paraId="2041B28D" w14:textId="721F01F1" w:rsidR="009F165F" w:rsidRDefault="009F165F" w:rsidP="00904807">
            <w:pPr>
              <w:pStyle w:val="Textonotapie"/>
              <w:spacing w:before="0" w:after="0"/>
              <w:jc w:val="both"/>
              <w:rPr>
                <w:rFonts w:ascii="Futura Std Condensed Light" w:hAnsi="Futura Std Condensed Light" w:cs="Calibri"/>
                <w:sz w:val="20"/>
                <w:szCs w:val="18"/>
                <w:lang w:val="es-ES_tradnl"/>
              </w:rPr>
            </w:pPr>
          </w:p>
          <w:p w14:paraId="2A9A6E18" w14:textId="2BA2D8A5" w:rsidR="009F165F" w:rsidRDefault="009F165F" w:rsidP="00904807">
            <w:pPr>
              <w:pStyle w:val="Textonotapie"/>
              <w:spacing w:before="0" w:after="0"/>
              <w:jc w:val="both"/>
              <w:rPr>
                <w:rFonts w:ascii="Futura Std Condensed Light" w:hAnsi="Futura Std Condensed Light" w:cs="Calibri"/>
                <w:sz w:val="20"/>
                <w:szCs w:val="18"/>
                <w:lang w:val="es-ES_tradnl"/>
              </w:rPr>
            </w:pPr>
          </w:p>
          <w:p w14:paraId="215DEB6A" w14:textId="6CA67A44" w:rsidR="009F165F" w:rsidRDefault="009F165F" w:rsidP="00904807">
            <w:pPr>
              <w:pStyle w:val="Textonotapie"/>
              <w:spacing w:before="0" w:after="0"/>
              <w:jc w:val="both"/>
              <w:rPr>
                <w:rFonts w:ascii="Futura Std Condensed Light" w:hAnsi="Futura Std Condensed Light" w:cs="Calibri"/>
                <w:sz w:val="20"/>
                <w:szCs w:val="18"/>
                <w:lang w:val="es-ES_tradnl"/>
              </w:rPr>
            </w:pPr>
          </w:p>
          <w:p w14:paraId="49AD7CE9" w14:textId="1AFF12FE" w:rsidR="009F165F" w:rsidRDefault="009F165F" w:rsidP="00904807">
            <w:pPr>
              <w:pStyle w:val="Textonotapie"/>
              <w:spacing w:before="0" w:after="0"/>
              <w:jc w:val="both"/>
              <w:rPr>
                <w:rFonts w:ascii="Futura Std Condensed Light" w:hAnsi="Futura Std Condensed Light" w:cs="Calibri"/>
                <w:sz w:val="20"/>
                <w:szCs w:val="18"/>
                <w:lang w:val="es-ES_tradnl"/>
              </w:rPr>
            </w:pPr>
          </w:p>
          <w:p w14:paraId="46885864" w14:textId="69498C12" w:rsidR="009F165F" w:rsidRDefault="009F165F" w:rsidP="00904807">
            <w:pPr>
              <w:pStyle w:val="Textonotapie"/>
              <w:spacing w:before="0" w:after="0"/>
              <w:jc w:val="both"/>
              <w:rPr>
                <w:rFonts w:ascii="Futura Std Condensed Light" w:hAnsi="Futura Std Condensed Light" w:cs="Calibri"/>
                <w:sz w:val="20"/>
                <w:szCs w:val="18"/>
                <w:lang w:val="es-ES_tradnl"/>
              </w:rPr>
            </w:pPr>
          </w:p>
          <w:p w14:paraId="458F903D" w14:textId="2FCE942B" w:rsidR="009F165F" w:rsidRDefault="009F165F" w:rsidP="00904807">
            <w:pPr>
              <w:pStyle w:val="Textonotapie"/>
              <w:spacing w:before="0" w:after="0"/>
              <w:jc w:val="both"/>
              <w:rPr>
                <w:rFonts w:ascii="Futura Std Condensed Light" w:hAnsi="Futura Std Condensed Light" w:cs="Calibri"/>
                <w:sz w:val="20"/>
                <w:szCs w:val="18"/>
                <w:lang w:val="es-ES_tradnl"/>
              </w:rPr>
            </w:pPr>
          </w:p>
          <w:p w14:paraId="2316EFD8" w14:textId="246AAE20" w:rsidR="009F165F" w:rsidRDefault="009F165F" w:rsidP="00904807">
            <w:pPr>
              <w:pStyle w:val="Textonotapie"/>
              <w:spacing w:before="0" w:after="0"/>
              <w:jc w:val="both"/>
              <w:rPr>
                <w:rFonts w:ascii="Futura Std Condensed Light" w:hAnsi="Futura Std Condensed Light" w:cs="Calibri"/>
                <w:sz w:val="20"/>
                <w:szCs w:val="18"/>
                <w:lang w:val="es-ES_tradnl"/>
              </w:rPr>
            </w:pPr>
          </w:p>
          <w:p w14:paraId="2BA6D818" w14:textId="5CBFDFB2" w:rsidR="009F165F" w:rsidRDefault="009F165F" w:rsidP="00904807">
            <w:pPr>
              <w:pStyle w:val="Textonotapie"/>
              <w:spacing w:before="0" w:after="0"/>
              <w:jc w:val="both"/>
              <w:rPr>
                <w:rFonts w:ascii="Futura Std Condensed Light" w:hAnsi="Futura Std Condensed Light" w:cs="Calibri"/>
                <w:sz w:val="20"/>
                <w:szCs w:val="18"/>
                <w:lang w:val="es-ES_tradnl"/>
              </w:rPr>
            </w:pPr>
          </w:p>
          <w:p w14:paraId="47F58B27" w14:textId="32C0464B" w:rsidR="009F165F" w:rsidRDefault="009F165F" w:rsidP="00904807">
            <w:pPr>
              <w:pStyle w:val="Textonotapie"/>
              <w:spacing w:before="0" w:after="0"/>
              <w:jc w:val="both"/>
              <w:rPr>
                <w:rFonts w:ascii="Futura Std Condensed Light" w:hAnsi="Futura Std Condensed Light" w:cs="Calibri"/>
                <w:sz w:val="20"/>
                <w:szCs w:val="18"/>
                <w:lang w:val="es-ES_tradnl"/>
              </w:rPr>
            </w:pPr>
          </w:p>
          <w:p w14:paraId="15556EE9" w14:textId="4E095217" w:rsidR="009F165F" w:rsidRDefault="009F165F" w:rsidP="00904807">
            <w:pPr>
              <w:pStyle w:val="Textonotapie"/>
              <w:spacing w:before="0" w:after="0"/>
              <w:jc w:val="both"/>
              <w:rPr>
                <w:rFonts w:ascii="Futura Std Condensed Light" w:hAnsi="Futura Std Condensed Light" w:cs="Calibri"/>
                <w:sz w:val="20"/>
                <w:szCs w:val="18"/>
                <w:lang w:val="es-ES_tradnl"/>
              </w:rPr>
            </w:pPr>
          </w:p>
          <w:p w14:paraId="569F2434" w14:textId="059F2BDB" w:rsidR="009F165F" w:rsidRDefault="009F165F" w:rsidP="00904807">
            <w:pPr>
              <w:pStyle w:val="Textonotapie"/>
              <w:spacing w:before="0" w:after="0"/>
              <w:jc w:val="both"/>
              <w:rPr>
                <w:rFonts w:ascii="Futura Std Condensed Light" w:hAnsi="Futura Std Condensed Light" w:cs="Calibri"/>
                <w:sz w:val="20"/>
                <w:szCs w:val="18"/>
                <w:lang w:val="es-ES_tradnl"/>
              </w:rPr>
            </w:pPr>
          </w:p>
          <w:p w14:paraId="4662169F" w14:textId="59AF89D7" w:rsidR="009F165F" w:rsidRDefault="009F165F" w:rsidP="00904807">
            <w:pPr>
              <w:pStyle w:val="Textonotapie"/>
              <w:spacing w:before="0" w:after="0"/>
              <w:jc w:val="both"/>
              <w:rPr>
                <w:rFonts w:ascii="Futura Std Condensed Light" w:hAnsi="Futura Std Condensed Light" w:cs="Calibri"/>
                <w:sz w:val="20"/>
                <w:szCs w:val="18"/>
                <w:lang w:val="es-ES_tradnl"/>
              </w:rPr>
            </w:pPr>
          </w:p>
          <w:p w14:paraId="7A9F0C29" w14:textId="46A6E544" w:rsidR="009F165F" w:rsidRDefault="009F165F" w:rsidP="00904807">
            <w:pPr>
              <w:pStyle w:val="Textonotapie"/>
              <w:spacing w:before="0" w:after="0"/>
              <w:jc w:val="both"/>
              <w:rPr>
                <w:rFonts w:ascii="Futura Std Condensed Light" w:hAnsi="Futura Std Condensed Light" w:cs="Calibri"/>
                <w:sz w:val="20"/>
                <w:szCs w:val="18"/>
                <w:lang w:val="es-ES_tradnl"/>
              </w:rPr>
            </w:pPr>
          </w:p>
          <w:p w14:paraId="477AF9DB" w14:textId="45CA1DFE" w:rsidR="009F165F" w:rsidRDefault="009F165F" w:rsidP="00904807">
            <w:pPr>
              <w:pStyle w:val="Textonotapie"/>
              <w:spacing w:before="0" w:after="0"/>
              <w:jc w:val="both"/>
              <w:rPr>
                <w:rFonts w:ascii="Futura Std Condensed Light" w:hAnsi="Futura Std Condensed Light" w:cs="Calibri"/>
                <w:sz w:val="20"/>
                <w:szCs w:val="18"/>
                <w:lang w:val="es-ES_tradnl"/>
              </w:rPr>
            </w:pPr>
          </w:p>
          <w:p w14:paraId="75ED68EB" w14:textId="77777777" w:rsidR="009F165F" w:rsidRDefault="009F165F" w:rsidP="00904807">
            <w:pPr>
              <w:pStyle w:val="Textonotapie"/>
              <w:spacing w:before="0" w:after="0"/>
              <w:jc w:val="both"/>
              <w:rPr>
                <w:rFonts w:ascii="Futura Std Condensed Light" w:hAnsi="Futura Std Condensed Light" w:cs="Calibri"/>
                <w:sz w:val="20"/>
                <w:szCs w:val="18"/>
                <w:lang w:val="es-ES_tradnl"/>
              </w:rPr>
            </w:pPr>
          </w:p>
          <w:p w14:paraId="7805DAFF" w14:textId="7D6A661B" w:rsidR="009F165F" w:rsidRPr="000140F1" w:rsidRDefault="009F165F" w:rsidP="00904807">
            <w:pPr>
              <w:pStyle w:val="Textonotapie"/>
              <w:spacing w:before="0" w:after="0"/>
              <w:jc w:val="both"/>
              <w:rPr>
                <w:rFonts w:ascii="Futura Std Condensed Light" w:hAnsi="Futura Std Condensed Light"/>
                <w:sz w:val="20"/>
                <w:szCs w:val="16"/>
                <w:lang w:val="es-ES_tradnl"/>
              </w:rPr>
            </w:pPr>
            <w:r>
              <w:rPr>
                <w:rFonts w:ascii="Futura Std Condensed Light" w:hAnsi="Futura Std Condensed Light" w:cs="Calibri"/>
                <w:sz w:val="20"/>
                <w:szCs w:val="18"/>
                <w:lang w:val="es-ES_tradnl"/>
              </w:rPr>
              <w:t>1.</w:t>
            </w:r>
            <w:r w:rsidRPr="000140F1">
              <w:rPr>
                <w:rFonts w:ascii="Futura Std Condensed Light" w:hAnsi="Futura Std Condensed Light" w:cs="Calibri"/>
                <w:sz w:val="20"/>
                <w:szCs w:val="18"/>
                <w:lang w:val="es-ES_tradnl"/>
              </w:rPr>
              <w:t>Garantizar el acceso y permanencia a una educación inclusiva y de calidad en todos los niveles educativos que promueva en los educandos aprendizajes para la vida</w:t>
            </w:r>
          </w:p>
        </w:tc>
        <w:tc>
          <w:tcPr>
            <w:tcW w:w="2247" w:type="dxa"/>
            <w:vMerge w:val="restar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14:paraId="13AF5B21" w14:textId="77777777" w:rsidR="00077A92" w:rsidRPr="000140F1" w:rsidRDefault="00077A92" w:rsidP="00904807">
            <w:pPr>
              <w:pStyle w:val="Textonotapie"/>
              <w:spacing w:before="0" w:after="0"/>
              <w:jc w:val="both"/>
              <w:rPr>
                <w:rFonts w:ascii="Futura Std Condensed Light" w:hAnsi="Futura Std Condensed Light" w:cs="Calibri"/>
                <w:sz w:val="20"/>
                <w:szCs w:val="18"/>
                <w:lang w:val="es-ES_tradnl"/>
              </w:rPr>
            </w:pPr>
            <w:r w:rsidRPr="000140F1">
              <w:rPr>
                <w:rFonts w:ascii="Futura Std Condensed Light" w:hAnsi="Futura Std Condensed Light" w:cs="Calibri"/>
                <w:sz w:val="20"/>
                <w:szCs w:val="18"/>
                <w:lang w:val="es-ES_tradnl"/>
              </w:rPr>
              <w:lastRenderedPageBreak/>
              <w:t xml:space="preserve">1. Garantizar el derecho de la población en México a una educación equitativa, inclusiva, intercultural e integral, que tenga como eje principal el </w:t>
            </w:r>
            <w:r w:rsidRPr="000140F1">
              <w:rPr>
                <w:rFonts w:ascii="Futura Std Condensed Light" w:hAnsi="Futura Std Condensed Light" w:cs="Calibri"/>
                <w:sz w:val="20"/>
                <w:szCs w:val="18"/>
                <w:lang w:val="es-ES_tradnl"/>
              </w:rPr>
              <w:lastRenderedPageBreak/>
              <w:t>interés superior de las niñas, niños, adolescentes y jóvenes para promover el bienestar y el desarrollo nacional. </w:t>
            </w:r>
          </w:p>
        </w:tc>
        <w:tc>
          <w:tcPr>
            <w:tcW w:w="1248" w:type="dxa"/>
            <w:vMerge w:val="restar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14:paraId="4DCE0602" w14:textId="77777777" w:rsidR="00077A92" w:rsidRDefault="00077A92" w:rsidP="009E3B2F">
            <w:pPr>
              <w:pStyle w:val="Textonotapie"/>
              <w:spacing w:before="0" w:after="0"/>
              <w:rPr>
                <w:rFonts w:ascii="Futura Std Condensed Light" w:hAnsi="Futura Std Condensed Light" w:cs="Calibri"/>
                <w:sz w:val="20"/>
                <w:szCs w:val="18"/>
                <w:lang w:val="es-ES_tradnl"/>
              </w:rPr>
            </w:pPr>
          </w:p>
          <w:p w14:paraId="4318E99B" w14:textId="77777777" w:rsidR="00077A92" w:rsidRDefault="00077A92" w:rsidP="009E3B2F">
            <w:pPr>
              <w:pStyle w:val="Textonotapie"/>
              <w:spacing w:before="0" w:after="0"/>
              <w:rPr>
                <w:rFonts w:ascii="Futura Std Condensed Light" w:hAnsi="Futura Std Condensed Light" w:cs="Calibri"/>
                <w:sz w:val="20"/>
                <w:szCs w:val="18"/>
                <w:lang w:val="es-ES_tradnl"/>
              </w:rPr>
            </w:pPr>
          </w:p>
          <w:p w14:paraId="6FA55F4E" w14:textId="77777777" w:rsidR="00077A92" w:rsidRDefault="00077A92" w:rsidP="009E3B2F">
            <w:pPr>
              <w:pStyle w:val="Textonotapie"/>
              <w:spacing w:before="0" w:after="0"/>
              <w:rPr>
                <w:rFonts w:ascii="Futura Std Condensed Light" w:hAnsi="Futura Std Condensed Light" w:cs="Calibri"/>
                <w:sz w:val="20"/>
                <w:szCs w:val="18"/>
                <w:lang w:val="es-ES_tradnl"/>
              </w:rPr>
            </w:pPr>
          </w:p>
          <w:p w14:paraId="732C5664" w14:textId="77777777" w:rsidR="00077A92" w:rsidRDefault="00077A92" w:rsidP="009E3B2F">
            <w:pPr>
              <w:pStyle w:val="Textonotapie"/>
              <w:spacing w:before="0" w:after="0"/>
              <w:rPr>
                <w:rFonts w:ascii="Futura Std Condensed Light" w:hAnsi="Futura Std Condensed Light" w:cs="Calibri"/>
                <w:sz w:val="20"/>
                <w:szCs w:val="18"/>
                <w:lang w:val="es-ES_tradnl"/>
              </w:rPr>
            </w:pPr>
          </w:p>
          <w:p w14:paraId="3F16301E" w14:textId="77777777" w:rsidR="00077A92" w:rsidRDefault="00077A92" w:rsidP="009E3B2F">
            <w:pPr>
              <w:pStyle w:val="Textonotapie"/>
              <w:spacing w:before="0" w:after="0"/>
              <w:rPr>
                <w:rFonts w:ascii="Futura Std Condensed Light" w:hAnsi="Futura Std Condensed Light" w:cs="Calibri"/>
                <w:sz w:val="20"/>
                <w:szCs w:val="18"/>
                <w:lang w:val="es-ES_tradnl"/>
              </w:rPr>
            </w:pPr>
          </w:p>
          <w:p w14:paraId="1254CB8B" w14:textId="77777777" w:rsidR="00077A92" w:rsidRDefault="00077A92" w:rsidP="009E3B2F">
            <w:pPr>
              <w:pStyle w:val="Textonotapie"/>
              <w:spacing w:before="0" w:after="0"/>
              <w:rPr>
                <w:rFonts w:ascii="Futura Std Condensed Light" w:hAnsi="Futura Std Condensed Light" w:cs="Calibri"/>
                <w:sz w:val="20"/>
                <w:szCs w:val="18"/>
                <w:lang w:val="es-ES_tradnl"/>
              </w:rPr>
            </w:pPr>
          </w:p>
          <w:p w14:paraId="5D246ED1" w14:textId="77777777" w:rsidR="00077A92" w:rsidRDefault="00077A92" w:rsidP="009E3B2F">
            <w:pPr>
              <w:pStyle w:val="Textonotapie"/>
              <w:spacing w:before="0" w:after="0"/>
              <w:rPr>
                <w:rFonts w:ascii="Futura Std Condensed Light" w:hAnsi="Futura Std Condensed Light" w:cs="Calibri"/>
                <w:sz w:val="20"/>
                <w:szCs w:val="18"/>
                <w:lang w:val="es-ES_tradnl"/>
              </w:rPr>
            </w:pPr>
          </w:p>
          <w:p w14:paraId="726595E3" w14:textId="77777777" w:rsidR="00077A92" w:rsidRDefault="00077A92" w:rsidP="009E3B2F">
            <w:pPr>
              <w:pStyle w:val="Textonotapie"/>
              <w:spacing w:before="0" w:after="0"/>
              <w:rPr>
                <w:rFonts w:ascii="Futura Std Condensed Light" w:hAnsi="Futura Std Condensed Light" w:cs="Calibri"/>
                <w:sz w:val="20"/>
                <w:szCs w:val="18"/>
                <w:lang w:val="es-ES_tradnl"/>
              </w:rPr>
            </w:pPr>
          </w:p>
          <w:p w14:paraId="304D146B" w14:textId="77777777" w:rsidR="00077A92" w:rsidRDefault="00077A92" w:rsidP="009E3B2F">
            <w:pPr>
              <w:pStyle w:val="Textonotapie"/>
              <w:spacing w:before="0" w:after="0"/>
              <w:rPr>
                <w:rFonts w:ascii="Futura Std Condensed Light" w:hAnsi="Futura Std Condensed Light" w:cs="Calibri"/>
                <w:sz w:val="20"/>
                <w:szCs w:val="18"/>
                <w:lang w:val="es-ES_tradnl"/>
              </w:rPr>
            </w:pPr>
          </w:p>
          <w:p w14:paraId="5A8898BA" w14:textId="77777777" w:rsidR="00077A92" w:rsidRDefault="00077A92" w:rsidP="009E3B2F">
            <w:pPr>
              <w:pStyle w:val="Textonotapie"/>
              <w:spacing w:before="0" w:after="0"/>
              <w:rPr>
                <w:rFonts w:ascii="Futura Std Condensed Light" w:hAnsi="Futura Std Condensed Light" w:cs="Calibri"/>
                <w:sz w:val="20"/>
                <w:szCs w:val="18"/>
                <w:lang w:val="es-ES_tradnl"/>
              </w:rPr>
            </w:pPr>
          </w:p>
          <w:p w14:paraId="5CB0AE02" w14:textId="241BF406" w:rsidR="00077A92" w:rsidRDefault="00077A92" w:rsidP="009E3B2F">
            <w:pPr>
              <w:pStyle w:val="Textonotapie"/>
              <w:spacing w:before="0" w:after="0"/>
              <w:rPr>
                <w:rFonts w:ascii="Futura Std Condensed Light" w:hAnsi="Futura Std Condensed Light" w:cs="Calibri"/>
                <w:sz w:val="20"/>
                <w:szCs w:val="18"/>
                <w:lang w:val="es-ES_tradnl"/>
              </w:rPr>
            </w:pPr>
          </w:p>
          <w:p w14:paraId="5F6D40BA" w14:textId="45E66F25" w:rsidR="00D056A4" w:rsidRDefault="00D056A4" w:rsidP="009E3B2F">
            <w:pPr>
              <w:pStyle w:val="Textonotapie"/>
              <w:spacing w:before="0" w:after="0"/>
              <w:rPr>
                <w:rFonts w:ascii="Futura Std Condensed Light" w:hAnsi="Futura Std Condensed Light" w:cs="Calibri"/>
                <w:sz w:val="20"/>
                <w:szCs w:val="18"/>
                <w:lang w:val="es-ES_tradnl"/>
              </w:rPr>
            </w:pPr>
          </w:p>
          <w:p w14:paraId="3442B8BB" w14:textId="5EDA5E2B" w:rsidR="00D056A4" w:rsidRDefault="00D056A4" w:rsidP="009E3B2F">
            <w:pPr>
              <w:pStyle w:val="Textonotapie"/>
              <w:spacing w:before="0" w:after="0"/>
              <w:rPr>
                <w:rFonts w:ascii="Futura Std Condensed Light" w:hAnsi="Futura Std Condensed Light" w:cs="Calibri"/>
                <w:sz w:val="20"/>
                <w:szCs w:val="18"/>
                <w:lang w:val="es-ES_tradnl"/>
              </w:rPr>
            </w:pPr>
          </w:p>
          <w:p w14:paraId="7A5B72CE" w14:textId="699AA0DA" w:rsidR="00D056A4" w:rsidRDefault="00D056A4" w:rsidP="009E3B2F">
            <w:pPr>
              <w:pStyle w:val="Textonotapie"/>
              <w:spacing w:before="0" w:after="0"/>
              <w:rPr>
                <w:rFonts w:ascii="Futura Std Condensed Light" w:hAnsi="Futura Std Condensed Light" w:cs="Calibri"/>
                <w:sz w:val="20"/>
                <w:szCs w:val="18"/>
                <w:lang w:val="es-ES_tradnl"/>
              </w:rPr>
            </w:pPr>
          </w:p>
          <w:p w14:paraId="6C19B8E3" w14:textId="7945A1E6" w:rsidR="00D056A4" w:rsidRDefault="00D056A4" w:rsidP="009E3B2F">
            <w:pPr>
              <w:pStyle w:val="Textonotapie"/>
              <w:spacing w:before="0" w:after="0"/>
              <w:rPr>
                <w:rFonts w:ascii="Futura Std Condensed Light" w:hAnsi="Futura Std Condensed Light" w:cs="Calibri"/>
                <w:sz w:val="20"/>
                <w:szCs w:val="18"/>
                <w:lang w:val="es-ES_tradnl"/>
              </w:rPr>
            </w:pPr>
          </w:p>
          <w:p w14:paraId="7F60EDA3" w14:textId="00B71829" w:rsidR="00D056A4" w:rsidRDefault="00D056A4" w:rsidP="009E3B2F">
            <w:pPr>
              <w:pStyle w:val="Textonotapie"/>
              <w:spacing w:before="0" w:after="0"/>
              <w:rPr>
                <w:rFonts w:ascii="Futura Std Condensed Light" w:hAnsi="Futura Std Condensed Light" w:cs="Calibri"/>
                <w:sz w:val="20"/>
                <w:szCs w:val="18"/>
                <w:lang w:val="es-ES_tradnl"/>
              </w:rPr>
            </w:pPr>
          </w:p>
          <w:p w14:paraId="0B267D44" w14:textId="5F437596" w:rsidR="00D056A4" w:rsidRDefault="00D056A4" w:rsidP="009E3B2F">
            <w:pPr>
              <w:pStyle w:val="Textonotapie"/>
              <w:spacing w:before="0" w:after="0"/>
              <w:rPr>
                <w:rFonts w:ascii="Futura Std Condensed Light" w:hAnsi="Futura Std Condensed Light" w:cs="Calibri"/>
                <w:sz w:val="20"/>
                <w:szCs w:val="18"/>
                <w:lang w:val="es-ES_tradnl"/>
              </w:rPr>
            </w:pPr>
          </w:p>
          <w:p w14:paraId="3A02D3F2" w14:textId="189354A6" w:rsidR="00D056A4" w:rsidRDefault="00D056A4" w:rsidP="009E3B2F">
            <w:pPr>
              <w:pStyle w:val="Textonotapie"/>
              <w:spacing w:before="0" w:after="0"/>
              <w:rPr>
                <w:rFonts w:ascii="Futura Std Condensed Light" w:hAnsi="Futura Std Condensed Light" w:cs="Calibri"/>
                <w:sz w:val="20"/>
                <w:szCs w:val="18"/>
                <w:lang w:val="es-ES_tradnl"/>
              </w:rPr>
            </w:pPr>
          </w:p>
          <w:p w14:paraId="67232950" w14:textId="77777777" w:rsidR="00D056A4" w:rsidRDefault="00D056A4" w:rsidP="009E3B2F">
            <w:pPr>
              <w:pStyle w:val="Textonotapie"/>
              <w:spacing w:before="0" w:after="0"/>
              <w:rPr>
                <w:rFonts w:ascii="Futura Std Condensed Light" w:hAnsi="Futura Std Condensed Light" w:cs="Calibri"/>
                <w:sz w:val="20"/>
                <w:szCs w:val="18"/>
                <w:lang w:val="es-ES_tradnl"/>
              </w:rPr>
            </w:pPr>
          </w:p>
          <w:p w14:paraId="560A3A64" w14:textId="77777777" w:rsidR="00077A92" w:rsidRDefault="00077A92" w:rsidP="009E3B2F">
            <w:pPr>
              <w:pStyle w:val="Textonotapie"/>
              <w:spacing w:before="0" w:after="0"/>
              <w:rPr>
                <w:rFonts w:ascii="Futura Std Condensed Light" w:hAnsi="Futura Std Condensed Light" w:cs="Calibri"/>
                <w:sz w:val="20"/>
                <w:szCs w:val="18"/>
                <w:lang w:val="es-ES_tradnl"/>
              </w:rPr>
            </w:pPr>
          </w:p>
          <w:p w14:paraId="4947C972" w14:textId="4D9E8968" w:rsidR="00077A92" w:rsidRPr="000140F1" w:rsidRDefault="00077A92" w:rsidP="008B2E0B">
            <w:pPr>
              <w:pStyle w:val="Textonotapie"/>
              <w:spacing w:before="0" w:after="0"/>
              <w:rPr>
                <w:rFonts w:ascii="Futura Std Condensed Light" w:hAnsi="Futura Std Condensed Light" w:cs="Calibri"/>
                <w:sz w:val="20"/>
                <w:szCs w:val="18"/>
                <w:lang w:val="es-ES_tradnl"/>
              </w:rPr>
            </w:pPr>
            <w:r w:rsidRPr="000140F1">
              <w:rPr>
                <w:rFonts w:ascii="Futura Std Condensed Light" w:hAnsi="Futura Std Condensed Light" w:cs="Calibri"/>
                <w:sz w:val="20"/>
                <w:szCs w:val="18"/>
                <w:lang w:val="es-ES_tradnl"/>
              </w:rPr>
              <w:t>Derecho a la Educación</w:t>
            </w:r>
          </w:p>
          <w:p w14:paraId="6207E6B0" w14:textId="77777777" w:rsidR="00077A92" w:rsidRPr="000140F1" w:rsidRDefault="00077A92" w:rsidP="009E3B2F">
            <w:pPr>
              <w:pStyle w:val="Textonotapie"/>
              <w:spacing w:before="0" w:after="0"/>
              <w:rPr>
                <w:rFonts w:ascii="Futura Std Condensed Light" w:hAnsi="Futura Std Condensed Light" w:cs="Calibri"/>
                <w:sz w:val="20"/>
                <w:szCs w:val="18"/>
                <w:lang w:val="es-ES_tradnl"/>
              </w:rPr>
            </w:pPr>
          </w:p>
          <w:p w14:paraId="6429EAB1" w14:textId="21613D96" w:rsidR="00077A92" w:rsidRDefault="00077A92" w:rsidP="009E3B2F">
            <w:pPr>
              <w:pStyle w:val="Textonotapie"/>
              <w:spacing w:before="0" w:after="0"/>
              <w:rPr>
                <w:rFonts w:ascii="Futura Std Condensed Light" w:hAnsi="Futura Std Condensed Light" w:cs="Calibri"/>
                <w:sz w:val="20"/>
                <w:szCs w:val="18"/>
                <w:lang w:val="es-ES_tradnl"/>
              </w:rPr>
            </w:pPr>
          </w:p>
          <w:p w14:paraId="2A845805" w14:textId="4011639A" w:rsidR="00077A92" w:rsidRDefault="00077A92" w:rsidP="009E3B2F">
            <w:pPr>
              <w:pStyle w:val="Textonotapie"/>
              <w:spacing w:before="0" w:after="0"/>
              <w:rPr>
                <w:rFonts w:ascii="Futura Std Condensed Light" w:hAnsi="Futura Std Condensed Light" w:cs="Calibri"/>
                <w:sz w:val="20"/>
                <w:szCs w:val="18"/>
                <w:lang w:val="es-ES_tradnl"/>
              </w:rPr>
            </w:pPr>
          </w:p>
          <w:p w14:paraId="7626EC80" w14:textId="6FF53174" w:rsidR="00077A92" w:rsidRDefault="00077A92" w:rsidP="009E3B2F">
            <w:pPr>
              <w:pStyle w:val="Textonotapie"/>
              <w:spacing w:before="0" w:after="0"/>
              <w:rPr>
                <w:rFonts w:ascii="Futura Std Condensed Light" w:hAnsi="Futura Std Condensed Light" w:cs="Calibri"/>
                <w:sz w:val="20"/>
                <w:szCs w:val="18"/>
                <w:lang w:val="es-ES_tradnl"/>
              </w:rPr>
            </w:pPr>
          </w:p>
          <w:p w14:paraId="2C772CA6" w14:textId="685BEBFE" w:rsidR="00077A92" w:rsidRDefault="00077A92" w:rsidP="009E3B2F">
            <w:pPr>
              <w:pStyle w:val="Textonotapie"/>
              <w:spacing w:before="0" w:after="0"/>
              <w:rPr>
                <w:rFonts w:ascii="Futura Std Condensed Light" w:hAnsi="Futura Std Condensed Light" w:cs="Calibri"/>
                <w:sz w:val="20"/>
                <w:szCs w:val="18"/>
                <w:lang w:val="es-ES_tradnl"/>
              </w:rPr>
            </w:pPr>
          </w:p>
          <w:p w14:paraId="29796031" w14:textId="4AA8E5C8" w:rsidR="00077A92" w:rsidRDefault="00077A92" w:rsidP="009E3B2F">
            <w:pPr>
              <w:pStyle w:val="Textonotapie"/>
              <w:spacing w:before="0" w:after="0"/>
              <w:rPr>
                <w:rFonts w:ascii="Futura Std Condensed Light" w:hAnsi="Futura Std Condensed Light" w:cs="Calibri"/>
                <w:sz w:val="20"/>
                <w:szCs w:val="18"/>
                <w:lang w:val="es-ES_tradnl"/>
              </w:rPr>
            </w:pPr>
          </w:p>
          <w:p w14:paraId="4C8418B3" w14:textId="5F92D428" w:rsidR="00077A92" w:rsidRDefault="00077A92" w:rsidP="009E3B2F">
            <w:pPr>
              <w:pStyle w:val="Textonotapie"/>
              <w:spacing w:before="0" w:after="0"/>
              <w:rPr>
                <w:rFonts w:ascii="Futura Std Condensed Light" w:hAnsi="Futura Std Condensed Light" w:cs="Calibri"/>
                <w:sz w:val="20"/>
                <w:szCs w:val="18"/>
                <w:lang w:val="es-ES_tradnl"/>
              </w:rPr>
            </w:pPr>
          </w:p>
          <w:p w14:paraId="1EE1FC11" w14:textId="6FFABF06" w:rsidR="00077A92" w:rsidRDefault="00077A92" w:rsidP="009E3B2F">
            <w:pPr>
              <w:pStyle w:val="Textonotapie"/>
              <w:spacing w:before="0" w:after="0"/>
              <w:rPr>
                <w:rFonts w:ascii="Futura Std Condensed Light" w:hAnsi="Futura Std Condensed Light" w:cs="Calibri"/>
                <w:sz w:val="20"/>
                <w:szCs w:val="18"/>
                <w:lang w:val="es-ES_tradnl"/>
              </w:rPr>
            </w:pPr>
          </w:p>
          <w:p w14:paraId="017F2DD0" w14:textId="20E232AE" w:rsidR="00077A92" w:rsidRDefault="00077A92" w:rsidP="009E3B2F">
            <w:pPr>
              <w:pStyle w:val="Textonotapie"/>
              <w:spacing w:before="0" w:after="0"/>
              <w:rPr>
                <w:rFonts w:ascii="Futura Std Condensed Light" w:hAnsi="Futura Std Condensed Light" w:cs="Calibri"/>
                <w:sz w:val="20"/>
                <w:szCs w:val="18"/>
                <w:lang w:val="es-ES_tradnl"/>
              </w:rPr>
            </w:pPr>
          </w:p>
          <w:p w14:paraId="20BEF82F" w14:textId="520474EB" w:rsidR="00077A92" w:rsidRDefault="00077A92" w:rsidP="009E3B2F">
            <w:pPr>
              <w:pStyle w:val="Textonotapie"/>
              <w:spacing w:before="0" w:after="0"/>
              <w:rPr>
                <w:rFonts w:ascii="Futura Std Condensed Light" w:hAnsi="Futura Std Condensed Light" w:cs="Calibri"/>
                <w:sz w:val="20"/>
                <w:szCs w:val="18"/>
                <w:lang w:val="es-ES_tradnl"/>
              </w:rPr>
            </w:pPr>
          </w:p>
          <w:p w14:paraId="100639EF" w14:textId="0EC7F32C" w:rsidR="00077A92" w:rsidRDefault="00077A92" w:rsidP="009E3B2F">
            <w:pPr>
              <w:pStyle w:val="Textonotapie"/>
              <w:spacing w:before="0" w:after="0"/>
              <w:rPr>
                <w:rFonts w:ascii="Futura Std Condensed Light" w:hAnsi="Futura Std Condensed Light" w:cs="Calibri"/>
                <w:sz w:val="20"/>
                <w:szCs w:val="18"/>
                <w:lang w:val="es-ES_tradnl"/>
              </w:rPr>
            </w:pPr>
          </w:p>
          <w:p w14:paraId="27C88773" w14:textId="60C19807" w:rsidR="00077A92" w:rsidRDefault="00077A92" w:rsidP="009E3B2F">
            <w:pPr>
              <w:pStyle w:val="Textonotapie"/>
              <w:spacing w:before="0" w:after="0"/>
              <w:rPr>
                <w:rFonts w:ascii="Futura Std Condensed Light" w:hAnsi="Futura Std Condensed Light" w:cs="Calibri"/>
                <w:sz w:val="20"/>
                <w:szCs w:val="18"/>
                <w:lang w:val="es-ES_tradnl"/>
              </w:rPr>
            </w:pPr>
          </w:p>
          <w:p w14:paraId="7DF21D2E" w14:textId="37948720" w:rsidR="00077A92" w:rsidRDefault="00077A92" w:rsidP="009E3B2F">
            <w:pPr>
              <w:pStyle w:val="Textonotapie"/>
              <w:spacing w:before="0" w:after="0"/>
              <w:rPr>
                <w:rFonts w:ascii="Futura Std Condensed Light" w:hAnsi="Futura Std Condensed Light" w:cs="Calibri"/>
                <w:sz w:val="20"/>
                <w:szCs w:val="18"/>
                <w:lang w:val="es-ES_tradnl"/>
              </w:rPr>
            </w:pPr>
          </w:p>
          <w:p w14:paraId="5810B88E" w14:textId="55BA750E" w:rsidR="00077A92" w:rsidRDefault="00077A92" w:rsidP="009E3B2F">
            <w:pPr>
              <w:pStyle w:val="Textonotapie"/>
              <w:spacing w:before="0" w:after="0"/>
              <w:rPr>
                <w:rFonts w:ascii="Futura Std Condensed Light" w:hAnsi="Futura Std Condensed Light" w:cs="Calibri"/>
                <w:sz w:val="20"/>
                <w:szCs w:val="18"/>
                <w:lang w:val="es-ES_tradnl"/>
              </w:rPr>
            </w:pPr>
          </w:p>
          <w:p w14:paraId="6D29805C" w14:textId="65FF0CB5" w:rsidR="00077A92" w:rsidRDefault="00077A92" w:rsidP="009E3B2F">
            <w:pPr>
              <w:pStyle w:val="Textonotapie"/>
              <w:spacing w:before="0" w:after="0"/>
              <w:rPr>
                <w:rFonts w:ascii="Futura Std Condensed Light" w:hAnsi="Futura Std Condensed Light" w:cs="Calibri"/>
                <w:sz w:val="20"/>
                <w:szCs w:val="18"/>
                <w:lang w:val="es-ES_tradnl"/>
              </w:rPr>
            </w:pPr>
          </w:p>
          <w:p w14:paraId="0497578C" w14:textId="301C17D1" w:rsidR="00077A92" w:rsidRDefault="00077A92" w:rsidP="009E3B2F">
            <w:pPr>
              <w:pStyle w:val="Textonotapie"/>
              <w:spacing w:before="0" w:after="0"/>
              <w:rPr>
                <w:rFonts w:ascii="Futura Std Condensed Light" w:hAnsi="Futura Std Condensed Light" w:cs="Calibri"/>
                <w:sz w:val="20"/>
                <w:szCs w:val="18"/>
                <w:lang w:val="es-ES_tradnl"/>
              </w:rPr>
            </w:pPr>
          </w:p>
          <w:p w14:paraId="40CA87BD" w14:textId="058D3CB8" w:rsidR="00077A92" w:rsidRDefault="00077A92" w:rsidP="009E3B2F">
            <w:pPr>
              <w:pStyle w:val="Textonotapie"/>
              <w:spacing w:before="0" w:after="0"/>
              <w:rPr>
                <w:rFonts w:ascii="Futura Std Condensed Light" w:hAnsi="Futura Std Condensed Light" w:cs="Calibri"/>
                <w:sz w:val="20"/>
                <w:szCs w:val="18"/>
                <w:lang w:val="es-ES_tradnl"/>
              </w:rPr>
            </w:pPr>
          </w:p>
          <w:p w14:paraId="165F17F1" w14:textId="1B6888FE" w:rsidR="00077A92" w:rsidRDefault="00077A92" w:rsidP="009E3B2F">
            <w:pPr>
              <w:pStyle w:val="Textonotapie"/>
              <w:spacing w:before="0" w:after="0"/>
              <w:rPr>
                <w:rFonts w:ascii="Futura Std Condensed Light" w:hAnsi="Futura Std Condensed Light" w:cs="Calibri"/>
                <w:sz w:val="20"/>
                <w:szCs w:val="18"/>
                <w:lang w:val="es-ES_tradnl"/>
              </w:rPr>
            </w:pPr>
          </w:p>
          <w:p w14:paraId="145C406F" w14:textId="2A6414CB" w:rsidR="00077A92" w:rsidRDefault="00077A92" w:rsidP="009E3B2F">
            <w:pPr>
              <w:pStyle w:val="Textonotapie"/>
              <w:spacing w:before="0" w:after="0"/>
              <w:rPr>
                <w:rFonts w:ascii="Futura Std Condensed Light" w:hAnsi="Futura Std Condensed Light" w:cs="Calibri"/>
                <w:sz w:val="20"/>
                <w:szCs w:val="18"/>
                <w:lang w:val="es-ES_tradnl"/>
              </w:rPr>
            </w:pPr>
          </w:p>
          <w:p w14:paraId="5C7E8098" w14:textId="7E86A461" w:rsidR="00077A92" w:rsidRDefault="00077A92" w:rsidP="009E3B2F">
            <w:pPr>
              <w:pStyle w:val="Textonotapie"/>
              <w:spacing w:before="0" w:after="0"/>
              <w:rPr>
                <w:rFonts w:ascii="Futura Std Condensed Light" w:hAnsi="Futura Std Condensed Light" w:cs="Calibri"/>
                <w:sz w:val="20"/>
                <w:szCs w:val="18"/>
                <w:lang w:val="es-ES_tradnl"/>
              </w:rPr>
            </w:pPr>
          </w:p>
          <w:p w14:paraId="0E5D2AA2" w14:textId="7AF5EB46" w:rsidR="00077A92" w:rsidRDefault="00077A92" w:rsidP="009E3B2F">
            <w:pPr>
              <w:pStyle w:val="Textonotapie"/>
              <w:spacing w:before="0" w:after="0"/>
              <w:rPr>
                <w:rFonts w:ascii="Futura Std Condensed Light" w:hAnsi="Futura Std Condensed Light" w:cs="Calibri"/>
                <w:sz w:val="20"/>
                <w:szCs w:val="18"/>
                <w:lang w:val="es-ES_tradnl"/>
              </w:rPr>
            </w:pPr>
          </w:p>
          <w:p w14:paraId="474FCCBF" w14:textId="126C3983" w:rsidR="00077A92" w:rsidRDefault="00077A92" w:rsidP="009E3B2F">
            <w:pPr>
              <w:pStyle w:val="Textonotapie"/>
              <w:spacing w:before="0" w:after="0"/>
              <w:rPr>
                <w:rFonts w:ascii="Futura Std Condensed Light" w:hAnsi="Futura Std Condensed Light" w:cs="Calibri"/>
                <w:sz w:val="20"/>
                <w:szCs w:val="18"/>
                <w:lang w:val="es-ES_tradnl"/>
              </w:rPr>
            </w:pPr>
          </w:p>
          <w:p w14:paraId="5CE71B86" w14:textId="6320703B" w:rsidR="00077A92" w:rsidRDefault="00077A92" w:rsidP="009E3B2F">
            <w:pPr>
              <w:pStyle w:val="Textonotapie"/>
              <w:spacing w:before="0" w:after="0"/>
              <w:rPr>
                <w:rFonts w:ascii="Futura Std Condensed Light" w:hAnsi="Futura Std Condensed Light" w:cs="Calibri"/>
                <w:sz w:val="20"/>
                <w:szCs w:val="18"/>
                <w:lang w:val="es-ES_tradnl"/>
              </w:rPr>
            </w:pPr>
          </w:p>
          <w:p w14:paraId="6E7E701B" w14:textId="3FA2ED62" w:rsidR="00077A92" w:rsidRDefault="00077A92" w:rsidP="009E3B2F">
            <w:pPr>
              <w:pStyle w:val="Textonotapie"/>
              <w:spacing w:before="0" w:after="0"/>
              <w:rPr>
                <w:rFonts w:ascii="Futura Std Condensed Light" w:hAnsi="Futura Std Condensed Light" w:cs="Calibri"/>
                <w:sz w:val="20"/>
                <w:szCs w:val="18"/>
                <w:lang w:val="es-ES_tradnl"/>
              </w:rPr>
            </w:pPr>
          </w:p>
          <w:p w14:paraId="6879A5E3" w14:textId="711B7C3F" w:rsidR="00077A92" w:rsidRDefault="00077A92" w:rsidP="009E3B2F">
            <w:pPr>
              <w:pStyle w:val="Textonotapie"/>
              <w:spacing w:before="0" w:after="0"/>
              <w:rPr>
                <w:rFonts w:ascii="Futura Std Condensed Light" w:hAnsi="Futura Std Condensed Light" w:cs="Calibri"/>
                <w:sz w:val="20"/>
                <w:szCs w:val="18"/>
                <w:lang w:val="es-ES_tradnl"/>
              </w:rPr>
            </w:pPr>
          </w:p>
          <w:p w14:paraId="467A7872" w14:textId="6A40B714" w:rsidR="00077A92" w:rsidRDefault="00077A92" w:rsidP="009E3B2F">
            <w:pPr>
              <w:pStyle w:val="Textonotapie"/>
              <w:spacing w:before="0" w:after="0"/>
              <w:rPr>
                <w:rFonts w:ascii="Futura Std Condensed Light" w:hAnsi="Futura Std Condensed Light" w:cs="Calibri"/>
                <w:sz w:val="20"/>
                <w:szCs w:val="18"/>
                <w:lang w:val="es-ES_tradnl"/>
              </w:rPr>
            </w:pPr>
          </w:p>
          <w:p w14:paraId="4FBC6111" w14:textId="60533046" w:rsidR="00077A92" w:rsidRDefault="00077A92" w:rsidP="009E3B2F">
            <w:pPr>
              <w:pStyle w:val="Textonotapie"/>
              <w:spacing w:before="0" w:after="0"/>
              <w:rPr>
                <w:rFonts w:ascii="Futura Std Condensed Light" w:hAnsi="Futura Std Condensed Light" w:cs="Calibri"/>
                <w:sz w:val="20"/>
                <w:szCs w:val="18"/>
                <w:lang w:val="es-ES_tradnl"/>
              </w:rPr>
            </w:pPr>
          </w:p>
          <w:p w14:paraId="726FE623" w14:textId="6875DFC8" w:rsidR="00D056A4" w:rsidRDefault="00D056A4" w:rsidP="009E3B2F">
            <w:pPr>
              <w:pStyle w:val="Textonotapie"/>
              <w:spacing w:before="0" w:after="0"/>
              <w:rPr>
                <w:rFonts w:ascii="Futura Std Condensed Light" w:hAnsi="Futura Std Condensed Light" w:cs="Calibri"/>
                <w:sz w:val="20"/>
                <w:szCs w:val="18"/>
                <w:lang w:val="es-ES_tradnl"/>
              </w:rPr>
            </w:pPr>
          </w:p>
          <w:p w14:paraId="0D16EA7B" w14:textId="2120283C" w:rsidR="00D056A4" w:rsidRDefault="00D056A4" w:rsidP="009E3B2F">
            <w:pPr>
              <w:pStyle w:val="Textonotapie"/>
              <w:spacing w:before="0" w:after="0"/>
              <w:rPr>
                <w:rFonts w:ascii="Futura Std Condensed Light" w:hAnsi="Futura Std Condensed Light" w:cs="Calibri"/>
                <w:sz w:val="20"/>
                <w:szCs w:val="18"/>
                <w:lang w:val="es-ES_tradnl"/>
              </w:rPr>
            </w:pPr>
          </w:p>
          <w:p w14:paraId="69B43F57" w14:textId="494DA2CB" w:rsidR="00D056A4" w:rsidRDefault="00D056A4" w:rsidP="009E3B2F">
            <w:pPr>
              <w:pStyle w:val="Textonotapie"/>
              <w:spacing w:before="0" w:after="0"/>
              <w:rPr>
                <w:rFonts w:ascii="Futura Std Condensed Light" w:hAnsi="Futura Std Condensed Light" w:cs="Calibri"/>
                <w:sz w:val="20"/>
                <w:szCs w:val="18"/>
                <w:lang w:val="es-ES_tradnl"/>
              </w:rPr>
            </w:pPr>
          </w:p>
          <w:p w14:paraId="426B1D0A" w14:textId="736C8D85" w:rsidR="00D056A4" w:rsidRDefault="00D056A4" w:rsidP="009E3B2F">
            <w:pPr>
              <w:pStyle w:val="Textonotapie"/>
              <w:spacing w:before="0" w:after="0"/>
              <w:rPr>
                <w:rFonts w:ascii="Futura Std Condensed Light" w:hAnsi="Futura Std Condensed Light" w:cs="Calibri"/>
                <w:sz w:val="20"/>
                <w:szCs w:val="18"/>
                <w:lang w:val="es-ES_tradnl"/>
              </w:rPr>
            </w:pPr>
          </w:p>
          <w:p w14:paraId="267E24C0" w14:textId="3A62CE87" w:rsidR="00D056A4" w:rsidRDefault="00D056A4" w:rsidP="009E3B2F">
            <w:pPr>
              <w:pStyle w:val="Textonotapie"/>
              <w:spacing w:before="0" w:after="0"/>
              <w:rPr>
                <w:rFonts w:ascii="Futura Std Condensed Light" w:hAnsi="Futura Std Condensed Light" w:cs="Calibri"/>
                <w:sz w:val="20"/>
                <w:szCs w:val="18"/>
                <w:lang w:val="es-ES_tradnl"/>
              </w:rPr>
            </w:pPr>
          </w:p>
          <w:p w14:paraId="7B99D6F3" w14:textId="5A98B391" w:rsidR="00D056A4" w:rsidRDefault="00D056A4" w:rsidP="009E3B2F">
            <w:pPr>
              <w:pStyle w:val="Textonotapie"/>
              <w:spacing w:before="0" w:after="0"/>
              <w:rPr>
                <w:rFonts w:ascii="Futura Std Condensed Light" w:hAnsi="Futura Std Condensed Light" w:cs="Calibri"/>
                <w:sz w:val="20"/>
                <w:szCs w:val="18"/>
                <w:lang w:val="es-ES_tradnl"/>
              </w:rPr>
            </w:pPr>
          </w:p>
          <w:p w14:paraId="2F2D9FA3" w14:textId="409A3FF8" w:rsidR="00D056A4" w:rsidRDefault="00D056A4" w:rsidP="009E3B2F">
            <w:pPr>
              <w:pStyle w:val="Textonotapie"/>
              <w:spacing w:before="0" w:after="0"/>
              <w:rPr>
                <w:rFonts w:ascii="Futura Std Condensed Light" w:hAnsi="Futura Std Condensed Light" w:cs="Calibri"/>
                <w:sz w:val="20"/>
                <w:szCs w:val="18"/>
                <w:lang w:val="es-ES_tradnl"/>
              </w:rPr>
            </w:pPr>
          </w:p>
          <w:p w14:paraId="7894D8B1" w14:textId="31E24C7D" w:rsidR="00D056A4" w:rsidRDefault="00D056A4" w:rsidP="009E3B2F">
            <w:pPr>
              <w:pStyle w:val="Textonotapie"/>
              <w:spacing w:before="0" w:after="0"/>
              <w:rPr>
                <w:rFonts w:ascii="Futura Std Condensed Light" w:hAnsi="Futura Std Condensed Light" w:cs="Calibri"/>
                <w:sz w:val="20"/>
                <w:szCs w:val="18"/>
                <w:lang w:val="es-ES_tradnl"/>
              </w:rPr>
            </w:pPr>
          </w:p>
          <w:p w14:paraId="519D18F9" w14:textId="33E899C9" w:rsidR="00D056A4" w:rsidRDefault="00D056A4" w:rsidP="009E3B2F">
            <w:pPr>
              <w:pStyle w:val="Textonotapie"/>
              <w:spacing w:before="0" w:after="0"/>
              <w:rPr>
                <w:rFonts w:ascii="Futura Std Condensed Light" w:hAnsi="Futura Std Condensed Light" w:cs="Calibri"/>
                <w:sz w:val="20"/>
                <w:szCs w:val="18"/>
                <w:lang w:val="es-ES_tradnl"/>
              </w:rPr>
            </w:pPr>
          </w:p>
          <w:p w14:paraId="6B18029D" w14:textId="260BE21F" w:rsidR="00D056A4" w:rsidRDefault="00D056A4" w:rsidP="009F165F">
            <w:pPr>
              <w:pStyle w:val="Textonotapie"/>
              <w:spacing w:before="0" w:after="0"/>
              <w:jc w:val="both"/>
              <w:rPr>
                <w:rFonts w:ascii="Futura Std Condensed Light" w:hAnsi="Futura Std Condensed Light" w:cs="Calibri"/>
                <w:sz w:val="20"/>
                <w:szCs w:val="18"/>
                <w:lang w:val="es-ES_tradnl"/>
              </w:rPr>
            </w:pPr>
          </w:p>
          <w:p w14:paraId="0B55DBFA" w14:textId="77777777" w:rsidR="00D056A4" w:rsidRDefault="00D056A4" w:rsidP="009E3B2F">
            <w:pPr>
              <w:pStyle w:val="Textonotapie"/>
              <w:spacing w:before="0" w:after="0"/>
              <w:rPr>
                <w:rFonts w:ascii="Futura Std Condensed Light" w:hAnsi="Futura Std Condensed Light" w:cs="Calibri"/>
                <w:sz w:val="20"/>
                <w:szCs w:val="18"/>
                <w:lang w:val="es-ES_tradnl"/>
              </w:rPr>
            </w:pPr>
          </w:p>
          <w:p w14:paraId="6C65FBCB" w14:textId="0FB90CE6" w:rsidR="00077A92" w:rsidRPr="000140F1" w:rsidRDefault="00077A92" w:rsidP="008B2E0B">
            <w:pPr>
              <w:pStyle w:val="Textonotapie"/>
              <w:spacing w:before="0" w:after="0"/>
              <w:jc w:val="both"/>
              <w:rPr>
                <w:rFonts w:ascii="Futura Std Condensed Light" w:hAnsi="Futura Std Condensed Light" w:cs="Calibri"/>
                <w:sz w:val="20"/>
                <w:szCs w:val="18"/>
                <w:lang w:val="es-ES_tradnl"/>
              </w:rPr>
            </w:pPr>
          </w:p>
          <w:p w14:paraId="44E0F518" w14:textId="77777777" w:rsidR="00077A92" w:rsidRPr="000140F1" w:rsidRDefault="00077A92" w:rsidP="008B2E0B">
            <w:pPr>
              <w:pStyle w:val="Textonotapie"/>
              <w:spacing w:before="0" w:after="0"/>
              <w:rPr>
                <w:rFonts w:ascii="Futura Std Condensed Light" w:hAnsi="Futura Std Condensed Light" w:cs="Calibri"/>
                <w:sz w:val="20"/>
                <w:szCs w:val="18"/>
                <w:lang w:val="es-ES_tradnl"/>
              </w:rPr>
            </w:pPr>
            <w:r w:rsidRPr="000140F1">
              <w:rPr>
                <w:rFonts w:ascii="Futura Std Condensed Light" w:hAnsi="Futura Std Condensed Light" w:cs="Calibri"/>
                <w:sz w:val="20"/>
                <w:szCs w:val="18"/>
                <w:lang w:val="es-ES_tradnl"/>
              </w:rPr>
              <w:t>Derecho a la Educación</w:t>
            </w:r>
          </w:p>
          <w:p w14:paraId="05276480" w14:textId="77777777" w:rsidR="00077A92" w:rsidRPr="000140F1" w:rsidRDefault="00077A92" w:rsidP="008B2E0B">
            <w:pPr>
              <w:pStyle w:val="Textonotapie"/>
              <w:spacing w:before="0" w:after="0"/>
              <w:rPr>
                <w:rFonts w:ascii="Futura Std Condensed Light" w:hAnsi="Futura Std Condensed Light" w:cs="Calibri"/>
                <w:sz w:val="20"/>
                <w:szCs w:val="18"/>
                <w:lang w:val="es-ES_tradnl"/>
              </w:rPr>
            </w:pPr>
          </w:p>
          <w:p w14:paraId="2C3869CF" w14:textId="5904AF37" w:rsidR="00904807" w:rsidRDefault="00904807" w:rsidP="00904807">
            <w:pPr>
              <w:pStyle w:val="Textonotapie"/>
              <w:spacing w:before="0" w:after="0"/>
              <w:jc w:val="both"/>
              <w:rPr>
                <w:rFonts w:ascii="Futura Std Condensed Light" w:hAnsi="Futura Std Condensed Light" w:cs="Calibri"/>
                <w:sz w:val="20"/>
                <w:szCs w:val="18"/>
                <w:lang w:val="es-ES_tradnl"/>
              </w:rPr>
            </w:pPr>
          </w:p>
          <w:p w14:paraId="23C2A953" w14:textId="3D566393" w:rsidR="00904807" w:rsidRDefault="00904807" w:rsidP="00904807">
            <w:pPr>
              <w:pStyle w:val="Textonotapie"/>
              <w:spacing w:before="0" w:after="0"/>
              <w:jc w:val="both"/>
              <w:rPr>
                <w:rFonts w:ascii="Futura Std Condensed Light" w:hAnsi="Futura Std Condensed Light" w:cs="Calibri"/>
                <w:sz w:val="20"/>
                <w:szCs w:val="18"/>
                <w:lang w:val="es-ES_tradnl"/>
              </w:rPr>
            </w:pPr>
          </w:p>
          <w:p w14:paraId="3636C210" w14:textId="59DECD76" w:rsidR="00904807" w:rsidRDefault="00904807" w:rsidP="00904807">
            <w:pPr>
              <w:pStyle w:val="Textonotapie"/>
              <w:spacing w:before="0" w:after="0"/>
              <w:jc w:val="both"/>
              <w:rPr>
                <w:rFonts w:ascii="Futura Std Condensed Light" w:hAnsi="Futura Std Condensed Light" w:cs="Calibri"/>
                <w:sz w:val="20"/>
                <w:szCs w:val="18"/>
                <w:lang w:val="es-ES_tradnl"/>
              </w:rPr>
            </w:pPr>
          </w:p>
          <w:p w14:paraId="537D1B7B" w14:textId="395D2F89" w:rsidR="00904807" w:rsidRDefault="00904807" w:rsidP="00904807">
            <w:pPr>
              <w:pStyle w:val="Textonotapie"/>
              <w:spacing w:before="0" w:after="0"/>
              <w:jc w:val="both"/>
              <w:rPr>
                <w:rFonts w:ascii="Futura Std Condensed Light" w:hAnsi="Futura Std Condensed Light" w:cs="Calibri"/>
                <w:sz w:val="20"/>
                <w:szCs w:val="18"/>
                <w:lang w:val="es-ES_tradnl"/>
              </w:rPr>
            </w:pPr>
          </w:p>
          <w:p w14:paraId="46F56878" w14:textId="542AE9A3" w:rsidR="00904807" w:rsidRDefault="00904807" w:rsidP="00904807">
            <w:pPr>
              <w:pStyle w:val="Textonotapie"/>
              <w:spacing w:before="0" w:after="0"/>
              <w:jc w:val="both"/>
              <w:rPr>
                <w:rFonts w:ascii="Futura Std Condensed Light" w:hAnsi="Futura Std Condensed Light" w:cs="Calibri"/>
                <w:sz w:val="20"/>
                <w:szCs w:val="18"/>
                <w:lang w:val="es-ES_tradnl"/>
              </w:rPr>
            </w:pPr>
          </w:p>
          <w:p w14:paraId="0D520801" w14:textId="15D42315" w:rsidR="00904807" w:rsidRDefault="00904807" w:rsidP="00904807">
            <w:pPr>
              <w:pStyle w:val="Textonotapie"/>
              <w:spacing w:before="0" w:after="0"/>
              <w:jc w:val="both"/>
              <w:rPr>
                <w:rFonts w:ascii="Futura Std Condensed Light" w:hAnsi="Futura Std Condensed Light" w:cs="Calibri"/>
                <w:sz w:val="20"/>
                <w:szCs w:val="18"/>
                <w:lang w:val="es-ES_tradnl"/>
              </w:rPr>
            </w:pPr>
          </w:p>
          <w:p w14:paraId="06528758" w14:textId="4D1D6F31" w:rsidR="00904807" w:rsidRDefault="00904807" w:rsidP="00904807">
            <w:pPr>
              <w:pStyle w:val="Textonotapie"/>
              <w:spacing w:before="0" w:after="0"/>
              <w:jc w:val="both"/>
              <w:rPr>
                <w:rFonts w:ascii="Futura Std Condensed Light" w:hAnsi="Futura Std Condensed Light" w:cs="Calibri"/>
                <w:sz w:val="20"/>
                <w:szCs w:val="18"/>
                <w:lang w:val="es-ES_tradnl"/>
              </w:rPr>
            </w:pPr>
          </w:p>
          <w:p w14:paraId="7D3F8ED4" w14:textId="36000664" w:rsidR="00904807" w:rsidRDefault="00904807" w:rsidP="00904807">
            <w:pPr>
              <w:pStyle w:val="Textonotapie"/>
              <w:spacing w:before="0" w:after="0"/>
              <w:jc w:val="both"/>
              <w:rPr>
                <w:rFonts w:ascii="Futura Std Condensed Light" w:hAnsi="Futura Std Condensed Light" w:cs="Calibri"/>
                <w:sz w:val="20"/>
                <w:szCs w:val="18"/>
                <w:lang w:val="es-ES_tradnl"/>
              </w:rPr>
            </w:pPr>
          </w:p>
          <w:p w14:paraId="3A01E9CB" w14:textId="7C51DCB7" w:rsidR="00904807" w:rsidRDefault="00904807" w:rsidP="00904807">
            <w:pPr>
              <w:pStyle w:val="Textonotapie"/>
              <w:spacing w:before="0" w:after="0"/>
              <w:jc w:val="both"/>
              <w:rPr>
                <w:rFonts w:ascii="Futura Std Condensed Light" w:hAnsi="Futura Std Condensed Light" w:cs="Calibri"/>
                <w:sz w:val="20"/>
                <w:szCs w:val="18"/>
                <w:lang w:val="es-ES_tradnl"/>
              </w:rPr>
            </w:pPr>
          </w:p>
          <w:p w14:paraId="6B8D5A2E" w14:textId="586E8C84" w:rsidR="00904807" w:rsidRDefault="00904807" w:rsidP="00904807">
            <w:pPr>
              <w:pStyle w:val="Textonotapie"/>
              <w:spacing w:before="0" w:after="0"/>
              <w:jc w:val="both"/>
              <w:rPr>
                <w:rFonts w:ascii="Futura Std Condensed Light" w:hAnsi="Futura Std Condensed Light" w:cs="Calibri"/>
                <w:sz w:val="20"/>
                <w:szCs w:val="18"/>
                <w:lang w:val="es-ES_tradnl"/>
              </w:rPr>
            </w:pPr>
          </w:p>
          <w:p w14:paraId="24119A1E" w14:textId="6976988F" w:rsidR="00904807" w:rsidRDefault="00904807" w:rsidP="00904807">
            <w:pPr>
              <w:pStyle w:val="Textonotapie"/>
              <w:spacing w:before="0" w:after="0"/>
              <w:jc w:val="both"/>
              <w:rPr>
                <w:rFonts w:ascii="Futura Std Condensed Light" w:hAnsi="Futura Std Condensed Light" w:cs="Calibri"/>
                <w:sz w:val="20"/>
                <w:szCs w:val="18"/>
                <w:lang w:val="es-ES_tradnl"/>
              </w:rPr>
            </w:pPr>
          </w:p>
          <w:p w14:paraId="05C78928" w14:textId="63E05DE2" w:rsidR="00904807" w:rsidRDefault="00904807" w:rsidP="00904807">
            <w:pPr>
              <w:pStyle w:val="Textonotapie"/>
              <w:spacing w:before="0" w:after="0"/>
              <w:jc w:val="both"/>
              <w:rPr>
                <w:rFonts w:ascii="Futura Std Condensed Light" w:hAnsi="Futura Std Condensed Light" w:cs="Calibri"/>
                <w:sz w:val="20"/>
                <w:szCs w:val="18"/>
                <w:lang w:val="es-ES_tradnl"/>
              </w:rPr>
            </w:pPr>
          </w:p>
          <w:p w14:paraId="317E93F9" w14:textId="38A07465" w:rsidR="00904807" w:rsidRDefault="00904807" w:rsidP="00904807">
            <w:pPr>
              <w:pStyle w:val="Textonotapie"/>
              <w:spacing w:before="0" w:after="0"/>
              <w:jc w:val="both"/>
              <w:rPr>
                <w:rFonts w:ascii="Futura Std Condensed Light" w:hAnsi="Futura Std Condensed Light" w:cs="Calibri"/>
                <w:sz w:val="20"/>
                <w:szCs w:val="18"/>
                <w:lang w:val="es-ES_tradnl"/>
              </w:rPr>
            </w:pPr>
          </w:p>
          <w:p w14:paraId="7E9E05ED" w14:textId="3D5EFE99" w:rsidR="00904807" w:rsidRDefault="00904807" w:rsidP="00904807">
            <w:pPr>
              <w:pStyle w:val="Textonotapie"/>
              <w:spacing w:before="0" w:after="0"/>
              <w:jc w:val="both"/>
              <w:rPr>
                <w:rFonts w:ascii="Futura Std Condensed Light" w:hAnsi="Futura Std Condensed Light" w:cs="Calibri"/>
                <w:sz w:val="20"/>
                <w:szCs w:val="18"/>
                <w:lang w:val="es-ES_tradnl"/>
              </w:rPr>
            </w:pPr>
          </w:p>
          <w:p w14:paraId="005A137F" w14:textId="4A906B75" w:rsidR="00904807" w:rsidRDefault="00904807" w:rsidP="00904807">
            <w:pPr>
              <w:pStyle w:val="Textonotapie"/>
              <w:spacing w:before="0" w:after="0"/>
              <w:jc w:val="both"/>
              <w:rPr>
                <w:rFonts w:ascii="Futura Std Condensed Light" w:hAnsi="Futura Std Condensed Light" w:cs="Calibri"/>
                <w:sz w:val="20"/>
                <w:szCs w:val="18"/>
                <w:lang w:val="es-ES_tradnl"/>
              </w:rPr>
            </w:pPr>
          </w:p>
          <w:p w14:paraId="21773C53" w14:textId="435D0C23" w:rsidR="00904807" w:rsidRDefault="00904807" w:rsidP="00904807">
            <w:pPr>
              <w:pStyle w:val="Textonotapie"/>
              <w:spacing w:before="0" w:after="0"/>
              <w:jc w:val="both"/>
              <w:rPr>
                <w:rFonts w:ascii="Futura Std Condensed Light" w:hAnsi="Futura Std Condensed Light" w:cs="Calibri"/>
                <w:sz w:val="20"/>
                <w:szCs w:val="18"/>
                <w:lang w:val="es-ES_tradnl"/>
              </w:rPr>
            </w:pPr>
          </w:p>
          <w:p w14:paraId="63A7760D" w14:textId="715F534D" w:rsidR="00904807" w:rsidRDefault="00904807" w:rsidP="00904807">
            <w:pPr>
              <w:pStyle w:val="Textonotapie"/>
              <w:spacing w:before="0" w:after="0"/>
              <w:jc w:val="both"/>
              <w:rPr>
                <w:rFonts w:ascii="Futura Std Condensed Light" w:hAnsi="Futura Std Condensed Light" w:cs="Calibri"/>
                <w:sz w:val="20"/>
                <w:szCs w:val="18"/>
                <w:lang w:val="es-ES_tradnl"/>
              </w:rPr>
            </w:pPr>
          </w:p>
          <w:p w14:paraId="710B9E71" w14:textId="71DEE3C7" w:rsidR="00904807" w:rsidRDefault="00904807" w:rsidP="00904807">
            <w:pPr>
              <w:pStyle w:val="Textonotapie"/>
              <w:spacing w:before="0" w:after="0"/>
              <w:jc w:val="both"/>
              <w:rPr>
                <w:rFonts w:ascii="Futura Std Condensed Light" w:hAnsi="Futura Std Condensed Light" w:cs="Calibri"/>
                <w:sz w:val="20"/>
                <w:szCs w:val="18"/>
                <w:lang w:val="es-ES_tradnl"/>
              </w:rPr>
            </w:pPr>
          </w:p>
          <w:p w14:paraId="0ED52E00" w14:textId="73A62AEF" w:rsidR="00904807" w:rsidRDefault="00904807" w:rsidP="00904807">
            <w:pPr>
              <w:pStyle w:val="Textonotapie"/>
              <w:spacing w:before="0" w:after="0"/>
              <w:jc w:val="both"/>
              <w:rPr>
                <w:rFonts w:ascii="Futura Std Condensed Light" w:hAnsi="Futura Std Condensed Light" w:cs="Calibri"/>
                <w:sz w:val="20"/>
                <w:szCs w:val="18"/>
                <w:lang w:val="es-ES_tradnl"/>
              </w:rPr>
            </w:pPr>
          </w:p>
          <w:p w14:paraId="48CA0038" w14:textId="1839A8F8" w:rsidR="00904807" w:rsidRDefault="00904807" w:rsidP="00904807">
            <w:pPr>
              <w:pStyle w:val="Textonotapie"/>
              <w:spacing w:before="0" w:after="0"/>
              <w:jc w:val="both"/>
              <w:rPr>
                <w:rFonts w:ascii="Futura Std Condensed Light" w:hAnsi="Futura Std Condensed Light" w:cs="Calibri"/>
                <w:sz w:val="20"/>
                <w:szCs w:val="18"/>
                <w:lang w:val="es-ES_tradnl"/>
              </w:rPr>
            </w:pPr>
          </w:p>
          <w:p w14:paraId="7713EA5D" w14:textId="7D694F0E" w:rsidR="00904807" w:rsidRDefault="00904807" w:rsidP="00904807">
            <w:pPr>
              <w:pStyle w:val="Textonotapie"/>
              <w:spacing w:before="0" w:after="0"/>
              <w:jc w:val="both"/>
              <w:rPr>
                <w:rFonts w:ascii="Futura Std Condensed Light" w:hAnsi="Futura Std Condensed Light" w:cs="Calibri"/>
                <w:sz w:val="20"/>
                <w:szCs w:val="18"/>
                <w:lang w:val="es-ES_tradnl"/>
              </w:rPr>
            </w:pPr>
          </w:p>
          <w:p w14:paraId="4C0AB822" w14:textId="7F756851" w:rsidR="00904807" w:rsidRDefault="00904807" w:rsidP="00904807">
            <w:pPr>
              <w:pStyle w:val="Textonotapie"/>
              <w:spacing w:before="0" w:after="0"/>
              <w:jc w:val="both"/>
              <w:rPr>
                <w:rFonts w:ascii="Futura Std Condensed Light" w:hAnsi="Futura Std Condensed Light" w:cs="Calibri"/>
                <w:sz w:val="20"/>
                <w:szCs w:val="18"/>
                <w:lang w:val="es-ES_tradnl"/>
              </w:rPr>
            </w:pPr>
          </w:p>
          <w:p w14:paraId="562FDF30" w14:textId="29F8A0B7" w:rsidR="00904807" w:rsidRDefault="00904807" w:rsidP="00904807">
            <w:pPr>
              <w:pStyle w:val="Textonotapie"/>
              <w:spacing w:before="0" w:after="0"/>
              <w:jc w:val="both"/>
              <w:rPr>
                <w:rFonts w:ascii="Futura Std Condensed Light" w:hAnsi="Futura Std Condensed Light" w:cs="Calibri"/>
                <w:sz w:val="20"/>
                <w:szCs w:val="18"/>
                <w:lang w:val="es-ES_tradnl"/>
              </w:rPr>
            </w:pPr>
          </w:p>
          <w:p w14:paraId="46E0CAB8" w14:textId="7DD6908A" w:rsidR="009F165F" w:rsidRDefault="009F165F" w:rsidP="00904807">
            <w:pPr>
              <w:pStyle w:val="Textonotapie"/>
              <w:spacing w:before="0" w:after="0"/>
              <w:jc w:val="both"/>
              <w:rPr>
                <w:rFonts w:ascii="Futura Std Condensed Light" w:hAnsi="Futura Std Condensed Light" w:cs="Calibri"/>
                <w:sz w:val="20"/>
                <w:szCs w:val="18"/>
                <w:lang w:val="es-ES_tradnl"/>
              </w:rPr>
            </w:pPr>
          </w:p>
          <w:p w14:paraId="2B73FC50" w14:textId="77777777" w:rsidR="009F165F" w:rsidRDefault="009F165F" w:rsidP="00904807">
            <w:pPr>
              <w:pStyle w:val="Textonotapie"/>
              <w:spacing w:before="0" w:after="0"/>
              <w:jc w:val="both"/>
              <w:rPr>
                <w:rFonts w:ascii="Futura Std Condensed Light" w:hAnsi="Futura Std Condensed Light" w:cs="Calibri"/>
                <w:sz w:val="20"/>
                <w:szCs w:val="18"/>
                <w:lang w:val="es-ES_tradnl"/>
              </w:rPr>
            </w:pPr>
          </w:p>
          <w:p w14:paraId="1BC88A0E" w14:textId="77777777" w:rsidR="009F165F" w:rsidRDefault="009F165F" w:rsidP="00904807">
            <w:pPr>
              <w:pStyle w:val="Textonotapie"/>
              <w:spacing w:before="0" w:after="0"/>
              <w:jc w:val="both"/>
              <w:rPr>
                <w:rFonts w:ascii="Futura Std Condensed Light" w:hAnsi="Futura Std Condensed Light" w:cs="Calibri"/>
                <w:sz w:val="20"/>
                <w:szCs w:val="18"/>
                <w:lang w:val="es-ES_tradnl"/>
              </w:rPr>
            </w:pPr>
          </w:p>
          <w:p w14:paraId="772378C6" w14:textId="1C9B2F22" w:rsidR="00904807" w:rsidRDefault="00904807" w:rsidP="00904807">
            <w:pPr>
              <w:pStyle w:val="Textonotapie"/>
              <w:spacing w:before="0" w:after="0"/>
              <w:jc w:val="both"/>
              <w:rPr>
                <w:rFonts w:ascii="Futura Std Condensed Light" w:hAnsi="Futura Std Condensed Light" w:cs="Calibri"/>
                <w:sz w:val="20"/>
                <w:szCs w:val="18"/>
                <w:lang w:val="es-ES_tradnl"/>
              </w:rPr>
            </w:pPr>
          </w:p>
          <w:p w14:paraId="086BFAEE" w14:textId="77777777" w:rsidR="009F165F" w:rsidRPr="000140F1" w:rsidRDefault="009F165F" w:rsidP="00904807">
            <w:pPr>
              <w:pStyle w:val="Textonotapie"/>
              <w:spacing w:before="0" w:after="0"/>
              <w:jc w:val="both"/>
              <w:rPr>
                <w:rFonts w:ascii="Futura Std Condensed Light" w:hAnsi="Futura Std Condensed Light" w:cs="Calibri"/>
                <w:sz w:val="20"/>
                <w:szCs w:val="18"/>
                <w:lang w:val="es-ES_tradnl"/>
              </w:rPr>
            </w:pPr>
          </w:p>
          <w:p w14:paraId="0B3FF235" w14:textId="77777777" w:rsidR="00904807" w:rsidRPr="000140F1" w:rsidRDefault="00904807" w:rsidP="00904807">
            <w:pPr>
              <w:pStyle w:val="Textonotapie"/>
              <w:spacing w:before="0" w:after="0"/>
              <w:rPr>
                <w:rFonts w:ascii="Futura Std Condensed Light" w:hAnsi="Futura Std Condensed Light" w:cs="Calibri"/>
                <w:sz w:val="20"/>
                <w:szCs w:val="18"/>
                <w:lang w:val="es-ES_tradnl"/>
              </w:rPr>
            </w:pPr>
            <w:r w:rsidRPr="000140F1">
              <w:rPr>
                <w:rFonts w:ascii="Futura Std Condensed Light" w:hAnsi="Futura Std Condensed Light" w:cs="Calibri"/>
                <w:sz w:val="20"/>
                <w:szCs w:val="18"/>
                <w:lang w:val="es-ES_tradnl"/>
              </w:rPr>
              <w:t>Derecho a la Educación</w:t>
            </w:r>
          </w:p>
          <w:p w14:paraId="2F3BA416" w14:textId="77777777" w:rsidR="00904807" w:rsidRPr="000140F1" w:rsidRDefault="00904807" w:rsidP="00904807">
            <w:pPr>
              <w:pStyle w:val="Textonotapie"/>
              <w:spacing w:before="0" w:after="0"/>
              <w:rPr>
                <w:rFonts w:ascii="Futura Std Condensed Light" w:hAnsi="Futura Std Condensed Light" w:cs="Calibri"/>
                <w:sz w:val="20"/>
                <w:szCs w:val="18"/>
                <w:lang w:val="es-ES_tradnl"/>
              </w:rPr>
            </w:pPr>
          </w:p>
          <w:p w14:paraId="371D72B3" w14:textId="77777777" w:rsidR="00077A92" w:rsidRPr="000140F1" w:rsidRDefault="00077A92" w:rsidP="009E3B2F">
            <w:pPr>
              <w:pStyle w:val="Textonotapie"/>
              <w:spacing w:before="0" w:after="0"/>
              <w:rPr>
                <w:rFonts w:ascii="Futura Std Condensed Light" w:hAnsi="Futura Std Condensed Light"/>
                <w:sz w:val="20"/>
                <w:szCs w:val="16"/>
                <w:lang w:val="es-ES_tradnl"/>
              </w:rPr>
            </w:pPr>
          </w:p>
        </w:tc>
        <w:tc>
          <w:tcPr>
            <w:tcW w:w="1441" w:type="dxa"/>
            <w:vMerge w:val="restar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14:paraId="0FC5228F" w14:textId="77777777" w:rsidR="00077A92" w:rsidRDefault="00077A92" w:rsidP="009E3B2F">
            <w:pPr>
              <w:pStyle w:val="Textonotapie"/>
              <w:spacing w:before="0" w:after="0"/>
              <w:rPr>
                <w:rFonts w:ascii="Futura Std Condensed Light" w:hAnsi="Futura Std Condensed Light" w:cs="Calibri"/>
                <w:sz w:val="20"/>
                <w:szCs w:val="18"/>
                <w:lang w:val="es-ES_tradnl"/>
              </w:rPr>
            </w:pPr>
          </w:p>
          <w:p w14:paraId="105CD2A9" w14:textId="77777777" w:rsidR="00077A92" w:rsidRDefault="00077A92" w:rsidP="009E3B2F">
            <w:pPr>
              <w:pStyle w:val="Textonotapie"/>
              <w:spacing w:before="0" w:after="0"/>
              <w:rPr>
                <w:rFonts w:ascii="Futura Std Condensed Light" w:hAnsi="Futura Std Condensed Light" w:cs="Calibri"/>
                <w:sz w:val="20"/>
                <w:szCs w:val="18"/>
                <w:lang w:val="es-ES_tradnl"/>
              </w:rPr>
            </w:pPr>
          </w:p>
          <w:p w14:paraId="4B959FB6" w14:textId="77777777" w:rsidR="00077A92" w:rsidRDefault="00077A92" w:rsidP="009E3B2F">
            <w:pPr>
              <w:pStyle w:val="Textonotapie"/>
              <w:spacing w:before="0" w:after="0"/>
              <w:rPr>
                <w:rFonts w:ascii="Futura Std Condensed Light" w:hAnsi="Futura Std Condensed Light" w:cs="Calibri"/>
                <w:sz w:val="20"/>
                <w:szCs w:val="18"/>
                <w:lang w:val="es-ES_tradnl"/>
              </w:rPr>
            </w:pPr>
          </w:p>
          <w:p w14:paraId="7513C790" w14:textId="77777777" w:rsidR="00077A92" w:rsidRDefault="00077A92" w:rsidP="009E3B2F">
            <w:pPr>
              <w:pStyle w:val="Textonotapie"/>
              <w:spacing w:before="0" w:after="0"/>
              <w:rPr>
                <w:rFonts w:ascii="Futura Std Condensed Light" w:hAnsi="Futura Std Condensed Light" w:cs="Calibri"/>
                <w:sz w:val="20"/>
                <w:szCs w:val="18"/>
                <w:lang w:val="es-ES_tradnl"/>
              </w:rPr>
            </w:pPr>
          </w:p>
          <w:p w14:paraId="0735CEDA" w14:textId="77777777" w:rsidR="00077A92" w:rsidRDefault="00077A92" w:rsidP="009E3B2F">
            <w:pPr>
              <w:pStyle w:val="Textonotapie"/>
              <w:spacing w:before="0" w:after="0"/>
              <w:rPr>
                <w:rFonts w:ascii="Futura Std Condensed Light" w:hAnsi="Futura Std Condensed Light" w:cs="Calibri"/>
                <w:sz w:val="20"/>
                <w:szCs w:val="18"/>
                <w:lang w:val="es-ES_tradnl"/>
              </w:rPr>
            </w:pPr>
          </w:p>
          <w:p w14:paraId="27E11B88" w14:textId="77777777" w:rsidR="00077A92" w:rsidRDefault="00077A92" w:rsidP="009E3B2F">
            <w:pPr>
              <w:pStyle w:val="Textonotapie"/>
              <w:spacing w:before="0" w:after="0"/>
              <w:rPr>
                <w:rFonts w:ascii="Futura Std Condensed Light" w:hAnsi="Futura Std Condensed Light" w:cs="Calibri"/>
                <w:sz w:val="20"/>
                <w:szCs w:val="18"/>
                <w:lang w:val="es-ES_tradnl"/>
              </w:rPr>
            </w:pPr>
          </w:p>
          <w:p w14:paraId="7239BAE8" w14:textId="7D4C2CE5" w:rsidR="00077A92" w:rsidRDefault="00077A92" w:rsidP="00904807">
            <w:pPr>
              <w:pStyle w:val="Textonotapie"/>
              <w:spacing w:before="0" w:after="0"/>
              <w:jc w:val="both"/>
              <w:rPr>
                <w:rFonts w:ascii="Futura Std Condensed Light" w:hAnsi="Futura Std Condensed Light" w:cs="Calibri"/>
                <w:sz w:val="20"/>
                <w:szCs w:val="18"/>
                <w:lang w:val="es-ES_tradnl"/>
              </w:rPr>
            </w:pPr>
          </w:p>
          <w:p w14:paraId="733D6933" w14:textId="77777777" w:rsidR="00D056A4" w:rsidRDefault="00D056A4" w:rsidP="00904807">
            <w:pPr>
              <w:pStyle w:val="Textonotapie"/>
              <w:spacing w:before="0" w:after="0"/>
              <w:jc w:val="both"/>
              <w:rPr>
                <w:rFonts w:ascii="Futura Std Condensed Light" w:hAnsi="Futura Std Condensed Light" w:cs="Calibri"/>
                <w:sz w:val="20"/>
                <w:szCs w:val="18"/>
                <w:lang w:val="es-ES_tradnl"/>
              </w:rPr>
            </w:pPr>
          </w:p>
          <w:p w14:paraId="3B29B7E3" w14:textId="77777777" w:rsidR="00D056A4" w:rsidRDefault="00D056A4" w:rsidP="00904807">
            <w:pPr>
              <w:pStyle w:val="Textonotapie"/>
              <w:spacing w:before="0" w:after="0"/>
              <w:jc w:val="both"/>
              <w:rPr>
                <w:rFonts w:ascii="Futura Std Condensed Light" w:hAnsi="Futura Std Condensed Light" w:cs="Calibri"/>
                <w:sz w:val="20"/>
                <w:szCs w:val="18"/>
                <w:lang w:val="es-ES_tradnl"/>
              </w:rPr>
            </w:pPr>
          </w:p>
          <w:p w14:paraId="60B3E3FE" w14:textId="77777777" w:rsidR="00D056A4" w:rsidRDefault="00D056A4" w:rsidP="00904807">
            <w:pPr>
              <w:pStyle w:val="Textonotapie"/>
              <w:spacing w:before="0" w:after="0"/>
              <w:jc w:val="both"/>
              <w:rPr>
                <w:rFonts w:ascii="Futura Std Condensed Light" w:hAnsi="Futura Std Condensed Light" w:cs="Calibri"/>
                <w:sz w:val="20"/>
                <w:szCs w:val="18"/>
                <w:lang w:val="es-ES_tradnl"/>
              </w:rPr>
            </w:pPr>
          </w:p>
          <w:p w14:paraId="1B07C3B4" w14:textId="77777777" w:rsidR="00D056A4" w:rsidRDefault="00D056A4" w:rsidP="00904807">
            <w:pPr>
              <w:pStyle w:val="Textonotapie"/>
              <w:spacing w:before="0" w:after="0"/>
              <w:jc w:val="both"/>
              <w:rPr>
                <w:rFonts w:ascii="Futura Std Condensed Light" w:hAnsi="Futura Std Condensed Light" w:cs="Calibri"/>
                <w:sz w:val="20"/>
                <w:szCs w:val="18"/>
                <w:lang w:val="es-ES_tradnl"/>
              </w:rPr>
            </w:pPr>
          </w:p>
          <w:p w14:paraId="2DDE0C14" w14:textId="77777777" w:rsidR="00D056A4" w:rsidRDefault="00D056A4" w:rsidP="00904807">
            <w:pPr>
              <w:pStyle w:val="Textonotapie"/>
              <w:spacing w:before="0" w:after="0"/>
              <w:jc w:val="both"/>
              <w:rPr>
                <w:rFonts w:ascii="Futura Std Condensed Light" w:hAnsi="Futura Std Condensed Light" w:cs="Calibri"/>
                <w:sz w:val="20"/>
                <w:szCs w:val="18"/>
                <w:lang w:val="es-ES_tradnl"/>
              </w:rPr>
            </w:pPr>
          </w:p>
          <w:p w14:paraId="681C12F5" w14:textId="77777777" w:rsidR="00D056A4" w:rsidRDefault="00D056A4" w:rsidP="00904807">
            <w:pPr>
              <w:pStyle w:val="Textonotapie"/>
              <w:spacing w:before="0" w:after="0"/>
              <w:jc w:val="both"/>
              <w:rPr>
                <w:rFonts w:ascii="Futura Std Condensed Light" w:hAnsi="Futura Std Condensed Light" w:cs="Calibri"/>
                <w:sz w:val="20"/>
                <w:szCs w:val="18"/>
                <w:lang w:val="es-ES_tradnl"/>
              </w:rPr>
            </w:pPr>
          </w:p>
          <w:p w14:paraId="09BAF38D" w14:textId="77777777" w:rsidR="00D056A4" w:rsidRDefault="00D056A4" w:rsidP="00904807">
            <w:pPr>
              <w:pStyle w:val="Textonotapie"/>
              <w:spacing w:before="0" w:after="0"/>
              <w:jc w:val="both"/>
              <w:rPr>
                <w:rFonts w:ascii="Futura Std Condensed Light" w:hAnsi="Futura Std Condensed Light" w:cs="Calibri"/>
                <w:sz w:val="20"/>
                <w:szCs w:val="18"/>
                <w:lang w:val="es-ES_tradnl"/>
              </w:rPr>
            </w:pPr>
          </w:p>
          <w:p w14:paraId="345DB97D" w14:textId="77777777" w:rsidR="00D056A4" w:rsidRDefault="00D056A4" w:rsidP="00904807">
            <w:pPr>
              <w:pStyle w:val="Textonotapie"/>
              <w:spacing w:before="0" w:after="0"/>
              <w:jc w:val="both"/>
              <w:rPr>
                <w:rFonts w:ascii="Futura Std Condensed Light" w:hAnsi="Futura Std Condensed Light" w:cs="Calibri"/>
                <w:sz w:val="20"/>
                <w:szCs w:val="18"/>
                <w:lang w:val="es-ES_tradnl"/>
              </w:rPr>
            </w:pPr>
          </w:p>
          <w:p w14:paraId="094F74AA" w14:textId="77777777" w:rsidR="00D056A4" w:rsidRDefault="00D056A4" w:rsidP="00904807">
            <w:pPr>
              <w:pStyle w:val="Textonotapie"/>
              <w:spacing w:before="0" w:after="0"/>
              <w:jc w:val="both"/>
              <w:rPr>
                <w:rFonts w:ascii="Futura Std Condensed Light" w:hAnsi="Futura Std Condensed Light" w:cs="Calibri"/>
                <w:sz w:val="20"/>
                <w:szCs w:val="18"/>
                <w:lang w:val="es-ES_tradnl"/>
              </w:rPr>
            </w:pPr>
          </w:p>
          <w:p w14:paraId="7722C35A" w14:textId="77777777" w:rsidR="00D056A4" w:rsidRDefault="00D056A4" w:rsidP="00904807">
            <w:pPr>
              <w:pStyle w:val="Textonotapie"/>
              <w:spacing w:before="0" w:after="0"/>
              <w:jc w:val="both"/>
              <w:rPr>
                <w:rFonts w:ascii="Futura Std Condensed Light" w:hAnsi="Futura Std Condensed Light" w:cs="Calibri"/>
                <w:sz w:val="20"/>
                <w:szCs w:val="18"/>
                <w:lang w:val="es-ES_tradnl"/>
              </w:rPr>
            </w:pPr>
          </w:p>
          <w:p w14:paraId="59C594C8" w14:textId="77777777" w:rsidR="00D056A4" w:rsidRDefault="00D056A4" w:rsidP="00904807">
            <w:pPr>
              <w:pStyle w:val="Textonotapie"/>
              <w:spacing w:before="0" w:after="0"/>
              <w:jc w:val="both"/>
              <w:rPr>
                <w:rFonts w:ascii="Futura Std Condensed Light" w:hAnsi="Futura Std Condensed Light" w:cs="Calibri"/>
                <w:sz w:val="20"/>
                <w:szCs w:val="18"/>
                <w:lang w:val="es-ES_tradnl"/>
              </w:rPr>
            </w:pPr>
          </w:p>
          <w:p w14:paraId="72EB62FD" w14:textId="7C1C5FE7" w:rsidR="00077A92" w:rsidRDefault="00077A92" w:rsidP="00904807">
            <w:pPr>
              <w:pStyle w:val="Textonotapie"/>
              <w:spacing w:before="0" w:after="0"/>
              <w:jc w:val="both"/>
              <w:rPr>
                <w:rFonts w:ascii="Futura Std Condensed Light" w:hAnsi="Futura Std Condensed Light" w:cs="Calibri"/>
                <w:sz w:val="20"/>
                <w:szCs w:val="18"/>
                <w:lang w:val="es-ES_tradnl"/>
              </w:rPr>
            </w:pPr>
            <w:r w:rsidRPr="000140F1">
              <w:rPr>
                <w:rFonts w:ascii="Futura Std Condensed Light" w:hAnsi="Futura Std Condensed Light" w:cs="Calibri"/>
                <w:sz w:val="20"/>
                <w:szCs w:val="18"/>
                <w:lang w:val="es-ES_tradnl"/>
              </w:rPr>
              <w:t>Objetivo 4. Garantizar una educación inclusiva y equitativa de calidad y promover oportunidades de aprendizaje permanente para todos.</w:t>
            </w:r>
          </w:p>
          <w:p w14:paraId="337A1A0C" w14:textId="77777777" w:rsidR="00077A92" w:rsidRDefault="00077A92" w:rsidP="00904807">
            <w:pPr>
              <w:pStyle w:val="Textonotapie"/>
              <w:spacing w:before="0" w:after="0"/>
              <w:jc w:val="both"/>
              <w:rPr>
                <w:rFonts w:ascii="Futura Std Condensed Light" w:hAnsi="Futura Std Condensed Light" w:cs="Calibri"/>
                <w:sz w:val="20"/>
                <w:szCs w:val="18"/>
                <w:lang w:val="es-ES_tradnl"/>
              </w:rPr>
            </w:pPr>
          </w:p>
          <w:p w14:paraId="627CD8C9" w14:textId="77777777" w:rsidR="00077A92" w:rsidRDefault="00077A92" w:rsidP="009E3B2F">
            <w:pPr>
              <w:pStyle w:val="Textonotapie"/>
              <w:spacing w:before="0" w:after="0"/>
              <w:rPr>
                <w:rFonts w:ascii="Futura Std Condensed Light" w:hAnsi="Futura Std Condensed Light" w:cs="Calibri"/>
                <w:sz w:val="20"/>
                <w:szCs w:val="18"/>
                <w:lang w:val="es-ES_tradnl"/>
              </w:rPr>
            </w:pPr>
          </w:p>
          <w:p w14:paraId="44970DAF" w14:textId="77777777" w:rsidR="00077A92" w:rsidRDefault="00077A92" w:rsidP="009E3B2F">
            <w:pPr>
              <w:pStyle w:val="Textonotapie"/>
              <w:spacing w:before="0" w:after="0"/>
              <w:rPr>
                <w:rFonts w:ascii="Futura Std Condensed Light" w:hAnsi="Futura Std Condensed Light" w:cs="Calibri"/>
                <w:sz w:val="20"/>
                <w:szCs w:val="18"/>
                <w:lang w:val="es-ES_tradnl"/>
              </w:rPr>
            </w:pPr>
          </w:p>
          <w:p w14:paraId="0589B1EF" w14:textId="77777777" w:rsidR="00077A92" w:rsidRDefault="00077A92" w:rsidP="009E3B2F">
            <w:pPr>
              <w:pStyle w:val="Textonotapie"/>
              <w:spacing w:before="0" w:after="0"/>
              <w:rPr>
                <w:rFonts w:ascii="Futura Std Condensed Light" w:hAnsi="Futura Std Condensed Light" w:cs="Calibri"/>
                <w:sz w:val="20"/>
                <w:szCs w:val="18"/>
                <w:lang w:val="es-ES_tradnl"/>
              </w:rPr>
            </w:pPr>
          </w:p>
          <w:p w14:paraId="1650A980" w14:textId="77777777" w:rsidR="00077A92" w:rsidRDefault="00077A92" w:rsidP="009E3B2F">
            <w:pPr>
              <w:pStyle w:val="Textonotapie"/>
              <w:spacing w:before="0" w:after="0"/>
              <w:rPr>
                <w:rFonts w:ascii="Futura Std Condensed Light" w:hAnsi="Futura Std Condensed Light" w:cs="Calibri"/>
                <w:sz w:val="20"/>
                <w:szCs w:val="18"/>
                <w:lang w:val="es-ES_tradnl"/>
              </w:rPr>
            </w:pPr>
          </w:p>
          <w:p w14:paraId="443317B1" w14:textId="77777777" w:rsidR="00077A92" w:rsidRDefault="00077A92" w:rsidP="009E3B2F">
            <w:pPr>
              <w:pStyle w:val="Textonotapie"/>
              <w:spacing w:before="0" w:after="0"/>
              <w:rPr>
                <w:rFonts w:ascii="Futura Std Condensed Light" w:hAnsi="Futura Std Condensed Light" w:cs="Calibri"/>
                <w:sz w:val="20"/>
                <w:szCs w:val="18"/>
                <w:lang w:val="es-ES_tradnl"/>
              </w:rPr>
            </w:pPr>
          </w:p>
          <w:p w14:paraId="08A4CD92" w14:textId="77777777" w:rsidR="00077A92" w:rsidRDefault="00077A92" w:rsidP="009E3B2F">
            <w:pPr>
              <w:pStyle w:val="Textonotapie"/>
              <w:spacing w:before="0" w:after="0"/>
              <w:rPr>
                <w:rFonts w:ascii="Futura Std Condensed Light" w:hAnsi="Futura Std Condensed Light" w:cs="Calibri"/>
                <w:sz w:val="20"/>
                <w:szCs w:val="18"/>
                <w:lang w:val="es-ES_tradnl"/>
              </w:rPr>
            </w:pPr>
          </w:p>
          <w:p w14:paraId="06F8F833" w14:textId="77777777" w:rsidR="00077A92" w:rsidRDefault="00077A92" w:rsidP="009E3B2F">
            <w:pPr>
              <w:pStyle w:val="Textonotapie"/>
              <w:spacing w:before="0" w:after="0"/>
              <w:rPr>
                <w:rFonts w:ascii="Futura Std Condensed Light" w:hAnsi="Futura Std Condensed Light" w:cs="Calibri"/>
                <w:sz w:val="20"/>
                <w:szCs w:val="18"/>
                <w:lang w:val="es-ES_tradnl"/>
              </w:rPr>
            </w:pPr>
          </w:p>
          <w:p w14:paraId="44310BFB" w14:textId="77777777" w:rsidR="00077A92" w:rsidRDefault="00077A92" w:rsidP="009E3B2F">
            <w:pPr>
              <w:pStyle w:val="Textonotapie"/>
              <w:spacing w:before="0" w:after="0"/>
              <w:rPr>
                <w:rFonts w:ascii="Futura Std Condensed Light" w:hAnsi="Futura Std Condensed Light" w:cs="Calibri"/>
                <w:sz w:val="20"/>
                <w:szCs w:val="18"/>
                <w:lang w:val="es-ES_tradnl"/>
              </w:rPr>
            </w:pPr>
          </w:p>
          <w:p w14:paraId="7241EE6E" w14:textId="77777777" w:rsidR="00077A92" w:rsidRDefault="00077A92" w:rsidP="009E3B2F">
            <w:pPr>
              <w:pStyle w:val="Textonotapie"/>
              <w:spacing w:before="0" w:after="0"/>
              <w:rPr>
                <w:rFonts w:ascii="Futura Std Condensed Light" w:hAnsi="Futura Std Condensed Light" w:cs="Calibri"/>
                <w:sz w:val="20"/>
                <w:szCs w:val="18"/>
                <w:lang w:val="es-ES_tradnl"/>
              </w:rPr>
            </w:pPr>
          </w:p>
          <w:p w14:paraId="6A6802C2" w14:textId="77777777" w:rsidR="00077A92" w:rsidRDefault="00077A92" w:rsidP="009E3B2F">
            <w:pPr>
              <w:pStyle w:val="Textonotapie"/>
              <w:spacing w:before="0" w:after="0"/>
              <w:rPr>
                <w:rFonts w:ascii="Futura Std Condensed Light" w:hAnsi="Futura Std Condensed Light" w:cs="Calibri"/>
                <w:sz w:val="20"/>
                <w:szCs w:val="18"/>
                <w:lang w:val="es-ES_tradnl"/>
              </w:rPr>
            </w:pPr>
          </w:p>
          <w:p w14:paraId="66EC2667" w14:textId="77777777" w:rsidR="00077A92" w:rsidRDefault="00077A92" w:rsidP="009E3B2F">
            <w:pPr>
              <w:pStyle w:val="Textonotapie"/>
              <w:spacing w:before="0" w:after="0"/>
              <w:rPr>
                <w:rFonts w:ascii="Futura Std Condensed Light" w:hAnsi="Futura Std Condensed Light" w:cs="Calibri"/>
                <w:sz w:val="20"/>
                <w:szCs w:val="18"/>
                <w:lang w:val="es-ES_tradnl"/>
              </w:rPr>
            </w:pPr>
          </w:p>
          <w:p w14:paraId="5DBFEF30" w14:textId="77777777" w:rsidR="00077A92" w:rsidRDefault="00077A92" w:rsidP="009E3B2F">
            <w:pPr>
              <w:pStyle w:val="Textonotapie"/>
              <w:spacing w:before="0" w:after="0"/>
              <w:rPr>
                <w:rFonts w:ascii="Futura Std Condensed Light" w:hAnsi="Futura Std Condensed Light" w:cs="Calibri"/>
                <w:sz w:val="20"/>
                <w:szCs w:val="18"/>
                <w:lang w:val="es-ES_tradnl"/>
              </w:rPr>
            </w:pPr>
          </w:p>
          <w:p w14:paraId="003958DE" w14:textId="77777777" w:rsidR="00077A92" w:rsidRDefault="00077A92" w:rsidP="009E3B2F">
            <w:pPr>
              <w:pStyle w:val="Textonotapie"/>
              <w:spacing w:before="0" w:after="0"/>
              <w:rPr>
                <w:rFonts w:ascii="Futura Std Condensed Light" w:hAnsi="Futura Std Condensed Light" w:cs="Calibri"/>
                <w:sz w:val="20"/>
                <w:szCs w:val="18"/>
                <w:lang w:val="es-ES_tradnl"/>
              </w:rPr>
            </w:pPr>
          </w:p>
          <w:p w14:paraId="6B2A0833" w14:textId="77777777" w:rsidR="00077A92" w:rsidRDefault="00077A92" w:rsidP="009E3B2F">
            <w:pPr>
              <w:pStyle w:val="Textonotapie"/>
              <w:spacing w:before="0" w:after="0"/>
              <w:rPr>
                <w:rFonts w:ascii="Futura Std Condensed Light" w:hAnsi="Futura Std Condensed Light" w:cs="Calibri"/>
                <w:sz w:val="20"/>
                <w:szCs w:val="18"/>
                <w:lang w:val="es-ES_tradnl"/>
              </w:rPr>
            </w:pPr>
          </w:p>
          <w:p w14:paraId="3AAD1112" w14:textId="77777777" w:rsidR="00077A92" w:rsidRDefault="00077A92" w:rsidP="009E3B2F">
            <w:pPr>
              <w:pStyle w:val="Textonotapie"/>
              <w:spacing w:before="0" w:after="0"/>
              <w:rPr>
                <w:rFonts w:ascii="Futura Std Condensed Light" w:hAnsi="Futura Std Condensed Light" w:cs="Calibri"/>
                <w:sz w:val="20"/>
                <w:szCs w:val="18"/>
                <w:lang w:val="es-ES_tradnl"/>
              </w:rPr>
            </w:pPr>
          </w:p>
          <w:p w14:paraId="223361EA" w14:textId="77777777" w:rsidR="00077A92" w:rsidRDefault="00077A92" w:rsidP="009E3B2F">
            <w:pPr>
              <w:pStyle w:val="Textonotapie"/>
              <w:spacing w:before="0" w:after="0"/>
              <w:rPr>
                <w:rFonts w:ascii="Futura Std Condensed Light" w:hAnsi="Futura Std Condensed Light" w:cs="Calibri"/>
                <w:sz w:val="20"/>
                <w:szCs w:val="18"/>
                <w:lang w:val="es-ES_tradnl"/>
              </w:rPr>
            </w:pPr>
          </w:p>
          <w:p w14:paraId="1438EC4B" w14:textId="77777777" w:rsidR="00077A92" w:rsidRDefault="00077A92" w:rsidP="009E3B2F">
            <w:pPr>
              <w:pStyle w:val="Textonotapie"/>
              <w:spacing w:before="0" w:after="0"/>
              <w:rPr>
                <w:rFonts w:ascii="Futura Std Condensed Light" w:hAnsi="Futura Std Condensed Light" w:cs="Calibri"/>
                <w:sz w:val="20"/>
                <w:szCs w:val="18"/>
                <w:lang w:val="es-ES_tradnl"/>
              </w:rPr>
            </w:pPr>
          </w:p>
          <w:p w14:paraId="3EC7DBA7" w14:textId="77777777" w:rsidR="00077A92" w:rsidRDefault="00077A92" w:rsidP="009E3B2F">
            <w:pPr>
              <w:pStyle w:val="Textonotapie"/>
              <w:spacing w:before="0" w:after="0"/>
              <w:rPr>
                <w:rFonts w:ascii="Futura Std Condensed Light" w:hAnsi="Futura Std Condensed Light" w:cs="Calibri"/>
                <w:sz w:val="20"/>
                <w:szCs w:val="18"/>
                <w:lang w:val="es-ES_tradnl"/>
              </w:rPr>
            </w:pPr>
          </w:p>
          <w:p w14:paraId="56745CCC" w14:textId="5425BB3D" w:rsidR="00077A92" w:rsidRDefault="00077A92" w:rsidP="009E3B2F">
            <w:pPr>
              <w:pStyle w:val="Textonotapie"/>
              <w:spacing w:before="0" w:after="0"/>
              <w:rPr>
                <w:rFonts w:ascii="Futura Std Condensed Light" w:hAnsi="Futura Std Condensed Light" w:cs="Calibri"/>
                <w:sz w:val="20"/>
                <w:szCs w:val="18"/>
                <w:lang w:val="es-ES_tradnl"/>
              </w:rPr>
            </w:pPr>
          </w:p>
          <w:p w14:paraId="468CE44F" w14:textId="0E48A602" w:rsidR="00D056A4" w:rsidRDefault="00D056A4" w:rsidP="009E3B2F">
            <w:pPr>
              <w:pStyle w:val="Textonotapie"/>
              <w:spacing w:before="0" w:after="0"/>
              <w:rPr>
                <w:rFonts w:ascii="Futura Std Condensed Light" w:hAnsi="Futura Std Condensed Light" w:cs="Calibri"/>
                <w:sz w:val="20"/>
                <w:szCs w:val="18"/>
                <w:lang w:val="es-ES_tradnl"/>
              </w:rPr>
            </w:pPr>
          </w:p>
          <w:p w14:paraId="1415546D" w14:textId="5258F02A" w:rsidR="00D056A4" w:rsidRDefault="00D056A4" w:rsidP="009E3B2F">
            <w:pPr>
              <w:pStyle w:val="Textonotapie"/>
              <w:spacing w:before="0" w:after="0"/>
              <w:rPr>
                <w:rFonts w:ascii="Futura Std Condensed Light" w:hAnsi="Futura Std Condensed Light" w:cs="Calibri"/>
                <w:sz w:val="20"/>
                <w:szCs w:val="18"/>
                <w:lang w:val="es-ES_tradnl"/>
              </w:rPr>
            </w:pPr>
          </w:p>
          <w:p w14:paraId="3902620F" w14:textId="2A41E0D4" w:rsidR="00D056A4" w:rsidRDefault="00D056A4" w:rsidP="009E3B2F">
            <w:pPr>
              <w:pStyle w:val="Textonotapie"/>
              <w:spacing w:before="0" w:after="0"/>
              <w:rPr>
                <w:rFonts w:ascii="Futura Std Condensed Light" w:hAnsi="Futura Std Condensed Light" w:cs="Calibri"/>
                <w:sz w:val="20"/>
                <w:szCs w:val="18"/>
                <w:lang w:val="es-ES_tradnl"/>
              </w:rPr>
            </w:pPr>
          </w:p>
          <w:p w14:paraId="3C5AF1DB" w14:textId="45CE5B88" w:rsidR="00D056A4" w:rsidRDefault="00D056A4" w:rsidP="009E3B2F">
            <w:pPr>
              <w:pStyle w:val="Textonotapie"/>
              <w:spacing w:before="0" w:after="0"/>
              <w:rPr>
                <w:rFonts w:ascii="Futura Std Condensed Light" w:hAnsi="Futura Std Condensed Light" w:cs="Calibri"/>
                <w:sz w:val="20"/>
                <w:szCs w:val="18"/>
                <w:lang w:val="es-ES_tradnl"/>
              </w:rPr>
            </w:pPr>
          </w:p>
          <w:p w14:paraId="189A42C1" w14:textId="363429EB" w:rsidR="00D056A4" w:rsidRDefault="00D056A4" w:rsidP="009E3B2F">
            <w:pPr>
              <w:pStyle w:val="Textonotapie"/>
              <w:spacing w:before="0" w:after="0"/>
              <w:rPr>
                <w:rFonts w:ascii="Futura Std Condensed Light" w:hAnsi="Futura Std Condensed Light" w:cs="Calibri"/>
                <w:sz w:val="20"/>
                <w:szCs w:val="18"/>
                <w:lang w:val="es-ES_tradnl"/>
              </w:rPr>
            </w:pPr>
          </w:p>
          <w:p w14:paraId="0A38DF10" w14:textId="55FC7CAB" w:rsidR="00D056A4" w:rsidRDefault="00D056A4" w:rsidP="009E3B2F">
            <w:pPr>
              <w:pStyle w:val="Textonotapie"/>
              <w:spacing w:before="0" w:after="0"/>
              <w:rPr>
                <w:rFonts w:ascii="Futura Std Condensed Light" w:hAnsi="Futura Std Condensed Light" w:cs="Calibri"/>
                <w:sz w:val="20"/>
                <w:szCs w:val="18"/>
                <w:lang w:val="es-ES_tradnl"/>
              </w:rPr>
            </w:pPr>
          </w:p>
          <w:p w14:paraId="52478DAD" w14:textId="3F9D7A9F" w:rsidR="00D056A4" w:rsidRDefault="00D056A4" w:rsidP="009E3B2F">
            <w:pPr>
              <w:pStyle w:val="Textonotapie"/>
              <w:spacing w:before="0" w:after="0"/>
              <w:rPr>
                <w:rFonts w:ascii="Futura Std Condensed Light" w:hAnsi="Futura Std Condensed Light" w:cs="Calibri"/>
                <w:sz w:val="20"/>
                <w:szCs w:val="18"/>
                <w:lang w:val="es-ES_tradnl"/>
              </w:rPr>
            </w:pPr>
          </w:p>
          <w:p w14:paraId="1776085F" w14:textId="5093E3E2" w:rsidR="00D056A4" w:rsidRDefault="00D056A4" w:rsidP="009E3B2F">
            <w:pPr>
              <w:pStyle w:val="Textonotapie"/>
              <w:spacing w:before="0" w:after="0"/>
              <w:rPr>
                <w:rFonts w:ascii="Futura Std Condensed Light" w:hAnsi="Futura Std Condensed Light" w:cs="Calibri"/>
                <w:sz w:val="20"/>
                <w:szCs w:val="18"/>
                <w:lang w:val="es-ES_tradnl"/>
              </w:rPr>
            </w:pPr>
          </w:p>
          <w:p w14:paraId="549A31C9" w14:textId="4462062A" w:rsidR="00D056A4" w:rsidRDefault="00D056A4" w:rsidP="009E3B2F">
            <w:pPr>
              <w:pStyle w:val="Textonotapie"/>
              <w:spacing w:before="0" w:after="0"/>
              <w:rPr>
                <w:rFonts w:ascii="Futura Std Condensed Light" w:hAnsi="Futura Std Condensed Light" w:cs="Calibri"/>
                <w:sz w:val="20"/>
                <w:szCs w:val="18"/>
                <w:lang w:val="es-ES_tradnl"/>
              </w:rPr>
            </w:pPr>
          </w:p>
          <w:p w14:paraId="7F935D0F" w14:textId="12240DEF" w:rsidR="00D056A4" w:rsidRDefault="00D056A4" w:rsidP="009E3B2F">
            <w:pPr>
              <w:pStyle w:val="Textonotapie"/>
              <w:spacing w:before="0" w:after="0"/>
              <w:rPr>
                <w:rFonts w:ascii="Futura Std Condensed Light" w:hAnsi="Futura Std Condensed Light" w:cs="Calibri"/>
                <w:sz w:val="20"/>
                <w:szCs w:val="18"/>
                <w:lang w:val="es-ES_tradnl"/>
              </w:rPr>
            </w:pPr>
          </w:p>
          <w:p w14:paraId="7A8594FF" w14:textId="2A087F4C" w:rsidR="00D056A4" w:rsidRDefault="00D056A4" w:rsidP="009F165F">
            <w:pPr>
              <w:pStyle w:val="Textonotapie"/>
              <w:spacing w:before="0" w:after="0"/>
              <w:jc w:val="both"/>
              <w:rPr>
                <w:rFonts w:ascii="Futura Std Condensed Light" w:hAnsi="Futura Std Condensed Light" w:cs="Calibri"/>
                <w:sz w:val="20"/>
                <w:szCs w:val="18"/>
                <w:lang w:val="es-ES_tradnl"/>
              </w:rPr>
            </w:pPr>
          </w:p>
          <w:p w14:paraId="4BBB2DAE" w14:textId="77777777" w:rsidR="00D056A4" w:rsidRDefault="00D056A4" w:rsidP="009E3B2F">
            <w:pPr>
              <w:pStyle w:val="Textonotapie"/>
              <w:spacing w:before="0" w:after="0"/>
              <w:rPr>
                <w:rFonts w:ascii="Futura Std Condensed Light" w:hAnsi="Futura Std Condensed Light" w:cs="Calibri"/>
                <w:sz w:val="20"/>
                <w:szCs w:val="18"/>
                <w:lang w:val="es-ES_tradnl"/>
              </w:rPr>
            </w:pPr>
          </w:p>
          <w:p w14:paraId="05FE57A8" w14:textId="167E97B9" w:rsidR="00077A92" w:rsidRDefault="00077A92" w:rsidP="008B2E0B">
            <w:pPr>
              <w:pStyle w:val="Textonotapie"/>
              <w:spacing w:before="0" w:after="0"/>
              <w:jc w:val="both"/>
              <w:rPr>
                <w:rFonts w:ascii="Futura Std Condensed Light" w:hAnsi="Futura Std Condensed Light" w:cs="Calibri"/>
                <w:sz w:val="20"/>
                <w:szCs w:val="18"/>
                <w:lang w:val="es-ES_tradnl"/>
              </w:rPr>
            </w:pPr>
          </w:p>
          <w:p w14:paraId="7E8BF188" w14:textId="77777777" w:rsidR="00077A92" w:rsidRDefault="00077A92" w:rsidP="009E3B2F">
            <w:pPr>
              <w:pStyle w:val="Textonotapie"/>
              <w:spacing w:before="0" w:after="0"/>
              <w:rPr>
                <w:rFonts w:ascii="Futura Std Condensed Light" w:hAnsi="Futura Std Condensed Light" w:cs="Calibri"/>
                <w:sz w:val="20"/>
                <w:szCs w:val="18"/>
                <w:lang w:val="es-ES_tradnl"/>
              </w:rPr>
            </w:pPr>
            <w:r w:rsidRPr="000140F1">
              <w:rPr>
                <w:rFonts w:ascii="Futura Std Condensed Light" w:hAnsi="Futura Std Condensed Light" w:cs="Calibri"/>
                <w:sz w:val="20"/>
                <w:szCs w:val="18"/>
                <w:lang w:val="es-ES_tradnl"/>
              </w:rPr>
              <w:t>Objetivo 4. Garantizar una educación inclusiva y equitativa de calidad y promover oportunidades de aprendizaje permanente para todos.</w:t>
            </w:r>
          </w:p>
          <w:p w14:paraId="583067F0" w14:textId="77777777" w:rsidR="00904807" w:rsidRDefault="00904807" w:rsidP="009E3B2F">
            <w:pPr>
              <w:pStyle w:val="Textonotapie"/>
              <w:spacing w:before="0" w:after="0"/>
              <w:rPr>
                <w:rFonts w:ascii="Futura Std Condensed Light" w:hAnsi="Futura Std Condensed Light" w:cs="Calibri"/>
                <w:sz w:val="20"/>
                <w:szCs w:val="18"/>
                <w:lang w:val="es-ES_tradnl"/>
              </w:rPr>
            </w:pPr>
          </w:p>
          <w:p w14:paraId="08B12FE6" w14:textId="77777777" w:rsidR="00904807" w:rsidRDefault="00904807" w:rsidP="009E3B2F">
            <w:pPr>
              <w:pStyle w:val="Textonotapie"/>
              <w:spacing w:before="0" w:after="0"/>
              <w:rPr>
                <w:rFonts w:ascii="Futura Std Condensed Light" w:hAnsi="Futura Std Condensed Light" w:cs="Calibri"/>
                <w:sz w:val="20"/>
                <w:szCs w:val="18"/>
                <w:lang w:val="es-ES_tradnl"/>
              </w:rPr>
            </w:pPr>
          </w:p>
          <w:p w14:paraId="2B42146C" w14:textId="77777777" w:rsidR="00904807" w:rsidRDefault="00904807" w:rsidP="009E3B2F">
            <w:pPr>
              <w:pStyle w:val="Textonotapie"/>
              <w:spacing w:before="0" w:after="0"/>
              <w:rPr>
                <w:rFonts w:ascii="Futura Std Condensed Light" w:hAnsi="Futura Std Condensed Light" w:cs="Calibri"/>
                <w:sz w:val="20"/>
                <w:szCs w:val="18"/>
                <w:lang w:val="es-ES_tradnl"/>
              </w:rPr>
            </w:pPr>
          </w:p>
          <w:p w14:paraId="5D4CFC74" w14:textId="77777777" w:rsidR="00904807" w:rsidRDefault="00904807" w:rsidP="009E3B2F">
            <w:pPr>
              <w:pStyle w:val="Textonotapie"/>
              <w:spacing w:before="0" w:after="0"/>
              <w:rPr>
                <w:rFonts w:ascii="Futura Std Condensed Light" w:hAnsi="Futura Std Condensed Light" w:cs="Calibri"/>
                <w:sz w:val="20"/>
                <w:szCs w:val="18"/>
                <w:lang w:val="es-ES_tradnl"/>
              </w:rPr>
            </w:pPr>
          </w:p>
          <w:p w14:paraId="389D585B" w14:textId="77777777" w:rsidR="00904807" w:rsidRDefault="00904807" w:rsidP="009E3B2F">
            <w:pPr>
              <w:pStyle w:val="Textonotapie"/>
              <w:spacing w:before="0" w:after="0"/>
              <w:rPr>
                <w:rFonts w:ascii="Futura Std Condensed Light" w:hAnsi="Futura Std Condensed Light" w:cs="Calibri"/>
                <w:sz w:val="20"/>
                <w:szCs w:val="18"/>
                <w:lang w:val="es-ES_tradnl"/>
              </w:rPr>
            </w:pPr>
          </w:p>
          <w:p w14:paraId="30F28A99" w14:textId="1143ECEE" w:rsidR="00904807" w:rsidRDefault="00904807" w:rsidP="00904807">
            <w:pPr>
              <w:pStyle w:val="Textonotapie"/>
              <w:spacing w:before="0" w:after="0"/>
              <w:jc w:val="both"/>
              <w:rPr>
                <w:rFonts w:ascii="Futura Std Condensed Light" w:hAnsi="Futura Std Condensed Light" w:cs="Calibri"/>
                <w:sz w:val="20"/>
                <w:szCs w:val="18"/>
                <w:lang w:val="es-ES_tradnl"/>
              </w:rPr>
            </w:pPr>
          </w:p>
          <w:p w14:paraId="75E51656" w14:textId="4F8ED993" w:rsidR="00904807" w:rsidRDefault="00904807" w:rsidP="00904807">
            <w:pPr>
              <w:pStyle w:val="Textonotapie"/>
              <w:spacing w:before="0" w:after="0"/>
              <w:jc w:val="both"/>
              <w:rPr>
                <w:rFonts w:ascii="Futura Std Condensed Light" w:hAnsi="Futura Std Condensed Light" w:cs="Calibri"/>
                <w:sz w:val="20"/>
                <w:szCs w:val="18"/>
                <w:lang w:val="es-ES_tradnl"/>
              </w:rPr>
            </w:pPr>
          </w:p>
          <w:p w14:paraId="363DBFC2" w14:textId="3B134DE3" w:rsidR="00904807" w:rsidRDefault="00904807" w:rsidP="00904807">
            <w:pPr>
              <w:pStyle w:val="Textonotapie"/>
              <w:spacing w:before="0" w:after="0"/>
              <w:jc w:val="both"/>
              <w:rPr>
                <w:rFonts w:ascii="Futura Std Condensed Light" w:hAnsi="Futura Std Condensed Light" w:cs="Calibri"/>
                <w:sz w:val="20"/>
                <w:szCs w:val="18"/>
                <w:lang w:val="es-ES_tradnl"/>
              </w:rPr>
            </w:pPr>
          </w:p>
          <w:p w14:paraId="6E9FDFC5" w14:textId="23938D03" w:rsidR="00904807" w:rsidRDefault="00904807" w:rsidP="00904807">
            <w:pPr>
              <w:pStyle w:val="Textonotapie"/>
              <w:spacing w:before="0" w:after="0"/>
              <w:jc w:val="both"/>
              <w:rPr>
                <w:rFonts w:ascii="Futura Std Condensed Light" w:hAnsi="Futura Std Condensed Light" w:cs="Calibri"/>
                <w:sz w:val="20"/>
                <w:szCs w:val="18"/>
                <w:lang w:val="es-ES_tradnl"/>
              </w:rPr>
            </w:pPr>
          </w:p>
          <w:p w14:paraId="6E958254" w14:textId="43D752E8" w:rsidR="00904807" w:rsidRDefault="00904807" w:rsidP="00904807">
            <w:pPr>
              <w:pStyle w:val="Textonotapie"/>
              <w:spacing w:before="0" w:after="0"/>
              <w:jc w:val="both"/>
              <w:rPr>
                <w:rFonts w:ascii="Futura Std Condensed Light" w:hAnsi="Futura Std Condensed Light" w:cs="Calibri"/>
                <w:sz w:val="20"/>
                <w:szCs w:val="18"/>
                <w:lang w:val="es-ES_tradnl"/>
              </w:rPr>
            </w:pPr>
          </w:p>
          <w:p w14:paraId="36945D1B" w14:textId="02065D3C" w:rsidR="00904807" w:rsidRDefault="00904807" w:rsidP="00904807">
            <w:pPr>
              <w:pStyle w:val="Textonotapie"/>
              <w:spacing w:before="0" w:after="0"/>
              <w:jc w:val="both"/>
              <w:rPr>
                <w:rFonts w:ascii="Futura Std Condensed Light" w:hAnsi="Futura Std Condensed Light" w:cs="Calibri"/>
                <w:sz w:val="20"/>
                <w:szCs w:val="18"/>
                <w:lang w:val="es-ES_tradnl"/>
              </w:rPr>
            </w:pPr>
          </w:p>
          <w:p w14:paraId="49338297" w14:textId="74739EC7" w:rsidR="00904807" w:rsidRDefault="00904807" w:rsidP="00904807">
            <w:pPr>
              <w:pStyle w:val="Textonotapie"/>
              <w:spacing w:before="0" w:after="0"/>
              <w:jc w:val="both"/>
              <w:rPr>
                <w:rFonts w:ascii="Futura Std Condensed Light" w:hAnsi="Futura Std Condensed Light" w:cs="Calibri"/>
                <w:sz w:val="20"/>
                <w:szCs w:val="18"/>
                <w:lang w:val="es-ES_tradnl"/>
              </w:rPr>
            </w:pPr>
          </w:p>
          <w:p w14:paraId="129F3EF1" w14:textId="6DFBDDC8" w:rsidR="00904807" w:rsidRDefault="00904807" w:rsidP="00904807">
            <w:pPr>
              <w:pStyle w:val="Textonotapie"/>
              <w:spacing w:before="0" w:after="0"/>
              <w:jc w:val="both"/>
              <w:rPr>
                <w:rFonts w:ascii="Futura Std Condensed Light" w:hAnsi="Futura Std Condensed Light" w:cs="Calibri"/>
                <w:sz w:val="20"/>
                <w:szCs w:val="18"/>
                <w:lang w:val="es-ES_tradnl"/>
              </w:rPr>
            </w:pPr>
          </w:p>
          <w:p w14:paraId="72783AAA" w14:textId="45CF8281" w:rsidR="00904807" w:rsidRDefault="00904807" w:rsidP="00904807">
            <w:pPr>
              <w:pStyle w:val="Textonotapie"/>
              <w:spacing w:before="0" w:after="0"/>
              <w:jc w:val="both"/>
              <w:rPr>
                <w:rFonts w:ascii="Futura Std Condensed Light" w:hAnsi="Futura Std Condensed Light" w:cs="Calibri"/>
                <w:sz w:val="20"/>
                <w:szCs w:val="18"/>
                <w:lang w:val="es-ES_tradnl"/>
              </w:rPr>
            </w:pPr>
          </w:p>
          <w:p w14:paraId="44CE68A1" w14:textId="5E2242EE" w:rsidR="00904807" w:rsidRDefault="00904807" w:rsidP="00904807">
            <w:pPr>
              <w:pStyle w:val="Textonotapie"/>
              <w:spacing w:before="0" w:after="0"/>
              <w:jc w:val="both"/>
              <w:rPr>
                <w:rFonts w:ascii="Futura Std Condensed Light" w:hAnsi="Futura Std Condensed Light" w:cs="Calibri"/>
                <w:sz w:val="20"/>
                <w:szCs w:val="18"/>
                <w:lang w:val="es-ES_tradnl"/>
              </w:rPr>
            </w:pPr>
          </w:p>
          <w:p w14:paraId="636E92D4" w14:textId="2641411C" w:rsidR="00904807" w:rsidRDefault="00904807" w:rsidP="00904807">
            <w:pPr>
              <w:pStyle w:val="Textonotapie"/>
              <w:spacing w:before="0" w:after="0"/>
              <w:jc w:val="both"/>
              <w:rPr>
                <w:rFonts w:ascii="Futura Std Condensed Light" w:hAnsi="Futura Std Condensed Light" w:cs="Calibri"/>
                <w:sz w:val="20"/>
                <w:szCs w:val="18"/>
                <w:lang w:val="es-ES_tradnl"/>
              </w:rPr>
            </w:pPr>
          </w:p>
          <w:p w14:paraId="306B8E6A" w14:textId="4817A2E4" w:rsidR="00904807" w:rsidRDefault="00904807" w:rsidP="00904807">
            <w:pPr>
              <w:pStyle w:val="Textonotapie"/>
              <w:spacing w:before="0" w:after="0"/>
              <w:jc w:val="both"/>
              <w:rPr>
                <w:rFonts w:ascii="Futura Std Condensed Light" w:hAnsi="Futura Std Condensed Light" w:cs="Calibri"/>
                <w:sz w:val="20"/>
                <w:szCs w:val="18"/>
                <w:lang w:val="es-ES_tradnl"/>
              </w:rPr>
            </w:pPr>
          </w:p>
          <w:p w14:paraId="4DD0CE42" w14:textId="361DCED1" w:rsidR="00904807" w:rsidRDefault="00904807" w:rsidP="00904807">
            <w:pPr>
              <w:pStyle w:val="Textonotapie"/>
              <w:spacing w:before="0" w:after="0"/>
              <w:jc w:val="both"/>
              <w:rPr>
                <w:rFonts w:ascii="Futura Std Condensed Light" w:hAnsi="Futura Std Condensed Light" w:cs="Calibri"/>
                <w:sz w:val="20"/>
                <w:szCs w:val="18"/>
                <w:lang w:val="es-ES_tradnl"/>
              </w:rPr>
            </w:pPr>
          </w:p>
          <w:p w14:paraId="421B74D7" w14:textId="4CE17A45" w:rsidR="00904807" w:rsidRDefault="00904807" w:rsidP="00904807">
            <w:pPr>
              <w:pStyle w:val="Textonotapie"/>
              <w:spacing w:before="0" w:after="0"/>
              <w:jc w:val="both"/>
              <w:rPr>
                <w:rFonts w:ascii="Futura Std Condensed Light" w:hAnsi="Futura Std Condensed Light" w:cs="Calibri"/>
                <w:sz w:val="20"/>
                <w:szCs w:val="18"/>
                <w:lang w:val="es-ES_tradnl"/>
              </w:rPr>
            </w:pPr>
          </w:p>
          <w:p w14:paraId="2E87EE7C" w14:textId="77777777" w:rsidR="00904807" w:rsidRDefault="00904807" w:rsidP="00904807">
            <w:pPr>
              <w:pStyle w:val="Textonotapie"/>
              <w:spacing w:before="0" w:after="0"/>
              <w:jc w:val="both"/>
              <w:rPr>
                <w:rFonts w:ascii="Futura Std Condensed Light" w:hAnsi="Futura Std Condensed Light" w:cs="Calibri"/>
                <w:sz w:val="20"/>
                <w:szCs w:val="18"/>
                <w:lang w:val="es-ES_tradnl"/>
              </w:rPr>
            </w:pPr>
          </w:p>
          <w:p w14:paraId="32089AEC" w14:textId="63BBD44A" w:rsidR="00904807" w:rsidRDefault="00904807" w:rsidP="00904807">
            <w:pPr>
              <w:pStyle w:val="Textonotapie"/>
              <w:spacing w:before="0" w:after="0"/>
              <w:rPr>
                <w:rFonts w:ascii="Futura Std Condensed Light" w:hAnsi="Futura Std Condensed Light" w:cs="Calibri"/>
                <w:sz w:val="20"/>
                <w:szCs w:val="18"/>
                <w:lang w:val="es-ES_tradnl"/>
              </w:rPr>
            </w:pPr>
            <w:r w:rsidRPr="000140F1">
              <w:rPr>
                <w:rFonts w:ascii="Futura Std Condensed Light" w:hAnsi="Futura Std Condensed Light" w:cs="Calibri"/>
                <w:sz w:val="20"/>
                <w:szCs w:val="18"/>
                <w:lang w:val="es-ES_tradnl"/>
              </w:rPr>
              <w:t>Objetivo 4. Garantizar una educación inclusiva y equitativa de calidad y promover oportunidades de aprendizaje permanente para todos.</w:t>
            </w:r>
          </w:p>
          <w:p w14:paraId="7FC6142A" w14:textId="2B6A8F4F" w:rsidR="00904807" w:rsidRPr="000140F1" w:rsidRDefault="00904807" w:rsidP="009E3B2F">
            <w:pPr>
              <w:pStyle w:val="Textonotapie"/>
              <w:spacing w:before="0" w:after="0"/>
              <w:rPr>
                <w:rFonts w:ascii="Futura Std Condensed Light" w:hAnsi="Futura Std Condensed Light"/>
                <w:sz w:val="20"/>
                <w:szCs w:val="16"/>
                <w:lang w:val="es-ES_tradnl"/>
              </w:rPr>
            </w:pPr>
          </w:p>
        </w:tc>
        <w:tc>
          <w:tcPr>
            <w:tcW w:w="1173" w:type="dxa"/>
            <w:vMerge w:val="restart"/>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14:paraId="57A4A3A8" w14:textId="77777777" w:rsidR="00077A92" w:rsidRDefault="00077A92" w:rsidP="009E3B2F">
            <w:pPr>
              <w:pStyle w:val="Textonotapie"/>
              <w:spacing w:before="0" w:after="0"/>
              <w:rPr>
                <w:rFonts w:ascii="Futura Std Condensed Light" w:hAnsi="Futura Std Condensed Light" w:cs="Calibri"/>
                <w:sz w:val="20"/>
                <w:szCs w:val="18"/>
                <w:lang w:val="es-ES_tradnl"/>
              </w:rPr>
            </w:pPr>
          </w:p>
          <w:p w14:paraId="19CFDB09" w14:textId="77777777" w:rsidR="00077A92" w:rsidRDefault="00077A92" w:rsidP="009E3B2F">
            <w:pPr>
              <w:pStyle w:val="Textonotapie"/>
              <w:spacing w:before="0" w:after="0"/>
              <w:rPr>
                <w:rFonts w:ascii="Futura Std Condensed Light" w:hAnsi="Futura Std Condensed Light" w:cs="Calibri"/>
                <w:sz w:val="20"/>
                <w:szCs w:val="18"/>
                <w:lang w:val="es-ES_tradnl"/>
              </w:rPr>
            </w:pPr>
          </w:p>
          <w:p w14:paraId="5B87352F" w14:textId="77777777" w:rsidR="00077A92" w:rsidRDefault="00077A92" w:rsidP="009E3B2F">
            <w:pPr>
              <w:pStyle w:val="Textonotapie"/>
              <w:spacing w:before="0" w:after="0"/>
              <w:rPr>
                <w:rFonts w:ascii="Futura Std Condensed Light" w:hAnsi="Futura Std Condensed Light" w:cs="Calibri"/>
                <w:sz w:val="20"/>
                <w:szCs w:val="18"/>
                <w:lang w:val="es-ES_tradnl"/>
              </w:rPr>
            </w:pPr>
          </w:p>
          <w:p w14:paraId="532158BD" w14:textId="77777777" w:rsidR="00077A92" w:rsidRDefault="00077A92" w:rsidP="009E3B2F">
            <w:pPr>
              <w:pStyle w:val="Textonotapie"/>
              <w:spacing w:before="0" w:after="0"/>
              <w:rPr>
                <w:rFonts w:ascii="Futura Std Condensed Light" w:hAnsi="Futura Std Condensed Light" w:cs="Calibri"/>
                <w:sz w:val="20"/>
                <w:szCs w:val="18"/>
                <w:lang w:val="es-ES_tradnl"/>
              </w:rPr>
            </w:pPr>
          </w:p>
          <w:p w14:paraId="18698D86" w14:textId="77777777" w:rsidR="00077A92" w:rsidRDefault="00077A92" w:rsidP="009E3B2F">
            <w:pPr>
              <w:pStyle w:val="Textonotapie"/>
              <w:spacing w:before="0" w:after="0"/>
              <w:rPr>
                <w:rFonts w:ascii="Futura Std Condensed Light" w:hAnsi="Futura Std Condensed Light" w:cs="Calibri"/>
                <w:sz w:val="20"/>
                <w:szCs w:val="18"/>
                <w:lang w:val="es-ES_tradnl"/>
              </w:rPr>
            </w:pPr>
          </w:p>
          <w:p w14:paraId="2FA6A0E3" w14:textId="77777777" w:rsidR="00077A92" w:rsidRDefault="00077A92" w:rsidP="009E3B2F">
            <w:pPr>
              <w:pStyle w:val="Textonotapie"/>
              <w:spacing w:before="0" w:after="0"/>
              <w:rPr>
                <w:rFonts w:ascii="Futura Std Condensed Light" w:hAnsi="Futura Std Condensed Light" w:cs="Calibri"/>
                <w:sz w:val="20"/>
                <w:szCs w:val="18"/>
                <w:lang w:val="es-ES_tradnl"/>
              </w:rPr>
            </w:pPr>
          </w:p>
          <w:p w14:paraId="690DA3B5" w14:textId="77777777" w:rsidR="00077A92" w:rsidRDefault="00077A92" w:rsidP="009E3B2F">
            <w:pPr>
              <w:pStyle w:val="Textonotapie"/>
              <w:spacing w:before="0" w:after="0"/>
              <w:rPr>
                <w:rFonts w:ascii="Futura Std Condensed Light" w:hAnsi="Futura Std Condensed Light" w:cs="Calibri"/>
                <w:sz w:val="20"/>
                <w:szCs w:val="18"/>
                <w:lang w:val="es-ES_tradnl"/>
              </w:rPr>
            </w:pPr>
          </w:p>
          <w:p w14:paraId="069CB93E" w14:textId="77777777" w:rsidR="00077A92" w:rsidRDefault="00077A92" w:rsidP="009E3B2F">
            <w:pPr>
              <w:pStyle w:val="Textonotapie"/>
              <w:spacing w:before="0" w:after="0"/>
              <w:rPr>
                <w:rFonts w:ascii="Futura Std Condensed Light" w:hAnsi="Futura Std Condensed Light" w:cs="Calibri"/>
                <w:sz w:val="20"/>
                <w:szCs w:val="18"/>
                <w:lang w:val="es-ES_tradnl"/>
              </w:rPr>
            </w:pPr>
          </w:p>
          <w:p w14:paraId="17356856" w14:textId="77777777" w:rsidR="00077A92" w:rsidRDefault="00077A92" w:rsidP="009E3B2F">
            <w:pPr>
              <w:pStyle w:val="Textonotapie"/>
              <w:spacing w:before="0" w:after="0"/>
              <w:rPr>
                <w:rFonts w:ascii="Futura Std Condensed Light" w:hAnsi="Futura Std Condensed Light" w:cs="Calibri"/>
                <w:sz w:val="20"/>
                <w:szCs w:val="18"/>
                <w:lang w:val="es-ES_tradnl"/>
              </w:rPr>
            </w:pPr>
          </w:p>
          <w:p w14:paraId="6D92B075" w14:textId="77777777" w:rsidR="00077A92" w:rsidRDefault="00077A92" w:rsidP="00904807">
            <w:pPr>
              <w:pStyle w:val="Textonotapie"/>
              <w:spacing w:before="0" w:after="0"/>
              <w:jc w:val="both"/>
              <w:rPr>
                <w:rFonts w:ascii="Futura Std Condensed Light" w:hAnsi="Futura Std Condensed Light" w:cs="Calibri"/>
                <w:sz w:val="20"/>
                <w:szCs w:val="18"/>
                <w:lang w:val="es-ES_tradnl"/>
              </w:rPr>
            </w:pPr>
          </w:p>
          <w:p w14:paraId="07DB6015" w14:textId="77777777" w:rsidR="00D056A4" w:rsidRDefault="00D056A4" w:rsidP="00904807">
            <w:pPr>
              <w:pStyle w:val="Textonotapie"/>
              <w:spacing w:before="0" w:after="0"/>
              <w:rPr>
                <w:rFonts w:ascii="Futura Std Condensed Light" w:hAnsi="Futura Std Condensed Light" w:cs="Calibri"/>
                <w:sz w:val="20"/>
                <w:szCs w:val="18"/>
                <w:lang w:val="es-ES_tradnl"/>
              </w:rPr>
            </w:pPr>
          </w:p>
          <w:p w14:paraId="67E67558" w14:textId="77777777" w:rsidR="00D056A4" w:rsidRDefault="00D056A4" w:rsidP="00904807">
            <w:pPr>
              <w:pStyle w:val="Textonotapie"/>
              <w:spacing w:before="0" w:after="0"/>
              <w:rPr>
                <w:rFonts w:ascii="Futura Std Condensed Light" w:hAnsi="Futura Std Condensed Light" w:cs="Calibri"/>
                <w:sz w:val="20"/>
                <w:szCs w:val="18"/>
                <w:lang w:val="es-ES_tradnl"/>
              </w:rPr>
            </w:pPr>
          </w:p>
          <w:p w14:paraId="6C7684A5" w14:textId="77777777" w:rsidR="00D056A4" w:rsidRDefault="00D056A4" w:rsidP="00904807">
            <w:pPr>
              <w:pStyle w:val="Textonotapie"/>
              <w:spacing w:before="0" w:after="0"/>
              <w:rPr>
                <w:rFonts w:ascii="Futura Std Condensed Light" w:hAnsi="Futura Std Condensed Light" w:cs="Calibri"/>
                <w:sz w:val="20"/>
                <w:szCs w:val="18"/>
                <w:lang w:val="es-ES_tradnl"/>
              </w:rPr>
            </w:pPr>
          </w:p>
          <w:p w14:paraId="12AA8F95" w14:textId="77777777" w:rsidR="00D056A4" w:rsidRDefault="00D056A4" w:rsidP="00904807">
            <w:pPr>
              <w:pStyle w:val="Textonotapie"/>
              <w:spacing w:before="0" w:after="0"/>
              <w:rPr>
                <w:rFonts w:ascii="Futura Std Condensed Light" w:hAnsi="Futura Std Condensed Light" w:cs="Calibri"/>
                <w:sz w:val="20"/>
                <w:szCs w:val="18"/>
                <w:lang w:val="es-ES_tradnl"/>
              </w:rPr>
            </w:pPr>
          </w:p>
          <w:p w14:paraId="705EBB2C" w14:textId="77777777" w:rsidR="00D056A4" w:rsidRDefault="00D056A4" w:rsidP="00904807">
            <w:pPr>
              <w:pStyle w:val="Textonotapie"/>
              <w:spacing w:before="0" w:after="0"/>
              <w:rPr>
                <w:rFonts w:ascii="Futura Std Condensed Light" w:hAnsi="Futura Std Condensed Light" w:cs="Calibri"/>
                <w:sz w:val="20"/>
                <w:szCs w:val="18"/>
                <w:lang w:val="es-ES_tradnl"/>
              </w:rPr>
            </w:pPr>
          </w:p>
          <w:p w14:paraId="06F0AC13" w14:textId="77777777" w:rsidR="00D056A4" w:rsidRDefault="00D056A4" w:rsidP="00904807">
            <w:pPr>
              <w:pStyle w:val="Textonotapie"/>
              <w:spacing w:before="0" w:after="0"/>
              <w:rPr>
                <w:rFonts w:ascii="Futura Std Condensed Light" w:hAnsi="Futura Std Condensed Light" w:cs="Calibri"/>
                <w:sz w:val="20"/>
                <w:szCs w:val="18"/>
                <w:lang w:val="es-ES_tradnl"/>
              </w:rPr>
            </w:pPr>
          </w:p>
          <w:p w14:paraId="3F9D2B34" w14:textId="77777777" w:rsidR="00D056A4" w:rsidRDefault="00D056A4" w:rsidP="00904807">
            <w:pPr>
              <w:pStyle w:val="Textonotapie"/>
              <w:spacing w:before="0" w:after="0"/>
              <w:rPr>
                <w:rFonts w:ascii="Futura Std Condensed Light" w:hAnsi="Futura Std Condensed Light" w:cs="Calibri"/>
                <w:sz w:val="20"/>
                <w:szCs w:val="18"/>
                <w:lang w:val="es-ES_tradnl"/>
              </w:rPr>
            </w:pPr>
          </w:p>
          <w:p w14:paraId="0BB6EB7F" w14:textId="77777777" w:rsidR="00D056A4" w:rsidRDefault="00D056A4" w:rsidP="00904807">
            <w:pPr>
              <w:pStyle w:val="Textonotapie"/>
              <w:spacing w:before="0" w:after="0"/>
              <w:rPr>
                <w:rFonts w:ascii="Futura Std Condensed Light" w:hAnsi="Futura Std Condensed Light" w:cs="Calibri"/>
                <w:sz w:val="20"/>
                <w:szCs w:val="18"/>
                <w:lang w:val="es-ES_tradnl"/>
              </w:rPr>
            </w:pPr>
          </w:p>
          <w:p w14:paraId="5ABFBA05" w14:textId="7C6A0E63" w:rsidR="00077A92" w:rsidRDefault="00077A92" w:rsidP="00904807">
            <w:pPr>
              <w:pStyle w:val="Textonotapie"/>
              <w:spacing w:before="0" w:after="0"/>
              <w:rPr>
                <w:rFonts w:ascii="Futura Std Condensed Light" w:hAnsi="Futura Std Condensed Light" w:cs="Calibri"/>
                <w:sz w:val="20"/>
                <w:szCs w:val="18"/>
                <w:lang w:val="es-ES_tradnl"/>
              </w:rPr>
            </w:pPr>
            <w:r w:rsidRPr="000140F1">
              <w:rPr>
                <w:rFonts w:ascii="Futura Std Condensed Light" w:hAnsi="Futura Std Condensed Light" w:cs="Calibri"/>
                <w:sz w:val="20"/>
                <w:szCs w:val="18"/>
                <w:lang w:val="es-ES_tradnl"/>
              </w:rPr>
              <w:t>2. Disminuir la desigualdad en sus diversas formas</w:t>
            </w:r>
          </w:p>
          <w:p w14:paraId="67CA7CE2" w14:textId="77777777" w:rsidR="00077A92" w:rsidRDefault="00077A92" w:rsidP="00904807">
            <w:pPr>
              <w:pStyle w:val="Textonotapie"/>
              <w:spacing w:before="0" w:after="0"/>
              <w:rPr>
                <w:rFonts w:ascii="Futura Std Condensed Light" w:hAnsi="Futura Std Condensed Light" w:cs="Calibri"/>
                <w:sz w:val="20"/>
                <w:szCs w:val="18"/>
                <w:lang w:val="es-ES_tradnl"/>
              </w:rPr>
            </w:pPr>
          </w:p>
          <w:p w14:paraId="5D5F72B3" w14:textId="77777777" w:rsidR="00077A92" w:rsidRDefault="00077A92" w:rsidP="009E3B2F">
            <w:pPr>
              <w:pStyle w:val="Textonotapie"/>
              <w:spacing w:before="0" w:after="0"/>
              <w:rPr>
                <w:rFonts w:ascii="Futura Std Condensed Light" w:hAnsi="Futura Std Condensed Light" w:cs="Calibri"/>
                <w:sz w:val="20"/>
                <w:szCs w:val="18"/>
                <w:lang w:val="es-ES_tradnl"/>
              </w:rPr>
            </w:pPr>
          </w:p>
          <w:p w14:paraId="30B9A3D1" w14:textId="77777777" w:rsidR="00077A92" w:rsidRDefault="00077A92" w:rsidP="009E3B2F">
            <w:pPr>
              <w:pStyle w:val="Textonotapie"/>
              <w:spacing w:before="0" w:after="0"/>
              <w:rPr>
                <w:rFonts w:ascii="Futura Std Condensed Light" w:hAnsi="Futura Std Condensed Light" w:cs="Calibri"/>
                <w:sz w:val="20"/>
                <w:szCs w:val="18"/>
                <w:lang w:val="es-ES_tradnl"/>
              </w:rPr>
            </w:pPr>
          </w:p>
          <w:p w14:paraId="624EAAFC" w14:textId="77777777" w:rsidR="00077A92" w:rsidRDefault="00077A92" w:rsidP="009E3B2F">
            <w:pPr>
              <w:pStyle w:val="Textonotapie"/>
              <w:spacing w:before="0" w:after="0"/>
              <w:rPr>
                <w:rFonts w:ascii="Futura Std Condensed Light" w:hAnsi="Futura Std Condensed Light" w:cs="Calibri"/>
                <w:sz w:val="20"/>
                <w:szCs w:val="18"/>
                <w:lang w:val="es-ES_tradnl"/>
              </w:rPr>
            </w:pPr>
          </w:p>
          <w:p w14:paraId="0D960C0F" w14:textId="77777777" w:rsidR="00077A92" w:rsidRDefault="00077A92" w:rsidP="009E3B2F">
            <w:pPr>
              <w:pStyle w:val="Textonotapie"/>
              <w:spacing w:before="0" w:after="0"/>
              <w:rPr>
                <w:rFonts w:ascii="Futura Std Condensed Light" w:hAnsi="Futura Std Condensed Light" w:cs="Calibri"/>
                <w:sz w:val="20"/>
                <w:szCs w:val="18"/>
                <w:lang w:val="es-ES_tradnl"/>
              </w:rPr>
            </w:pPr>
          </w:p>
          <w:p w14:paraId="7E6FC996" w14:textId="77777777" w:rsidR="00077A92" w:rsidRDefault="00077A92" w:rsidP="009E3B2F">
            <w:pPr>
              <w:pStyle w:val="Textonotapie"/>
              <w:spacing w:before="0" w:after="0"/>
              <w:rPr>
                <w:rFonts w:ascii="Futura Std Condensed Light" w:hAnsi="Futura Std Condensed Light" w:cs="Calibri"/>
                <w:sz w:val="20"/>
                <w:szCs w:val="18"/>
                <w:lang w:val="es-ES_tradnl"/>
              </w:rPr>
            </w:pPr>
          </w:p>
          <w:p w14:paraId="2A3C8FD1" w14:textId="77777777" w:rsidR="00077A92" w:rsidRDefault="00077A92" w:rsidP="009E3B2F">
            <w:pPr>
              <w:pStyle w:val="Textonotapie"/>
              <w:spacing w:before="0" w:after="0"/>
              <w:rPr>
                <w:rFonts w:ascii="Futura Std Condensed Light" w:hAnsi="Futura Std Condensed Light" w:cs="Calibri"/>
                <w:sz w:val="20"/>
                <w:szCs w:val="18"/>
                <w:lang w:val="es-ES_tradnl"/>
              </w:rPr>
            </w:pPr>
          </w:p>
          <w:p w14:paraId="40ABB58F" w14:textId="77777777" w:rsidR="00077A92" w:rsidRDefault="00077A92" w:rsidP="009E3B2F">
            <w:pPr>
              <w:pStyle w:val="Textonotapie"/>
              <w:spacing w:before="0" w:after="0"/>
              <w:rPr>
                <w:rFonts w:ascii="Futura Std Condensed Light" w:hAnsi="Futura Std Condensed Light" w:cs="Calibri"/>
                <w:sz w:val="20"/>
                <w:szCs w:val="18"/>
                <w:lang w:val="es-ES_tradnl"/>
              </w:rPr>
            </w:pPr>
          </w:p>
          <w:p w14:paraId="59BD31AC" w14:textId="77777777" w:rsidR="00077A92" w:rsidRDefault="00077A92" w:rsidP="009E3B2F">
            <w:pPr>
              <w:pStyle w:val="Textonotapie"/>
              <w:spacing w:before="0" w:after="0"/>
              <w:rPr>
                <w:rFonts w:ascii="Futura Std Condensed Light" w:hAnsi="Futura Std Condensed Light" w:cs="Calibri"/>
                <w:sz w:val="20"/>
                <w:szCs w:val="18"/>
                <w:lang w:val="es-ES_tradnl"/>
              </w:rPr>
            </w:pPr>
          </w:p>
          <w:p w14:paraId="5B0CA67E" w14:textId="77777777" w:rsidR="00077A92" w:rsidRDefault="00077A92" w:rsidP="009E3B2F">
            <w:pPr>
              <w:pStyle w:val="Textonotapie"/>
              <w:spacing w:before="0" w:after="0"/>
              <w:rPr>
                <w:rFonts w:ascii="Futura Std Condensed Light" w:hAnsi="Futura Std Condensed Light" w:cs="Calibri"/>
                <w:sz w:val="20"/>
                <w:szCs w:val="18"/>
                <w:lang w:val="es-ES_tradnl"/>
              </w:rPr>
            </w:pPr>
          </w:p>
          <w:p w14:paraId="5D2DEBD8" w14:textId="77777777" w:rsidR="00077A92" w:rsidRDefault="00077A92" w:rsidP="009E3B2F">
            <w:pPr>
              <w:pStyle w:val="Textonotapie"/>
              <w:spacing w:before="0" w:after="0"/>
              <w:rPr>
                <w:rFonts w:ascii="Futura Std Condensed Light" w:hAnsi="Futura Std Condensed Light" w:cs="Calibri"/>
                <w:sz w:val="20"/>
                <w:szCs w:val="18"/>
                <w:lang w:val="es-ES_tradnl"/>
              </w:rPr>
            </w:pPr>
          </w:p>
          <w:p w14:paraId="4BF73F6D" w14:textId="77777777" w:rsidR="00077A92" w:rsidRDefault="00077A92" w:rsidP="009E3B2F">
            <w:pPr>
              <w:pStyle w:val="Textonotapie"/>
              <w:spacing w:before="0" w:after="0"/>
              <w:rPr>
                <w:rFonts w:ascii="Futura Std Condensed Light" w:hAnsi="Futura Std Condensed Light" w:cs="Calibri"/>
                <w:sz w:val="20"/>
                <w:szCs w:val="18"/>
                <w:lang w:val="es-ES_tradnl"/>
              </w:rPr>
            </w:pPr>
          </w:p>
          <w:p w14:paraId="321F8267" w14:textId="77777777" w:rsidR="00077A92" w:rsidRDefault="00077A92" w:rsidP="009E3B2F">
            <w:pPr>
              <w:pStyle w:val="Textonotapie"/>
              <w:spacing w:before="0" w:after="0"/>
              <w:rPr>
                <w:rFonts w:ascii="Futura Std Condensed Light" w:hAnsi="Futura Std Condensed Light" w:cs="Calibri"/>
                <w:sz w:val="20"/>
                <w:szCs w:val="18"/>
                <w:lang w:val="es-ES_tradnl"/>
              </w:rPr>
            </w:pPr>
          </w:p>
          <w:p w14:paraId="7EF1E189" w14:textId="77777777" w:rsidR="00077A92" w:rsidRDefault="00077A92" w:rsidP="009E3B2F">
            <w:pPr>
              <w:pStyle w:val="Textonotapie"/>
              <w:spacing w:before="0" w:after="0"/>
              <w:rPr>
                <w:rFonts w:ascii="Futura Std Condensed Light" w:hAnsi="Futura Std Condensed Light" w:cs="Calibri"/>
                <w:sz w:val="20"/>
                <w:szCs w:val="18"/>
                <w:lang w:val="es-ES_tradnl"/>
              </w:rPr>
            </w:pPr>
          </w:p>
          <w:p w14:paraId="4488337C" w14:textId="77777777" w:rsidR="00077A92" w:rsidRDefault="00077A92" w:rsidP="009E3B2F">
            <w:pPr>
              <w:pStyle w:val="Textonotapie"/>
              <w:spacing w:before="0" w:after="0"/>
              <w:rPr>
                <w:rFonts w:ascii="Futura Std Condensed Light" w:hAnsi="Futura Std Condensed Light" w:cs="Calibri"/>
                <w:sz w:val="20"/>
                <w:szCs w:val="18"/>
                <w:lang w:val="es-ES_tradnl"/>
              </w:rPr>
            </w:pPr>
          </w:p>
          <w:p w14:paraId="5CCEB353" w14:textId="77777777" w:rsidR="00077A92" w:rsidRDefault="00077A92" w:rsidP="009E3B2F">
            <w:pPr>
              <w:pStyle w:val="Textonotapie"/>
              <w:spacing w:before="0" w:after="0"/>
              <w:rPr>
                <w:rFonts w:ascii="Futura Std Condensed Light" w:hAnsi="Futura Std Condensed Light" w:cs="Calibri"/>
                <w:sz w:val="20"/>
                <w:szCs w:val="18"/>
                <w:lang w:val="es-ES_tradnl"/>
              </w:rPr>
            </w:pPr>
          </w:p>
          <w:p w14:paraId="14E99C4A" w14:textId="77777777" w:rsidR="00077A92" w:rsidRDefault="00077A92" w:rsidP="009E3B2F">
            <w:pPr>
              <w:pStyle w:val="Textonotapie"/>
              <w:spacing w:before="0" w:after="0"/>
              <w:rPr>
                <w:rFonts w:ascii="Futura Std Condensed Light" w:hAnsi="Futura Std Condensed Light" w:cs="Calibri"/>
                <w:sz w:val="20"/>
                <w:szCs w:val="18"/>
                <w:lang w:val="es-ES_tradnl"/>
              </w:rPr>
            </w:pPr>
          </w:p>
          <w:p w14:paraId="7B045733" w14:textId="77777777" w:rsidR="00077A92" w:rsidRDefault="00077A92" w:rsidP="009E3B2F">
            <w:pPr>
              <w:pStyle w:val="Textonotapie"/>
              <w:spacing w:before="0" w:after="0"/>
              <w:rPr>
                <w:rFonts w:ascii="Futura Std Condensed Light" w:hAnsi="Futura Std Condensed Light" w:cs="Calibri"/>
                <w:sz w:val="20"/>
                <w:szCs w:val="18"/>
                <w:lang w:val="es-ES_tradnl"/>
              </w:rPr>
            </w:pPr>
          </w:p>
          <w:p w14:paraId="3D25B770" w14:textId="77777777" w:rsidR="00077A92" w:rsidRDefault="00077A92" w:rsidP="009E3B2F">
            <w:pPr>
              <w:pStyle w:val="Textonotapie"/>
              <w:spacing w:before="0" w:after="0"/>
              <w:rPr>
                <w:rFonts w:ascii="Futura Std Condensed Light" w:hAnsi="Futura Std Condensed Light" w:cs="Calibri"/>
                <w:sz w:val="20"/>
                <w:szCs w:val="18"/>
                <w:lang w:val="es-ES_tradnl"/>
              </w:rPr>
            </w:pPr>
          </w:p>
          <w:p w14:paraId="4B49A9D2" w14:textId="77777777" w:rsidR="00077A92" w:rsidRDefault="00077A92" w:rsidP="009E3B2F">
            <w:pPr>
              <w:pStyle w:val="Textonotapie"/>
              <w:spacing w:before="0" w:after="0"/>
              <w:rPr>
                <w:rFonts w:ascii="Futura Std Condensed Light" w:hAnsi="Futura Std Condensed Light" w:cs="Calibri"/>
                <w:sz w:val="20"/>
                <w:szCs w:val="18"/>
                <w:lang w:val="es-ES_tradnl"/>
              </w:rPr>
            </w:pPr>
          </w:p>
          <w:p w14:paraId="64C43805" w14:textId="77777777" w:rsidR="00077A92" w:rsidRDefault="00077A92" w:rsidP="009E3B2F">
            <w:pPr>
              <w:pStyle w:val="Textonotapie"/>
              <w:spacing w:before="0" w:after="0"/>
              <w:rPr>
                <w:rFonts w:ascii="Futura Std Condensed Light" w:hAnsi="Futura Std Condensed Light" w:cs="Calibri"/>
                <w:sz w:val="20"/>
                <w:szCs w:val="18"/>
                <w:lang w:val="es-ES_tradnl"/>
              </w:rPr>
            </w:pPr>
          </w:p>
          <w:p w14:paraId="7FF38F73" w14:textId="77777777" w:rsidR="00077A92" w:rsidRDefault="00077A92" w:rsidP="009E3B2F">
            <w:pPr>
              <w:pStyle w:val="Textonotapie"/>
              <w:spacing w:before="0" w:after="0"/>
              <w:rPr>
                <w:rFonts w:ascii="Futura Std Condensed Light" w:hAnsi="Futura Std Condensed Light" w:cs="Calibri"/>
                <w:sz w:val="20"/>
                <w:szCs w:val="18"/>
                <w:lang w:val="es-ES_tradnl"/>
              </w:rPr>
            </w:pPr>
          </w:p>
          <w:p w14:paraId="2F1369B6" w14:textId="77777777" w:rsidR="00077A92" w:rsidRDefault="00077A92" w:rsidP="009E3B2F">
            <w:pPr>
              <w:pStyle w:val="Textonotapie"/>
              <w:spacing w:before="0" w:after="0"/>
              <w:rPr>
                <w:rFonts w:ascii="Futura Std Condensed Light" w:hAnsi="Futura Std Condensed Light" w:cs="Calibri"/>
                <w:sz w:val="20"/>
                <w:szCs w:val="18"/>
                <w:lang w:val="es-ES_tradnl"/>
              </w:rPr>
            </w:pPr>
          </w:p>
          <w:p w14:paraId="73D88518" w14:textId="31CE4FD7" w:rsidR="00077A92" w:rsidRDefault="00077A92" w:rsidP="008B2E0B">
            <w:pPr>
              <w:pStyle w:val="Textonotapie"/>
              <w:spacing w:before="0" w:after="0"/>
              <w:jc w:val="both"/>
              <w:rPr>
                <w:rFonts w:ascii="Futura Std Condensed Light" w:hAnsi="Futura Std Condensed Light" w:cs="Calibri"/>
                <w:sz w:val="20"/>
                <w:szCs w:val="18"/>
                <w:lang w:val="es-ES_tradnl"/>
              </w:rPr>
            </w:pPr>
          </w:p>
          <w:p w14:paraId="19102800" w14:textId="77777777" w:rsidR="009F165F" w:rsidRDefault="009F165F" w:rsidP="009E3B2F">
            <w:pPr>
              <w:pStyle w:val="Textonotapie"/>
              <w:spacing w:before="0" w:after="0"/>
              <w:rPr>
                <w:rFonts w:ascii="Futura Std Condensed Light" w:hAnsi="Futura Std Condensed Light" w:cs="Calibri"/>
                <w:sz w:val="20"/>
                <w:szCs w:val="18"/>
                <w:lang w:val="es-ES_tradnl"/>
              </w:rPr>
            </w:pPr>
          </w:p>
          <w:p w14:paraId="42B41F39" w14:textId="77777777" w:rsidR="009F165F" w:rsidRDefault="009F165F" w:rsidP="009E3B2F">
            <w:pPr>
              <w:pStyle w:val="Textonotapie"/>
              <w:spacing w:before="0" w:after="0"/>
              <w:rPr>
                <w:rFonts w:ascii="Futura Std Condensed Light" w:hAnsi="Futura Std Condensed Light" w:cs="Calibri"/>
                <w:sz w:val="20"/>
                <w:szCs w:val="18"/>
                <w:lang w:val="es-ES_tradnl"/>
              </w:rPr>
            </w:pPr>
          </w:p>
          <w:p w14:paraId="151F8136" w14:textId="77777777" w:rsidR="009F165F" w:rsidRDefault="009F165F" w:rsidP="009E3B2F">
            <w:pPr>
              <w:pStyle w:val="Textonotapie"/>
              <w:spacing w:before="0" w:after="0"/>
              <w:rPr>
                <w:rFonts w:ascii="Futura Std Condensed Light" w:hAnsi="Futura Std Condensed Light" w:cs="Calibri"/>
                <w:sz w:val="20"/>
                <w:szCs w:val="18"/>
                <w:lang w:val="es-ES_tradnl"/>
              </w:rPr>
            </w:pPr>
          </w:p>
          <w:p w14:paraId="63933D15" w14:textId="77777777" w:rsidR="009F165F" w:rsidRDefault="009F165F" w:rsidP="009E3B2F">
            <w:pPr>
              <w:pStyle w:val="Textonotapie"/>
              <w:spacing w:before="0" w:after="0"/>
              <w:rPr>
                <w:rFonts w:ascii="Futura Std Condensed Light" w:hAnsi="Futura Std Condensed Light" w:cs="Calibri"/>
                <w:sz w:val="20"/>
                <w:szCs w:val="18"/>
                <w:lang w:val="es-ES_tradnl"/>
              </w:rPr>
            </w:pPr>
          </w:p>
          <w:p w14:paraId="618BD9DC" w14:textId="77777777" w:rsidR="009F165F" w:rsidRDefault="009F165F" w:rsidP="009E3B2F">
            <w:pPr>
              <w:pStyle w:val="Textonotapie"/>
              <w:spacing w:before="0" w:after="0"/>
              <w:rPr>
                <w:rFonts w:ascii="Futura Std Condensed Light" w:hAnsi="Futura Std Condensed Light" w:cs="Calibri"/>
                <w:sz w:val="20"/>
                <w:szCs w:val="18"/>
                <w:lang w:val="es-ES_tradnl"/>
              </w:rPr>
            </w:pPr>
          </w:p>
          <w:p w14:paraId="0BBCF067" w14:textId="77777777" w:rsidR="009F165F" w:rsidRDefault="009F165F" w:rsidP="009E3B2F">
            <w:pPr>
              <w:pStyle w:val="Textonotapie"/>
              <w:spacing w:before="0" w:after="0"/>
              <w:rPr>
                <w:rFonts w:ascii="Futura Std Condensed Light" w:hAnsi="Futura Std Condensed Light" w:cs="Calibri"/>
                <w:sz w:val="20"/>
                <w:szCs w:val="18"/>
                <w:lang w:val="es-ES_tradnl"/>
              </w:rPr>
            </w:pPr>
          </w:p>
          <w:p w14:paraId="19E5F8A0" w14:textId="77777777" w:rsidR="009F165F" w:rsidRDefault="009F165F" w:rsidP="009E3B2F">
            <w:pPr>
              <w:pStyle w:val="Textonotapie"/>
              <w:spacing w:before="0" w:after="0"/>
              <w:rPr>
                <w:rFonts w:ascii="Futura Std Condensed Light" w:hAnsi="Futura Std Condensed Light" w:cs="Calibri"/>
                <w:sz w:val="20"/>
                <w:szCs w:val="18"/>
                <w:lang w:val="es-ES_tradnl"/>
              </w:rPr>
            </w:pPr>
          </w:p>
          <w:p w14:paraId="2B410A5B" w14:textId="77777777" w:rsidR="009F165F" w:rsidRDefault="009F165F" w:rsidP="009E3B2F">
            <w:pPr>
              <w:pStyle w:val="Textonotapie"/>
              <w:spacing w:before="0" w:after="0"/>
              <w:rPr>
                <w:rFonts w:ascii="Futura Std Condensed Light" w:hAnsi="Futura Std Condensed Light" w:cs="Calibri"/>
                <w:sz w:val="20"/>
                <w:szCs w:val="18"/>
                <w:lang w:val="es-ES_tradnl"/>
              </w:rPr>
            </w:pPr>
          </w:p>
          <w:p w14:paraId="50D3C98C" w14:textId="77777777" w:rsidR="009F165F" w:rsidRDefault="009F165F" w:rsidP="009E3B2F">
            <w:pPr>
              <w:pStyle w:val="Textonotapie"/>
              <w:spacing w:before="0" w:after="0"/>
              <w:rPr>
                <w:rFonts w:ascii="Futura Std Condensed Light" w:hAnsi="Futura Std Condensed Light" w:cs="Calibri"/>
                <w:sz w:val="20"/>
                <w:szCs w:val="18"/>
                <w:lang w:val="es-ES_tradnl"/>
              </w:rPr>
            </w:pPr>
          </w:p>
          <w:p w14:paraId="6D2AF024" w14:textId="77777777" w:rsidR="009F165F" w:rsidRDefault="009F165F" w:rsidP="009E3B2F">
            <w:pPr>
              <w:pStyle w:val="Textonotapie"/>
              <w:spacing w:before="0" w:after="0"/>
              <w:rPr>
                <w:rFonts w:ascii="Futura Std Condensed Light" w:hAnsi="Futura Std Condensed Light" w:cs="Calibri"/>
                <w:sz w:val="20"/>
                <w:szCs w:val="18"/>
                <w:lang w:val="es-ES_tradnl"/>
              </w:rPr>
            </w:pPr>
          </w:p>
          <w:p w14:paraId="0EAF71FC" w14:textId="77777777" w:rsidR="009F165F" w:rsidRDefault="009F165F" w:rsidP="009E3B2F">
            <w:pPr>
              <w:pStyle w:val="Textonotapie"/>
              <w:spacing w:before="0" w:after="0"/>
              <w:rPr>
                <w:rFonts w:ascii="Futura Std Condensed Light" w:hAnsi="Futura Std Condensed Light" w:cs="Calibri"/>
                <w:sz w:val="20"/>
                <w:szCs w:val="18"/>
                <w:lang w:val="es-ES_tradnl"/>
              </w:rPr>
            </w:pPr>
          </w:p>
          <w:p w14:paraId="03468F8D" w14:textId="77777777" w:rsidR="009F165F" w:rsidRDefault="009F165F" w:rsidP="009E3B2F">
            <w:pPr>
              <w:pStyle w:val="Textonotapie"/>
              <w:spacing w:before="0" w:after="0"/>
              <w:rPr>
                <w:rFonts w:ascii="Futura Std Condensed Light" w:hAnsi="Futura Std Condensed Light" w:cs="Calibri"/>
                <w:sz w:val="20"/>
                <w:szCs w:val="18"/>
                <w:lang w:val="es-ES_tradnl"/>
              </w:rPr>
            </w:pPr>
          </w:p>
          <w:p w14:paraId="78BAEA2D" w14:textId="77777777" w:rsidR="009F165F" w:rsidRDefault="009F165F" w:rsidP="009E3B2F">
            <w:pPr>
              <w:pStyle w:val="Textonotapie"/>
              <w:spacing w:before="0" w:after="0"/>
              <w:rPr>
                <w:rFonts w:ascii="Futura Std Condensed Light" w:hAnsi="Futura Std Condensed Light" w:cs="Calibri"/>
                <w:sz w:val="20"/>
                <w:szCs w:val="18"/>
                <w:lang w:val="es-ES_tradnl"/>
              </w:rPr>
            </w:pPr>
          </w:p>
          <w:p w14:paraId="55B34D0E" w14:textId="77777777" w:rsidR="009F165F" w:rsidRDefault="009F165F" w:rsidP="009E3B2F">
            <w:pPr>
              <w:pStyle w:val="Textonotapie"/>
              <w:spacing w:before="0" w:after="0"/>
              <w:rPr>
                <w:rFonts w:ascii="Futura Std Condensed Light" w:hAnsi="Futura Std Condensed Light" w:cs="Calibri"/>
                <w:sz w:val="20"/>
                <w:szCs w:val="18"/>
                <w:lang w:val="es-ES_tradnl"/>
              </w:rPr>
            </w:pPr>
          </w:p>
          <w:p w14:paraId="38C1F18C" w14:textId="77777777" w:rsidR="009F165F" w:rsidRDefault="009F165F" w:rsidP="009E3B2F">
            <w:pPr>
              <w:pStyle w:val="Textonotapie"/>
              <w:spacing w:before="0" w:after="0"/>
              <w:rPr>
                <w:rFonts w:ascii="Futura Std Condensed Light" w:hAnsi="Futura Std Condensed Light" w:cs="Calibri"/>
                <w:sz w:val="20"/>
                <w:szCs w:val="18"/>
                <w:lang w:val="es-ES_tradnl"/>
              </w:rPr>
            </w:pPr>
          </w:p>
          <w:p w14:paraId="1B8FC1BC" w14:textId="7A4EB6A6" w:rsidR="00077A92" w:rsidRDefault="00077A92" w:rsidP="009E3B2F">
            <w:pPr>
              <w:pStyle w:val="Textonotapie"/>
              <w:spacing w:before="0" w:after="0"/>
              <w:rPr>
                <w:rFonts w:ascii="Futura Std Condensed Light" w:hAnsi="Futura Std Condensed Light" w:cs="Calibri"/>
                <w:sz w:val="20"/>
                <w:szCs w:val="18"/>
                <w:lang w:val="es-ES_tradnl"/>
              </w:rPr>
            </w:pPr>
            <w:r w:rsidRPr="000140F1">
              <w:rPr>
                <w:rFonts w:ascii="Futura Std Condensed Light" w:hAnsi="Futura Std Condensed Light" w:cs="Calibri"/>
                <w:sz w:val="20"/>
                <w:szCs w:val="18"/>
                <w:lang w:val="es-ES_tradnl"/>
              </w:rPr>
              <w:t>2. Disminuir la desigualdad en sus diversas formas</w:t>
            </w:r>
          </w:p>
          <w:p w14:paraId="3DFEB9A3" w14:textId="77777777" w:rsidR="00904807" w:rsidRDefault="00904807" w:rsidP="009E3B2F">
            <w:pPr>
              <w:pStyle w:val="Textonotapie"/>
              <w:spacing w:before="0" w:after="0"/>
              <w:rPr>
                <w:rFonts w:ascii="Futura Std Condensed Light" w:hAnsi="Futura Std Condensed Light" w:cs="Calibri"/>
                <w:sz w:val="20"/>
                <w:szCs w:val="18"/>
                <w:lang w:val="es-ES_tradnl"/>
              </w:rPr>
            </w:pPr>
          </w:p>
          <w:p w14:paraId="20E2727E" w14:textId="77777777" w:rsidR="00904807" w:rsidRDefault="00904807" w:rsidP="009E3B2F">
            <w:pPr>
              <w:pStyle w:val="Textonotapie"/>
              <w:spacing w:before="0" w:after="0"/>
              <w:rPr>
                <w:rFonts w:ascii="Futura Std Condensed Light" w:hAnsi="Futura Std Condensed Light" w:cs="Calibri"/>
                <w:sz w:val="20"/>
                <w:szCs w:val="18"/>
                <w:lang w:val="es-ES_tradnl"/>
              </w:rPr>
            </w:pPr>
          </w:p>
          <w:p w14:paraId="500C1B11" w14:textId="77777777" w:rsidR="00904807" w:rsidRDefault="00904807" w:rsidP="009E3B2F">
            <w:pPr>
              <w:pStyle w:val="Textonotapie"/>
              <w:spacing w:before="0" w:after="0"/>
              <w:rPr>
                <w:rFonts w:ascii="Futura Std Condensed Light" w:hAnsi="Futura Std Condensed Light" w:cs="Calibri"/>
                <w:sz w:val="20"/>
                <w:szCs w:val="18"/>
                <w:lang w:val="es-ES_tradnl"/>
              </w:rPr>
            </w:pPr>
          </w:p>
          <w:p w14:paraId="37A81371" w14:textId="77777777" w:rsidR="00904807" w:rsidRDefault="00904807" w:rsidP="009E3B2F">
            <w:pPr>
              <w:pStyle w:val="Textonotapie"/>
              <w:spacing w:before="0" w:after="0"/>
              <w:rPr>
                <w:rFonts w:ascii="Futura Std Condensed Light" w:hAnsi="Futura Std Condensed Light" w:cs="Calibri"/>
                <w:sz w:val="20"/>
                <w:szCs w:val="18"/>
                <w:lang w:val="es-ES_tradnl"/>
              </w:rPr>
            </w:pPr>
          </w:p>
          <w:p w14:paraId="1CA04259" w14:textId="5C5084CD" w:rsidR="00904807" w:rsidRDefault="00904807" w:rsidP="00904807">
            <w:pPr>
              <w:pStyle w:val="Textonotapie"/>
              <w:spacing w:before="0" w:after="0"/>
              <w:jc w:val="both"/>
              <w:rPr>
                <w:rFonts w:ascii="Futura Std Condensed Light" w:hAnsi="Futura Std Condensed Light" w:cs="Calibri"/>
                <w:sz w:val="20"/>
                <w:szCs w:val="18"/>
                <w:lang w:val="es-ES_tradnl"/>
              </w:rPr>
            </w:pPr>
          </w:p>
          <w:p w14:paraId="18038604" w14:textId="3C018E7B" w:rsidR="00904807" w:rsidRDefault="00904807" w:rsidP="00904807">
            <w:pPr>
              <w:pStyle w:val="Textonotapie"/>
              <w:spacing w:before="0" w:after="0"/>
              <w:jc w:val="both"/>
              <w:rPr>
                <w:rFonts w:ascii="Futura Std Condensed Light" w:hAnsi="Futura Std Condensed Light" w:cs="Calibri"/>
                <w:sz w:val="20"/>
                <w:szCs w:val="18"/>
                <w:lang w:val="es-ES_tradnl"/>
              </w:rPr>
            </w:pPr>
          </w:p>
          <w:p w14:paraId="22C3DD54" w14:textId="7E4B10A8" w:rsidR="00904807" w:rsidRDefault="00904807" w:rsidP="00904807">
            <w:pPr>
              <w:pStyle w:val="Textonotapie"/>
              <w:spacing w:before="0" w:after="0"/>
              <w:jc w:val="both"/>
              <w:rPr>
                <w:rFonts w:ascii="Futura Std Condensed Light" w:hAnsi="Futura Std Condensed Light" w:cs="Calibri"/>
                <w:sz w:val="20"/>
                <w:szCs w:val="18"/>
                <w:lang w:val="es-ES_tradnl"/>
              </w:rPr>
            </w:pPr>
          </w:p>
          <w:p w14:paraId="20CAFF2F" w14:textId="4FF48691" w:rsidR="00904807" w:rsidRDefault="00904807" w:rsidP="00904807">
            <w:pPr>
              <w:pStyle w:val="Textonotapie"/>
              <w:spacing w:before="0" w:after="0"/>
              <w:jc w:val="both"/>
              <w:rPr>
                <w:rFonts w:ascii="Futura Std Condensed Light" w:hAnsi="Futura Std Condensed Light" w:cs="Calibri"/>
                <w:sz w:val="20"/>
                <w:szCs w:val="18"/>
                <w:lang w:val="es-ES_tradnl"/>
              </w:rPr>
            </w:pPr>
          </w:p>
          <w:p w14:paraId="72DB3673" w14:textId="301D74B9" w:rsidR="00904807" w:rsidRDefault="00904807" w:rsidP="00904807">
            <w:pPr>
              <w:pStyle w:val="Textonotapie"/>
              <w:spacing w:before="0" w:after="0"/>
              <w:jc w:val="both"/>
              <w:rPr>
                <w:rFonts w:ascii="Futura Std Condensed Light" w:hAnsi="Futura Std Condensed Light" w:cs="Calibri"/>
                <w:sz w:val="20"/>
                <w:szCs w:val="18"/>
                <w:lang w:val="es-ES_tradnl"/>
              </w:rPr>
            </w:pPr>
          </w:p>
          <w:p w14:paraId="7513B804" w14:textId="2ABB2F3A" w:rsidR="00904807" w:rsidRDefault="00904807" w:rsidP="00904807">
            <w:pPr>
              <w:pStyle w:val="Textonotapie"/>
              <w:spacing w:before="0" w:after="0"/>
              <w:jc w:val="both"/>
              <w:rPr>
                <w:rFonts w:ascii="Futura Std Condensed Light" w:hAnsi="Futura Std Condensed Light" w:cs="Calibri"/>
                <w:sz w:val="20"/>
                <w:szCs w:val="18"/>
                <w:lang w:val="es-ES_tradnl"/>
              </w:rPr>
            </w:pPr>
          </w:p>
          <w:p w14:paraId="6A0F90A5" w14:textId="1A7CB2C0" w:rsidR="00904807" w:rsidRDefault="00904807" w:rsidP="00904807">
            <w:pPr>
              <w:pStyle w:val="Textonotapie"/>
              <w:spacing w:before="0" w:after="0"/>
              <w:jc w:val="both"/>
              <w:rPr>
                <w:rFonts w:ascii="Futura Std Condensed Light" w:hAnsi="Futura Std Condensed Light" w:cs="Calibri"/>
                <w:sz w:val="20"/>
                <w:szCs w:val="18"/>
                <w:lang w:val="es-ES_tradnl"/>
              </w:rPr>
            </w:pPr>
          </w:p>
          <w:p w14:paraId="3CE22613" w14:textId="1C1EE4FC" w:rsidR="00904807" w:rsidRDefault="00904807" w:rsidP="00904807">
            <w:pPr>
              <w:pStyle w:val="Textonotapie"/>
              <w:spacing w:before="0" w:after="0"/>
              <w:jc w:val="both"/>
              <w:rPr>
                <w:rFonts w:ascii="Futura Std Condensed Light" w:hAnsi="Futura Std Condensed Light" w:cs="Calibri"/>
                <w:sz w:val="20"/>
                <w:szCs w:val="18"/>
                <w:lang w:val="es-ES_tradnl"/>
              </w:rPr>
            </w:pPr>
          </w:p>
          <w:p w14:paraId="684359C8" w14:textId="3D6B4FA4" w:rsidR="00904807" w:rsidRDefault="00904807" w:rsidP="00904807">
            <w:pPr>
              <w:pStyle w:val="Textonotapie"/>
              <w:spacing w:before="0" w:after="0"/>
              <w:jc w:val="both"/>
              <w:rPr>
                <w:rFonts w:ascii="Futura Std Condensed Light" w:hAnsi="Futura Std Condensed Light" w:cs="Calibri"/>
                <w:sz w:val="20"/>
                <w:szCs w:val="18"/>
                <w:lang w:val="es-ES_tradnl"/>
              </w:rPr>
            </w:pPr>
          </w:p>
          <w:p w14:paraId="58DB25F6" w14:textId="301C0F0C" w:rsidR="00904807" w:rsidRDefault="00904807" w:rsidP="00904807">
            <w:pPr>
              <w:pStyle w:val="Textonotapie"/>
              <w:spacing w:before="0" w:after="0"/>
              <w:jc w:val="both"/>
              <w:rPr>
                <w:rFonts w:ascii="Futura Std Condensed Light" w:hAnsi="Futura Std Condensed Light" w:cs="Calibri"/>
                <w:sz w:val="20"/>
                <w:szCs w:val="18"/>
                <w:lang w:val="es-ES_tradnl"/>
              </w:rPr>
            </w:pPr>
          </w:p>
          <w:p w14:paraId="3F7A1AB3" w14:textId="5948165E" w:rsidR="00904807" w:rsidRDefault="00904807" w:rsidP="00904807">
            <w:pPr>
              <w:pStyle w:val="Textonotapie"/>
              <w:spacing w:before="0" w:after="0"/>
              <w:jc w:val="both"/>
              <w:rPr>
                <w:rFonts w:ascii="Futura Std Condensed Light" w:hAnsi="Futura Std Condensed Light" w:cs="Calibri"/>
                <w:sz w:val="20"/>
                <w:szCs w:val="18"/>
                <w:lang w:val="es-ES_tradnl"/>
              </w:rPr>
            </w:pPr>
          </w:p>
          <w:p w14:paraId="3D8EE9E8" w14:textId="0D88A064" w:rsidR="00904807" w:rsidRDefault="00904807" w:rsidP="00904807">
            <w:pPr>
              <w:pStyle w:val="Textonotapie"/>
              <w:spacing w:before="0" w:after="0"/>
              <w:jc w:val="both"/>
              <w:rPr>
                <w:rFonts w:ascii="Futura Std Condensed Light" w:hAnsi="Futura Std Condensed Light" w:cs="Calibri"/>
                <w:sz w:val="20"/>
                <w:szCs w:val="18"/>
                <w:lang w:val="es-ES_tradnl"/>
              </w:rPr>
            </w:pPr>
          </w:p>
          <w:p w14:paraId="4D7DDBF1" w14:textId="59DE535E" w:rsidR="00904807" w:rsidRDefault="00904807" w:rsidP="00904807">
            <w:pPr>
              <w:pStyle w:val="Textonotapie"/>
              <w:spacing w:before="0" w:after="0"/>
              <w:jc w:val="both"/>
              <w:rPr>
                <w:rFonts w:ascii="Futura Std Condensed Light" w:hAnsi="Futura Std Condensed Light" w:cs="Calibri"/>
                <w:sz w:val="20"/>
                <w:szCs w:val="18"/>
                <w:lang w:val="es-ES_tradnl"/>
              </w:rPr>
            </w:pPr>
          </w:p>
          <w:p w14:paraId="41311A22" w14:textId="1CF0DD2B" w:rsidR="00904807" w:rsidRDefault="00904807" w:rsidP="00904807">
            <w:pPr>
              <w:pStyle w:val="Textonotapie"/>
              <w:spacing w:before="0" w:after="0"/>
              <w:jc w:val="both"/>
              <w:rPr>
                <w:rFonts w:ascii="Futura Std Condensed Light" w:hAnsi="Futura Std Condensed Light" w:cs="Calibri"/>
                <w:sz w:val="20"/>
                <w:szCs w:val="18"/>
                <w:lang w:val="es-ES_tradnl"/>
              </w:rPr>
            </w:pPr>
          </w:p>
          <w:p w14:paraId="5F617D88" w14:textId="57370523" w:rsidR="00904807" w:rsidRDefault="00904807" w:rsidP="00904807">
            <w:pPr>
              <w:pStyle w:val="Textonotapie"/>
              <w:spacing w:before="0" w:after="0"/>
              <w:jc w:val="both"/>
              <w:rPr>
                <w:rFonts w:ascii="Futura Std Condensed Light" w:hAnsi="Futura Std Condensed Light" w:cs="Calibri"/>
                <w:sz w:val="20"/>
                <w:szCs w:val="18"/>
                <w:lang w:val="es-ES_tradnl"/>
              </w:rPr>
            </w:pPr>
          </w:p>
          <w:p w14:paraId="74CCF40A" w14:textId="3D342AEE" w:rsidR="00904807" w:rsidRDefault="00904807" w:rsidP="00904807">
            <w:pPr>
              <w:pStyle w:val="Textonotapie"/>
              <w:spacing w:before="0" w:after="0"/>
              <w:jc w:val="both"/>
              <w:rPr>
                <w:rFonts w:ascii="Futura Std Condensed Light" w:hAnsi="Futura Std Condensed Light" w:cs="Calibri"/>
                <w:sz w:val="20"/>
                <w:szCs w:val="18"/>
                <w:lang w:val="es-ES_tradnl"/>
              </w:rPr>
            </w:pPr>
          </w:p>
          <w:p w14:paraId="155FBECF" w14:textId="581F1F93" w:rsidR="00904807" w:rsidRDefault="00904807" w:rsidP="00904807">
            <w:pPr>
              <w:pStyle w:val="Textonotapie"/>
              <w:spacing w:before="0" w:after="0"/>
              <w:jc w:val="both"/>
              <w:rPr>
                <w:rFonts w:ascii="Futura Std Condensed Light" w:hAnsi="Futura Std Condensed Light" w:cs="Calibri"/>
                <w:sz w:val="20"/>
                <w:szCs w:val="18"/>
                <w:lang w:val="es-ES_tradnl"/>
              </w:rPr>
            </w:pPr>
          </w:p>
          <w:p w14:paraId="3D0B1FF9" w14:textId="75CBED4E" w:rsidR="00904807" w:rsidRDefault="00904807" w:rsidP="00904807">
            <w:pPr>
              <w:pStyle w:val="Textonotapie"/>
              <w:spacing w:before="0" w:after="0"/>
              <w:jc w:val="both"/>
              <w:rPr>
                <w:rFonts w:ascii="Futura Std Condensed Light" w:hAnsi="Futura Std Condensed Light" w:cs="Calibri"/>
                <w:sz w:val="20"/>
                <w:szCs w:val="18"/>
                <w:lang w:val="es-ES_tradnl"/>
              </w:rPr>
            </w:pPr>
          </w:p>
          <w:p w14:paraId="2B5BC066" w14:textId="4DEE6D52" w:rsidR="00904807" w:rsidRDefault="00904807" w:rsidP="00904807">
            <w:pPr>
              <w:pStyle w:val="Textonotapie"/>
              <w:spacing w:before="0" w:after="0"/>
              <w:jc w:val="both"/>
              <w:rPr>
                <w:rFonts w:ascii="Futura Std Condensed Light" w:hAnsi="Futura Std Condensed Light" w:cs="Calibri"/>
                <w:sz w:val="20"/>
                <w:szCs w:val="18"/>
                <w:lang w:val="es-ES_tradnl"/>
              </w:rPr>
            </w:pPr>
          </w:p>
          <w:p w14:paraId="1A481077" w14:textId="6592F185" w:rsidR="00904807" w:rsidRDefault="00904807" w:rsidP="00904807">
            <w:pPr>
              <w:pStyle w:val="Textonotapie"/>
              <w:spacing w:before="0" w:after="0"/>
              <w:jc w:val="both"/>
              <w:rPr>
                <w:rFonts w:ascii="Futura Std Condensed Light" w:hAnsi="Futura Std Condensed Light" w:cs="Calibri"/>
                <w:sz w:val="20"/>
                <w:szCs w:val="18"/>
                <w:lang w:val="es-ES_tradnl"/>
              </w:rPr>
            </w:pPr>
          </w:p>
          <w:p w14:paraId="01E14E74" w14:textId="77777777" w:rsidR="00904807" w:rsidRDefault="00904807" w:rsidP="00904807">
            <w:pPr>
              <w:pStyle w:val="Textonotapie"/>
              <w:spacing w:before="0" w:after="0"/>
              <w:jc w:val="both"/>
              <w:rPr>
                <w:rFonts w:ascii="Futura Std Condensed Light" w:hAnsi="Futura Std Condensed Light" w:cs="Calibri"/>
                <w:sz w:val="20"/>
                <w:szCs w:val="18"/>
                <w:lang w:val="es-ES_tradnl"/>
              </w:rPr>
            </w:pPr>
          </w:p>
          <w:p w14:paraId="6D0098F9" w14:textId="4B1E1B1C" w:rsidR="00904807" w:rsidRPr="000140F1" w:rsidRDefault="00904807" w:rsidP="00904807">
            <w:pPr>
              <w:pStyle w:val="Textonotapie"/>
              <w:spacing w:before="0" w:after="0"/>
              <w:rPr>
                <w:rFonts w:ascii="Futura Std Condensed Light" w:hAnsi="Futura Std Condensed Light"/>
                <w:sz w:val="20"/>
                <w:szCs w:val="16"/>
                <w:lang w:val="es-ES_tradnl"/>
              </w:rPr>
            </w:pPr>
            <w:r w:rsidRPr="000140F1">
              <w:rPr>
                <w:rFonts w:ascii="Futura Std Condensed Light" w:hAnsi="Futura Std Condensed Light" w:cs="Calibri"/>
                <w:sz w:val="20"/>
                <w:szCs w:val="18"/>
                <w:lang w:val="es-ES_tradnl"/>
              </w:rPr>
              <w:t>2. Disminuir la desigualdad en sus diversas formas</w:t>
            </w:r>
          </w:p>
        </w:tc>
      </w:tr>
      <w:tr w:rsidR="00077A92" w14:paraId="302611E4" w14:textId="77777777" w:rsidTr="00A95996">
        <w:trPr>
          <w:trHeight w:val="2353"/>
        </w:trPr>
        <w:tc>
          <w:tcPr>
            <w:tcW w:w="211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14:paraId="7BC116A8" w14:textId="5FE118E0" w:rsidR="00077A92" w:rsidRPr="00904807" w:rsidRDefault="00904807" w:rsidP="00904807">
            <w:pPr>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lastRenderedPageBreak/>
              <w:t>2.</w:t>
            </w:r>
            <w:r w:rsidRPr="00904807">
              <w:rPr>
                <w:rFonts w:ascii="Futura Std Condensed Light" w:eastAsia="Calibri" w:hAnsi="Futura Std Condensed Light" w:cs="Calibri"/>
                <w:sz w:val="20"/>
                <w:szCs w:val="20"/>
              </w:rPr>
              <w:t xml:space="preserve">Favorecer la permanencia y el egreso de los estudiantes de educación básica en el Sistema Educativo Estatal  mediante diversos apoyos compensatorios. </w:t>
            </w:r>
          </w:p>
        </w:tc>
        <w:tc>
          <w:tcPr>
            <w:tcW w:w="1836" w:type="dxa"/>
            <w:vMerge/>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14:paraId="398F1F3F" w14:textId="77777777" w:rsidR="00077A92" w:rsidRPr="000140F1" w:rsidRDefault="00077A92" w:rsidP="009E3B2F">
            <w:pPr>
              <w:pStyle w:val="Textonotapie"/>
              <w:spacing w:before="0" w:after="0"/>
              <w:rPr>
                <w:rFonts w:ascii="Futura Std Condensed Light" w:hAnsi="Futura Std Condensed Light" w:cs="Calibri"/>
                <w:sz w:val="20"/>
                <w:szCs w:val="18"/>
                <w:lang w:val="es-ES_tradnl"/>
              </w:rPr>
            </w:pPr>
          </w:p>
        </w:tc>
        <w:tc>
          <w:tcPr>
            <w:tcW w:w="2247" w:type="dxa"/>
            <w:vMerge/>
            <w:tcBorders>
              <w:top w:val="single" w:sz="4" w:space="0" w:color="auto"/>
              <w:left w:val="single" w:sz="4" w:space="0" w:color="auto"/>
              <w:right w:val="single" w:sz="4" w:space="0" w:color="auto"/>
            </w:tcBorders>
            <w:tcMar>
              <w:top w:w="72" w:type="dxa"/>
              <w:left w:w="144" w:type="dxa"/>
              <w:bottom w:w="72" w:type="dxa"/>
              <w:right w:w="144" w:type="dxa"/>
            </w:tcMar>
            <w:vAlign w:val="center"/>
          </w:tcPr>
          <w:p w14:paraId="42AE833C" w14:textId="77777777" w:rsidR="00077A92" w:rsidRPr="000140F1" w:rsidRDefault="00077A92" w:rsidP="009E3B2F">
            <w:pPr>
              <w:pStyle w:val="Textonotapie"/>
              <w:spacing w:before="0" w:after="0"/>
              <w:rPr>
                <w:rFonts w:ascii="Futura Std Condensed Light" w:hAnsi="Futura Std Condensed Light" w:cs="Calibri"/>
                <w:sz w:val="20"/>
                <w:szCs w:val="18"/>
                <w:lang w:val="es-ES_tradnl"/>
              </w:rPr>
            </w:pPr>
          </w:p>
        </w:tc>
        <w:tc>
          <w:tcPr>
            <w:tcW w:w="1248" w:type="dxa"/>
            <w:vMerge/>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14:paraId="3BED7C59" w14:textId="77777777" w:rsidR="00077A92" w:rsidRDefault="00077A92" w:rsidP="009E3B2F">
            <w:pPr>
              <w:pStyle w:val="Textonotapie"/>
              <w:spacing w:before="0" w:after="0"/>
              <w:rPr>
                <w:rFonts w:ascii="Futura Std Condensed Light" w:hAnsi="Futura Std Condensed Light" w:cs="Calibri"/>
                <w:sz w:val="20"/>
                <w:szCs w:val="18"/>
                <w:lang w:val="es-ES_tradnl"/>
              </w:rPr>
            </w:pPr>
          </w:p>
        </w:tc>
        <w:tc>
          <w:tcPr>
            <w:tcW w:w="1441" w:type="dxa"/>
            <w:vMerge/>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14:paraId="20C83D39" w14:textId="77777777" w:rsidR="00077A92" w:rsidRDefault="00077A92" w:rsidP="009E3B2F">
            <w:pPr>
              <w:pStyle w:val="Textonotapie"/>
              <w:spacing w:before="0" w:after="0"/>
              <w:rPr>
                <w:rFonts w:ascii="Futura Std Condensed Light" w:hAnsi="Futura Std Condensed Light" w:cs="Calibri"/>
                <w:sz w:val="20"/>
                <w:szCs w:val="18"/>
                <w:lang w:val="es-ES_tradnl"/>
              </w:rPr>
            </w:pPr>
          </w:p>
        </w:tc>
        <w:tc>
          <w:tcPr>
            <w:tcW w:w="1173" w:type="dxa"/>
            <w:vMerge/>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14:paraId="3CE173D9" w14:textId="77777777" w:rsidR="00077A92" w:rsidRDefault="00077A92" w:rsidP="009E3B2F">
            <w:pPr>
              <w:pStyle w:val="Textonotapie"/>
              <w:spacing w:before="0" w:after="0"/>
              <w:rPr>
                <w:rFonts w:ascii="Futura Std Condensed Light" w:hAnsi="Futura Std Condensed Light" w:cs="Calibri"/>
                <w:sz w:val="20"/>
                <w:szCs w:val="18"/>
                <w:lang w:val="es-ES_tradnl"/>
              </w:rPr>
            </w:pPr>
          </w:p>
        </w:tc>
      </w:tr>
      <w:tr w:rsidR="00077A92" w14:paraId="0C8704D2" w14:textId="77777777" w:rsidTr="00A95996">
        <w:trPr>
          <w:trHeight w:val="630"/>
        </w:trPr>
        <w:tc>
          <w:tcPr>
            <w:tcW w:w="211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14:paraId="3F892B4C" w14:textId="36D5A40F" w:rsidR="00077A92" w:rsidRPr="00904807" w:rsidRDefault="00904807" w:rsidP="00904807">
            <w:pPr>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3.</w:t>
            </w:r>
            <w:r w:rsidRPr="00904807">
              <w:rPr>
                <w:rFonts w:ascii="Futura Std Condensed Light" w:eastAsia="Calibri" w:hAnsi="Futura Std Condensed Light" w:cs="Calibri"/>
                <w:sz w:val="20"/>
                <w:szCs w:val="20"/>
              </w:rPr>
              <w:t>Impulsar en educación básica acciones de respaldo a la trayectoria escolar, permanen</w:t>
            </w:r>
            <w:r>
              <w:rPr>
                <w:rFonts w:ascii="Futura Std Condensed Light" w:eastAsia="Calibri" w:hAnsi="Futura Std Condensed Light" w:cs="Calibri"/>
                <w:sz w:val="20"/>
                <w:szCs w:val="20"/>
              </w:rPr>
              <w:t>cia y egreso de los estudiantes.</w:t>
            </w:r>
          </w:p>
        </w:tc>
        <w:tc>
          <w:tcPr>
            <w:tcW w:w="1836" w:type="dxa"/>
            <w:vMerge/>
            <w:tcBorders>
              <w:left w:val="single" w:sz="4" w:space="0" w:color="auto"/>
              <w:bottom w:val="single" w:sz="4" w:space="0" w:color="auto"/>
              <w:right w:val="single" w:sz="4" w:space="0" w:color="auto"/>
            </w:tcBorders>
            <w:tcMar>
              <w:top w:w="72" w:type="dxa"/>
              <w:left w:w="144" w:type="dxa"/>
              <w:bottom w:w="72" w:type="dxa"/>
              <w:right w:w="144" w:type="dxa"/>
            </w:tcMar>
            <w:vAlign w:val="center"/>
          </w:tcPr>
          <w:p w14:paraId="0C4EE9CA" w14:textId="77777777" w:rsidR="00077A92" w:rsidRPr="000140F1" w:rsidRDefault="00077A92" w:rsidP="009E3B2F">
            <w:pPr>
              <w:pStyle w:val="Textonotapie"/>
              <w:spacing w:before="0" w:after="0"/>
              <w:rPr>
                <w:rFonts w:ascii="Futura Std Condensed Light" w:hAnsi="Futura Std Condensed Light" w:cs="Calibri"/>
                <w:sz w:val="20"/>
                <w:szCs w:val="18"/>
                <w:lang w:val="es-ES_tradnl"/>
              </w:rPr>
            </w:pPr>
          </w:p>
        </w:tc>
        <w:tc>
          <w:tcPr>
            <w:tcW w:w="2247" w:type="dxa"/>
            <w:vMerge/>
            <w:tcBorders>
              <w:left w:val="single" w:sz="4" w:space="0" w:color="auto"/>
              <w:bottom w:val="single" w:sz="4" w:space="0" w:color="auto"/>
              <w:right w:val="single" w:sz="4" w:space="0" w:color="auto"/>
            </w:tcBorders>
            <w:tcMar>
              <w:top w:w="72" w:type="dxa"/>
              <w:left w:w="144" w:type="dxa"/>
              <w:bottom w:w="72" w:type="dxa"/>
              <w:right w:w="144" w:type="dxa"/>
            </w:tcMar>
            <w:vAlign w:val="center"/>
          </w:tcPr>
          <w:p w14:paraId="4A6BA26E" w14:textId="77777777" w:rsidR="00077A92" w:rsidRPr="000140F1" w:rsidRDefault="00077A92" w:rsidP="009E3B2F">
            <w:pPr>
              <w:pStyle w:val="Textonotapie"/>
              <w:spacing w:before="0" w:after="0"/>
              <w:rPr>
                <w:rFonts w:ascii="Futura Std Condensed Light" w:hAnsi="Futura Std Condensed Light" w:cs="Calibri"/>
                <w:sz w:val="20"/>
                <w:szCs w:val="18"/>
                <w:lang w:val="es-ES_tradnl"/>
              </w:rPr>
            </w:pPr>
          </w:p>
        </w:tc>
        <w:tc>
          <w:tcPr>
            <w:tcW w:w="1248" w:type="dxa"/>
            <w:vMerge/>
            <w:tcBorders>
              <w:left w:val="single" w:sz="4" w:space="0" w:color="auto"/>
              <w:bottom w:val="single" w:sz="4" w:space="0" w:color="auto"/>
              <w:right w:val="single" w:sz="4" w:space="0" w:color="auto"/>
            </w:tcBorders>
            <w:tcMar>
              <w:top w:w="72" w:type="dxa"/>
              <w:left w:w="144" w:type="dxa"/>
              <w:bottom w:w="72" w:type="dxa"/>
              <w:right w:w="144" w:type="dxa"/>
            </w:tcMar>
            <w:vAlign w:val="center"/>
          </w:tcPr>
          <w:p w14:paraId="1E432AB5" w14:textId="77777777" w:rsidR="00077A92" w:rsidRDefault="00077A92" w:rsidP="009E3B2F">
            <w:pPr>
              <w:pStyle w:val="Textonotapie"/>
              <w:spacing w:before="0" w:after="0"/>
              <w:rPr>
                <w:rFonts w:ascii="Futura Std Condensed Light" w:hAnsi="Futura Std Condensed Light" w:cs="Calibri"/>
                <w:sz w:val="20"/>
                <w:szCs w:val="18"/>
                <w:lang w:val="es-ES_tradnl"/>
              </w:rPr>
            </w:pPr>
          </w:p>
        </w:tc>
        <w:tc>
          <w:tcPr>
            <w:tcW w:w="1441" w:type="dxa"/>
            <w:vMerge/>
            <w:tcBorders>
              <w:left w:val="single" w:sz="4" w:space="0" w:color="auto"/>
              <w:bottom w:val="single" w:sz="4" w:space="0" w:color="auto"/>
              <w:right w:val="single" w:sz="4" w:space="0" w:color="auto"/>
            </w:tcBorders>
            <w:tcMar>
              <w:top w:w="72" w:type="dxa"/>
              <w:left w:w="144" w:type="dxa"/>
              <w:bottom w:w="72" w:type="dxa"/>
              <w:right w:w="144" w:type="dxa"/>
            </w:tcMar>
            <w:vAlign w:val="center"/>
          </w:tcPr>
          <w:p w14:paraId="11CA25F1" w14:textId="77777777" w:rsidR="00077A92" w:rsidRDefault="00077A92" w:rsidP="009E3B2F">
            <w:pPr>
              <w:pStyle w:val="Textonotapie"/>
              <w:spacing w:before="0" w:after="0"/>
              <w:rPr>
                <w:rFonts w:ascii="Futura Std Condensed Light" w:hAnsi="Futura Std Condensed Light" w:cs="Calibri"/>
                <w:sz w:val="20"/>
                <w:szCs w:val="18"/>
                <w:lang w:val="es-ES_tradnl"/>
              </w:rPr>
            </w:pPr>
          </w:p>
        </w:tc>
        <w:tc>
          <w:tcPr>
            <w:tcW w:w="1173" w:type="dxa"/>
            <w:vMerge/>
            <w:tcBorders>
              <w:left w:val="single" w:sz="4" w:space="0" w:color="auto"/>
              <w:bottom w:val="single" w:sz="4" w:space="0" w:color="auto"/>
              <w:right w:val="single" w:sz="4" w:space="0" w:color="auto"/>
            </w:tcBorders>
            <w:tcMar>
              <w:top w:w="72" w:type="dxa"/>
              <w:left w:w="144" w:type="dxa"/>
              <w:bottom w:w="72" w:type="dxa"/>
              <w:right w:w="144" w:type="dxa"/>
            </w:tcMar>
            <w:vAlign w:val="center"/>
          </w:tcPr>
          <w:p w14:paraId="131E4D45" w14:textId="77777777" w:rsidR="00077A92" w:rsidRDefault="00077A92" w:rsidP="009E3B2F">
            <w:pPr>
              <w:pStyle w:val="Textonotapie"/>
              <w:spacing w:before="0" w:after="0"/>
              <w:rPr>
                <w:rFonts w:ascii="Futura Std Condensed Light" w:hAnsi="Futura Std Condensed Light" w:cs="Calibri"/>
                <w:sz w:val="20"/>
                <w:szCs w:val="18"/>
                <w:lang w:val="es-ES_tradnl"/>
              </w:rPr>
            </w:pPr>
          </w:p>
        </w:tc>
      </w:tr>
      <w:tr w:rsidR="00077A92" w14:paraId="0FA5D881" w14:textId="77777777" w:rsidTr="00A95996">
        <w:trPr>
          <w:trHeight w:val="630"/>
        </w:trPr>
        <w:tc>
          <w:tcPr>
            <w:tcW w:w="211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14:paraId="15D9F654" w14:textId="63A1D0C4" w:rsidR="00904807" w:rsidRPr="00904807" w:rsidRDefault="00904807" w:rsidP="00904807">
            <w:pPr>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4.</w:t>
            </w:r>
            <w:r w:rsidRPr="00904807">
              <w:rPr>
                <w:rFonts w:ascii="Futura Std Condensed Light" w:eastAsia="Calibri" w:hAnsi="Futura Std Condensed Light" w:cs="Calibri"/>
                <w:sz w:val="20"/>
                <w:szCs w:val="20"/>
              </w:rPr>
              <w:t>Mejorar el proceso de formación docente delos estudiantes de las escuelas normales de Quintana Roo.</w:t>
            </w:r>
          </w:p>
          <w:p w14:paraId="32D09AF8" w14:textId="77777777" w:rsidR="00077A92" w:rsidRPr="000140F1" w:rsidRDefault="00077A92" w:rsidP="000140F1">
            <w:pPr>
              <w:pStyle w:val="Textonotapie"/>
              <w:spacing w:before="0" w:after="0"/>
              <w:rPr>
                <w:rFonts w:ascii="Futura Std Condensed Light" w:hAnsi="Futura Std Condensed Light" w:cs="Calibri"/>
                <w:sz w:val="20"/>
                <w:szCs w:val="18"/>
                <w:lang w:val="es-ES_tradnl"/>
              </w:rPr>
            </w:pPr>
          </w:p>
        </w:tc>
        <w:tc>
          <w:tcPr>
            <w:tcW w:w="1836" w:type="dxa"/>
            <w:vMerge/>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14:paraId="07D5FC28" w14:textId="77777777" w:rsidR="00077A92" w:rsidRPr="000140F1" w:rsidRDefault="00077A92" w:rsidP="009E3B2F">
            <w:pPr>
              <w:pStyle w:val="Textonotapie"/>
              <w:spacing w:before="0" w:after="0"/>
              <w:rPr>
                <w:rFonts w:ascii="Futura Std Condensed Light" w:hAnsi="Futura Std Condensed Light" w:cs="Calibri"/>
                <w:sz w:val="20"/>
                <w:szCs w:val="18"/>
                <w:lang w:val="es-ES_tradnl"/>
              </w:rPr>
            </w:pPr>
          </w:p>
        </w:tc>
        <w:tc>
          <w:tcPr>
            <w:tcW w:w="2247" w:type="dxa"/>
            <w:vMerge/>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14:paraId="373738C3" w14:textId="77777777" w:rsidR="00077A92" w:rsidRPr="000140F1" w:rsidRDefault="00077A92" w:rsidP="009E3B2F">
            <w:pPr>
              <w:pStyle w:val="Textonotapie"/>
              <w:spacing w:before="0" w:after="0"/>
              <w:rPr>
                <w:rFonts w:ascii="Futura Std Condensed Light" w:hAnsi="Futura Std Condensed Light" w:cs="Calibri"/>
                <w:sz w:val="20"/>
                <w:szCs w:val="18"/>
                <w:lang w:val="es-ES_tradnl"/>
              </w:rPr>
            </w:pPr>
          </w:p>
        </w:tc>
        <w:tc>
          <w:tcPr>
            <w:tcW w:w="1248" w:type="dxa"/>
            <w:vMerge/>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14:paraId="5C896D73" w14:textId="77777777" w:rsidR="00077A92" w:rsidRDefault="00077A92" w:rsidP="009E3B2F">
            <w:pPr>
              <w:pStyle w:val="Textonotapie"/>
              <w:spacing w:before="0" w:after="0"/>
              <w:rPr>
                <w:rFonts w:ascii="Futura Std Condensed Light" w:hAnsi="Futura Std Condensed Light" w:cs="Calibri"/>
                <w:sz w:val="20"/>
                <w:szCs w:val="18"/>
                <w:lang w:val="es-ES_tradnl"/>
              </w:rPr>
            </w:pPr>
          </w:p>
        </w:tc>
        <w:tc>
          <w:tcPr>
            <w:tcW w:w="1441" w:type="dxa"/>
            <w:vMerge/>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14:paraId="1F38C21A" w14:textId="77777777" w:rsidR="00077A92" w:rsidRDefault="00077A92" w:rsidP="009E3B2F">
            <w:pPr>
              <w:pStyle w:val="Textonotapie"/>
              <w:spacing w:before="0" w:after="0"/>
              <w:rPr>
                <w:rFonts w:ascii="Futura Std Condensed Light" w:hAnsi="Futura Std Condensed Light" w:cs="Calibri"/>
                <w:sz w:val="20"/>
                <w:szCs w:val="18"/>
                <w:lang w:val="es-ES_tradnl"/>
              </w:rPr>
            </w:pPr>
          </w:p>
        </w:tc>
        <w:tc>
          <w:tcPr>
            <w:tcW w:w="1173" w:type="dxa"/>
            <w:vMerge/>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14:paraId="5F7B1372" w14:textId="77777777" w:rsidR="00077A92" w:rsidRDefault="00077A92" w:rsidP="009E3B2F">
            <w:pPr>
              <w:pStyle w:val="Textonotapie"/>
              <w:spacing w:before="0" w:after="0"/>
              <w:rPr>
                <w:rFonts w:ascii="Futura Std Condensed Light" w:hAnsi="Futura Std Condensed Light" w:cs="Calibri"/>
                <w:sz w:val="20"/>
                <w:szCs w:val="18"/>
                <w:lang w:val="es-ES_tradnl"/>
              </w:rPr>
            </w:pPr>
          </w:p>
        </w:tc>
      </w:tr>
      <w:tr w:rsidR="00077A92" w14:paraId="45C0A81C" w14:textId="77777777" w:rsidTr="00A95996">
        <w:trPr>
          <w:trHeight w:val="1819"/>
        </w:trPr>
        <w:tc>
          <w:tcPr>
            <w:tcW w:w="211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14:paraId="612D9673" w14:textId="5BC056C1" w:rsidR="00077A92" w:rsidRPr="000140F1" w:rsidRDefault="006739CB" w:rsidP="00904807">
            <w:pPr>
              <w:pStyle w:val="Textonotapie"/>
              <w:spacing w:before="0" w:after="0"/>
              <w:jc w:val="both"/>
              <w:rPr>
                <w:rFonts w:ascii="Futura Std Condensed Light" w:hAnsi="Futura Std Condensed Light" w:cs="Calibri"/>
                <w:sz w:val="20"/>
                <w:szCs w:val="18"/>
                <w:lang w:val="es-ES_tradnl"/>
              </w:rPr>
            </w:pPr>
            <w:r>
              <w:rPr>
                <w:rFonts w:ascii="Futura Std Condensed Light" w:hAnsi="Futura Std Condensed Light" w:cs="Calibri"/>
                <w:sz w:val="20"/>
                <w:szCs w:val="18"/>
                <w:lang w:val="es-ES_tradnl"/>
              </w:rPr>
              <w:lastRenderedPageBreak/>
              <w:t>5</w:t>
            </w:r>
            <w:r w:rsidR="00077A92" w:rsidRPr="000140F1">
              <w:rPr>
                <w:rFonts w:ascii="Futura Std Condensed Light" w:hAnsi="Futura Std Condensed Light" w:cs="Calibri"/>
                <w:sz w:val="20"/>
                <w:szCs w:val="18"/>
                <w:lang w:val="es-ES_tradnl"/>
              </w:rPr>
              <w:t>. Brindar una educación media superior de calidad relevante y pertinente centrada en el mejoramiento del desempeño escolar del estudiante.</w:t>
            </w:r>
          </w:p>
        </w:tc>
        <w:tc>
          <w:tcPr>
            <w:tcW w:w="1836" w:type="dxa"/>
            <w:vMerge/>
            <w:tcBorders>
              <w:left w:val="single" w:sz="4" w:space="0" w:color="auto"/>
              <w:bottom w:val="single" w:sz="4" w:space="0" w:color="auto"/>
              <w:right w:val="single" w:sz="4" w:space="0" w:color="auto"/>
            </w:tcBorders>
            <w:tcMar>
              <w:top w:w="72" w:type="dxa"/>
              <w:left w:w="144" w:type="dxa"/>
              <w:bottom w:w="72" w:type="dxa"/>
              <w:right w:w="144" w:type="dxa"/>
            </w:tcMar>
            <w:vAlign w:val="center"/>
          </w:tcPr>
          <w:p w14:paraId="2CF1B64F" w14:textId="77777777" w:rsidR="00077A92" w:rsidRPr="000140F1" w:rsidRDefault="00077A92" w:rsidP="009E3B2F">
            <w:pPr>
              <w:pStyle w:val="Textonotapie"/>
              <w:spacing w:before="0" w:after="0"/>
              <w:rPr>
                <w:rFonts w:ascii="Futura Std Condensed Light" w:hAnsi="Futura Std Condensed Light" w:cs="Calibri"/>
                <w:sz w:val="20"/>
                <w:szCs w:val="18"/>
                <w:lang w:val="es-ES_tradnl"/>
              </w:rPr>
            </w:pPr>
          </w:p>
        </w:tc>
        <w:tc>
          <w:tcPr>
            <w:tcW w:w="224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14:paraId="4FEBCA31" w14:textId="77777777" w:rsidR="00077A92" w:rsidRPr="000140F1" w:rsidRDefault="00077A92" w:rsidP="009E3B2F">
            <w:pPr>
              <w:pStyle w:val="Textonotapie"/>
              <w:spacing w:before="0" w:after="0"/>
              <w:rPr>
                <w:rFonts w:ascii="Futura Std Condensed Light" w:hAnsi="Futura Std Condensed Light" w:cs="Calibri"/>
                <w:sz w:val="20"/>
                <w:szCs w:val="18"/>
                <w:lang w:val="es-ES_tradnl"/>
              </w:rPr>
            </w:pPr>
            <w:r w:rsidRPr="000140F1">
              <w:rPr>
                <w:rFonts w:ascii="Futura Std Condensed Light" w:hAnsi="Futura Std Condensed Light" w:cs="Calibri"/>
                <w:sz w:val="20"/>
                <w:szCs w:val="18"/>
                <w:lang w:val="es-ES_tradnl"/>
              </w:rPr>
              <w:t>2. Garantizar el derecho de la población en México a una educación de excelencia, pertinente y relevante en los diferentes tipos, niveles y modalidades del Sistema Educativo Nacional para favorecer el desarrollo humano integral.</w:t>
            </w:r>
          </w:p>
        </w:tc>
        <w:tc>
          <w:tcPr>
            <w:tcW w:w="1248" w:type="dxa"/>
            <w:vMerge/>
            <w:tcBorders>
              <w:left w:val="single" w:sz="4" w:space="0" w:color="auto"/>
              <w:bottom w:val="single" w:sz="4" w:space="0" w:color="auto"/>
              <w:right w:val="single" w:sz="4" w:space="0" w:color="auto"/>
            </w:tcBorders>
            <w:tcMar>
              <w:top w:w="72" w:type="dxa"/>
              <w:left w:w="144" w:type="dxa"/>
              <w:bottom w:w="72" w:type="dxa"/>
              <w:right w:w="144" w:type="dxa"/>
            </w:tcMar>
            <w:vAlign w:val="center"/>
          </w:tcPr>
          <w:p w14:paraId="23B89D4F" w14:textId="77777777" w:rsidR="00077A92" w:rsidRPr="000140F1" w:rsidRDefault="00077A92" w:rsidP="009E3B2F">
            <w:pPr>
              <w:pStyle w:val="Textonotapie"/>
              <w:spacing w:before="0" w:after="0"/>
              <w:rPr>
                <w:rFonts w:ascii="Futura Std Condensed Light" w:hAnsi="Futura Std Condensed Light" w:cs="Calibri"/>
                <w:sz w:val="20"/>
                <w:szCs w:val="18"/>
                <w:lang w:val="es-ES_tradnl"/>
              </w:rPr>
            </w:pPr>
          </w:p>
        </w:tc>
        <w:tc>
          <w:tcPr>
            <w:tcW w:w="1441" w:type="dxa"/>
            <w:vMerge/>
            <w:tcBorders>
              <w:left w:val="single" w:sz="4" w:space="0" w:color="auto"/>
              <w:bottom w:val="single" w:sz="4" w:space="0" w:color="auto"/>
              <w:right w:val="single" w:sz="4" w:space="0" w:color="auto"/>
            </w:tcBorders>
            <w:tcMar>
              <w:top w:w="72" w:type="dxa"/>
              <w:left w:w="144" w:type="dxa"/>
              <w:bottom w:w="72" w:type="dxa"/>
              <w:right w:w="144" w:type="dxa"/>
            </w:tcMar>
            <w:vAlign w:val="center"/>
          </w:tcPr>
          <w:p w14:paraId="7C779B90" w14:textId="77777777" w:rsidR="00077A92" w:rsidRPr="000140F1" w:rsidRDefault="00077A92" w:rsidP="009E3B2F">
            <w:pPr>
              <w:pStyle w:val="Textonotapie"/>
              <w:spacing w:before="0" w:after="0"/>
              <w:rPr>
                <w:rFonts w:ascii="Futura Std Condensed Light" w:hAnsi="Futura Std Condensed Light" w:cs="Calibri"/>
                <w:sz w:val="20"/>
                <w:szCs w:val="18"/>
                <w:lang w:val="es-ES_tradnl"/>
              </w:rPr>
            </w:pPr>
          </w:p>
        </w:tc>
        <w:tc>
          <w:tcPr>
            <w:tcW w:w="1173" w:type="dxa"/>
            <w:vMerge/>
            <w:tcBorders>
              <w:left w:val="single" w:sz="4" w:space="0" w:color="auto"/>
              <w:bottom w:val="single" w:sz="4" w:space="0" w:color="auto"/>
              <w:right w:val="single" w:sz="4" w:space="0" w:color="auto"/>
            </w:tcBorders>
            <w:tcMar>
              <w:top w:w="72" w:type="dxa"/>
              <w:left w:w="144" w:type="dxa"/>
              <w:bottom w:w="72" w:type="dxa"/>
              <w:right w:w="144" w:type="dxa"/>
            </w:tcMar>
            <w:vAlign w:val="center"/>
          </w:tcPr>
          <w:p w14:paraId="1397E88A" w14:textId="77777777" w:rsidR="00077A92" w:rsidRPr="000140F1" w:rsidRDefault="00077A92" w:rsidP="009E3B2F">
            <w:pPr>
              <w:pStyle w:val="Textonotapie"/>
              <w:spacing w:before="0" w:after="0"/>
              <w:rPr>
                <w:rFonts w:ascii="Futura Std Condensed Light" w:hAnsi="Futura Std Condensed Light" w:cs="Calibri"/>
                <w:sz w:val="20"/>
                <w:szCs w:val="18"/>
                <w:lang w:val="es-ES_tradnl"/>
              </w:rPr>
            </w:pPr>
          </w:p>
        </w:tc>
      </w:tr>
      <w:tr w:rsidR="00077A92" w14:paraId="73DBB8BD" w14:textId="77777777" w:rsidTr="00A95996">
        <w:trPr>
          <w:trHeight w:val="584"/>
        </w:trPr>
        <w:tc>
          <w:tcPr>
            <w:tcW w:w="211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14:paraId="0AFE19EF" w14:textId="623BA809" w:rsidR="00077A92" w:rsidRPr="000140F1" w:rsidRDefault="006739CB" w:rsidP="00904807">
            <w:pPr>
              <w:pStyle w:val="Textonotapie"/>
              <w:spacing w:before="0" w:after="0"/>
              <w:jc w:val="both"/>
              <w:rPr>
                <w:rFonts w:ascii="Futura Std Condensed Light" w:hAnsi="Futura Std Condensed Light" w:cs="Calibri"/>
                <w:sz w:val="20"/>
                <w:szCs w:val="18"/>
                <w:lang w:val="es-ES_tradnl"/>
              </w:rPr>
            </w:pPr>
            <w:r>
              <w:rPr>
                <w:rFonts w:ascii="Futura Std Condensed Light" w:hAnsi="Futura Std Condensed Light" w:cs="Calibri"/>
                <w:sz w:val="20"/>
                <w:szCs w:val="18"/>
                <w:lang w:val="es-ES_tradnl"/>
              </w:rPr>
              <w:t>6</w:t>
            </w:r>
            <w:r w:rsidR="00077A92" w:rsidRPr="000140F1">
              <w:rPr>
                <w:rFonts w:ascii="Futura Std Condensed Light" w:hAnsi="Futura Std Condensed Light" w:cs="Calibri"/>
                <w:sz w:val="20"/>
                <w:szCs w:val="18"/>
                <w:lang w:val="es-ES_tradnl"/>
              </w:rPr>
              <w:t>. Asegurar la continuidad y conclusión de los estudiantes de educación superior a través de programas y proyectos que favorezcan la calidad de la formación profesional, acorde a las necesidades que requiere el desarrollo social y económico del estado.</w:t>
            </w:r>
          </w:p>
        </w:tc>
        <w:tc>
          <w:tcPr>
            <w:tcW w:w="1836" w:type="dxa"/>
            <w:vMerge/>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14:paraId="51359E8B" w14:textId="77777777" w:rsidR="00077A92" w:rsidRPr="000140F1" w:rsidRDefault="00077A92" w:rsidP="009E3B2F">
            <w:pPr>
              <w:pStyle w:val="Textonotapie"/>
              <w:spacing w:before="0" w:after="0"/>
              <w:rPr>
                <w:rFonts w:ascii="Futura Std Condensed Light" w:hAnsi="Futura Std Condensed Light" w:cs="Calibri"/>
                <w:sz w:val="20"/>
                <w:szCs w:val="18"/>
                <w:lang w:val="es-ES_tradnl"/>
              </w:rPr>
            </w:pPr>
          </w:p>
        </w:tc>
        <w:tc>
          <w:tcPr>
            <w:tcW w:w="224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14:paraId="11102798" w14:textId="77777777" w:rsidR="00077A92" w:rsidRPr="000140F1" w:rsidRDefault="00077A92" w:rsidP="009E3B2F">
            <w:pPr>
              <w:pStyle w:val="Textonotapie"/>
              <w:spacing w:before="0" w:after="0"/>
              <w:rPr>
                <w:rFonts w:ascii="Futura Std Condensed Light" w:hAnsi="Futura Std Condensed Light" w:cs="Calibri"/>
                <w:sz w:val="20"/>
                <w:szCs w:val="18"/>
                <w:lang w:val="es-ES_tradnl"/>
              </w:rPr>
            </w:pPr>
            <w:r w:rsidRPr="000140F1">
              <w:rPr>
                <w:rFonts w:ascii="Futura Std Condensed Light" w:hAnsi="Futura Std Condensed Light" w:cs="Calibri"/>
                <w:sz w:val="20"/>
                <w:szCs w:val="18"/>
                <w:lang w:val="es-ES_tradnl"/>
              </w:rPr>
              <w:t>3. Revalorizar a las maestras y los maestros como agentes fundamentales del proceso educativo, con pleno respeto a sus derechos, a partir de su desarrollo profesional, mejora continua y vocación de servicio.</w:t>
            </w:r>
          </w:p>
        </w:tc>
        <w:tc>
          <w:tcPr>
            <w:tcW w:w="1248" w:type="dxa"/>
            <w:vMerge/>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14:paraId="33CBB7AE" w14:textId="77777777" w:rsidR="00077A92" w:rsidRPr="000140F1" w:rsidRDefault="00077A92" w:rsidP="009E3B2F">
            <w:pPr>
              <w:pStyle w:val="Textonotapie"/>
              <w:spacing w:before="0" w:after="0"/>
              <w:rPr>
                <w:rFonts w:ascii="Futura Std Condensed Light" w:hAnsi="Futura Std Condensed Light" w:cs="Calibri"/>
                <w:sz w:val="20"/>
                <w:szCs w:val="18"/>
                <w:lang w:val="es-ES_tradnl"/>
              </w:rPr>
            </w:pPr>
          </w:p>
        </w:tc>
        <w:tc>
          <w:tcPr>
            <w:tcW w:w="1441" w:type="dxa"/>
            <w:vMerge/>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14:paraId="2952504D" w14:textId="77777777" w:rsidR="00077A92" w:rsidRPr="000140F1" w:rsidRDefault="00077A92" w:rsidP="009E3B2F">
            <w:pPr>
              <w:pStyle w:val="Textonotapie"/>
              <w:spacing w:before="0" w:after="0"/>
              <w:rPr>
                <w:rFonts w:ascii="Futura Std Condensed Light" w:hAnsi="Futura Std Condensed Light" w:cs="Calibri"/>
                <w:sz w:val="20"/>
                <w:szCs w:val="18"/>
                <w:lang w:val="es-ES_tradnl"/>
              </w:rPr>
            </w:pPr>
          </w:p>
        </w:tc>
        <w:tc>
          <w:tcPr>
            <w:tcW w:w="1173" w:type="dxa"/>
            <w:vMerge/>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14:paraId="55DF5564" w14:textId="77777777" w:rsidR="00077A92" w:rsidRPr="000140F1" w:rsidRDefault="00077A92" w:rsidP="009E3B2F">
            <w:pPr>
              <w:pStyle w:val="Textonotapie"/>
              <w:spacing w:before="0" w:after="0"/>
              <w:rPr>
                <w:rFonts w:ascii="Futura Std Condensed Light" w:hAnsi="Futura Std Condensed Light" w:cs="Calibri"/>
                <w:sz w:val="20"/>
                <w:szCs w:val="18"/>
                <w:lang w:val="es-ES_tradnl"/>
              </w:rPr>
            </w:pPr>
          </w:p>
        </w:tc>
      </w:tr>
      <w:tr w:rsidR="00077A92" w14:paraId="151E6386" w14:textId="77777777" w:rsidTr="00A95996">
        <w:trPr>
          <w:trHeight w:val="584"/>
        </w:trPr>
        <w:tc>
          <w:tcPr>
            <w:tcW w:w="211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14:paraId="4F4B1B94" w14:textId="713C2E89" w:rsidR="00077A92" w:rsidRPr="000140F1" w:rsidRDefault="006739CB" w:rsidP="006739CB">
            <w:pPr>
              <w:rPr>
                <w:rFonts w:ascii="Futura Std Condensed Light" w:eastAsia="Arial" w:hAnsi="Futura Std Condensed Light" w:cs="Calibri"/>
                <w:sz w:val="20"/>
                <w:szCs w:val="18"/>
                <w:lang w:eastAsia="en-US"/>
              </w:rPr>
            </w:pPr>
            <w:r>
              <w:rPr>
                <w:rFonts w:ascii="Futura Std Condensed Light" w:eastAsia="Arial" w:hAnsi="Futura Std Condensed Light" w:cs="Calibri"/>
                <w:sz w:val="20"/>
                <w:szCs w:val="18"/>
                <w:lang w:eastAsia="en-US"/>
              </w:rPr>
              <w:lastRenderedPageBreak/>
              <w:t>7</w:t>
            </w:r>
            <w:r w:rsidR="00077A92" w:rsidRPr="000140F1">
              <w:rPr>
                <w:rFonts w:ascii="Futura Std Condensed Light" w:eastAsia="Arial" w:hAnsi="Futura Std Condensed Light" w:cs="Calibri"/>
                <w:sz w:val="20"/>
                <w:szCs w:val="18"/>
                <w:lang w:eastAsia="en-US"/>
              </w:rPr>
              <w:t>. Mejorar la infraestructura y equipamiento de las escuelas de los diferentes niveles educativos, a fin de contar con espacios que brinden una educación inclusiva de calidad en beneficio de los estudiantes del Estado.</w:t>
            </w:r>
          </w:p>
        </w:tc>
        <w:tc>
          <w:tcPr>
            <w:tcW w:w="1836" w:type="dxa"/>
            <w:vMerge/>
            <w:tcBorders>
              <w:left w:val="single" w:sz="4" w:space="0" w:color="auto"/>
              <w:bottom w:val="single" w:sz="4" w:space="0" w:color="auto"/>
              <w:right w:val="single" w:sz="4" w:space="0" w:color="auto"/>
            </w:tcBorders>
            <w:tcMar>
              <w:top w:w="72" w:type="dxa"/>
              <w:left w:w="144" w:type="dxa"/>
              <w:bottom w:w="72" w:type="dxa"/>
              <w:right w:w="144" w:type="dxa"/>
            </w:tcMar>
            <w:vAlign w:val="center"/>
          </w:tcPr>
          <w:p w14:paraId="0F6DCC6B" w14:textId="77777777" w:rsidR="00077A92" w:rsidRPr="000140F1" w:rsidRDefault="00077A92" w:rsidP="009E3B2F">
            <w:pPr>
              <w:pStyle w:val="Textonotapie"/>
              <w:spacing w:before="0" w:after="0"/>
              <w:rPr>
                <w:rFonts w:ascii="Futura Std Condensed Light" w:hAnsi="Futura Std Condensed Light" w:cs="Calibri"/>
                <w:sz w:val="20"/>
                <w:szCs w:val="18"/>
                <w:lang w:val="es-ES_tradnl"/>
              </w:rPr>
            </w:pPr>
          </w:p>
        </w:tc>
        <w:tc>
          <w:tcPr>
            <w:tcW w:w="224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14:paraId="0247DB93" w14:textId="77777777" w:rsidR="00077A92" w:rsidRPr="000140F1" w:rsidRDefault="00077A92" w:rsidP="009E3B2F">
            <w:pPr>
              <w:pStyle w:val="Textonotapie"/>
              <w:spacing w:before="0" w:after="0"/>
              <w:rPr>
                <w:rFonts w:ascii="Futura Std Condensed Light" w:hAnsi="Futura Std Condensed Light" w:cs="Calibri"/>
                <w:sz w:val="20"/>
                <w:szCs w:val="18"/>
                <w:lang w:val="es-ES_tradnl"/>
              </w:rPr>
            </w:pPr>
            <w:r w:rsidRPr="000140F1">
              <w:rPr>
                <w:rFonts w:ascii="Futura Std Condensed Light" w:hAnsi="Futura Std Condensed Light" w:cs="Calibri"/>
                <w:sz w:val="20"/>
                <w:szCs w:val="18"/>
                <w:lang w:val="es-ES_tradnl"/>
              </w:rPr>
              <w:t>4.Generar entornos favorables para el proceso de enseñanza-aprendizaje en los diferentes tipos, niveles y modalidades del Sistema Educativo Nacional.</w:t>
            </w:r>
          </w:p>
        </w:tc>
        <w:tc>
          <w:tcPr>
            <w:tcW w:w="1248" w:type="dxa"/>
            <w:vMerge/>
            <w:tcBorders>
              <w:left w:val="single" w:sz="4" w:space="0" w:color="auto"/>
              <w:bottom w:val="single" w:sz="4" w:space="0" w:color="auto"/>
              <w:right w:val="single" w:sz="4" w:space="0" w:color="auto"/>
            </w:tcBorders>
            <w:tcMar>
              <w:top w:w="72" w:type="dxa"/>
              <w:left w:w="144" w:type="dxa"/>
              <w:bottom w:w="72" w:type="dxa"/>
              <w:right w:w="144" w:type="dxa"/>
            </w:tcMar>
            <w:vAlign w:val="center"/>
          </w:tcPr>
          <w:p w14:paraId="19BF3A72" w14:textId="77777777" w:rsidR="00077A92" w:rsidRPr="000140F1" w:rsidRDefault="00077A92" w:rsidP="009E3B2F">
            <w:pPr>
              <w:pStyle w:val="Textonotapie"/>
              <w:spacing w:before="0" w:after="0"/>
              <w:rPr>
                <w:rFonts w:ascii="Futura Std Condensed Light" w:hAnsi="Futura Std Condensed Light" w:cs="Calibri"/>
                <w:sz w:val="20"/>
                <w:szCs w:val="18"/>
                <w:lang w:val="es-ES_tradnl"/>
              </w:rPr>
            </w:pPr>
          </w:p>
        </w:tc>
        <w:tc>
          <w:tcPr>
            <w:tcW w:w="1441" w:type="dxa"/>
            <w:vMerge/>
            <w:tcBorders>
              <w:left w:val="single" w:sz="4" w:space="0" w:color="auto"/>
              <w:bottom w:val="single" w:sz="4" w:space="0" w:color="auto"/>
              <w:right w:val="single" w:sz="4" w:space="0" w:color="auto"/>
            </w:tcBorders>
            <w:tcMar>
              <w:top w:w="72" w:type="dxa"/>
              <w:left w:w="144" w:type="dxa"/>
              <w:bottom w:w="72" w:type="dxa"/>
              <w:right w:w="144" w:type="dxa"/>
            </w:tcMar>
            <w:vAlign w:val="center"/>
          </w:tcPr>
          <w:p w14:paraId="5831E90D" w14:textId="77777777" w:rsidR="00077A92" w:rsidRPr="000140F1" w:rsidRDefault="00077A92" w:rsidP="009E3B2F">
            <w:pPr>
              <w:pStyle w:val="Textonotapie"/>
              <w:spacing w:before="0" w:after="0"/>
              <w:rPr>
                <w:rFonts w:ascii="Futura Std Condensed Light" w:hAnsi="Futura Std Condensed Light" w:cs="Calibri"/>
                <w:sz w:val="20"/>
                <w:szCs w:val="18"/>
                <w:lang w:val="es-ES_tradnl"/>
              </w:rPr>
            </w:pPr>
          </w:p>
        </w:tc>
        <w:tc>
          <w:tcPr>
            <w:tcW w:w="1173" w:type="dxa"/>
            <w:vMerge/>
            <w:tcBorders>
              <w:left w:val="single" w:sz="4" w:space="0" w:color="auto"/>
              <w:bottom w:val="single" w:sz="4" w:space="0" w:color="auto"/>
              <w:right w:val="single" w:sz="4" w:space="0" w:color="auto"/>
            </w:tcBorders>
            <w:tcMar>
              <w:top w:w="72" w:type="dxa"/>
              <w:left w:w="144" w:type="dxa"/>
              <w:bottom w:w="72" w:type="dxa"/>
              <w:right w:w="144" w:type="dxa"/>
            </w:tcMar>
            <w:vAlign w:val="center"/>
          </w:tcPr>
          <w:p w14:paraId="0DC68D10" w14:textId="77777777" w:rsidR="00077A92" w:rsidRPr="000140F1" w:rsidRDefault="00077A92" w:rsidP="009E3B2F">
            <w:pPr>
              <w:pStyle w:val="Textonotapie"/>
              <w:spacing w:before="0" w:after="0"/>
              <w:rPr>
                <w:rFonts w:ascii="Futura Std Condensed Light" w:hAnsi="Futura Std Condensed Light" w:cs="Calibri"/>
                <w:sz w:val="20"/>
                <w:szCs w:val="18"/>
                <w:lang w:val="es-ES_tradnl"/>
              </w:rPr>
            </w:pPr>
          </w:p>
        </w:tc>
      </w:tr>
      <w:tr w:rsidR="00077A92" w14:paraId="5F36920B" w14:textId="77777777" w:rsidTr="00A95996">
        <w:trPr>
          <w:trHeight w:val="1654"/>
        </w:trPr>
        <w:tc>
          <w:tcPr>
            <w:tcW w:w="211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14:paraId="49DCD4CF" w14:textId="272AC8EC" w:rsidR="00077A92" w:rsidRPr="000140F1" w:rsidRDefault="006739CB" w:rsidP="006739CB">
            <w:pPr>
              <w:rPr>
                <w:rFonts w:ascii="Futura Std Condensed Light" w:hAnsi="Futura Std Condensed Light"/>
                <w:b/>
                <w:bCs/>
                <w:sz w:val="20"/>
              </w:rPr>
            </w:pPr>
            <w:r>
              <w:rPr>
                <w:rFonts w:ascii="Futura Std Condensed Light" w:eastAsia="Arial" w:hAnsi="Futura Std Condensed Light" w:cs="Calibri"/>
                <w:sz w:val="20"/>
                <w:szCs w:val="18"/>
                <w:lang w:val="es-MX" w:eastAsia="en-US"/>
              </w:rPr>
              <w:t>8</w:t>
            </w:r>
            <w:r w:rsidR="00077A92" w:rsidRPr="000140F1">
              <w:rPr>
                <w:rFonts w:ascii="Futura Std Condensed Light" w:eastAsia="Arial" w:hAnsi="Futura Std Condensed Light" w:cs="Calibri"/>
                <w:sz w:val="20"/>
                <w:szCs w:val="18"/>
                <w:lang w:val="es-MX" w:eastAsia="en-US"/>
              </w:rPr>
              <w:t xml:space="preserve">. </w:t>
            </w:r>
            <w:r w:rsidR="00077A92" w:rsidRPr="000140F1">
              <w:rPr>
                <w:rFonts w:ascii="Futura Std Condensed Light" w:eastAsia="Arial" w:hAnsi="Futura Std Condensed Light" w:cs="Calibri"/>
                <w:sz w:val="20"/>
                <w:szCs w:val="18"/>
                <w:lang w:eastAsia="en-US"/>
              </w:rPr>
              <w:t>Lograr que las personas de 15 años y más en rezago educativo en la entidad concluyan su educación básica</w:t>
            </w:r>
          </w:p>
          <w:p w14:paraId="319CB5AF" w14:textId="5D7BEBF0" w:rsidR="00077A92" w:rsidRPr="000140F1" w:rsidRDefault="00077A92" w:rsidP="006739CB">
            <w:pPr>
              <w:pStyle w:val="Textonotapie"/>
              <w:spacing w:before="0" w:after="0"/>
              <w:jc w:val="both"/>
              <w:rPr>
                <w:rFonts w:ascii="Futura Std Condensed Light" w:hAnsi="Futura Std Condensed Light" w:cs="Calibri"/>
                <w:sz w:val="20"/>
                <w:szCs w:val="18"/>
                <w:lang w:val="es-ES_tradnl"/>
              </w:rPr>
            </w:pPr>
          </w:p>
        </w:tc>
        <w:tc>
          <w:tcPr>
            <w:tcW w:w="1836" w:type="dxa"/>
            <w:vMerge/>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14:paraId="63F2C1FB" w14:textId="77777777" w:rsidR="00077A92" w:rsidRPr="000140F1" w:rsidRDefault="00077A92" w:rsidP="009E3B2F">
            <w:pPr>
              <w:pStyle w:val="Textonotapie"/>
              <w:spacing w:before="0" w:after="0"/>
              <w:rPr>
                <w:rFonts w:ascii="Futura Std Condensed Light" w:hAnsi="Futura Std Condensed Light" w:cs="Calibri"/>
                <w:sz w:val="20"/>
                <w:szCs w:val="18"/>
                <w:lang w:val="es-ES_tradnl"/>
              </w:rPr>
            </w:pPr>
          </w:p>
        </w:tc>
        <w:tc>
          <w:tcPr>
            <w:tcW w:w="224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14:paraId="730897FE" w14:textId="77777777" w:rsidR="00077A92" w:rsidRPr="000140F1" w:rsidRDefault="00077A92" w:rsidP="009E3B2F">
            <w:pPr>
              <w:pStyle w:val="Textonotapie"/>
              <w:spacing w:before="0" w:after="0"/>
              <w:rPr>
                <w:rFonts w:ascii="Futura Std Condensed Light" w:hAnsi="Futura Std Condensed Light" w:cs="Calibri"/>
                <w:sz w:val="20"/>
                <w:szCs w:val="18"/>
                <w:lang w:val="es-ES_tradnl"/>
              </w:rPr>
            </w:pPr>
            <w:r w:rsidRPr="000140F1">
              <w:rPr>
                <w:rFonts w:ascii="Futura Std Condensed Light" w:hAnsi="Futura Std Condensed Light" w:cs="Calibri"/>
                <w:sz w:val="20"/>
                <w:szCs w:val="18"/>
                <w:lang w:val="es-ES_tradnl"/>
              </w:rPr>
              <w:t xml:space="preserve">2. Garantizar el derecho de la población en México a una educación de excelencia, pertinente y relevante en los diferentes tipos, niveles y modalidades del Sistema Educativo Nacional para favorecer el desarrollo </w:t>
            </w:r>
            <w:r w:rsidRPr="000140F1">
              <w:rPr>
                <w:rFonts w:ascii="Futura Std Condensed Light" w:hAnsi="Futura Std Condensed Light" w:cs="Calibri"/>
                <w:sz w:val="20"/>
                <w:szCs w:val="18"/>
                <w:lang w:val="es-ES_tradnl"/>
              </w:rPr>
              <w:lastRenderedPageBreak/>
              <w:t>humano integral</w:t>
            </w:r>
          </w:p>
        </w:tc>
        <w:tc>
          <w:tcPr>
            <w:tcW w:w="1248" w:type="dxa"/>
            <w:vMerge/>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14:paraId="2BBBD500" w14:textId="77777777" w:rsidR="00077A92" w:rsidRPr="000140F1" w:rsidRDefault="00077A92" w:rsidP="009E3B2F">
            <w:pPr>
              <w:pStyle w:val="Textonotapie"/>
              <w:spacing w:before="0" w:after="0"/>
              <w:rPr>
                <w:rFonts w:ascii="Futura Std Condensed Light" w:hAnsi="Futura Std Condensed Light" w:cs="Calibri"/>
                <w:sz w:val="20"/>
                <w:szCs w:val="18"/>
                <w:lang w:val="es-ES_tradnl"/>
              </w:rPr>
            </w:pPr>
          </w:p>
        </w:tc>
        <w:tc>
          <w:tcPr>
            <w:tcW w:w="1441" w:type="dxa"/>
            <w:vMerge/>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14:paraId="5FE71FDD" w14:textId="77777777" w:rsidR="00077A92" w:rsidRPr="000140F1" w:rsidRDefault="00077A92" w:rsidP="009E3B2F">
            <w:pPr>
              <w:pStyle w:val="Textonotapie"/>
              <w:spacing w:before="0" w:after="0"/>
              <w:rPr>
                <w:rFonts w:ascii="Futura Std Condensed Light" w:hAnsi="Futura Std Condensed Light" w:cs="Calibri"/>
                <w:sz w:val="20"/>
                <w:szCs w:val="18"/>
                <w:lang w:val="es-ES_tradnl"/>
              </w:rPr>
            </w:pPr>
          </w:p>
        </w:tc>
        <w:tc>
          <w:tcPr>
            <w:tcW w:w="1173" w:type="dxa"/>
            <w:vMerge/>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14:paraId="40BE4A56" w14:textId="77777777" w:rsidR="00077A92" w:rsidRPr="000140F1" w:rsidRDefault="00077A92" w:rsidP="009E3B2F">
            <w:pPr>
              <w:pStyle w:val="Textonotapie"/>
              <w:spacing w:before="0" w:after="0"/>
              <w:rPr>
                <w:rFonts w:ascii="Futura Std Condensed Light" w:hAnsi="Futura Std Condensed Light" w:cs="Calibri"/>
                <w:sz w:val="20"/>
                <w:szCs w:val="18"/>
                <w:lang w:val="es-ES_tradnl"/>
              </w:rPr>
            </w:pPr>
          </w:p>
        </w:tc>
      </w:tr>
      <w:tr w:rsidR="00077A92" w14:paraId="2FC757CF" w14:textId="77777777" w:rsidTr="00A95996">
        <w:trPr>
          <w:trHeight w:val="606"/>
        </w:trPr>
        <w:tc>
          <w:tcPr>
            <w:tcW w:w="211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14:paraId="4B8D90CE" w14:textId="73E85E07" w:rsidR="00077A92" w:rsidRPr="000140F1" w:rsidRDefault="006739CB" w:rsidP="009E3B2F">
            <w:pPr>
              <w:jc w:val="center"/>
              <w:rPr>
                <w:rFonts w:ascii="Futura Std Condensed Light" w:eastAsia="Arial" w:hAnsi="Futura Std Condensed Light" w:cs="Calibri"/>
                <w:sz w:val="20"/>
                <w:szCs w:val="18"/>
                <w:lang w:eastAsia="en-US"/>
              </w:rPr>
            </w:pPr>
            <w:r>
              <w:rPr>
                <w:rFonts w:ascii="Futura Std Condensed Light" w:hAnsi="Futura Std Condensed Light" w:cs="Calibri"/>
                <w:sz w:val="20"/>
                <w:szCs w:val="18"/>
              </w:rPr>
              <w:t>9</w:t>
            </w:r>
            <w:r w:rsidR="00077A92" w:rsidRPr="000140F1">
              <w:rPr>
                <w:rFonts w:ascii="Futura Std Condensed Light" w:hAnsi="Futura Std Condensed Light" w:cs="Calibri"/>
                <w:sz w:val="20"/>
                <w:szCs w:val="18"/>
              </w:rPr>
              <w:t>.</w:t>
            </w:r>
            <w:r w:rsidR="00077A92" w:rsidRPr="000140F1">
              <w:rPr>
                <w:rFonts w:ascii="Futura Std Condensed Light" w:eastAsia="Times New Roman" w:hAnsi="Futura Std Condensed Light" w:cs="Futura"/>
                <w:sz w:val="20"/>
              </w:rPr>
              <w:t xml:space="preserve"> </w:t>
            </w:r>
            <w:r w:rsidR="00077A92" w:rsidRPr="000140F1">
              <w:rPr>
                <w:rFonts w:ascii="Futura Std Condensed Light" w:eastAsia="Arial" w:hAnsi="Futura Std Condensed Light" w:cs="Calibri"/>
                <w:sz w:val="20"/>
                <w:szCs w:val="18"/>
                <w:lang w:eastAsia="en-US"/>
              </w:rPr>
              <w:t>Impulsar el desarrollo de la investigación científica, tecnológica y de la innovación para el incremento de los niveles de competitividad del Estado.</w:t>
            </w:r>
          </w:p>
          <w:p w14:paraId="10F8FC64" w14:textId="77777777" w:rsidR="00077A92" w:rsidRPr="000140F1" w:rsidRDefault="00077A92" w:rsidP="009E3B2F">
            <w:pPr>
              <w:rPr>
                <w:rFonts w:ascii="Futura Std Condensed Light" w:hAnsi="Futura Std Condensed Light"/>
                <w:sz w:val="20"/>
              </w:rPr>
            </w:pPr>
          </w:p>
        </w:tc>
        <w:tc>
          <w:tcPr>
            <w:tcW w:w="1836" w:type="dxa"/>
            <w:vMerge/>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14:paraId="3AF73BBB" w14:textId="77777777" w:rsidR="00077A92" w:rsidRPr="000140F1" w:rsidRDefault="00077A92" w:rsidP="009E3B2F">
            <w:pPr>
              <w:pStyle w:val="Textonotapie"/>
              <w:spacing w:before="0" w:after="0"/>
              <w:rPr>
                <w:rFonts w:ascii="Futura Std Condensed Light" w:hAnsi="Futura Std Condensed Light" w:cs="Calibri"/>
                <w:sz w:val="20"/>
                <w:szCs w:val="18"/>
                <w:lang w:val="es-ES_tradnl"/>
              </w:rPr>
            </w:pPr>
          </w:p>
        </w:tc>
        <w:tc>
          <w:tcPr>
            <w:tcW w:w="224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14:paraId="39BB3FA3" w14:textId="2E970C6C" w:rsidR="00077A92" w:rsidRPr="000140F1" w:rsidRDefault="002E2B3D" w:rsidP="009E3B2F">
            <w:pPr>
              <w:pStyle w:val="Textonotapie"/>
              <w:spacing w:before="0" w:after="0"/>
              <w:rPr>
                <w:rFonts w:ascii="Futura Std Condensed Light" w:hAnsi="Futura Std Condensed Light" w:cs="Calibri"/>
                <w:sz w:val="20"/>
                <w:szCs w:val="18"/>
                <w:lang w:val="es-ES_tradnl"/>
              </w:rPr>
            </w:pPr>
            <w:r>
              <w:rPr>
                <w:rFonts w:ascii="Futura Std Condensed Light" w:hAnsi="Futura Std Condensed Light" w:cs="Calibri"/>
                <w:sz w:val="20"/>
                <w:szCs w:val="18"/>
                <w:lang w:val="es-ES_tradnl"/>
              </w:rPr>
              <w:t>2.</w:t>
            </w:r>
            <w:r w:rsidR="00077A92" w:rsidRPr="000140F1">
              <w:rPr>
                <w:rFonts w:ascii="Futura Std Condensed Light" w:hAnsi="Futura Std Condensed Light" w:cs="Calibri"/>
                <w:sz w:val="20"/>
                <w:szCs w:val="18"/>
                <w:lang w:val="es-ES_tradnl"/>
              </w:rPr>
              <w:t xml:space="preserve"> Garantizar el derecho de la población en México a una educación de excelencia, pertinente y relevante en los diferentes tipos, niveles y modalidades del Sistema Educativo Nacional para favorecer el desarrollo humano integral.</w:t>
            </w:r>
          </w:p>
        </w:tc>
        <w:tc>
          <w:tcPr>
            <w:tcW w:w="1248" w:type="dxa"/>
            <w:vMerge/>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14:paraId="5F852DB9" w14:textId="77777777" w:rsidR="00077A92" w:rsidRPr="000140F1" w:rsidRDefault="00077A92" w:rsidP="009E3B2F">
            <w:pPr>
              <w:pStyle w:val="Textonotapie"/>
              <w:spacing w:before="0" w:after="0"/>
              <w:rPr>
                <w:rFonts w:ascii="Futura Std Condensed Light" w:hAnsi="Futura Std Condensed Light" w:cs="Calibri"/>
                <w:sz w:val="20"/>
                <w:szCs w:val="18"/>
                <w:lang w:val="es-ES_tradnl"/>
              </w:rPr>
            </w:pPr>
          </w:p>
        </w:tc>
        <w:tc>
          <w:tcPr>
            <w:tcW w:w="1441" w:type="dxa"/>
            <w:vMerge/>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14:paraId="1338066D" w14:textId="77777777" w:rsidR="00077A92" w:rsidRPr="000140F1" w:rsidRDefault="00077A92" w:rsidP="009E3B2F">
            <w:pPr>
              <w:pStyle w:val="Textonotapie"/>
              <w:spacing w:before="0" w:after="0"/>
              <w:rPr>
                <w:rFonts w:ascii="Futura Std Condensed Light" w:hAnsi="Futura Std Condensed Light" w:cs="Calibri"/>
                <w:sz w:val="20"/>
                <w:szCs w:val="18"/>
                <w:lang w:val="es-ES_tradnl"/>
              </w:rPr>
            </w:pPr>
          </w:p>
        </w:tc>
        <w:tc>
          <w:tcPr>
            <w:tcW w:w="1173" w:type="dxa"/>
            <w:vMerge/>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14:paraId="675B2C82" w14:textId="77777777" w:rsidR="00077A92" w:rsidRPr="000140F1" w:rsidRDefault="00077A92" w:rsidP="009E3B2F">
            <w:pPr>
              <w:pStyle w:val="Textonotapie"/>
              <w:spacing w:before="0" w:after="0"/>
              <w:rPr>
                <w:rFonts w:ascii="Futura Std Condensed Light" w:hAnsi="Futura Std Condensed Light" w:cs="Calibri"/>
                <w:sz w:val="20"/>
                <w:szCs w:val="18"/>
                <w:lang w:val="es-ES_tradnl"/>
              </w:rPr>
            </w:pPr>
          </w:p>
        </w:tc>
      </w:tr>
      <w:tr w:rsidR="0021177B" w14:paraId="6C50DDE1" w14:textId="77777777" w:rsidTr="00A95996">
        <w:trPr>
          <w:trHeight w:val="584"/>
        </w:trPr>
        <w:tc>
          <w:tcPr>
            <w:tcW w:w="2110"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hideMark/>
          </w:tcPr>
          <w:p w14:paraId="0D807F36" w14:textId="484B409F" w:rsidR="0021177B" w:rsidRPr="000140F1" w:rsidRDefault="006739CB" w:rsidP="006739CB">
            <w:pPr>
              <w:rPr>
                <w:rFonts w:ascii="Futura Std Condensed Light" w:eastAsia="Arial" w:hAnsi="Futura Std Condensed Light" w:cs="Calibri"/>
                <w:sz w:val="20"/>
                <w:szCs w:val="18"/>
                <w:lang w:eastAsia="en-US"/>
              </w:rPr>
            </w:pPr>
            <w:r>
              <w:rPr>
                <w:rFonts w:ascii="Futura Std Condensed Light" w:eastAsia="Arial" w:hAnsi="Futura Std Condensed Light" w:cs="Calibri"/>
                <w:sz w:val="20"/>
                <w:szCs w:val="18"/>
                <w:lang w:eastAsia="en-US"/>
              </w:rPr>
              <w:t>10</w:t>
            </w:r>
            <w:r w:rsidR="0021177B" w:rsidRPr="000140F1">
              <w:rPr>
                <w:rFonts w:ascii="Futura Std Condensed Light" w:eastAsia="Arial" w:hAnsi="Futura Std Condensed Light" w:cs="Calibri"/>
                <w:sz w:val="20"/>
                <w:szCs w:val="18"/>
                <w:lang w:eastAsia="en-US"/>
              </w:rPr>
              <w:t xml:space="preserve">. Impulsar la adquisición de conocimientos, habilidades y destrezas relacionadas con un oficio calificado que permita mejorar la calidad de </w:t>
            </w:r>
            <w:r w:rsidR="0021177B" w:rsidRPr="000140F1">
              <w:rPr>
                <w:rFonts w:ascii="Futura Std Condensed Light" w:eastAsia="Arial" w:hAnsi="Futura Std Condensed Light" w:cs="Calibri"/>
                <w:sz w:val="20"/>
                <w:szCs w:val="18"/>
                <w:lang w:eastAsia="en-US"/>
              </w:rPr>
              <w:lastRenderedPageBreak/>
              <w:t>vida de las personas mediante la capacitación, evaluación y certificación</w:t>
            </w:r>
          </w:p>
        </w:tc>
        <w:tc>
          <w:tcPr>
            <w:tcW w:w="1836"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14:paraId="159CFA62" w14:textId="77777777" w:rsidR="0021177B" w:rsidRPr="000140F1" w:rsidRDefault="0021177B" w:rsidP="009E3B2F">
            <w:pPr>
              <w:pStyle w:val="Textonotapie"/>
              <w:spacing w:before="0" w:after="0"/>
              <w:rPr>
                <w:rFonts w:ascii="Futura Std Condensed Light" w:hAnsi="Futura Std Condensed Light" w:cs="Calibri"/>
                <w:sz w:val="20"/>
                <w:szCs w:val="18"/>
                <w:lang w:val="es-ES_tradnl"/>
              </w:rPr>
            </w:pPr>
          </w:p>
        </w:tc>
        <w:tc>
          <w:tcPr>
            <w:tcW w:w="2247"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14:paraId="423E4B2E" w14:textId="16037407" w:rsidR="0021177B" w:rsidRPr="000140F1" w:rsidRDefault="002E2B3D" w:rsidP="009E3B2F">
            <w:pPr>
              <w:pStyle w:val="Textonotapie"/>
              <w:spacing w:before="0" w:after="0"/>
              <w:rPr>
                <w:rFonts w:ascii="Futura Std Condensed Light" w:hAnsi="Futura Std Condensed Light" w:cs="Calibri"/>
                <w:sz w:val="20"/>
                <w:szCs w:val="18"/>
                <w:lang w:val="es-ES_tradnl"/>
              </w:rPr>
            </w:pPr>
            <w:r>
              <w:rPr>
                <w:rFonts w:ascii="Futura Std Condensed Light" w:hAnsi="Futura Std Condensed Light" w:cs="Calibri"/>
                <w:sz w:val="20"/>
                <w:szCs w:val="18"/>
                <w:lang w:val="es-ES_tradnl"/>
              </w:rPr>
              <w:t>2.</w:t>
            </w:r>
            <w:r w:rsidR="0021177B" w:rsidRPr="000140F1">
              <w:rPr>
                <w:rFonts w:ascii="Futura Std Condensed Light" w:hAnsi="Futura Std Condensed Light" w:cs="Calibri"/>
                <w:sz w:val="20"/>
                <w:szCs w:val="18"/>
                <w:lang w:val="es-ES_tradnl"/>
              </w:rPr>
              <w:t xml:space="preserve"> Garantizar el derecho de la población en México a una educación de excelencia, pertinente y relevante en los diferentes tipos, niveles y modalidades </w:t>
            </w:r>
            <w:r w:rsidR="0021177B" w:rsidRPr="000140F1">
              <w:rPr>
                <w:rFonts w:ascii="Futura Std Condensed Light" w:hAnsi="Futura Std Condensed Light" w:cs="Calibri"/>
                <w:sz w:val="20"/>
                <w:szCs w:val="18"/>
                <w:lang w:val="es-ES_tradnl"/>
              </w:rPr>
              <w:lastRenderedPageBreak/>
              <w:t>del Sistema Educativo Nacional para favorecer el desarrollo humano integral.</w:t>
            </w:r>
          </w:p>
        </w:tc>
        <w:tc>
          <w:tcPr>
            <w:tcW w:w="1248"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14:paraId="6AD70BC9" w14:textId="0D038B8B" w:rsidR="0021177B" w:rsidRPr="000140F1" w:rsidRDefault="008B2E0B" w:rsidP="009E3B2F">
            <w:pPr>
              <w:pStyle w:val="Textonotapie"/>
              <w:spacing w:before="0" w:after="0"/>
              <w:rPr>
                <w:rFonts w:ascii="Futura Std Condensed Light" w:hAnsi="Futura Std Condensed Light" w:cs="Calibri"/>
                <w:sz w:val="20"/>
                <w:szCs w:val="18"/>
                <w:lang w:val="es-ES_tradnl"/>
              </w:rPr>
            </w:pPr>
            <w:r w:rsidRPr="000140F1">
              <w:rPr>
                <w:rFonts w:ascii="Futura Std Condensed Light" w:hAnsi="Futura Std Condensed Light" w:cs="Calibri"/>
                <w:sz w:val="20"/>
                <w:szCs w:val="18"/>
                <w:lang w:val="es-ES_tradnl"/>
              </w:rPr>
              <w:lastRenderedPageBreak/>
              <w:t>Derecho a la Educación</w:t>
            </w:r>
          </w:p>
        </w:tc>
        <w:tc>
          <w:tcPr>
            <w:tcW w:w="1441"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14:paraId="56EC0352" w14:textId="44957088" w:rsidR="0021177B" w:rsidRPr="000140F1" w:rsidRDefault="008B2E0B" w:rsidP="009E3B2F">
            <w:pPr>
              <w:pStyle w:val="Textonotapie"/>
              <w:spacing w:before="0" w:after="0"/>
              <w:rPr>
                <w:rFonts w:ascii="Futura Std Condensed Light" w:hAnsi="Futura Std Condensed Light" w:cs="Calibri"/>
                <w:sz w:val="20"/>
                <w:szCs w:val="18"/>
                <w:lang w:val="es-ES_tradnl"/>
              </w:rPr>
            </w:pPr>
            <w:r w:rsidRPr="000140F1">
              <w:rPr>
                <w:rFonts w:ascii="Futura Std Condensed Light" w:hAnsi="Futura Std Condensed Light" w:cs="Calibri"/>
                <w:sz w:val="20"/>
                <w:szCs w:val="18"/>
                <w:lang w:val="es-ES_tradnl"/>
              </w:rPr>
              <w:t xml:space="preserve">Objetivo 4. Garantizar una educación inclusiva y equitativa de calidad y promover oportunidades de aprendizaje </w:t>
            </w:r>
            <w:r w:rsidRPr="000140F1">
              <w:rPr>
                <w:rFonts w:ascii="Futura Std Condensed Light" w:hAnsi="Futura Std Condensed Light" w:cs="Calibri"/>
                <w:sz w:val="20"/>
                <w:szCs w:val="18"/>
                <w:lang w:val="es-ES_tradnl"/>
              </w:rPr>
              <w:lastRenderedPageBreak/>
              <w:t>permanente para todos.</w:t>
            </w:r>
          </w:p>
        </w:tc>
        <w:tc>
          <w:tcPr>
            <w:tcW w:w="1173" w:type="dxa"/>
            <w:tcBorders>
              <w:top w:val="single" w:sz="4" w:space="0" w:color="auto"/>
              <w:left w:val="single" w:sz="4" w:space="0" w:color="auto"/>
              <w:bottom w:val="single" w:sz="4" w:space="0" w:color="auto"/>
              <w:right w:val="single" w:sz="4" w:space="0" w:color="auto"/>
            </w:tcBorders>
            <w:tcMar>
              <w:top w:w="72" w:type="dxa"/>
              <w:left w:w="144" w:type="dxa"/>
              <w:bottom w:w="72" w:type="dxa"/>
              <w:right w:w="144" w:type="dxa"/>
            </w:tcMar>
            <w:vAlign w:val="center"/>
          </w:tcPr>
          <w:p w14:paraId="374850CF" w14:textId="6114DF1D" w:rsidR="0021177B" w:rsidRPr="000140F1" w:rsidRDefault="008B2E0B" w:rsidP="009E3B2F">
            <w:pPr>
              <w:pStyle w:val="Textonotapie"/>
              <w:spacing w:before="0" w:after="0"/>
              <w:rPr>
                <w:rFonts w:ascii="Futura Std Condensed Light" w:hAnsi="Futura Std Condensed Light" w:cs="Calibri"/>
                <w:sz w:val="20"/>
                <w:szCs w:val="18"/>
                <w:lang w:val="es-ES_tradnl"/>
              </w:rPr>
            </w:pPr>
            <w:r w:rsidRPr="000140F1">
              <w:rPr>
                <w:rFonts w:ascii="Futura Std Condensed Light" w:hAnsi="Futura Std Condensed Light" w:cs="Calibri"/>
                <w:sz w:val="20"/>
                <w:szCs w:val="18"/>
                <w:lang w:val="es-ES_tradnl"/>
              </w:rPr>
              <w:lastRenderedPageBreak/>
              <w:t>2. Disminuir la desigualdad en sus diversas formas</w:t>
            </w:r>
          </w:p>
        </w:tc>
      </w:tr>
    </w:tbl>
    <w:p w14:paraId="0753E4D8" w14:textId="697CBFC7" w:rsidR="0021177B" w:rsidRDefault="0021177B" w:rsidP="00FF3F68">
      <w:pPr>
        <w:pStyle w:val="Textonotapie"/>
        <w:rPr>
          <w:rFonts w:ascii="Futura T OT" w:eastAsiaTheme="minorEastAsia" w:hAnsi="Futura T OT" w:cstheme="minorBidi"/>
          <w:szCs w:val="16"/>
          <w:lang w:val="es-ES_tradnl" w:eastAsia="es-ES"/>
        </w:rPr>
      </w:pPr>
      <w:r w:rsidRPr="00FA0940">
        <w:rPr>
          <w:rFonts w:ascii="Futura T OT" w:eastAsiaTheme="minorEastAsia" w:hAnsi="Futura T OT" w:cstheme="minorBidi"/>
          <w:b/>
          <w:szCs w:val="16"/>
          <w:lang w:val="es-ES_tradnl" w:eastAsia="es-ES"/>
        </w:rPr>
        <w:t>Fuente:</w:t>
      </w:r>
      <w:r>
        <w:rPr>
          <w:rFonts w:ascii="Futura T OT" w:eastAsiaTheme="minorEastAsia" w:hAnsi="Futura T OT" w:cstheme="minorBidi"/>
          <w:szCs w:val="16"/>
          <w:lang w:val="es-ES_tradnl" w:eastAsia="es-ES"/>
        </w:rPr>
        <w:t xml:space="preserve"> Elaboración Propia. Dirección de Planeación. Secretarí</w:t>
      </w:r>
      <w:bookmarkStart w:id="27" w:name="_Toc477971053"/>
      <w:bookmarkStart w:id="28" w:name="_Toc486858142"/>
      <w:bookmarkStart w:id="29" w:name="_Toc486841603"/>
      <w:r w:rsidR="00FF3F68">
        <w:rPr>
          <w:rFonts w:ascii="Futura T OT" w:eastAsiaTheme="minorEastAsia" w:hAnsi="Futura T OT" w:cstheme="minorBidi"/>
          <w:szCs w:val="16"/>
          <w:lang w:val="es-ES_tradnl" w:eastAsia="es-ES"/>
        </w:rPr>
        <w:t>a de Educación de Quintana Roo.</w:t>
      </w:r>
    </w:p>
    <w:p w14:paraId="71D62E60" w14:textId="77777777" w:rsidR="00FF3F68" w:rsidRPr="00FF3F68" w:rsidRDefault="00FF3F68" w:rsidP="00FF3F68">
      <w:pPr>
        <w:pStyle w:val="Textonotapie"/>
        <w:rPr>
          <w:rFonts w:ascii="Futura T OT" w:eastAsiaTheme="minorEastAsia" w:hAnsi="Futura T OT" w:cstheme="minorBidi"/>
          <w:szCs w:val="16"/>
          <w:lang w:val="es-ES_tradnl" w:eastAsia="es-ES"/>
        </w:rPr>
      </w:pPr>
    </w:p>
    <w:p w14:paraId="387ED84F" w14:textId="77777777" w:rsidR="0021177B" w:rsidRPr="000E4F74" w:rsidRDefault="0021177B" w:rsidP="0021177B">
      <w:pPr>
        <w:pStyle w:val="Ttulo2"/>
        <w:jc w:val="both"/>
      </w:pPr>
      <w:bookmarkStart w:id="30" w:name="_Toc53409857"/>
      <w:r w:rsidRPr="000E4F74">
        <w:t>Alineación Estructural PED-Programa Sectori</w:t>
      </w:r>
      <w:bookmarkEnd w:id="27"/>
      <w:r w:rsidRPr="000E4F74">
        <w:t>al de Educación Pública de Calidad</w:t>
      </w:r>
      <w:bookmarkEnd w:id="28"/>
      <w:bookmarkEnd w:id="29"/>
      <w:bookmarkEnd w:id="30"/>
    </w:p>
    <w:p w14:paraId="102BFBC2" w14:textId="75C0E29E" w:rsidR="00913635" w:rsidRDefault="00AC573A" w:rsidP="006739CB">
      <w:r>
        <w:t>La Actualización del</w:t>
      </w:r>
      <w:r w:rsidR="0021177B">
        <w:t xml:space="preserve"> Programa Sectorial de Educación Pública de Calidad, atiende las políticas del </w:t>
      </w:r>
      <w:r>
        <w:t xml:space="preserve">sector educativo definidas en la actualización del </w:t>
      </w:r>
      <w:r w:rsidR="0021177B">
        <w:t xml:space="preserve"> Plan Estatal de Desarrollo 2016-2022 a través de 27 líneas de acción que marcan las directrices a seguir en el á</w:t>
      </w:r>
      <w:r w:rsidR="00FA0940">
        <w:t>mbito educativo, en el cuadro 22</w:t>
      </w:r>
      <w:r w:rsidR="0021177B">
        <w:t xml:space="preserve"> se plasma la relación de las líneas de acción del PED con los objetivos estratégicos del Programa Sectorial de Educación Pública de Calidad.</w:t>
      </w:r>
      <w:r w:rsidR="006739CB">
        <w:t xml:space="preserve"> </w:t>
      </w:r>
    </w:p>
    <w:p w14:paraId="03C2B493" w14:textId="77777777" w:rsidR="00913635" w:rsidRDefault="00913635">
      <w:pPr>
        <w:spacing w:after="0" w:line="240" w:lineRule="auto"/>
        <w:jc w:val="left"/>
      </w:pPr>
      <w:r>
        <w:br w:type="page"/>
      </w:r>
    </w:p>
    <w:p w14:paraId="1A81C480" w14:textId="1A4B63AB" w:rsidR="0021177B" w:rsidRDefault="00FA0940" w:rsidP="0021177B">
      <w:pPr>
        <w:pStyle w:val="Textoindependiente"/>
        <w:rPr>
          <w:rFonts w:eastAsia="Arial" w:cs="Times New Roman"/>
          <w:b/>
          <w:color w:val="4BACC6" w:themeColor="accent5"/>
        </w:rPr>
      </w:pPr>
      <w:r>
        <w:rPr>
          <w:rFonts w:eastAsia="Arial" w:cs="Times New Roman"/>
          <w:b/>
          <w:color w:val="4BACC6" w:themeColor="accent5"/>
        </w:rPr>
        <w:lastRenderedPageBreak/>
        <w:t>Cuadro 22</w:t>
      </w:r>
      <w:r w:rsidR="0021177B">
        <w:rPr>
          <w:rFonts w:eastAsia="Arial" w:cs="Times New Roman"/>
          <w:b/>
          <w:color w:val="4BACC6" w:themeColor="accent5"/>
        </w:rPr>
        <w:t>. Alineación Estructural PED-Programa Sectorial Educación Pública de Calidad</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20" w:firstRow="1" w:lastRow="0" w:firstColumn="0" w:lastColumn="0" w:noHBand="0" w:noVBand="1"/>
      </w:tblPr>
      <w:tblGrid>
        <w:gridCol w:w="1360"/>
        <w:gridCol w:w="2987"/>
        <w:gridCol w:w="3288"/>
        <w:gridCol w:w="1902"/>
      </w:tblGrid>
      <w:tr w:rsidR="00652E99" w:rsidRPr="000140F1" w14:paraId="0761F2D4" w14:textId="77777777" w:rsidTr="00D83181">
        <w:trPr>
          <w:trHeight w:val="283"/>
          <w:tblHeader/>
          <w:jc w:val="center"/>
        </w:trPr>
        <w:tc>
          <w:tcPr>
            <w:tcW w:w="700" w:type="pct"/>
            <w:tcBorders>
              <w:top w:val="single" w:sz="4" w:space="0" w:color="auto"/>
              <w:left w:val="single" w:sz="4" w:space="0" w:color="auto"/>
              <w:bottom w:val="single" w:sz="4" w:space="0" w:color="auto"/>
              <w:right w:val="single" w:sz="4" w:space="0" w:color="auto"/>
            </w:tcBorders>
            <w:shd w:val="clear" w:color="auto" w:fill="A6A6A6" w:themeFill="background1" w:themeFillShade="A6"/>
            <w:tcMar>
              <w:top w:w="72" w:type="dxa"/>
              <w:left w:w="144" w:type="dxa"/>
              <w:bottom w:w="72" w:type="dxa"/>
              <w:right w:w="144" w:type="dxa"/>
            </w:tcMar>
            <w:vAlign w:val="center"/>
            <w:hideMark/>
          </w:tcPr>
          <w:p w14:paraId="0DC366F7" w14:textId="2DC901DD" w:rsidR="0021177B" w:rsidRPr="00FA0940" w:rsidRDefault="0021177B" w:rsidP="009E3B2F">
            <w:pPr>
              <w:spacing w:after="0" w:line="240" w:lineRule="auto"/>
              <w:jc w:val="center"/>
              <w:rPr>
                <w:rFonts w:ascii="Futura Std Condensed Light" w:eastAsia="Calibri" w:hAnsi="Futura Std Condensed Light" w:cs="Calibri"/>
                <w:b/>
                <w:sz w:val="20"/>
                <w:szCs w:val="20"/>
              </w:rPr>
            </w:pPr>
            <w:r w:rsidRPr="00FA0940">
              <w:rPr>
                <w:rFonts w:ascii="Futura Std Condensed Light" w:eastAsia="Calibri" w:hAnsi="Futura Std Condensed Light" w:cs="Calibri"/>
                <w:b/>
                <w:sz w:val="20"/>
                <w:szCs w:val="20"/>
              </w:rPr>
              <w:t xml:space="preserve">Programa </w:t>
            </w:r>
            <w:r w:rsidR="004F6868">
              <w:rPr>
                <w:rFonts w:ascii="Futura Std Condensed Light" w:eastAsia="Calibri" w:hAnsi="Futura Std Condensed Light" w:cs="Calibri"/>
                <w:b/>
                <w:sz w:val="20"/>
                <w:szCs w:val="20"/>
              </w:rPr>
              <w:t>Estratégico del Plan Estatal 2016-2022</w:t>
            </w:r>
          </w:p>
        </w:tc>
        <w:tc>
          <w:tcPr>
            <w:tcW w:w="1630" w:type="pct"/>
            <w:tcBorders>
              <w:top w:val="single" w:sz="4" w:space="0" w:color="auto"/>
              <w:left w:val="single" w:sz="4" w:space="0" w:color="auto"/>
              <w:bottom w:val="single" w:sz="4" w:space="0" w:color="auto"/>
              <w:right w:val="single" w:sz="4" w:space="0" w:color="auto"/>
            </w:tcBorders>
            <w:shd w:val="clear" w:color="auto" w:fill="A6A6A6" w:themeFill="background1" w:themeFillShade="A6"/>
            <w:tcMar>
              <w:top w:w="72" w:type="dxa"/>
              <w:left w:w="144" w:type="dxa"/>
              <w:bottom w:w="72" w:type="dxa"/>
              <w:right w:w="144" w:type="dxa"/>
            </w:tcMar>
            <w:vAlign w:val="center"/>
            <w:hideMark/>
          </w:tcPr>
          <w:p w14:paraId="1C51D10C" w14:textId="77777777" w:rsidR="0021177B" w:rsidRPr="00FA0940" w:rsidRDefault="0021177B" w:rsidP="009E3B2F">
            <w:pPr>
              <w:spacing w:after="0" w:line="240" w:lineRule="auto"/>
              <w:jc w:val="center"/>
              <w:rPr>
                <w:rFonts w:ascii="Futura Std Condensed Light" w:eastAsia="Calibri" w:hAnsi="Futura Std Condensed Light" w:cs="Calibri"/>
                <w:b/>
                <w:sz w:val="20"/>
                <w:szCs w:val="20"/>
              </w:rPr>
            </w:pPr>
            <w:r w:rsidRPr="00FA0940">
              <w:rPr>
                <w:rFonts w:ascii="Futura Std Condensed Light" w:eastAsia="Calibri" w:hAnsi="Futura Std Condensed Light" w:cs="Calibri"/>
                <w:b/>
                <w:sz w:val="20"/>
                <w:szCs w:val="20"/>
              </w:rPr>
              <w:t>Líneas de acción del PED</w:t>
            </w:r>
          </w:p>
        </w:tc>
        <w:tc>
          <w:tcPr>
            <w:tcW w:w="1787" w:type="pc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09CD7F7F" w14:textId="77777777" w:rsidR="0021177B" w:rsidRPr="00FA0940" w:rsidRDefault="0021177B" w:rsidP="009E3B2F">
            <w:pPr>
              <w:spacing w:after="0" w:line="240" w:lineRule="auto"/>
              <w:jc w:val="center"/>
              <w:rPr>
                <w:rFonts w:ascii="Futura Std Condensed Light" w:eastAsia="Calibri" w:hAnsi="Futura Std Condensed Light" w:cs="Calibri"/>
                <w:b/>
                <w:sz w:val="20"/>
                <w:szCs w:val="20"/>
              </w:rPr>
            </w:pPr>
          </w:p>
          <w:p w14:paraId="2BA0DF37" w14:textId="77777777" w:rsidR="0021177B" w:rsidRPr="00FA0940" w:rsidRDefault="0021177B" w:rsidP="009E3B2F">
            <w:pPr>
              <w:spacing w:after="0" w:line="240" w:lineRule="auto"/>
              <w:jc w:val="center"/>
              <w:rPr>
                <w:rFonts w:ascii="Futura Std Condensed Light" w:eastAsia="Calibri" w:hAnsi="Futura Std Condensed Light" w:cs="Calibri"/>
                <w:b/>
                <w:sz w:val="20"/>
                <w:szCs w:val="20"/>
              </w:rPr>
            </w:pPr>
          </w:p>
          <w:p w14:paraId="559FFDAC" w14:textId="77777777" w:rsidR="0021177B" w:rsidRPr="00FA0940" w:rsidRDefault="0021177B" w:rsidP="009E3B2F">
            <w:pPr>
              <w:spacing w:after="0" w:line="240" w:lineRule="auto"/>
              <w:jc w:val="center"/>
              <w:rPr>
                <w:rFonts w:ascii="Futura Std Condensed Light" w:eastAsia="Calibri" w:hAnsi="Futura Std Condensed Light" w:cs="Calibri"/>
                <w:b/>
                <w:sz w:val="20"/>
                <w:szCs w:val="20"/>
              </w:rPr>
            </w:pPr>
          </w:p>
          <w:p w14:paraId="75D38E44" w14:textId="77777777" w:rsidR="0021177B" w:rsidRPr="00FA0940" w:rsidRDefault="0021177B" w:rsidP="009E3B2F">
            <w:pPr>
              <w:spacing w:after="0" w:line="240" w:lineRule="auto"/>
              <w:jc w:val="center"/>
              <w:rPr>
                <w:rFonts w:ascii="Futura Std Condensed Light" w:eastAsia="Calibri" w:hAnsi="Futura Std Condensed Light" w:cs="Calibri"/>
                <w:b/>
                <w:sz w:val="20"/>
                <w:szCs w:val="20"/>
              </w:rPr>
            </w:pPr>
            <w:r w:rsidRPr="00FA0940">
              <w:rPr>
                <w:rFonts w:ascii="Futura Std Condensed Light" w:eastAsia="Calibri" w:hAnsi="Futura Std Condensed Light" w:cs="Calibri"/>
                <w:b/>
                <w:sz w:val="20"/>
                <w:szCs w:val="20"/>
              </w:rPr>
              <w:t>Líneas de Acción del Programa Sectorial de Educación Pública de Calidad</w:t>
            </w:r>
          </w:p>
        </w:tc>
        <w:tc>
          <w:tcPr>
            <w:tcW w:w="882" w:type="pct"/>
            <w:tcBorders>
              <w:top w:val="single" w:sz="4" w:space="0" w:color="auto"/>
              <w:left w:val="single" w:sz="4" w:space="0" w:color="auto"/>
              <w:bottom w:val="single" w:sz="4" w:space="0" w:color="auto"/>
              <w:right w:val="single" w:sz="4" w:space="0" w:color="auto"/>
            </w:tcBorders>
            <w:shd w:val="clear" w:color="auto" w:fill="A6A6A6" w:themeFill="background1" w:themeFillShade="A6"/>
            <w:tcMar>
              <w:top w:w="72" w:type="dxa"/>
              <w:left w:w="144" w:type="dxa"/>
              <w:bottom w:w="72" w:type="dxa"/>
              <w:right w:w="144" w:type="dxa"/>
            </w:tcMar>
            <w:vAlign w:val="center"/>
            <w:hideMark/>
          </w:tcPr>
          <w:p w14:paraId="5005BE4A" w14:textId="77777777" w:rsidR="0021177B" w:rsidRPr="00FA0940" w:rsidRDefault="0021177B" w:rsidP="009E3B2F">
            <w:pPr>
              <w:spacing w:after="0" w:line="240" w:lineRule="auto"/>
              <w:jc w:val="center"/>
              <w:rPr>
                <w:rFonts w:ascii="Futura Std Condensed Light" w:eastAsia="Calibri" w:hAnsi="Futura Std Condensed Light" w:cs="Calibri"/>
                <w:b/>
                <w:sz w:val="20"/>
                <w:szCs w:val="20"/>
              </w:rPr>
            </w:pPr>
            <w:r w:rsidRPr="00FA0940">
              <w:rPr>
                <w:rFonts w:ascii="Futura Std Condensed Light" w:eastAsia="Calibri" w:hAnsi="Futura Std Condensed Light" w:cs="Calibri"/>
                <w:b/>
                <w:sz w:val="20"/>
                <w:szCs w:val="20"/>
              </w:rPr>
              <w:t xml:space="preserve">Objetivo estratégico del Programa Sectorial Educación Pública de Calidad. </w:t>
            </w:r>
          </w:p>
        </w:tc>
      </w:tr>
      <w:tr w:rsidR="001D5588" w14:paraId="3A536C29" w14:textId="77777777" w:rsidTr="00D83181">
        <w:trPr>
          <w:trHeight w:val="284"/>
          <w:jc w:val="center"/>
        </w:trPr>
        <w:tc>
          <w:tcPr>
            <w:tcW w:w="700" w:type="pct"/>
            <w:vMerge w:val="restart"/>
            <w:tcBorders>
              <w:top w:val="single" w:sz="4" w:space="0" w:color="auto"/>
              <w:left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2CFD7B98" w14:textId="77777777" w:rsidR="001D5588" w:rsidRDefault="001D5588" w:rsidP="009E3B2F">
            <w:pPr>
              <w:spacing w:after="0" w:line="240" w:lineRule="auto"/>
              <w:jc w:val="center"/>
              <w:rPr>
                <w:rFonts w:ascii="Futura Std Condensed Light" w:eastAsia="Calibri" w:hAnsi="Futura Std Condensed Light" w:cs="Calibri"/>
                <w:sz w:val="20"/>
                <w:szCs w:val="20"/>
              </w:rPr>
            </w:pPr>
          </w:p>
          <w:p w14:paraId="42608AC5" w14:textId="34BAEA07" w:rsidR="001D5588" w:rsidRDefault="001D5588" w:rsidP="006739CB">
            <w:pPr>
              <w:spacing w:after="0" w:line="240" w:lineRule="auto"/>
              <w:rPr>
                <w:rFonts w:ascii="Futura Std Condensed Light" w:eastAsia="Calibri" w:hAnsi="Futura Std Condensed Light" w:cs="Calibri"/>
                <w:sz w:val="20"/>
                <w:szCs w:val="20"/>
              </w:rPr>
            </w:pPr>
          </w:p>
          <w:p w14:paraId="73A95FB5" w14:textId="02248308" w:rsidR="001D5588" w:rsidRDefault="001D5588" w:rsidP="00A9616F">
            <w:pPr>
              <w:spacing w:after="0" w:line="240" w:lineRule="auto"/>
              <w:jc w:val="center"/>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Programa Educación Pública de Calidad.</w:t>
            </w:r>
          </w:p>
          <w:p w14:paraId="43EB4751" w14:textId="77777777" w:rsidR="001D5588" w:rsidRDefault="001D5588" w:rsidP="009E3B2F">
            <w:pPr>
              <w:spacing w:after="0" w:line="240" w:lineRule="auto"/>
              <w:jc w:val="center"/>
              <w:rPr>
                <w:rFonts w:ascii="Futura Std Condensed Light" w:eastAsia="Calibri" w:hAnsi="Futura Std Condensed Light" w:cs="Calibri"/>
                <w:sz w:val="20"/>
                <w:szCs w:val="20"/>
              </w:rPr>
            </w:pPr>
          </w:p>
          <w:p w14:paraId="649476F2" w14:textId="77777777" w:rsidR="001D5588" w:rsidRDefault="001D5588" w:rsidP="009E3B2F">
            <w:pPr>
              <w:spacing w:after="0" w:line="240" w:lineRule="auto"/>
              <w:jc w:val="center"/>
              <w:rPr>
                <w:rFonts w:ascii="Futura Std Condensed Light" w:eastAsia="Calibri" w:hAnsi="Futura Std Condensed Light" w:cs="Calibri"/>
                <w:sz w:val="20"/>
                <w:szCs w:val="20"/>
              </w:rPr>
            </w:pPr>
          </w:p>
          <w:p w14:paraId="06009C81" w14:textId="715F1565" w:rsidR="001D5588" w:rsidRDefault="001D5588" w:rsidP="009E3B2F">
            <w:pPr>
              <w:spacing w:after="0" w:line="240" w:lineRule="auto"/>
              <w:jc w:val="center"/>
              <w:rPr>
                <w:rFonts w:ascii="Futura Std Condensed Light" w:eastAsia="Calibri" w:hAnsi="Futura Std Condensed Light" w:cs="Calibri"/>
                <w:sz w:val="20"/>
                <w:szCs w:val="20"/>
              </w:rPr>
            </w:pPr>
          </w:p>
          <w:p w14:paraId="67C4B14F" w14:textId="75E11A7B" w:rsidR="001D5588" w:rsidRDefault="001D5588" w:rsidP="009E3B2F">
            <w:pPr>
              <w:spacing w:after="0" w:line="240" w:lineRule="auto"/>
              <w:jc w:val="center"/>
              <w:rPr>
                <w:rFonts w:ascii="Futura Std Condensed Light" w:eastAsia="Calibri" w:hAnsi="Futura Std Condensed Light" w:cs="Calibri"/>
                <w:sz w:val="20"/>
                <w:szCs w:val="20"/>
              </w:rPr>
            </w:pPr>
          </w:p>
          <w:p w14:paraId="57C1C636" w14:textId="2951A795" w:rsidR="001D5588" w:rsidRDefault="001D5588" w:rsidP="009E3B2F">
            <w:pPr>
              <w:spacing w:after="0" w:line="240" w:lineRule="auto"/>
              <w:jc w:val="center"/>
              <w:rPr>
                <w:rFonts w:ascii="Futura Std Condensed Light" w:eastAsia="Calibri" w:hAnsi="Futura Std Condensed Light" w:cs="Calibri"/>
                <w:sz w:val="20"/>
                <w:szCs w:val="20"/>
              </w:rPr>
            </w:pPr>
          </w:p>
          <w:p w14:paraId="3C96BE98" w14:textId="21ED2D05" w:rsidR="001D5588" w:rsidRDefault="001D5588" w:rsidP="009E3B2F">
            <w:pPr>
              <w:spacing w:after="0" w:line="240" w:lineRule="auto"/>
              <w:jc w:val="center"/>
              <w:rPr>
                <w:rFonts w:ascii="Futura Std Condensed Light" w:eastAsia="Calibri" w:hAnsi="Futura Std Condensed Light" w:cs="Calibri"/>
                <w:sz w:val="20"/>
                <w:szCs w:val="20"/>
              </w:rPr>
            </w:pPr>
          </w:p>
          <w:p w14:paraId="22E4CEFE" w14:textId="6D3A5198" w:rsidR="001D5588" w:rsidRDefault="001D5588" w:rsidP="009E3B2F">
            <w:pPr>
              <w:spacing w:after="0" w:line="240" w:lineRule="auto"/>
              <w:jc w:val="center"/>
              <w:rPr>
                <w:rFonts w:ascii="Futura Std Condensed Light" w:eastAsia="Calibri" w:hAnsi="Futura Std Condensed Light" w:cs="Calibri"/>
                <w:sz w:val="20"/>
                <w:szCs w:val="20"/>
              </w:rPr>
            </w:pPr>
          </w:p>
          <w:p w14:paraId="71591C84" w14:textId="564A1BA4" w:rsidR="001D5588" w:rsidRDefault="001D5588" w:rsidP="009E3B2F">
            <w:pPr>
              <w:spacing w:after="0" w:line="240" w:lineRule="auto"/>
              <w:jc w:val="center"/>
              <w:rPr>
                <w:rFonts w:ascii="Futura Std Condensed Light" w:eastAsia="Calibri" w:hAnsi="Futura Std Condensed Light" w:cs="Calibri"/>
                <w:sz w:val="20"/>
                <w:szCs w:val="20"/>
              </w:rPr>
            </w:pPr>
          </w:p>
          <w:p w14:paraId="741352D1" w14:textId="4FC956C6" w:rsidR="001D5588" w:rsidRDefault="001D5588" w:rsidP="009E3B2F">
            <w:pPr>
              <w:spacing w:after="0" w:line="240" w:lineRule="auto"/>
              <w:jc w:val="center"/>
              <w:rPr>
                <w:rFonts w:ascii="Futura Std Condensed Light" w:eastAsia="Calibri" w:hAnsi="Futura Std Condensed Light" w:cs="Calibri"/>
                <w:sz w:val="20"/>
                <w:szCs w:val="20"/>
              </w:rPr>
            </w:pPr>
          </w:p>
          <w:p w14:paraId="7A12CAA9" w14:textId="33134276" w:rsidR="001D5588" w:rsidRDefault="001D5588" w:rsidP="009E3B2F">
            <w:pPr>
              <w:spacing w:after="0" w:line="240" w:lineRule="auto"/>
              <w:jc w:val="center"/>
              <w:rPr>
                <w:rFonts w:ascii="Futura Std Condensed Light" w:eastAsia="Calibri" w:hAnsi="Futura Std Condensed Light" w:cs="Calibri"/>
                <w:sz w:val="20"/>
                <w:szCs w:val="20"/>
              </w:rPr>
            </w:pPr>
          </w:p>
          <w:p w14:paraId="04E97A05" w14:textId="10D3DBBD" w:rsidR="001D5588" w:rsidRDefault="001D5588" w:rsidP="009E3B2F">
            <w:pPr>
              <w:spacing w:after="0" w:line="240" w:lineRule="auto"/>
              <w:jc w:val="center"/>
              <w:rPr>
                <w:rFonts w:ascii="Futura Std Condensed Light" w:eastAsia="Calibri" w:hAnsi="Futura Std Condensed Light" w:cs="Calibri"/>
                <w:sz w:val="20"/>
                <w:szCs w:val="20"/>
              </w:rPr>
            </w:pPr>
          </w:p>
          <w:p w14:paraId="2AA1AD0A" w14:textId="3B6D2584" w:rsidR="001D5588" w:rsidRDefault="001D5588" w:rsidP="009E3B2F">
            <w:pPr>
              <w:spacing w:after="0" w:line="240" w:lineRule="auto"/>
              <w:jc w:val="center"/>
              <w:rPr>
                <w:rFonts w:ascii="Futura Std Condensed Light" w:eastAsia="Calibri" w:hAnsi="Futura Std Condensed Light" w:cs="Calibri"/>
                <w:sz w:val="20"/>
                <w:szCs w:val="20"/>
              </w:rPr>
            </w:pPr>
          </w:p>
          <w:p w14:paraId="65451304" w14:textId="6AA0E661" w:rsidR="001D5588" w:rsidRDefault="001D5588" w:rsidP="009E3B2F">
            <w:pPr>
              <w:spacing w:after="0" w:line="240" w:lineRule="auto"/>
              <w:jc w:val="center"/>
              <w:rPr>
                <w:rFonts w:ascii="Futura Std Condensed Light" w:eastAsia="Calibri" w:hAnsi="Futura Std Condensed Light" w:cs="Calibri"/>
                <w:sz w:val="20"/>
                <w:szCs w:val="20"/>
              </w:rPr>
            </w:pPr>
          </w:p>
          <w:p w14:paraId="39B317BE" w14:textId="0A87ACFE" w:rsidR="001D5588" w:rsidRDefault="001D5588" w:rsidP="009E3B2F">
            <w:pPr>
              <w:spacing w:after="0" w:line="240" w:lineRule="auto"/>
              <w:jc w:val="center"/>
              <w:rPr>
                <w:rFonts w:ascii="Futura Std Condensed Light" w:eastAsia="Calibri" w:hAnsi="Futura Std Condensed Light" w:cs="Calibri"/>
                <w:sz w:val="20"/>
                <w:szCs w:val="20"/>
              </w:rPr>
            </w:pPr>
          </w:p>
          <w:p w14:paraId="12043394" w14:textId="1C8CF6A9" w:rsidR="001D5588" w:rsidRDefault="001D5588" w:rsidP="009E3B2F">
            <w:pPr>
              <w:spacing w:after="0" w:line="240" w:lineRule="auto"/>
              <w:jc w:val="center"/>
              <w:rPr>
                <w:rFonts w:ascii="Futura Std Condensed Light" w:eastAsia="Calibri" w:hAnsi="Futura Std Condensed Light" w:cs="Calibri"/>
                <w:sz w:val="20"/>
                <w:szCs w:val="20"/>
              </w:rPr>
            </w:pPr>
          </w:p>
          <w:p w14:paraId="66DF646B" w14:textId="2F4997F4" w:rsidR="001D5588" w:rsidRDefault="001D5588" w:rsidP="009E3B2F">
            <w:pPr>
              <w:spacing w:after="0" w:line="240" w:lineRule="auto"/>
              <w:jc w:val="center"/>
              <w:rPr>
                <w:rFonts w:ascii="Futura Std Condensed Light" w:eastAsia="Calibri" w:hAnsi="Futura Std Condensed Light" w:cs="Calibri"/>
                <w:sz w:val="20"/>
                <w:szCs w:val="20"/>
              </w:rPr>
            </w:pPr>
          </w:p>
          <w:p w14:paraId="35572BB5" w14:textId="582E71EC" w:rsidR="001D5588" w:rsidRDefault="001D5588" w:rsidP="009E3B2F">
            <w:pPr>
              <w:spacing w:after="0" w:line="240" w:lineRule="auto"/>
              <w:jc w:val="center"/>
              <w:rPr>
                <w:rFonts w:ascii="Futura Std Condensed Light" w:eastAsia="Calibri" w:hAnsi="Futura Std Condensed Light" w:cs="Calibri"/>
                <w:sz w:val="20"/>
                <w:szCs w:val="20"/>
              </w:rPr>
            </w:pPr>
          </w:p>
          <w:p w14:paraId="08D55FA0" w14:textId="0AFD7694" w:rsidR="001D5588" w:rsidRDefault="001D5588" w:rsidP="009E3B2F">
            <w:pPr>
              <w:spacing w:after="0" w:line="240" w:lineRule="auto"/>
              <w:jc w:val="center"/>
              <w:rPr>
                <w:rFonts w:ascii="Futura Std Condensed Light" w:eastAsia="Calibri" w:hAnsi="Futura Std Condensed Light" w:cs="Calibri"/>
                <w:sz w:val="20"/>
                <w:szCs w:val="20"/>
              </w:rPr>
            </w:pPr>
          </w:p>
          <w:p w14:paraId="38BABD98" w14:textId="55C43FAA" w:rsidR="001D5588" w:rsidRDefault="001D5588" w:rsidP="009E3B2F">
            <w:pPr>
              <w:spacing w:after="0" w:line="240" w:lineRule="auto"/>
              <w:jc w:val="center"/>
              <w:rPr>
                <w:rFonts w:ascii="Futura Std Condensed Light" w:eastAsia="Calibri" w:hAnsi="Futura Std Condensed Light" w:cs="Calibri"/>
                <w:sz w:val="20"/>
                <w:szCs w:val="20"/>
              </w:rPr>
            </w:pPr>
          </w:p>
          <w:p w14:paraId="03695C95" w14:textId="49370C59" w:rsidR="001D5588" w:rsidRDefault="001D5588" w:rsidP="00A9616F">
            <w:pPr>
              <w:spacing w:after="0" w:line="240" w:lineRule="auto"/>
              <w:rPr>
                <w:rFonts w:ascii="Futura Std Condensed Light" w:eastAsia="Calibri" w:hAnsi="Futura Std Condensed Light" w:cs="Calibri"/>
                <w:sz w:val="20"/>
                <w:szCs w:val="20"/>
              </w:rPr>
            </w:pPr>
          </w:p>
          <w:p w14:paraId="5FE19623" w14:textId="1778C12E" w:rsidR="00EA2F41" w:rsidRDefault="00EA2F41" w:rsidP="00A9616F">
            <w:pPr>
              <w:spacing w:after="0" w:line="240" w:lineRule="auto"/>
              <w:rPr>
                <w:rFonts w:ascii="Futura Std Condensed Light" w:eastAsia="Calibri" w:hAnsi="Futura Std Condensed Light" w:cs="Calibri"/>
                <w:sz w:val="20"/>
                <w:szCs w:val="20"/>
              </w:rPr>
            </w:pPr>
          </w:p>
          <w:p w14:paraId="4DAF33A6" w14:textId="531A6ED4" w:rsidR="00EA2F41" w:rsidRDefault="00EA2F41" w:rsidP="00A9616F">
            <w:pPr>
              <w:spacing w:after="0" w:line="240" w:lineRule="auto"/>
              <w:rPr>
                <w:rFonts w:ascii="Futura Std Condensed Light" w:eastAsia="Calibri" w:hAnsi="Futura Std Condensed Light" w:cs="Calibri"/>
                <w:sz w:val="20"/>
                <w:szCs w:val="20"/>
              </w:rPr>
            </w:pPr>
          </w:p>
          <w:p w14:paraId="5D6C47C7" w14:textId="77777777" w:rsidR="001D5588" w:rsidRDefault="001D5588" w:rsidP="009E3B2F">
            <w:pPr>
              <w:spacing w:after="0" w:line="240" w:lineRule="auto"/>
              <w:jc w:val="center"/>
              <w:rPr>
                <w:rFonts w:ascii="Futura Std Condensed Light" w:eastAsia="Calibri" w:hAnsi="Futura Std Condensed Light" w:cs="Calibri"/>
                <w:sz w:val="20"/>
                <w:szCs w:val="20"/>
              </w:rPr>
            </w:pPr>
          </w:p>
          <w:p w14:paraId="5017C757" w14:textId="77777777" w:rsidR="001D5588" w:rsidRDefault="001D5588" w:rsidP="009E3B2F">
            <w:pPr>
              <w:spacing w:after="0" w:line="240" w:lineRule="auto"/>
              <w:jc w:val="center"/>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Programa Educación Pública de Calidad.</w:t>
            </w:r>
          </w:p>
          <w:p w14:paraId="14B8A064" w14:textId="77777777" w:rsidR="001D5588" w:rsidRDefault="001D5588" w:rsidP="00476422">
            <w:pPr>
              <w:spacing w:after="0" w:line="240" w:lineRule="auto"/>
              <w:jc w:val="center"/>
              <w:rPr>
                <w:rFonts w:ascii="Futura Std Condensed Light" w:eastAsia="Calibri" w:hAnsi="Futura Std Condensed Light" w:cs="Calibri"/>
                <w:sz w:val="20"/>
                <w:szCs w:val="20"/>
              </w:rPr>
            </w:pPr>
          </w:p>
          <w:p w14:paraId="54B134A3" w14:textId="77777777" w:rsidR="001D5588" w:rsidRDefault="001D5588" w:rsidP="00476422">
            <w:pPr>
              <w:spacing w:after="0" w:line="240" w:lineRule="auto"/>
              <w:jc w:val="center"/>
              <w:rPr>
                <w:rFonts w:ascii="Futura Std Condensed Light" w:eastAsia="Calibri" w:hAnsi="Futura Std Condensed Light" w:cs="Calibri"/>
                <w:sz w:val="20"/>
                <w:szCs w:val="20"/>
              </w:rPr>
            </w:pPr>
          </w:p>
          <w:p w14:paraId="7C0D1EC6" w14:textId="77777777" w:rsidR="001D5588" w:rsidRDefault="001D5588" w:rsidP="00476422">
            <w:pPr>
              <w:spacing w:after="0" w:line="240" w:lineRule="auto"/>
              <w:jc w:val="center"/>
              <w:rPr>
                <w:rFonts w:ascii="Futura Std Condensed Light" w:eastAsia="Calibri" w:hAnsi="Futura Std Condensed Light" w:cs="Calibri"/>
                <w:sz w:val="20"/>
                <w:szCs w:val="20"/>
              </w:rPr>
            </w:pPr>
          </w:p>
          <w:p w14:paraId="6138476F" w14:textId="77777777" w:rsidR="001D5588" w:rsidRDefault="001D5588" w:rsidP="00476422">
            <w:pPr>
              <w:spacing w:after="0" w:line="240" w:lineRule="auto"/>
              <w:jc w:val="center"/>
              <w:rPr>
                <w:rFonts w:ascii="Futura Std Condensed Light" w:eastAsia="Calibri" w:hAnsi="Futura Std Condensed Light" w:cs="Calibri"/>
                <w:sz w:val="20"/>
                <w:szCs w:val="20"/>
              </w:rPr>
            </w:pPr>
          </w:p>
          <w:p w14:paraId="0E6F5559" w14:textId="77777777" w:rsidR="001D5588" w:rsidRDefault="001D5588" w:rsidP="00476422">
            <w:pPr>
              <w:spacing w:after="0" w:line="240" w:lineRule="auto"/>
              <w:jc w:val="center"/>
              <w:rPr>
                <w:rFonts w:ascii="Futura Std Condensed Light" w:eastAsia="Calibri" w:hAnsi="Futura Std Condensed Light" w:cs="Calibri"/>
                <w:sz w:val="20"/>
                <w:szCs w:val="20"/>
              </w:rPr>
            </w:pPr>
          </w:p>
          <w:p w14:paraId="397A4CAF" w14:textId="77777777" w:rsidR="001D5588" w:rsidRDefault="001D5588" w:rsidP="00476422">
            <w:pPr>
              <w:spacing w:after="0" w:line="240" w:lineRule="auto"/>
              <w:jc w:val="center"/>
              <w:rPr>
                <w:rFonts w:ascii="Futura Std Condensed Light" w:eastAsia="Calibri" w:hAnsi="Futura Std Condensed Light" w:cs="Calibri"/>
                <w:sz w:val="20"/>
                <w:szCs w:val="20"/>
              </w:rPr>
            </w:pPr>
          </w:p>
          <w:p w14:paraId="1E4BBFDD" w14:textId="63A13AD4" w:rsidR="001D5588" w:rsidRDefault="001D5588" w:rsidP="00476422">
            <w:pPr>
              <w:spacing w:after="0" w:line="240" w:lineRule="auto"/>
              <w:jc w:val="center"/>
              <w:rPr>
                <w:rFonts w:ascii="Futura Std Condensed Light" w:eastAsia="Calibri" w:hAnsi="Futura Std Condensed Light" w:cs="Calibri"/>
                <w:sz w:val="20"/>
                <w:szCs w:val="20"/>
              </w:rPr>
            </w:pPr>
          </w:p>
          <w:p w14:paraId="3B5AD246" w14:textId="3E616C4A" w:rsidR="001D5588" w:rsidRDefault="001D5588" w:rsidP="00476422">
            <w:pPr>
              <w:spacing w:after="0" w:line="240" w:lineRule="auto"/>
              <w:jc w:val="center"/>
              <w:rPr>
                <w:rFonts w:ascii="Futura Std Condensed Light" w:eastAsia="Calibri" w:hAnsi="Futura Std Condensed Light" w:cs="Calibri"/>
                <w:sz w:val="20"/>
                <w:szCs w:val="20"/>
              </w:rPr>
            </w:pPr>
          </w:p>
          <w:p w14:paraId="3A842EAC" w14:textId="027A3B52" w:rsidR="001D5588" w:rsidRDefault="001D5588" w:rsidP="00476422">
            <w:pPr>
              <w:spacing w:after="0" w:line="240" w:lineRule="auto"/>
              <w:jc w:val="center"/>
              <w:rPr>
                <w:rFonts w:ascii="Futura Std Condensed Light" w:eastAsia="Calibri" w:hAnsi="Futura Std Condensed Light" w:cs="Calibri"/>
                <w:sz w:val="20"/>
                <w:szCs w:val="20"/>
              </w:rPr>
            </w:pPr>
          </w:p>
          <w:p w14:paraId="264262D3" w14:textId="0E80F183" w:rsidR="001D5588" w:rsidRDefault="001D5588" w:rsidP="00476422">
            <w:pPr>
              <w:spacing w:after="0" w:line="240" w:lineRule="auto"/>
              <w:jc w:val="center"/>
              <w:rPr>
                <w:rFonts w:ascii="Futura Std Condensed Light" w:eastAsia="Calibri" w:hAnsi="Futura Std Condensed Light" w:cs="Calibri"/>
                <w:sz w:val="20"/>
                <w:szCs w:val="20"/>
              </w:rPr>
            </w:pPr>
          </w:p>
          <w:p w14:paraId="03BDEAFC" w14:textId="3EEEE45E" w:rsidR="001D5588" w:rsidRDefault="001D5588" w:rsidP="00476422">
            <w:pPr>
              <w:spacing w:after="0" w:line="240" w:lineRule="auto"/>
              <w:jc w:val="center"/>
              <w:rPr>
                <w:rFonts w:ascii="Futura Std Condensed Light" w:eastAsia="Calibri" w:hAnsi="Futura Std Condensed Light" w:cs="Calibri"/>
                <w:sz w:val="20"/>
                <w:szCs w:val="20"/>
              </w:rPr>
            </w:pPr>
          </w:p>
          <w:p w14:paraId="6DBBBB5E" w14:textId="0EEBFF36" w:rsidR="001D5588" w:rsidRDefault="001D5588" w:rsidP="00476422">
            <w:pPr>
              <w:spacing w:after="0" w:line="240" w:lineRule="auto"/>
              <w:jc w:val="center"/>
              <w:rPr>
                <w:rFonts w:ascii="Futura Std Condensed Light" w:eastAsia="Calibri" w:hAnsi="Futura Std Condensed Light" w:cs="Calibri"/>
                <w:sz w:val="20"/>
                <w:szCs w:val="20"/>
              </w:rPr>
            </w:pPr>
          </w:p>
          <w:p w14:paraId="0EAA81E1" w14:textId="65427FAD" w:rsidR="001D5588" w:rsidRDefault="001D5588" w:rsidP="00476422">
            <w:pPr>
              <w:spacing w:after="0" w:line="240" w:lineRule="auto"/>
              <w:jc w:val="center"/>
              <w:rPr>
                <w:rFonts w:ascii="Futura Std Condensed Light" w:eastAsia="Calibri" w:hAnsi="Futura Std Condensed Light" w:cs="Calibri"/>
                <w:sz w:val="20"/>
                <w:szCs w:val="20"/>
              </w:rPr>
            </w:pPr>
          </w:p>
          <w:p w14:paraId="43290662" w14:textId="73731433" w:rsidR="001D5588" w:rsidRDefault="001D5588" w:rsidP="00476422">
            <w:pPr>
              <w:spacing w:after="0" w:line="240" w:lineRule="auto"/>
              <w:jc w:val="center"/>
              <w:rPr>
                <w:rFonts w:ascii="Futura Std Condensed Light" w:eastAsia="Calibri" w:hAnsi="Futura Std Condensed Light" w:cs="Calibri"/>
                <w:sz w:val="20"/>
                <w:szCs w:val="20"/>
              </w:rPr>
            </w:pPr>
          </w:p>
          <w:p w14:paraId="20DACEE2" w14:textId="03DF3EFE" w:rsidR="001D5588" w:rsidRDefault="001D5588" w:rsidP="00476422">
            <w:pPr>
              <w:spacing w:after="0" w:line="240" w:lineRule="auto"/>
              <w:jc w:val="center"/>
              <w:rPr>
                <w:rFonts w:ascii="Futura Std Condensed Light" w:eastAsia="Calibri" w:hAnsi="Futura Std Condensed Light" w:cs="Calibri"/>
                <w:sz w:val="20"/>
                <w:szCs w:val="20"/>
              </w:rPr>
            </w:pPr>
          </w:p>
          <w:p w14:paraId="2680385E" w14:textId="713BD421" w:rsidR="001D5588" w:rsidRDefault="001D5588" w:rsidP="00476422">
            <w:pPr>
              <w:spacing w:after="0" w:line="240" w:lineRule="auto"/>
              <w:jc w:val="center"/>
              <w:rPr>
                <w:rFonts w:ascii="Futura Std Condensed Light" w:eastAsia="Calibri" w:hAnsi="Futura Std Condensed Light" w:cs="Calibri"/>
                <w:sz w:val="20"/>
                <w:szCs w:val="20"/>
              </w:rPr>
            </w:pPr>
          </w:p>
          <w:p w14:paraId="1F45E735" w14:textId="6B023493" w:rsidR="001D5588" w:rsidRDefault="001D5588" w:rsidP="00476422">
            <w:pPr>
              <w:spacing w:after="0" w:line="240" w:lineRule="auto"/>
              <w:jc w:val="center"/>
              <w:rPr>
                <w:rFonts w:ascii="Futura Std Condensed Light" w:eastAsia="Calibri" w:hAnsi="Futura Std Condensed Light" w:cs="Calibri"/>
                <w:sz w:val="20"/>
                <w:szCs w:val="20"/>
              </w:rPr>
            </w:pPr>
          </w:p>
          <w:p w14:paraId="4EA7D14E" w14:textId="4B1A2DCE" w:rsidR="001D5588" w:rsidRDefault="001D5588" w:rsidP="00476422">
            <w:pPr>
              <w:spacing w:after="0" w:line="240" w:lineRule="auto"/>
              <w:jc w:val="center"/>
              <w:rPr>
                <w:rFonts w:ascii="Futura Std Condensed Light" w:eastAsia="Calibri" w:hAnsi="Futura Std Condensed Light" w:cs="Calibri"/>
                <w:sz w:val="20"/>
                <w:szCs w:val="20"/>
              </w:rPr>
            </w:pPr>
          </w:p>
          <w:p w14:paraId="465C04B6" w14:textId="5FF8F299" w:rsidR="001D5588" w:rsidRDefault="001D5588" w:rsidP="00476422">
            <w:pPr>
              <w:spacing w:after="0" w:line="240" w:lineRule="auto"/>
              <w:jc w:val="center"/>
              <w:rPr>
                <w:rFonts w:ascii="Futura Std Condensed Light" w:eastAsia="Calibri" w:hAnsi="Futura Std Condensed Light" w:cs="Calibri"/>
                <w:sz w:val="20"/>
                <w:szCs w:val="20"/>
              </w:rPr>
            </w:pPr>
          </w:p>
          <w:p w14:paraId="6C7FCF3D" w14:textId="55000135" w:rsidR="001D5588" w:rsidRDefault="001D5588" w:rsidP="00476422">
            <w:pPr>
              <w:spacing w:after="0" w:line="240" w:lineRule="auto"/>
              <w:jc w:val="center"/>
              <w:rPr>
                <w:rFonts w:ascii="Futura Std Condensed Light" w:eastAsia="Calibri" w:hAnsi="Futura Std Condensed Light" w:cs="Calibri"/>
                <w:sz w:val="20"/>
                <w:szCs w:val="20"/>
              </w:rPr>
            </w:pPr>
          </w:p>
          <w:p w14:paraId="7C3B2CF6" w14:textId="24070AA1" w:rsidR="001D5588" w:rsidRDefault="001D5588" w:rsidP="00476422">
            <w:pPr>
              <w:spacing w:after="0" w:line="240" w:lineRule="auto"/>
              <w:jc w:val="center"/>
              <w:rPr>
                <w:rFonts w:ascii="Futura Std Condensed Light" w:eastAsia="Calibri" w:hAnsi="Futura Std Condensed Light" w:cs="Calibri"/>
                <w:sz w:val="20"/>
                <w:szCs w:val="20"/>
              </w:rPr>
            </w:pPr>
          </w:p>
          <w:p w14:paraId="3D2F9296" w14:textId="24877F3A" w:rsidR="001D5588" w:rsidRDefault="001D5588" w:rsidP="00476422">
            <w:pPr>
              <w:spacing w:after="0" w:line="240" w:lineRule="auto"/>
              <w:jc w:val="center"/>
              <w:rPr>
                <w:rFonts w:ascii="Futura Std Condensed Light" w:eastAsia="Calibri" w:hAnsi="Futura Std Condensed Light" w:cs="Calibri"/>
                <w:sz w:val="20"/>
                <w:szCs w:val="20"/>
              </w:rPr>
            </w:pPr>
          </w:p>
          <w:p w14:paraId="7D28AAD5" w14:textId="5A6277CF" w:rsidR="001D5588" w:rsidRDefault="001D5588" w:rsidP="00476422">
            <w:pPr>
              <w:spacing w:after="0" w:line="240" w:lineRule="auto"/>
              <w:jc w:val="center"/>
              <w:rPr>
                <w:rFonts w:ascii="Futura Std Condensed Light" w:eastAsia="Calibri" w:hAnsi="Futura Std Condensed Light" w:cs="Calibri"/>
                <w:sz w:val="20"/>
                <w:szCs w:val="20"/>
              </w:rPr>
            </w:pPr>
          </w:p>
          <w:p w14:paraId="0E9B2176" w14:textId="6FF785C5" w:rsidR="001D5588" w:rsidRDefault="001D5588" w:rsidP="00476422">
            <w:pPr>
              <w:spacing w:after="0" w:line="240" w:lineRule="auto"/>
              <w:jc w:val="center"/>
              <w:rPr>
                <w:rFonts w:ascii="Futura Std Condensed Light" w:eastAsia="Calibri" w:hAnsi="Futura Std Condensed Light" w:cs="Calibri"/>
                <w:sz w:val="20"/>
                <w:szCs w:val="20"/>
              </w:rPr>
            </w:pPr>
          </w:p>
          <w:p w14:paraId="05D3D307" w14:textId="5CA72F56" w:rsidR="001D5588" w:rsidRDefault="001D5588" w:rsidP="00476422">
            <w:pPr>
              <w:spacing w:after="0" w:line="240" w:lineRule="auto"/>
              <w:jc w:val="center"/>
              <w:rPr>
                <w:rFonts w:ascii="Futura Std Condensed Light" w:eastAsia="Calibri" w:hAnsi="Futura Std Condensed Light" w:cs="Calibri"/>
                <w:sz w:val="20"/>
                <w:szCs w:val="20"/>
              </w:rPr>
            </w:pPr>
          </w:p>
          <w:p w14:paraId="14CFD840" w14:textId="5811C0DA" w:rsidR="001D5588" w:rsidRDefault="001D5588" w:rsidP="00476422">
            <w:pPr>
              <w:spacing w:after="0" w:line="240" w:lineRule="auto"/>
              <w:jc w:val="center"/>
              <w:rPr>
                <w:rFonts w:ascii="Futura Std Condensed Light" w:eastAsia="Calibri" w:hAnsi="Futura Std Condensed Light" w:cs="Calibri"/>
                <w:sz w:val="20"/>
                <w:szCs w:val="20"/>
              </w:rPr>
            </w:pPr>
          </w:p>
          <w:p w14:paraId="3C205C6A" w14:textId="60D599F3" w:rsidR="001D5588" w:rsidRDefault="001D5588" w:rsidP="00476422">
            <w:pPr>
              <w:spacing w:after="0" w:line="240" w:lineRule="auto"/>
              <w:jc w:val="center"/>
              <w:rPr>
                <w:rFonts w:ascii="Futura Std Condensed Light" w:eastAsia="Calibri" w:hAnsi="Futura Std Condensed Light" w:cs="Calibri"/>
                <w:sz w:val="20"/>
                <w:szCs w:val="20"/>
              </w:rPr>
            </w:pPr>
          </w:p>
          <w:p w14:paraId="7D7FEB78" w14:textId="26E97ACE" w:rsidR="001D5588" w:rsidRDefault="001D5588" w:rsidP="00476422">
            <w:pPr>
              <w:spacing w:after="0" w:line="240" w:lineRule="auto"/>
              <w:jc w:val="center"/>
              <w:rPr>
                <w:rFonts w:ascii="Futura Std Condensed Light" w:eastAsia="Calibri" w:hAnsi="Futura Std Condensed Light" w:cs="Calibri"/>
                <w:sz w:val="20"/>
                <w:szCs w:val="20"/>
              </w:rPr>
            </w:pPr>
          </w:p>
          <w:p w14:paraId="661908CD" w14:textId="1249BD6B" w:rsidR="001D5588" w:rsidRDefault="001D5588" w:rsidP="00476422">
            <w:pPr>
              <w:spacing w:after="0" w:line="240" w:lineRule="auto"/>
              <w:jc w:val="center"/>
              <w:rPr>
                <w:rFonts w:ascii="Futura Std Condensed Light" w:eastAsia="Calibri" w:hAnsi="Futura Std Condensed Light" w:cs="Calibri"/>
                <w:sz w:val="20"/>
                <w:szCs w:val="20"/>
              </w:rPr>
            </w:pPr>
          </w:p>
          <w:p w14:paraId="31F4765C" w14:textId="3381C321" w:rsidR="001D5588" w:rsidRDefault="001D5588" w:rsidP="00476422">
            <w:pPr>
              <w:spacing w:after="0" w:line="240" w:lineRule="auto"/>
              <w:jc w:val="center"/>
              <w:rPr>
                <w:rFonts w:ascii="Futura Std Condensed Light" w:eastAsia="Calibri" w:hAnsi="Futura Std Condensed Light" w:cs="Calibri"/>
                <w:sz w:val="20"/>
                <w:szCs w:val="20"/>
              </w:rPr>
            </w:pPr>
          </w:p>
          <w:p w14:paraId="14279C89" w14:textId="06DA5392" w:rsidR="001D5588" w:rsidRDefault="001D5588" w:rsidP="00476422">
            <w:pPr>
              <w:spacing w:after="0" w:line="240" w:lineRule="auto"/>
              <w:jc w:val="center"/>
              <w:rPr>
                <w:rFonts w:ascii="Futura Std Condensed Light" w:eastAsia="Calibri" w:hAnsi="Futura Std Condensed Light" w:cs="Calibri"/>
                <w:sz w:val="20"/>
                <w:szCs w:val="20"/>
              </w:rPr>
            </w:pPr>
          </w:p>
          <w:p w14:paraId="00C4AD5C" w14:textId="20A58E28" w:rsidR="00EA2F41" w:rsidRDefault="00EA2F41" w:rsidP="00476422">
            <w:pPr>
              <w:spacing w:after="0" w:line="240" w:lineRule="auto"/>
              <w:jc w:val="center"/>
              <w:rPr>
                <w:rFonts w:ascii="Futura Std Condensed Light" w:eastAsia="Calibri" w:hAnsi="Futura Std Condensed Light" w:cs="Calibri"/>
                <w:sz w:val="20"/>
                <w:szCs w:val="20"/>
              </w:rPr>
            </w:pPr>
          </w:p>
          <w:p w14:paraId="0A4B58B8" w14:textId="093FF29C" w:rsidR="00EA2F41" w:rsidRDefault="00EA2F41" w:rsidP="00476422">
            <w:pPr>
              <w:spacing w:after="0" w:line="240" w:lineRule="auto"/>
              <w:jc w:val="center"/>
              <w:rPr>
                <w:rFonts w:ascii="Futura Std Condensed Light" w:eastAsia="Calibri" w:hAnsi="Futura Std Condensed Light" w:cs="Calibri"/>
                <w:sz w:val="20"/>
                <w:szCs w:val="20"/>
              </w:rPr>
            </w:pPr>
          </w:p>
          <w:p w14:paraId="754B063D" w14:textId="6D7CA838" w:rsidR="00EA2F41" w:rsidRDefault="00EA2F41" w:rsidP="00476422">
            <w:pPr>
              <w:spacing w:after="0" w:line="240" w:lineRule="auto"/>
              <w:jc w:val="center"/>
              <w:rPr>
                <w:rFonts w:ascii="Futura Std Condensed Light" w:eastAsia="Calibri" w:hAnsi="Futura Std Condensed Light" w:cs="Calibri"/>
                <w:sz w:val="20"/>
                <w:szCs w:val="20"/>
              </w:rPr>
            </w:pPr>
          </w:p>
          <w:p w14:paraId="624E6D72" w14:textId="746903E8" w:rsidR="00EA2F41" w:rsidRDefault="00EA2F41" w:rsidP="00476422">
            <w:pPr>
              <w:spacing w:after="0" w:line="240" w:lineRule="auto"/>
              <w:jc w:val="center"/>
              <w:rPr>
                <w:rFonts w:ascii="Futura Std Condensed Light" w:eastAsia="Calibri" w:hAnsi="Futura Std Condensed Light" w:cs="Calibri"/>
                <w:sz w:val="20"/>
                <w:szCs w:val="20"/>
              </w:rPr>
            </w:pPr>
          </w:p>
          <w:p w14:paraId="7BC7C3BA" w14:textId="2601D52E" w:rsidR="00EA2F41" w:rsidRDefault="00EA2F41" w:rsidP="00476422">
            <w:pPr>
              <w:spacing w:after="0" w:line="240" w:lineRule="auto"/>
              <w:jc w:val="center"/>
              <w:rPr>
                <w:rFonts w:ascii="Futura Std Condensed Light" w:eastAsia="Calibri" w:hAnsi="Futura Std Condensed Light" w:cs="Calibri"/>
                <w:sz w:val="20"/>
                <w:szCs w:val="20"/>
              </w:rPr>
            </w:pPr>
          </w:p>
          <w:p w14:paraId="2F5C1F67" w14:textId="77777777" w:rsidR="00EA2F41" w:rsidRDefault="00EA2F41" w:rsidP="00476422">
            <w:pPr>
              <w:spacing w:after="0" w:line="240" w:lineRule="auto"/>
              <w:jc w:val="center"/>
              <w:rPr>
                <w:rFonts w:ascii="Futura Std Condensed Light" w:eastAsia="Calibri" w:hAnsi="Futura Std Condensed Light" w:cs="Calibri"/>
                <w:sz w:val="20"/>
                <w:szCs w:val="20"/>
              </w:rPr>
            </w:pPr>
          </w:p>
          <w:p w14:paraId="60A1ADBB" w14:textId="3C8831DE" w:rsidR="001D5588" w:rsidRDefault="001D5588" w:rsidP="00476422">
            <w:pPr>
              <w:spacing w:after="0" w:line="240" w:lineRule="auto"/>
              <w:jc w:val="center"/>
              <w:rPr>
                <w:rFonts w:ascii="Futura Std Condensed Light" w:eastAsia="Calibri" w:hAnsi="Futura Std Condensed Light" w:cs="Calibri"/>
                <w:sz w:val="20"/>
                <w:szCs w:val="20"/>
              </w:rPr>
            </w:pPr>
          </w:p>
          <w:p w14:paraId="1F5C458A" w14:textId="0714A0C0" w:rsidR="001D5588" w:rsidRDefault="001D5588" w:rsidP="00177600">
            <w:pPr>
              <w:spacing w:after="0" w:line="240" w:lineRule="auto"/>
              <w:rPr>
                <w:rFonts w:ascii="Futura Std Condensed Light" w:eastAsia="Calibri" w:hAnsi="Futura Std Condensed Light" w:cs="Calibri"/>
                <w:sz w:val="20"/>
                <w:szCs w:val="20"/>
              </w:rPr>
            </w:pPr>
          </w:p>
          <w:p w14:paraId="4C5FB909" w14:textId="77777777" w:rsidR="001D5588" w:rsidRDefault="001D5588" w:rsidP="001D5588">
            <w:pPr>
              <w:spacing w:after="0" w:line="240" w:lineRule="auto"/>
              <w:jc w:val="center"/>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Programa Educación Pública de Calidad.</w:t>
            </w:r>
          </w:p>
          <w:p w14:paraId="1CFA4156" w14:textId="77777777" w:rsidR="00DB20E4" w:rsidRDefault="00DB20E4" w:rsidP="00DB20E4">
            <w:pPr>
              <w:spacing w:after="0" w:line="240" w:lineRule="auto"/>
              <w:jc w:val="center"/>
              <w:rPr>
                <w:rFonts w:ascii="Futura Std Condensed Light" w:eastAsia="Calibri" w:hAnsi="Futura Std Condensed Light" w:cs="Calibri"/>
                <w:sz w:val="20"/>
                <w:szCs w:val="20"/>
              </w:rPr>
            </w:pPr>
          </w:p>
          <w:p w14:paraId="2584AE34" w14:textId="77777777" w:rsidR="00DB20E4" w:rsidRDefault="00DB20E4" w:rsidP="00DB20E4">
            <w:pPr>
              <w:spacing w:after="0" w:line="240" w:lineRule="auto"/>
              <w:jc w:val="center"/>
              <w:rPr>
                <w:rFonts w:ascii="Futura Std Condensed Light" w:eastAsia="Calibri" w:hAnsi="Futura Std Condensed Light" w:cs="Calibri"/>
                <w:sz w:val="20"/>
                <w:szCs w:val="20"/>
              </w:rPr>
            </w:pPr>
          </w:p>
          <w:p w14:paraId="60EB9B56" w14:textId="77777777" w:rsidR="00DB20E4" w:rsidRDefault="00DB20E4" w:rsidP="00DB20E4">
            <w:pPr>
              <w:spacing w:after="0" w:line="240" w:lineRule="auto"/>
              <w:jc w:val="center"/>
              <w:rPr>
                <w:rFonts w:ascii="Futura Std Condensed Light" w:eastAsia="Calibri" w:hAnsi="Futura Std Condensed Light" w:cs="Calibri"/>
                <w:sz w:val="20"/>
                <w:szCs w:val="20"/>
              </w:rPr>
            </w:pPr>
          </w:p>
          <w:p w14:paraId="1D950107" w14:textId="77777777" w:rsidR="00DB20E4" w:rsidRDefault="00DB20E4" w:rsidP="00DB20E4">
            <w:pPr>
              <w:spacing w:after="0" w:line="240" w:lineRule="auto"/>
              <w:jc w:val="center"/>
              <w:rPr>
                <w:rFonts w:ascii="Futura Std Condensed Light" w:eastAsia="Calibri" w:hAnsi="Futura Std Condensed Light" w:cs="Calibri"/>
                <w:sz w:val="20"/>
                <w:szCs w:val="20"/>
              </w:rPr>
            </w:pPr>
          </w:p>
          <w:p w14:paraId="79E7368E" w14:textId="77777777" w:rsidR="00DB20E4" w:rsidRDefault="00DB20E4" w:rsidP="00DB20E4">
            <w:pPr>
              <w:spacing w:after="0" w:line="240" w:lineRule="auto"/>
              <w:jc w:val="center"/>
              <w:rPr>
                <w:rFonts w:ascii="Futura Std Condensed Light" w:eastAsia="Calibri" w:hAnsi="Futura Std Condensed Light" w:cs="Calibri"/>
                <w:sz w:val="20"/>
                <w:szCs w:val="20"/>
              </w:rPr>
            </w:pPr>
          </w:p>
          <w:p w14:paraId="5D5A568B" w14:textId="77777777" w:rsidR="00DB20E4" w:rsidRDefault="00DB20E4" w:rsidP="00DB20E4">
            <w:pPr>
              <w:spacing w:after="0" w:line="240" w:lineRule="auto"/>
              <w:jc w:val="center"/>
              <w:rPr>
                <w:rFonts w:ascii="Futura Std Condensed Light" w:eastAsia="Calibri" w:hAnsi="Futura Std Condensed Light" w:cs="Calibri"/>
                <w:sz w:val="20"/>
                <w:szCs w:val="20"/>
              </w:rPr>
            </w:pPr>
          </w:p>
          <w:p w14:paraId="7DD9FF79" w14:textId="77777777" w:rsidR="00DB20E4" w:rsidRDefault="00DB20E4" w:rsidP="00DB20E4">
            <w:pPr>
              <w:spacing w:after="0" w:line="240" w:lineRule="auto"/>
              <w:jc w:val="center"/>
              <w:rPr>
                <w:rFonts w:ascii="Futura Std Condensed Light" w:eastAsia="Calibri" w:hAnsi="Futura Std Condensed Light" w:cs="Calibri"/>
                <w:sz w:val="20"/>
                <w:szCs w:val="20"/>
              </w:rPr>
            </w:pPr>
          </w:p>
          <w:p w14:paraId="410EFD73" w14:textId="77777777" w:rsidR="00DB20E4" w:rsidRDefault="00DB20E4" w:rsidP="00DB20E4">
            <w:pPr>
              <w:spacing w:after="0" w:line="240" w:lineRule="auto"/>
              <w:jc w:val="center"/>
              <w:rPr>
                <w:rFonts w:ascii="Futura Std Condensed Light" w:eastAsia="Calibri" w:hAnsi="Futura Std Condensed Light" w:cs="Calibri"/>
                <w:sz w:val="20"/>
                <w:szCs w:val="20"/>
              </w:rPr>
            </w:pPr>
          </w:p>
          <w:p w14:paraId="36D2312F" w14:textId="77777777" w:rsidR="00DB20E4" w:rsidRDefault="00DB20E4" w:rsidP="00DB20E4">
            <w:pPr>
              <w:spacing w:after="0" w:line="240" w:lineRule="auto"/>
              <w:jc w:val="center"/>
              <w:rPr>
                <w:rFonts w:ascii="Futura Std Condensed Light" w:eastAsia="Calibri" w:hAnsi="Futura Std Condensed Light" w:cs="Calibri"/>
                <w:sz w:val="20"/>
                <w:szCs w:val="20"/>
              </w:rPr>
            </w:pPr>
          </w:p>
          <w:p w14:paraId="3AE59C93" w14:textId="77777777" w:rsidR="00DB20E4" w:rsidRDefault="00DB20E4" w:rsidP="00DB20E4">
            <w:pPr>
              <w:spacing w:after="0" w:line="240" w:lineRule="auto"/>
              <w:jc w:val="center"/>
              <w:rPr>
                <w:rFonts w:ascii="Futura Std Condensed Light" w:eastAsia="Calibri" w:hAnsi="Futura Std Condensed Light" w:cs="Calibri"/>
                <w:sz w:val="20"/>
                <w:szCs w:val="20"/>
              </w:rPr>
            </w:pPr>
          </w:p>
          <w:p w14:paraId="5309872A" w14:textId="77777777" w:rsidR="00DB20E4" w:rsidRDefault="00DB20E4" w:rsidP="00DB20E4">
            <w:pPr>
              <w:spacing w:after="0" w:line="240" w:lineRule="auto"/>
              <w:jc w:val="center"/>
              <w:rPr>
                <w:rFonts w:ascii="Futura Std Condensed Light" w:eastAsia="Calibri" w:hAnsi="Futura Std Condensed Light" w:cs="Calibri"/>
                <w:sz w:val="20"/>
                <w:szCs w:val="20"/>
              </w:rPr>
            </w:pPr>
          </w:p>
          <w:p w14:paraId="1CE03B0D" w14:textId="77777777" w:rsidR="00DB20E4" w:rsidRDefault="00DB20E4" w:rsidP="00DB20E4">
            <w:pPr>
              <w:spacing w:after="0" w:line="240" w:lineRule="auto"/>
              <w:jc w:val="center"/>
              <w:rPr>
                <w:rFonts w:ascii="Futura Std Condensed Light" w:eastAsia="Calibri" w:hAnsi="Futura Std Condensed Light" w:cs="Calibri"/>
                <w:sz w:val="20"/>
                <w:szCs w:val="20"/>
              </w:rPr>
            </w:pPr>
          </w:p>
          <w:p w14:paraId="16570FAD" w14:textId="77777777" w:rsidR="00DB20E4" w:rsidRDefault="00DB20E4" w:rsidP="00DB20E4">
            <w:pPr>
              <w:spacing w:after="0" w:line="240" w:lineRule="auto"/>
              <w:jc w:val="center"/>
              <w:rPr>
                <w:rFonts w:ascii="Futura Std Condensed Light" w:eastAsia="Calibri" w:hAnsi="Futura Std Condensed Light" w:cs="Calibri"/>
                <w:sz w:val="20"/>
                <w:szCs w:val="20"/>
              </w:rPr>
            </w:pPr>
          </w:p>
          <w:p w14:paraId="692C862E" w14:textId="77777777" w:rsidR="00DB20E4" w:rsidRDefault="00DB20E4" w:rsidP="00DB20E4">
            <w:pPr>
              <w:spacing w:after="0" w:line="240" w:lineRule="auto"/>
              <w:jc w:val="center"/>
              <w:rPr>
                <w:rFonts w:ascii="Futura Std Condensed Light" w:eastAsia="Calibri" w:hAnsi="Futura Std Condensed Light" w:cs="Calibri"/>
                <w:sz w:val="20"/>
                <w:szCs w:val="20"/>
              </w:rPr>
            </w:pPr>
          </w:p>
          <w:p w14:paraId="5DFA2075" w14:textId="77777777" w:rsidR="00DB20E4" w:rsidRDefault="00DB20E4" w:rsidP="00DB20E4">
            <w:pPr>
              <w:spacing w:after="0" w:line="240" w:lineRule="auto"/>
              <w:jc w:val="center"/>
              <w:rPr>
                <w:rFonts w:ascii="Futura Std Condensed Light" w:eastAsia="Calibri" w:hAnsi="Futura Std Condensed Light" w:cs="Calibri"/>
                <w:sz w:val="20"/>
                <w:szCs w:val="20"/>
              </w:rPr>
            </w:pPr>
          </w:p>
          <w:p w14:paraId="1E1FDAFC" w14:textId="77777777" w:rsidR="00DB20E4" w:rsidRDefault="00DB20E4" w:rsidP="00DB20E4">
            <w:pPr>
              <w:spacing w:after="0" w:line="240" w:lineRule="auto"/>
              <w:jc w:val="center"/>
              <w:rPr>
                <w:rFonts w:ascii="Futura Std Condensed Light" w:eastAsia="Calibri" w:hAnsi="Futura Std Condensed Light" w:cs="Calibri"/>
                <w:sz w:val="20"/>
                <w:szCs w:val="20"/>
              </w:rPr>
            </w:pPr>
          </w:p>
          <w:p w14:paraId="48164D5E" w14:textId="77777777" w:rsidR="00DB20E4" w:rsidRDefault="00DB20E4" w:rsidP="00DB20E4">
            <w:pPr>
              <w:spacing w:after="0" w:line="240" w:lineRule="auto"/>
              <w:jc w:val="center"/>
              <w:rPr>
                <w:rFonts w:ascii="Futura Std Condensed Light" w:eastAsia="Calibri" w:hAnsi="Futura Std Condensed Light" w:cs="Calibri"/>
                <w:sz w:val="20"/>
                <w:szCs w:val="20"/>
              </w:rPr>
            </w:pPr>
          </w:p>
          <w:p w14:paraId="614ED32F" w14:textId="77777777" w:rsidR="00DB20E4" w:rsidRDefault="00DB20E4" w:rsidP="00DB20E4">
            <w:pPr>
              <w:spacing w:after="0" w:line="240" w:lineRule="auto"/>
              <w:jc w:val="center"/>
              <w:rPr>
                <w:rFonts w:ascii="Futura Std Condensed Light" w:eastAsia="Calibri" w:hAnsi="Futura Std Condensed Light" w:cs="Calibri"/>
                <w:sz w:val="20"/>
                <w:szCs w:val="20"/>
              </w:rPr>
            </w:pPr>
          </w:p>
          <w:p w14:paraId="7557D33A" w14:textId="77777777" w:rsidR="00DB20E4" w:rsidRDefault="00DB20E4" w:rsidP="00DB20E4">
            <w:pPr>
              <w:spacing w:after="0" w:line="240" w:lineRule="auto"/>
              <w:jc w:val="center"/>
              <w:rPr>
                <w:rFonts w:ascii="Futura Std Condensed Light" w:eastAsia="Calibri" w:hAnsi="Futura Std Condensed Light" w:cs="Calibri"/>
                <w:sz w:val="20"/>
                <w:szCs w:val="20"/>
              </w:rPr>
            </w:pPr>
          </w:p>
          <w:p w14:paraId="3A8C1920" w14:textId="77777777" w:rsidR="00DB20E4" w:rsidRDefault="00DB20E4" w:rsidP="00DB20E4">
            <w:pPr>
              <w:spacing w:after="0" w:line="240" w:lineRule="auto"/>
              <w:jc w:val="center"/>
              <w:rPr>
                <w:rFonts w:ascii="Futura Std Condensed Light" w:eastAsia="Calibri" w:hAnsi="Futura Std Condensed Light" w:cs="Calibri"/>
                <w:sz w:val="20"/>
                <w:szCs w:val="20"/>
              </w:rPr>
            </w:pPr>
          </w:p>
          <w:p w14:paraId="559F113B" w14:textId="77777777" w:rsidR="00DB20E4" w:rsidRDefault="00DB20E4" w:rsidP="00DB20E4">
            <w:pPr>
              <w:spacing w:after="0" w:line="240" w:lineRule="auto"/>
              <w:jc w:val="center"/>
              <w:rPr>
                <w:rFonts w:ascii="Futura Std Condensed Light" w:eastAsia="Calibri" w:hAnsi="Futura Std Condensed Light" w:cs="Calibri"/>
                <w:sz w:val="20"/>
                <w:szCs w:val="20"/>
              </w:rPr>
            </w:pPr>
          </w:p>
          <w:p w14:paraId="255B9248" w14:textId="77777777" w:rsidR="00DB20E4" w:rsidRDefault="00DB20E4" w:rsidP="00DB20E4">
            <w:pPr>
              <w:spacing w:after="0" w:line="240" w:lineRule="auto"/>
              <w:jc w:val="center"/>
              <w:rPr>
                <w:rFonts w:ascii="Futura Std Condensed Light" w:eastAsia="Calibri" w:hAnsi="Futura Std Condensed Light" w:cs="Calibri"/>
                <w:sz w:val="20"/>
                <w:szCs w:val="20"/>
              </w:rPr>
            </w:pPr>
          </w:p>
          <w:p w14:paraId="084FDFE5" w14:textId="77777777" w:rsidR="00DB20E4" w:rsidRDefault="00DB20E4" w:rsidP="00DB20E4">
            <w:pPr>
              <w:spacing w:after="0" w:line="240" w:lineRule="auto"/>
              <w:jc w:val="center"/>
              <w:rPr>
                <w:rFonts w:ascii="Futura Std Condensed Light" w:eastAsia="Calibri" w:hAnsi="Futura Std Condensed Light" w:cs="Calibri"/>
                <w:sz w:val="20"/>
                <w:szCs w:val="20"/>
              </w:rPr>
            </w:pPr>
          </w:p>
          <w:p w14:paraId="06978476" w14:textId="77777777" w:rsidR="00DB20E4" w:rsidRDefault="00DB20E4" w:rsidP="00DB20E4">
            <w:pPr>
              <w:spacing w:after="0" w:line="240" w:lineRule="auto"/>
              <w:jc w:val="center"/>
              <w:rPr>
                <w:rFonts w:ascii="Futura Std Condensed Light" w:eastAsia="Calibri" w:hAnsi="Futura Std Condensed Light" w:cs="Calibri"/>
                <w:sz w:val="20"/>
                <w:szCs w:val="20"/>
              </w:rPr>
            </w:pPr>
          </w:p>
          <w:p w14:paraId="26DB677C" w14:textId="77777777" w:rsidR="00DB20E4" w:rsidRDefault="00DB20E4" w:rsidP="00DB20E4">
            <w:pPr>
              <w:spacing w:after="0" w:line="240" w:lineRule="auto"/>
              <w:jc w:val="center"/>
              <w:rPr>
                <w:rFonts w:ascii="Futura Std Condensed Light" w:eastAsia="Calibri" w:hAnsi="Futura Std Condensed Light" w:cs="Calibri"/>
                <w:sz w:val="20"/>
                <w:szCs w:val="20"/>
              </w:rPr>
            </w:pPr>
          </w:p>
          <w:p w14:paraId="4177C947" w14:textId="77777777" w:rsidR="00DB20E4" w:rsidRDefault="00DB20E4" w:rsidP="00DB20E4">
            <w:pPr>
              <w:spacing w:after="0" w:line="240" w:lineRule="auto"/>
              <w:jc w:val="center"/>
              <w:rPr>
                <w:rFonts w:ascii="Futura Std Condensed Light" w:eastAsia="Calibri" w:hAnsi="Futura Std Condensed Light" w:cs="Calibri"/>
                <w:sz w:val="20"/>
                <w:szCs w:val="20"/>
              </w:rPr>
            </w:pPr>
          </w:p>
          <w:p w14:paraId="23A56559" w14:textId="77777777" w:rsidR="00DB20E4" w:rsidRDefault="00DB20E4" w:rsidP="00DB20E4">
            <w:pPr>
              <w:spacing w:after="0" w:line="240" w:lineRule="auto"/>
              <w:jc w:val="center"/>
              <w:rPr>
                <w:rFonts w:ascii="Futura Std Condensed Light" w:eastAsia="Calibri" w:hAnsi="Futura Std Condensed Light" w:cs="Calibri"/>
                <w:sz w:val="20"/>
                <w:szCs w:val="20"/>
              </w:rPr>
            </w:pPr>
          </w:p>
          <w:p w14:paraId="11B04D73" w14:textId="77777777" w:rsidR="00DB20E4" w:rsidRDefault="00DB20E4" w:rsidP="00DB20E4">
            <w:pPr>
              <w:spacing w:after="0" w:line="240" w:lineRule="auto"/>
              <w:jc w:val="center"/>
              <w:rPr>
                <w:rFonts w:ascii="Futura Std Condensed Light" w:eastAsia="Calibri" w:hAnsi="Futura Std Condensed Light" w:cs="Calibri"/>
                <w:sz w:val="20"/>
                <w:szCs w:val="20"/>
              </w:rPr>
            </w:pPr>
          </w:p>
          <w:p w14:paraId="730518FD" w14:textId="77777777" w:rsidR="00DB20E4" w:rsidRDefault="00DB20E4" w:rsidP="00DB20E4">
            <w:pPr>
              <w:spacing w:after="0" w:line="240" w:lineRule="auto"/>
              <w:jc w:val="center"/>
              <w:rPr>
                <w:rFonts w:ascii="Futura Std Condensed Light" w:eastAsia="Calibri" w:hAnsi="Futura Std Condensed Light" w:cs="Calibri"/>
                <w:sz w:val="20"/>
                <w:szCs w:val="20"/>
              </w:rPr>
            </w:pPr>
          </w:p>
          <w:p w14:paraId="6B000CF1" w14:textId="77777777" w:rsidR="00DB20E4" w:rsidRDefault="00DB20E4" w:rsidP="00DB20E4">
            <w:pPr>
              <w:spacing w:after="0" w:line="240" w:lineRule="auto"/>
              <w:jc w:val="center"/>
              <w:rPr>
                <w:rFonts w:ascii="Futura Std Condensed Light" w:eastAsia="Calibri" w:hAnsi="Futura Std Condensed Light" w:cs="Calibri"/>
                <w:sz w:val="20"/>
                <w:szCs w:val="20"/>
              </w:rPr>
            </w:pPr>
          </w:p>
          <w:p w14:paraId="25C2E14B" w14:textId="77777777" w:rsidR="00DB20E4" w:rsidRDefault="00DB20E4" w:rsidP="00DB20E4">
            <w:pPr>
              <w:spacing w:after="0" w:line="240" w:lineRule="auto"/>
              <w:jc w:val="center"/>
              <w:rPr>
                <w:rFonts w:ascii="Futura Std Condensed Light" w:eastAsia="Calibri" w:hAnsi="Futura Std Condensed Light" w:cs="Calibri"/>
                <w:sz w:val="20"/>
                <w:szCs w:val="20"/>
              </w:rPr>
            </w:pPr>
          </w:p>
          <w:p w14:paraId="40F35AB7" w14:textId="77777777" w:rsidR="00DB20E4" w:rsidRDefault="00DB20E4" w:rsidP="00DB20E4">
            <w:pPr>
              <w:spacing w:after="0" w:line="240" w:lineRule="auto"/>
              <w:jc w:val="center"/>
              <w:rPr>
                <w:rFonts w:ascii="Futura Std Condensed Light" w:eastAsia="Calibri" w:hAnsi="Futura Std Condensed Light" w:cs="Calibri"/>
                <w:sz w:val="20"/>
                <w:szCs w:val="20"/>
              </w:rPr>
            </w:pPr>
          </w:p>
          <w:p w14:paraId="4C43BD5F" w14:textId="77777777" w:rsidR="00DB20E4" w:rsidRDefault="00DB20E4" w:rsidP="00DB20E4">
            <w:pPr>
              <w:spacing w:after="0" w:line="240" w:lineRule="auto"/>
              <w:jc w:val="center"/>
              <w:rPr>
                <w:rFonts w:ascii="Futura Std Condensed Light" w:eastAsia="Calibri" w:hAnsi="Futura Std Condensed Light" w:cs="Calibri"/>
                <w:sz w:val="20"/>
                <w:szCs w:val="20"/>
              </w:rPr>
            </w:pPr>
          </w:p>
          <w:p w14:paraId="4A983B9A" w14:textId="77777777" w:rsidR="00DB20E4" w:rsidRDefault="00DB20E4" w:rsidP="00DB20E4">
            <w:pPr>
              <w:spacing w:after="0" w:line="240" w:lineRule="auto"/>
              <w:jc w:val="center"/>
              <w:rPr>
                <w:rFonts w:ascii="Futura Std Condensed Light" w:eastAsia="Calibri" w:hAnsi="Futura Std Condensed Light" w:cs="Calibri"/>
                <w:sz w:val="20"/>
                <w:szCs w:val="20"/>
              </w:rPr>
            </w:pPr>
          </w:p>
          <w:p w14:paraId="1F2E6A22" w14:textId="77777777" w:rsidR="00DB20E4" w:rsidRDefault="00DB20E4" w:rsidP="00DB20E4">
            <w:pPr>
              <w:spacing w:after="0" w:line="240" w:lineRule="auto"/>
              <w:jc w:val="center"/>
              <w:rPr>
                <w:rFonts w:ascii="Futura Std Condensed Light" w:eastAsia="Calibri" w:hAnsi="Futura Std Condensed Light" w:cs="Calibri"/>
                <w:sz w:val="20"/>
                <w:szCs w:val="20"/>
              </w:rPr>
            </w:pPr>
          </w:p>
          <w:p w14:paraId="258369A6" w14:textId="47A45DDD" w:rsidR="00DB20E4" w:rsidRDefault="00DB20E4" w:rsidP="00DB20E4">
            <w:pPr>
              <w:spacing w:after="0" w:line="240" w:lineRule="auto"/>
              <w:rPr>
                <w:rFonts w:ascii="Futura Std Condensed Light" w:eastAsia="Calibri" w:hAnsi="Futura Std Condensed Light" w:cs="Calibri"/>
                <w:sz w:val="20"/>
                <w:szCs w:val="20"/>
              </w:rPr>
            </w:pPr>
          </w:p>
          <w:p w14:paraId="75290ACB" w14:textId="77777777" w:rsidR="00DB20E4" w:rsidRDefault="00DB20E4" w:rsidP="00DB20E4">
            <w:pPr>
              <w:spacing w:after="0" w:line="240" w:lineRule="auto"/>
              <w:jc w:val="center"/>
              <w:rPr>
                <w:rFonts w:ascii="Futura Std Condensed Light" w:eastAsia="Calibri" w:hAnsi="Futura Std Condensed Light" w:cs="Calibri"/>
                <w:sz w:val="20"/>
                <w:szCs w:val="20"/>
              </w:rPr>
            </w:pPr>
          </w:p>
          <w:p w14:paraId="689B9E4A" w14:textId="5C77A606" w:rsidR="00DB20E4" w:rsidRDefault="00DB20E4" w:rsidP="00DB20E4">
            <w:pPr>
              <w:spacing w:after="0" w:line="240" w:lineRule="auto"/>
              <w:jc w:val="center"/>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Programa Educación Pública de Calidad.</w:t>
            </w:r>
          </w:p>
          <w:p w14:paraId="7E155BEE" w14:textId="1565F2C0" w:rsidR="001D5588" w:rsidRDefault="001D5588" w:rsidP="00476422">
            <w:pPr>
              <w:spacing w:after="0" w:line="240" w:lineRule="auto"/>
              <w:jc w:val="center"/>
              <w:rPr>
                <w:rFonts w:ascii="Futura Std Condensed Light" w:eastAsia="Calibri" w:hAnsi="Futura Std Condensed Light" w:cs="Calibri"/>
                <w:sz w:val="20"/>
                <w:szCs w:val="20"/>
              </w:rPr>
            </w:pPr>
          </w:p>
          <w:p w14:paraId="031E7A3C" w14:textId="7CEFDA32" w:rsidR="00DB20E4" w:rsidRDefault="00DB20E4" w:rsidP="00476422">
            <w:pPr>
              <w:spacing w:after="0" w:line="240" w:lineRule="auto"/>
              <w:jc w:val="center"/>
              <w:rPr>
                <w:rFonts w:ascii="Futura Std Condensed Light" w:eastAsia="Calibri" w:hAnsi="Futura Std Condensed Light" w:cs="Calibri"/>
                <w:sz w:val="20"/>
                <w:szCs w:val="20"/>
              </w:rPr>
            </w:pPr>
          </w:p>
          <w:p w14:paraId="1892AA60" w14:textId="13550721" w:rsidR="00DB20E4" w:rsidRDefault="00DB20E4" w:rsidP="00476422">
            <w:pPr>
              <w:spacing w:after="0" w:line="240" w:lineRule="auto"/>
              <w:jc w:val="center"/>
              <w:rPr>
                <w:rFonts w:ascii="Futura Std Condensed Light" w:eastAsia="Calibri" w:hAnsi="Futura Std Condensed Light" w:cs="Calibri"/>
                <w:sz w:val="20"/>
                <w:szCs w:val="20"/>
              </w:rPr>
            </w:pPr>
          </w:p>
          <w:p w14:paraId="3FFF3675" w14:textId="34ACDBF9" w:rsidR="00DB20E4" w:rsidRDefault="00DB20E4" w:rsidP="00476422">
            <w:pPr>
              <w:spacing w:after="0" w:line="240" w:lineRule="auto"/>
              <w:jc w:val="center"/>
              <w:rPr>
                <w:rFonts w:ascii="Futura Std Condensed Light" w:eastAsia="Calibri" w:hAnsi="Futura Std Condensed Light" w:cs="Calibri"/>
                <w:sz w:val="20"/>
                <w:szCs w:val="20"/>
              </w:rPr>
            </w:pPr>
          </w:p>
          <w:p w14:paraId="667FAB22" w14:textId="162FD272" w:rsidR="00DB20E4" w:rsidRDefault="00DB20E4" w:rsidP="00476422">
            <w:pPr>
              <w:spacing w:after="0" w:line="240" w:lineRule="auto"/>
              <w:jc w:val="center"/>
              <w:rPr>
                <w:rFonts w:ascii="Futura Std Condensed Light" w:eastAsia="Calibri" w:hAnsi="Futura Std Condensed Light" w:cs="Calibri"/>
                <w:sz w:val="20"/>
                <w:szCs w:val="20"/>
              </w:rPr>
            </w:pPr>
          </w:p>
          <w:p w14:paraId="43A91955" w14:textId="7ED7D7AB" w:rsidR="00DB20E4" w:rsidRDefault="00DB20E4" w:rsidP="00476422">
            <w:pPr>
              <w:spacing w:after="0" w:line="240" w:lineRule="auto"/>
              <w:jc w:val="center"/>
              <w:rPr>
                <w:rFonts w:ascii="Futura Std Condensed Light" w:eastAsia="Calibri" w:hAnsi="Futura Std Condensed Light" w:cs="Calibri"/>
                <w:sz w:val="20"/>
                <w:szCs w:val="20"/>
              </w:rPr>
            </w:pPr>
          </w:p>
          <w:p w14:paraId="3979C18B" w14:textId="49A10D6C" w:rsidR="00DB20E4" w:rsidRDefault="00DB20E4" w:rsidP="00476422">
            <w:pPr>
              <w:spacing w:after="0" w:line="240" w:lineRule="auto"/>
              <w:jc w:val="center"/>
              <w:rPr>
                <w:rFonts w:ascii="Futura Std Condensed Light" w:eastAsia="Calibri" w:hAnsi="Futura Std Condensed Light" w:cs="Calibri"/>
                <w:sz w:val="20"/>
                <w:szCs w:val="20"/>
              </w:rPr>
            </w:pPr>
          </w:p>
          <w:p w14:paraId="428CD1BC" w14:textId="46601738" w:rsidR="00DB20E4" w:rsidRDefault="00DB20E4" w:rsidP="00476422">
            <w:pPr>
              <w:spacing w:after="0" w:line="240" w:lineRule="auto"/>
              <w:jc w:val="center"/>
              <w:rPr>
                <w:rFonts w:ascii="Futura Std Condensed Light" w:eastAsia="Calibri" w:hAnsi="Futura Std Condensed Light" w:cs="Calibri"/>
                <w:sz w:val="20"/>
                <w:szCs w:val="20"/>
              </w:rPr>
            </w:pPr>
          </w:p>
          <w:p w14:paraId="6F679F19" w14:textId="7B5677E4" w:rsidR="00DB20E4" w:rsidRDefault="00DB20E4" w:rsidP="00476422">
            <w:pPr>
              <w:spacing w:after="0" w:line="240" w:lineRule="auto"/>
              <w:jc w:val="center"/>
              <w:rPr>
                <w:rFonts w:ascii="Futura Std Condensed Light" w:eastAsia="Calibri" w:hAnsi="Futura Std Condensed Light" w:cs="Calibri"/>
                <w:sz w:val="20"/>
                <w:szCs w:val="20"/>
              </w:rPr>
            </w:pPr>
          </w:p>
          <w:p w14:paraId="3F425A58" w14:textId="05E8D845" w:rsidR="00DB20E4" w:rsidRDefault="00DB20E4" w:rsidP="00476422">
            <w:pPr>
              <w:spacing w:after="0" w:line="240" w:lineRule="auto"/>
              <w:jc w:val="center"/>
              <w:rPr>
                <w:rFonts w:ascii="Futura Std Condensed Light" w:eastAsia="Calibri" w:hAnsi="Futura Std Condensed Light" w:cs="Calibri"/>
                <w:sz w:val="20"/>
                <w:szCs w:val="20"/>
              </w:rPr>
            </w:pPr>
          </w:p>
          <w:p w14:paraId="50BD914D" w14:textId="3F3CFBC7" w:rsidR="00DB20E4" w:rsidRDefault="00DB20E4" w:rsidP="00476422">
            <w:pPr>
              <w:spacing w:after="0" w:line="240" w:lineRule="auto"/>
              <w:jc w:val="center"/>
              <w:rPr>
                <w:rFonts w:ascii="Futura Std Condensed Light" w:eastAsia="Calibri" w:hAnsi="Futura Std Condensed Light" w:cs="Calibri"/>
                <w:sz w:val="20"/>
                <w:szCs w:val="20"/>
              </w:rPr>
            </w:pPr>
          </w:p>
          <w:p w14:paraId="2193E6D3" w14:textId="12D46F48" w:rsidR="00DB20E4" w:rsidRDefault="00DB20E4" w:rsidP="00476422">
            <w:pPr>
              <w:spacing w:after="0" w:line="240" w:lineRule="auto"/>
              <w:jc w:val="center"/>
              <w:rPr>
                <w:rFonts w:ascii="Futura Std Condensed Light" w:eastAsia="Calibri" w:hAnsi="Futura Std Condensed Light" w:cs="Calibri"/>
                <w:sz w:val="20"/>
                <w:szCs w:val="20"/>
              </w:rPr>
            </w:pPr>
          </w:p>
          <w:p w14:paraId="7ABDE935" w14:textId="055C8A4A" w:rsidR="00DB20E4" w:rsidRDefault="00DB20E4" w:rsidP="00476422">
            <w:pPr>
              <w:spacing w:after="0" w:line="240" w:lineRule="auto"/>
              <w:jc w:val="center"/>
              <w:rPr>
                <w:rFonts w:ascii="Futura Std Condensed Light" w:eastAsia="Calibri" w:hAnsi="Futura Std Condensed Light" w:cs="Calibri"/>
                <w:sz w:val="20"/>
                <w:szCs w:val="20"/>
              </w:rPr>
            </w:pPr>
          </w:p>
          <w:p w14:paraId="4A31FE6A" w14:textId="1C9834F3" w:rsidR="00DB20E4" w:rsidRDefault="00DB20E4" w:rsidP="00476422">
            <w:pPr>
              <w:spacing w:after="0" w:line="240" w:lineRule="auto"/>
              <w:jc w:val="center"/>
              <w:rPr>
                <w:rFonts w:ascii="Futura Std Condensed Light" w:eastAsia="Calibri" w:hAnsi="Futura Std Condensed Light" w:cs="Calibri"/>
                <w:sz w:val="20"/>
                <w:szCs w:val="20"/>
              </w:rPr>
            </w:pPr>
          </w:p>
          <w:p w14:paraId="16341444" w14:textId="7F068B3A" w:rsidR="00DB20E4" w:rsidRDefault="00DB20E4" w:rsidP="00476422">
            <w:pPr>
              <w:spacing w:after="0" w:line="240" w:lineRule="auto"/>
              <w:jc w:val="center"/>
              <w:rPr>
                <w:rFonts w:ascii="Futura Std Condensed Light" w:eastAsia="Calibri" w:hAnsi="Futura Std Condensed Light" w:cs="Calibri"/>
                <w:sz w:val="20"/>
                <w:szCs w:val="20"/>
              </w:rPr>
            </w:pPr>
          </w:p>
          <w:p w14:paraId="3918313F" w14:textId="593DBDDE" w:rsidR="00DB20E4" w:rsidRDefault="00DB20E4" w:rsidP="00476422">
            <w:pPr>
              <w:spacing w:after="0" w:line="240" w:lineRule="auto"/>
              <w:jc w:val="center"/>
              <w:rPr>
                <w:rFonts w:ascii="Futura Std Condensed Light" w:eastAsia="Calibri" w:hAnsi="Futura Std Condensed Light" w:cs="Calibri"/>
                <w:sz w:val="20"/>
                <w:szCs w:val="20"/>
              </w:rPr>
            </w:pPr>
          </w:p>
          <w:p w14:paraId="30A9D846" w14:textId="76E2ACEA" w:rsidR="00DB20E4" w:rsidRDefault="00DB20E4" w:rsidP="00476422">
            <w:pPr>
              <w:spacing w:after="0" w:line="240" w:lineRule="auto"/>
              <w:jc w:val="center"/>
              <w:rPr>
                <w:rFonts w:ascii="Futura Std Condensed Light" w:eastAsia="Calibri" w:hAnsi="Futura Std Condensed Light" w:cs="Calibri"/>
                <w:sz w:val="20"/>
                <w:szCs w:val="20"/>
              </w:rPr>
            </w:pPr>
          </w:p>
          <w:p w14:paraId="7110815E" w14:textId="35523EF8" w:rsidR="00DB20E4" w:rsidRDefault="00DB20E4" w:rsidP="00476422">
            <w:pPr>
              <w:spacing w:after="0" w:line="240" w:lineRule="auto"/>
              <w:jc w:val="center"/>
              <w:rPr>
                <w:rFonts w:ascii="Futura Std Condensed Light" w:eastAsia="Calibri" w:hAnsi="Futura Std Condensed Light" w:cs="Calibri"/>
                <w:sz w:val="20"/>
                <w:szCs w:val="20"/>
              </w:rPr>
            </w:pPr>
          </w:p>
          <w:p w14:paraId="2F467361" w14:textId="1F9EFB81" w:rsidR="00DB20E4" w:rsidRDefault="00DB20E4" w:rsidP="00476422">
            <w:pPr>
              <w:spacing w:after="0" w:line="240" w:lineRule="auto"/>
              <w:jc w:val="center"/>
              <w:rPr>
                <w:rFonts w:ascii="Futura Std Condensed Light" w:eastAsia="Calibri" w:hAnsi="Futura Std Condensed Light" w:cs="Calibri"/>
                <w:sz w:val="20"/>
                <w:szCs w:val="20"/>
              </w:rPr>
            </w:pPr>
          </w:p>
          <w:p w14:paraId="31234161" w14:textId="55F2E449" w:rsidR="00DB20E4" w:rsidRDefault="00DB20E4" w:rsidP="00476422">
            <w:pPr>
              <w:spacing w:after="0" w:line="240" w:lineRule="auto"/>
              <w:jc w:val="center"/>
              <w:rPr>
                <w:rFonts w:ascii="Futura Std Condensed Light" w:eastAsia="Calibri" w:hAnsi="Futura Std Condensed Light" w:cs="Calibri"/>
                <w:sz w:val="20"/>
                <w:szCs w:val="20"/>
              </w:rPr>
            </w:pPr>
          </w:p>
          <w:p w14:paraId="622CA03B" w14:textId="43855062" w:rsidR="00DB20E4" w:rsidRDefault="00DB20E4" w:rsidP="00476422">
            <w:pPr>
              <w:spacing w:after="0" w:line="240" w:lineRule="auto"/>
              <w:jc w:val="center"/>
              <w:rPr>
                <w:rFonts w:ascii="Futura Std Condensed Light" w:eastAsia="Calibri" w:hAnsi="Futura Std Condensed Light" w:cs="Calibri"/>
                <w:sz w:val="20"/>
                <w:szCs w:val="20"/>
              </w:rPr>
            </w:pPr>
          </w:p>
          <w:p w14:paraId="6C699A1D" w14:textId="69BA6A8E" w:rsidR="00DB20E4" w:rsidRDefault="00DB20E4" w:rsidP="00476422">
            <w:pPr>
              <w:spacing w:after="0" w:line="240" w:lineRule="auto"/>
              <w:jc w:val="center"/>
              <w:rPr>
                <w:rFonts w:ascii="Futura Std Condensed Light" w:eastAsia="Calibri" w:hAnsi="Futura Std Condensed Light" w:cs="Calibri"/>
                <w:sz w:val="20"/>
                <w:szCs w:val="20"/>
              </w:rPr>
            </w:pPr>
          </w:p>
          <w:p w14:paraId="2F96AF31" w14:textId="7E1641EC" w:rsidR="00DB20E4" w:rsidRDefault="00DB20E4" w:rsidP="00476422">
            <w:pPr>
              <w:spacing w:after="0" w:line="240" w:lineRule="auto"/>
              <w:jc w:val="center"/>
              <w:rPr>
                <w:rFonts w:ascii="Futura Std Condensed Light" w:eastAsia="Calibri" w:hAnsi="Futura Std Condensed Light" w:cs="Calibri"/>
                <w:sz w:val="20"/>
                <w:szCs w:val="20"/>
              </w:rPr>
            </w:pPr>
          </w:p>
          <w:p w14:paraId="36EBE73B" w14:textId="630416C1" w:rsidR="00DB20E4" w:rsidRDefault="00DB20E4" w:rsidP="00476422">
            <w:pPr>
              <w:spacing w:after="0" w:line="240" w:lineRule="auto"/>
              <w:jc w:val="center"/>
              <w:rPr>
                <w:rFonts w:ascii="Futura Std Condensed Light" w:eastAsia="Calibri" w:hAnsi="Futura Std Condensed Light" w:cs="Calibri"/>
                <w:sz w:val="20"/>
                <w:szCs w:val="20"/>
              </w:rPr>
            </w:pPr>
          </w:p>
          <w:p w14:paraId="2EE9E30D" w14:textId="2875046E" w:rsidR="00DB20E4" w:rsidRDefault="00DB20E4" w:rsidP="00476422">
            <w:pPr>
              <w:spacing w:after="0" w:line="240" w:lineRule="auto"/>
              <w:jc w:val="center"/>
              <w:rPr>
                <w:rFonts w:ascii="Futura Std Condensed Light" w:eastAsia="Calibri" w:hAnsi="Futura Std Condensed Light" w:cs="Calibri"/>
                <w:sz w:val="20"/>
                <w:szCs w:val="20"/>
              </w:rPr>
            </w:pPr>
          </w:p>
          <w:p w14:paraId="2C37B785" w14:textId="60E80EF1" w:rsidR="00DB20E4" w:rsidRDefault="00DB20E4" w:rsidP="00476422">
            <w:pPr>
              <w:spacing w:after="0" w:line="240" w:lineRule="auto"/>
              <w:jc w:val="center"/>
              <w:rPr>
                <w:rFonts w:ascii="Futura Std Condensed Light" w:eastAsia="Calibri" w:hAnsi="Futura Std Condensed Light" w:cs="Calibri"/>
                <w:sz w:val="20"/>
                <w:szCs w:val="20"/>
              </w:rPr>
            </w:pPr>
          </w:p>
          <w:p w14:paraId="74D54524" w14:textId="5E916F6F" w:rsidR="00DB20E4" w:rsidRDefault="00DB20E4" w:rsidP="00A24FEB">
            <w:pPr>
              <w:spacing w:after="0" w:line="240" w:lineRule="auto"/>
              <w:rPr>
                <w:rFonts w:ascii="Futura Std Condensed Light" w:eastAsia="Calibri" w:hAnsi="Futura Std Condensed Light" w:cs="Calibri"/>
                <w:sz w:val="20"/>
                <w:szCs w:val="20"/>
              </w:rPr>
            </w:pPr>
          </w:p>
          <w:p w14:paraId="67D45460" w14:textId="4C83C597" w:rsidR="00DB20E4" w:rsidRDefault="00DB20E4" w:rsidP="00476422">
            <w:pPr>
              <w:spacing w:after="0" w:line="240" w:lineRule="auto"/>
              <w:jc w:val="center"/>
              <w:rPr>
                <w:rFonts w:ascii="Futura Std Condensed Light" w:eastAsia="Calibri" w:hAnsi="Futura Std Condensed Light" w:cs="Calibri"/>
                <w:sz w:val="20"/>
                <w:szCs w:val="20"/>
              </w:rPr>
            </w:pPr>
          </w:p>
          <w:p w14:paraId="76400180" w14:textId="77777777" w:rsidR="00DB20E4" w:rsidRDefault="00DB20E4" w:rsidP="00476422">
            <w:pPr>
              <w:spacing w:after="0" w:line="240" w:lineRule="auto"/>
              <w:jc w:val="center"/>
              <w:rPr>
                <w:rFonts w:ascii="Futura Std Condensed Light" w:eastAsia="Calibri" w:hAnsi="Futura Std Condensed Light" w:cs="Calibri"/>
                <w:sz w:val="20"/>
                <w:szCs w:val="20"/>
              </w:rPr>
            </w:pPr>
          </w:p>
          <w:p w14:paraId="446D17B6" w14:textId="77777777" w:rsidR="00DB20E4" w:rsidRDefault="00DB20E4" w:rsidP="00476422">
            <w:pPr>
              <w:spacing w:after="0" w:line="240" w:lineRule="auto"/>
              <w:jc w:val="center"/>
              <w:rPr>
                <w:rFonts w:ascii="Futura Std Condensed Light" w:eastAsia="Calibri" w:hAnsi="Futura Std Condensed Light" w:cs="Calibri"/>
                <w:sz w:val="20"/>
                <w:szCs w:val="20"/>
              </w:rPr>
            </w:pPr>
          </w:p>
          <w:p w14:paraId="32A7BF7A" w14:textId="77777777" w:rsidR="00DB20E4" w:rsidRDefault="00DB20E4" w:rsidP="00DB20E4">
            <w:pPr>
              <w:spacing w:after="0" w:line="240" w:lineRule="auto"/>
              <w:jc w:val="center"/>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Programa Educación Pública de Calidad.</w:t>
            </w:r>
          </w:p>
          <w:p w14:paraId="55EB116C" w14:textId="77777777" w:rsidR="00DB20E4" w:rsidRDefault="00DB20E4" w:rsidP="00DB20E4">
            <w:pPr>
              <w:spacing w:after="0" w:line="240" w:lineRule="auto"/>
              <w:jc w:val="center"/>
              <w:rPr>
                <w:rFonts w:ascii="Futura Std Condensed Light" w:eastAsia="Calibri" w:hAnsi="Futura Std Condensed Light" w:cs="Calibri"/>
                <w:sz w:val="20"/>
                <w:szCs w:val="20"/>
              </w:rPr>
            </w:pPr>
          </w:p>
          <w:p w14:paraId="2CCAD159" w14:textId="77777777" w:rsidR="00DB20E4" w:rsidRDefault="00DB20E4" w:rsidP="00DB20E4">
            <w:pPr>
              <w:spacing w:after="0" w:line="240" w:lineRule="auto"/>
              <w:jc w:val="center"/>
              <w:rPr>
                <w:rFonts w:ascii="Futura Std Condensed Light" w:eastAsia="Calibri" w:hAnsi="Futura Std Condensed Light" w:cs="Calibri"/>
                <w:sz w:val="20"/>
                <w:szCs w:val="20"/>
              </w:rPr>
            </w:pPr>
          </w:p>
          <w:p w14:paraId="318D8088" w14:textId="77777777" w:rsidR="00DB20E4" w:rsidRDefault="00DB20E4" w:rsidP="00DB20E4">
            <w:pPr>
              <w:spacing w:after="0" w:line="240" w:lineRule="auto"/>
              <w:jc w:val="center"/>
              <w:rPr>
                <w:rFonts w:ascii="Futura Std Condensed Light" w:eastAsia="Calibri" w:hAnsi="Futura Std Condensed Light" w:cs="Calibri"/>
                <w:sz w:val="20"/>
                <w:szCs w:val="20"/>
              </w:rPr>
            </w:pPr>
          </w:p>
          <w:p w14:paraId="7357D96A" w14:textId="77777777" w:rsidR="00DB20E4" w:rsidRDefault="00DB20E4" w:rsidP="00DB20E4">
            <w:pPr>
              <w:spacing w:after="0" w:line="240" w:lineRule="auto"/>
              <w:jc w:val="center"/>
              <w:rPr>
                <w:rFonts w:ascii="Futura Std Condensed Light" w:eastAsia="Calibri" w:hAnsi="Futura Std Condensed Light" w:cs="Calibri"/>
                <w:sz w:val="20"/>
                <w:szCs w:val="20"/>
              </w:rPr>
            </w:pPr>
          </w:p>
          <w:p w14:paraId="5A9486C8" w14:textId="77777777" w:rsidR="00DB20E4" w:rsidRDefault="00DB20E4" w:rsidP="00DB20E4">
            <w:pPr>
              <w:spacing w:after="0" w:line="240" w:lineRule="auto"/>
              <w:jc w:val="center"/>
              <w:rPr>
                <w:rFonts w:ascii="Futura Std Condensed Light" w:eastAsia="Calibri" w:hAnsi="Futura Std Condensed Light" w:cs="Calibri"/>
                <w:sz w:val="20"/>
                <w:szCs w:val="20"/>
              </w:rPr>
            </w:pPr>
          </w:p>
          <w:p w14:paraId="13C7FA28" w14:textId="77777777" w:rsidR="00DB20E4" w:rsidRDefault="00DB20E4" w:rsidP="00DB20E4">
            <w:pPr>
              <w:spacing w:after="0" w:line="240" w:lineRule="auto"/>
              <w:jc w:val="center"/>
              <w:rPr>
                <w:rFonts w:ascii="Futura Std Condensed Light" w:eastAsia="Calibri" w:hAnsi="Futura Std Condensed Light" w:cs="Calibri"/>
                <w:sz w:val="20"/>
                <w:szCs w:val="20"/>
              </w:rPr>
            </w:pPr>
          </w:p>
          <w:p w14:paraId="5788B80D" w14:textId="77777777" w:rsidR="00DB20E4" w:rsidRDefault="00DB20E4" w:rsidP="00DB20E4">
            <w:pPr>
              <w:spacing w:after="0" w:line="240" w:lineRule="auto"/>
              <w:jc w:val="center"/>
              <w:rPr>
                <w:rFonts w:ascii="Futura Std Condensed Light" w:eastAsia="Calibri" w:hAnsi="Futura Std Condensed Light" w:cs="Calibri"/>
                <w:sz w:val="20"/>
                <w:szCs w:val="20"/>
              </w:rPr>
            </w:pPr>
          </w:p>
          <w:p w14:paraId="26D28C41" w14:textId="77777777" w:rsidR="00DB20E4" w:rsidRDefault="00DB20E4" w:rsidP="00DB20E4">
            <w:pPr>
              <w:spacing w:after="0" w:line="240" w:lineRule="auto"/>
              <w:jc w:val="center"/>
              <w:rPr>
                <w:rFonts w:ascii="Futura Std Condensed Light" w:eastAsia="Calibri" w:hAnsi="Futura Std Condensed Light" w:cs="Calibri"/>
                <w:sz w:val="20"/>
                <w:szCs w:val="20"/>
              </w:rPr>
            </w:pPr>
          </w:p>
          <w:p w14:paraId="2EA1E91B" w14:textId="77777777" w:rsidR="00DB20E4" w:rsidRDefault="00DB20E4" w:rsidP="00DB20E4">
            <w:pPr>
              <w:spacing w:after="0" w:line="240" w:lineRule="auto"/>
              <w:jc w:val="center"/>
              <w:rPr>
                <w:rFonts w:ascii="Futura Std Condensed Light" w:eastAsia="Calibri" w:hAnsi="Futura Std Condensed Light" w:cs="Calibri"/>
                <w:sz w:val="20"/>
                <w:szCs w:val="20"/>
              </w:rPr>
            </w:pPr>
          </w:p>
          <w:p w14:paraId="78BE90C9" w14:textId="77777777" w:rsidR="00DB20E4" w:rsidRDefault="00DB20E4" w:rsidP="00DB20E4">
            <w:pPr>
              <w:spacing w:after="0" w:line="240" w:lineRule="auto"/>
              <w:jc w:val="center"/>
              <w:rPr>
                <w:rFonts w:ascii="Futura Std Condensed Light" w:eastAsia="Calibri" w:hAnsi="Futura Std Condensed Light" w:cs="Calibri"/>
                <w:sz w:val="20"/>
                <w:szCs w:val="20"/>
              </w:rPr>
            </w:pPr>
          </w:p>
          <w:p w14:paraId="5032EF1B" w14:textId="77777777" w:rsidR="00DB20E4" w:rsidRDefault="00DB20E4" w:rsidP="00DB20E4">
            <w:pPr>
              <w:spacing w:after="0" w:line="240" w:lineRule="auto"/>
              <w:jc w:val="center"/>
              <w:rPr>
                <w:rFonts w:ascii="Futura Std Condensed Light" w:eastAsia="Calibri" w:hAnsi="Futura Std Condensed Light" w:cs="Calibri"/>
                <w:sz w:val="20"/>
                <w:szCs w:val="20"/>
              </w:rPr>
            </w:pPr>
          </w:p>
          <w:p w14:paraId="24DD17D5" w14:textId="77777777" w:rsidR="00DB20E4" w:rsidRDefault="00DB20E4" w:rsidP="00DB20E4">
            <w:pPr>
              <w:spacing w:after="0" w:line="240" w:lineRule="auto"/>
              <w:jc w:val="center"/>
              <w:rPr>
                <w:rFonts w:ascii="Futura Std Condensed Light" w:eastAsia="Calibri" w:hAnsi="Futura Std Condensed Light" w:cs="Calibri"/>
                <w:sz w:val="20"/>
                <w:szCs w:val="20"/>
              </w:rPr>
            </w:pPr>
          </w:p>
          <w:p w14:paraId="76E2A8C7" w14:textId="77777777" w:rsidR="00DB20E4" w:rsidRDefault="00DB20E4" w:rsidP="00DB20E4">
            <w:pPr>
              <w:spacing w:after="0" w:line="240" w:lineRule="auto"/>
              <w:jc w:val="center"/>
              <w:rPr>
                <w:rFonts w:ascii="Futura Std Condensed Light" w:eastAsia="Calibri" w:hAnsi="Futura Std Condensed Light" w:cs="Calibri"/>
                <w:sz w:val="20"/>
                <w:szCs w:val="20"/>
              </w:rPr>
            </w:pPr>
          </w:p>
          <w:p w14:paraId="703D793E" w14:textId="77777777" w:rsidR="00DB20E4" w:rsidRDefault="00DB20E4" w:rsidP="00DB20E4">
            <w:pPr>
              <w:spacing w:after="0" w:line="240" w:lineRule="auto"/>
              <w:jc w:val="center"/>
              <w:rPr>
                <w:rFonts w:ascii="Futura Std Condensed Light" w:eastAsia="Calibri" w:hAnsi="Futura Std Condensed Light" w:cs="Calibri"/>
                <w:sz w:val="20"/>
                <w:szCs w:val="20"/>
              </w:rPr>
            </w:pPr>
          </w:p>
          <w:p w14:paraId="4EC411AC" w14:textId="77777777" w:rsidR="00DB20E4" w:rsidRDefault="00DB20E4" w:rsidP="00DB20E4">
            <w:pPr>
              <w:spacing w:after="0" w:line="240" w:lineRule="auto"/>
              <w:jc w:val="center"/>
              <w:rPr>
                <w:rFonts w:ascii="Futura Std Condensed Light" w:eastAsia="Calibri" w:hAnsi="Futura Std Condensed Light" w:cs="Calibri"/>
                <w:sz w:val="20"/>
                <w:szCs w:val="20"/>
              </w:rPr>
            </w:pPr>
          </w:p>
          <w:p w14:paraId="0C135332" w14:textId="77777777" w:rsidR="00DB20E4" w:rsidRDefault="00DB20E4" w:rsidP="00DB20E4">
            <w:pPr>
              <w:spacing w:after="0" w:line="240" w:lineRule="auto"/>
              <w:jc w:val="center"/>
              <w:rPr>
                <w:rFonts w:ascii="Futura Std Condensed Light" w:eastAsia="Calibri" w:hAnsi="Futura Std Condensed Light" w:cs="Calibri"/>
                <w:sz w:val="20"/>
                <w:szCs w:val="20"/>
              </w:rPr>
            </w:pPr>
          </w:p>
          <w:p w14:paraId="2BBFED37" w14:textId="77777777" w:rsidR="00DB20E4" w:rsidRDefault="00DB20E4" w:rsidP="00DB20E4">
            <w:pPr>
              <w:spacing w:after="0" w:line="240" w:lineRule="auto"/>
              <w:jc w:val="center"/>
              <w:rPr>
                <w:rFonts w:ascii="Futura Std Condensed Light" w:eastAsia="Calibri" w:hAnsi="Futura Std Condensed Light" w:cs="Calibri"/>
                <w:sz w:val="20"/>
                <w:szCs w:val="20"/>
              </w:rPr>
            </w:pPr>
          </w:p>
          <w:p w14:paraId="52107780" w14:textId="77777777" w:rsidR="00DB20E4" w:rsidRDefault="00DB20E4" w:rsidP="00DB20E4">
            <w:pPr>
              <w:spacing w:after="0" w:line="240" w:lineRule="auto"/>
              <w:jc w:val="center"/>
              <w:rPr>
                <w:rFonts w:ascii="Futura Std Condensed Light" w:eastAsia="Calibri" w:hAnsi="Futura Std Condensed Light" w:cs="Calibri"/>
                <w:sz w:val="20"/>
                <w:szCs w:val="20"/>
              </w:rPr>
            </w:pPr>
          </w:p>
          <w:p w14:paraId="4CADD11C" w14:textId="77777777" w:rsidR="00DB20E4" w:rsidRDefault="00DB20E4" w:rsidP="00DB20E4">
            <w:pPr>
              <w:spacing w:after="0" w:line="240" w:lineRule="auto"/>
              <w:jc w:val="center"/>
              <w:rPr>
                <w:rFonts w:ascii="Futura Std Condensed Light" w:eastAsia="Calibri" w:hAnsi="Futura Std Condensed Light" w:cs="Calibri"/>
                <w:sz w:val="20"/>
                <w:szCs w:val="20"/>
              </w:rPr>
            </w:pPr>
          </w:p>
          <w:p w14:paraId="0AC24F0E" w14:textId="77777777" w:rsidR="00DB20E4" w:rsidRDefault="00DB20E4" w:rsidP="00DB20E4">
            <w:pPr>
              <w:spacing w:after="0" w:line="240" w:lineRule="auto"/>
              <w:jc w:val="center"/>
              <w:rPr>
                <w:rFonts w:ascii="Futura Std Condensed Light" w:eastAsia="Calibri" w:hAnsi="Futura Std Condensed Light" w:cs="Calibri"/>
                <w:sz w:val="20"/>
                <w:szCs w:val="20"/>
              </w:rPr>
            </w:pPr>
          </w:p>
          <w:p w14:paraId="1916175B" w14:textId="77777777" w:rsidR="00DB20E4" w:rsidRDefault="00DB20E4" w:rsidP="00DB20E4">
            <w:pPr>
              <w:spacing w:after="0" w:line="240" w:lineRule="auto"/>
              <w:jc w:val="center"/>
              <w:rPr>
                <w:rFonts w:ascii="Futura Std Condensed Light" w:eastAsia="Calibri" w:hAnsi="Futura Std Condensed Light" w:cs="Calibri"/>
                <w:sz w:val="20"/>
                <w:szCs w:val="20"/>
              </w:rPr>
            </w:pPr>
          </w:p>
          <w:p w14:paraId="4D464F2A" w14:textId="77777777" w:rsidR="00DB20E4" w:rsidRDefault="00DB20E4" w:rsidP="00DB20E4">
            <w:pPr>
              <w:spacing w:after="0" w:line="240" w:lineRule="auto"/>
              <w:jc w:val="center"/>
              <w:rPr>
                <w:rFonts w:ascii="Futura Std Condensed Light" w:eastAsia="Calibri" w:hAnsi="Futura Std Condensed Light" w:cs="Calibri"/>
                <w:sz w:val="20"/>
                <w:szCs w:val="20"/>
              </w:rPr>
            </w:pPr>
          </w:p>
          <w:p w14:paraId="57473944" w14:textId="77777777" w:rsidR="00DB20E4" w:rsidRDefault="00DB20E4" w:rsidP="00DB20E4">
            <w:pPr>
              <w:spacing w:after="0" w:line="240" w:lineRule="auto"/>
              <w:jc w:val="center"/>
              <w:rPr>
                <w:rFonts w:ascii="Futura Std Condensed Light" w:eastAsia="Calibri" w:hAnsi="Futura Std Condensed Light" w:cs="Calibri"/>
                <w:sz w:val="20"/>
                <w:szCs w:val="20"/>
              </w:rPr>
            </w:pPr>
          </w:p>
          <w:p w14:paraId="2A7252F2" w14:textId="77777777" w:rsidR="00DB20E4" w:rsidRDefault="00DB20E4" w:rsidP="00DB20E4">
            <w:pPr>
              <w:spacing w:after="0" w:line="240" w:lineRule="auto"/>
              <w:jc w:val="center"/>
              <w:rPr>
                <w:rFonts w:ascii="Futura Std Condensed Light" w:eastAsia="Calibri" w:hAnsi="Futura Std Condensed Light" w:cs="Calibri"/>
                <w:sz w:val="20"/>
                <w:szCs w:val="20"/>
              </w:rPr>
            </w:pPr>
          </w:p>
          <w:p w14:paraId="30987F47" w14:textId="77777777" w:rsidR="00DB20E4" w:rsidRDefault="00DB20E4" w:rsidP="00DB20E4">
            <w:pPr>
              <w:spacing w:after="0" w:line="240" w:lineRule="auto"/>
              <w:jc w:val="center"/>
              <w:rPr>
                <w:rFonts w:ascii="Futura Std Condensed Light" w:eastAsia="Calibri" w:hAnsi="Futura Std Condensed Light" w:cs="Calibri"/>
                <w:sz w:val="20"/>
                <w:szCs w:val="20"/>
              </w:rPr>
            </w:pPr>
          </w:p>
          <w:p w14:paraId="2EEB90D0" w14:textId="77777777" w:rsidR="00DB20E4" w:rsidRDefault="00DB20E4" w:rsidP="00DB20E4">
            <w:pPr>
              <w:spacing w:after="0" w:line="240" w:lineRule="auto"/>
              <w:jc w:val="center"/>
              <w:rPr>
                <w:rFonts w:ascii="Futura Std Condensed Light" w:eastAsia="Calibri" w:hAnsi="Futura Std Condensed Light" w:cs="Calibri"/>
                <w:sz w:val="20"/>
                <w:szCs w:val="20"/>
              </w:rPr>
            </w:pPr>
          </w:p>
          <w:p w14:paraId="480748DE" w14:textId="77777777" w:rsidR="00DB20E4" w:rsidRDefault="00DB20E4" w:rsidP="00DB20E4">
            <w:pPr>
              <w:spacing w:after="0" w:line="240" w:lineRule="auto"/>
              <w:jc w:val="center"/>
              <w:rPr>
                <w:rFonts w:ascii="Futura Std Condensed Light" w:eastAsia="Calibri" w:hAnsi="Futura Std Condensed Light" w:cs="Calibri"/>
                <w:sz w:val="20"/>
                <w:szCs w:val="20"/>
              </w:rPr>
            </w:pPr>
          </w:p>
          <w:p w14:paraId="18ABF8DF" w14:textId="77777777" w:rsidR="00DB20E4" w:rsidRDefault="00DB20E4" w:rsidP="00DB20E4">
            <w:pPr>
              <w:spacing w:after="0" w:line="240" w:lineRule="auto"/>
              <w:jc w:val="center"/>
              <w:rPr>
                <w:rFonts w:ascii="Futura Std Condensed Light" w:eastAsia="Calibri" w:hAnsi="Futura Std Condensed Light" w:cs="Calibri"/>
                <w:sz w:val="20"/>
                <w:szCs w:val="20"/>
              </w:rPr>
            </w:pPr>
          </w:p>
          <w:p w14:paraId="3219151A" w14:textId="77777777" w:rsidR="00DB20E4" w:rsidRDefault="00DB20E4" w:rsidP="00DB20E4">
            <w:pPr>
              <w:spacing w:after="0" w:line="240" w:lineRule="auto"/>
              <w:jc w:val="center"/>
              <w:rPr>
                <w:rFonts w:ascii="Futura Std Condensed Light" w:eastAsia="Calibri" w:hAnsi="Futura Std Condensed Light" w:cs="Calibri"/>
                <w:sz w:val="20"/>
                <w:szCs w:val="20"/>
              </w:rPr>
            </w:pPr>
          </w:p>
          <w:p w14:paraId="5FCFA219" w14:textId="77777777" w:rsidR="00DB20E4" w:rsidRDefault="00DB20E4" w:rsidP="00DB20E4">
            <w:pPr>
              <w:spacing w:after="0" w:line="240" w:lineRule="auto"/>
              <w:jc w:val="center"/>
              <w:rPr>
                <w:rFonts w:ascii="Futura Std Condensed Light" w:eastAsia="Calibri" w:hAnsi="Futura Std Condensed Light" w:cs="Calibri"/>
                <w:sz w:val="20"/>
                <w:szCs w:val="20"/>
              </w:rPr>
            </w:pPr>
          </w:p>
          <w:p w14:paraId="6C3AD584" w14:textId="77777777" w:rsidR="00DB20E4" w:rsidRDefault="00DB20E4" w:rsidP="00DB20E4">
            <w:pPr>
              <w:spacing w:after="0" w:line="240" w:lineRule="auto"/>
              <w:jc w:val="center"/>
              <w:rPr>
                <w:rFonts w:ascii="Futura Std Condensed Light" w:eastAsia="Calibri" w:hAnsi="Futura Std Condensed Light" w:cs="Calibri"/>
                <w:sz w:val="20"/>
                <w:szCs w:val="20"/>
              </w:rPr>
            </w:pPr>
          </w:p>
          <w:p w14:paraId="4D8D35E1" w14:textId="6C6A67EA" w:rsidR="00DB20E4" w:rsidRDefault="00DB20E4" w:rsidP="00A24FEB">
            <w:pPr>
              <w:spacing w:after="0" w:line="240" w:lineRule="auto"/>
              <w:rPr>
                <w:rFonts w:ascii="Futura Std Condensed Light" w:eastAsia="Calibri" w:hAnsi="Futura Std Condensed Light" w:cs="Calibri"/>
                <w:sz w:val="20"/>
                <w:szCs w:val="20"/>
              </w:rPr>
            </w:pPr>
          </w:p>
          <w:p w14:paraId="6FA46B70" w14:textId="77777777" w:rsidR="00DB20E4" w:rsidRDefault="00DB20E4" w:rsidP="00DB20E4">
            <w:pPr>
              <w:spacing w:after="0" w:line="240" w:lineRule="auto"/>
              <w:jc w:val="center"/>
              <w:rPr>
                <w:rFonts w:ascii="Futura Std Condensed Light" w:eastAsia="Calibri" w:hAnsi="Futura Std Condensed Light" w:cs="Calibri"/>
                <w:sz w:val="20"/>
                <w:szCs w:val="20"/>
              </w:rPr>
            </w:pPr>
          </w:p>
          <w:p w14:paraId="0F14C537" w14:textId="4547D432" w:rsidR="00DB20E4" w:rsidRDefault="00DB20E4" w:rsidP="00DB20E4">
            <w:pPr>
              <w:spacing w:after="0" w:line="240" w:lineRule="auto"/>
              <w:jc w:val="center"/>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Programa Educación Pública de Calidad.</w:t>
            </w:r>
          </w:p>
          <w:p w14:paraId="434ED3B0" w14:textId="77777777" w:rsidR="00DB20E4" w:rsidRDefault="00DB20E4" w:rsidP="00DB20E4">
            <w:pPr>
              <w:spacing w:after="0" w:line="240" w:lineRule="auto"/>
              <w:jc w:val="center"/>
              <w:rPr>
                <w:rFonts w:ascii="Futura Std Condensed Light" w:eastAsia="Calibri" w:hAnsi="Futura Std Condensed Light" w:cs="Calibri"/>
                <w:sz w:val="20"/>
                <w:szCs w:val="20"/>
              </w:rPr>
            </w:pPr>
          </w:p>
          <w:p w14:paraId="04B63BF1" w14:textId="77777777" w:rsidR="00DB20E4" w:rsidRDefault="00DB20E4" w:rsidP="00DB20E4">
            <w:pPr>
              <w:spacing w:after="0" w:line="240" w:lineRule="auto"/>
              <w:jc w:val="center"/>
              <w:rPr>
                <w:rFonts w:ascii="Futura Std Condensed Light" w:eastAsia="Calibri" w:hAnsi="Futura Std Condensed Light" w:cs="Calibri"/>
                <w:sz w:val="20"/>
                <w:szCs w:val="20"/>
              </w:rPr>
            </w:pPr>
          </w:p>
          <w:p w14:paraId="712B1D57" w14:textId="77777777" w:rsidR="00DB20E4" w:rsidRDefault="00DB20E4" w:rsidP="00DB20E4">
            <w:pPr>
              <w:spacing w:after="0" w:line="240" w:lineRule="auto"/>
              <w:jc w:val="center"/>
              <w:rPr>
                <w:rFonts w:ascii="Futura Std Condensed Light" w:eastAsia="Calibri" w:hAnsi="Futura Std Condensed Light" w:cs="Calibri"/>
                <w:sz w:val="20"/>
                <w:szCs w:val="20"/>
              </w:rPr>
            </w:pPr>
          </w:p>
          <w:p w14:paraId="37FE8C32" w14:textId="77777777" w:rsidR="00DB20E4" w:rsidRDefault="00DB20E4" w:rsidP="00DB20E4">
            <w:pPr>
              <w:spacing w:after="0" w:line="240" w:lineRule="auto"/>
              <w:jc w:val="center"/>
              <w:rPr>
                <w:rFonts w:ascii="Futura Std Condensed Light" w:eastAsia="Calibri" w:hAnsi="Futura Std Condensed Light" w:cs="Calibri"/>
                <w:sz w:val="20"/>
                <w:szCs w:val="20"/>
              </w:rPr>
            </w:pPr>
          </w:p>
          <w:p w14:paraId="46BEBC40" w14:textId="77777777" w:rsidR="00DB20E4" w:rsidRDefault="00DB20E4" w:rsidP="00DB20E4">
            <w:pPr>
              <w:spacing w:after="0" w:line="240" w:lineRule="auto"/>
              <w:jc w:val="center"/>
              <w:rPr>
                <w:rFonts w:ascii="Futura Std Condensed Light" w:eastAsia="Calibri" w:hAnsi="Futura Std Condensed Light" w:cs="Calibri"/>
                <w:sz w:val="20"/>
                <w:szCs w:val="20"/>
              </w:rPr>
            </w:pPr>
          </w:p>
          <w:p w14:paraId="53633F4E" w14:textId="77777777" w:rsidR="00DB20E4" w:rsidRDefault="00DB20E4" w:rsidP="00DB20E4">
            <w:pPr>
              <w:spacing w:after="0" w:line="240" w:lineRule="auto"/>
              <w:jc w:val="center"/>
              <w:rPr>
                <w:rFonts w:ascii="Futura Std Condensed Light" w:eastAsia="Calibri" w:hAnsi="Futura Std Condensed Light" w:cs="Calibri"/>
                <w:sz w:val="20"/>
                <w:szCs w:val="20"/>
              </w:rPr>
            </w:pPr>
          </w:p>
          <w:p w14:paraId="6D58E23A" w14:textId="77777777" w:rsidR="00DB20E4" w:rsidRDefault="00DB20E4" w:rsidP="00DB20E4">
            <w:pPr>
              <w:spacing w:after="0" w:line="240" w:lineRule="auto"/>
              <w:jc w:val="center"/>
              <w:rPr>
                <w:rFonts w:ascii="Futura Std Condensed Light" w:eastAsia="Calibri" w:hAnsi="Futura Std Condensed Light" w:cs="Calibri"/>
                <w:sz w:val="20"/>
                <w:szCs w:val="20"/>
              </w:rPr>
            </w:pPr>
          </w:p>
          <w:p w14:paraId="0FAEA4B7" w14:textId="77777777" w:rsidR="00DB20E4" w:rsidRDefault="00DB20E4" w:rsidP="00DB20E4">
            <w:pPr>
              <w:spacing w:after="0" w:line="240" w:lineRule="auto"/>
              <w:jc w:val="center"/>
              <w:rPr>
                <w:rFonts w:ascii="Futura Std Condensed Light" w:eastAsia="Calibri" w:hAnsi="Futura Std Condensed Light" w:cs="Calibri"/>
                <w:sz w:val="20"/>
                <w:szCs w:val="20"/>
              </w:rPr>
            </w:pPr>
          </w:p>
          <w:p w14:paraId="532B5032" w14:textId="77777777" w:rsidR="00DB20E4" w:rsidRDefault="00DB20E4" w:rsidP="00DB20E4">
            <w:pPr>
              <w:spacing w:after="0" w:line="240" w:lineRule="auto"/>
              <w:jc w:val="center"/>
              <w:rPr>
                <w:rFonts w:ascii="Futura Std Condensed Light" w:eastAsia="Calibri" w:hAnsi="Futura Std Condensed Light" w:cs="Calibri"/>
                <w:sz w:val="20"/>
                <w:szCs w:val="20"/>
              </w:rPr>
            </w:pPr>
          </w:p>
          <w:p w14:paraId="52A51629" w14:textId="77777777" w:rsidR="00DB20E4" w:rsidRDefault="00DB20E4" w:rsidP="00DB20E4">
            <w:pPr>
              <w:spacing w:after="0" w:line="240" w:lineRule="auto"/>
              <w:jc w:val="center"/>
              <w:rPr>
                <w:rFonts w:ascii="Futura Std Condensed Light" w:eastAsia="Calibri" w:hAnsi="Futura Std Condensed Light" w:cs="Calibri"/>
                <w:sz w:val="20"/>
                <w:szCs w:val="20"/>
              </w:rPr>
            </w:pPr>
          </w:p>
          <w:p w14:paraId="753E0259" w14:textId="77777777" w:rsidR="00DB20E4" w:rsidRDefault="00DB20E4" w:rsidP="00DB20E4">
            <w:pPr>
              <w:spacing w:after="0" w:line="240" w:lineRule="auto"/>
              <w:jc w:val="center"/>
              <w:rPr>
                <w:rFonts w:ascii="Futura Std Condensed Light" w:eastAsia="Calibri" w:hAnsi="Futura Std Condensed Light" w:cs="Calibri"/>
                <w:sz w:val="20"/>
                <w:szCs w:val="20"/>
              </w:rPr>
            </w:pPr>
          </w:p>
          <w:p w14:paraId="406E9ADB" w14:textId="77777777" w:rsidR="00DB20E4" w:rsidRDefault="00DB20E4" w:rsidP="00DB20E4">
            <w:pPr>
              <w:spacing w:after="0" w:line="240" w:lineRule="auto"/>
              <w:jc w:val="center"/>
              <w:rPr>
                <w:rFonts w:ascii="Futura Std Condensed Light" w:eastAsia="Calibri" w:hAnsi="Futura Std Condensed Light" w:cs="Calibri"/>
                <w:sz w:val="20"/>
                <w:szCs w:val="20"/>
              </w:rPr>
            </w:pPr>
          </w:p>
          <w:p w14:paraId="41F5BB21" w14:textId="77777777" w:rsidR="00DB20E4" w:rsidRDefault="00DB20E4" w:rsidP="00DB20E4">
            <w:pPr>
              <w:spacing w:after="0" w:line="240" w:lineRule="auto"/>
              <w:jc w:val="center"/>
              <w:rPr>
                <w:rFonts w:ascii="Futura Std Condensed Light" w:eastAsia="Calibri" w:hAnsi="Futura Std Condensed Light" w:cs="Calibri"/>
                <w:sz w:val="20"/>
                <w:szCs w:val="20"/>
              </w:rPr>
            </w:pPr>
          </w:p>
          <w:p w14:paraId="376A6BAE" w14:textId="77777777" w:rsidR="00DB20E4" w:rsidRDefault="00DB20E4" w:rsidP="00DB20E4">
            <w:pPr>
              <w:spacing w:after="0" w:line="240" w:lineRule="auto"/>
              <w:jc w:val="center"/>
              <w:rPr>
                <w:rFonts w:ascii="Futura Std Condensed Light" w:eastAsia="Calibri" w:hAnsi="Futura Std Condensed Light" w:cs="Calibri"/>
                <w:sz w:val="20"/>
                <w:szCs w:val="20"/>
              </w:rPr>
            </w:pPr>
          </w:p>
          <w:p w14:paraId="065947C2" w14:textId="77777777" w:rsidR="00DB20E4" w:rsidRDefault="00DB20E4" w:rsidP="00DB20E4">
            <w:pPr>
              <w:spacing w:after="0" w:line="240" w:lineRule="auto"/>
              <w:jc w:val="center"/>
              <w:rPr>
                <w:rFonts w:ascii="Futura Std Condensed Light" w:eastAsia="Calibri" w:hAnsi="Futura Std Condensed Light" w:cs="Calibri"/>
                <w:sz w:val="20"/>
                <w:szCs w:val="20"/>
              </w:rPr>
            </w:pPr>
          </w:p>
          <w:p w14:paraId="0D59869E" w14:textId="77777777" w:rsidR="00DB20E4" w:rsidRDefault="00DB20E4" w:rsidP="00DB20E4">
            <w:pPr>
              <w:spacing w:after="0" w:line="240" w:lineRule="auto"/>
              <w:jc w:val="center"/>
              <w:rPr>
                <w:rFonts w:ascii="Futura Std Condensed Light" w:eastAsia="Calibri" w:hAnsi="Futura Std Condensed Light" w:cs="Calibri"/>
                <w:sz w:val="20"/>
                <w:szCs w:val="20"/>
              </w:rPr>
            </w:pPr>
          </w:p>
          <w:p w14:paraId="75340E48" w14:textId="77777777" w:rsidR="00DB20E4" w:rsidRDefault="00DB20E4" w:rsidP="00DB20E4">
            <w:pPr>
              <w:spacing w:after="0" w:line="240" w:lineRule="auto"/>
              <w:jc w:val="center"/>
              <w:rPr>
                <w:rFonts w:ascii="Futura Std Condensed Light" w:eastAsia="Calibri" w:hAnsi="Futura Std Condensed Light" w:cs="Calibri"/>
                <w:sz w:val="20"/>
                <w:szCs w:val="20"/>
              </w:rPr>
            </w:pPr>
          </w:p>
          <w:p w14:paraId="2A159CA9" w14:textId="77777777" w:rsidR="00DB20E4" w:rsidRDefault="00DB20E4" w:rsidP="00DB20E4">
            <w:pPr>
              <w:spacing w:after="0" w:line="240" w:lineRule="auto"/>
              <w:jc w:val="center"/>
              <w:rPr>
                <w:rFonts w:ascii="Futura Std Condensed Light" w:eastAsia="Calibri" w:hAnsi="Futura Std Condensed Light" w:cs="Calibri"/>
                <w:sz w:val="20"/>
                <w:szCs w:val="20"/>
              </w:rPr>
            </w:pPr>
          </w:p>
          <w:p w14:paraId="7E5090C1" w14:textId="77777777" w:rsidR="00DB20E4" w:rsidRDefault="00DB20E4" w:rsidP="00DB20E4">
            <w:pPr>
              <w:spacing w:after="0" w:line="240" w:lineRule="auto"/>
              <w:jc w:val="center"/>
              <w:rPr>
                <w:rFonts w:ascii="Futura Std Condensed Light" w:eastAsia="Calibri" w:hAnsi="Futura Std Condensed Light" w:cs="Calibri"/>
                <w:sz w:val="20"/>
                <w:szCs w:val="20"/>
              </w:rPr>
            </w:pPr>
          </w:p>
          <w:p w14:paraId="2554C2B7" w14:textId="77777777" w:rsidR="00DB20E4" w:rsidRDefault="00DB20E4" w:rsidP="00DB20E4">
            <w:pPr>
              <w:spacing w:after="0" w:line="240" w:lineRule="auto"/>
              <w:jc w:val="center"/>
              <w:rPr>
                <w:rFonts w:ascii="Futura Std Condensed Light" w:eastAsia="Calibri" w:hAnsi="Futura Std Condensed Light" w:cs="Calibri"/>
                <w:sz w:val="20"/>
                <w:szCs w:val="20"/>
              </w:rPr>
            </w:pPr>
          </w:p>
          <w:p w14:paraId="3CB26A37" w14:textId="77777777" w:rsidR="00DB20E4" w:rsidRDefault="00DB20E4" w:rsidP="00DB20E4">
            <w:pPr>
              <w:spacing w:after="0" w:line="240" w:lineRule="auto"/>
              <w:jc w:val="center"/>
              <w:rPr>
                <w:rFonts w:ascii="Futura Std Condensed Light" w:eastAsia="Calibri" w:hAnsi="Futura Std Condensed Light" w:cs="Calibri"/>
                <w:sz w:val="20"/>
                <w:szCs w:val="20"/>
              </w:rPr>
            </w:pPr>
          </w:p>
          <w:p w14:paraId="36D90C1D" w14:textId="77777777" w:rsidR="00DB20E4" w:rsidRDefault="00DB20E4" w:rsidP="00DB20E4">
            <w:pPr>
              <w:spacing w:after="0" w:line="240" w:lineRule="auto"/>
              <w:jc w:val="center"/>
              <w:rPr>
                <w:rFonts w:ascii="Futura Std Condensed Light" w:eastAsia="Calibri" w:hAnsi="Futura Std Condensed Light" w:cs="Calibri"/>
                <w:sz w:val="20"/>
                <w:szCs w:val="20"/>
              </w:rPr>
            </w:pPr>
          </w:p>
          <w:p w14:paraId="32B9FFA6" w14:textId="77777777" w:rsidR="00DB20E4" w:rsidRDefault="00DB20E4" w:rsidP="00DB20E4">
            <w:pPr>
              <w:spacing w:after="0" w:line="240" w:lineRule="auto"/>
              <w:jc w:val="center"/>
              <w:rPr>
                <w:rFonts w:ascii="Futura Std Condensed Light" w:eastAsia="Calibri" w:hAnsi="Futura Std Condensed Light" w:cs="Calibri"/>
                <w:sz w:val="20"/>
                <w:szCs w:val="20"/>
              </w:rPr>
            </w:pPr>
          </w:p>
          <w:p w14:paraId="51A5F77F" w14:textId="77777777" w:rsidR="00DB20E4" w:rsidRDefault="00DB20E4" w:rsidP="00DB20E4">
            <w:pPr>
              <w:spacing w:after="0" w:line="240" w:lineRule="auto"/>
              <w:jc w:val="center"/>
              <w:rPr>
                <w:rFonts w:ascii="Futura Std Condensed Light" w:eastAsia="Calibri" w:hAnsi="Futura Std Condensed Light" w:cs="Calibri"/>
                <w:sz w:val="20"/>
                <w:szCs w:val="20"/>
              </w:rPr>
            </w:pPr>
          </w:p>
          <w:p w14:paraId="2EA28352" w14:textId="77777777" w:rsidR="00DB20E4" w:rsidRDefault="00DB20E4" w:rsidP="00DB20E4">
            <w:pPr>
              <w:spacing w:after="0" w:line="240" w:lineRule="auto"/>
              <w:jc w:val="center"/>
              <w:rPr>
                <w:rFonts w:ascii="Futura Std Condensed Light" w:eastAsia="Calibri" w:hAnsi="Futura Std Condensed Light" w:cs="Calibri"/>
                <w:sz w:val="20"/>
                <w:szCs w:val="20"/>
              </w:rPr>
            </w:pPr>
          </w:p>
          <w:p w14:paraId="7E5D2D8A" w14:textId="77777777" w:rsidR="00DB20E4" w:rsidRDefault="00DB20E4" w:rsidP="00DB20E4">
            <w:pPr>
              <w:spacing w:after="0" w:line="240" w:lineRule="auto"/>
              <w:jc w:val="center"/>
              <w:rPr>
                <w:rFonts w:ascii="Futura Std Condensed Light" w:eastAsia="Calibri" w:hAnsi="Futura Std Condensed Light" w:cs="Calibri"/>
                <w:sz w:val="20"/>
                <w:szCs w:val="20"/>
              </w:rPr>
            </w:pPr>
          </w:p>
          <w:p w14:paraId="24C207DC" w14:textId="77777777" w:rsidR="00DB20E4" w:rsidRDefault="00DB20E4" w:rsidP="00DB20E4">
            <w:pPr>
              <w:spacing w:after="0" w:line="240" w:lineRule="auto"/>
              <w:jc w:val="center"/>
              <w:rPr>
                <w:rFonts w:ascii="Futura Std Condensed Light" w:eastAsia="Calibri" w:hAnsi="Futura Std Condensed Light" w:cs="Calibri"/>
                <w:sz w:val="20"/>
                <w:szCs w:val="20"/>
              </w:rPr>
            </w:pPr>
          </w:p>
          <w:p w14:paraId="2AE36736" w14:textId="77777777" w:rsidR="00DB20E4" w:rsidRDefault="00DB20E4" w:rsidP="00DB20E4">
            <w:pPr>
              <w:spacing w:after="0" w:line="240" w:lineRule="auto"/>
              <w:jc w:val="center"/>
              <w:rPr>
                <w:rFonts w:ascii="Futura Std Condensed Light" w:eastAsia="Calibri" w:hAnsi="Futura Std Condensed Light" w:cs="Calibri"/>
                <w:sz w:val="20"/>
                <w:szCs w:val="20"/>
              </w:rPr>
            </w:pPr>
          </w:p>
          <w:p w14:paraId="3227FB70" w14:textId="77777777" w:rsidR="00DB20E4" w:rsidRDefault="00DB20E4" w:rsidP="00DB20E4">
            <w:pPr>
              <w:spacing w:after="0" w:line="240" w:lineRule="auto"/>
              <w:jc w:val="center"/>
              <w:rPr>
                <w:rFonts w:ascii="Futura Std Condensed Light" w:eastAsia="Calibri" w:hAnsi="Futura Std Condensed Light" w:cs="Calibri"/>
                <w:sz w:val="20"/>
                <w:szCs w:val="20"/>
              </w:rPr>
            </w:pPr>
          </w:p>
          <w:p w14:paraId="4D23AE26" w14:textId="77777777" w:rsidR="00DB20E4" w:rsidRDefault="00DB20E4" w:rsidP="00DB20E4">
            <w:pPr>
              <w:spacing w:after="0" w:line="240" w:lineRule="auto"/>
              <w:jc w:val="center"/>
              <w:rPr>
                <w:rFonts w:ascii="Futura Std Condensed Light" w:eastAsia="Calibri" w:hAnsi="Futura Std Condensed Light" w:cs="Calibri"/>
                <w:sz w:val="20"/>
                <w:szCs w:val="20"/>
              </w:rPr>
            </w:pPr>
          </w:p>
          <w:p w14:paraId="4B8A6F4C" w14:textId="77777777" w:rsidR="00DB20E4" w:rsidRDefault="00DB20E4" w:rsidP="00DB20E4">
            <w:pPr>
              <w:spacing w:after="0" w:line="240" w:lineRule="auto"/>
              <w:jc w:val="center"/>
              <w:rPr>
                <w:rFonts w:ascii="Futura Std Condensed Light" w:eastAsia="Calibri" w:hAnsi="Futura Std Condensed Light" w:cs="Calibri"/>
                <w:sz w:val="20"/>
                <w:szCs w:val="20"/>
              </w:rPr>
            </w:pPr>
          </w:p>
          <w:p w14:paraId="29D51297" w14:textId="77777777" w:rsidR="00DB20E4" w:rsidRDefault="00DB20E4" w:rsidP="00DB20E4">
            <w:pPr>
              <w:spacing w:after="0" w:line="240" w:lineRule="auto"/>
              <w:jc w:val="center"/>
              <w:rPr>
                <w:rFonts w:ascii="Futura Std Condensed Light" w:eastAsia="Calibri" w:hAnsi="Futura Std Condensed Light" w:cs="Calibri"/>
                <w:sz w:val="20"/>
                <w:szCs w:val="20"/>
              </w:rPr>
            </w:pPr>
          </w:p>
          <w:p w14:paraId="46CAA4D9" w14:textId="77777777" w:rsidR="00DB20E4" w:rsidRDefault="00DB20E4" w:rsidP="00DB20E4">
            <w:pPr>
              <w:spacing w:after="0" w:line="240" w:lineRule="auto"/>
              <w:jc w:val="center"/>
              <w:rPr>
                <w:rFonts w:ascii="Futura Std Condensed Light" w:eastAsia="Calibri" w:hAnsi="Futura Std Condensed Light" w:cs="Calibri"/>
                <w:sz w:val="20"/>
                <w:szCs w:val="20"/>
              </w:rPr>
            </w:pPr>
          </w:p>
          <w:p w14:paraId="3287812D" w14:textId="77777777" w:rsidR="00DB20E4" w:rsidRDefault="00DB20E4" w:rsidP="00DB20E4">
            <w:pPr>
              <w:spacing w:after="0" w:line="240" w:lineRule="auto"/>
              <w:jc w:val="center"/>
              <w:rPr>
                <w:rFonts w:ascii="Futura Std Condensed Light" w:eastAsia="Calibri" w:hAnsi="Futura Std Condensed Light" w:cs="Calibri"/>
                <w:sz w:val="20"/>
                <w:szCs w:val="20"/>
              </w:rPr>
            </w:pPr>
          </w:p>
          <w:p w14:paraId="2A635A7E" w14:textId="77777777" w:rsidR="00DB20E4" w:rsidRDefault="00DB20E4" w:rsidP="00DB20E4">
            <w:pPr>
              <w:spacing w:after="0" w:line="240" w:lineRule="auto"/>
              <w:jc w:val="center"/>
              <w:rPr>
                <w:rFonts w:ascii="Futura Std Condensed Light" w:eastAsia="Calibri" w:hAnsi="Futura Std Condensed Light" w:cs="Calibri"/>
                <w:sz w:val="20"/>
                <w:szCs w:val="20"/>
              </w:rPr>
            </w:pPr>
          </w:p>
          <w:p w14:paraId="604D8F0C" w14:textId="415D1109" w:rsidR="00DB20E4" w:rsidRDefault="00DB20E4" w:rsidP="00DB20E4">
            <w:pPr>
              <w:spacing w:after="0" w:line="240" w:lineRule="auto"/>
              <w:jc w:val="center"/>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Programa Educación Pública de Calidad.</w:t>
            </w:r>
          </w:p>
          <w:p w14:paraId="05FD0B68" w14:textId="77777777" w:rsidR="00DB20E4" w:rsidRDefault="00DB20E4" w:rsidP="00476422">
            <w:pPr>
              <w:spacing w:after="0" w:line="240" w:lineRule="auto"/>
              <w:jc w:val="center"/>
              <w:rPr>
                <w:rFonts w:ascii="Futura Std Condensed Light" w:eastAsia="Calibri" w:hAnsi="Futura Std Condensed Light" w:cs="Calibri"/>
                <w:sz w:val="20"/>
                <w:szCs w:val="20"/>
              </w:rPr>
            </w:pPr>
          </w:p>
          <w:p w14:paraId="041C1BDA" w14:textId="693C380A" w:rsidR="00DB20E4" w:rsidRDefault="00DB20E4" w:rsidP="00476422">
            <w:pPr>
              <w:spacing w:after="0" w:line="240" w:lineRule="auto"/>
              <w:jc w:val="center"/>
              <w:rPr>
                <w:rFonts w:ascii="Futura Std Condensed Light" w:eastAsia="Calibri" w:hAnsi="Futura Std Condensed Light" w:cs="Calibri"/>
                <w:sz w:val="20"/>
                <w:szCs w:val="20"/>
              </w:rPr>
            </w:pPr>
          </w:p>
          <w:p w14:paraId="463ECC39" w14:textId="16142E0C" w:rsidR="00DB20E4" w:rsidRDefault="00DB20E4" w:rsidP="00476422">
            <w:pPr>
              <w:spacing w:after="0" w:line="240" w:lineRule="auto"/>
              <w:jc w:val="center"/>
              <w:rPr>
                <w:rFonts w:ascii="Futura Std Condensed Light" w:eastAsia="Calibri" w:hAnsi="Futura Std Condensed Light" w:cs="Calibri"/>
                <w:sz w:val="20"/>
                <w:szCs w:val="20"/>
              </w:rPr>
            </w:pPr>
          </w:p>
          <w:p w14:paraId="1F374C64" w14:textId="5B5E90DF" w:rsidR="00DB20E4" w:rsidRDefault="00DB20E4" w:rsidP="00476422">
            <w:pPr>
              <w:spacing w:after="0" w:line="240" w:lineRule="auto"/>
              <w:jc w:val="center"/>
              <w:rPr>
                <w:rFonts w:ascii="Futura Std Condensed Light" w:eastAsia="Calibri" w:hAnsi="Futura Std Condensed Light" w:cs="Calibri"/>
                <w:sz w:val="20"/>
                <w:szCs w:val="20"/>
              </w:rPr>
            </w:pPr>
          </w:p>
          <w:p w14:paraId="55E8B033" w14:textId="3DD2BCB0" w:rsidR="00DB20E4" w:rsidRDefault="00DB20E4" w:rsidP="00476422">
            <w:pPr>
              <w:spacing w:after="0" w:line="240" w:lineRule="auto"/>
              <w:jc w:val="center"/>
              <w:rPr>
                <w:rFonts w:ascii="Futura Std Condensed Light" w:eastAsia="Calibri" w:hAnsi="Futura Std Condensed Light" w:cs="Calibri"/>
                <w:sz w:val="20"/>
                <w:szCs w:val="20"/>
              </w:rPr>
            </w:pPr>
          </w:p>
          <w:p w14:paraId="589D70F2" w14:textId="25C85BE9" w:rsidR="00DB20E4" w:rsidRDefault="00DB20E4" w:rsidP="00476422">
            <w:pPr>
              <w:spacing w:after="0" w:line="240" w:lineRule="auto"/>
              <w:jc w:val="center"/>
              <w:rPr>
                <w:rFonts w:ascii="Futura Std Condensed Light" w:eastAsia="Calibri" w:hAnsi="Futura Std Condensed Light" w:cs="Calibri"/>
                <w:sz w:val="20"/>
                <w:szCs w:val="20"/>
              </w:rPr>
            </w:pPr>
          </w:p>
          <w:p w14:paraId="127AB969" w14:textId="02CC6B43" w:rsidR="00DB20E4" w:rsidRDefault="00DB20E4" w:rsidP="00476422">
            <w:pPr>
              <w:spacing w:after="0" w:line="240" w:lineRule="auto"/>
              <w:jc w:val="center"/>
              <w:rPr>
                <w:rFonts w:ascii="Futura Std Condensed Light" w:eastAsia="Calibri" w:hAnsi="Futura Std Condensed Light" w:cs="Calibri"/>
                <w:sz w:val="20"/>
                <w:szCs w:val="20"/>
              </w:rPr>
            </w:pPr>
          </w:p>
          <w:p w14:paraId="773BA50E" w14:textId="77955D92" w:rsidR="00DB20E4" w:rsidRDefault="00DB20E4" w:rsidP="00476422">
            <w:pPr>
              <w:spacing w:after="0" w:line="240" w:lineRule="auto"/>
              <w:jc w:val="center"/>
              <w:rPr>
                <w:rFonts w:ascii="Futura Std Condensed Light" w:eastAsia="Calibri" w:hAnsi="Futura Std Condensed Light" w:cs="Calibri"/>
                <w:sz w:val="20"/>
                <w:szCs w:val="20"/>
              </w:rPr>
            </w:pPr>
          </w:p>
          <w:p w14:paraId="3833B2EF" w14:textId="21F38111" w:rsidR="00DB20E4" w:rsidRDefault="00DB20E4" w:rsidP="00476422">
            <w:pPr>
              <w:spacing w:after="0" w:line="240" w:lineRule="auto"/>
              <w:jc w:val="center"/>
              <w:rPr>
                <w:rFonts w:ascii="Futura Std Condensed Light" w:eastAsia="Calibri" w:hAnsi="Futura Std Condensed Light" w:cs="Calibri"/>
                <w:sz w:val="20"/>
                <w:szCs w:val="20"/>
              </w:rPr>
            </w:pPr>
          </w:p>
          <w:p w14:paraId="15AB39A7" w14:textId="63AF1BA1" w:rsidR="00DB20E4" w:rsidRDefault="00DB20E4" w:rsidP="00476422">
            <w:pPr>
              <w:spacing w:after="0" w:line="240" w:lineRule="auto"/>
              <w:jc w:val="center"/>
              <w:rPr>
                <w:rFonts w:ascii="Futura Std Condensed Light" w:eastAsia="Calibri" w:hAnsi="Futura Std Condensed Light" w:cs="Calibri"/>
                <w:sz w:val="20"/>
                <w:szCs w:val="20"/>
              </w:rPr>
            </w:pPr>
          </w:p>
          <w:p w14:paraId="4FC3D52A" w14:textId="1FAF5822" w:rsidR="00DB20E4" w:rsidRDefault="00DB20E4" w:rsidP="00476422">
            <w:pPr>
              <w:spacing w:after="0" w:line="240" w:lineRule="auto"/>
              <w:jc w:val="center"/>
              <w:rPr>
                <w:rFonts w:ascii="Futura Std Condensed Light" w:eastAsia="Calibri" w:hAnsi="Futura Std Condensed Light" w:cs="Calibri"/>
                <w:sz w:val="20"/>
                <w:szCs w:val="20"/>
              </w:rPr>
            </w:pPr>
          </w:p>
          <w:p w14:paraId="24D4C2B5" w14:textId="432FEC01" w:rsidR="00DB20E4" w:rsidRDefault="00DB20E4" w:rsidP="00476422">
            <w:pPr>
              <w:spacing w:after="0" w:line="240" w:lineRule="auto"/>
              <w:jc w:val="center"/>
              <w:rPr>
                <w:rFonts w:ascii="Futura Std Condensed Light" w:eastAsia="Calibri" w:hAnsi="Futura Std Condensed Light" w:cs="Calibri"/>
                <w:sz w:val="20"/>
                <w:szCs w:val="20"/>
              </w:rPr>
            </w:pPr>
          </w:p>
          <w:p w14:paraId="207DCB31" w14:textId="105337CD" w:rsidR="00DB20E4" w:rsidRDefault="00DB20E4" w:rsidP="00476422">
            <w:pPr>
              <w:spacing w:after="0" w:line="240" w:lineRule="auto"/>
              <w:jc w:val="center"/>
              <w:rPr>
                <w:rFonts w:ascii="Futura Std Condensed Light" w:eastAsia="Calibri" w:hAnsi="Futura Std Condensed Light" w:cs="Calibri"/>
                <w:sz w:val="20"/>
                <w:szCs w:val="20"/>
              </w:rPr>
            </w:pPr>
          </w:p>
          <w:p w14:paraId="639061B4" w14:textId="09C9802F" w:rsidR="00DB20E4" w:rsidRDefault="00DB20E4" w:rsidP="00476422">
            <w:pPr>
              <w:spacing w:after="0" w:line="240" w:lineRule="auto"/>
              <w:jc w:val="center"/>
              <w:rPr>
                <w:rFonts w:ascii="Futura Std Condensed Light" w:eastAsia="Calibri" w:hAnsi="Futura Std Condensed Light" w:cs="Calibri"/>
                <w:sz w:val="20"/>
                <w:szCs w:val="20"/>
              </w:rPr>
            </w:pPr>
          </w:p>
          <w:p w14:paraId="12474107" w14:textId="59FE212B" w:rsidR="00DB20E4" w:rsidRDefault="00DB20E4" w:rsidP="00476422">
            <w:pPr>
              <w:spacing w:after="0" w:line="240" w:lineRule="auto"/>
              <w:jc w:val="center"/>
              <w:rPr>
                <w:rFonts w:ascii="Futura Std Condensed Light" w:eastAsia="Calibri" w:hAnsi="Futura Std Condensed Light" w:cs="Calibri"/>
                <w:sz w:val="20"/>
                <w:szCs w:val="20"/>
              </w:rPr>
            </w:pPr>
          </w:p>
          <w:p w14:paraId="054B6550" w14:textId="56647B45" w:rsidR="00DB20E4" w:rsidRDefault="00DB20E4" w:rsidP="00476422">
            <w:pPr>
              <w:spacing w:after="0" w:line="240" w:lineRule="auto"/>
              <w:jc w:val="center"/>
              <w:rPr>
                <w:rFonts w:ascii="Futura Std Condensed Light" w:eastAsia="Calibri" w:hAnsi="Futura Std Condensed Light" w:cs="Calibri"/>
                <w:sz w:val="20"/>
                <w:szCs w:val="20"/>
              </w:rPr>
            </w:pPr>
          </w:p>
          <w:p w14:paraId="67D9F0C3" w14:textId="06B2FD74" w:rsidR="007F3EA3" w:rsidRDefault="007F3EA3" w:rsidP="00476422">
            <w:pPr>
              <w:spacing w:after="0" w:line="240" w:lineRule="auto"/>
              <w:jc w:val="center"/>
              <w:rPr>
                <w:rFonts w:ascii="Futura Std Condensed Light" w:eastAsia="Calibri" w:hAnsi="Futura Std Condensed Light" w:cs="Calibri"/>
                <w:sz w:val="20"/>
                <w:szCs w:val="20"/>
              </w:rPr>
            </w:pPr>
          </w:p>
          <w:p w14:paraId="1BB1F4BA" w14:textId="5D2AB133" w:rsidR="007F3EA3" w:rsidRDefault="007F3EA3" w:rsidP="00476422">
            <w:pPr>
              <w:spacing w:after="0" w:line="240" w:lineRule="auto"/>
              <w:jc w:val="center"/>
              <w:rPr>
                <w:rFonts w:ascii="Futura Std Condensed Light" w:eastAsia="Calibri" w:hAnsi="Futura Std Condensed Light" w:cs="Calibri"/>
                <w:sz w:val="20"/>
                <w:szCs w:val="20"/>
              </w:rPr>
            </w:pPr>
          </w:p>
          <w:p w14:paraId="49DCD568" w14:textId="133C7374" w:rsidR="007F3EA3" w:rsidRDefault="007F3EA3" w:rsidP="00476422">
            <w:pPr>
              <w:spacing w:after="0" w:line="240" w:lineRule="auto"/>
              <w:jc w:val="center"/>
              <w:rPr>
                <w:rFonts w:ascii="Futura Std Condensed Light" w:eastAsia="Calibri" w:hAnsi="Futura Std Condensed Light" w:cs="Calibri"/>
                <w:sz w:val="20"/>
                <w:szCs w:val="20"/>
              </w:rPr>
            </w:pPr>
          </w:p>
          <w:p w14:paraId="1125F532" w14:textId="3FB1AEE8" w:rsidR="007F3EA3" w:rsidRDefault="007F3EA3" w:rsidP="00476422">
            <w:pPr>
              <w:spacing w:after="0" w:line="240" w:lineRule="auto"/>
              <w:jc w:val="center"/>
              <w:rPr>
                <w:rFonts w:ascii="Futura Std Condensed Light" w:eastAsia="Calibri" w:hAnsi="Futura Std Condensed Light" w:cs="Calibri"/>
                <w:sz w:val="20"/>
                <w:szCs w:val="20"/>
              </w:rPr>
            </w:pPr>
          </w:p>
          <w:p w14:paraId="1E8FBFD1" w14:textId="1565492C" w:rsidR="007F3EA3" w:rsidRDefault="007F3EA3" w:rsidP="00476422">
            <w:pPr>
              <w:spacing w:after="0" w:line="240" w:lineRule="auto"/>
              <w:jc w:val="center"/>
              <w:rPr>
                <w:rFonts w:ascii="Futura Std Condensed Light" w:eastAsia="Calibri" w:hAnsi="Futura Std Condensed Light" w:cs="Calibri"/>
                <w:sz w:val="20"/>
                <w:szCs w:val="20"/>
              </w:rPr>
            </w:pPr>
          </w:p>
          <w:p w14:paraId="69B4D09C" w14:textId="2D32EDD0" w:rsidR="007F3EA3" w:rsidRDefault="007F3EA3" w:rsidP="00476422">
            <w:pPr>
              <w:spacing w:after="0" w:line="240" w:lineRule="auto"/>
              <w:jc w:val="center"/>
              <w:rPr>
                <w:rFonts w:ascii="Futura Std Condensed Light" w:eastAsia="Calibri" w:hAnsi="Futura Std Condensed Light" w:cs="Calibri"/>
                <w:sz w:val="20"/>
                <w:szCs w:val="20"/>
              </w:rPr>
            </w:pPr>
          </w:p>
          <w:p w14:paraId="15DA186A" w14:textId="0B3DAAA0" w:rsidR="007F3EA3" w:rsidRDefault="007F3EA3" w:rsidP="00476422">
            <w:pPr>
              <w:spacing w:after="0" w:line="240" w:lineRule="auto"/>
              <w:jc w:val="center"/>
              <w:rPr>
                <w:rFonts w:ascii="Futura Std Condensed Light" w:eastAsia="Calibri" w:hAnsi="Futura Std Condensed Light" w:cs="Calibri"/>
                <w:sz w:val="20"/>
                <w:szCs w:val="20"/>
              </w:rPr>
            </w:pPr>
          </w:p>
          <w:p w14:paraId="57C77718" w14:textId="64794C25" w:rsidR="007F3EA3" w:rsidRDefault="007F3EA3" w:rsidP="00476422">
            <w:pPr>
              <w:spacing w:after="0" w:line="240" w:lineRule="auto"/>
              <w:jc w:val="center"/>
              <w:rPr>
                <w:rFonts w:ascii="Futura Std Condensed Light" w:eastAsia="Calibri" w:hAnsi="Futura Std Condensed Light" w:cs="Calibri"/>
                <w:sz w:val="20"/>
                <w:szCs w:val="20"/>
              </w:rPr>
            </w:pPr>
          </w:p>
          <w:p w14:paraId="1C6B00FC" w14:textId="4F5B5070" w:rsidR="007F3EA3" w:rsidRDefault="007F3EA3" w:rsidP="00476422">
            <w:pPr>
              <w:spacing w:after="0" w:line="240" w:lineRule="auto"/>
              <w:jc w:val="center"/>
              <w:rPr>
                <w:rFonts w:ascii="Futura Std Condensed Light" w:eastAsia="Calibri" w:hAnsi="Futura Std Condensed Light" w:cs="Calibri"/>
                <w:sz w:val="20"/>
                <w:szCs w:val="20"/>
              </w:rPr>
            </w:pPr>
          </w:p>
          <w:p w14:paraId="7D29BB84" w14:textId="35CC3187" w:rsidR="007F3EA3" w:rsidRDefault="007F3EA3" w:rsidP="00476422">
            <w:pPr>
              <w:spacing w:after="0" w:line="240" w:lineRule="auto"/>
              <w:jc w:val="center"/>
              <w:rPr>
                <w:rFonts w:ascii="Futura Std Condensed Light" w:eastAsia="Calibri" w:hAnsi="Futura Std Condensed Light" w:cs="Calibri"/>
                <w:sz w:val="20"/>
                <w:szCs w:val="20"/>
              </w:rPr>
            </w:pPr>
          </w:p>
          <w:p w14:paraId="7594E780" w14:textId="230C0FE1" w:rsidR="007F3EA3" w:rsidRDefault="007F3EA3" w:rsidP="00476422">
            <w:pPr>
              <w:spacing w:after="0" w:line="240" w:lineRule="auto"/>
              <w:jc w:val="center"/>
              <w:rPr>
                <w:rFonts w:ascii="Futura Std Condensed Light" w:eastAsia="Calibri" w:hAnsi="Futura Std Condensed Light" w:cs="Calibri"/>
                <w:sz w:val="20"/>
                <w:szCs w:val="20"/>
              </w:rPr>
            </w:pPr>
          </w:p>
          <w:p w14:paraId="20C9E7BB" w14:textId="77777777" w:rsidR="007F3EA3" w:rsidRDefault="007F3EA3" w:rsidP="00476422">
            <w:pPr>
              <w:spacing w:after="0" w:line="240" w:lineRule="auto"/>
              <w:jc w:val="center"/>
              <w:rPr>
                <w:rFonts w:ascii="Futura Std Condensed Light" w:eastAsia="Calibri" w:hAnsi="Futura Std Condensed Light" w:cs="Calibri"/>
                <w:sz w:val="20"/>
                <w:szCs w:val="20"/>
              </w:rPr>
            </w:pPr>
          </w:p>
          <w:p w14:paraId="79EE2B08" w14:textId="77777777" w:rsidR="00DB20E4" w:rsidRDefault="00DB20E4" w:rsidP="00DB20E4">
            <w:pPr>
              <w:spacing w:after="0" w:line="240" w:lineRule="auto"/>
              <w:jc w:val="center"/>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Programa Educación Pública de Calidad.</w:t>
            </w:r>
          </w:p>
          <w:p w14:paraId="7F322774" w14:textId="77777777" w:rsidR="007F3EA3" w:rsidRDefault="007F3EA3" w:rsidP="007F3EA3">
            <w:pPr>
              <w:spacing w:after="0" w:line="240" w:lineRule="auto"/>
              <w:jc w:val="center"/>
              <w:rPr>
                <w:rFonts w:ascii="Futura Std Condensed Light" w:eastAsia="Calibri" w:hAnsi="Futura Std Condensed Light" w:cs="Calibri"/>
                <w:sz w:val="20"/>
                <w:szCs w:val="20"/>
              </w:rPr>
            </w:pPr>
          </w:p>
          <w:p w14:paraId="717F9182" w14:textId="77777777" w:rsidR="007F3EA3" w:rsidRDefault="007F3EA3" w:rsidP="007F3EA3">
            <w:pPr>
              <w:spacing w:after="0" w:line="240" w:lineRule="auto"/>
              <w:jc w:val="center"/>
              <w:rPr>
                <w:rFonts w:ascii="Futura Std Condensed Light" w:eastAsia="Calibri" w:hAnsi="Futura Std Condensed Light" w:cs="Calibri"/>
                <w:sz w:val="20"/>
                <w:szCs w:val="20"/>
              </w:rPr>
            </w:pPr>
          </w:p>
          <w:p w14:paraId="729D5241" w14:textId="77777777" w:rsidR="007F3EA3" w:rsidRDefault="007F3EA3" w:rsidP="007F3EA3">
            <w:pPr>
              <w:spacing w:after="0" w:line="240" w:lineRule="auto"/>
              <w:jc w:val="center"/>
              <w:rPr>
                <w:rFonts w:ascii="Futura Std Condensed Light" w:eastAsia="Calibri" w:hAnsi="Futura Std Condensed Light" w:cs="Calibri"/>
                <w:sz w:val="20"/>
                <w:szCs w:val="20"/>
              </w:rPr>
            </w:pPr>
          </w:p>
          <w:p w14:paraId="3B304335" w14:textId="77777777" w:rsidR="007F3EA3" w:rsidRDefault="007F3EA3" w:rsidP="007F3EA3">
            <w:pPr>
              <w:spacing w:after="0" w:line="240" w:lineRule="auto"/>
              <w:jc w:val="center"/>
              <w:rPr>
                <w:rFonts w:ascii="Futura Std Condensed Light" w:eastAsia="Calibri" w:hAnsi="Futura Std Condensed Light" w:cs="Calibri"/>
                <w:sz w:val="20"/>
                <w:szCs w:val="20"/>
              </w:rPr>
            </w:pPr>
          </w:p>
          <w:p w14:paraId="67C536B2" w14:textId="77777777" w:rsidR="007F3EA3" w:rsidRDefault="007F3EA3" w:rsidP="007F3EA3">
            <w:pPr>
              <w:spacing w:after="0" w:line="240" w:lineRule="auto"/>
              <w:jc w:val="center"/>
              <w:rPr>
                <w:rFonts w:ascii="Futura Std Condensed Light" w:eastAsia="Calibri" w:hAnsi="Futura Std Condensed Light" w:cs="Calibri"/>
                <w:sz w:val="20"/>
                <w:szCs w:val="20"/>
              </w:rPr>
            </w:pPr>
          </w:p>
          <w:p w14:paraId="661A749C" w14:textId="77777777" w:rsidR="007F3EA3" w:rsidRDefault="007F3EA3" w:rsidP="007F3EA3">
            <w:pPr>
              <w:spacing w:after="0" w:line="240" w:lineRule="auto"/>
              <w:jc w:val="center"/>
              <w:rPr>
                <w:rFonts w:ascii="Futura Std Condensed Light" w:eastAsia="Calibri" w:hAnsi="Futura Std Condensed Light" w:cs="Calibri"/>
                <w:sz w:val="20"/>
                <w:szCs w:val="20"/>
              </w:rPr>
            </w:pPr>
          </w:p>
          <w:p w14:paraId="681BC745" w14:textId="77777777" w:rsidR="007F3EA3" w:rsidRDefault="007F3EA3" w:rsidP="007F3EA3">
            <w:pPr>
              <w:spacing w:after="0" w:line="240" w:lineRule="auto"/>
              <w:jc w:val="center"/>
              <w:rPr>
                <w:rFonts w:ascii="Futura Std Condensed Light" w:eastAsia="Calibri" w:hAnsi="Futura Std Condensed Light" w:cs="Calibri"/>
                <w:sz w:val="20"/>
                <w:szCs w:val="20"/>
              </w:rPr>
            </w:pPr>
          </w:p>
          <w:p w14:paraId="309D0C24" w14:textId="77777777" w:rsidR="007F3EA3" w:rsidRDefault="007F3EA3" w:rsidP="007F3EA3">
            <w:pPr>
              <w:spacing w:after="0" w:line="240" w:lineRule="auto"/>
              <w:jc w:val="center"/>
              <w:rPr>
                <w:rFonts w:ascii="Futura Std Condensed Light" w:eastAsia="Calibri" w:hAnsi="Futura Std Condensed Light" w:cs="Calibri"/>
                <w:sz w:val="20"/>
                <w:szCs w:val="20"/>
              </w:rPr>
            </w:pPr>
          </w:p>
          <w:p w14:paraId="6C995F67" w14:textId="77777777" w:rsidR="007F3EA3" w:rsidRDefault="007F3EA3" w:rsidP="007F3EA3">
            <w:pPr>
              <w:spacing w:after="0" w:line="240" w:lineRule="auto"/>
              <w:jc w:val="center"/>
              <w:rPr>
                <w:rFonts w:ascii="Futura Std Condensed Light" w:eastAsia="Calibri" w:hAnsi="Futura Std Condensed Light" w:cs="Calibri"/>
                <w:sz w:val="20"/>
                <w:szCs w:val="20"/>
              </w:rPr>
            </w:pPr>
          </w:p>
          <w:p w14:paraId="2473C3C8" w14:textId="77777777" w:rsidR="007F3EA3" w:rsidRDefault="007F3EA3" w:rsidP="007F3EA3">
            <w:pPr>
              <w:spacing w:after="0" w:line="240" w:lineRule="auto"/>
              <w:jc w:val="center"/>
              <w:rPr>
                <w:rFonts w:ascii="Futura Std Condensed Light" w:eastAsia="Calibri" w:hAnsi="Futura Std Condensed Light" w:cs="Calibri"/>
                <w:sz w:val="20"/>
                <w:szCs w:val="20"/>
              </w:rPr>
            </w:pPr>
          </w:p>
          <w:p w14:paraId="1E12EB06" w14:textId="77777777" w:rsidR="007F3EA3" w:rsidRDefault="007F3EA3" w:rsidP="007F3EA3">
            <w:pPr>
              <w:spacing w:after="0" w:line="240" w:lineRule="auto"/>
              <w:jc w:val="center"/>
              <w:rPr>
                <w:rFonts w:ascii="Futura Std Condensed Light" w:eastAsia="Calibri" w:hAnsi="Futura Std Condensed Light" w:cs="Calibri"/>
                <w:sz w:val="20"/>
                <w:szCs w:val="20"/>
              </w:rPr>
            </w:pPr>
          </w:p>
          <w:p w14:paraId="7B534C85" w14:textId="77777777" w:rsidR="007F3EA3" w:rsidRDefault="007F3EA3" w:rsidP="007F3EA3">
            <w:pPr>
              <w:spacing w:after="0" w:line="240" w:lineRule="auto"/>
              <w:jc w:val="center"/>
              <w:rPr>
                <w:rFonts w:ascii="Futura Std Condensed Light" w:eastAsia="Calibri" w:hAnsi="Futura Std Condensed Light" w:cs="Calibri"/>
                <w:sz w:val="20"/>
                <w:szCs w:val="20"/>
              </w:rPr>
            </w:pPr>
          </w:p>
          <w:p w14:paraId="16BDD843" w14:textId="77777777" w:rsidR="007F3EA3" w:rsidRDefault="007F3EA3" w:rsidP="007F3EA3">
            <w:pPr>
              <w:spacing w:after="0" w:line="240" w:lineRule="auto"/>
              <w:jc w:val="center"/>
              <w:rPr>
                <w:rFonts w:ascii="Futura Std Condensed Light" w:eastAsia="Calibri" w:hAnsi="Futura Std Condensed Light" w:cs="Calibri"/>
                <w:sz w:val="20"/>
                <w:szCs w:val="20"/>
              </w:rPr>
            </w:pPr>
          </w:p>
          <w:p w14:paraId="26A607CE" w14:textId="77777777" w:rsidR="007F3EA3" w:rsidRDefault="007F3EA3" w:rsidP="007F3EA3">
            <w:pPr>
              <w:spacing w:after="0" w:line="240" w:lineRule="auto"/>
              <w:jc w:val="center"/>
              <w:rPr>
                <w:rFonts w:ascii="Futura Std Condensed Light" w:eastAsia="Calibri" w:hAnsi="Futura Std Condensed Light" w:cs="Calibri"/>
                <w:sz w:val="20"/>
                <w:szCs w:val="20"/>
              </w:rPr>
            </w:pPr>
          </w:p>
          <w:p w14:paraId="7DA65A1F" w14:textId="77777777" w:rsidR="007F3EA3" w:rsidRDefault="007F3EA3" w:rsidP="007F3EA3">
            <w:pPr>
              <w:spacing w:after="0" w:line="240" w:lineRule="auto"/>
              <w:jc w:val="center"/>
              <w:rPr>
                <w:rFonts w:ascii="Futura Std Condensed Light" w:eastAsia="Calibri" w:hAnsi="Futura Std Condensed Light" w:cs="Calibri"/>
                <w:sz w:val="20"/>
                <w:szCs w:val="20"/>
              </w:rPr>
            </w:pPr>
          </w:p>
          <w:p w14:paraId="395D5BFE" w14:textId="77777777" w:rsidR="007F3EA3" w:rsidRDefault="007F3EA3" w:rsidP="007F3EA3">
            <w:pPr>
              <w:spacing w:after="0" w:line="240" w:lineRule="auto"/>
              <w:jc w:val="center"/>
              <w:rPr>
                <w:rFonts w:ascii="Futura Std Condensed Light" w:eastAsia="Calibri" w:hAnsi="Futura Std Condensed Light" w:cs="Calibri"/>
                <w:sz w:val="20"/>
                <w:szCs w:val="20"/>
              </w:rPr>
            </w:pPr>
          </w:p>
          <w:p w14:paraId="0C6B35DF" w14:textId="77777777" w:rsidR="007F3EA3" w:rsidRDefault="007F3EA3" w:rsidP="007F3EA3">
            <w:pPr>
              <w:spacing w:after="0" w:line="240" w:lineRule="auto"/>
              <w:jc w:val="center"/>
              <w:rPr>
                <w:rFonts w:ascii="Futura Std Condensed Light" w:eastAsia="Calibri" w:hAnsi="Futura Std Condensed Light" w:cs="Calibri"/>
                <w:sz w:val="20"/>
                <w:szCs w:val="20"/>
              </w:rPr>
            </w:pPr>
          </w:p>
          <w:p w14:paraId="16D890EE" w14:textId="77777777" w:rsidR="007F3EA3" w:rsidRDefault="007F3EA3" w:rsidP="007F3EA3">
            <w:pPr>
              <w:spacing w:after="0" w:line="240" w:lineRule="auto"/>
              <w:jc w:val="center"/>
              <w:rPr>
                <w:rFonts w:ascii="Futura Std Condensed Light" w:eastAsia="Calibri" w:hAnsi="Futura Std Condensed Light" w:cs="Calibri"/>
                <w:sz w:val="20"/>
                <w:szCs w:val="20"/>
              </w:rPr>
            </w:pPr>
          </w:p>
          <w:p w14:paraId="2C8318D7" w14:textId="77777777" w:rsidR="007F3EA3" w:rsidRDefault="007F3EA3" w:rsidP="007F3EA3">
            <w:pPr>
              <w:spacing w:after="0" w:line="240" w:lineRule="auto"/>
              <w:jc w:val="center"/>
              <w:rPr>
                <w:rFonts w:ascii="Futura Std Condensed Light" w:eastAsia="Calibri" w:hAnsi="Futura Std Condensed Light" w:cs="Calibri"/>
                <w:sz w:val="20"/>
                <w:szCs w:val="20"/>
              </w:rPr>
            </w:pPr>
          </w:p>
          <w:p w14:paraId="2CFD16B4" w14:textId="77777777" w:rsidR="007F3EA3" w:rsidRDefault="007F3EA3" w:rsidP="007F3EA3">
            <w:pPr>
              <w:spacing w:after="0" w:line="240" w:lineRule="auto"/>
              <w:jc w:val="center"/>
              <w:rPr>
                <w:rFonts w:ascii="Futura Std Condensed Light" w:eastAsia="Calibri" w:hAnsi="Futura Std Condensed Light" w:cs="Calibri"/>
                <w:sz w:val="20"/>
                <w:szCs w:val="20"/>
              </w:rPr>
            </w:pPr>
          </w:p>
          <w:p w14:paraId="3AE077D8" w14:textId="77777777" w:rsidR="007F3EA3" w:rsidRDefault="007F3EA3" w:rsidP="007F3EA3">
            <w:pPr>
              <w:spacing w:after="0" w:line="240" w:lineRule="auto"/>
              <w:jc w:val="center"/>
              <w:rPr>
                <w:rFonts w:ascii="Futura Std Condensed Light" w:eastAsia="Calibri" w:hAnsi="Futura Std Condensed Light" w:cs="Calibri"/>
                <w:sz w:val="20"/>
                <w:szCs w:val="20"/>
              </w:rPr>
            </w:pPr>
          </w:p>
          <w:p w14:paraId="6863C17B" w14:textId="77777777" w:rsidR="007F3EA3" w:rsidRDefault="007F3EA3" w:rsidP="007F3EA3">
            <w:pPr>
              <w:spacing w:after="0" w:line="240" w:lineRule="auto"/>
              <w:jc w:val="center"/>
              <w:rPr>
                <w:rFonts w:ascii="Futura Std Condensed Light" w:eastAsia="Calibri" w:hAnsi="Futura Std Condensed Light" w:cs="Calibri"/>
                <w:sz w:val="20"/>
                <w:szCs w:val="20"/>
              </w:rPr>
            </w:pPr>
          </w:p>
          <w:p w14:paraId="58D4E2A3" w14:textId="7784B043" w:rsidR="007F3EA3" w:rsidRDefault="007F3EA3" w:rsidP="007F3EA3">
            <w:pPr>
              <w:spacing w:after="0" w:line="240" w:lineRule="auto"/>
              <w:jc w:val="center"/>
              <w:rPr>
                <w:rFonts w:ascii="Futura Std Condensed Light" w:eastAsia="Calibri" w:hAnsi="Futura Std Condensed Light" w:cs="Calibri"/>
                <w:sz w:val="20"/>
                <w:szCs w:val="20"/>
              </w:rPr>
            </w:pPr>
          </w:p>
          <w:p w14:paraId="386B0376" w14:textId="15446B08" w:rsidR="007F3EA3" w:rsidRDefault="007F3EA3" w:rsidP="007F3EA3">
            <w:pPr>
              <w:spacing w:after="0" w:line="240" w:lineRule="auto"/>
              <w:jc w:val="center"/>
              <w:rPr>
                <w:rFonts w:ascii="Futura Std Condensed Light" w:eastAsia="Calibri" w:hAnsi="Futura Std Condensed Light" w:cs="Calibri"/>
                <w:sz w:val="20"/>
                <w:szCs w:val="20"/>
              </w:rPr>
            </w:pPr>
          </w:p>
          <w:p w14:paraId="7CCAD57D" w14:textId="4EAC7BCD" w:rsidR="007F3EA3" w:rsidRDefault="007F3EA3" w:rsidP="007F3EA3">
            <w:pPr>
              <w:spacing w:after="0" w:line="240" w:lineRule="auto"/>
              <w:jc w:val="center"/>
              <w:rPr>
                <w:rFonts w:ascii="Futura Std Condensed Light" w:eastAsia="Calibri" w:hAnsi="Futura Std Condensed Light" w:cs="Calibri"/>
                <w:sz w:val="20"/>
                <w:szCs w:val="20"/>
              </w:rPr>
            </w:pPr>
          </w:p>
          <w:p w14:paraId="4A16594A" w14:textId="6C71C6BE" w:rsidR="007F3EA3" w:rsidRDefault="007F3EA3" w:rsidP="007F3EA3">
            <w:pPr>
              <w:spacing w:after="0" w:line="240" w:lineRule="auto"/>
              <w:jc w:val="center"/>
              <w:rPr>
                <w:rFonts w:ascii="Futura Std Condensed Light" w:eastAsia="Calibri" w:hAnsi="Futura Std Condensed Light" w:cs="Calibri"/>
                <w:sz w:val="20"/>
                <w:szCs w:val="20"/>
              </w:rPr>
            </w:pPr>
          </w:p>
          <w:p w14:paraId="63E24967" w14:textId="12CC0055" w:rsidR="007F3EA3" w:rsidRDefault="007F3EA3" w:rsidP="007F3EA3">
            <w:pPr>
              <w:spacing w:after="0" w:line="240" w:lineRule="auto"/>
              <w:jc w:val="center"/>
              <w:rPr>
                <w:rFonts w:ascii="Futura Std Condensed Light" w:eastAsia="Calibri" w:hAnsi="Futura Std Condensed Light" w:cs="Calibri"/>
                <w:sz w:val="20"/>
                <w:szCs w:val="20"/>
              </w:rPr>
            </w:pPr>
          </w:p>
          <w:p w14:paraId="37356F9B" w14:textId="13730724" w:rsidR="007F3EA3" w:rsidRDefault="007F3EA3" w:rsidP="007F3EA3">
            <w:pPr>
              <w:spacing w:after="0" w:line="240" w:lineRule="auto"/>
              <w:jc w:val="center"/>
              <w:rPr>
                <w:rFonts w:ascii="Futura Std Condensed Light" w:eastAsia="Calibri" w:hAnsi="Futura Std Condensed Light" w:cs="Calibri"/>
                <w:sz w:val="20"/>
                <w:szCs w:val="20"/>
              </w:rPr>
            </w:pPr>
          </w:p>
          <w:p w14:paraId="3EE5B623" w14:textId="73E0C30B" w:rsidR="007F3EA3" w:rsidRDefault="007F3EA3" w:rsidP="007F3EA3">
            <w:pPr>
              <w:spacing w:after="0" w:line="240" w:lineRule="auto"/>
              <w:jc w:val="center"/>
              <w:rPr>
                <w:rFonts w:ascii="Futura Std Condensed Light" w:eastAsia="Calibri" w:hAnsi="Futura Std Condensed Light" w:cs="Calibri"/>
                <w:sz w:val="20"/>
                <w:szCs w:val="20"/>
              </w:rPr>
            </w:pPr>
          </w:p>
          <w:p w14:paraId="10A76E84" w14:textId="042201D3" w:rsidR="007F3EA3" w:rsidRDefault="007F3EA3" w:rsidP="007F3EA3">
            <w:pPr>
              <w:spacing w:after="0" w:line="240" w:lineRule="auto"/>
              <w:jc w:val="center"/>
              <w:rPr>
                <w:rFonts w:ascii="Futura Std Condensed Light" w:eastAsia="Calibri" w:hAnsi="Futura Std Condensed Light" w:cs="Calibri"/>
                <w:sz w:val="20"/>
                <w:szCs w:val="20"/>
              </w:rPr>
            </w:pPr>
          </w:p>
          <w:p w14:paraId="27ACBF8A" w14:textId="3A1298AC" w:rsidR="007F3EA3" w:rsidRDefault="007F3EA3" w:rsidP="007F3EA3">
            <w:pPr>
              <w:spacing w:after="0" w:line="240" w:lineRule="auto"/>
              <w:jc w:val="center"/>
              <w:rPr>
                <w:rFonts w:ascii="Futura Std Condensed Light" w:eastAsia="Calibri" w:hAnsi="Futura Std Condensed Light" w:cs="Calibri"/>
                <w:sz w:val="20"/>
                <w:szCs w:val="20"/>
              </w:rPr>
            </w:pPr>
          </w:p>
          <w:p w14:paraId="7677C5F7" w14:textId="1D0ED4C3" w:rsidR="007F3EA3" w:rsidRDefault="007F3EA3" w:rsidP="007F3EA3">
            <w:pPr>
              <w:spacing w:after="0" w:line="240" w:lineRule="auto"/>
              <w:jc w:val="center"/>
              <w:rPr>
                <w:rFonts w:ascii="Futura Std Condensed Light" w:eastAsia="Calibri" w:hAnsi="Futura Std Condensed Light" w:cs="Calibri"/>
                <w:sz w:val="20"/>
                <w:szCs w:val="20"/>
              </w:rPr>
            </w:pPr>
          </w:p>
          <w:p w14:paraId="5D04ECF1" w14:textId="28F48DA1" w:rsidR="007F3EA3" w:rsidRDefault="007F3EA3" w:rsidP="007F3EA3">
            <w:pPr>
              <w:spacing w:after="0" w:line="240" w:lineRule="auto"/>
              <w:jc w:val="center"/>
              <w:rPr>
                <w:rFonts w:ascii="Futura Std Condensed Light" w:eastAsia="Calibri" w:hAnsi="Futura Std Condensed Light" w:cs="Calibri"/>
                <w:sz w:val="20"/>
                <w:szCs w:val="20"/>
              </w:rPr>
            </w:pPr>
          </w:p>
          <w:p w14:paraId="48EA264A" w14:textId="77777777" w:rsidR="007F3EA3" w:rsidRDefault="007F3EA3" w:rsidP="007F3EA3">
            <w:pPr>
              <w:spacing w:after="0" w:line="240" w:lineRule="auto"/>
              <w:jc w:val="center"/>
              <w:rPr>
                <w:rFonts w:ascii="Futura Std Condensed Light" w:eastAsia="Calibri" w:hAnsi="Futura Std Condensed Light" w:cs="Calibri"/>
                <w:sz w:val="20"/>
                <w:szCs w:val="20"/>
              </w:rPr>
            </w:pPr>
          </w:p>
          <w:p w14:paraId="45113592" w14:textId="0A722A7E" w:rsidR="007F3EA3" w:rsidRDefault="007F3EA3" w:rsidP="007F3EA3">
            <w:pPr>
              <w:spacing w:after="0" w:line="240" w:lineRule="auto"/>
              <w:jc w:val="center"/>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Programa Educación Pública de Calidad.</w:t>
            </w:r>
          </w:p>
          <w:p w14:paraId="539BDD67" w14:textId="77777777" w:rsidR="007F3EA3" w:rsidRDefault="007F3EA3" w:rsidP="007F3EA3">
            <w:pPr>
              <w:spacing w:after="0" w:line="240" w:lineRule="auto"/>
              <w:jc w:val="center"/>
              <w:rPr>
                <w:rFonts w:ascii="Futura Std Condensed Light" w:eastAsia="Calibri" w:hAnsi="Futura Std Condensed Light" w:cs="Calibri"/>
                <w:sz w:val="20"/>
                <w:szCs w:val="20"/>
              </w:rPr>
            </w:pPr>
          </w:p>
          <w:p w14:paraId="1D899901" w14:textId="0408D80E" w:rsidR="007F3EA3" w:rsidRDefault="007F3EA3" w:rsidP="007F3EA3">
            <w:pPr>
              <w:spacing w:after="0" w:line="240" w:lineRule="auto"/>
              <w:jc w:val="center"/>
              <w:rPr>
                <w:rFonts w:ascii="Futura Std Condensed Light" w:eastAsia="Calibri" w:hAnsi="Futura Std Condensed Light" w:cs="Calibri"/>
                <w:sz w:val="20"/>
                <w:szCs w:val="20"/>
              </w:rPr>
            </w:pPr>
          </w:p>
          <w:p w14:paraId="62554DDA" w14:textId="56360B8F" w:rsidR="007F3EA3" w:rsidRDefault="007F3EA3" w:rsidP="007F3EA3">
            <w:pPr>
              <w:spacing w:after="0" w:line="240" w:lineRule="auto"/>
              <w:jc w:val="center"/>
              <w:rPr>
                <w:rFonts w:ascii="Futura Std Condensed Light" w:eastAsia="Calibri" w:hAnsi="Futura Std Condensed Light" w:cs="Calibri"/>
                <w:sz w:val="20"/>
                <w:szCs w:val="20"/>
              </w:rPr>
            </w:pPr>
          </w:p>
          <w:p w14:paraId="72664643" w14:textId="23A2576F" w:rsidR="007F3EA3" w:rsidRDefault="007F3EA3" w:rsidP="007F3EA3">
            <w:pPr>
              <w:spacing w:after="0" w:line="240" w:lineRule="auto"/>
              <w:jc w:val="center"/>
              <w:rPr>
                <w:rFonts w:ascii="Futura Std Condensed Light" w:eastAsia="Calibri" w:hAnsi="Futura Std Condensed Light" w:cs="Calibri"/>
                <w:sz w:val="20"/>
                <w:szCs w:val="20"/>
              </w:rPr>
            </w:pPr>
          </w:p>
          <w:p w14:paraId="26010269" w14:textId="558F6910" w:rsidR="007F3EA3" w:rsidRDefault="007F3EA3" w:rsidP="007F3EA3">
            <w:pPr>
              <w:spacing w:after="0" w:line="240" w:lineRule="auto"/>
              <w:jc w:val="center"/>
              <w:rPr>
                <w:rFonts w:ascii="Futura Std Condensed Light" w:eastAsia="Calibri" w:hAnsi="Futura Std Condensed Light" w:cs="Calibri"/>
                <w:sz w:val="20"/>
                <w:szCs w:val="20"/>
              </w:rPr>
            </w:pPr>
          </w:p>
          <w:p w14:paraId="79BE6D91" w14:textId="2802DDCA" w:rsidR="007F3EA3" w:rsidRDefault="007F3EA3" w:rsidP="007F3EA3">
            <w:pPr>
              <w:spacing w:after="0" w:line="240" w:lineRule="auto"/>
              <w:jc w:val="center"/>
              <w:rPr>
                <w:rFonts w:ascii="Futura Std Condensed Light" w:eastAsia="Calibri" w:hAnsi="Futura Std Condensed Light" w:cs="Calibri"/>
                <w:sz w:val="20"/>
                <w:szCs w:val="20"/>
              </w:rPr>
            </w:pPr>
          </w:p>
          <w:p w14:paraId="11035DE3" w14:textId="722B72CC" w:rsidR="007F3EA3" w:rsidRDefault="007F3EA3" w:rsidP="007F3EA3">
            <w:pPr>
              <w:spacing w:after="0" w:line="240" w:lineRule="auto"/>
              <w:jc w:val="center"/>
              <w:rPr>
                <w:rFonts w:ascii="Futura Std Condensed Light" w:eastAsia="Calibri" w:hAnsi="Futura Std Condensed Light" w:cs="Calibri"/>
                <w:sz w:val="20"/>
                <w:szCs w:val="20"/>
              </w:rPr>
            </w:pPr>
          </w:p>
          <w:p w14:paraId="07DFE311" w14:textId="37396291" w:rsidR="007F3EA3" w:rsidRDefault="007F3EA3" w:rsidP="007F3EA3">
            <w:pPr>
              <w:spacing w:after="0" w:line="240" w:lineRule="auto"/>
              <w:jc w:val="center"/>
              <w:rPr>
                <w:rFonts w:ascii="Futura Std Condensed Light" w:eastAsia="Calibri" w:hAnsi="Futura Std Condensed Light" w:cs="Calibri"/>
                <w:sz w:val="20"/>
                <w:szCs w:val="20"/>
              </w:rPr>
            </w:pPr>
          </w:p>
          <w:p w14:paraId="2F873556" w14:textId="7D8C4E93" w:rsidR="007F3EA3" w:rsidRDefault="007F3EA3" w:rsidP="007F3EA3">
            <w:pPr>
              <w:spacing w:after="0" w:line="240" w:lineRule="auto"/>
              <w:jc w:val="center"/>
              <w:rPr>
                <w:rFonts w:ascii="Futura Std Condensed Light" w:eastAsia="Calibri" w:hAnsi="Futura Std Condensed Light" w:cs="Calibri"/>
                <w:sz w:val="20"/>
                <w:szCs w:val="20"/>
              </w:rPr>
            </w:pPr>
          </w:p>
          <w:p w14:paraId="0AAF64A7" w14:textId="7273CA3E" w:rsidR="007F3EA3" w:rsidRDefault="007F3EA3" w:rsidP="007F3EA3">
            <w:pPr>
              <w:spacing w:after="0" w:line="240" w:lineRule="auto"/>
              <w:jc w:val="center"/>
              <w:rPr>
                <w:rFonts w:ascii="Futura Std Condensed Light" w:eastAsia="Calibri" w:hAnsi="Futura Std Condensed Light" w:cs="Calibri"/>
                <w:sz w:val="20"/>
                <w:szCs w:val="20"/>
              </w:rPr>
            </w:pPr>
          </w:p>
          <w:p w14:paraId="5F229619" w14:textId="2190A7BC" w:rsidR="007F3EA3" w:rsidRDefault="007F3EA3" w:rsidP="007F3EA3">
            <w:pPr>
              <w:spacing w:after="0" w:line="240" w:lineRule="auto"/>
              <w:jc w:val="center"/>
              <w:rPr>
                <w:rFonts w:ascii="Futura Std Condensed Light" w:eastAsia="Calibri" w:hAnsi="Futura Std Condensed Light" w:cs="Calibri"/>
                <w:sz w:val="20"/>
                <w:szCs w:val="20"/>
              </w:rPr>
            </w:pPr>
          </w:p>
          <w:p w14:paraId="457F9410" w14:textId="4F7153F5" w:rsidR="007F3EA3" w:rsidRDefault="007F3EA3" w:rsidP="007F3EA3">
            <w:pPr>
              <w:spacing w:after="0" w:line="240" w:lineRule="auto"/>
              <w:jc w:val="center"/>
              <w:rPr>
                <w:rFonts w:ascii="Futura Std Condensed Light" w:eastAsia="Calibri" w:hAnsi="Futura Std Condensed Light" w:cs="Calibri"/>
                <w:sz w:val="20"/>
                <w:szCs w:val="20"/>
              </w:rPr>
            </w:pPr>
          </w:p>
          <w:p w14:paraId="49AEAEB4" w14:textId="4A16067B" w:rsidR="007F3EA3" w:rsidRDefault="007F3EA3" w:rsidP="007F3EA3">
            <w:pPr>
              <w:spacing w:after="0" w:line="240" w:lineRule="auto"/>
              <w:jc w:val="center"/>
              <w:rPr>
                <w:rFonts w:ascii="Futura Std Condensed Light" w:eastAsia="Calibri" w:hAnsi="Futura Std Condensed Light" w:cs="Calibri"/>
                <w:sz w:val="20"/>
                <w:szCs w:val="20"/>
              </w:rPr>
            </w:pPr>
          </w:p>
          <w:p w14:paraId="4A03832F" w14:textId="3D62A7DF" w:rsidR="007F3EA3" w:rsidRDefault="007F3EA3" w:rsidP="007F3EA3">
            <w:pPr>
              <w:spacing w:after="0" w:line="240" w:lineRule="auto"/>
              <w:jc w:val="center"/>
              <w:rPr>
                <w:rFonts w:ascii="Futura Std Condensed Light" w:eastAsia="Calibri" w:hAnsi="Futura Std Condensed Light" w:cs="Calibri"/>
                <w:sz w:val="20"/>
                <w:szCs w:val="20"/>
              </w:rPr>
            </w:pPr>
          </w:p>
          <w:p w14:paraId="0CCEFD44" w14:textId="4E641C1F" w:rsidR="007F3EA3" w:rsidRDefault="007F3EA3" w:rsidP="007F3EA3">
            <w:pPr>
              <w:spacing w:after="0" w:line="240" w:lineRule="auto"/>
              <w:jc w:val="center"/>
              <w:rPr>
                <w:rFonts w:ascii="Futura Std Condensed Light" w:eastAsia="Calibri" w:hAnsi="Futura Std Condensed Light" w:cs="Calibri"/>
                <w:sz w:val="20"/>
                <w:szCs w:val="20"/>
              </w:rPr>
            </w:pPr>
          </w:p>
          <w:p w14:paraId="7197AA80" w14:textId="0824CD4A" w:rsidR="007F3EA3" w:rsidRDefault="007F3EA3" w:rsidP="007F3EA3">
            <w:pPr>
              <w:spacing w:after="0" w:line="240" w:lineRule="auto"/>
              <w:jc w:val="center"/>
              <w:rPr>
                <w:rFonts w:ascii="Futura Std Condensed Light" w:eastAsia="Calibri" w:hAnsi="Futura Std Condensed Light" w:cs="Calibri"/>
                <w:sz w:val="20"/>
                <w:szCs w:val="20"/>
              </w:rPr>
            </w:pPr>
          </w:p>
          <w:p w14:paraId="06E451E6" w14:textId="4F968A0D" w:rsidR="007F3EA3" w:rsidRDefault="007F3EA3" w:rsidP="007F3EA3">
            <w:pPr>
              <w:spacing w:after="0" w:line="240" w:lineRule="auto"/>
              <w:jc w:val="center"/>
              <w:rPr>
                <w:rFonts w:ascii="Futura Std Condensed Light" w:eastAsia="Calibri" w:hAnsi="Futura Std Condensed Light" w:cs="Calibri"/>
                <w:sz w:val="20"/>
                <w:szCs w:val="20"/>
              </w:rPr>
            </w:pPr>
          </w:p>
          <w:p w14:paraId="5D3AE93E" w14:textId="729EF4EA" w:rsidR="007F3EA3" w:rsidRDefault="007F3EA3" w:rsidP="007F3EA3">
            <w:pPr>
              <w:spacing w:after="0" w:line="240" w:lineRule="auto"/>
              <w:jc w:val="center"/>
              <w:rPr>
                <w:rFonts w:ascii="Futura Std Condensed Light" w:eastAsia="Calibri" w:hAnsi="Futura Std Condensed Light" w:cs="Calibri"/>
                <w:sz w:val="20"/>
                <w:szCs w:val="20"/>
              </w:rPr>
            </w:pPr>
          </w:p>
          <w:p w14:paraId="57269B82" w14:textId="4AE2253F" w:rsidR="007F3EA3" w:rsidRDefault="007F3EA3" w:rsidP="007F3EA3">
            <w:pPr>
              <w:spacing w:after="0" w:line="240" w:lineRule="auto"/>
              <w:jc w:val="center"/>
              <w:rPr>
                <w:rFonts w:ascii="Futura Std Condensed Light" w:eastAsia="Calibri" w:hAnsi="Futura Std Condensed Light" w:cs="Calibri"/>
                <w:sz w:val="20"/>
                <w:szCs w:val="20"/>
              </w:rPr>
            </w:pPr>
          </w:p>
          <w:p w14:paraId="60BBC34B" w14:textId="775208EC" w:rsidR="007F3EA3" w:rsidRDefault="007F3EA3" w:rsidP="007F3EA3">
            <w:pPr>
              <w:spacing w:after="0" w:line="240" w:lineRule="auto"/>
              <w:jc w:val="center"/>
              <w:rPr>
                <w:rFonts w:ascii="Futura Std Condensed Light" w:eastAsia="Calibri" w:hAnsi="Futura Std Condensed Light" w:cs="Calibri"/>
                <w:sz w:val="20"/>
                <w:szCs w:val="20"/>
              </w:rPr>
            </w:pPr>
          </w:p>
          <w:p w14:paraId="212D439E" w14:textId="7928C5E2" w:rsidR="007F3EA3" w:rsidRDefault="007F3EA3" w:rsidP="007F3EA3">
            <w:pPr>
              <w:spacing w:after="0" w:line="240" w:lineRule="auto"/>
              <w:jc w:val="center"/>
              <w:rPr>
                <w:rFonts w:ascii="Futura Std Condensed Light" w:eastAsia="Calibri" w:hAnsi="Futura Std Condensed Light" w:cs="Calibri"/>
                <w:sz w:val="20"/>
                <w:szCs w:val="20"/>
              </w:rPr>
            </w:pPr>
          </w:p>
          <w:p w14:paraId="2C3C699C" w14:textId="458DFE8D" w:rsidR="007F3EA3" w:rsidRDefault="007F3EA3" w:rsidP="007F3EA3">
            <w:pPr>
              <w:spacing w:after="0" w:line="240" w:lineRule="auto"/>
              <w:jc w:val="center"/>
              <w:rPr>
                <w:rFonts w:ascii="Futura Std Condensed Light" w:eastAsia="Calibri" w:hAnsi="Futura Std Condensed Light" w:cs="Calibri"/>
                <w:sz w:val="20"/>
                <w:szCs w:val="20"/>
              </w:rPr>
            </w:pPr>
          </w:p>
          <w:p w14:paraId="736B2DF4" w14:textId="7E20B8E2" w:rsidR="007F3EA3" w:rsidRDefault="007F3EA3" w:rsidP="007F3EA3">
            <w:pPr>
              <w:spacing w:after="0" w:line="240" w:lineRule="auto"/>
              <w:jc w:val="center"/>
              <w:rPr>
                <w:rFonts w:ascii="Futura Std Condensed Light" w:eastAsia="Calibri" w:hAnsi="Futura Std Condensed Light" w:cs="Calibri"/>
                <w:sz w:val="20"/>
                <w:szCs w:val="20"/>
              </w:rPr>
            </w:pPr>
          </w:p>
          <w:p w14:paraId="4861A06D" w14:textId="1D531251" w:rsidR="007F3EA3" w:rsidRDefault="007F3EA3" w:rsidP="007F3EA3">
            <w:pPr>
              <w:spacing w:after="0" w:line="240" w:lineRule="auto"/>
              <w:jc w:val="center"/>
              <w:rPr>
                <w:rFonts w:ascii="Futura Std Condensed Light" w:eastAsia="Calibri" w:hAnsi="Futura Std Condensed Light" w:cs="Calibri"/>
                <w:sz w:val="20"/>
                <w:szCs w:val="20"/>
              </w:rPr>
            </w:pPr>
          </w:p>
          <w:p w14:paraId="16F273C9" w14:textId="7E261504" w:rsidR="007F3EA3" w:rsidRDefault="007F3EA3" w:rsidP="007F3EA3">
            <w:pPr>
              <w:spacing w:after="0" w:line="240" w:lineRule="auto"/>
              <w:jc w:val="center"/>
              <w:rPr>
                <w:rFonts w:ascii="Futura Std Condensed Light" w:eastAsia="Calibri" w:hAnsi="Futura Std Condensed Light" w:cs="Calibri"/>
                <w:sz w:val="20"/>
                <w:szCs w:val="20"/>
              </w:rPr>
            </w:pPr>
          </w:p>
          <w:p w14:paraId="16012FDE" w14:textId="099F298C" w:rsidR="007F3EA3" w:rsidRDefault="007F3EA3" w:rsidP="007F3EA3">
            <w:pPr>
              <w:spacing w:after="0" w:line="240" w:lineRule="auto"/>
              <w:jc w:val="center"/>
              <w:rPr>
                <w:rFonts w:ascii="Futura Std Condensed Light" w:eastAsia="Calibri" w:hAnsi="Futura Std Condensed Light" w:cs="Calibri"/>
                <w:sz w:val="20"/>
                <w:szCs w:val="20"/>
              </w:rPr>
            </w:pPr>
          </w:p>
          <w:p w14:paraId="3A09A864" w14:textId="7B724839" w:rsidR="007F3EA3" w:rsidRDefault="007F3EA3" w:rsidP="007F3EA3">
            <w:pPr>
              <w:spacing w:after="0" w:line="240" w:lineRule="auto"/>
              <w:jc w:val="center"/>
              <w:rPr>
                <w:rFonts w:ascii="Futura Std Condensed Light" w:eastAsia="Calibri" w:hAnsi="Futura Std Condensed Light" w:cs="Calibri"/>
                <w:sz w:val="20"/>
                <w:szCs w:val="20"/>
              </w:rPr>
            </w:pPr>
          </w:p>
          <w:p w14:paraId="6A499A2E" w14:textId="03F998B8" w:rsidR="007F3EA3" w:rsidRDefault="007F3EA3" w:rsidP="007F3EA3">
            <w:pPr>
              <w:spacing w:after="0" w:line="240" w:lineRule="auto"/>
              <w:jc w:val="center"/>
              <w:rPr>
                <w:rFonts w:ascii="Futura Std Condensed Light" w:eastAsia="Calibri" w:hAnsi="Futura Std Condensed Light" w:cs="Calibri"/>
                <w:sz w:val="20"/>
                <w:szCs w:val="20"/>
              </w:rPr>
            </w:pPr>
          </w:p>
          <w:p w14:paraId="19647C60" w14:textId="0768607E" w:rsidR="007F3EA3" w:rsidRDefault="007F3EA3" w:rsidP="007F3EA3">
            <w:pPr>
              <w:spacing w:after="0" w:line="240" w:lineRule="auto"/>
              <w:jc w:val="center"/>
              <w:rPr>
                <w:rFonts w:ascii="Futura Std Condensed Light" w:eastAsia="Calibri" w:hAnsi="Futura Std Condensed Light" w:cs="Calibri"/>
                <w:sz w:val="20"/>
                <w:szCs w:val="20"/>
              </w:rPr>
            </w:pPr>
          </w:p>
          <w:p w14:paraId="4A4A7EB1" w14:textId="25B3CC44" w:rsidR="007F3EA3" w:rsidRDefault="007F3EA3" w:rsidP="007F3EA3">
            <w:pPr>
              <w:spacing w:after="0" w:line="240" w:lineRule="auto"/>
              <w:jc w:val="center"/>
              <w:rPr>
                <w:rFonts w:ascii="Futura Std Condensed Light" w:eastAsia="Calibri" w:hAnsi="Futura Std Condensed Light" w:cs="Calibri"/>
                <w:sz w:val="20"/>
                <w:szCs w:val="20"/>
              </w:rPr>
            </w:pPr>
          </w:p>
          <w:p w14:paraId="7DB02304" w14:textId="6B6772B4" w:rsidR="007F3EA3" w:rsidRDefault="007F3EA3" w:rsidP="007F3EA3">
            <w:pPr>
              <w:spacing w:after="0" w:line="240" w:lineRule="auto"/>
              <w:jc w:val="center"/>
              <w:rPr>
                <w:rFonts w:ascii="Futura Std Condensed Light" w:eastAsia="Calibri" w:hAnsi="Futura Std Condensed Light" w:cs="Calibri"/>
                <w:sz w:val="20"/>
                <w:szCs w:val="20"/>
              </w:rPr>
            </w:pPr>
          </w:p>
          <w:p w14:paraId="7AA86251" w14:textId="489EBD41" w:rsidR="007F3EA3" w:rsidRDefault="007F3EA3" w:rsidP="007F3EA3">
            <w:pPr>
              <w:spacing w:after="0" w:line="240" w:lineRule="auto"/>
              <w:jc w:val="center"/>
              <w:rPr>
                <w:rFonts w:ascii="Futura Std Condensed Light" w:eastAsia="Calibri" w:hAnsi="Futura Std Condensed Light" w:cs="Calibri"/>
                <w:sz w:val="20"/>
                <w:szCs w:val="20"/>
              </w:rPr>
            </w:pPr>
          </w:p>
          <w:p w14:paraId="0CCF34FE" w14:textId="49325AF2" w:rsidR="007F3EA3" w:rsidRDefault="007F3EA3" w:rsidP="007F3EA3">
            <w:pPr>
              <w:spacing w:after="0" w:line="240" w:lineRule="auto"/>
              <w:jc w:val="center"/>
              <w:rPr>
                <w:rFonts w:ascii="Futura Std Condensed Light" w:eastAsia="Calibri" w:hAnsi="Futura Std Condensed Light" w:cs="Calibri"/>
                <w:sz w:val="20"/>
                <w:szCs w:val="20"/>
              </w:rPr>
            </w:pPr>
          </w:p>
          <w:p w14:paraId="2BD7DB38" w14:textId="77777777" w:rsidR="007F3EA3" w:rsidRDefault="007F3EA3" w:rsidP="007F3EA3">
            <w:pPr>
              <w:spacing w:after="0" w:line="240" w:lineRule="auto"/>
              <w:jc w:val="center"/>
              <w:rPr>
                <w:rFonts w:ascii="Futura Std Condensed Light" w:eastAsia="Calibri" w:hAnsi="Futura Std Condensed Light" w:cs="Calibri"/>
                <w:sz w:val="20"/>
                <w:szCs w:val="20"/>
              </w:rPr>
            </w:pPr>
          </w:p>
          <w:p w14:paraId="42BF7402" w14:textId="77777777" w:rsidR="007F3EA3" w:rsidRDefault="007F3EA3" w:rsidP="007F3EA3">
            <w:pPr>
              <w:spacing w:after="0" w:line="240" w:lineRule="auto"/>
              <w:jc w:val="center"/>
              <w:rPr>
                <w:rFonts w:ascii="Futura Std Condensed Light" w:eastAsia="Calibri" w:hAnsi="Futura Std Condensed Light" w:cs="Calibri"/>
                <w:sz w:val="20"/>
                <w:szCs w:val="20"/>
              </w:rPr>
            </w:pPr>
          </w:p>
          <w:p w14:paraId="45D256DB" w14:textId="77777777" w:rsidR="007F3EA3" w:rsidRDefault="007F3EA3" w:rsidP="007F3EA3">
            <w:pPr>
              <w:spacing w:after="0" w:line="240" w:lineRule="auto"/>
              <w:jc w:val="center"/>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Programa Educación Pública de Calidad.</w:t>
            </w:r>
          </w:p>
          <w:p w14:paraId="53AD6F9A" w14:textId="23F8B660" w:rsidR="007F3EA3" w:rsidRDefault="007F3EA3" w:rsidP="00476422">
            <w:pPr>
              <w:spacing w:after="0" w:line="240" w:lineRule="auto"/>
              <w:jc w:val="center"/>
              <w:rPr>
                <w:rFonts w:ascii="Futura Std Condensed Light" w:eastAsia="Calibri" w:hAnsi="Futura Std Condensed Light" w:cs="Calibri"/>
                <w:sz w:val="20"/>
                <w:szCs w:val="20"/>
              </w:rPr>
            </w:pPr>
          </w:p>
          <w:p w14:paraId="637821AD" w14:textId="77777777" w:rsidR="007F3EA3" w:rsidRPr="007F3EA3" w:rsidRDefault="007F3EA3" w:rsidP="007F3EA3">
            <w:pPr>
              <w:rPr>
                <w:rFonts w:ascii="Futura Std Condensed Light" w:eastAsia="Calibri" w:hAnsi="Futura Std Condensed Light" w:cs="Calibri"/>
                <w:sz w:val="20"/>
                <w:szCs w:val="20"/>
              </w:rPr>
            </w:pPr>
          </w:p>
          <w:p w14:paraId="177935A1" w14:textId="5C164840" w:rsidR="007F3EA3" w:rsidRDefault="007F3EA3" w:rsidP="007F3EA3">
            <w:pPr>
              <w:rPr>
                <w:rFonts w:ascii="Futura Std Condensed Light" w:eastAsia="Calibri" w:hAnsi="Futura Std Condensed Light" w:cs="Calibri"/>
                <w:sz w:val="20"/>
                <w:szCs w:val="20"/>
              </w:rPr>
            </w:pPr>
          </w:p>
          <w:p w14:paraId="5DDE9857" w14:textId="42AA2EFD" w:rsidR="007F3EA3" w:rsidRDefault="007F3EA3" w:rsidP="007F3EA3">
            <w:pPr>
              <w:rPr>
                <w:rFonts w:ascii="Futura Std Condensed Light" w:eastAsia="Calibri" w:hAnsi="Futura Std Condensed Light" w:cs="Calibri"/>
                <w:sz w:val="20"/>
                <w:szCs w:val="20"/>
              </w:rPr>
            </w:pPr>
          </w:p>
          <w:p w14:paraId="15D976AE" w14:textId="7BC15663" w:rsidR="007F3EA3" w:rsidRDefault="007F3EA3" w:rsidP="007F3EA3">
            <w:pPr>
              <w:rPr>
                <w:rFonts w:ascii="Futura Std Condensed Light" w:eastAsia="Calibri" w:hAnsi="Futura Std Condensed Light" w:cs="Calibri"/>
                <w:sz w:val="20"/>
                <w:szCs w:val="20"/>
              </w:rPr>
            </w:pPr>
          </w:p>
          <w:p w14:paraId="431C1704" w14:textId="403ACB2E" w:rsidR="007F3EA3" w:rsidRDefault="007F3EA3" w:rsidP="007F3EA3">
            <w:pPr>
              <w:rPr>
                <w:rFonts w:ascii="Futura Std Condensed Light" w:eastAsia="Calibri" w:hAnsi="Futura Std Condensed Light" w:cs="Calibri"/>
                <w:sz w:val="20"/>
                <w:szCs w:val="20"/>
              </w:rPr>
            </w:pPr>
          </w:p>
          <w:p w14:paraId="2A9189B1" w14:textId="4493BA11" w:rsidR="007F3EA3" w:rsidRDefault="007F3EA3" w:rsidP="007F3EA3">
            <w:pPr>
              <w:rPr>
                <w:rFonts w:ascii="Futura Std Condensed Light" w:eastAsia="Calibri" w:hAnsi="Futura Std Condensed Light" w:cs="Calibri"/>
                <w:sz w:val="20"/>
                <w:szCs w:val="20"/>
              </w:rPr>
            </w:pPr>
          </w:p>
          <w:p w14:paraId="7255EBA6" w14:textId="23031EBE" w:rsidR="007F3EA3" w:rsidRDefault="007F3EA3" w:rsidP="007F3EA3">
            <w:pPr>
              <w:rPr>
                <w:rFonts w:ascii="Futura Std Condensed Light" w:eastAsia="Calibri" w:hAnsi="Futura Std Condensed Light" w:cs="Calibri"/>
                <w:sz w:val="20"/>
                <w:szCs w:val="20"/>
              </w:rPr>
            </w:pPr>
          </w:p>
          <w:p w14:paraId="49BF23E2" w14:textId="1465BFCE" w:rsidR="007F3EA3" w:rsidRDefault="007F3EA3" w:rsidP="007F3EA3">
            <w:pPr>
              <w:rPr>
                <w:rFonts w:ascii="Futura Std Condensed Light" w:eastAsia="Calibri" w:hAnsi="Futura Std Condensed Light" w:cs="Calibri"/>
                <w:sz w:val="20"/>
                <w:szCs w:val="20"/>
              </w:rPr>
            </w:pPr>
          </w:p>
          <w:p w14:paraId="1E7C0EDD" w14:textId="6C924CEE" w:rsidR="007F3EA3" w:rsidRDefault="007F3EA3" w:rsidP="007F3EA3">
            <w:pPr>
              <w:rPr>
                <w:rFonts w:ascii="Futura Std Condensed Light" w:eastAsia="Calibri" w:hAnsi="Futura Std Condensed Light" w:cs="Calibri"/>
                <w:sz w:val="20"/>
                <w:szCs w:val="20"/>
              </w:rPr>
            </w:pPr>
          </w:p>
          <w:p w14:paraId="439E3953" w14:textId="0C59B7E8" w:rsidR="007F3EA3" w:rsidRDefault="007F3EA3" w:rsidP="007F3EA3">
            <w:pPr>
              <w:rPr>
                <w:rFonts w:ascii="Futura Std Condensed Light" w:eastAsia="Calibri" w:hAnsi="Futura Std Condensed Light" w:cs="Calibri"/>
                <w:sz w:val="20"/>
                <w:szCs w:val="20"/>
              </w:rPr>
            </w:pPr>
          </w:p>
          <w:p w14:paraId="68F0ECFC" w14:textId="74F82406" w:rsidR="007F3EA3" w:rsidRDefault="007F3EA3" w:rsidP="007F3EA3">
            <w:pPr>
              <w:rPr>
                <w:rFonts w:ascii="Futura Std Condensed Light" w:eastAsia="Calibri" w:hAnsi="Futura Std Condensed Light" w:cs="Calibri"/>
                <w:sz w:val="20"/>
                <w:szCs w:val="20"/>
              </w:rPr>
            </w:pPr>
          </w:p>
          <w:p w14:paraId="6E8AE360" w14:textId="49AC77A3" w:rsidR="007F3EA3" w:rsidRDefault="007F3EA3" w:rsidP="007F3EA3">
            <w:pPr>
              <w:rPr>
                <w:rFonts w:ascii="Futura Std Condensed Light" w:eastAsia="Calibri" w:hAnsi="Futura Std Condensed Light" w:cs="Calibri"/>
                <w:sz w:val="20"/>
                <w:szCs w:val="20"/>
              </w:rPr>
            </w:pPr>
          </w:p>
          <w:p w14:paraId="78768247" w14:textId="5F377357" w:rsidR="007F3EA3" w:rsidRDefault="007F3EA3" w:rsidP="007F3EA3">
            <w:pPr>
              <w:rPr>
                <w:rFonts w:ascii="Futura Std Condensed Light" w:eastAsia="Calibri" w:hAnsi="Futura Std Condensed Light" w:cs="Calibri"/>
                <w:sz w:val="20"/>
                <w:szCs w:val="20"/>
              </w:rPr>
            </w:pPr>
          </w:p>
          <w:p w14:paraId="13E39DDE" w14:textId="357B4929" w:rsidR="007F3EA3" w:rsidRDefault="007F3EA3" w:rsidP="007F3EA3">
            <w:pPr>
              <w:rPr>
                <w:rFonts w:ascii="Futura Std Condensed Light" w:eastAsia="Calibri" w:hAnsi="Futura Std Condensed Light" w:cs="Calibri"/>
                <w:sz w:val="20"/>
                <w:szCs w:val="20"/>
              </w:rPr>
            </w:pPr>
          </w:p>
          <w:p w14:paraId="55B278DE" w14:textId="7EAE16D8" w:rsidR="00A24FEB" w:rsidRDefault="00A24FEB" w:rsidP="007F3EA3">
            <w:pPr>
              <w:rPr>
                <w:rFonts w:ascii="Futura Std Condensed Light" w:eastAsia="Calibri" w:hAnsi="Futura Std Condensed Light" w:cs="Calibri"/>
                <w:sz w:val="20"/>
                <w:szCs w:val="20"/>
              </w:rPr>
            </w:pPr>
          </w:p>
          <w:p w14:paraId="77AF68E2" w14:textId="5BC8EFCA" w:rsidR="00A24FEB" w:rsidRDefault="00A24FEB" w:rsidP="007F3EA3">
            <w:pPr>
              <w:rPr>
                <w:rFonts w:ascii="Futura Std Condensed Light" w:eastAsia="Calibri" w:hAnsi="Futura Std Condensed Light" w:cs="Calibri"/>
                <w:sz w:val="20"/>
                <w:szCs w:val="20"/>
              </w:rPr>
            </w:pPr>
          </w:p>
          <w:p w14:paraId="32B2B9C6" w14:textId="46195CDB" w:rsidR="00A24FEB" w:rsidRDefault="00A24FEB" w:rsidP="007F3EA3">
            <w:pPr>
              <w:rPr>
                <w:rFonts w:ascii="Futura Std Condensed Light" w:eastAsia="Calibri" w:hAnsi="Futura Std Condensed Light" w:cs="Calibri"/>
                <w:sz w:val="20"/>
                <w:szCs w:val="20"/>
              </w:rPr>
            </w:pPr>
          </w:p>
          <w:p w14:paraId="3B7B8C51" w14:textId="77777777" w:rsidR="007F3EA3" w:rsidRDefault="007F3EA3" w:rsidP="007F3EA3">
            <w:pPr>
              <w:spacing w:after="0" w:line="240" w:lineRule="auto"/>
              <w:jc w:val="center"/>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Programa Educación Pública de Calidad.</w:t>
            </w:r>
          </w:p>
          <w:p w14:paraId="7ED3DC0A" w14:textId="46AF5F22" w:rsidR="007F3EA3" w:rsidRDefault="007F3EA3" w:rsidP="007F3EA3">
            <w:pPr>
              <w:rPr>
                <w:rFonts w:ascii="Futura Std Condensed Light" w:eastAsia="Calibri" w:hAnsi="Futura Std Condensed Light" w:cs="Calibri"/>
                <w:sz w:val="20"/>
                <w:szCs w:val="20"/>
              </w:rPr>
            </w:pPr>
          </w:p>
          <w:p w14:paraId="503BCB49" w14:textId="77777777" w:rsidR="007F3EA3" w:rsidRPr="007F3EA3" w:rsidRDefault="007F3EA3" w:rsidP="007F3EA3">
            <w:pPr>
              <w:rPr>
                <w:rFonts w:ascii="Futura Std Condensed Light" w:eastAsia="Calibri" w:hAnsi="Futura Std Condensed Light" w:cs="Calibri"/>
                <w:sz w:val="20"/>
                <w:szCs w:val="20"/>
              </w:rPr>
            </w:pPr>
          </w:p>
          <w:p w14:paraId="50E17C15" w14:textId="22BFE39D" w:rsidR="007F3EA3" w:rsidRDefault="007F3EA3" w:rsidP="007F3EA3">
            <w:pPr>
              <w:rPr>
                <w:rFonts w:ascii="Futura Std Condensed Light" w:eastAsia="Calibri" w:hAnsi="Futura Std Condensed Light" w:cs="Calibri"/>
                <w:sz w:val="20"/>
                <w:szCs w:val="20"/>
              </w:rPr>
            </w:pPr>
          </w:p>
          <w:p w14:paraId="368BC48B" w14:textId="64A44BC0" w:rsidR="007F3EA3" w:rsidRDefault="007F3EA3" w:rsidP="007F3EA3">
            <w:pPr>
              <w:rPr>
                <w:rFonts w:ascii="Futura Std Condensed Light" w:eastAsia="Calibri" w:hAnsi="Futura Std Condensed Light" w:cs="Calibri"/>
                <w:sz w:val="20"/>
                <w:szCs w:val="20"/>
              </w:rPr>
            </w:pPr>
          </w:p>
          <w:p w14:paraId="0DFAF944" w14:textId="7C67859B" w:rsidR="007F3EA3" w:rsidRDefault="007F3EA3" w:rsidP="007F3EA3">
            <w:pPr>
              <w:rPr>
                <w:rFonts w:ascii="Futura Std Condensed Light" w:eastAsia="Calibri" w:hAnsi="Futura Std Condensed Light" w:cs="Calibri"/>
                <w:sz w:val="20"/>
                <w:szCs w:val="20"/>
              </w:rPr>
            </w:pPr>
          </w:p>
          <w:p w14:paraId="2A7D964D" w14:textId="4B1C00CC" w:rsidR="007F3EA3" w:rsidRDefault="007F3EA3" w:rsidP="007F3EA3">
            <w:pPr>
              <w:rPr>
                <w:rFonts w:ascii="Futura Std Condensed Light" w:eastAsia="Calibri" w:hAnsi="Futura Std Condensed Light" w:cs="Calibri"/>
                <w:sz w:val="20"/>
                <w:szCs w:val="20"/>
              </w:rPr>
            </w:pPr>
          </w:p>
          <w:p w14:paraId="0C575F97" w14:textId="18F7901F" w:rsidR="007F3EA3" w:rsidRDefault="007F3EA3" w:rsidP="007F3EA3">
            <w:pPr>
              <w:rPr>
                <w:rFonts w:ascii="Futura Std Condensed Light" w:eastAsia="Calibri" w:hAnsi="Futura Std Condensed Light" w:cs="Calibri"/>
                <w:sz w:val="20"/>
                <w:szCs w:val="20"/>
              </w:rPr>
            </w:pPr>
          </w:p>
          <w:p w14:paraId="6C60A2F7" w14:textId="21542141" w:rsidR="007F3EA3" w:rsidRDefault="007F3EA3" w:rsidP="007F3EA3">
            <w:pPr>
              <w:rPr>
                <w:rFonts w:ascii="Futura Std Condensed Light" w:eastAsia="Calibri" w:hAnsi="Futura Std Condensed Light" w:cs="Calibri"/>
                <w:sz w:val="20"/>
                <w:szCs w:val="20"/>
              </w:rPr>
            </w:pPr>
          </w:p>
          <w:p w14:paraId="338C6FE3" w14:textId="20F20C8E" w:rsidR="007F3EA3" w:rsidRDefault="007F3EA3" w:rsidP="007F3EA3">
            <w:pPr>
              <w:rPr>
                <w:rFonts w:ascii="Futura Std Condensed Light" w:eastAsia="Calibri" w:hAnsi="Futura Std Condensed Light" w:cs="Calibri"/>
                <w:sz w:val="20"/>
                <w:szCs w:val="20"/>
              </w:rPr>
            </w:pPr>
          </w:p>
          <w:p w14:paraId="00D86035" w14:textId="1115A589" w:rsidR="007F3EA3" w:rsidRDefault="007F3EA3" w:rsidP="007F3EA3">
            <w:pPr>
              <w:rPr>
                <w:rFonts w:ascii="Futura Std Condensed Light" w:eastAsia="Calibri" w:hAnsi="Futura Std Condensed Light" w:cs="Calibri"/>
                <w:sz w:val="20"/>
                <w:szCs w:val="20"/>
              </w:rPr>
            </w:pPr>
          </w:p>
          <w:p w14:paraId="067C2D39" w14:textId="1455730C" w:rsidR="007F3EA3" w:rsidRDefault="007F3EA3" w:rsidP="007F3EA3">
            <w:pPr>
              <w:rPr>
                <w:rFonts w:ascii="Futura Std Condensed Light" w:eastAsia="Calibri" w:hAnsi="Futura Std Condensed Light" w:cs="Calibri"/>
                <w:sz w:val="20"/>
                <w:szCs w:val="20"/>
              </w:rPr>
            </w:pPr>
          </w:p>
          <w:p w14:paraId="2D2B47D0" w14:textId="570B7B17" w:rsidR="007F3EA3" w:rsidRDefault="007F3EA3" w:rsidP="007F3EA3">
            <w:pPr>
              <w:rPr>
                <w:rFonts w:ascii="Futura Std Condensed Light" w:eastAsia="Calibri" w:hAnsi="Futura Std Condensed Light" w:cs="Calibri"/>
                <w:sz w:val="20"/>
                <w:szCs w:val="20"/>
              </w:rPr>
            </w:pPr>
          </w:p>
          <w:p w14:paraId="0CFC4137" w14:textId="7C498B56" w:rsidR="007F3EA3" w:rsidRDefault="007F3EA3" w:rsidP="007F3EA3">
            <w:pPr>
              <w:rPr>
                <w:rFonts w:ascii="Futura Std Condensed Light" w:eastAsia="Calibri" w:hAnsi="Futura Std Condensed Light" w:cs="Calibri"/>
                <w:sz w:val="20"/>
                <w:szCs w:val="20"/>
              </w:rPr>
            </w:pPr>
          </w:p>
          <w:p w14:paraId="5BCC5DF0" w14:textId="77777777" w:rsidR="007F3EA3" w:rsidRDefault="007F3EA3" w:rsidP="007F3EA3">
            <w:pPr>
              <w:rPr>
                <w:rFonts w:ascii="Futura Std Condensed Light" w:eastAsia="Calibri" w:hAnsi="Futura Std Condensed Light" w:cs="Calibri"/>
                <w:sz w:val="20"/>
                <w:szCs w:val="20"/>
              </w:rPr>
            </w:pPr>
          </w:p>
          <w:p w14:paraId="147E8C25" w14:textId="77777777" w:rsidR="007F3EA3" w:rsidRDefault="007F3EA3" w:rsidP="007F3EA3">
            <w:pPr>
              <w:spacing w:after="0" w:line="240" w:lineRule="auto"/>
              <w:jc w:val="center"/>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Programa Educación Pública de Calidad.</w:t>
            </w:r>
          </w:p>
          <w:p w14:paraId="2C8451D9" w14:textId="77777777" w:rsidR="007F3EA3" w:rsidRDefault="007F3EA3" w:rsidP="007F3EA3">
            <w:pPr>
              <w:spacing w:after="0" w:line="240" w:lineRule="auto"/>
              <w:jc w:val="center"/>
              <w:rPr>
                <w:rFonts w:ascii="Futura Std Condensed Light" w:eastAsia="Calibri" w:hAnsi="Futura Std Condensed Light" w:cs="Calibri"/>
                <w:sz w:val="20"/>
                <w:szCs w:val="20"/>
              </w:rPr>
            </w:pPr>
          </w:p>
          <w:p w14:paraId="44DAE0D8" w14:textId="77777777" w:rsidR="007F3EA3" w:rsidRDefault="007F3EA3" w:rsidP="007F3EA3">
            <w:pPr>
              <w:spacing w:after="0" w:line="240" w:lineRule="auto"/>
              <w:jc w:val="center"/>
              <w:rPr>
                <w:rFonts w:ascii="Futura Std Condensed Light" w:eastAsia="Calibri" w:hAnsi="Futura Std Condensed Light" w:cs="Calibri"/>
                <w:sz w:val="20"/>
                <w:szCs w:val="20"/>
              </w:rPr>
            </w:pPr>
          </w:p>
          <w:p w14:paraId="059C7A16" w14:textId="77777777" w:rsidR="007F3EA3" w:rsidRDefault="007F3EA3" w:rsidP="007F3EA3">
            <w:pPr>
              <w:spacing w:after="0" w:line="240" w:lineRule="auto"/>
              <w:jc w:val="center"/>
              <w:rPr>
                <w:rFonts w:ascii="Futura Std Condensed Light" w:eastAsia="Calibri" w:hAnsi="Futura Std Condensed Light" w:cs="Calibri"/>
                <w:sz w:val="20"/>
                <w:szCs w:val="20"/>
              </w:rPr>
            </w:pPr>
          </w:p>
          <w:p w14:paraId="2C1EF3AF" w14:textId="77777777" w:rsidR="007F3EA3" w:rsidRDefault="007F3EA3" w:rsidP="007F3EA3">
            <w:pPr>
              <w:spacing w:after="0" w:line="240" w:lineRule="auto"/>
              <w:jc w:val="center"/>
              <w:rPr>
                <w:rFonts w:ascii="Futura Std Condensed Light" w:eastAsia="Calibri" w:hAnsi="Futura Std Condensed Light" w:cs="Calibri"/>
                <w:sz w:val="20"/>
                <w:szCs w:val="20"/>
              </w:rPr>
            </w:pPr>
          </w:p>
          <w:p w14:paraId="42F55033" w14:textId="77777777" w:rsidR="007F3EA3" w:rsidRDefault="007F3EA3" w:rsidP="007F3EA3">
            <w:pPr>
              <w:spacing w:after="0" w:line="240" w:lineRule="auto"/>
              <w:jc w:val="center"/>
              <w:rPr>
                <w:rFonts w:ascii="Futura Std Condensed Light" w:eastAsia="Calibri" w:hAnsi="Futura Std Condensed Light" w:cs="Calibri"/>
                <w:sz w:val="20"/>
                <w:szCs w:val="20"/>
              </w:rPr>
            </w:pPr>
          </w:p>
          <w:p w14:paraId="6B67442C" w14:textId="77777777" w:rsidR="007F3EA3" w:rsidRDefault="007F3EA3" w:rsidP="007F3EA3">
            <w:pPr>
              <w:spacing w:after="0" w:line="240" w:lineRule="auto"/>
              <w:jc w:val="center"/>
              <w:rPr>
                <w:rFonts w:ascii="Futura Std Condensed Light" w:eastAsia="Calibri" w:hAnsi="Futura Std Condensed Light" w:cs="Calibri"/>
                <w:sz w:val="20"/>
                <w:szCs w:val="20"/>
              </w:rPr>
            </w:pPr>
          </w:p>
          <w:p w14:paraId="56787CBD" w14:textId="77777777" w:rsidR="007F3EA3" w:rsidRDefault="007F3EA3" w:rsidP="007F3EA3">
            <w:pPr>
              <w:spacing w:after="0" w:line="240" w:lineRule="auto"/>
              <w:jc w:val="center"/>
              <w:rPr>
                <w:rFonts w:ascii="Futura Std Condensed Light" w:eastAsia="Calibri" w:hAnsi="Futura Std Condensed Light" w:cs="Calibri"/>
                <w:sz w:val="20"/>
                <w:szCs w:val="20"/>
              </w:rPr>
            </w:pPr>
          </w:p>
          <w:p w14:paraId="74340D11" w14:textId="77777777" w:rsidR="007F3EA3" w:rsidRDefault="007F3EA3" w:rsidP="007F3EA3">
            <w:pPr>
              <w:spacing w:after="0" w:line="240" w:lineRule="auto"/>
              <w:jc w:val="center"/>
              <w:rPr>
                <w:rFonts w:ascii="Futura Std Condensed Light" w:eastAsia="Calibri" w:hAnsi="Futura Std Condensed Light" w:cs="Calibri"/>
                <w:sz w:val="20"/>
                <w:szCs w:val="20"/>
              </w:rPr>
            </w:pPr>
          </w:p>
          <w:p w14:paraId="2212B9F4" w14:textId="77777777" w:rsidR="007F3EA3" w:rsidRDefault="007F3EA3" w:rsidP="007F3EA3">
            <w:pPr>
              <w:spacing w:after="0" w:line="240" w:lineRule="auto"/>
              <w:jc w:val="center"/>
              <w:rPr>
                <w:rFonts w:ascii="Futura Std Condensed Light" w:eastAsia="Calibri" w:hAnsi="Futura Std Condensed Light" w:cs="Calibri"/>
                <w:sz w:val="20"/>
                <w:szCs w:val="20"/>
              </w:rPr>
            </w:pPr>
          </w:p>
          <w:p w14:paraId="0DEDDF7E" w14:textId="77777777" w:rsidR="007F3EA3" w:rsidRDefault="007F3EA3" w:rsidP="007F3EA3">
            <w:pPr>
              <w:spacing w:after="0" w:line="240" w:lineRule="auto"/>
              <w:jc w:val="center"/>
              <w:rPr>
                <w:rFonts w:ascii="Futura Std Condensed Light" w:eastAsia="Calibri" w:hAnsi="Futura Std Condensed Light" w:cs="Calibri"/>
                <w:sz w:val="20"/>
                <w:szCs w:val="20"/>
              </w:rPr>
            </w:pPr>
          </w:p>
          <w:p w14:paraId="7D0133D3" w14:textId="77777777" w:rsidR="007F3EA3" w:rsidRDefault="007F3EA3" w:rsidP="007F3EA3">
            <w:pPr>
              <w:spacing w:after="0" w:line="240" w:lineRule="auto"/>
              <w:jc w:val="center"/>
              <w:rPr>
                <w:rFonts w:ascii="Futura Std Condensed Light" w:eastAsia="Calibri" w:hAnsi="Futura Std Condensed Light" w:cs="Calibri"/>
                <w:sz w:val="20"/>
                <w:szCs w:val="20"/>
              </w:rPr>
            </w:pPr>
          </w:p>
          <w:p w14:paraId="5B507174" w14:textId="77777777" w:rsidR="007F3EA3" w:rsidRDefault="007F3EA3" w:rsidP="007F3EA3">
            <w:pPr>
              <w:spacing w:after="0" w:line="240" w:lineRule="auto"/>
              <w:jc w:val="center"/>
              <w:rPr>
                <w:rFonts w:ascii="Futura Std Condensed Light" w:eastAsia="Calibri" w:hAnsi="Futura Std Condensed Light" w:cs="Calibri"/>
                <w:sz w:val="20"/>
                <w:szCs w:val="20"/>
              </w:rPr>
            </w:pPr>
          </w:p>
          <w:p w14:paraId="54AC1FC7" w14:textId="77777777" w:rsidR="007F3EA3" w:rsidRDefault="007F3EA3" w:rsidP="007F3EA3">
            <w:pPr>
              <w:spacing w:after="0" w:line="240" w:lineRule="auto"/>
              <w:jc w:val="center"/>
              <w:rPr>
                <w:rFonts w:ascii="Futura Std Condensed Light" w:eastAsia="Calibri" w:hAnsi="Futura Std Condensed Light" w:cs="Calibri"/>
                <w:sz w:val="20"/>
                <w:szCs w:val="20"/>
              </w:rPr>
            </w:pPr>
          </w:p>
          <w:p w14:paraId="0CE75B87" w14:textId="77777777" w:rsidR="007F3EA3" w:rsidRDefault="007F3EA3" w:rsidP="007F3EA3">
            <w:pPr>
              <w:spacing w:after="0" w:line="240" w:lineRule="auto"/>
              <w:jc w:val="center"/>
              <w:rPr>
                <w:rFonts w:ascii="Futura Std Condensed Light" w:eastAsia="Calibri" w:hAnsi="Futura Std Condensed Light" w:cs="Calibri"/>
                <w:sz w:val="20"/>
                <w:szCs w:val="20"/>
              </w:rPr>
            </w:pPr>
          </w:p>
          <w:p w14:paraId="0C95CBD6" w14:textId="77777777" w:rsidR="007F3EA3" w:rsidRDefault="007F3EA3" w:rsidP="007F3EA3">
            <w:pPr>
              <w:spacing w:after="0" w:line="240" w:lineRule="auto"/>
              <w:jc w:val="center"/>
              <w:rPr>
                <w:rFonts w:ascii="Futura Std Condensed Light" w:eastAsia="Calibri" w:hAnsi="Futura Std Condensed Light" w:cs="Calibri"/>
                <w:sz w:val="20"/>
                <w:szCs w:val="20"/>
              </w:rPr>
            </w:pPr>
          </w:p>
          <w:p w14:paraId="5C7E6CE0" w14:textId="77777777" w:rsidR="007F3EA3" w:rsidRDefault="007F3EA3" w:rsidP="007F3EA3">
            <w:pPr>
              <w:spacing w:after="0" w:line="240" w:lineRule="auto"/>
              <w:jc w:val="center"/>
              <w:rPr>
                <w:rFonts w:ascii="Futura Std Condensed Light" w:eastAsia="Calibri" w:hAnsi="Futura Std Condensed Light" w:cs="Calibri"/>
                <w:sz w:val="20"/>
                <w:szCs w:val="20"/>
              </w:rPr>
            </w:pPr>
          </w:p>
          <w:p w14:paraId="0D9A5A03" w14:textId="77777777" w:rsidR="007F3EA3" w:rsidRDefault="007F3EA3" w:rsidP="007F3EA3">
            <w:pPr>
              <w:spacing w:after="0" w:line="240" w:lineRule="auto"/>
              <w:jc w:val="center"/>
              <w:rPr>
                <w:rFonts w:ascii="Futura Std Condensed Light" w:eastAsia="Calibri" w:hAnsi="Futura Std Condensed Light" w:cs="Calibri"/>
                <w:sz w:val="20"/>
                <w:szCs w:val="20"/>
              </w:rPr>
            </w:pPr>
          </w:p>
          <w:p w14:paraId="7F4E229C" w14:textId="77777777" w:rsidR="007F3EA3" w:rsidRDefault="007F3EA3" w:rsidP="007F3EA3">
            <w:pPr>
              <w:spacing w:after="0" w:line="240" w:lineRule="auto"/>
              <w:jc w:val="center"/>
              <w:rPr>
                <w:rFonts w:ascii="Futura Std Condensed Light" w:eastAsia="Calibri" w:hAnsi="Futura Std Condensed Light" w:cs="Calibri"/>
                <w:sz w:val="20"/>
                <w:szCs w:val="20"/>
              </w:rPr>
            </w:pPr>
          </w:p>
          <w:p w14:paraId="5037B7F7" w14:textId="77777777" w:rsidR="007F3EA3" w:rsidRDefault="007F3EA3" w:rsidP="007F3EA3">
            <w:pPr>
              <w:spacing w:after="0" w:line="240" w:lineRule="auto"/>
              <w:jc w:val="center"/>
              <w:rPr>
                <w:rFonts w:ascii="Futura Std Condensed Light" w:eastAsia="Calibri" w:hAnsi="Futura Std Condensed Light" w:cs="Calibri"/>
                <w:sz w:val="20"/>
                <w:szCs w:val="20"/>
              </w:rPr>
            </w:pPr>
          </w:p>
          <w:p w14:paraId="3A1CB22F" w14:textId="77777777" w:rsidR="007F3EA3" w:rsidRDefault="007F3EA3" w:rsidP="007F3EA3">
            <w:pPr>
              <w:spacing w:after="0" w:line="240" w:lineRule="auto"/>
              <w:jc w:val="center"/>
              <w:rPr>
                <w:rFonts w:ascii="Futura Std Condensed Light" w:eastAsia="Calibri" w:hAnsi="Futura Std Condensed Light" w:cs="Calibri"/>
                <w:sz w:val="20"/>
                <w:szCs w:val="20"/>
              </w:rPr>
            </w:pPr>
          </w:p>
          <w:p w14:paraId="695D8373" w14:textId="77777777" w:rsidR="007F3EA3" w:rsidRDefault="007F3EA3" w:rsidP="007F3EA3">
            <w:pPr>
              <w:spacing w:after="0" w:line="240" w:lineRule="auto"/>
              <w:jc w:val="center"/>
              <w:rPr>
                <w:rFonts w:ascii="Futura Std Condensed Light" w:eastAsia="Calibri" w:hAnsi="Futura Std Condensed Light" w:cs="Calibri"/>
                <w:sz w:val="20"/>
                <w:szCs w:val="20"/>
              </w:rPr>
            </w:pPr>
          </w:p>
          <w:p w14:paraId="1A77C2B0" w14:textId="77777777" w:rsidR="007F3EA3" w:rsidRDefault="007F3EA3" w:rsidP="007F3EA3">
            <w:pPr>
              <w:spacing w:after="0" w:line="240" w:lineRule="auto"/>
              <w:jc w:val="center"/>
              <w:rPr>
                <w:rFonts w:ascii="Futura Std Condensed Light" w:eastAsia="Calibri" w:hAnsi="Futura Std Condensed Light" w:cs="Calibri"/>
                <w:sz w:val="20"/>
                <w:szCs w:val="20"/>
              </w:rPr>
            </w:pPr>
          </w:p>
          <w:p w14:paraId="589728FF" w14:textId="77777777" w:rsidR="007F3EA3" w:rsidRDefault="007F3EA3" w:rsidP="007F3EA3">
            <w:pPr>
              <w:spacing w:after="0" w:line="240" w:lineRule="auto"/>
              <w:jc w:val="center"/>
              <w:rPr>
                <w:rFonts w:ascii="Futura Std Condensed Light" w:eastAsia="Calibri" w:hAnsi="Futura Std Condensed Light" w:cs="Calibri"/>
                <w:sz w:val="20"/>
                <w:szCs w:val="20"/>
              </w:rPr>
            </w:pPr>
          </w:p>
          <w:p w14:paraId="11FBB49A" w14:textId="77777777" w:rsidR="007F3EA3" w:rsidRDefault="007F3EA3" w:rsidP="007F3EA3">
            <w:pPr>
              <w:spacing w:after="0" w:line="240" w:lineRule="auto"/>
              <w:jc w:val="center"/>
              <w:rPr>
                <w:rFonts w:ascii="Futura Std Condensed Light" w:eastAsia="Calibri" w:hAnsi="Futura Std Condensed Light" w:cs="Calibri"/>
                <w:sz w:val="20"/>
                <w:szCs w:val="20"/>
              </w:rPr>
            </w:pPr>
          </w:p>
          <w:p w14:paraId="2A0E0EF0" w14:textId="77777777" w:rsidR="007F3EA3" w:rsidRDefault="007F3EA3" w:rsidP="007F3EA3">
            <w:pPr>
              <w:spacing w:after="0" w:line="240" w:lineRule="auto"/>
              <w:jc w:val="center"/>
              <w:rPr>
                <w:rFonts w:ascii="Futura Std Condensed Light" w:eastAsia="Calibri" w:hAnsi="Futura Std Condensed Light" w:cs="Calibri"/>
                <w:sz w:val="20"/>
                <w:szCs w:val="20"/>
              </w:rPr>
            </w:pPr>
          </w:p>
          <w:p w14:paraId="255A5E1D" w14:textId="77777777" w:rsidR="007F3EA3" w:rsidRDefault="007F3EA3" w:rsidP="007F3EA3">
            <w:pPr>
              <w:spacing w:after="0" w:line="240" w:lineRule="auto"/>
              <w:jc w:val="center"/>
              <w:rPr>
                <w:rFonts w:ascii="Futura Std Condensed Light" w:eastAsia="Calibri" w:hAnsi="Futura Std Condensed Light" w:cs="Calibri"/>
                <w:sz w:val="20"/>
                <w:szCs w:val="20"/>
              </w:rPr>
            </w:pPr>
          </w:p>
          <w:p w14:paraId="41EFCD6C" w14:textId="77777777" w:rsidR="007F3EA3" w:rsidRDefault="007F3EA3" w:rsidP="007F3EA3">
            <w:pPr>
              <w:spacing w:after="0" w:line="240" w:lineRule="auto"/>
              <w:jc w:val="center"/>
              <w:rPr>
                <w:rFonts w:ascii="Futura Std Condensed Light" w:eastAsia="Calibri" w:hAnsi="Futura Std Condensed Light" w:cs="Calibri"/>
                <w:sz w:val="20"/>
                <w:szCs w:val="20"/>
              </w:rPr>
            </w:pPr>
          </w:p>
          <w:p w14:paraId="0A89F4E9" w14:textId="77777777" w:rsidR="007F3EA3" w:rsidRDefault="007F3EA3" w:rsidP="007F3EA3">
            <w:pPr>
              <w:spacing w:after="0" w:line="240" w:lineRule="auto"/>
              <w:jc w:val="center"/>
              <w:rPr>
                <w:rFonts w:ascii="Futura Std Condensed Light" w:eastAsia="Calibri" w:hAnsi="Futura Std Condensed Light" w:cs="Calibri"/>
                <w:sz w:val="20"/>
                <w:szCs w:val="20"/>
              </w:rPr>
            </w:pPr>
          </w:p>
          <w:p w14:paraId="2683014E" w14:textId="77777777" w:rsidR="007F3EA3" w:rsidRDefault="007F3EA3" w:rsidP="007F3EA3">
            <w:pPr>
              <w:spacing w:after="0" w:line="240" w:lineRule="auto"/>
              <w:jc w:val="center"/>
              <w:rPr>
                <w:rFonts w:ascii="Futura Std Condensed Light" w:eastAsia="Calibri" w:hAnsi="Futura Std Condensed Light" w:cs="Calibri"/>
                <w:sz w:val="20"/>
                <w:szCs w:val="20"/>
              </w:rPr>
            </w:pPr>
          </w:p>
          <w:p w14:paraId="5041A36F" w14:textId="77777777" w:rsidR="007F3EA3" w:rsidRDefault="007F3EA3" w:rsidP="007F3EA3">
            <w:pPr>
              <w:spacing w:after="0" w:line="240" w:lineRule="auto"/>
              <w:jc w:val="center"/>
              <w:rPr>
                <w:rFonts w:ascii="Futura Std Condensed Light" w:eastAsia="Calibri" w:hAnsi="Futura Std Condensed Light" w:cs="Calibri"/>
                <w:sz w:val="20"/>
                <w:szCs w:val="20"/>
              </w:rPr>
            </w:pPr>
          </w:p>
          <w:p w14:paraId="393A27AB" w14:textId="3FB650AC" w:rsidR="007F3EA3" w:rsidRDefault="007F3EA3" w:rsidP="007F3EA3">
            <w:pPr>
              <w:spacing w:after="0" w:line="240" w:lineRule="auto"/>
              <w:jc w:val="center"/>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Programa Educación Pública de Calidad.</w:t>
            </w:r>
          </w:p>
          <w:p w14:paraId="3383F909" w14:textId="77777777" w:rsidR="007F3EA3" w:rsidRDefault="007F3EA3" w:rsidP="007F3EA3">
            <w:pPr>
              <w:spacing w:after="0" w:line="240" w:lineRule="auto"/>
              <w:jc w:val="center"/>
              <w:rPr>
                <w:rFonts w:ascii="Futura Std Condensed Light" w:eastAsia="Calibri" w:hAnsi="Futura Std Condensed Light" w:cs="Calibri"/>
                <w:sz w:val="20"/>
                <w:szCs w:val="20"/>
              </w:rPr>
            </w:pPr>
          </w:p>
          <w:p w14:paraId="47182753" w14:textId="77777777" w:rsidR="007F3EA3" w:rsidRDefault="007F3EA3" w:rsidP="007F3EA3">
            <w:pPr>
              <w:spacing w:after="0" w:line="240" w:lineRule="auto"/>
              <w:jc w:val="center"/>
              <w:rPr>
                <w:rFonts w:ascii="Futura Std Condensed Light" w:eastAsia="Calibri" w:hAnsi="Futura Std Condensed Light" w:cs="Calibri"/>
                <w:sz w:val="20"/>
                <w:szCs w:val="20"/>
              </w:rPr>
            </w:pPr>
          </w:p>
          <w:p w14:paraId="42230D2B" w14:textId="77777777" w:rsidR="007F3EA3" w:rsidRDefault="007F3EA3" w:rsidP="007F3EA3">
            <w:pPr>
              <w:spacing w:after="0" w:line="240" w:lineRule="auto"/>
              <w:jc w:val="center"/>
              <w:rPr>
                <w:rFonts w:ascii="Futura Std Condensed Light" w:eastAsia="Calibri" w:hAnsi="Futura Std Condensed Light" w:cs="Calibri"/>
                <w:sz w:val="20"/>
                <w:szCs w:val="20"/>
              </w:rPr>
            </w:pPr>
          </w:p>
          <w:p w14:paraId="591944C4" w14:textId="77777777" w:rsidR="007F3EA3" w:rsidRDefault="007F3EA3" w:rsidP="007F3EA3">
            <w:pPr>
              <w:spacing w:after="0" w:line="240" w:lineRule="auto"/>
              <w:jc w:val="center"/>
              <w:rPr>
                <w:rFonts w:ascii="Futura Std Condensed Light" w:eastAsia="Calibri" w:hAnsi="Futura Std Condensed Light" w:cs="Calibri"/>
                <w:sz w:val="20"/>
                <w:szCs w:val="20"/>
              </w:rPr>
            </w:pPr>
          </w:p>
          <w:p w14:paraId="6C2B3410" w14:textId="77777777" w:rsidR="007F3EA3" w:rsidRDefault="007F3EA3" w:rsidP="007F3EA3">
            <w:pPr>
              <w:spacing w:after="0" w:line="240" w:lineRule="auto"/>
              <w:jc w:val="center"/>
              <w:rPr>
                <w:rFonts w:ascii="Futura Std Condensed Light" w:eastAsia="Calibri" w:hAnsi="Futura Std Condensed Light" w:cs="Calibri"/>
                <w:sz w:val="20"/>
                <w:szCs w:val="20"/>
              </w:rPr>
            </w:pPr>
          </w:p>
          <w:p w14:paraId="109929A5" w14:textId="77777777" w:rsidR="007F3EA3" w:rsidRDefault="007F3EA3" w:rsidP="007F3EA3">
            <w:pPr>
              <w:spacing w:after="0" w:line="240" w:lineRule="auto"/>
              <w:jc w:val="center"/>
              <w:rPr>
                <w:rFonts w:ascii="Futura Std Condensed Light" w:eastAsia="Calibri" w:hAnsi="Futura Std Condensed Light" w:cs="Calibri"/>
                <w:sz w:val="20"/>
                <w:szCs w:val="20"/>
              </w:rPr>
            </w:pPr>
          </w:p>
          <w:p w14:paraId="01F5ABF9" w14:textId="77777777" w:rsidR="007F3EA3" w:rsidRDefault="007F3EA3" w:rsidP="007F3EA3">
            <w:pPr>
              <w:spacing w:after="0" w:line="240" w:lineRule="auto"/>
              <w:jc w:val="center"/>
              <w:rPr>
                <w:rFonts w:ascii="Futura Std Condensed Light" w:eastAsia="Calibri" w:hAnsi="Futura Std Condensed Light" w:cs="Calibri"/>
                <w:sz w:val="20"/>
                <w:szCs w:val="20"/>
              </w:rPr>
            </w:pPr>
          </w:p>
          <w:p w14:paraId="2482EEFD" w14:textId="77777777" w:rsidR="007F3EA3" w:rsidRDefault="007F3EA3" w:rsidP="007F3EA3">
            <w:pPr>
              <w:spacing w:after="0" w:line="240" w:lineRule="auto"/>
              <w:jc w:val="center"/>
              <w:rPr>
                <w:rFonts w:ascii="Futura Std Condensed Light" w:eastAsia="Calibri" w:hAnsi="Futura Std Condensed Light" w:cs="Calibri"/>
                <w:sz w:val="20"/>
                <w:szCs w:val="20"/>
              </w:rPr>
            </w:pPr>
          </w:p>
          <w:p w14:paraId="3C73D575" w14:textId="77777777" w:rsidR="007F3EA3" w:rsidRDefault="007F3EA3" w:rsidP="007F3EA3">
            <w:pPr>
              <w:spacing w:after="0" w:line="240" w:lineRule="auto"/>
              <w:jc w:val="center"/>
              <w:rPr>
                <w:rFonts w:ascii="Futura Std Condensed Light" w:eastAsia="Calibri" w:hAnsi="Futura Std Condensed Light" w:cs="Calibri"/>
                <w:sz w:val="20"/>
                <w:szCs w:val="20"/>
              </w:rPr>
            </w:pPr>
          </w:p>
          <w:p w14:paraId="584F6772" w14:textId="77777777" w:rsidR="007F3EA3" w:rsidRDefault="007F3EA3" w:rsidP="007F3EA3">
            <w:pPr>
              <w:spacing w:after="0" w:line="240" w:lineRule="auto"/>
              <w:jc w:val="center"/>
              <w:rPr>
                <w:rFonts w:ascii="Futura Std Condensed Light" w:eastAsia="Calibri" w:hAnsi="Futura Std Condensed Light" w:cs="Calibri"/>
                <w:sz w:val="20"/>
                <w:szCs w:val="20"/>
              </w:rPr>
            </w:pPr>
          </w:p>
          <w:p w14:paraId="6A22CF1A" w14:textId="77777777" w:rsidR="007F3EA3" w:rsidRDefault="007F3EA3" w:rsidP="007F3EA3">
            <w:pPr>
              <w:spacing w:after="0" w:line="240" w:lineRule="auto"/>
              <w:jc w:val="center"/>
              <w:rPr>
                <w:rFonts w:ascii="Futura Std Condensed Light" w:eastAsia="Calibri" w:hAnsi="Futura Std Condensed Light" w:cs="Calibri"/>
                <w:sz w:val="20"/>
                <w:szCs w:val="20"/>
              </w:rPr>
            </w:pPr>
          </w:p>
          <w:p w14:paraId="56BD1372" w14:textId="77777777" w:rsidR="007F3EA3" w:rsidRDefault="007F3EA3" w:rsidP="007F3EA3">
            <w:pPr>
              <w:spacing w:after="0" w:line="240" w:lineRule="auto"/>
              <w:jc w:val="center"/>
              <w:rPr>
                <w:rFonts w:ascii="Futura Std Condensed Light" w:eastAsia="Calibri" w:hAnsi="Futura Std Condensed Light" w:cs="Calibri"/>
                <w:sz w:val="20"/>
                <w:szCs w:val="20"/>
              </w:rPr>
            </w:pPr>
          </w:p>
          <w:p w14:paraId="5D093919" w14:textId="77777777" w:rsidR="007F3EA3" w:rsidRDefault="007F3EA3" w:rsidP="007F3EA3">
            <w:pPr>
              <w:spacing w:after="0" w:line="240" w:lineRule="auto"/>
              <w:jc w:val="center"/>
              <w:rPr>
                <w:rFonts w:ascii="Futura Std Condensed Light" w:eastAsia="Calibri" w:hAnsi="Futura Std Condensed Light" w:cs="Calibri"/>
                <w:sz w:val="20"/>
                <w:szCs w:val="20"/>
              </w:rPr>
            </w:pPr>
          </w:p>
          <w:p w14:paraId="1B39578B" w14:textId="77777777" w:rsidR="007F3EA3" w:rsidRDefault="007F3EA3" w:rsidP="007F3EA3">
            <w:pPr>
              <w:spacing w:after="0" w:line="240" w:lineRule="auto"/>
              <w:jc w:val="center"/>
              <w:rPr>
                <w:rFonts w:ascii="Futura Std Condensed Light" w:eastAsia="Calibri" w:hAnsi="Futura Std Condensed Light" w:cs="Calibri"/>
                <w:sz w:val="20"/>
                <w:szCs w:val="20"/>
              </w:rPr>
            </w:pPr>
          </w:p>
          <w:p w14:paraId="33922407" w14:textId="77777777" w:rsidR="007F3EA3" w:rsidRDefault="007F3EA3" w:rsidP="007F3EA3">
            <w:pPr>
              <w:spacing w:after="0" w:line="240" w:lineRule="auto"/>
              <w:jc w:val="center"/>
              <w:rPr>
                <w:rFonts w:ascii="Futura Std Condensed Light" w:eastAsia="Calibri" w:hAnsi="Futura Std Condensed Light" w:cs="Calibri"/>
                <w:sz w:val="20"/>
                <w:szCs w:val="20"/>
              </w:rPr>
            </w:pPr>
          </w:p>
          <w:p w14:paraId="5579047C" w14:textId="77777777" w:rsidR="007F3EA3" w:rsidRDefault="007F3EA3" w:rsidP="007F3EA3">
            <w:pPr>
              <w:spacing w:after="0" w:line="240" w:lineRule="auto"/>
              <w:jc w:val="center"/>
              <w:rPr>
                <w:rFonts w:ascii="Futura Std Condensed Light" w:eastAsia="Calibri" w:hAnsi="Futura Std Condensed Light" w:cs="Calibri"/>
                <w:sz w:val="20"/>
                <w:szCs w:val="20"/>
              </w:rPr>
            </w:pPr>
          </w:p>
          <w:p w14:paraId="2904BE3F" w14:textId="77777777" w:rsidR="007F3EA3" w:rsidRDefault="007F3EA3" w:rsidP="007F3EA3">
            <w:pPr>
              <w:spacing w:after="0" w:line="240" w:lineRule="auto"/>
              <w:jc w:val="center"/>
              <w:rPr>
                <w:rFonts w:ascii="Futura Std Condensed Light" w:eastAsia="Calibri" w:hAnsi="Futura Std Condensed Light" w:cs="Calibri"/>
                <w:sz w:val="20"/>
                <w:szCs w:val="20"/>
              </w:rPr>
            </w:pPr>
          </w:p>
          <w:p w14:paraId="6B492C55" w14:textId="77777777" w:rsidR="007F3EA3" w:rsidRDefault="007F3EA3" w:rsidP="007F3EA3">
            <w:pPr>
              <w:spacing w:after="0" w:line="240" w:lineRule="auto"/>
              <w:jc w:val="center"/>
              <w:rPr>
                <w:rFonts w:ascii="Futura Std Condensed Light" w:eastAsia="Calibri" w:hAnsi="Futura Std Condensed Light" w:cs="Calibri"/>
                <w:sz w:val="20"/>
                <w:szCs w:val="20"/>
              </w:rPr>
            </w:pPr>
          </w:p>
          <w:p w14:paraId="5581A16A" w14:textId="77777777" w:rsidR="007F3EA3" w:rsidRDefault="007F3EA3" w:rsidP="007F3EA3">
            <w:pPr>
              <w:spacing w:after="0" w:line="240" w:lineRule="auto"/>
              <w:jc w:val="center"/>
              <w:rPr>
                <w:rFonts w:ascii="Futura Std Condensed Light" w:eastAsia="Calibri" w:hAnsi="Futura Std Condensed Light" w:cs="Calibri"/>
                <w:sz w:val="20"/>
                <w:szCs w:val="20"/>
              </w:rPr>
            </w:pPr>
          </w:p>
          <w:p w14:paraId="57C705A7" w14:textId="77777777" w:rsidR="007F3EA3" w:rsidRDefault="007F3EA3" w:rsidP="007F3EA3">
            <w:pPr>
              <w:spacing w:after="0" w:line="240" w:lineRule="auto"/>
              <w:jc w:val="center"/>
              <w:rPr>
                <w:rFonts w:ascii="Futura Std Condensed Light" w:eastAsia="Calibri" w:hAnsi="Futura Std Condensed Light" w:cs="Calibri"/>
                <w:sz w:val="20"/>
                <w:szCs w:val="20"/>
              </w:rPr>
            </w:pPr>
          </w:p>
          <w:p w14:paraId="0288E920" w14:textId="77777777" w:rsidR="007F3EA3" w:rsidRDefault="007F3EA3" w:rsidP="007F3EA3">
            <w:pPr>
              <w:spacing w:after="0" w:line="240" w:lineRule="auto"/>
              <w:jc w:val="center"/>
              <w:rPr>
                <w:rFonts w:ascii="Futura Std Condensed Light" w:eastAsia="Calibri" w:hAnsi="Futura Std Condensed Light" w:cs="Calibri"/>
                <w:sz w:val="20"/>
                <w:szCs w:val="20"/>
              </w:rPr>
            </w:pPr>
          </w:p>
          <w:p w14:paraId="72F90A02" w14:textId="77777777" w:rsidR="007F3EA3" w:rsidRDefault="007F3EA3" w:rsidP="007F3EA3">
            <w:pPr>
              <w:spacing w:after="0" w:line="240" w:lineRule="auto"/>
              <w:jc w:val="center"/>
              <w:rPr>
                <w:rFonts w:ascii="Futura Std Condensed Light" w:eastAsia="Calibri" w:hAnsi="Futura Std Condensed Light" w:cs="Calibri"/>
                <w:sz w:val="20"/>
                <w:szCs w:val="20"/>
              </w:rPr>
            </w:pPr>
          </w:p>
          <w:p w14:paraId="7997BE2E" w14:textId="77777777" w:rsidR="007F3EA3" w:rsidRDefault="007F3EA3" w:rsidP="007F3EA3">
            <w:pPr>
              <w:spacing w:after="0" w:line="240" w:lineRule="auto"/>
              <w:jc w:val="center"/>
              <w:rPr>
                <w:rFonts w:ascii="Futura Std Condensed Light" w:eastAsia="Calibri" w:hAnsi="Futura Std Condensed Light" w:cs="Calibri"/>
                <w:sz w:val="20"/>
                <w:szCs w:val="20"/>
              </w:rPr>
            </w:pPr>
          </w:p>
          <w:p w14:paraId="4069B8BA" w14:textId="77777777" w:rsidR="007F3EA3" w:rsidRDefault="007F3EA3" w:rsidP="007F3EA3">
            <w:pPr>
              <w:spacing w:after="0" w:line="240" w:lineRule="auto"/>
              <w:jc w:val="center"/>
              <w:rPr>
                <w:rFonts w:ascii="Futura Std Condensed Light" w:eastAsia="Calibri" w:hAnsi="Futura Std Condensed Light" w:cs="Calibri"/>
                <w:sz w:val="20"/>
                <w:szCs w:val="20"/>
              </w:rPr>
            </w:pPr>
          </w:p>
          <w:p w14:paraId="1A69A21A" w14:textId="77777777" w:rsidR="007F3EA3" w:rsidRDefault="007F3EA3" w:rsidP="007F3EA3">
            <w:pPr>
              <w:spacing w:after="0" w:line="240" w:lineRule="auto"/>
              <w:jc w:val="center"/>
              <w:rPr>
                <w:rFonts w:ascii="Futura Std Condensed Light" w:eastAsia="Calibri" w:hAnsi="Futura Std Condensed Light" w:cs="Calibri"/>
                <w:sz w:val="20"/>
                <w:szCs w:val="20"/>
              </w:rPr>
            </w:pPr>
          </w:p>
          <w:p w14:paraId="01DF7DA0" w14:textId="77777777" w:rsidR="007F3EA3" w:rsidRDefault="007F3EA3" w:rsidP="007F3EA3">
            <w:pPr>
              <w:spacing w:after="0" w:line="240" w:lineRule="auto"/>
              <w:jc w:val="center"/>
              <w:rPr>
                <w:rFonts w:ascii="Futura Std Condensed Light" w:eastAsia="Calibri" w:hAnsi="Futura Std Condensed Light" w:cs="Calibri"/>
                <w:sz w:val="20"/>
                <w:szCs w:val="20"/>
              </w:rPr>
            </w:pPr>
          </w:p>
          <w:p w14:paraId="4822D3C8" w14:textId="77777777" w:rsidR="007F3EA3" w:rsidRDefault="007F3EA3" w:rsidP="007F3EA3">
            <w:pPr>
              <w:spacing w:after="0" w:line="240" w:lineRule="auto"/>
              <w:jc w:val="center"/>
              <w:rPr>
                <w:rFonts w:ascii="Futura Std Condensed Light" w:eastAsia="Calibri" w:hAnsi="Futura Std Condensed Light" w:cs="Calibri"/>
                <w:sz w:val="20"/>
                <w:szCs w:val="20"/>
              </w:rPr>
            </w:pPr>
          </w:p>
          <w:p w14:paraId="0A61B85D" w14:textId="77777777" w:rsidR="007F3EA3" w:rsidRDefault="007F3EA3" w:rsidP="007F3EA3">
            <w:pPr>
              <w:spacing w:after="0" w:line="240" w:lineRule="auto"/>
              <w:jc w:val="center"/>
              <w:rPr>
                <w:rFonts w:ascii="Futura Std Condensed Light" w:eastAsia="Calibri" w:hAnsi="Futura Std Condensed Light" w:cs="Calibri"/>
                <w:sz w:val="20"/>
                <w:szCs w:val="20"/>
              </w:rPr>
            </w:pPr>
          </w:p>
          <w:p w14:paraId="47AB6419" w14:textId="77777777" w:rsidR="007F3EA3" w:rsidRDefault="007F3EA3" w:rsidP="007F3EA3">
            <w:pPr>
              <w:spacing w:after="0" w:line="240" w:lineRule="auto"/>
              <w:jc w:val="center"/>
              <w:rPr>
                <w:rFonts w:ascii="Futura Std Condensed Light" w:eastAsia="Calibri" w:hAnsi="Futura Std Condensed Light" w:cs="Calibri"/>
                <w:sz w:val="20"/>
                <w:szCs w:val="20"/>
              </w:rPr>
            </w:pPr>
          </w:p>
          <w:p w14:paraId="45DF044F" w14:textId="77777777" w:rsidR="007F3EA3" w:rsidRDefault="007F3EA3" w:rsidP="007F3EA3">
            <w:pPr>
              <w:spacing w:after="0" w:line="240" w:lineRule="auto"/>
              <w:jc w:val="center"/>
              <w:rPr>
                <w:rFonts w:ascii="Futura Std Condensed Light" w:eastAsia="Calibri" w:hAnsi="Futura Std Condensed Light" w:cs="Calibri"/>
                <w:sz w:val="20"/>
                <w:szCs w:val="20"/>
              </w:rPr>
            </w:pPr>
          </w:p>
          <w:p w14:paraId="11A6762C" w14:textId="77777777" w:rsidR="007F3EA3" w:rsidRDefault="007F3EA3" w:rsidP="007F3EA3">
            <w:pPr>
              <w:spacing w:after="0" w:line="240" w:lineRule="auto"/>
              <w:jc w:val="center"/>
              <w:rPr>
                <w:rFonts w:ascii="Futura Std Condensed Light" w:eastAsia="Calibri" w:hAnsi="Futura Std Condensed Light" w:cs="Calibri"/>
                <w:sz w:val="20"/>
                <w:szCs w:val="20"/>
              </w:rPr>
            </w:pPr>
          </w:p>
          <w:p w14:paraId="299652F5" w14:textId="77777777" w:rsidR="007F3EA3" w:rsidRDefault="007F3EA3" w:rsidP="007F3EA3">
            <w:pPr>
              <w:spacing w:after="0" w:line="240" w:lineRule="auto"/>
              <w:jc w:val="center"/>
              <w:rPr>
                <w:rFonts w:ascii="Futura Std Condensed Light" w:eastAsia="Calibri" w:hAnsi="Futura Std Condensed Light" w:cs="Calibri"/>
                <w:sz w:val="20"/>
                <w:szCs w:val="20"/>
              </w:rPr>
            </w:pPr>
          </w:p>
          <w:p w14:paraId="0F6B9AE1" w14:textId="77777777" w:rsidR="007F3EA3" w:rsidRDefault="007F3EA3" w:rsidP="007F3EA3">
            <w:pPr>
              <w:spacing w:after="0" w:line="240" w:lineRule="auto"/>
              <w:jc w:val="center"/>
              <w:rPr>
                <w:rFonts w:ascii="Futura Std Condensed Light" w:eastAsia="Calibri" w:hAnsi="Futura Std Condensed Light" w:cs="Calibri"/>
                <w:sz w:val="20"/>
                <w:szCs w:val="20"/>
              </w:rPr>
            </w:pPr>
          </w:p>
          <w:p w14:paraId="7277684D" w14:textId="77777777" w:rsidR="007F3EA3" w:rsidRDefault="007F3EA3" w:rsidP="007F3EA3">
            <w:pPr>
              <w:spacing w:after="0" w:line="240" w:lineRule="auto"/>
              <w:jc w:val="center"/>
              <w:rPr>
                <w:rFonts w:ascii="Futura Std Condensed Light" w:eastAsia="Calibri" w:hAnsi="Futura Std Condensed Light" w:cs="Calibri"/>
                <w:sz w:val="20"/>
                <w:szCs w:val="20"/>
              </w:rPr>
            </w:pPr>
          </w:p>
          <w:p w14:paraId="07848FB3" w14:textId="77777777" w:rsidR="007F3EA3" w:rsidRDefault="007F3EA3" w:rsidP="007F3EA3">
            <w:pPr>
              <w:spacing w:after="0" w:line="240" w:lineRule="auto"/>
              <w:jc w:val="center"/>
              <w:rPr>
                <w:rFonts w:ascii="Futura Std Condensed Light" w:eastAsia="Calibri" w:hAnsi="Futura Std Condensed Light" w:cs="Calibri"/>
                <w:sz w:val="20"/>
                <w:szCs w:val="20"/>
              </w:rPr>
            </w:pPr>
          </w:p>
          <w:p w14:paraId="4F88F5B2" w14:textId="77777777" w:rsidR="007F3EA3" w:rsidRDefault="007F3EA3" w:rsidP="007F3EA3">
            <w:pPr>
              <w:spacing w:after="0" w:line="240" w:lineRule="auto"/>
              <w:jc w:val="center"/>
              <w:rPr>
                <w:rFonts w:ascii="Futura Std Condensed Light" w:eastAsia="Calibri" w:hAnsi="Futura Std Condensed Light" w:cs="Calibri"/>
                <w:sz w:val="20"/>
                <w:szCs w:val="20"/>
              </w:rPr>
            </w:pPr>
          </w:p>
          <w:p w14:paraId="0352B338" w14:textId="77777777" w:rsidR="007F3EA3" w:rsidRDefault="007F3EA3" w:rsidP="007F3EA3">
            <w:pPr>
              <w:spacing w:after="0" w:line="240" w:lineRule="auto"/>
              <w:jc w:val="center"/>
              <w:rPr>
                <w:rFonts w:ascii="Futura Std Condensed Light" w:eastAsia="Calibri" w:hAnsi="Futura Std Condensed Light" w:cs="Calibri"/>
                <w:sz w:val="20"/>
                <w:szCs w:val="20"/>
              </w:rPr>
            </w:pPr>
          </w:p>
          <w:p w14:paraId="3AB02EDC" w14:textId="2A2912E9" w:rsidR="007F3EA3" w:rsidRDefault="007F3EA3" w:rsidP="007F3EA3">
            <w:pPr>
              <w:spacing w:after="0" w:line="240" w:lineRule="auto"/>
              <w:jc w:val="center"/>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Programa Educación Pública de Calidad.</w:t>
            </w:r>
          </w:p>
          <w:p w14:paraId="153FA207" w14:textId="77777777" w:rsidR="007F3EA3" w:rsidRDefault="007F3EA3" w:rsidP="007F3EA3">
            <w:pPr>
              <w:spacing w:after="0" w:line="240" w:lineRule="auto"/>
              <w:jc w:val="center"/>
              <w:rPr>
                <w:rFonts w:ascii="Futura Std Condensed Light" w:eastAsia="Calibri" w:hAnsi="Futura Std Condensed Light" w:cs="Calibri"/>
                <w:sz w:val="20"/>
                <w:szCs w:val="20"/>
              </w:rPr>
            </w:pPr>
          </w:p>
          <w:p w14:paraId="1909A0AA" w14:textId="23A2D27D" w:rsidR="00DB20E4" w:rsidRPr="007F3EA3" w:rsidRDefault="00DB20E4" w:rsidP="007F3EA3">
            <w:pPr>
              <w:rPr>
                <w:rFonts w:ascii="Futura Std Condensed Light" w:eastAsia="Calibri" w:hAnsi="Futura Std Condensed Light" w:cs="Calibri"/>
                <w:sz w:val="20"/>
                <w:szCs w:val="20"/>
              </w:rPr>
            </w:pPr>
          </w:p>
        </w:tc>
        <w:tc>
          <w:tcPr>
            <w:tcW w:w="1630"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3F9F56D0" w14:textId="77777777" w:rsidR="001D5588" w:rsidRDefault="001D5588" w:rsidP="009E3B2F">
            <w:pPr>
              <w:spacing w:after="0" w:line="240" w:lineRule="auto"/>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lastRenderedPageBreak/>
              <w:t>1. Incrementar la inserción de los niños en educación inicial y preescolar en el Sistema Educativo Estatal.</w:t>
            </w:r>
          </w:p>
        </w:tc>
        <w:tc>
          <w:tcPr>
            <w:tcW w:w="1787" w:type="pct"/>
            <w:tcBorders>
              <w:top w:val="single" w:sz="4" w:space="0" w:color="auto"/>
              <w:left w:val="single" w:sz="4" w:space="0" w:color="auto"/>
              <w:right w:val="single" w:sz="4" w:space="0" w:color="auto"/>
            </w:tcBorders>
            <w:shd w:val="clear" w:color="auto" w:fill="FFFFFF" w:themeFill="background1"/>
            <w:hideMark/>
          </w:tcPr>
          <w:p w14:paraId="5ED24AAB" w14:textId="77777777" w:rsidR="001D5588" w:rsidRDefault="001D5588" w:rsidP="009E3B2F">
            <w:pPr>
              <w:spacing w:after="0" w:line="240" w:lineRule="auto"/>
              <w:ind w:left="143" w:right="142"/>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1. Incrementar la inserción de los niños en educación inicial y preescolar en el Sistema Educativo Estatal.</w:t>
            </w:r>
          </w:p>
        </w:tc>
        <w:tc>
          <w:tcPr>
            <w:tcW w:w="882"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635EF693" w14:textId="32E1F42A" w:rsidR="001D5588" w:rsidRDefault="001D5588" w:rsidP="009E3B2F">
            <w:pPr>
              <w:spacing w:after="0" w:line="240" w:lineRule="auto"/>
              <w:rPr>
                <w:rFonts w:ascii="Futura Std Condensed Light" w:eastAsia="Calibri" w:hAnsi="Futura Std Condensed Light" w:cs="Calibri"/>
                <w:sz w:val="20"/>
                <w:szCs w:val="20"/>
              </w:rPr>
            </w:pPr>
          </w:p>
          <w:p w14:paraId="4364BB91" w14:textId="77777777" w:rsidR="005A6B05" w:rsidRPr="005A6B05" w:rsidRDefault="005A6B05" w:rsidP="005A6B05">
            <w:pPr>
              <w:spacing w:after="0" w:line="240" w:lineRule="auto"/>
              <w:rPr>
                <w:rFonts w:ascii="Futura Std Condensed Light" w:eastAsia="Calibri" w:hAnsi="Futura Std Condensed Light" w:cs="Calibri"/>
                <w:sz w:val="20"/>
                <w:szCs w:val="20"/>
              </w:rPr>
            </w:pPr>
            <w:r w:rsidRPr="005A6B05">
              <w:rPr>
                <w:rFonts w:ascii="Futura Std Condensed Light" w:eastAsia="Calibri" w:hAnsi="Futura Std Condensed Light" w:cs="Calibri"/>
                <w:sz w:val="20"/>
                <w:szCs w:val="20"/>
              </w:rPr>
              <w:t>Incrementar el logro académico de los estudiantes de educación básica para una educación integral e inclusiva de calidad.</w:t>
            </w:r>
          </w:p>
          <w:p w14:paraId="0A7C8744" w14:textId="77777777" w:rsidR="005A6B05" w:rsidRPr="005A6B05" w:rsidRDefault="005A6B05" w:rsidP="005A6B05">
            <w:pPr>
              <w:spacing w:after="0" w:line="240" w:lineRule="auto"/>
              <w:rPr>
                <w:rFonts w:ascii="Futura Std Condensed Light" w:eastAsia="Calibri" w:hAnsi="Futura Std Condensed Light" w:cs="Calibri"/>
                <w:sz w:val="20"/>
                <w:szCs w:val="20"/>
              </w:rPr>
            </w:pPr>
          </w:p>
          <w:p w14:paraId="4D265233" w14:textId="2B31EC09" w:rsidR="001D5588" w:rsidRDefault="001D5588" w:rsidP="009E3B2F">
            <w:pPr>
              <w:spacing w:after="0" w:line="240" w:lineRule="auto"/>
              <w:rPr>
                <w:rFonts w:ascii="Futura Std Condensed Light" w:eastAsia="Calibri" w:hAnsi="Futura Std Condensed Light" w:cs="Calibri"/>
                <w:sz w:val="20"/>
                <w:szCs w:val="20"/>
              </w:rPr>
            </w:pPr>
          </w:p>
          <w:p w14:paraId="522C3E7A" w14:textId="77777777" w:rsidR="001D5588" w:rsidRDefault="001D5588" w:rsidP="009E3B2F">
            <w:pPr>
              <w:spacing w:after="0" w:line="240" w:lineRule="auto"/>
              <w:rPr>
                <w:rFonts w:ascii="Futura Std Condensed Light" w:eastAsia="Calibri" w:hAnsi="Futura Std Condensed Light" w:cs="Calibri"/>
                <w:sz w:val="20"/>
                <w:szCs w:val="20"/>
              </w:rPr>
            </w:pPr>
          </w:p>
          <w:p w14:paraId="0665A0E5" w14:textId="47639711" w:rsidR="001D5588" w:rsidRDefault="001D5588" w:rsidP="009E3B2F">
            <w:pPr>
              <w:spacing w:after="0" w:line="240" w:lineRule="auto"/>
              <w:rPr>
                <w:rFonts w:ascii="Futura Std Condensed Light" w:eastAsia="Calibri" w:hAnsi="Futura Std Condensed Light" w:cs="Calibri"/>
                <w:sz w:val="20"/>
                <w:szCs w:val="20"/>
              </w:rPr>
            </w:pPr>
          </w:p>
          <w:p w14:paraId="52A73793" w14:textId="3708E9CC" w:rsidR="005A6B05" w:rsidRDefault="005A6B05" w:rsidP="009E3B2F">
            <w:pPr>
              <w:spacing w:after="0" w:line="240" w:lineRule="auto"/>
              <w:rPr>
                <w:rFonts w:ascii="Futura Std Condensed Light" w:eastAsia="Calibri" w:hAnsi="Futura Std Condensed Light" w:cs="Calibri"/>
                <w:sz w:val="20"/>
                <w:szCs w:val="20"/>
              </w:rPr>
            </w:pPr>
          </w:p>
          <w:p w14:paraId="6BFE196A" w14:textId="04017109" w:rsidR="005A6B05" w:rsidRDefault="005A6B05" w:rsidP="009E3B2F">
            <w:pPr>
              <w:spacing w:after="0" w:line="240" w:lineRule="auto"/>
              <w:rPr>
                <w:rFonts w:ascii="Futura Std Condensed Light" w:eastAsia="Calibri" w:hAnsi="Futura Std Condensed Light" w:cs="Calibri"/>
                <w:sz w:val="20"/>
                <w:szCs w:val="20"/>
              </w:rPr>
            </w:pPr>
          </w:p>
          <w:p w14:paraId="465A1B05" w14:textId="371BAF69" w:rsidR="005A6B05" w:rsidRDefault="005A6B05" w:rsidP="009E3B2F">
            <w:pPr>
              <w:spacing w:after="0" w:line="240" w:lineRule="auto"/>
              <w:rPr>
                <w:rFonts w:ascii="Futura Std Condensed Light" w:eastAsia="Calibri" w:hAnsi="Futura Std Condensed Light" w:cs="Calibri"/>
                <w:sz w:val="20"/>
                <w:szCs w:val="20"/>
              </w:rPr>
            </w:pPr>
          </w:p>
          <w:p w14:paraId="3C250EFD" w14:textId="5AA18D63" w:rsidR="005A6B05" w:rsidRDefault="005A6B05" w:rsidP="009E3B2F">
            <w:pPr>
              <w:spacing w:after="0" w:line="240" w:lineRule="auto"/>
              <w:rPr>
                <w:rFonts w:ascii="Futura Std Condensed Light" w:eastAsia="Calibri" w:hAnsi="Futura Std Condensed Light" w:cs="Calibri"/>
                <w:sz w:val="20"/>
                <w:szCs w:val="20"/>
              </w:rPr>
            </w:pPr>
          </w:p>
          <w:p w14:paraId="02BA0356" w14:textId="481FB8A8" w:rsidR="005A6B05" w:rsidRDefault="005A6B05" w:rsidP="009E3B2F">
            <w:pPr>
              <w:spacing w:after="0" w:line="240" w:lineRule="auto"/>
              <w:rPr>
                <w:rFonts w:ascii="Futura Std Condensed Light" w:eastAsia="Calibri" w:hAnsi="Futura Std Condensed Light" w:cs="Calibri"/>
                <w:sz w:val="20"/>
                <w:szCs w:val="20"/>
              </w:rPr>
            </w:pPr>
          </w:p>
          <w:p w14:paraId="03FBD44F" w14:textId="2E84BDC5" w:rsidR="005A6B05" w:rsidRDefault="005A6B05" w:rsidP="009E3B2F">
            <w:pPr>
              <w:spacing w:after="0" w:line="240" w:lineRule="auto"/>
              <w:rPr>
                <w:rFonts w:ascii="Futura Std Condensed Light" w:eastAsia="Calibri" w:hAnsi="Futura Std Condensed Light" w:cs="Calibri"/>
                <w:sz w:val="20"/>
                <w:szCs w:val="20"/>
              </w:rPr>
            </w:pPr>
          </w:p>
          <w:p w14:paraId="3570E7BD" w14:textId="75A3F500" w:rsidR="005A6B05" w:rsidRDefault="005A6B05" w:rsidP="009E3B2F">
            <w:pPr>
              <w:spacing w:after="0" w:line="240" w:lineRule="auto"/>
              <w:rPr>
                <w:rFonts w:ascii="Futura Std Condensed Light" w:eastAsia="Calibri" w:hAnsi="Futura Std Condensed Light" w:cs="Calibri"/>
                <w:sz w:val="20"/>
                <w:szCs w:val="20"/>
              </w:rPr>
            </w:pPr>
          </w:p>
          <w:p w14:paraId="2DFAF43E" w14:textId="63039E0E" w:rsidR="005A6B05" w:rsidRDefault="005A6B05" w:rsidP="009E3B2F">
            <w:pPr>
              <w:spacing w:after="0" w:line="240" w:lineRule="auto"/>
              <w:rPr>
                <w:rFonts w:ascii="Futura Std Condensed Light" w:eastAsia="Calibri" w:hAnsi="Futura Std Condensed Light" w:cs="Calibri"/>
                <w:sz w:val="20"/>
                <w:szCs w:val="20"/>
              </w:rPr>
            </w:pPr>
          </w:p>
          <w:p w14:paraId="1CD36A63" w14:textId="65532003" w:rsidR="005A6B05" w:rsidRDefault="005A6B05" w:rsidP="009E3B2F">
            <w:pPr>
              <w:spacing w:after="0" w:line="240" w:lineRule="auto"/>
              <w:rPr>
                <w:rFonts w:ascii="Futura Std Condensed Light" w:eastAsia="Calibri" w:hAnsi="Futura Std Condensed Light" w:cs="Calibri"/>
                <w:sz w:val="20"/>
                <w:szCs w:val="20"/>
              </w:rPr>
            </w:pPr>
          </w:p>
          <w:p w14:paraId="40FFF89E" w14:textId="37A0DC22" w:rsidR="005A6B05" w:rsidRDefault="005A6B05" w:rsidP="009E3B2F">
            <w:pPr>
              <w:spacing w:after="0" w:line="240" w:lineRule="auto"/>
              <w:rPr>
                <w:rFonts w:ascii="Futura Std Condensed Light" w:eastAsia="Calibri" w:hAnsi="Futura Std Condensed Light" w:cs="Calibri"/>
                <w:sz w:val="20"/>
                <w:szCs w:val="20"/>
              </w:rPr>
            </w:pPr>
          </w:p>
          <w:p w14:paraId="3129E7C8" w14:textId="7D2702C1" w:rsidR="005A6B05" w:rsidRDefault="005A6B05" w:rsidP="009E3B2F">
            <w:pPr>
              <w:spacing w:after="0" w:line="240" w:lineRule="auto"/>
              <w:rPr>
                <w:rFonts w:ascii="Futura Std Condensed Light" w:eastAsia="Calibri" w:hAnsi="Futura Std Condensed Light" w:cs="Calibri"/>
                <w:sz w:val="20"/>
                <w:szCs w:val="20"/>
              </w:rPr>
            </w:pPr>
          </w:p>
          <w:p w14:paraId="03DA2B1D" w14:textId="680FAE73" w:rsidR="001D5588" w:rsidRDefault="001D5588" w:rsidP="009E3B2F">
            <w:pPr>
              <w:spacing w:after="0" w:line="240" w:lineRule="auto"/>
              <w:rPr>
                <w:rFonts w:ascii="Futura Std Condensed Light" w:eastAsia="Calibri" w:hAnsi="Futura Std Condensed Light" w:cs="Calibri"/>
                <w:sz w:val="20"/>
                <w:szCs w:val="20"/>
              </w:rPr>
            </w:pPr>
          </w:p>
          <w:p w14:paraId="3CA46671" w14:textId="77777777" w:rsidR="006739CB" w:rsidRDefault="006739CB" w:rsidP="009E3B2F">
            <w:pPr>
              <w:spacing w:after="0" w:line="240" w:lineRule="auto"/>
              <w:rPr>
                <w:rFonts w:ascii="Futura Std Condensed Light" w:eastAsia="Calibri" w:hAnsi="Futura Std Condensed Light" w:cs="Calibri"/>
                <w:sz w:val="20"/>
                <w:szCs w:val="20"/>
              </w:rPr>
            </w:pPr>
          </w:p>
          <w:p w14:paraId="64736541" w14:textId="2AE300EB" w:rsidR="001D5588" w:rsidRDefault="005A6B05" w:rsidP="009E3B2F">
            <w:pPr>
              <w:spacing w:after="0" w:line="240" w:lineRule="auto"/>
              <w:rPr>
                <w:rFonts w:ascii="Futura Std Condensed Light" w:eastAsia="Calibri" w:hAnsi="Futura Std Condensed Light" w:cs="Calibri"/>
                <w:sz w:val="20"/>
                <w:szCs w:val="20"/>
              </w:rPr>
            </w:pPr>
            <w:r w:rsidRPr="005A6B05">
              <w:rPr>
                <w:rFonts w:ascii="Futura Std Condensed Light" w:eastAsia="Calibri" w:hAnsi="Futura Std Condensed Light" w:cs="Calibri"/>
                <w:sz w:val="20"/>
                <w:szCs w:val="20"/>
              </w:rPr>
              <w:t xml:space="preserve">Incrementar el logro académico de los estudiantes de educación </w:t>
            </w:r>
            <w:r w:rsidRPr="005A6B05">
              <w:rPr>
                <w:rFonts w:ascii="Futura Std Condensed Light" w:eastAsia="Calibri" w:hAnsi="Futura Std Condensed Light" w:cs="Calibri"/>
                <w:sz w:val="20"/>
                <w:szCs w:val="20"/>
              </w:rPr>
              <w:lastRenderedPageBreak/>
              <w:t>básica para una educación integral e inclusiva de calidad.</w:t>
            </w:r>
          </w:p>
          <w:p w14:paraId="3A005770" w14:textId="77777777" w:rsidR="001D5588" w:rsidRDefault="001D5588" w:rsidP="009E3B2F">
            <w:pPr>
              <w:spacing w:after="0" w:line="240" w:lineRule="auto"/>
              <w:rPr>
                <w:rFonts w:ascii="Futura Std Condensed Light" w:eastAsia="Calibri" w:hAnsi="Futura Std Condensed Light" w:cs="Calibri"/>
                <w:sz w:val="20"/>
                <w:szCs w:val="20"/>
              </w:rPr>
            </w:pPr>
          </w:p>
          <w:p w14:paraId="7E2DB3B0" w14:textId="5D7A8458" w:rsidR="001D5588" w:rsidRDefault="001D5588" w:rsidP="009E3B2F">
            <w:pPr>
              <w:spacing w:after="0" w:line="240" w:lineRule="auto"/>
              <w:rPr>
                <w:rFonts w:ascii="Futura Std Condensed Light" w:eastAsia="Calibri" w:hAnsi="Futura Std Condensed Light" w:cs="Calibri"/>
                <w:sz w:val="20"/>
                <w:szCs w:val="20"/>
              </w:rPr>
            </w:pPr>
          </w:p>
        </w:tc>
      </w:tr>
      <w:tr w:rsidR="001D5588" w14:paraId="19D16ABB" w14:textId="77777777" w:rsidTr="00C527EB">
        <w:trPr>
          <w:trHeight w:val="283"/>
          <w:jc w:val="center"/>
        </w:trPr>
        <w:tc>
          <w:tcPr>
            <w:tcW w:w="0" w:type="auto"/>
            <w:vMerge/>
            <w:tcBorders>
              <w:left w:val="single" w:sz="4" w:space="0" w:color="auto"/>
              <w:right w:val="single" w:sz="4" w:space="0" w:color="auto"/>
            </w:tcBorders>
            <w:shd w:val="clear" w:color="auto" w:fill="FFFFFF" w:themeFill="background1"/>
            <w:vAlign w:val="center"/>
            <w:hideMark/>
          </w:tcPr>
          <w:p w14:paraId="56DFA40E" w14:textId="34DE52B5" w:rsidR="001D5588" w:rsidRDefault="001D5588" w:rsidP="00476422">
            <w:pPr>
              <w:spacing w:after="0" w:line="240" w:lineRule="auto"/>
              <w:jc w:val="center"/>
              <w:rPr>
                <w:rFonts w:ascii="Futura Std Condensed Light" w:eastAsia="Calibri" w:hAnsi="Futura Std Condensed Light" w:cs="Calibri"/>
                <w:sz w:val="20"/>
                <w:szCs w:val="20"/>
              </w:rPr>
            </w:pPr>
          </w:p>
        </w:tc>
        <w:tc>
          <w:tcPr>
            <w:tcW w:w="1630"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5CA59469" w14:textId="77777777" w:rsidR="001D5588" w:rsidRDefault="001D5588" w:rsidP="009E3B2F">
            <w:pPr>
              <w:spacing w:after="0" w:line="240" w:lineRule="auto"/>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7. Impulsar un programa de desarrollo de competencias digitales para el aprendizaje.</w:t>
            </w:r>
          </w:p>
        </w:tc>
        <w:tc>
          <w:tcPr>
            <w:tcW w:w="178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73B6C7D" w14:textId="55CEB67F" w:rsidR="001D5588" w:rsidRDefault="001D5588" w:rsidP="009E3B2F">
            <w:pPr>
              <w:spacing w:after="0" w:line="240" w:lineRule="auto"/>
              <w:ind w:left="143" w:right="142"/>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2. Impulsar un programa de desarrollo de competencias digitales para el aprendizaje.</w:t>
            </w: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DBDEA47" w14:textId="77777777" w:rsidR="001D5588" w:rsidRDefault="001D5588" w:rsidP="009E3B2F">
            <w:pPr>
              <w:spacing w:after="0" w:line="240" w:lineRule="auto"/>
              <w:jc w:val="left"/>
              <w:rPr>
                <w:rFonts w:ascii="Futura Std Condensed Light" w:eastAsia="Calibri" w:hAnsi="Futura Std Condensed Light" w:cs="Calibri"/>
                <w:sz w:val="20"/>
                <w:szCs w:val="20"/>
              </w:rPr>
            </w:pPr>
          </w:p>
        </w:tc>
      </w:tr>
      <w:tr w:rsidR="001D5588" w14:paraId="5B735B00" w14:textId="77777777" w:rsidTr="00C527EB">
        <w:trPr>
          <w:trHeight w:val="283"/>
          <w:jc w:val="center"/>
        </w:trPr>
        <w:tc>
          <w:tcPr>
            <w:tcW w:w="0" w:type="auto"/>
            <w:vMerge/>
            <w:tcBorders>
              <w:left w:val="single" w:sz="4" w:space="0" w:color="auto"/>
              <w:right w:val="single" w:sz="4" w:space="0" w:color="auto"/>
            </w:tcBorders>
            <w:shd w:val="clear" w:color="auto" w:fill="FFFFFF" w:themeFill="background1"/>
            <w:vAlign w:val="center"/>
          </w:tcPr>
          <w:p w14:paraId="68E68EAD" w14:textId="2948DEB0" w:rsidR="001D5588" w:rsidRDefault="001D5588" w:rsidP="00476422">
            <w:pPr>
              <w:spacing w:after="0" w:line="240" w:lineRule="auto"/>
              <w:jc w:val="center"/>
              <w:rPr>
                <w:rFonts w:ascii="Futura Std Condensed Light" w:eastAsia="Calibri" w:hAnsi="Futura Std Condensed Light" w:cs="Calibri"/>
                <w:sz w:val="20"/>
                <w:szCs w:val="20"/>
              </w:rPr>
            </w:pPr>
          </w:p>
        </w:tc>
        <w:tc>
          <w:tcPr>
            <w:tcW w:w="1630" w:type="pct"/>
            <w:vMerge w:val="restart"/>
            <w:tcBorders>
              <w:top w:val="single" w:sz="4" w:space="0" w:color="auto"/>
              <w:left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6FFC62AE" w14:textId="7D8AA553" w:rsidR="001D5588" w:rsidRDefault="001D5588" w:rsidP="00476422">
            <w:pPr>
              <w:spacing w:after="0" w:line="240" w:lineRule="auto"/>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10. Implementar un programa de fortalecimiento de la cultura y lengua maya en las escuelas de todos los niveles educativos.</w:t>
            </w:r>
          </w:p>
        </w:tc>
        <w:tc>
          <w:tcPr>
            <w:tcW w:w="1787" w:type="pct"/>
            <w:tcBorders>
              <w:top w:val="single" w:sz="4" w:space="0" w:color="auto"/>
              <w:left w:val="single" w:sz="4" w:space="0" w:color="auto"/>
              <w:bottom w:val="single" w:sz="4" w:space="0" w:color="auto"/>
              <w:right w:val="single" w:sz="4" w:space="0" w:color="auto"/>
            </w:tcBorders>
            <w:shd w:val="clear" w:color="auto" w:fill="FFFFFF" w:themeFill="background1"/>
          </w:tcPr>
          <w:p w14:paraId="40629343" w14:textId="11D04D62" w:rsidR="001D5588" w:rsidRDefault="001D5588" w:rsidP="00476422">
            <w:pPr>
              <w:spacing w:after="0" w:line="240" w:lineRule="auto"/>
              <w:ind w:left="143" w:right="142"/>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3. Impulsar estrategias de enseñanza-aprendizaje bilingüe para garantizar la atención a los estudiantes indígena y preservación de la lengua  maya en educación básica.</w:t>
            </w: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B85A77" w14:textId="77777777" w:rsidR="001D5588" w:rsidRDefault="001D5588" w:rsidP="00476422">
            <w:pPr>
              <w:spacing w:after="0" w:line="240" w:lineRule="auto"/>
              <w:jc w:val="left"/>
              <w:rPr>
                <w:rFonts w:ascii="Futura Std Condensed Light" w:eastAsia="Calibri" w:hAnsi="Futura Std Condensed Light" w:cs="Calibri"/>
                <w:sz w:val="20"/>
                <w:szCs w:val="20"/>
              </w:rPr>
            </w:pPr>
          </w:p>
        </w:tc>
      </w:tr>
      <w:tr w:rsidR="001D5588" w14:paraId="18B60AF5" w14:textId="77777777" w:rsidTr="00C527EB">
        <w:trPr>
          <w:trHeight w:val="530"/>
          <w:jc w:val="center"/>
        </w:trPr>
        <w:tc>
          <w:tcPr>
            <w:tcW w:w="0" w:type="auto"/>
            <w:vMerge/>
            <w:tcBorders>
              <w:left w:val="single" w:sz="4" w:space="0" w:color="auto"/>
              <w:right w:val="single" w:sz="4" w:space="0" w:color="auto"/>
            </w:tcBorders>
            <w:shd w:val="clear" w:color="auto" w:fill="FFFFFF" w:themeFill="background1"/>
            <w:vAlign w:val="center"/>
            <w:hideMark/>
          </w:tcPr>
          <w:p w14:paraId="11F83F9C" w14:textId="143C4980" w:rsidR="001D5588" w:rsidRDefault="001D5588" w:rsidP="00476422">
            <w:pPr>
              <w:spacing w:after="0" w:line="240" w:lineRule="auto"/>
              <w:jc w:val="center"/>
              <w:rPr>
                <w:rFonts w:ascii="Futura Std Condensed Light" w:eastAsia="Calibri" w:hAnsi="Futura Std Condensed Light" w:cs="Calibri"/>
                <w:sz w:val="20"/>
                <w:szCs w:val="20"/>
              </w:rPr>
            </w:pPr>
          </w:p>
        </w:tc>
        <w:tc>
          <w:tcPr>
            <w:tcW w:w="1630" w:type="pct"/>
            <w:vMerge/>
            <w:tcBorders>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7BACF592" w14:textId="1CFA7306" w:rsidR="001D5588" w:rsidRDefault="001D5588" w:rsidP="00476422">
            <w:pPr>
              <w:spacing w:after="0" w:line="240" w:lineRule="auto"/>
              <w:rPr>
                <w:rFonts w:ascii="Futura Std Condensed Light" w:eastAsia="Calibri" w:hAnsi="Futura Std Condensed Light" w:cs="Calibri"/>
                <w:sz w:val="20"/>
                <w:szCs w:val="20"/>
              </w:rPr>
            </w:pPr>
          </w:p>
        </w:tc>
        <w:tc>
          <w:tcPr>
            <w:tcW w:w="1787" w:type="pct"/>
            <w:tcBorders>
              <w:top w:val="single" w:sz="4" w:space="0" w:color="auto"/>
              <w:left w:val="single" w:sz="4" w:space="0" w:color="auto"/>
              <w:right w:val="single" w:sz="4" w:space="0" w:color="auto"/>
            </w:tcBorders>
            <w:shd w:val="clear" w:color="auto" w:fill="FFFFFF" w:themeFill="background1"/>
            <w:hideMark/>
          </w:tcPr>
          <w:p w14:paraId="3555E131" w14:textId="0C087D3B" w:rsidR="001D5588" w:rsidRDefault="001D5588" w:rsidP="00476422">
            <w:pPr>
              <w:spacing w:after="0" w:line="240" w:lineRule="auto"/>
              <w:ind w:right="142"/>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4. Fortalecer las acciones de certificación de  docente de lengua maya</w:t>
            </w: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AACF815" w14:textId="77777777" w:rsidR="001D5588" w:rsidRDefault="001D5588" w:rsidP="00476422">
            <w:pPr>
              <w:spacing w:after="0" w:line="240" w:lineRule="auto"/>
              <w:jc w:val="left"/>
              <w:rPr>
                <w:rFonts w:ascii="Futura Std Condensed Light" w:eastAsia="Calibri" w:hAnsi="Futura Std Condensed Light" w:cs="Calibri"/>
                <w:sz w:val="20"/>
                <w:szCs w:val="20"/>
              </w:rPr>
            </w:pPr>
          </w:p>
        </w:tc>
      </w:tr>
      <w:tr w:rsidR="001D5588" w14:paraId="07605DDF" w14:textId="77777777" w:rsidTr="00C527EB">
        <w:trPr>
          <w:trHeight w:val="283"/>
          <w:jc w:val="center"/>
        </w:trPr>
        <w:tc>
          <w:tcPr>
            <w:tcW w:w="0" w:type="auto"/>
            <w:vMerge/>
            <w:tcBorders>
              <w:left w:val="single" w:sz="4" w:space="0" w:color="auto"/>
              <w:right w:val="single" w:sz="4" w:space="0" w:color="auto"/>
            </w:tcBorders>
            <w:shd w:val="clear" w:color="auto" w:fill="FFFFFF" w:themeFill="background1"/>
            <w:vAlign w:val="center"/>
            <w:hideMark/>
          </w:tcPr>
          <w:p w14:paraId="40F8D3B6" w14:textId="2783C18B" w:rsidR="001D5588" w:rsidRDefault="001D5588" w:rsidP="00476422">
            <w:pPr>
              <w:spacing w:after="0" w:line="240" w:lineRule="auto"/>
              <w:jc w:val="center"/>
              <w:rPr>
                <w:rFonts w:ascii="Futura Std Condensed Light" w:eastAsia="Calibri" w:hAnsi="Futura Std Condensed Light" w:cs="Calibri"/>
                <w:sz w:val="20"/>
                <w:szCs w:val="20"/>
              </w:rPr>
            </w:pPr>
          </w:p>
        </w:tc>
        <w:tc>
          <w:tcPr>
            <w:tcW w:w="1630"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24DEC3D0" w14:textId="77777777" w:rsidR="001D5588" w:rsidRDefault="001D5588" w:rsidP="00476422">
            <w:pPr>
              <w:spacing w:after="0" w:line="240" w:lineRule="auto"/>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12. Impulsar un programa para fortalecer la comprensión de lectura, escritura y pensamiento lógico matemático en escuelas de todos los niveles.</w:t>
            </w:r>
          </w:p>
        </w:tc>
        <w:tc>
          <w:tcPr>
            <w:tcW w:w="178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10ABC1C" w14:textId="300495EC" w:rsidR="001D5588" w:rsidRDefault="001D5588" w:rsidP="00476422">
            <w:pPr>
              <w:spacing w:after="0" w:line="240" w:lineRule="auto"/>
              <w:ind w:left="143" w:right="142"/>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5. Impulsar estrategias para fortalecer la comprensión de lectura, escritura y pensamiento lógico matemático en escuelas de educación básica.</w:t>
            </w: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3DF44D4" w14:textId="77777777" w:rsidR="001D5588" w:rsidRDefault="001D5588" w:rsidP="00476422">
            <w:pPr>
              <w:spacing w:after="0" w:line="240" w:lineRule="auto"/>
              <w:jc w:val="left"/>
              <w:rPr>
                <w:rFonts w:ascii="Futura Std Condensed Light" w:eastAsia="Calibri" w:hAnsi="Futura Std Condensed Light" w:cs="Calibri"/>
                <w:sz w:val="20"/>
                <w:szCs w:val="20"/>
              </w:rPr>
            </w:pPr>
          </w:p>
        </w:tc>
      </w:tr>
      <w:tr w:rsidR="001D5588" w14:paraId="6CF3E8FF" w14:textId="77777777" w:rsidTr="00C527EB">
        <w:trPr>
          <w:trHeight w:val="283"/>
          <w:jc w:val="center"/>
        </w:trPr>
        <w:tc>
          <w:tcPr>
            <w:tcW w:w="0" w:type="auto"/>
            <w:vMerge/>
            <w:tcBorders>
              <w:left w:val="single" w:sz="4" w:space="0" w:color="auto"/>
              <w:right w:val="single" w:sz="4" w:space="0" w:color="auto"/>
            </w:tcBorders>
            <w:shd w:val="clear" w:color="auto" w:fill="FFFFFF" w:themeFill="background1"/>
            <w:vAlign w:val="center"/>
            <w:hideMark/>
          </w:tcPr>
          <w:p w14:paraId="16FDFA39" w14:textId="6BBC3749" w:rsidR="001D5588" w:rsidRDefault="001D5588" w:rsidP="00476422">
            <w:pPr>
              <w:spacing w:after="0" w:line="240" w:lineRule="auto"/>
              <w:jc w:val="center"/>
              <w:rPr>
                <w:rFonts w:ascii="Futura Std Condensed Light" w:eastAsia="Calibri" w:hAnsi="Futura Std Condensed Light" w:cs="Calibri"/>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7517C1" w14:textId="77777777" w:rsidR="001D5588" w:rsidRDefault="001D5588" w:rsidP="00476422">
            <w:pPr>
              <w:spacing w:after="0" w:line="240" w:lineRule="auto"/>
              <w:jc w:val="left"/>
              <w:rPr>
                <w:rFonts w:ascii="Futura Std Condensed Light" w:eastAsia="Calibri" w:hAnsi="Futura Std Condensed Light" w:cs="Calibri"/>
                <w:sz w:val="20"/>
                <w:szCs w:val="20"/>
              </w:rPr>
            </w:pPr>
          </w:p>
        </w:tc>
        <w:tc>
          <w:tcPr>
            <w:tcW w:w="178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F1CFFAF" w14:textId="79BF69FC" w:rsidR="001D5588" w:rsidRDefault="001D5588" w:rsidP="00476422">
            <w:pPr>
              <w:spacing w:after="0" w:line="240" w:lineRule="auto"/>
              <w:ind w:left="143" w:right="142"/>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6. Fortalecer el liderazgo académico de figuras directivas y docentes para  favorecer los aprendizajes significativos entre los estudiantes de Educación Básica.</w:t>
            </w: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689BBBD" w14:textId="77777777" w:rsidR="001D5588" w:rsidRDefault="001D5588" w:rsidP="00476422">
            <w:pPr>
              <w:spacing w:after="0" w:line="240" w:lineRule="auto"/>
              <w:jc w:val="left"/>
              <w:rPr>
                <w:rFonts w:ascii="Futura Std Condensed Light" w:eastAsia="Calibri" w:hAnsi="Futura Std Condensed Light" w:cs="Calibri"/>
                <w:sz w:val="20"/>
                <w:szCs w:val="20"/>
              </w:rPr>
            </w:pPr>
          </w:p>
        </w:tc>
      </w:tr>
      <w:tr w:rsidR="001D5588" w14:paraId="134F4391" w14:textId="77777777" w:rsidTr="00C527EB">
        <w:trPr>
          <w:trHeight w:val="283"/>
          <w:jc w:val="center"/>
        </w:trPr>
        <w:tc>
          <w:tcPr>
            <w:tcW w:w="0" w:type="auto"/>
            <w:vMerge/>
            <w:tcBorders>
              <w:left w:val="single" w:sz="4" w:space="0" w:color="auto"/>
              <w:right w:val="single" w:sz="4" w:space="0" w:color="auto"/>
            </w:tcBorders>
            <w:shd w:val="clear" w:color="auto" w:fill="FFFFFF" w:themeFill="background1"/>
            <w:vAlign w:val="center"/>
            <w:hideMark/>
          </w:tcPr>
          <w:p w14:paraId="643E6656" w14:textId="0A6DBD8F" w:rsidR="001D5588" w:rsidRDefault="001D5588" w:rsidP="00476422">
            <w:pPr>
              <w:spacing w:after="0" w:line="240" w:lineRule="auto"/>
              <w:jc w:val="center"/>
              <w:rPr>
                <w:rFonts w:ascii="Futura Std Condensed Light" w:eastAsia="Calibri" w:hAnsi="Futura Std Condensed Light" w:cs="Calibri"/>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E8DA11" w14:textId="77777777" w:rsidR="001D5588" w:rsidRDefault="001D5588" w:rsidP="00476422">
            <w:pPr>
              <w:spacing w:after="0" w:line="240" w:lineRule="auto"/>
              <w:jc w:val="left"/>
              <w:rPr>
                <w:rFonts w:ascii="Futura Std Condensed Light" w:eastAsia="Calibri" w:hAnsi="Futura Std Condensed Light" w:cs="Calibri"/>
                <w:sz w:val="20"/>
                <w:szCs w:val="20"/>
              </w:rPr>
            </w:pPr>
          </w:p>
        </w:tc>
        <w:tc>
          <w:tcPr>
            <w:tcW w:w="178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8029C70" w14:textId="71CA3C33" w:rsidR="001D5588" w:rsidRDefault="001D5588" w:rsidP="00476422">
            <w:pPr>
              <w:spacing w:after="0" w:line="240" w:lineRule="auto"/>
              <w:ind w:left="143" w:right="142"/>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7. Mejorar el desempeño escolar de los alumnos de educación básica a través de la ampliación, materiales pedagógicos, didácticos y el uso eficaz de la jornada escolar</w:t>
            </w: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7383B80" w14:textId="77777777" w:rsidR="001D5588" w:rsidRDefault="001D5588" w:rsidP="00476422">
            <w:pPr>
              <w:spacing w:after="0" w:line="240" w:lineRule="auto"/>
              <w:jc w:val="left"/>
              <w:rPr>
                <w:rFonts w:ascii="Futura Std Condensed Light" w:eastAsia="Calibri" w:hAnsi="Futura Std Condensed Light" w:cs="Calibri"/>
                <w:sz w:val="20"/>
                <w:szCs w:val="20"/>
              </w:rPr>
            </w:pPr>
          </w:p>
        </w:tc>
      </w:tr>
      <w:tr w:rsidR="001D5588" w14:paraId="61ACBC32" w14:textId="77777777" w:rsidTr="00C527EB">
        <w:trPr>
          <w:trHeight w:val="283"/>
          <w:jc w:val="center"/>
        </w:trPr>
        <w:tc>
          <w:tcPr>
            <w:tcW w:w="0" w:type="auto"/>
            <w:vMerge/>
            <w:tcBorders>
              <w:left w:val="single" w:sz="4" w:space="0" w:color="auto"/>
              <w:right w:val="single" w:sz="4" w:space="0" w:color="auto"/>
            </w:tcBorders>
            <w:shd w:val="clear" w:color="auto" w:fill="FFFFFF" w:themeFill="background1"/>
            <w:vAlign w:val="center"/>
            <w:hideMark/>
          </w:tcPr>
          <w:p w14:paraId="62DFCFA4" w14:textId="11470E25" w:rsidR="001D5588" w:rsidRDefault="001D5588" w:rsidP="00476422">
            <w:pPr>
              <w:spacing w:after="0" w:line="240" w:lineRule="auto"/>
              <w:jc w:val="center"/>
              <w:rPr>
                <w:rFonts w:ascii="Futura Std Condensed Light" w:eastAsia="Calibri" w:hAnsi="Futura Std Condensed Light" w:cs="Calibri"/>
                <w:sz w:val="20"/>
                <w:szCs w:val="20"/>
              </w:rPr>
            </w:pPr>
          </w:p>
        </w:tc>
        <w:tc>
          <w:tcPr>
            <w:tcW w:w="1630"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3F2DA8BC" w14:textId="77777777" w:rsidR="001D5588" w:rsidRDefault="001D5588" w:rsidP="00476422">
            <w:pPr>
              <w:spacing w:after="0" w:line="240" w:lineRule="auto"/>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22. Ampliar la atención a niños y jóvenes con discapacidad, necesidades educativas especiales y/o aptitudes sobresalientes.</w:t>
            </w:r>
          </w:p>
        </w:tc>
        <w:tc>
          <w:tcPr>
            <w:tcW w:w="178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5AF0C30" w14:textId="4DA5D2FD" w:rsidR="001D5588" w:rsidRDefault="001D5588" w:rsidP="00476422">
            <w:pPr>
              <w:spacing w:after="0" w:line="240" w:lineRule="auto"/>
              <w:ind w:left="143" w:right="142"/>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8. Ampliar la atención a niños y jóvenes con discapacidad, necesidades educativas especiales y/o aptitudes sobresalientes, propiciando ambientes inclusivos.</w:t>
            </w: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77369C0" w14:textId="77777777" w:rsidR="001D5588" w:rsidRDefault="001D5588" w:rsidP="00476422">
            <w:pPr>
              <w:spacing w:after="0" w:line="240" w:lineRule="auto"/>
              <w:jc w:val="left"/>
              <w:rPr>
                <w:rFonts w:ascii="Futura Std Condensed Light" w:eastAsia="Calibri" w:hAnsi="Futura Std Condensed Light" w:cs="Calibri"/>
                <w:sz w:val="20"/>
                <w:szCs w:val="20"/>
              </w:rPr>
            </w:pPr>
          </w:p>
        </w:tc>
      </w:tr>
      <w:tr w:rsidR="001D5588" w14:paraId="73919346" w14:textId="77777777" w:rsidTr="00C527EB">
        <w:trPr>
          <w:trHeight w:val="283"/>
          <w:jc w:val="center"/>
        </w:trPr>
        <w:tc>
          <w:tcPr>
            <w:tcW w:w="0" w:type="auto"/>
            <w:vMerge/>
            <w:tcBorders>
              <w:left w:val="single" w:sz="4" w:space="0" w:color="auto"/>
              <w:right w:val="single" w:sz="4" w:space="0" w:color="auto"/>
            </w:tcBorders>
            <w:shd w:val="clear" w:color="auto" w:fill="FFFFFF" w:themeFill="background1"/>
            <w:vAlign w:val="center"/>
            <w:hideMark/>
          </w:tcPr>
          <w:p w14:paraId="3ABCB503" w14:textId="693E25BB" w:rsidR="001D5588" w:rsidRDefault="001D5588" w:rsidP="00476422">
            <w:pPr>
              <w:spacing w:after="0" w:line="240" w:lineRule="auto"/>
              <w:jc w:val="center"/>
              <w:rPr>
                <w:rFonts w:ascii="Futura Std Condensed Light" w:eastAsia="Calibri" w:hAnsi="Futura Std Condensed Light" w:cs="Calibri"/>
                <w:sz w:val="20"/>
                <w:szCs w:val="20"/>
              </w:rPr>
            </w:pPr>
          </w:p>
        </w:tc>
        <w:tc>
          <w:tcPr>
            <w:tcW w:w="1630"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74790EAD" w14:textId="77777777" w:rsidR="001D5588" w:rsidRDefault="001D5588" w:rsidP="00476422">
            <w:pPr>
              <w:spacing w:after="0" w:line="240" w:lineRule="auto"/>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23. Impulsar acciones de atención para mejorar la formación inicial y continua de docentes.</w:t>
            </w:r>
          </w:p>
        </w:tc>
        <w:tc>
          <w:tcPr>
            <w:tcW w:w="178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334F3D6" w14:textId="4FAE0FFC" w:rsidR="001D5588" w:rsidRDefault="001D5588" w:rsidP="00476422">
            <w:pPr>
              <w:spacing w:after="0" w:line="240" w:lineRule="auto"/>
              <w:ind w:left="143" w:right="142"/>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9. Impulsar acciones de atención para mejorar la formación  continua y desarrollo profesional de los docentes.</w:t>
            </w: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7B55A7" w14:textId="77777777" w:rsidR="001D5588" w:rsidRDefault="001D5588" w:rsidP="00476422">
            <w:pPr>
              <w:spacing w:after="0" w:line="240" w:lineRule="auto"/>
              <w:jc w:val="left"/>
              <w:rPr>
                <w:rFonts w:ascii="Futura Std Condensed Light" w:eastAsia="Calibri" w:hAnsi="Futura Std Condensed Light" w:cs="Calibri"/>
                <w:sz w:val="20"/>
                <w:szCs w:val="20"/>
              </w:rPr>
            </w:pPr>
          </w:p>
        </w:tc>
      </w:tr>
      <w:tr w:rsidR="001D5588" w14:paraId="6E80E082" w14:textId="77777777" w:rsidTr="00C527EB">
        <w:trPr>
          <w:trHeight w:val="283"/>
          <w:jc w:val="center"/>
        </w:trPr>
        <w:tc>
          <w:tcPr>
            <w:tcW w:w="0" w:type="auto"/>
            <w:vMerge/>
            <w:tcBorders>
              <w:left w:val="single" w:sz="4" w:space="0" w:color="auto"/>
              <w:right w:val="single" w:sz="4" w:space="0" w:color="auto"/>
            </w:tcBorders>
            <w:shd w:val="clear" w:color="auto" w:fill="FFFFFF" w:themeFill="background1"/>
            <w:vAlign w:val="center"/>
            <w:hideMark/>
          </w:tcPr>
          <w:p w14:paraId="32CBD9B2" w14:textId="5A85E6E5" w:rsidR="001D5588" w:rsidRDefault="001D5588" w:rsidP="00476422">
            <w:pPr>
              <w:spacing w:after="0" w:line="240" w:lineRule="auto"/>
              <w:jc w:val="center"/>
              <w:rPr>
                <w:rFonts w:ascii="Futura Std Condensed Light" w:eastAsia="Calibri" w:hAnsi="Futura Std Condensed Light" w:cs="Calibri"/>
                <w:sz w:val="20"/>
                <w:szCs w:val="20"/>
              </w:rPr>
            </w:pPr>
          </w:p>
        </w:tc>
        <w:tc>
          <w:tcPr>
            <w:tcW w:w="1630"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516B4B05" w14:textId="77777777" w:rsidR="001D5588" w:rsidRDefault="001D5588" w:rsidP="00476422">
            <w:pPr>
              <w:spacing w:after="0" w:line="240" w:lineRule="auto"/>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24. Impulsar la formación integral de los estudiantes en todos los niveles educativos.</w:t>
            </w:r>
          </w:p>
        </w:tc>
        <w:tc>
          <w:tcPr>
            <w:tcW w:w="178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C29D1FD" w14:textId="2E4D348F" w:rsidR="001D5588" w:rsidRDefault="001D5588" w:rsidP="00476422">
            <w:pPr>
              <w:spacing w:after="0" w:line="240" w:lineRule="auto"/>
              <w:ind w:left="143" w:right="142"/>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10. Impulsar una estrategia de colaboración interinstitucional mediante acciones de educación física, a fin de promover estilos de vida saludables  en la comunidad escolar.</w:t>
            </w: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B69A237" w14:textId="77777777" w:rsidR="001D5588" w:rsidRDefault="001D5588" w:rsidP="00476422">
            <w:pPr>
              <w:spacing w:after="0" w:line="240" w:lineRule="auto"/>
              <w:jc w:val="left"/>
              <w:rPr>
                <w:rFonts w:ascii="Futura Std Condensed Light" w:eastAsia="Calibri" w:hAnsi="Futura Std Condensed Light" w:cs="Calibri"/>
                <w:sz w:val="20"/>
                <w:szCs w:val="20"/>
              </w:rPr>
            </w:pPr>
          </w:p>
        </w:tc>
      </w:tr>
      <w:tr w:rsidR="001D5588" w14:paraId="3A13FD3C" w14:textId="77777777" w:rsidTr="00C527EB">
        <w:trPr>
          <w:trHeight w:val="283"/>
          <w:jc w:val="center"/>
        </w:trPr>
        <w:tc>
          <w:tcPr>
            <w:tcW w:w="0" w:type="auto"/>
            <w:vMerge/>
            <w:tcBorders>
              <w:left w:val="single" w:sz="4" w:space="0" w:color="auto"/>
              <w:right w:val="single" w:sz="4" w:space="0" w:color="auto"/>
            </w:tcBorders>
            <w:shd w:val="clear" w:color="auto" w:fill="FFFFFF" w:themeFill="background1"/>
            <w:vAlign w:val="center"/>
            <w:hideMark/>
          </w:tcPr>
          <w:p w14:paraId="6131D4D5" w14:textId="583A108E" w:rsidR="001D5588" w:rsidRDefault="001D5588" w:rsidP="00476422">
            <w:pPr>
              <w:spacing w:after="0" w:line="240" w:lineRule="auto"/>
              <w:jc w:val="center"/>
              <w:rPr>
                <w:rFonts w:ascii="Futura Std Condensed Light" w:eastAsia="Calibri" w:hAnsi="Futura Std Condensed Light" w:cs="Calibri"/>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FBEE816" w14:textId="77777777" w:rsidR="001D5588" w:rsidRDefault="001D5588" w:rsidP="00476422">
            <w:pPr>
              <w:spacing w:after="0" w:line="240" w:lineRule="auto"/>
              <w:jc w:val="left"/>
              <w:rPr>
                <w:rFonts w:ascii="Futura Std Condensed Light" w:eastAsia="Calibri" w:hAnsi="Futura Std Condensed Light" w:cs="Calibri"/>
                <w:sz w:val="20"/>
                <w:szCs w:val="20"/>
              </w:rPr>
            </w:pPr>
          </w:p>
        </w:tc>
        <w:tc>
          <w:tcPr>
            <w:tcW w:w="178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9DA85BB" w14:textId="30239E3F" w:rsidR="001D5588" w:rsidRDefault="001D5588" w:rsidP="00476422">
            <w:pPr>
              <w:spacing w:after="0" w:line="240" w:lineRule="auto"/>
              <w:ind w:left="143" w:right="142"/>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 xml:space="preserve">11. Fortalecer la formación integral de los alumnos del nivel de secundaria incorporando los conocimientos, habilidades y actitudes a través de la implementación de la asignatura de tecnología en apego a las disposiciones y </w:t>
            </w:r>
            <w:r>
              <w:rPr>
                <w:rFonts w:ascii="Futura Std Condensed Light" w:eastAsia="Calibri" w:hAnsi="Futura Std Condensed Light" w:cs="Calibri"/>
                <w:sz w:val="20"/>
                <w:szCs w:val="20"/>
              </w:rPr>
              <w:lastRenderedPageBreak/>
              <w:t>normativa de la Nueva Escuela Mexicana.</w:t>
            </w: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F494CCB" w14:textId="77777777" w:rsidR="001D5588" w:rsidRDefault="001D5588" w:rsidP="00476422">
            <w:pPr>
              <w:spacing w:after="0" w:line="240" w:lineRule="auto"/>
              <w:jc w:val="left"/>
              <w:rPr>
                <w:rFonts w:ascii="Futura Std Condensed Light" w:eastAsia="Calibri" w:hAnsi="Futura Std Condensed Light" w:cs="Calibri"/>
                <w:sz w:val="20"/>
                <w:szCs w:val="20"/>
              </w:rPr>
            </w:pPr>
          </w:p>
        </w:tc>
      </w:tr>
      <w:tr w:rsidR="001D5588" w14:paraId="00C8655A" w14:textId="77777777" w:rsidTr="00C527EB">
        <w:trPr>
          <w:trHeight w:val="283"/>
          <w:jc w:val="center"/>
        </w:trPr>
        <w:tc>
          <w:tcPr>
            <w:tcW w:w="0" w:type="auto"/>
            <w:vMerge/>
            <w:tcBorders>
              <w:left w:val="single" w:sz="4" w:space="0" w:color="auto"/>
              <w:right w:val="single" w:sz="4" w:space="0" w:color="auto"/>
            </w:tcBorders>
            <w:shd w:val="clear" w:color="auto" w:fill="FFFFFF" w:themeFill="background1"/>
            <w:vAlign w:val="center"/>
            <w:hideMark/>
          </w:tcPr>
          <w:p w14:paraId="2BE6B972" w14:textId="03DC78F5" w:rsidR="001D5588" w:rsidRDefault="001D5588" w:rsidP="00476422">
            <w:pPr>
              <w:spacing w:after="0" w:line="240" w:lineRule="auto"/>
              <w:jc w:val="center"/>
              <w:rPr>
                <w:rFonts w:ascii="Futura Std Condensed Light" w:eastAsia="Calibri" w:hAnsi="Futura Std Condensed Light" w:cs="Calibri"/>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D650B4D" w14:textId="77777777" w:rsidR="001D5588" w:rsidRDefault="001D5588" w:rsidP="00476422">
            <w:pPr>
              <w:spacing w:after="0" w:line="240" w:lineRule="auto"/>
              <w:jc w:val="left"/>
              <w:rPr>
                <w:rFonts w:ascii="Futura Std Condensed Light" w:eastAsia="Calibri" w:hAnsi="Futura Std Condensed Light" w:cs="Calibri"/>
                <w:sz w:val="20"/>
                <w:szCs w:val="20"/>
              </w:rPr>
            </w:pPr>
          </w:p>
        </w:tc>
        <w:tc>
          <w:tcPr>
            <w:tcW w:w="178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86F6E5A" w14:textId="2E2BC164" w:rsidR="001D5588" w:rsidRDefault="001D5588" w:rsidP="00476422">
            <w:pPr>
              <w:spacing w:after="0" w:line="240" w:lineRule="auto"/>
              <w:ind w:left="143" w:right="142"/>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12. Promover la enseñanza del inglés como lengua extranjera en los planteles regulares públicos de Educación Básica en la entidad.</w:t>
            </w: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5E94352" w14:textId="77777777" w:rsidR="001D5588" w:rsidRDefault="001D5588" w:rsidP="00476422">
            <w:pPr>
              <w:spacing w:after="0" w:line="240" w:lineRule="auto"/>
              <w:jc w:val="left"/>
              <w:rPr>
                <w:rFonts w:ascii="Futura Std Condensed Light" w:eastAsia="Calibri" w:hAnsi="Futura Std Condensed Light" w:cs="Calibri"/>
                <w:sz w:val="20"/>
                <w:szCs w:val="20"/>
              </w:rPr>
            </w:pPr>
          </w:p>
        </w:tc>
      </w:tr>
      <w:tr w:rsidR="001D5588" w14:paraId="7A0E018E" w14:textId="77777777" w:rsidTr="00C527EB">
        <w:trPr>
          <w:trHeight w:val="283"/>
          <w:jc w:val="center"/>
        </w:trPr>
        <w:tc>
          <w:tcPr>
            <w:tcW w:w="0" w:type="auto"/>
            <w:vMerge/>
            <w:tcBorders>
              <w:left w:val="single" w:sz="4" w:space="0" w:color="auto"/>
              <w:right w:val="single" w:sz="4" w:space="0" w:color="auto"/>
            </w:tcBorders>
            <w:shd w:val="clear" w:color="auto" w:fill="FFFFFF" w:themeFill="background1"/>
            <w:vAlign w:val="center"/>
            <w:hideMark/>
          </w:tcPr>
          <w:p w14:paraId="1CCE4807" w14:textId="51DB9454" w:rsidR="001D5588" w:rsidRDefault="001D5588" w:rsidP="00476422">
            <w:pPr>
              <w:spacing w:after="0" w:line="240" w:lineRule="auto"/>
              <w:jc w:val="center"/>
              <w:rPr>
                <w:rFonts w:ascii="Futura Std Condensed Light" w:eastAsia="Calibri" w:hAnsi="Futura Std Condensed Light" w:cs="Calibri"/>
                <w:sz w:val="20"/>
                <w:szCs w:val="20"/>
              </w:rPr>
            </w:pPr>
          </w:p>
        </w:tc>
        <w:tc>
          <w:tcPr>
            <w:tcW w:w="1630"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30ADE446" w14:textId="77777777" w:rsidR="001D5588" w:rsidRDefault="001D5588" w:rsidP="00476422">
            <w:pPr>
              <w:spacing w:after="0" w:line="240" w:lineRule="auto"/>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27. Atender las actividades administrativas, técnicas, jurídicas y de Staff.</w:t>
            </w:r>
          </w:p>
        </w:tc>
        <w:tc>
          <w:tcPr>
            <w:tcW w:w="178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A1B1FF5" w14:textId="17B74247" w:rsidR="001D5588" w:rsidRDefault="000B0B36" w:rsidP="00476422">
            <w:pPr>
              <w:spacing w:after="0" w:line="240" w:lineRule="auto"/>
              <w:ind w:left="143" w:right="142"/>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13</w:t>
            </w:r>
            <w:r w:rsidR="001D5588">
              <w:rPr>
                <w:rFonts w:ascii="Futura Std Condensed Light" w:eastAsia="Calibri" w:hAnsi="Futura Std Condensed Light" w:cs="Calibri"/>
                <w:sz w:val="20"/>
                <w:szCs w:val="20"/>
              </w:rPr>
              <w:t>. Atender las actividades administrativas, técnicas, jurídicas y de Staff.</w:t>
            </w: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DA5BB45" w14:textId="77777777" w:rsidR="001D5588" w:rsidRDefault="001D5588" w:rsidP="00476422">
            <w:pPr>
              <w:spacing w:after="0" w:line="240" w:lineRule="auto"/>
              <w:jc w:val="left"/>
              <w:rPr>
                <w:rFonts w:ascii="Futura Std Condensed Light" w:eastAsia="Calibri" w:hAnsi="Futura Std Condensed Light" w:cs="Calibri"/>
                <w:sz w:val="20"/>
                <w:szCs w:val="20"/>
              </w:rPr>
            </w:pPr>
          </w:p>
        </w:tc>
      </w:tr>
      <w:tr w:rsidR="001D5588" w14:paraId="1ECBC2F3" w14:textId="77777777" w:rsidTr="00D83181">
        <w:trPr>
          <w:trHeight w:val="283"/>
          <w:jc w:val="center"/>
        </w:trPr>
        <w:tc>
          <w:tcPr>
            <w:tcW w:w="700" w:type="pct"/>
            <w:vMerge/>
            <w:tcBorders>
              <w:left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241FAD43" w14:textId="51F4E32B" w:rsidR="001D5588" w:rsidRDefault="001D5588" w:rsidP="00476422">
            <w:pPr>
              <w:spacing w:after="0" w:line="240" w:lineRule="auto"/>
              <w:jc w:val="center"/>
              <w:rPr>
                <w:rFonts w:ascii="Futura Std Condensed Light" w:eastAsia="Calibri" w:hAnsi="Futura Std Condensed Light" w:cs="Calibri"/>
                <w:sz w:val="20"/>
                <w:szCs w:val="20"/>
              </w:rPr>
            </w:pPr>
          </w:p>
        </w:tc>
        <w:tc>
          <w:tcPr>
            <w:tcW w:w="1630"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6E46AEDE" w14:textId="4831D3AD" w:rsidR="001D5588" w:rsidRDefault="001D5588" w:rsidP="00B2638D">
            <w:pPr>
              <w:spacing w:after="0" w:line="240" w:lineRule="auto"/>
              <w:rPr>
                <w:rFonts w:ascii="Futura Std Condensed Light" w:eastAsia="Calibri" w:hAnsi="Futura Std Condensed Light" w:cs="Calibri"/>
                <w:sz w:val="20"/>
                <w:szCs w:val="20"/>
              </w:rPr>
            </w:pPr>
            <w:r w:rsidRPr="00B2638D">
              <w:rPr>
                <w:rFonts w:ascii="Futura Std Condensed Light" w:eastAsia="Calibri" w:hAnsi="Futura Std Condensed Light" w:cs="Calibri"/>
                <w:sz w:val="20"/>
                <w:szCs w:val="20"/>
              </w:rPr>
              <w:t>1. Incrementar la inserción de los niños en educación inicial y preescolar en el Sistema Educativo Estatal.</w:t>
            </w:r>
          </w:p>
        </w:tc>
        <w:tc>
          <w:tcPr>
            <w:tcW w:w="1787" w:type="pct"/>
            <w:tcBorders>
              <w:top w:val="single" w:sz="4" w:space="0" w:color="auto"/>
              <w:left w:val="single" w:sz="4" w:space="0" w:color="auto"/>
              <w:bottom w:val="single" w:sz="4" w:space="0" w:color="auto"/>
              <w:right w:val="single" w:sz="4" w:space="0" w:color="auto"/>
            </w:tcBorders>
            <w:shd w:val="clear" w:color="auto" w:fill="FFFFFF" w:themeFill="background1"/>
          </w:tcPr>
          <w:p w14:paraId="28AF6F17" w14:textId="0F9F85E6" w:rsidR="001D5588" w:rsidRDefault="001D5588" w:rsidP="00476422">
            <w:pPr>
              <w:spacing w:after="0" w:line="240" w:lineRule="auto"/>
              <w:ind w:left="143" w:right="142"/>
              <w:rPr>
                <w:rFonts w:ascii="Futura Std Condensed Light" w:eastAsia="Calibri" w:hAnsi="Futura Std Condensed Light" w:cs="Calibri"/>
                <w:sz w:val="20"/>
                <w:szCs w:val="20"/>
              </w:rPr>
            </w:pPr>
            <w:r w:rsidRPr="00B2638D">
              <w:rPr>
                <w:rFonts w:ascii="Futura Std Condensed Light" w:eastAsia="Calibri" w:hAnsi="Futura Std Condensed Light" w:cs="Calibri"/>
                <w:sz w:val="20"/>
                <w:szCs w:val="20"/>
              </w:rPr>
              <w:t>1. Promover la atención de la educación Inicial no escolarizada que asegure la mejora del trabajo comunitario con madres y padres de familia de niños y niñas de 0 a 3 años 11 meses de edad, en grupos de mayor grado de vulnerabilidad</w:t>
            </w:r>
          </w:p>
        </w:tc>
        <w:tc>
          <w:tcPr>
            <w:tcW w:w="882" w:type="pct"/>
            <w:vMerge w:val="restart"/>
            <w:tcBorders>
              <w:top w:val="single" w:sz="4" w:space="0" w:color="auto"/>
              <w:left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7B1A1159" w14:textId="77777777" w:rsidR="005A6B05" w:rsidRPr="005A6B05" w:rsidRDefault="005A6B05" w:rsidP="005A6B05">
            <w:pPr>
              <w:rPr>
                <w:rFonts w:ascii="Futura Std Condensed Light" w:eastAsia="Calibri" w:hAnsi="Futura Std Condensed Light" w:cs="Calibri"/>
                <w:sz w:val="20"/>
                <w:szCs w:val="20"/>
              </w:rPr>
            </w:pPr>
            <w:r w:rsidRPr="005A6B05">
              <w:rPr>
                <w:rFonts w:ascii="Futura Std Condensed Light" w:eastAsia="Calibri" w:hAnsi="Futura Std Condensed Light" w:cs="Calibri"/>
                <w:sz w:val="20"/>
                <w:szCs w:val="20"/>
              </w:rPr>
              <w:t xml:space="preserve">Favorecer  la permanencia y el egreso de los estudiantes de educación básica en el Sistema Educativo Estatal  mediante diversos apoyos compensatorios. </w:t>
            </w:r>
          </w:p>
          <w:p w14:paraId="6D458352" w14:textId="3643AB3F" w:rsidR="005A6B05" w:rsidRDefault="005A6B05" w:rsidP="00476422">
            <w:pPr>
              <w:spacing w:after="0" w:line="240" w:lineRule="auto"/>
              <w:rPr>
                <w:rFonts w:ascii="Futura Std Condensed Light" w:eastAsia="Calibri" w:hAnsi="Futura Std Condensed Light" w:cs="Calibri"/>
                <w:sz w:val="20"/>
                <w:szCs w:val="20"/>
              </w:rPr>
            </w:pPr>
          </w:p>
        </w:tc>
      </w:tr>
      <w:tr w:rsidR="001D5588" w14:paraId="1542DF0E" w14:textId="77777777" w:rsidTr="00D83181">
        <w:trPr>
          <w:trHeight w:val="283"/>
          <w:jc w:val="center"/>
        </w:trPr>
        <w:tc>
          <w:tcPr>
            <w:tcW w:w="700" w:type="pct"/>
            <w:vMerge/>
            <w:tcBorders>
              <w:left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63718D96" w14:textId="77777777" w:rsidR="001D5588" w:rsidRDefault="001D5588" w:rsidP="00476422">
            <w:pPr>
              <w:spacing w:after="0" w:line="240" w:lineRule="auto"/>
              <w:jc w:val="center"/>
              <w:rPr>
                <w:rFonts w:ascii="Futura Std Condensed Light" w:eastAsia="Calibri" w:hAnsi="Futura Std Condensed Light" w:cs="Calibri"/>
                <w:sz w:val="20"/>
                <w:szCs w:val="20"/>
              </w:rPr>
            </w:pPr>
          </w:p>
        </w:tc>
        <w:tc>
          <w:tcPr>
            <w:tcW w:w="1630" w:type="pct"/>
            <w:vMerge w:val="restart"/>
            <w:tcBorders>
              <w:top w:val="single" w:sz="4" w:space="0" w:color="auto"/>
              <w:left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1651A83C" w14:textId="3ED3BB70" w:rsidR="001D5588" w:rsidRPr="00B2638D" w:rsidRDefault="001D5588" w:rsidP="00B2638D">
            <w:pPr>
              <w:spacing w:after="0" w:line="240" w:lineRule="auto"/>
              <w:rPr>
                <w:rFonts w:ascii="Futura Std Condensed Light" w:eastAsia="Calibri" w:hAnsi="Futura Std Condensed Light" w:cs="Calibri"/>
                <w:sz w:val="20"/>
                <w:szCs w:val="20"/>
              </w:rPr>
            </w:pPr>
            <w:r w:rsidRPr="00B2638D">
              <w:rPr>
                <w:rFonts w:ascii="Futura Std Condensed Light" w:eastAsia="Calibri" w:hAnsi="Futura Std Condensed Light" w:cs="Calibri"/>
                <w:sz w:val="20"/>
                <w:szCs w:val="20"/>
              </w:rPr>
              <w:t>2. Reorientar el programa de becas e incentivos para otorgarlas a alumnos de escasos recursos a fin de concluyan sus estudios.</w:t>
            </w:r>
          </w:p>
        </w:tc>
        <w:tc>
          <w:tcPr>
            <w:tcW w:w="1787" w:type="pct"/>
            <w:tcBorders>
              <w:top w:val="single" w:sz="4" w:space="0" w:color="auto"/>
              <w:left w:val="single" w:sz="4" w:space="0" w:color="auto"/>
              <w:bottom w:val="single" w:sz="4" w:space="0" w:color="auto"/>
              <w:right w:val="single" w:sz="4" w:space="0" w:color="auto"/>
            </w:tcBorders>
            <w:shd w:val="clear" w:color="auto" w:fill="FFFFFF" w:themeFill="background1"/>
          </w:tcPr>
          <w:p w14:paraId="55AFB91F" w14:textId="246E3A32" w:rsidR="001D5588" w:rsidRPr="00B2638D" w:rsidRDefault="001D5588" w:rsidP="00476422">
            <w:pPr>
              <w:spacing w:after="0" w:line="240" w:lineRule="auto"/>
              <w:ind w:left="143" w:right="142"/>
              <w:rPr>
                <w:rFonts w:ascii="Futura Std Condensed Light" w:eastAsia="Calibri" w:hAnsi="Futura Std Condensed Light" w:cs="Calibri"/>
                <w:sz w:val="20"/>
                <w:szCs w:val="20"/>
              </w:rPr>
            </w:pPr>
            <w:r w:rsidRPr="00B2638D">
              <w:rPr>
                <w:rFonts w:ascii="Futura Std Condensed Light" w:eastAsia="Calibri" w:hAnsi="Futura Std Condensed Light" w:cs="Calibri"/>
                <w:sz w:val="20"/>
                <w:szCs w:val="20"/>
              </w:rPr>
              <w:t xml:space="preserve">2. Reorientar el programa de becas e incentivos para otorgarlas a alumnos de escasos recursos a fin de que concluyan sus estudios.   </w:t>
            </w:r>
          </w:p>
        </w:tc>
        <w:tc>
          <w:tcPr>
            <w:tcW w:w="882" w:type="pct"/>
            <w:vMerge/>
            <w:tcBorders>
              <w:left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515DC45C" w14:textId="77777777" w:rsidR="001D5588" w:rsidRDefault="001D5588" w:rsidP="00476422">
            <w:pPr>
              <w:spacing w:after="0" w:line="240" w:lineRule="auto"/>
              <w:rPr>
                <w:rFonts w:ascii="Futura Std Condensed Light" w:eastAsia="Calibri" w:hAnsi="Futura Std Condensed Light" w:cs="Calibri"/>
                <w:sz w:val="20"/>
                <w:szCs w:val="20"/>
              </w:rPr>
            </w:pPr>
          </w:p>
        </w:tc>
      </w:tr>
      <w:tr w:rsidR="001D5588" w14:paraId="2CFD6329" w14:textId="77777777" w:rsidTr="00D83181">
        <w:trPr>
          <w:trHeight w:val="283"/>
          <w:jc w:val="center"/>
        </w:trPr>
        <w:tc>
          <w:tcPr>
            <w:tcW w:w="700" w:type="pct"/>
            <w:vMerge/>
            <w:tcBorders>
              <w:left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2EC6CD11" w14:textId="77777777" w:rsidR="001D5588" w:rsidRDefault="001D5588" w:rsidP="00476422">
            <w:pPr>
              <w:spacing w:after="0" w:line="240" w:lineRule="auto"/>
              <w:jc w:val="center"/>
              <w:rPr>
                <w:rFonts w:ascii="Futura Std Condensed Light" w:eastAsia="Calibri" w:hAnsi="Futura Std Condensed Light" w:cs="Calibri"/>
                <w:sz w:val="20"/>
                <w:szCs w:val="20"/>
              </w:rPr>
            </w:pPr>
          </w:p>
        </w:tc>
        <w:tc>
          <w:tcPr>
            <w:tcW w:w="1630" w:type="pct"/>
            <w:vMerge/>
            <w:tcBorders>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1BB5C611" w14:textId="77777777" w:rsidR="001D5588" w:rsidRPr="00B2638D" w:rsidRDefault="001D5588" w:rsidP="00B2638D">
            <w:pPr>
              <w:spacing w:after="0" w:line="240" w:lineRule="auto"/>
              <w:rPr>
                <w:rFonts w:ascii="Futura Std Condensed Light" w:eastAsia="Calibri" w:hAnsi="Futura Std Condensed Light" w:cs="Calibri"/>
                <w:sz w:val="20"/>
                <w:szCs w:val="20"/>
              </w:rPr>
            </w:pPr>
          </w:p>
        </w:tc>
        <w:tc>
          <w:tcPr>
            <w:tcW w:w="1787" w:type="pct"/>
            <w:tcBorders>
              <w:top w:val="single" w:sz="4" w:space="0" w:color="auto"/>
              <w:left w:val="single" w:sz="4" w:space="0" w:color="auto"/>
              <w:bottom w:val="single" w:sz="4" w:space="0" w:color="auto"/>
              <w:right w:val="single" w:sz="4" w:space="0" w:color="auto"/>
            </w:tcBorders>
            <w:shd w:val="clear" w:color="auto" w:fill="FFFFFF" w:themeFill="background1"/>
          </w:tcPr>
          <w:p w14:paraId="277C3931" w14:textId="1FCAC6D4" w:rsidR="001D5588" w:rsidRPr="00B2638D" w:rsidRDefault="001D5588" w:rsidP="00476422">
            <w:pPr>
              <w:spacing w:after="0" w:line="240" w:lineRule="auto"/>
              <w:ind w:left="143" w:right="142"/>
              <w:rPr>
                <w:rFonts w:ascii="Futura Std Condensed Light" w:eastAsia="Calibri" w:hAnsi="Futura Std Condensed Light" w:cs="Calibri"/>
                <w:sz w:val="20"/>
                <w:szCs w:val="20"/>
              </w:rPr>
            </w:pPr>
            <w:r w:rsidRPr="00B2638D">
              <w:rPr>
                <w:rFonts w:ascii="Futura Std Condensed Light" w:eastAsia="Calibri" w:hAnsi="Futura Std Condensed Light" w:cs="Calibri"/>
                <w:sz w:val="20"/>
                <w:szCs w:val="20"/>
              </w:rPr>
              <w:t>3. Ampliar la cobertura de los programas de becas y apoyos compensatorios hacia grupos y zonas vulnerables rurales e indígenas</w:t>
            </w:r>
          </w:p>
        </w:tc>
        <w:tc>
          <w:tcPr>
            <w:tcW w:w="882" w:type="pct"/>
            <w:vMerge/>
            <w:tcBorders>
              <w:left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63AADD6C" w14:textId="77777777" w:rsidR="001D5588" w:rsidRDefault="001D5588" w:rsidP="00476422">
            <w:pPr>
              <w:spacing w:after="0" w:line="240" w:lineRule="auto"/>
              <w:rPr>
                <w:rFonts w:ascii="Futura Std Condensed Light" w:eastAsia="Calibri" w:hAnsi="Futura Std Condensed Light" w:cs="Calibri"/>
                <w:sz w:val="20"/>
                <w:szCs w:val="20"/>
              </w:rPr>
            </w:pPr>
          </w:p>
        </w:tc>
      </w:tr>
      <w:tr w:rsidR="001D5588" w14:paraId="3D1962B5" w14:textId="77777777" w:rsidTr="00D83181">
        <w:trPr>
          <w:trHeight w:val="283"/>
          <w:jc w:val="center"/>
        </w:trPr>
        <w:tc>
          <w:tcPr>
            <w:tcW w:w="700" w:type="pct"/>
            <w:vMerge/>
            <w:tcBorders>
              <w:left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0A1A8D9B" w14:textId="77777777" w:rsidR="001D5588" w:rsidRDefault="001D5588" w:rsidP="00476422">
            <w:pPr>
              <w:spacing w:after="0" w:line="240" w:lineRule="auto"/>
              <w:jc w:val="center"/>
              <w:rPr>
                <w:rFonts w:ascii="Futura Std Condensed Light" w:eastAsia="Calibri" w:hAnsi="Futura Std Condensed Light" w:cs="Calibri"/>
                <w:sz w:val="20"/>
                <w:szCs w:val="20"/>
              </w:rPr>
            </w:pPr>
          </w:p>
        </w:tc>
        <w:tc>
          <w:tcPr>
            <w:tcW w:w="1630" w:type="pct"/>
            <w:tcBorders>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37B72BA8" w14:textId="69F5086F" w:rsidR="001D5588" w:rsidRPr="00B2638D" w:rsidRDefault="001D5588" w:rsidP="00B2638D">
            <w:pPr>
              <w:spacing w:after="0" w:line="240" w:lineRule="auto"/>
              <w:rPr>
                <w:rFonts w:ascii="Futura Std Condensed Light" w:eastAsia="Calibri" w:hAnsi="Futura Std Condensed Light" w:cs="Calibri"/>
                <w:sz w:val="20"/>
                <w:szCs w:val="20"/>
              </w:rPr>
            </w:pPr>
            <w:r w:rsidRPr="00B2638D">
              <w:rPr>
                <w:rFonts w:ascii="Futura Std Condensed Light" w:eastAsia="Calibri" w:hAnsi="Futura Std Condensed Light" w:cs="Calibri"/>
                <w:sz w:val="20"/>
                <w:szCs w:val="20"/>
              </w:rPr>
              <w:t xml:space="preserve">3.Realizar, al interior de las escuelas públicas, la entrega de útiles y uniformes escolares </w:t>
            </w:r>
            <w:r w:rsidRPr="00B2638D">
              <w:rPr>
                <w:rFonts w:ascii="Futura Std Condensed Light" w:eastAsia="Calibri" w:hAnsi="Futura Std Condensed Light" w:cs="Calibri"/>
                <w:sz w:val="20"/>
                <w:szCs w:val="20"/>
              </w:rPr>
              <w:lastRenderedPageBreak/>
              <w:t>gratuitos de nivel básico al inicio del ciclo escolar.</w:t>
            </w:r>
          </w:p>
        </w:tc>
        <w:tc>
          <w:tcPr>
            <w:tcW w:w="1787" w:type="pct"/>
            <w:tcBorders>
              <w:top w:val="single" w:sz="4" w:space="0" w:color="auto"/>
              <w:left w:val="single" w:sz="4" w:space="0" w:color="auto"/>
              <w:bottom w:val="single" w:sz="4" w:space="0" w:color="auto"/>
              <w:right w:val="single" w:sz="4" w:space="0" w:color="auto"/>
            </w:tcBorders>
            <w:shd w:val="clear" w:color="auto" w:fill="FFFFFF" w:themeFill="background1"/>
          </w:tcPr>
          <w:p w14:paraId="0912964A" w14:textId="2F3C5268" w:rsidR="001D5588" w:rsidRPr="00B2638D" w:rsidRDefault="001D5588" w:rsidP="00476422">
            <w:pPr>
              <w:spacing w:after="0" w:line="240" w:lineRule="auto"/>
              <w:ind w:left="143" w:right="142"/>
              <w:rPr>
                <w:rFonts w:ascii="Futura Std Condensed Light" w:eastAsia="Calibri" w:hAnsi="Futura Std Condensed Light" w:cs="Calibri"/>
                <w:sz w:val="20"/>
                <w:szCs w:val="20"/>
              </w:rPr>
            </w:pPr>
            <w:r w:rsidRPr="00B2638D">
              <w:rPr>
                <w:rFonts w:ascii="Futura Std Condensed Light" w:eastAsia="Calibri" w:hAnsi="Futura Std Condensed Light" w:cs="Calibri"/>
                <w:sz w:val="20"/>
                <w:szCs w:val="20"/>
              </w:rPr>
              <w:lastRenderedPageBreak/>
              <w:t xml:space="preserve">4. Realizar, al interior de las escuelas públicas, la entrega de útiles, mochilas y uniformes escolares gratuitos de nivel </w:t>
            </w:r>
            <w:r w:rsidRPr="00B2638D">
              <w:rPr>
                <w:rFonts w:ascii="Futura Std Condensed Light" w:eastAsia="Calibri" w:hAnsi="Futura Std Condensed Light" w:cs="Calibri"/>
                <w:sz w:val="20"/>
                <w:szCs w:val="20"/>
              </w:rPr>
              <w:lastRenderedPageBreak/>
              <w:t>básico al inicio del ciclo escolar</w:t>
            </w:r>
          </w:p>
        </w:tc>
        <w:tc>
          <w:tcPr>
            <w:tcW w:w="882" w:type="pct"/>
            <w:vMerge/>
            <w:tcBorders>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291C4896" w14:textId="77777777" w:rsidR="001D5588" w:rsidRDefault="001D5588" w:rsidP="00476422">
            <w:pPr>
              <w:spacing w:after="0" w:line="240" w:lineRule="auto"/>
              <w:rPr>
                <w:rFonts w:ascii="Futura Std Condensed Light" w:eastAsia="Calibri" w:hAnsi="Futura Std Condensed Light" w:cs="Calibri"/>
                <w:sz w:val="20"/>
                <w:szCs w:val="20"/>
              </w:rPr>
            </w:pPr>
          </w:p>
        </w:tc>
      </w:tr>
      <w:tr w:rsidR="001D5588" w14:paraId="036B19C6" w14:textId="77777777" w:rsidTr="00D83181">
        <w:trPr>
          <w:trHeight w:val="283"/>
          <w:jc w:val="center"/>
        </w:trPr>
        <w:tc>
          <w:tcPr>
            <w:tcW w:w="700" w:type="pct"/>
            <w:vMerge/>
            <w:tcBorders>
              <w:left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11EC86C9" w14:textId="77777777" w:rsidR="001D5588" w:rsidRDefault="001D5588" w:rsidP="00476422">
            <w:pPr>
              <w:spacing w:after="0" w:line="240" w:lineRule="auto"/>
              <w:jc w:val="center"/>
              <w:rPr>
                <w:rFonts w:ascii="Futura Std Condensed Light" w:eastAsia="Calibri" w:hAnsi="Futura Std Condensed Light" w:cs="Calibri"/>
                <w:sz w:val="20"/>
                <w:szCs w:val="20"/>
              </w:rPr>
            </w:pPr>
          </w:p>
        </w:tc>
        <w:tc>
          <w:tcPr>
            <w:tcW w:w="1630" w:type="pct"/>
            <w:tcBorders>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39FB7602" w14:textId="1E86AE89" w:rsidR="001D5588" w:rsidRPr="00B2638D" w:rsidRDefault="001D5588" w:rsidP="00B2638D">
            <w:pPr>
              <w:spacing w:after="0" w:line="240" w:lineRule="auto"/>
              <w:rPr>
                <w:rFonts w:ascii="Futura Std Condensed Light" w:eastAsia="Calibri" w:hAnsi="Futura Std Condensed Light" w:cs="Calibri"/>
                <w:sz w:val="20"/>
                <w:szCs w:val="20"/>
              </w:rPr>
            </w:pPr>
            <w:r w:rsidRPr="00471FC9">
              <w:rPr>
                <w:rFonts w:ascii="Futura Std Condensed Light" w:eastAsia="Calibri" w:hAnsi="Futura Std Condensed Light" w:cs="Calibri"/>
                <w:sz w:val="20"/>
                <w:szCs w:val="20"/>
              </w:rPr>
              <w:t>4.Brindar seguro escolar en caso de accidentes a los alumnos de educación básica.</w:t>
            </w:r>
          </w:p>
        </w:tc>
        <w:tc>
          <w:tcPr>
            <w:tcW w:w="1787" w:type="pct"/>
            <w:tcBorders>
              <w:top w:val="single" w:sz="4" w:space="0" w:color="auto"/>
              <w:left w:val="single" w:sz="4" w:space="0" w:color="auto"/>
              <w:bottom w:val="single" w:sz="4" w:space="0" w:color="auto"/>
              <w:right w:val="single" w:sz="4" w:space="0" w:color="auto"/>
            </w:tcBorders>
            <w:shd w:val="clear" w:color="auto" w:fill="FFFFFF" w:themeFill="background1"/>
          </w:tcPr>
          <w:p w14:paraId="7EEAEBE9" w14:textId="52223BA6" w:rsidR="001D5588" w:rsidRPr="00B2638D" w:rsidRDefault="001D5588" w:rsidP="00476422">
            <w:pPr>
              <w:spacing w:after="0" w:line="240" w:lineRule="auto"/>
              <w:ind w:left="143" w:right="142"/>
              <w:rPr>
                <w:rFonts w:ascii="Futura Std Condensed Light" w:eastAsia="Calibri" w:hAnsi="Futura Std Condensed Light" w:cs="Calibri"/>
                <w:sz w:val="20"/>
                <w:szCs w:val="20"/>
              </w:rPr>
            </w:pPr>
            <w:r w:rsidRPr="00471FC9">
              <w:rPr>
                <w:rFonts w:ascii="Futura Std Condensed Light" w:eastAsia="Calibri" w:hAnsi="Futura Std Condensed Light" w:cs="Calibri"/>
                <w:sz w:val="20"/>
                <w:szCs w:val="20"/>
              </w:rPr>
              <w:t>1. Brindar seguro escolar en caso de accidentes a los alumnos de educación básica.</w:t>
            </w:r>
          </w:p>
        </w:tc>
        <w:tc>
          <w:tcPr>
            <w:tcW w:w="882" w:type="pct"/>
            <w:vMerge w:val="restart"/>
            <w:tcBorders>
              <w:top w:val="single" w:sz="4" w:space="0" w:color="auto"/>
              <w:left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177D13A6" w14:textId="76EE9DF4" w:rsidR="00177600" w:rsidRDefault="00177600" w:rsidP="00177600">
            <w:pPr>
              <w:rPr>
                <w:rFonts w:ascii="Futura Std Condensed Light" w:eastAsia="Calibri" w:hAnsi="Futura Std Condensed Light" w:cs="Calibri"/>
                <w:sz w:val="20"/>
                <w:szCs w:val="20"/>
              </w:rPr>
            </w:pPr>
            <w:r w:rsidRPr="00177600">
              <w:rPr>
                <w:rFonts w:ascii="Futura Std Condensed Light" w:eastAsia="Calibri" w:hAnsi="Futura Std Condensed Light" w:cs="Calibri"/>
                <w:sz w:val="20"/>
                <w:szCs w:val="20"/>
              </w:rPr>
              <w:t>Impulsar en educación básica acciones de respaldo a la trayectoria escolar, permanencia y egreso de los estudiantes.</w:t>
            </w:r>
          </w:p>
          <w:p w14:paraId="2C4C30A8" w14:textId="550D04BF" w:rsidR="0064478F" w:rsidRDefault="0064478F" w:rsidP="0064478F">
            <w:pPr>
              <w:rPr>
                <w:rFonts w:ascii="Futura Std Condensed Light" w:eastAsia="Calibri" w:hAnsi="Futura Std Condensed Light" w:cs="Calibri"/>
                <w:sz w:val="20"/>
                <w:szCs w:val="20"/>
              </w:rPr>
            </w:pPr>
            <w:r w:rsidRPr="00177600">
              <w:rPr>
                <w:rFonts w:ascii="Futura Std Condensed Light" w:eastAsia="Calibri" w:hAnsi="Futura Std Condensed Light" w:cs="Calibri"/>
                <w:sz w:val="20"/>
                <w:szCs w:val="20"/>
              </w:rPr>
              <w:t>Impulsar en educación básica acciones de respaldo a la trayectoria escolar, permanencia y egreso de los estudiantes.</w:t>
            </w:r>
          </w:p>
          <w:p w14:paraId="3B2EA156" w14:textId="77777777" w:rsidR="0064478F" w:rsidRDefault="0064478F" w:rsidP="00177600">
            <w:pPr>
              <w:rPr>
                <w:rFonts w:ascii="Futura Std Condensed Light" w:eastAsia="Calibri" w:hAnsi="Futura Std Condensed Light" w:cs="Calibri"/>
                <w:sz w:val="20"/>
                <w:szCs w:val="20"/>
              </w:rPr>
            </w:pPr>
          </w:p>
          <w:p w14:paraId="1468540E" w14:textId="77777777" w:rsidR="00177600" w:rsidRDefault="00177600" w:rsidP="00177600">
            <w:pPr>
              <w:rPr>
                <w:rFonts w:ascii="Futura Std Condensed Light" w:eastAsia="Calibri" w:hAnsi="Futura Std Condensed Light" w:cs="Calibri"/>
                <w:sz w:val="20"/>
                <w:szCs w:val="20"/>
              </w:rPr>
            </w:pPr>
          </w:p>
          <w:p w14:paraId="4351EA05" w14:textId="77777777" w:rsidR="00177600" w:rsidRDefault="00177600" w:rsidP="00177600">
            <w:pPr>
              <w:rPr>
                <w:rFonts w:ascii="Futura Std Condensed Light" w:eastAsia="Calibri" w:hAnsi="Futura Std Condensed Light" w:cs="Calibri"/>
                <w:sz w:val="20"/>
                <w:szCs w:val="20"/>
              </w:rPr>
            </w:pPr>
          </w:p>
          <w:p w14:paraId="487E879F" w14:textId="77777777" w:rsidR="00177600" w:rsidRDefault="00177600" w:rsidP="00177600">
            <w:pPr>
              <w:rPr>
                <w:rFonts w:ascii="Futura Std Condensed Light" w:eastAsia="Calibri" w:hAnsi="Futura Std Condensed Light" w:cs="Calibri"/>
                <w:sz w:val="20"/>
                <w:szCs w:val="20"/>
              </w:rPr>
            </w:pPr>
          </w:p>
          <w:p w14:paraId="52F8A593" w14:textId="263E527F" w:rsidR="00177600" w:rsidRPr="00177600" w:rsidRDefault="00177600" w:rsidP="00177600">
            <w:pPr>
              <w:rPr>
                <w:rFonts w:ascii="Futura Std Condensed Light" w:eastAsia="Calibri" w:hAnsi="Futura Std Condensed Light" w:cs="Calibri"/>
                <w:sz w:val="20"/>
                <w:szCs w:val="20"/>
              </w:rPr>
            </w:pPr>
            <w:r w:rsidRPr="00177600">
              <w:rPr>
                <w:rFonts w:ascii="Futura Std Condensed Light" w:eastAsia="Calibri" w:hAnsi="Futura Std Condensed Light" w:cs="Calibri"/>
                <w:sz w:val="20"/>
                <w:szCs w:val="20"/>
              </w:rPr>
              <w:lastRenderedPageBreak/>
              <w:t>.</w:t>
            </w:r>
          </w:p>
          <w:p w14:paraId="341E5E70" w14:textId="77777777" w:rsidR="00177600" w:rsidRPr="00177600" w:rsidRDefault="00177600" w:rsidP="00177600">
            <w:pPr>
              <w:rPr>
                <w:rFonts w:ascii="Futura Std Condensed Light" w:eastAsia="Calibri" w:hAnsi="Futura Std Condensed Light" w:cs="Calibri"/>
                <w:sz w:val="20"/>
                <w:szCs w:val="20"/>
              </w:rPr>
            </w:pPr>
          </w:p>
          <w:p w14:paraId="15694AE6" w14:textId="535D8B9E" w:rsidR="00177600" w:rsidRDefault="00177600" w:rsidP="00476422">
            <w:pPr>
              <w:spacing w:after="0" w:line="240" w:lineRule="auto"/>
              <w:rPr>
                <w:rFonts w:ascii="Futura Std Condensed Light" w:eastAsia="Calibri" w:hAnsi="Futura Std Condensed Light" w:cs="Calibri"/>
                <w:sz w:val="20"/>
                <w:szCs w:val="20"/>
              </w:rPr>
            </w:pPr>
          </w:p>
        </w:tc>
      </w:tr>
      <w:tr w:rsidR="001D5588" w14:paraId="3417F32A" w14:textId="77777777" w:rsidTr="00D83181">
        <w:trPr>
          <w:trHeight w:val="283"/>
          <w:jc w:val="center"/>
        </w:trPr>
        <w:tc>
          <w:tcPr>
            <w:tcW w:w="700" w:type="pct"/>
            <w:vMerge/>
            <w:tcBorders>
              <w:left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39F76AC1" w14:textId="77777777" w:rsidR="001D5588" w:rsidRDefault="001D5588" w:rsidP="00476422">
            <w:pPr>
              <w:spacing w:after="0" w:line="240" w:lineRule="auto"/>
              <w:jc w:val="center"/>
              <w:rPr>
                <w:rFonts w:ascii="Futura Std Condensed Light" w:eastAsia="Calibri" w:hAnsi="Futura Std Condensed Light" w:cs="Calibri"/>
                <w:sz w:val="20"/>
                <w:szCs w:val="20"/>
              </w:rPr>
            </w:pPr>
          </w:p>
        </w:tc>
        <w:tc>
          <w:tcPr>
            <w:tcW w:w="1630" w:type="pct"/>
            <w:tcBorders>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63C747E0" w14:textId="78428573" w:rsidR="001D5588" w:rsidRPr="00471FC9" w:rsidRDefault="001D5588" w:rsidP="00B2638D">
            <w:pPr>
              <w:spacing w:after="0" w:line="240" w:lineRule="auto"/>
              <w:rPr>
                <w:rFonts w:ascii="Futura Std Condensed Light" w:eastAsia="Calibri" w:hAnsi="Futura Std Condensed Light" w:cs="Calibri"/>
                <w:sz w:val="20"/>
                <w:szCs w:val="20"/>
              </w:rPr>
            </w:pPr>
            <w:r w:rsidRPr="00471FC9">
              <w:rPr>
                <w:rFonts w:ascii="Futura Std Condensed Light" w:eastAsia="Calibri" w:hAnsi="Futura Std Condensed Light" w:cs="Calibri"/>
                <w:sz w:val="20"/>
                <w:szCs w:val="20"/>
              </w:rPr>
              <w:t>5. Impulsar acciones de atención para mejorar la formación continua y desarrollo profesional de los docentes.</w:t>
            </w:r>
          </w:p>
        </w:tc>
        <w:tc>
          <w:tcPr>
            <w:tcW w:w="1787" w:type="pct"/>
            <w:tcBorders>
              <w:top w:val="single" w:sz="4" w:space="0" w:color="auto"/>
              <w:left w:val="single" w:sz="4" w:space="0" w:color="auto"/>
              <w:bottom w:val="single" w:sz="4" w:space="0" w:color="auto"/>
              <w:right w:val="single" w:sz="4" w:space="0" w:color="auto"/>
            </w:tcBorders>
            <w:shd w:val="clear" w:color="auto" w:fill="FFFFFF" w:themeFill="background1"/>
          </w:tcPr>
          <w:p w14:paraId="6F1D4D70" w14:textId="77867C24" w:rsidR="001D5588" w:rsidRPr="00471FC9" w:rsidRDefault="001D5588" w:rsidP="00476422">
            <w:pPr>
              <w:spacing w:after="0" w:line="240" w:lineRule="auto"/>
              <w:ind w:left="143" w:right="142"/>
              <w:rPr>
                <w:rFonts w:ascii="Futura Std Condensed Light" w:eastAsia="Calibri" w:hAnsi="Futura Std Condensed Light" w:cs="Calibri"/>
                <w:sz w:val="20"/>
                <w:szCs w:val="20"/>
              </w:rPr>
            </w:pPr>
            <w:r w:rsidRPr="00471FC9">
              <w:rPr>
                <w:rFonts w:ascii="Futura Std Condensed Light" w:eastAsia="Calibri" w:hAnsi="Futura Std Condensed Light" w:cs="Calibri"/>
                <w:sz w:val="20"/>
                <w:szCs w:val="20"/>
              </w:rPr>
              <w:t>2. Promover la formación docente  y operación del Programa Educativo Telebachillerato Comunitario</w:t>
            </w:r>
          </w:p>
        </w:tc>
        <w:tc>
          <w:tcPr>
            <w:tcW w:w="882" w:type="pct"/>
            <w:vMerge/>
            <w:tcBorders>
              <w:left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5230C58F" w14:textId="77777777" w:rsidR="001D5588" w:rsidRDefault="001D5588" w:rsidP="00476422">
            <w:pPr>
              <w:spacing w:after="0" w:line="240" w:lineRule="auto"/>
              <w:rPr>
                <w:rFonts w:ascii="Futura Std Condensed Light" w:eastAsia="Calibri" w:hAnsi="Futura Std Condensed Light" w:cs="Calibri"/>
                <w:sz w:val="20"/>
                <w:szCs w:val="20"/>
              </w:rPr>
            </w:pPr>
          </w:p>
        </w:tc>
      </w:tr>
      <w:tr w:rsidR="001D5588" w14:paraId="525651B9" w14:textId="77777777" w:rsidTr="00D83181">
        <w:trPr>
          <w:trHeight w:val="283"/>
          <w:jc w:val="center"/>
        </w:trPr>
        <w:tc>
          <w:tcPr>
            <w:tcW w:w="700" w:type="pct"/>
            <w:vMerge/>
            <w:tcBorders>
              <w:left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387DBC7E" w14:textId="77777777" w:rsidR="001D5588" w:rsidRDefault="001D5588" w:rsidP="00476422">
            <w:pPr>
              <w:spacing w:after="0" w:line="240" w:lineRule="auto"/>
              <w:jc w:val="center"/>
              <w:rPr>
                <w:rFonts w:ascii="Futura Std Condensed Light" w:eastAsia="Calibri" w:hAnsi="Futura Std Condensed Light" w:cs="Calibri"/>
                <w:sz w:val="20"/>
                <w:szCs w:val="20"/>
              </w:rPr>
            </w:pPr>
          </w:p>
        </w:tc>
        <w:tc>
          <w:tcPr>
            <w:tcW w:w="1630" w:type="pct"/>
            <w:tcBorders>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4AB4F8DA" w14:textId="64158E2A" w:rsidR="001D5588" w:rsidRPr="00471FC9" w:rsidRDefault="001D5588" w:rsidP="00B2638D">
            <w:pPr>
              <w:spacing w:after="0" w:line="240" w:lineRule="auto"/>
              <w:rPr>
                <w:rFonts w:ascii="Futura Std Condensed Light" w:eastAsia="Calibri" w:hAnsi="Futura Std Condensed Light" w:cs="Calibri"/>
                <w:sz w:val="20"/>
                <w:szCs w:val="20"/>
              </w:rPr>
            </w:pPr>
            <w:r w:rsidRPr="00471FC9">
              <w:rPr>
                <w:rFonts w:ascii="Futura Std Condensed Light" w:eastAsia="Calibri" w:hAnsi="Futura Std Condensed Light" w:cs="Calibri"/>
                <w:sz w:val="20"/>
                <w:szCs w:val="20"/>
              </w:rPr>
              <w:t>11.Impulsar la participación de los padres de familia en la formación integral de los alumnos.</w:t>
            </w:r>
          </w:p>
        </w:tc>
        <w:tc>
          <w:tcPr>
            <w:tcW w:w="1787" w:type="pct"/>
            <w:tcBorders>
              <w:top w:val="single" w:sz="4" w:space="0" w:color="auto"/>
              <w:left w:val="single" w:sz="4" w:space="0" w:color="auto"/>
              <w:bottom w:val="single" w:sz="4" w:space="0" w:color="auto"/>
              <w:right w:val="single" w:sz="4" w:space="0" w:color="auto"/>
            </w:tcBorders>
            <w:shd w:val="clear" w:color="auto" w:fill="FFFFFF" w:themeFill="background1"/>
          </w:tcPr>
          <w:p w14:paraId="1BBB9D30" w14:textId="22121237" w:rsidR="001D5588" w:rsidRPr="00471FC9" w:rsidRDefault="001D5588" w:rsidP="00476422">
            <w:pPr>
              <w:spacing w:after="0" w:line="240" w:lineRule="auto"/>
              <w:ind w:left="143" w:right="142"/>
              <w:rPr>
                <w:rFonts w:ascii="Futura Std Condensed Light" w:eastAsia="Calibri" w:hAnsi="Futura Std Condensed Light" w:cs="Calibri"/>
                <w:sz w:val="20"/>
                <w:szCs w:val="20"/>
              </w:rPr>
            </w:pPr>
            <w:r w:rsidRPr="00471FC9">
              <w:rPr>
                <w:rFonts w:ascii="Futura Std Condensed Light" w:eastAsia="Calibri" w:hAnsi="Futura Std Condensed Light" w:cs="Calibri"/>
                <w:sz w:val="20"/>
                <w:szCs w:val="20"/>
              </w:rPr>
              <w:t>3. Impulsar la participación de los padres de familia en la formación integral de los alumnos de educación básica.</w:t>
            </w:r>
          </w:p>
        </w:tc>
        <w:tc>
          <w:tcPr>
            <w:tcW w:w="882" w:type="pct"/>
            <w:vMerge/>
            <w:tcBorders>
              <w:left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0789F3B0" w14:textId="77777777" w:rsidR="001D5588" w:rsidRDefault="001D5588" w:rsidP="00476422">
            <w:pPr>
              <w:spacing w:after="0" w:line="240" w:lineRule="auto"/>
              <w:rPr>
                <w:rFonts w:ascii="Futura Std Condensed Light" w:eastAsia="Calibri" w:hAnsi="Futura Std Condensed Light" w:cs="Calibri"/>
                <w:sz w:val="20"/>
                <w:szCs w:val="20"/>
              </w:rPr>
            </w:pPr>
          </w:p>
        </w:tc>
      </w:tr>
      <w:tr w:rsidR="001D5588" w14:paraId="4C74316A" w14:textId="77777777" w:rsidTr="00D83181">
        <w:trPr>
          <w:trHeight w:val="283"/>
          <w:jc w:val="center"/>
        </w:trPr>
        <w:tc>
          <w:tcPr>
            <w:tcW w:w="700" w:type="pct"/>
            <w:vMerge/>
            <w:tcBorders>
              <w:left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1CD20B44" w14:textId="77777777" w:rsidR="001D5588" w:rsidRDefault="001D5588" w:rsidP="00476422">
            <w:pPr>
              <w:spacing w:after="0" w:line="240" w:lineRule="auto"/>
              <w:jc w:val="center"/>
              <w:rPr>
                <w:rFonts w:ascii="Futura Std Condensed Light" w:eastAsia="Calibri" w:hAnsi="Futura Std Condensed Light" w:cs="Calibri"/>
                <w:sz w:val="20"/>
                <w:szCs w:val="20"/>
              </w:rPr>
            </w:pPr>
          </w:p>
        </w:tc>
        <w:tc>
          <w:tcPr>
            <w:tcW w:w="1630" w:type="pct"/>
            <w:vMerge w:val="restart"/>
            <w:tcBorders>
              <w:left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4106F131" w14:textId="5E06E2F0" w:rsidR="001D5588" w:rsidRPr="00471FC9" w:rsidRDefault="001D5588" w:rsidP="00B2638D">
            <w:pPr>
              <w:spacing w:after="0" w:line="240" w:lineRule="auto"/>
              <w:rPr>
                <w:rFonts w:ascii="Futura Std Condensed Light" w:eastAsia="Calibri" w:hAnsi="Futura Std Condensed Light" w:cs="Calibri"/>
                <w:sz w:val="20"/>
                <w:szCs w:val="20"/>
              </w:rPr>
            </w:pPr>
            <w:r w:rsidRPr="00471FC9">
              <w:rPr>
                <w:rFonts w:ascii="Futura Std Condensed Light" w:eastAsia="Calibri" w:hAnsi="Futura Std Condensed Light" w:cs="Calibri"/>
                <w:sz w:val="20"/>
                <w:szCs w:val="20"/>
              </w:rPr>
              <w:t>24.Impulsar la formación integral de los estudiantes en todos los niveles educativos.</w:t>
            </w:r>
          </w:p>
        </w:tc>
        <w:tc>
          <w:tcPr>
            <w:tcW w:w="1787" w:type="pct"/>
            <w:tcBorders>
              <w:top w:val="single" w:sz="4" w:space="0" w:color="auto"/>
              <w:left w:val="single" w:sz="4" w:space="0" w:color="auto"/>
              <w:bottom w:val="single" w:sz="4" w:space="0" w:color="auto"/>
              <w:right w:val="single" w:sz="4" w:space="0" w:color="auto"/>
            </w:tcBorders>
            <w:shd w:val="clear" w:color="auto" w:fill="FFFFFF" w:themeFill="background1"/>
          </w:tcPr>
          <w:p w14:paraId="425FB533" w14:textId="2F44A2AD" w:rsidR="001D5588" w:rsidRPr="00471FC9" w:rsidRDefault="001D5588" w:rsidP="00476422">
            <w:pPr>
              <w:spacing w:after="0" w:line="240" w:lineRule="auto"/>
              <w:ind w:left="143" w:right="142"/>
              <w:rPr>
                <w:rFonts w:ascii="Futura Std Condensed Light" w:eastAsia="Calibri" w:hAnsi="Futura Std Condensed Light" w:cs="Calibri"/>
                <w:sz w:val="20"/>
                <w:szCs w:val="20"/>
              </w:rPr>
            </w:pPr>
            <w:r w:rsidRPr="00471FC9">
              <w:rPr>
                <w:rFonts w:ascii="Futura Std Condensed Light" w:eastAsia="Calibri" w:hAnsi="Futura Std Condensed Light" w:cs="Calibri"/>
                <w:sz w:val="20"/>
                <w:szCs w:val="20"/>
              </w:rPr>
              <w:t>4.Impulsar la formación integral de los estudiantes de educación básica a través de acciones  formativas.</w:t>
            </w:r>
          </w:p>
        </w:tc>
        <w:tc>
          <w:tcPr>
            <w:tcW w:w="882" w:type="pct"/>
            <w:vMerge/>
            <w:tcBorders>
              <w:left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6CB73B8B" w14:textId="77777777" w:rsidR="001D5588" w:rsidRDefault="001D5588" w:rsidP="00476422">
            <w:pPr>
              <w:spacing w:after="0" w:line="240" w:lineRule="auto"/>
              <w:rPr>
                <w:rFonts w:ascii="Futura Std Condensed Light" w:eastAsia="Calibri" w:hAnsi="Futura Std Condensed Light" w:cs="Calibri"/>
                <w:sz w:val="20"/>
                <w:szCs w:val="20"/>
              </w:rPr>
            </w:pPr>
          </w:p>
        </w:tc>
      </w:tr>
      <w:tr w:rsidR="001D5588" w14:paraId="4CECC5F1" w14:textId="77777777" w:rsidTr="00D83181">
        <w:trPr>
          <w:trHeight w:val="283"/>
          <w:jc w:val="center"/>
        </w:trPr>
        <w:tc>
          <w:tcPr>
            <w:tcW w:w="700" w:type="pct"/>
            <w:vMerge/>
            <w:tcBorders>
              <w:left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6413015F" w14:textId="77777777" w:rsidR="001D5588" w:rsidRDefault="001D5588" w:rsidP="00476422">
            <w:pPr>
              <w:spacing w:after="0" w:line="240" w:lineRule="auto"/>
              <w:jc w:val="center"/>
              <w:rPr>
                <w:rFonts w:ascii="Futura Std Condensed Light" w:eastAsia="Calibri" w:hAnsi="Futura Std Condensed Light" w:cs="Calibri"/>
                <w:sz w:val="20"/>
                <w:szCs w:val="20"/>
              </w:rPr>
            </w:pPr>
          </w:p>
        </w:tc>
        <w:tc>
          <w:tcPr>
            <w:tcW w:w="1630" w:type="pct"/>
            <w:vMerge/>
            <w:tcBorders>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482888A1" w14:textId="77777777" w:rsidR="001D5588" w:rsidRPr="00471FC9" w:rsidRDefault="001D5588" w:rsidP="00B2638D">
            <w:pPr>
              <w:spacing w:after="0" w:line="240" w:lineRule="auto"/>
              <w:rPr>
                <w:rFonts w:ascii="Futura Std Condensed Light" w:eastAsia="Calibri" w:hAnsi="Futura Std Condensed Light" w:cs="Calibri"/>
                <w:sz w:val="20"/>
                <w:szCs w:val="20"/>
              </w:rPr>
            </w:pPr>
          </w:p>
        </w:tc>
        <w:tc>
          <w:tcPr>
            <w:tcW w:w="1787" w:type="pct"/>
            <w:tcBorders>
              <w:top w:val="single" w:sz="4" w:space="0" w:color="auto"/>
              <w:left w:val="single" w:sz="4" w:space="0" w:color="auto"/>
              <w:bottom w:val="single" w:sz="4" w:space="0" w:color="auto"/>
              <w:right w:val="single" w:sz="4" w:space="0" w:color="auto"/>
            </w:tcBorders>
            <w:shd w:val="clear" w:color="auto" w:fill="FFFFFF" w:themeFill="background1"/>
          </w:tcPr>
          <w:p w14:paraId="560E70A3" w14:textId="0F191B72" w:rsidR="001D5588" w:rsidRPr="00471FC9" w:rsidRDefault="001D5588" w:rsidP="00476422">
            <w:pPr>
              <w:spacing w:after="0" w:line="240" w:lineRule="auto"/>
              <w:ind w:left="143" w:right="142"/>
              <w:rPr>
                <w:rFonts w:ascii="Futura Std Condensed Light" w:eastAsia="Calibri" w:hAnsi="Futura Std Condensed Light" w:cs="Calibri"/>
                <w:sz w:val="20"/>
                <w:szCs w:val="20"/>
              </w:rPr>
            </w:pPr>
            <w:r w:rsidRPr="00471FC9">
              <w:rPr>
                <w:rFonts w:ascii="Futura Std Condensed Light" w:eastAsia="Calibri" w:hAnsi="Futura Std Condensed Light" w:cs="Calibri"/>
                <w:sz w:val="20"/>
                <w:szCs w:val="20"/>
              </w:rPr>
              <w:t>5. Promover la operación de centros educativos de capacitación de artes y oficios para atención a grupos y zonas vulnerables.</w:t>
            </w:r>
          </w:p>
        </w:tc>
        <w:tc>
          <w:tcPr>
            <w:tcW w:w="882" w:type="pct"/>
            <w:vMerge/>
            <w:tcBorders>
              <w:left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0304097E" w14:textId="77777777" w:rsidR="001D5588" w:rsidRDefault="001D5588" w:rsidP="00476422">
            <w:pPr>
              <w:spacing w:after="0" w:line="240" w:lineRule="auto"/>
              <w:rPr>
                <w:rFonts w:ascii="Futura Std Condensed Light" w:eastAsia="Calibri" w:hAnsi="Futura Std Condensed Light" w:cs="Calibri"/>
                <w:sz w:val="20"/>
                <w:szCs w:val="20"/>
              </w:rPr>
            </w:pPr>
          </w:p>
        </w:tc>
      </w:tr>
      <w:tr w:rsidR="001D5588" w14:paraId="6CAC5CDB" w14:textId="77777777" w:rsidTr="00D83181">
        <w:trPr>
          <w:trHeight w:val="283"/>
          <w:jc w:val="center"/>
        </w:trPr>
        <w:tc>
          <w:tcPr>
            <w:tcW w:w="700" w:type="pct"/>
            <w:vMerge/>
            <w:tcBorders>
              <w:left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32729DF9" w14:textId="77777777" w:rsidR="001D5588" w:rsidRDefault="001D5588" w:rsidP="00476422">
            <w:pPr>
              <w:spacing w:after="0" w:line="240" w:lineRule="auto"/>
              <w:jc w:val="center"/>
              <w:rPr>
                <w:rFonts w:ascii="Futura Std Condensed Light" w:eastAsia="Calibri" w:hAnsi="Futura Std Condensed Light" w:cs="Calibri"/>
                <w:sz w:val="20"/>
                <w:szCs w:val="20"/>
              </w:rPr>
            </w:pPr>
          </w:p>
        </w:tc>
        <w:tc>
          <w:tcPr>
            <w:tcW w:w="1630" w:type="pct"/>
            <w:tcBorders>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722327C1" w14:textId="551109A3" w:rsidR="001D5588" w:rsidRPr="00471FC9" w:rsidRDefault="001D5588" w:rsidP="00B2638D">
            <w:pPr>
              <w:spacing w:after="0" w:line="240" w:lineRule="auto"/>
              <w:rPr>
                <w:rFonts w:ascii="Futura Std Condensed Light" w:eastAsia="Calibri" w:hAnsi="Futura Std Condensed Light" w:cs="Calibri"/>
                <w:sz w:val="20"/>
                <w:szCs w:val="20"/>
              </w:rPr>
            </w:pPr>
            <w:r w:rsidRPr="00731DB1">
              <w:rPr>
                <w:rFonts w:ascii="Futura Std Condensed Light" w:eastAsia="Calibri" w:hAnsi="Futura Std Condensed Light" w:cs="Calibri"/>
                <w:sz w:val="20"/>
                <w:szCs w:val="20"/>
              </w:rPr>
              <w:t>25. Desarrollar e implementar acciones para fortalecer el Modelo de Prevención Quintana Roo.</w:t>
            </w:r>
          </w:p>
        </w:tc>
        <w:tc>
          <w:tcPr>
            <w:tcW w:w="1787" w:type="pct"/>
            <w:tcBorders>
              <w:top w:val="single" w:sz="4" w:space="0" w:color="auto"/>
              <w:left w:val="single" w:sz="4" w:space="0" w:color="auto"/>
              <w:bottom w:val="single" w:sz="4" w:space="0" w:color="auto"/>
              <w:right w:val="single" w:sz="4" w:space="0" w:color="auto"/>
            </w:tcBorders>
            <w:shd w:val="clear" w:color="auto" w:fill="FFFFFF" w:themeFill="background1"/>
          </w:tcPr>
          <w:p w14:paraId="49B91032" w14:textId="576E151C" w:rsidR="001D5588" w:rsidRPr="00471FC9" w:rsidRDefault="001D5588" w:rsidP="00476422">
            <w:pPr>
              <w:spacing w:after="0" w:line="240" w:lineRule="auto"/>
              <w:ind w:left="143" w:right="142"/>
              <w:rPr>
                <w:rFonts w:ascii="Futura Std Condensed Light" w:eastAsia="Calibri" w:hAnsi="Futura Std Condensed Light" w:cs="Calibri"/>
                <w:sz w:val="20"/>
                <w:szCs w:val="20"/>
              </w:rPr>
            </w:pPr>
            <w:r w:rsidRPr="00731DB1">
              <w:rPr>
                <w:rFonts w:ascii="Futura Std Condensed Light" w:eastAsia="Calibri" w:hAnsi="Futura Std Condensed Light" w:cs="Calibri"/>
                <w:sz w:val="20"/>
                <w:szCs w:val="20"/>
              </w:rPr>
              <w:t>6. Implementar el Programa de Seguridad Escolar para el fortalecimiento de valores, la tolerancia y la promoción de la paz social en las escuelas de todos los niveles educativos.</w:t>
            </w:r>
          </w:p>
        </w:tc>
        <w:tc>
          <w:tcPr>
            <w:tcW w:w="882" w:type="pct"/>
            <w:vMerge/>
            <w:tcBorders>
              <w:left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5BAF3C62" w14:textId="77777777" w:rsidR="001D5588" w:rsidRDefault="001D5588" w:rsidP="00476422">
            <w:pPr>
              <w:spacing w:after="0" w:line="240" w:lineRule="auto"/>
              <w:rPr>
                <w:rFonts w:ascii="Futura Std Condensed Light" w:eastAsia="Calibri" w:hAnsi="Futura Std Condensed Light" w:cs="Calibri"/>
                <w:sz w:val="20"/>
                <w:szCs w:val="20"/>
              </w:rPr>
            </w:pPr>
          </w:p>
        </w:tc>
      </w:tr>
      <w:tr w:rsidR="001D5588" w14:paraId="7C9C00AD" w14:textId="77777777" w:rsidTr="00D83181">
        <w:trPr>
          <w:trHeight w:val="283"/>
          <w:jc w:val="center"/>
        </w:trPr>
        <w:tc>
          <w:tcPr>
            <w:tcW w:w="700" w:type="pct"/>
            <w:vMerge/>
            <w:tcBorders>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27B4BAC8" w14:textId="77777777" w:rsidR="001D5588" w:rsidRDefault="001D5588" w:rsidP="00476422">
            <w:pPr>
              <w:spacing w:after="0" w:line="240" w:lineRule="auto"/>
              <w:jc w:val="center"/>
              <w:rPr>
                <w:rFonts w:ascii="Futura Std Condensed Light" w:eastAsia="Calibri" w:hAnsi="Futura Std Condensed Light" w:cs="Calibri"/>
                <w:sz w:val="20"/>
                <w:szCs w:val="20"/>
              </w:rPr>
            </w:pPr>
          </w:p>
        </w:tc>
        <w:tc>
          <w:tcPr>
            <w:tcW w:w="1630" w:type="pct"/>
            <w:tcBorders>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5B6E495F" w14:textId="6AE2C4BC" w:rsidR="001D5588" w:rsidRPr="00471FC9" w:rsidRDefault="001D5588" w:rsidP="00B2638D">
            <w:pPr>
              <w:spacing w:after="0" w:line="240" w:lineRule="auto"/>
              <w:rPr>
                <w:rFonts w:ascii="Futura Std Condensed Light" w:eastAsia="Calibri" w:hAnsi="Futura Std Condensed Light" w:cs="Calibri"/>
                <w:sz w:val="20"/>
                <w:szCs w:val="20"/>
              </w:rPr>
            </w:pPr>
            <w:r w:rsidRPr="00731DB1">
              <w:rPr>
                <w:rFonts w:ascii="Futura Std Condensed Light" w:eastAsia="Calibri" w:hAnsi="Futura Std Condensed Light" w:cs="Calibri"/>
                <w:sz w:val="20"/>
                <w:szCs w:val="20"/>
              </w:rPr>
              <w:t xml:space="preserve">26. Impulsar e implementar acciones permanentes en materia de promoción, protección y defensa de los Derechos Humanos, con la aplicación de planteamientos legales, estructurales, así como la constante formación de los Servidores Públicos fortaleciendo el ejercicio de los Derechos Humanos de los ciudadanos.  </w:t>
            </w:r>
          </w:p>
        </w:tc>
        <w:tc>
          <w:tcPr>
            <w:tcW w:w="1787" w:type="pct"/>
            <w:tcBorders>
              <w:top w:val="single" w:sz="4" w:space="0" w:color="auto"/>
              <w:left w:val="single" w:sz="4" w:space="0" w:color="auto"/>
              <w:bottom w:val="single" w:sz="4" w:space="0" w:color="auto"/>
              <w:right w:val="single" w:sz="4" w:space="0" w:color="auto"/>
            </w:tcBorders>
            <w:shd w:val="clear" w:color="auto" w:fill="FFFFFF" w:themeFill="background1"/>
          </w:tcPr>
          <w:p w14:paraId="31019CA0" w14:textId="5E464966" w:rsidR="001D5588" w:rsidRPr="00471FC9" w:rsidRDefault="001D5588" w:rsidP="00476422">
            <w:pPr>
              <w:spacing w:after="0" w:line="240" w:lineRule="auto"/>
              <w:ind w:left="143" w:right="142"/>
              <w:rPr>
                <w:rFonts w:ascii="Futura Std Condensed Light" w:eastAsia="Calibri" w:hAnsi="Futura Std Condensed Light" w:cs="Calibri"/>
                <w:sz w:val="20"/>
                <w:szCs w:val="20"/>
              </w:rPr>
            </w:pPr>
            <w:r w:rsidRPr="00731DB1">
              <w:rPr>
                <w:rFonts w:ascii="Futura Std Condensed Light" w:eastAsia="Calibri" w:hAnsi="Futura Std Condensed Light" w:cs="Calibri"/>
                <w:sz w:val="20"/>
                <w:szCs w:val="20"/>
              </w:rPr>
              <w:t xml:space="preserve">7. Impulsar e implementar acciones permanentes en materia de promoción, protección y defensa de los Derechos Humanos, con la aplicación de planteamientos legales, estructurales, así como la constante formación de los Servidores Públicos fortaleciendo el ejercicio de los Derechos Humanos de los ciudadanos.  </w:t>
            </w:r>
          </w:p>
        </w:tc>
        <w:tc>
          <w:tcPr>
            <w:tcW w:w="882" w:type="pct"/>
            <w:vMerge/>
            <w:tcBorders>
              <w:left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25E27B2C" w14:textId="77777777" w:rsidR="001D5588" w:rsidRDefault="001D5588" w:rsidP="00476422">
            <w:pPr>
              <w:spacing w:after="0" w:line="240" w:lineRule="auto"/>
              <w:rPr>
                <w:rFonts w:ascii="Futura Std Condensed Light" w:eastAsia="Calibri" w:hAnsi="Futura Std Condensed Light" w:cs="Calibri"/>
                <w:sz w:val="20"/>
                <w:szCs w:val="20"/>
              </w:rPr>
            </w:pPr>
          </w:p>
        </w:tc>
      </w:tr>
      <w:tr w:rsidR="00177600" w14:paraId="6BDB080D" w14:textId="77777777" w:rsidTr="00D83181">
        <w:trPr>
          <w:trHeight w:val="283"/>
          <w:jc w:val="center"/>
        </w:trPr>
        <w:tc>
          <w:tcPr>
            <w:tcW w:w="700" w:type="pct"/>
            <w:vMerge/>
            <w:tcBorders>
              <w:left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4411F1CF" w14:textId="7A45E942" w:rsidR="00177600" w:rsidRDefault="00177600" w:rsidP="00177600">
            <w:pPr>
              <w:spacing w:after="0" w:line="240" w:lineRule="auto"/>
              <w:jc w:val="center"/>
              <w:rPr>
                <w:rFonts w:ascii="Futura Std Condensed Light" w:eastAsia="Calibri" w:hAnsi="Futura Std Condensed Light" w:cs="Calibri"/>
                <w:sz w:val="20"/>
                <w:szCs w:val="20"/>
              </w:rPr>
            </w:pPr>
          </w:p>
        </w:tc>
        <w:tc>
          <w:tcPr>
            <w:tcW w:w="1630" w:type="pct"/>
            <w:tcBorders>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7F767806" w14:textId="4F7FE5A8" w:rsidR="00177600" w:rsidRPr="001D5588" w:rsidRDefault="00177600" w:rsidP="00177600">
            <w:pPr>
              <w:spacing w:after="0" w:line="240" w:lineRule="auto"/>
              <w:rPr>
                <w:rFonts w:ascii="Futura Std Condensed Light" w:eastAsia="Calibri" w:hAnsi="Futura Std Condensed Light" w:cs="Calibri"/>
                <w:sz w:val="20"/>
                <w:szCs w:val="20"/>
              </w:rPr>
            </w:pPr>
            <w:r w:rsidRPr="00FB31A9">
              <w:rPr>
                <w:rFonts w:ascii="Futura Std Condensed Light" w:eastAsia="Calibri" w:hAnsi="Futura Std Condensed Light" w:cs="Calibri"/>
                <w:sz w:val="20"/>
                <w:szCs w:val="20"/>
              </w:rPr>
              <w:t>2. Reorientar el programa de becas e incentivos para otorgarlas a alumnos de escasos recursos a fin de que concluyan sus estudios.</w:t>
            </w:r>
          </w:p>
        </w:tc>
        <w:tc>
          <w:tcPr>
            <w:tcW w:w="1787" w:type="pct"/>
            <w:tcBorders>
              <w:top w:val="single" w:sz="4" w:space="0" w:color="auto"/>
              <w:left w:val="single" w:sz="4" w:space="0" w:color="auto"/>
              <w:bottom w:val="single" w:sz="4" w:space="0" w:color="auto"/>
              <w:right w:val="single" w:sz="4" w:space="0" w:color="auto"/>
            </w:tcBorders>
            <w:shd w:val="clear" w:color="auto" w:fill="FFFFFF" w:themeFill="background1"/>
          </w:tcPr>
          <w:p w14:paraId="7EE7789C" w14:textId="4E1DCE05" w:rsidR="00177600" w:rsidRDefault="00177600" w:rsidP="00177600">
            <w:pPr>
              <w:spacing w:after="0" w:line="240" w:lineRule="auto"/>
              <w:ind w:left="143" w:right="142"/>
              <w:rPr>
                <w:rFonts w:ascii="Futura Std Condensed Light" w:eastAsia="Calibri" w:hAnsi="Futura Std Condensed Light" w:cs="Calibri"/>
                <w:sz w:val="20"/>
                <w:szCs w:val="20"/>
              </w:rPr>
            </w:pPr>
            <w:r w:rsidRPr="00FB31A9">
              <w:rPr>
                <w:rFonts w:ascii="Futura Std Condensed Light" w:eastAsia="Calibri" w:hAnsi="Futura Std Condensed Light" w:cs="Calibri"/>
                <w:sz w:val="20"/>
                <w:szCs w:val="20"/>
              </w:rPr>
              <w:t>1. Fortalecer los programas de asesoría tutoría y acompañamiento académico, programas de becas y apoyos a fin de mejorar el desempeño académico, permanencia escolar y la eficiencia terminal.</w:t>
            </w:r>
          </w:p>
        </w:tc>
        <w:tc>
          <w:tcPr>
            <w:tcW w:w="882" w:type="pct"/>
            <w:vMerge w:val="restart"/>
            <w:tcBorders>
              <w:left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045BEEAF" w14:textId="77777777" w:rsidR="00177600" w:rsidRDefault="00177600" w:rsidP="00177600">
            <w:pPr>
              <w:rPr>
                <w:rFonts w:ascii="Futura Std Condensed Light" w:eastAsia="Calibri" w:hAnsi="Futura Std Condensed Light" w:cs="Calibri"/>
                <w:sz w:val="20"/>
                <w:szCs w:val="20"/>
              </w:rPr>
            </w:pPr>
          </w:p>
          <w:p w14:paraId="66916174" w14:textId="06A6EDB5" w:rsidR="00177600" w:rsidRPr="00177600" w:rsidRDefault="00177600" w:rsidP="00177600">
            <w:pPr>
              <w:rPr>
                <w:rFonts w:ascii="Futura Std Condensed Light" w:eastAsia="Calibri" w:hAnsi="Futura Std Condensed Light" w:cs="Calibri"/>
                <w:sz w:val="20"/>
                <w:szCs w:val="20"/>
              </w:rPr>
            </w:pPr>
            <w:r w:rsidRPr="00177600">
              <w:rPr>
                <w:rFonts w:ascii="Futura Std Condensed Light" w:eastAsia="Calibri" w:hAnsi="Futura Std Condensed Light" w:cs="Calibri"/>
                <w:sz w:val="20"/>
                <w:szCs w:val="20"/>
              </w:rPr>
              <w:t>Mejorar el proceso de formación docente de</w:t>
            </w:r>
            <w:r w:rsidR="006739CB">
              <w:rPr>
                <w:rFonts w:ascii="Futura Std Condensed Light" w:eastAsia="Calibri" w:hAnsi="Futura Std Condensed Light" w:cs="Calibri"/>
                <w:sz w:val="20"/>
                <w:szCs w:val="20"/>
              </w:rPr>
              <w:t xml:space="preserve"> </w:t>
            </w:r>
            <w:r w:rsidRPr="00177600">
              <w:rPr>
                <w:rFonts w:ascii="Futura Std Condensed Light" w:eastAsia="Calibri" w:hAnsi="Futura Std Condensed Light" w:cs="Calibri"/>
                <w:sz w:val="20"/>
                <w:szCs w:val="20"/>
              </w:rPr>
              <w:t>los estudiantes de las escuelas normales de Quintana Roo</w:t>
            </w:r>
            <w:r>
              <w:rPr>
                <w:rFonts w:ascii="Futura Std Condensed Light" w:eastAsia="Calibri" w:hAnsi="Futura Std Condensed Light" w:cs="Calibri"/>
                <w:sz w:val="20"/>
                <w:szCs w:val="20"/>
              </w:rPr>
              <w:t>.</w:t>
            </w:r>
          </w:p>
          <w:p w14:paraId="11DEAA1E" w14:textId="77777777" w:rsidR="00177600" w:rsidRDefault="00177600" w:rsidP="00177600">
            <w:pPr>
              <w:spacing w:after="0" w:line="240" w:lineRule="auto"/>
              <w:jc w:val="center"/>
              <w:rPr>
                <w:rFonts w:ascii="Futura Std Condensed Light" w:eastAsia="Calibri" w:hAnsi="Futura Std Condensed Light" w:cs="Calibri"/>
                <w:sz w:val="20"/>
                <w:szCs w:val="20"/>
              </w:rPr>
            </w:pPr>
          </w:p>
          <w:p w14:paraId="37619C40" w14:textId="77777777" w:rsidR="00177600" w:rsidRDefault="00177600" w:rsidP="00177600">
            <w:pPr>
              <w:spacing w:after="0" w:line="240" w:lineRule="auto"/>
              <w:jc w:val="center"/>
              <w:rPr>
                <w:rFonts w:ascii="Futura Std Condensed Light" w:eastAsia="Calibri" w:hAnsi="Futura Std Condensed Light" w:cs="Calibri"/>
                <w:sz w:val="20"/>
                <w:szCs w:val="20"/>
              </w:rPr>
            </w:pPr>
          </w:p>
          <w:p w14:paraId="19E0EB87" w14:textId="77777777" w:rsidR="00177600" w:rsidRDefault="00177600" w:rsidP="00177600">
            <w:pPr>
              <w:spacing w:after="0" w:line="240" w:lineRule="auto"/>
              <w:jc w:val="center"/>
              <w:rPr>
                <w:rFonts w:ascii="Futura Std Condensed Light" w:eastAsia="Calibri" w:hAnsi="Futura Std Condensed Light" w:cs="Calibri"/>
                <w:sz w:val="20"/>
                <w:szCs w:val="20"/>
              </w:rPr>
            </w:pPr>
          </w:p>
          <w:p w14:paraId="4977909E" w14:textId="52FDD1A1" w:rsidR="00177600" w:rsidRDefault="00177600" w:rsidP="00177600">
            <w:pPr>
              <w:spacing w:after="0" w:line="240" w:lineRule="auto"/>
              <w:jc w:val="center"/>
              <w:rPr>
                <w:rFonts w:ascii="Futura Std Condensed Light" w:eastAsia="Calibri" w:hAnsi="Futura Std Condensed Light" w:cs="Calibri"/>
                <w:sz w:val="20"/>
                <w:szCs w:val="20"/>
              </w:rPr>
            </w:pPr>
          </w:p>
          <w:p w14:paraId="6E5FE7D9" w14:textId="1A2B05DF" w:rsidR="00177600" w:rsidRDefault="00177600" w:rsidP="00177600">
            <w:pPr>
              <w:spacing w:after="0" w:line="240" w:lineRule="auto"/>
              <w:jc w:val="center"/>
              <w:rPr>
                <w:rFonts w:ascii="Futura Std Condensed Light" w:eastAsia="Calibri" w:hAnsi="Futura Std Condensed Light" w:cs="Calibri"/>
                <w:sz w:val="20"/>
                <w:szCs w:val="20"/>
              </w:rPr>
            </w:pPr>
          </w:p>
          <w:p w14:paraId="7F8CFCAC" w14:textId="6EA366CE" w:rsidR="00177600" w:rsidRDefault="00177600" w:rsidP="00177600">
            <w:pPr>
              <w:spacing w:after="0" w:line="240" w:lineRule="auto"/>
              <w:jc w:val="center"/>
              <w:rPr>
                <w:rFonts w:ascii="Futura Std Condensed Light" w:eastAsia="Calibri" w:hAnsi="Futura Std Condensed Light" w:cs="Calibri"/>
                <w:sz w:val="20"/>
                <w:szCs w:val="20"/>
              </w:rPr>
            </w:pPr>
          </w:p>
          <w:p w14:paraId="0DABD404" w14:textId="75E8998D" w:rsidR="00177600" w:rsidRDefault="00177600" w:rsidP="00177600">
            <w:pPr>
              <w:spacing w:after="0" w:line="240" w:lineRule="auto"/>
              <w:jc w:val="center"/>
              <w:rPr>
                <w:rFonts w:ascii="Futura Std Condensed Light" w:eastAsia="Calibri" w:hAnsi="Futura Std Condensed Light" w:cs="Calibri"/>
                <w:sz w:val="20"/>
                <w:szCs w:val="20"/>
              </w:rPr>
            </w:pPr>
          </w:p>
          <w:p w14:paraId="7757B0A7" w14:textId="6D7701CE" w:rsidR="00177600" w:rsidRDefault="00177600" w:rsidP="00177600">
            <w:pPr>
              <w:spacing w:after="0" w:line="240" w:lineRule="auto"/>
              <w:jc w:val="center"/>
              <w:rPr>
                <w:rFonts w:ascii="Futura Std Condensed Light" w:eastAsia="Calibri" w:hAnsi="Futura Std Condensed Light" w:cs="Calibri"/>
                <w:sz w:val="20"/>
                <w:szCs w:val="20"/>
              </w:rPr>
            </w:pPr>
          </w:p>
          <w:p w14:paraId="098D233E" w14:textId="77777777" w:rsidR="00177600" w:rsidRDefault="00177600" w:rsidP="00177600">
            <w:pPr>
              <w:spacing w:after="0" w:line="240" w:lineRule="auto"/>
              <w:jc w:val="center"/>
              <w:rPr>
                <w:rFonts w:ascii="Futura Std Condensed Light" w:eastAsia="Calibri" w:hAnsi="Futura Std Condensed Light" w:cs="Calibri"/>
                <w:sz w:val="20"/>
                <w:szCs w:val="20"/>
              </w:rPr>
            </w:pPr>
          </w:p>
          <w:p w14:paraId="110AF162" w14:textId="39CB5B3A" w:rsidR="00177600" w:rsidRDefault="00177600" w:rsidP="007D55C8">
            <w:pPr>
              <w:rPr>
                <w:rFonts w:ascii="Futura Std Condensed Light" w:eastAsia="Calibri" w:hAnsi="Futura Std Condensed Light" w:cs="Calibri"/>
                <w:sz w:val="20"/>
                <w:szCs w:val="20"/>
              </w:rPr>
            </w:pPr>
          </w:p>
        </w:tc>
      </w:tr>
      <w:tr w:rsidR="00177600" w14:paraId="2E86CC36" w14:textId="77777777" w:rsidTr="00D83181">
        <w:trPr>
          <w:trHeight w:val="283"/>
          <w:jc w:val="center"/>
        </w:trPr>
        <w:tc>
          <w:tcPr>
            <w:tcW w:w="700" w:type="pct"/>
            <w:vMerge/>
            <w:tcBorders>
              <w:left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7D883009" w14:textId="36B3B4C8" w:rsidR="00177600" w:rsidRDefault="00177600" w:rsidP="00177600">
            <w:pPr>
              <w:spacing w:after="0" w:line="240" w:lineRule="auto"/>
              <w:jc w:val="center"/>
              <w:rPr>
                <w:rFonts w:ascii="Futura Std Condensed Light" w:eastAsia="Calibri" w:hAnsi="Futura Std Condensed Light" w:cs="Calibri"/>
                <w:sz w:val="20"/>
                <w:szCs w:val="20"/>
              </w:rPr>
            </w:pPr>
          </w:p>
        </w:tc>
        <w:tc>
          <w:tcPr>
            <w:tcW w:w="1630" w:type="pct"/>
            <w:tcBorders>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6CA7CF2A" w14:textId="69A9357E" w:rsidR="00177600" w:rsidRPr="001D5588" w:rsidRDefault="00177600" w:rsidP="00177600">
            <w:pPr>
              <w:spacing w:after="0" w:line="240" w:lineRule="auto"/>
              <w:rPr>
                <w:rFonts w:ascii="Futura Std Condensed Light" w:eastAsia="Calibri" w:hAnsi="Futura Std Condensed Light" w:cs="Calibri"/>
                <w:sz w:val="20"/>
                <w:szCs w:val="20"/>
              </w:rPr>
            </w:pPr>
            <w:r w:rsidRPr="00FB31A9">
              <w:rPr>
                <w:rFonts w:ascii="Futura Std Condensed Light" w:eastAsia="Calibri" w:hAnsi="Futura Std Condensed Light" w:cs="Calibri"/>
                <w:sz w:val="20"/>
                <w:szCs w:val="20"/>
              </w:rPr>
              <w:t>5. Desarrollar una estrategia integral que permita ampliar la cobertura educativa de nivel medio superior y superior en las instituciones públicas</w:t>
            </w:r>
          </w:p>
        </w:tc>
        <w:tc>
          <w:tcPr>
            <w:tcW w:w="1787" w:type="pct"/>
            <w:tcBorders>
              <w:top w:val="single" w:sz="4" w:space="0" w:color="auto"/>
              <w:left w:val="single" w:sz="4" w:space="0" w:color="auto"/>
              <w:bottom w:val="single" w:sz="4" w:space="0" w:color="auto"/>
              <w:right w:val="single" w:sz="4" w:space="0" w:color="auto"/>
            </w:tcBorders>
            <w:shd w:val="clear" w:color="auto" w:fill="FFFFFF" w:themeFill="background1"/>
          </w:tcPr>
          <w:p w14:paraId="7CC36EDF" w14:textId="0FA3278F" w:rsidR="00177600" w:rsidRDefault="00177600" w:rsidP="00177600">
            <w:pPr>
              <w:spacing w:after="0" w:line="240" w:lineRule="auto"/>
              <w:ind w:left="143" w:right="142"/>
              <w:rPr>
                <w:rFonts w:ascii="Futura Std Condensed Light" w:eastAsia="Calibri" w:hAnsi="Futura Std Condensed Light" w:cs="Calibri"/>
                <w:sz w:val="20"/>
                <w:szCs w:val="20"/>
              </w:rPr>
            </w:pPr>
            <w:r w:rsidRPr="00FB31A9">
              <w:rPr>
                <w:rFonts w:ascii="Futura Std Condensed Light" w:eastAsia="Calibri" w:hAnsi="Futura Std Condensed Light" w:cs="Calibri"/>
                <w:sz w:val="20"/>
                <w:szCs w:val="20"/>
              </w:rPr>
              <w:t>2. Desarrollar una estrategia integral que permita ampliar la cobertura educativa de nivel superior en las instituciones públicas</w:t>
            </w:r>
          </w:p>
        </w:tc>
        <w:tc>
          <w:tcPr>
            <w:tcW w:w="882" w:type="pct"/>
            <w:vMerge/>
            <w:tcBorders>
              <w:left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70816183" w14:textId="77777777" w:rsidR="00177600" w:rsidRDefault="00177600" w:rsidP="00177600">
            <w:pPr>
              <w:spacing w:after="0" w:line="240" w:lineRule="auto"/>
              <w:rPr>
                <w:rFonts w:ascii="Futura Std Condensed Light" w:eastAsia="Calibri" w:hAnsi="Futura Std Condensed Light" w:cs="Calibri"/>
                <w:sz w:val="20"/>
                <w:szCs w:val="20"/>
              </w:rPr>
            </w:pPr>
          </w:p>
        </w:tc>
      </w:tr>
      <w:tr w:rsidR="00177600" w14:paraId="76F8049C" w14:textId="77777777" w:rsidTr="00D83181">
        <w:trPr>
          <w:trHeight w:val="283"/>
          <w:jc w:val="center"/>
        </w:trPr>
        <w:tc>
          <w:tcPr>
            <w:tcW w:w="700" w:type="pct"/>
            <w:vMerge/>
            <w:tcBorders>
              <w:left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2E4ABB32" w14:textId="030E590E" w:rsidR="00177600" w:rsidRDefault="00177600" w:rsidP="00177600">
            <w:pPr>
              <w:spacing w:after="0" w:line="240" w:lineRule="auto"/>
              <w:jc w:val="center"/>
              <w:rPr>
                <w:rFonts w:ascii="Futura Std Condensed Light" w:eastAsia="Calibri" w:hAnsi="Futura Std Condensed Light" w:cs="Calibri"/>
                <w:sz w:val="20"/>
                <w:szCs w:val="20"/>
              </w:rPr>
            </w:pPr>
          </w:p>
        </w:tc>
        <w:tc>
          <w:tcPr>
            <w:tcW w:w="1630" w:type="pct"/>
            <w:tcBorders>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03FC4C2D" w14:textId="0B0B8CFD" w:rsidR="00177600" w:rsidRPr="001D5588" w:rsidRDefault="00177600" w:rsidP="00177600">
            <w:pPr>
              <w:spacing w:after="0" w:line="240" w:lineRule="auto"/>
              <w:rPr>
                <w:rFonts w:ascii="Futura Std Condensed Light" w:eastAsia="Calibri" w:hAnsi="Futura Std Condensed Light" w:cs="Calibri"/>
                <w:sz w:val="20"/>
                <w:szCs w:val="20"/>
              </w:rPr>
            </w:pPr>
            <w:r w:rsidRPr="00FB31A9">
              <w:rPr>
                <w:rFonts w:ascii="Futura Std Condensed Light" w:eastAsia="Calibri" w:hAnsi="Futura Std Condensed Light" w:cs="Calibri"/>
                <w:sz w:val="20"/>
                <w:szCs w:val="20"/>
              </w:rPr>
              <w:t>13. Asegurar que la oferta educativa de las instituciones de educación superior responda a las nuevas áreas de oportunidad en la entidad.</w:t>
            </w:r>
          </w:p>
        </w:tc>
        <w:tc>
          <w:tcPr>
            <w:tcW w:w="1787" w:type="pct"/>
            <w:tcBorders>
              <w:top w:val="single" w:sz="4" w:space="0" w:color="auto"/>
              <w:left w:val="single" w:sz="4" w:space="0" w:color="auto"/>
              <w:bottom w:val="single" w:sz="4" w:space="0" w:color="auto"/>
              <w:right w:val="single" w:sz="4" w:space="0" w:color="auto"/>
            </w:tcBorders>
            <w:shd w:val="clear" w:color="auto" w:fill="FFFFFF" w:themeFill="background1"/>
          </w:tcPr>
          <w:p w14:paraId="01031A1E" w14:textId="58D4F504" w:rsidR="00177600" w:rsidRDefault="00177600" w:rsidP="00177600">
            <w:pPr>
              <w:spacing w:after="0" w:line="240" w:lineRule="auto"/>
              <w:ind w:left="143" w:right="142"/>
              <w:rPr>
                <w:rFonts w:ascii="Futura Std Condensed Light" w:eastAsia="Calibri" w:hAnsi="Futura Std Condensed Light" w:cs="Calibri"/>
                <w:sz w:val="20"/>
                <w:szCs w:val="20"/>
              </w:rPr>
            </w:pPr>
            <w:r w:rsidRPr="00FB31A9">
              <w:rPr>
                <w:rFonts w:ascii="Futura Std Condensed Light" w:eastAsia="Calibri" w:hAnsi="Futura Std Condensed Light" w:cs="Calibri"/>
                <w:sz w:val="20"/>
                <w:szCs w:val="20"/>
              </w:rPr>
              <w:t>3. Fortalecer la oferta educativa de las instituciones de educación superior para asegurar la pertinencia con base en las necesidades de la entidad</w:t>
            </w:r>
          </w:p>
        </w:tc>
        <w:tc>
          <w:tcPr>
            <w:tcW w:w="882" w:type="pct"/>
            <w:vMerge/>
            <w:tcBorders>
              <w:left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6F0D941D" w14:textId="77777777" w:rsidR="00177600" w:rsidRDefault="00177600" w:rsidP="00177600">
            <w:pPr>
              <w:spacing w:after="0" w:line="240" w:lineRule="auto"/>
              <w:rPr>
                <w:rFonts w:ascii="Futura Std Condensed Light" w:eastAsia="Calibri" w:hAnsi="Futura Std Condensed Light" w:cs="Calibri"/>
                <w:sz w:val="20"/>
                <w:szCs w:val="20"/>
              </w:rPr>
            </w:pPr>
          </w:p>
        </w:tc>
      </w:tr>
      <w:tr w:rsidR="00177600" w14:paraId="41FCEF50" w14:textId="77777777" w:rsidTr="00D83181">
        <w:trPr>
          <w:trHeight w:val="283"/>
          <w:jc w:val="center"/>
        </w:trPr>
        <w:tc>
          <w:tcPr>
            <w:tcW w:w="700" w:type="pct"/>
            <w:vMerge/>
            <w:tcBorders>
              <w:left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7848C06A" w14:textId="39D0EAC6" w:rsidR="00177600" w:rsidRDefault="00177600" w:rsidP="00177600">
            <w:pPr>
              <w:spacing w:after="0" w:line="240" w:lineRule="auto"/>
              <w:jc w:val="center"/>
              <w:rPr>
                <w:rFonts w:ascii="Futura Std Condensed Light" w:eastAsia="Calibri" w:hAnsi="Futura Std Condensed Light" w:cs="Calibri"/>
                <w:sz w:val="20"/>
                <w:szCs w:val="20"/>
              </w:rPr>
            </w:pPr>
          </w:p>
        </w:tc>
        <w:tc>
          <w:tcPr>
            <w:tcW w:w="1630" w:type="pct"/>
            <w:tcBorders>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1A0A91DB" w14:textId="25F361D7" w:rsidR="00177600" w:rsidRPr="001D5588" w:rsidRDefault="00177600" w:rsidP="00177600">
            <w:pPr>
              <w:spacing w:after="0" w:line="240" w:lineRule="auto"/>
              <w:rPr>
                <w:rFonts w:ascii="Futura Std Condensed Light" w:eastAsia="Calibri" w:hAnsi="Futura Std Condensed Light" w:cs="Calibri"/>
                <w:sz w:val="20"/>
                <w:szCs w:val="20"/>
              </w:rPr>
            </w:pPr>
            <w:r w:rsidRPr="00FB31A9">
              <w:rPr>
                <w:rFonts w:ascii="Futura Std Condensed Light" w:eastAsia="Calibri" w:hAnsi="Futura Std Condensed Light" w:cs="Calibri"/>
                <w:sz w:val="20"/>
                <w:szCs w:val="20"/>
              </w:rPr>
              <w:t>14.Acreditar los planes y programas de educación superior a fin de garantizar su calidad.</w:t>
            </w:r>
          </w:p>
        </w:tc>
        <w:tc>
          <w:tcPr>
            <w:tcW w:w="1787" w:type="pct"/>
            <w:tcBorders>
              <w:top w:val="single" w:sz="4" w:space="0" w:color="auto"/>
              <w:left w:val="single" w:sz="4" w:space="0" w:color="auto"/>
              <w:bottom w:val="single" w:sz="4" w:space="0" w:color="auto"/>
              <w:right w:val="single" w:sz="4" w:space="0" w:color="auto"/>
            </w:tcBorders>
            <w:shd w:val="clear" w:color="auto" w:fill="FFFFFF" w:themeFill="background1"/>
          </w:tcPr>
          <w:p w14:paraId="228A2F0A" w14:textId="35CDB55E" w:rsidR="00177600" w:rsidRDefault="00177600" w:rsidP="00177600">
            <w:pPr>
              <w:spacing w:after="0" w:line="240" w:lineRule="auto"/>
              <w:ind w:left="143" w:right="142"/>
              <w:rPr>
                <w:rFonts w:ascii="Futura Std Condensed Light" w:eastAsia="Calibri" w:hAnsi="Futura Std Condensed Light" w:cs="Calibri"/>
                <w:sz w:val="20"/>
                <w:szCs w:val="20"/>
              </w:rPr>
            </w:pPr>
            <w:r w:rsidRPr="00FB31A9">
              <w:rPr>
                <w:rFonts w:ascii="Futura Std Condensed Light" w:eastAsia="Calibri" w:hAnsi="Futura Std Condensed Light" w:cs="Calibri"/>
                <w:sz w:val="20"/>
                <w:szCs w:val="20"/>
              </w:rPr>
              <w:t>4. Acreditar los planes y programas de educación superior a fin de garantizar su calidad.</w:t>
            </w:r>
          </w:p>
        </w:tc>
        <w:tc>
          <w:tcPr>
            <w:tcW w:w="882" w:type="pct"/>
            <w:vMerge/>
            <w:tcBorders>
              <w:left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2A3B5A1E" w14:textId="77777777" w:rsidR="00177600" w:rsidRDefault="00177600" w:rsidP="00177600">
            <w:pPr>
              <w:spacing w:after="0" w:line="240" w:lineRule="auto"/>
              <w:rPr>
                <w:rFonts w:ascii="Futura Std Condensed Light" w:eastAsia="Calibri" w:hAnsi="Futura Std Condensed Light" w:cs="Calibri"/>
                <w:sz w:val="20"/>
                <w:szCs w:val="20"/>
              </w:rPr>
            </w:pPr>
          </w:p>
        </w:tc>
      </w:tr>
      <w:tr w:rsidR="00177600" w14:paraId="6D8D279B" w14:textId="77777777" w:rsidTr="00D83181">
        <w:trPr>
          <w:trHeight w:val="283"/>
          <w:jc w:val="center"/>
        </w:trPr>
        <w:tc>
          <w:tcPr>
            <w:tcW w:w="700" w:type="pct"/>
            <w:vMerge/>
            <w:tcBorders>
              <w:left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75C22F20" w14:textId="22770CE4" w:rsidR="00177600" w:rsidRDefault="00177600" w:rsidP="00177600">
            <w:pPr>
              <w:spacing w:after="0" w:line="240" w:lineRule="auto"/>
              <w:jc w:val="center"/>
              <w:rPr>
                <w:rFonts w:ascii="Futura Std Condensed Light" w:eastAsia="Calibri" w:hAnsi="Futura Std Condensed Light" w:cs="Calibri"/>
                <w:sz w:val="20"/>
                <w:szCs w:val="20"/>
              </w:rPr>
            </w:pPr>
          </w:p>
        </w:tc>
        <w:tc>
          <w:tcPr>
            <w:tcW w:w="1630" w:type="pct"/>
            <w:tcBorders>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3596DCFE" w14:textId="5641F3D4" w:rsidR="00177600" w:rsidRPr="001D5588" w:rsidRDefault="00177600" w:rsidP="00177600">
            <w:pPr>
              <w:spacing w:after="0" w:line="240" w:lineRule="auto"/>
              <w:rPr>
                <w:rFonts w:ascii="Futura Std Condensed Light" w:eastAsia="Calibri" w:hAnsi="Futura Std Condensed Light" w:cs="Calibri"/>
                <w:sz w:val="20"/>
                <w:szCs w:val="20"/>
              </w:rPr>
            </w:pPr>
            <w:r w:rsidRPr="00FB31A9">
              <w:rPr>
                <w:rFonts w:ascii="Futura Std Condensed Light" w:eastAsia="Calibri" w:hAnsi="Futura Std Condensed Light" w:cs="Calibri"/>
                <w:sz w:val="20"/>
                <w:szCs w:val="20"/>
              </w:rPr>
              <w:t>15.Fomentar la investigación básica y aplicada, científica, tecnológica y de innovación en instituciones de educación media superior y superior.</w:t>
            </w:r>
          </w:p>
        </w:tc>
        <w:tc>
          <w:tcPr>
            <w:tcW w:w="1787" w:type="pct"/>
            <w:tcBorders>
              <w:top w:val="single" w:sz="4" w:space="0" w:color="auto"/>
              <w:left w:val="single" w:sz="4" w:space="0" w:color="auto"/>
              <w:bottom w:val="single" w:sz="4" w:space="0" w:color="auto"/>
              <w:right w:val="single" w:sz="4" w:space="0" w:color="auto"/>
            </w:tcBorders>
            <w:shd w:val="clear" w:color="auto" w:fill="FFFFFF" w:themeFill="background1"/>
          </w:tcPr>
          <w:p w14:paraId="77A8CFF7" w14:textId="333D084B" w:rsidR="00177600" w:rsidRDefault="00177600" w:rsidP="00177600">
            <w:pPr>
              <w:spacing w:after="0" w:line="240" w:lineRule="auto"/>
              <w:ind w:left="143" w:right="142"/>
              <w:rPr>
                <w:rFonts w:ascii="Futura Std Condensed Light" w:eastAsia="Calibri" w:hAnsi="Futura Std Condensed Light" w:cs="Calibri"/>
                <w:sz w:val="20"/>
                <w:szCs w:val="20"/>
              </w:rPr>
            </w:pPr>
            <w:r w:rsidRPr="00FB31A9">
              <w:rPr>
                <w:rFonts w:ascii="Futura Std Condensed Light" w:eastAsia="Calibri" w:hAnsi="Futura Std Condensed Light" w:cs="Calibri"/>
                <w:sz w:val="20"/>
                <w:szCs w:val="20"/>
              </w:rPr>
              <w:t>5. Fortalecer la investigación básica y aplicada con la participación de los estudiantes de educación superior.</w:t>
            </w:r>
          </w:p>
        </w:tc>
        <w:tc>
          <w:tcPr>
            <w:tcW w:w="882" w:type="pct"/>
            <w:vMerge/>
            <w:tcBorders>
              <w:left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223F32D0" w14:textId="77777777" w:rsidR="00177600" w:rsidRDefault="00177600" w:rsidP="00177600">
            <w:pPr>
              <w:spacing w:after="0" w:line="240" w:lineRule="auto"/>
              <w:rPr>
                <w:rFonts w:ascii="Futura Std Condensed Light" w:eastAsia="Calibri" w:hAnsi="Futura Std Condensed Light" w:cs="Calibri"/>
                <w:sz w:val="20"/>
                <w:szCs w:val="20"/>
              </w:rPr>
            </w:pPr>
          </w:p>
        </w:tc>
      </w:tr>
      <w:tr w:rsidR="00177600" w14:paraId="6EF5BF08" w14:textId="77777777" w:rsidTr="00D83181">
        <w:trPr>
          <w:trHeight w:val="283"/>
          <w:jc w:val="center"/>
        </w:trPr>
        <w:tc>
          <w:tcPr>
            <w:tcW w:w="700" w:type="pct"/>
            <w:vMerge/>
            <w:tcBorders>
              <w:left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725F0B2F" w14:textId="4D2637B3" w:rsidR="00177600" w:rsidRDefault="00177600" w:rsidP="00177600">
            <w:pPr>
              <w:spacing w:after="0" w:line="240" w:lineRule="auto"/>
              <w:jc w:val="center"/>
              <w:rPr>
                <w:rFonts w:ascii="Futura Std Condensed Light" w:eastAsia="Calibri" w:hAnsi="Futura Std Condensed Light" w:cs="Calibri"/>
                <w:sz w:val="20"/>
                <w:szCs w:val="20"/>
              </w:rPr>
            </w:pPr>
          </w:p>
        </w:tc>
        <w:tc>
          <w:tcPr>
            <w:tcW w:w="1630" w:type="pct"/>
            <w:tcBorders>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433D03AF" w14:textId="46841715" w:rsidR="00177600" w:rsidRPr="001D5588" w:rsidRDefault="00177600" w:rsidP="00177600">
            <w:pPr>
              <w:spacing w:after="0" w:line="240" w:lineRule="auto"/>
              <w:rPr>
                <w:rFonts w:ascii="Futura Std Condensed Light" w:eastAsia="Calibri" w:hAnsi="Futura Std Condensed Light" w:cs="Calibri"/>
                <w:sz w:val="20"/>
                <w:szCs w:val="20"/>
              </w:rPr>
            </w:pPr>
            <w:r w:rsidRPr="00FB31A9">
              <w:rPr>
                <w:rFonts w:ascii="Futura Std Condensed Light" w:eastAsia="Calibri" w:hAnsi="Futura Std Condensed Light" w:cs="Calibri"/>
                <w:sz w:val="20"/>
                <w:szCs w:val="20"/>
              </w:rPr>
              <w:t>21.Generar esquemas de vinculación con instituciones públicas y privadas para la realización de prácticas profesionales y servicio social por parte de estudiantes de educación superior.</w:t>
            </w:r>
          </w:p>
        </w:tc>
        <w:tc>
          <w:tcPr>
            <w:tcW w:w="1787" w:type="pct"/>
            <w:tcBorders>
              <w:top w:val="single" w:sz="4" w:space="0" w:color="auto"/>
              <w:left w:val="single" w:sz="4" w:space="0" w:color="auto"/>
              <w:bottom w:val="single" w:sz="4" w:space="0" w:color="auto"/>
              <w:right w:val="single" w:sz="4" w:space="0" w:color="auto"/>
            </w:tcBorders>
            <w:shd w:val="clear" w:color="auto" w:fill="FFFFFF" w:themeFill="background1"/>
          </w:tcPr>
          <w:p w14:paraId="16C322EC" w14:textId="2FAF62F3" w:rsidR="00177600" w:rsidRDefault="00177600" w:rsidP="00177600">
            <w:pPr>
              <w:spacing w:after="0" w:line="240" w:lineRule="auto"/>
              <w:ind w:left="143" w:right="142"/>
              <w:rPr>
                <w:rFonts w:ascii="Futura Std Condensed Light" w:eastAsia="Calibri" w:hAnsi="Futura Std Condensed Light" w:cs="Calibri"/>
                <w:sz w:val="20"/>
                <w:szCs w:val="20"/>
              </w:rPr>
            </w:pPr>
            <w:r w:rsidRPr="00FB31A9">
              <w:rPr>
                <w:rFonts w:ascii="Futura Std Condensed Light" w:eastAsia="Calibri" w:hAnsi="Futura Std Condensed Light" w:cs="Calibri"/>
                <w:sz w:val="20"/>
                <w:szCs w:val="20"/>
              </w:rPr>
              <w:t xml:space="preserve">6. Impulsar la vinculación con instituciones públicas y privadas para la </w:t>
            </w:r>
            <w:r w:rsidR="000E4F74" w:rsidRPr="00FB31A9">
              <w:rPr>
                <w:rFonts w:ascii="Futura Std Condensed Light" w:eastAsia="Calibri" w:hAnsi="Futura Std Condensed Light" w:cs="Calibri"/>
                <w:sz w:val="20"/>
                <w:szCs w:val="20"/>
              </w:rPr>
              <w:t>realización</w:t>
            </w:r>
            <w:r w:rsidRPr="00FB31A9">
              <w:rPr>
                <w:rFonts w:ascii="Futura Std Condensed Light" w:eastAsia="Calibri" w:hAnsi="Futura Std Condensed Light" w:cs="Calibri"/>
                <w:sz w:val="20"/>
                <w:szCs w:val="20"/>
              </w:rPr>
              <w:t xml:space="preserve">  del servicio social, prácticas profesionales o su equivalente y modelo dual por parte de los estudiantes de educación superior.</w:t>
            </w:r>
          </w:p>
        </w:tc>
        <w:tc>
          <w:tcPr>
            <w:tcW w:w="882" w:type="pct"/>
            <w:vMerge/>
            <w:tcBorders>
              <w:left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571F831C" w14:textId="77777777" w:rsidR="00177600" w:rsidRDefault="00177600" w:rsidP="00177600">
            <w:pPr>
              <w:spacing w:after="0" w:line="240" w:lineRule="auto"/>
              <w:rPr>
                <w:rFonts w:ascii="Futura Std Condensed Light" w:eastAsia="Calibri" w:hAnsi="Futura Std Condensed Light" w:cs="Calibri"/>
                <w:sz w:val="20"/>
                <w:szCs w:val="20"/>
              </w:rPr>
            </w:pPr>
          </w:p>
        </w:tc>
      </w:tr>
      <w:tr w:rsidR="00177600" w14:paraId="73F23611" w14:textId="77777777" w:rsidTr="00D83181">
        <w:trPr>
          <w:trHeight w:val="283"/>
          <w:jc w:val="center"/>
        </w:trPr>
        <w:tc>
          <w:tcPr>
            <w:tcW w:w="700" w:type="pct"/>
            <w:vMerge/>
            <w:tcBorders>
              <w:left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5E2C205E" w14:textId="0A041CD2" w:rsidR="00177600" w:rsidRDefault="00177600" w:rsidP="00177600">
            <w:pPr>
              <w:spacing w:after="0" w:line="240" w:lineRule="auto"/>
              <w:jc w:val="center"/>
              <w:rPr>
                <w:rFonts w:ascii="Futura Std Condensed Light" w:eastAsia="Calibri" w:hAnsi="Futura Std Condensed Light" w:cs="Calibri"/>
                <w:sz w:val="20"/>
                <w:szCs w:val="20"/>
              </w:rPr>
            </w:pPr>
          </w:p>
        </w:tc>
        <w:tc>
          <w:tcPr>
            <w:tcW w:w="1630" w:type="pct"/>
            <w:tcBorders>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5DE2AE7B" w14:textId="28ACE474" w:rsidR="00177600" w:rsidRPr="001D5588" w:rsidRDefault="00177600" w:rsidP="00177600">
            <w:pPr>
              <w:spacing w:after="0" w:line="240" w:lineRule="auto"/>
              <w:rPr>
                <w:rFonts w:ascii="Futura Std Condensed Light" w:eastAsia="Calibri" w:hAnsi="Futura Std Condensed Light" w:cs="Calibri"/>
                <w:sz w:val="20"/>
                <w:szCs w:val="20"/>
              </w:rPr>
            </w:pPr>
            <w:r w:rsidRPr="00FB31A9">
              <w:rPr>
                <w:rFonts w:ascii="Futura Std Condensed Light" w:eastAsia="Calibri" w:hAnsi="Futura Std Condensed Light" w:cs="Calibri"/>
                <w:sz w:val="20"/>
                <w:szCs w:val="20"/>
              </w:rPr>
              <w:t>23. Impulsar acciones de atención para mejorar la formación inicial y continua de docentes.</w:t>
            </w:r>
          </w:p>
        </w:tc>
        <w:tc>
          <w:tcPr>
            <w:tcW w:w="1787" w:type="pct"/>
            <w:tcBorders>
              <w:top w:val="single" w:sz="4" w:space="0" w:color="auto"/>
              <w:left w:val="single" w:sz="4" w:space="0" w:color="auto"/>
              <w:bottom w:val="single" w:sz="4" w:space="0" w:color="auto"/>
              <w:right w:val="single" w:sz="4" w:space="0" w:color="auto"/>
            </w:tcBorders>
            <w:shd w:val="clear" w:color="auto" w:fill="FFFFFF" w:themeFill="background1"/>
          </w:tcPr>
          <w:p w14:paraId="5C4C99F2" w14:textId="0FBC4A82" w:rsidR="00177600" w:rsidRDefault="00177600" w:rsidP="00177600">
            <w:pPr>
              <w:spacing w:after="0" w:line="240" w:lineRule="auto"/>
              <w:ind w:left="143" w:right="142"/>
              <w:rPr>
                <w:rFonts w:ascii="Futura Std Condensed Light" w:eastAsia="Calibri" w:hAnsi="Futura Std Condensed Light" w:cs="Calibri"/>
                <w:sz w:val="20"/>
                <w:szCs w:val="20"/>
              </w:rPr>
            </w:pPr>
            <w:r w:rsidRPr="00FB31A9">
              <w:rPr>
                <w:rFonts w:ascii="Futura Std Condensed Light" w:eastAsia="Calibri" w:hAnsi="Futura Std Condensed Light" w:cs="Calibri"/>
                <w:sz w:val="20"/>
                <w:szCs w:val="20"/>
              </w:rPr>
              <w:t>7. Impulsar acciones de atención para mejorar la formación inicial y continua de docentes.</w:t>
            </w:r>
          </w:p>
        </w:tc>
        <w:tc>
          <w:tcPr>
            <w:tcW w:w="882" w:type="pct"/>
            <w:vMerge/>
            <w:tcBorders>
              <w:left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01BABD06" w14:textId="77777777" w:rsidR="00177600" w:rsidRDefault="00177600" w:rsidP="00177600">
            <w:pPr>
              <w:spacing w:after="0" w:line="240" w:lineRule="auto"/>
              <w:rPr>
                <w:rFonts w:ascii="Futura Std Condensed Light" w:eastAsia="Calibri" w:hAnsi="Futura Std Condensed Light" w:cs="Calibri"/>
                <w:sz w:val="20"/>
                <w:szCs w:val="20"/>
              </w:rPr>
            </w:pPr>
          </w:p>
        </w:tc>
      </w:tr>
      <w:tr w:rsidR="00177600" w14:paraId="1F06FDBD" w14:textId="77777777" w:rsidTr="00D83181">
        <w:trPr>
          <w:trHeight w:val="1276"/>
          <w:jc w:val="center"/>
        </w:trPr>
        <w:tc>
          <w:tcPr>
            <w:tcW w:w="700" w:type="pct"/>
            <w:vMerge/>
            <w:tcBorders>
              <w:left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065EAD55" w14:textId="6376E78E" w:rsidR="00177600" w:rsidRDefault="00177600" w:rsidP="00177600">
            <w:pPr>
              <w:spacing w:after="0" w:line="240" w:lineRule="auto"/>
              <w:jc w:val="center"/>
              <w:rPr>
                <w:rFonts w:ascii="Futura Std Condensed Light" w:eastAsia="Calibri" w:hAnsi="Futura Std Condensed Light" w:cs="Calibri"/>
                <w:sz w:val="20"/>
                <w:szCs w:val="20"/>
              </w:rPr>
            </w:pPr>
          </w:p>
        </w:tc>
        <w:tc>
          <w:tcPr>
            <w:tcW w:w="1630"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792C5C62" w14:textId="77777777" w:rsidR="00177600" w:rsidRDefault="00177600" w:rsidP="00177600">
            <w:pPr>
              <w:spacing w:after="0" w:line="240" w:lineRule="auto"/>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2. Reorientar el programa de becas e incentivos para otorgarlas a alumnos de escasos recursos a fin de que concluyan sus estudios.</w:t>
            </w:r>
          </w:p>
        </w:tc>
        <w:tc>
          <w:tcPr>
            <w:tcW w:w="178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94BD7C3" w14:textId="77777777" w:rsidR="00A90F65" w:rsidRDefault="00A90F65" w:rsidP="00177600">
            <w:pPr>
              <w:spacing w:after="0" w:line="240" w:lineRule="auto"/>
              <w:ind w:left="143" w:right="142"/>
              <w:rPr>
                <w:rFonts w:ascii="Futura Std Condensed Light" w:eastAsia="Calibri" w:hAnsi="Futura Std Condensed Light" w:cs="Calibri"/>
                <w:sz w:val="20"/>
                <w:szCs w:val="20"/>
              </w:rPr>
            </w:pPr>
          </w:p>
          <w:p w14:paraId="35E118E2" w14:textId="0E3884D0" w:rsidR="00177600" w:rsidRDefault="00177600" w:rsidP="00177600">
            <w:pPr>
              <w:spacing w:after="0" w:line="240" w:lineRule="auto"/>
              <w:ind w:left="143" w:right="142"/>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1. Reorientar el programa de becas e incentivos para otorgarlas a alumnos de escasos recursos a fin de que concluyan sus estudios.</w:t>
            </w:r>
          </w:p>
        </w:tc>
        <w:tc>
          <w:tcPr>
            <w:tcW w:w="882"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5BD040F5" w14:textId="7C97B195" w:rsidR="00A90F65" w:rsidRDefault="00A90F65" w:rsidP="00177600">
            <w:pPr>
              <w:spacing w:after="0" w:line="240" w:lineRule="auto"/>
              <w:rPr>
                <w:rFonts w:ascii="Futura Std Condensed Light" w:eastAsia="Calibri" w:hAnsi="Futura Std Condensed Light" w:cs="Calibri"/>
                <w:sz w:val="20"/>
                <w:szCs w:val="20"/>
              </w:rPr>
            </w:pPr>
          </w:p>
          <w:p w14:paraId="247B79B6" w14:textId="77777777" w:rsidR="00177600" w:rsidRDefault="00177600" w:rsidP="00177600">
            <w:pPr>
              <w:spacing w:after="0" w:line="240" w:lineRule="auto"/>
              <w:rPr>
                <w:rFonts w:ascii="Futura Std Condensed Light" w:eastAsia="Calibri" w:hAnsi="Futura Std Condensed Light" w:cs="Calibri"/>
                <w:sz w:val="20"/>
                <w:szCs w:val="20"/>
              </w:rPr>
            </w:pPr>
          </w:p>
          <w:p w14:paraId="40A7A941" w14:textId="77777777" w:rsidR="00177600" w:rsidRPr="00177600" w:rsidRDefault="00177600" w:rsidP="00177600">
            <w:pPr>
              <w:rPr>
                <w:rFonts w:ascii="Futura Std Condensed Light" w:eastAsia="Calibri" w:hAnsi="Futura Std Condensed Light" w:cs="Calibri"/>
                <w:sz w:val="20"/>
                <w:szCs w:val="20"/>
              </w:rPr>
            </w:pPr>
            <w:r w:rsidRPr="00177600">
              <w:rPr>
                <w:rFonts w:ascii="Futura Std Condensed Light" w:eastAsia="Calibri" w:hAnsi="Futura Std Condensed Light" w:cs="Calibri"/>
                <w:sz w:val="20"/>
                <w:szCs w:val="20"/>
              </w:rPr>
              <w:t xml:space="preserve">Brindar una educación media superior de calidad relevante y pertinente centrada en el </w:t>
            </w:r>
            <w:r w:rsidRPr="00177600">
              <w:rPr>
                <w:rFonts w:ascii="Futura Std Condensed Light" w:eastAsia="Calibri" w:hAnsi="Futura Std Condensed Light" w:cs="Calibri"/>
                <w:sz w:val="20"/>
                <w:szCs w:val="20"/>
              </w:rPr>
              <w:lastRenderedPageBreak/>
              <w:t xml:space="preserve">mejoramiento del desempeño escolar del estudiante. </w:t>
            </w:r>
          </w:p>
          <w:p w14:paraId="2FF8FFD4" w14:textId="77777777" w:rsidR="00177600" w:rsidRDefault="00177600" w:rsidP="00177600">
            <w:pPr>
              <w:spacing w:after="0" w:line="240" w:lineRule="auto"/>
              <w:rPr>
                <w:rFonts w:ascii="Futura Std Condensed Light" w:eastAsia="Calibri" w:hAnsi="Futura Std Condensed Light" w:cs="Calibri"/>
                <w:sz w:val="20"/>
                <w:szCs w:val="20"/>
              </w:rPr>
            </w:pPr>
          </w:p>
          <w:p w14:paraId="7E7B3124" w14:textId="77777777" w:rsidR="00177600" w:rsidRDefault="00177600" w:rsidP="00177600">
            <w:pPr>
              <w:spacing w:after="0" w:line="240" w:lineRule="auto"/>
              <w:rPr>
                <w:rFonts w:ascii="Futura Std Condensed Light" w:eastAsia="Calibri" w:hAnsi="Futura Std Condensed Light" w:cs="Calibri"/>
                <w:sz w:val="20"/>
                <w:szCs w:val="20"/>
              </w:rPr>
            </w:pPr>
          </w:p>
          <w:p w14:paraId="57193D12" w14:textId="77777777" w:rsidR="00177600" w:rsidRDefault="00177600" w:rsidP="00177600">
            <w:pPr>
              <w:spacing w:after="0" w:line="240" w:lineRule="auto"/>
              <w:rPr>
                <w:rFonts w:ascii="Futura Std Condensed Light" w:eastAsia="Calibri" w:hAnsi="Futura Std Condensed Light" w:cs="Calibri"/>
                <w:sz w:val="20"/>
                <w:szCs w:val="20"/>
              </w:rPr>
            </w:pPr>
          </w:p>
          <w:p w14:paraId="7E48B347" w14:textId="77777777" w:rsidR="00177600" w:rsidRDefault="00177600" w:rsidP="00177600">
            <w:pPr>
              <w:spacing w:after="0" w:line="240" w:lineRule="auto"/>
              <w:rPr>
                <w:rFonts w:ascii="Futura Std Condensed Light" w:eastAsia="Calibri" w:hAnsi="Futura Std Condensed Light" w:cs="Calibri"/>
                <w:sz w:val="20"/>
                <w:szCs w:val="20"/>
              </w:rPr>
            </w:pPr>
          </w:p>
          <w:p w14:paraId="46129F88" w14:textId="77777777" w:rsidR="00177600" w:rsidRDefault="00177600" w:rsidP="00177600">
            <w:pPr>
              <w:spacing w:after="0" w:line="240" w:lineRule="auto"/>
              <w:rPr>
                <w:rFonts w:ascii="Futura Std Condensed Light" w:eastAsia="Calibri" w:hAnsi="Futura Std Condensed Light" w:cs="Calibri"/>
                <w:sz w:val="20"/>
                <w:szCs w:val="20"/>
              </w:rPr>
            </w:pPr>
          </w:p>
          <w:p w14:paraId="537EFE3F" w14:textId="77777777" w:rsidR="00177600" w:rsidRDefault="00177600" w:rsidP="00177600">
            <w:pPr>
              <w:spacing w:after="0" w:line="240" w:lineRule="auto"/>
              <w:rPr>
                <w:rFonts w:ascii="Futura Std Condensed Light" w:eastAsia="Calibri" w:hAnsi="Futura Std Condensed Light" w:cs="Calibri"/>
                <w:sz w:val="20"/>
                <w:szCs w:val="20"/>
              </w:rPr>
            </w:pPr>
          </w:p>
          <w:p w14:paraId="49EC888F" w14:textId="77777777" w:rsidR="00177600" w:rsidRDefault="00177600" w:rsidP="00177600">
            <w:pPr>
              <w:spacing w:after="0" w:line="240" w:lineRule="auto"/>
              <w:rPr>
                <w:rFonts w:ascii="Futura Std Condensed Light" w:eastAsia="Calibri" w:hAnsi="Futura Std Condensed Light" w:cs="Calibri"/>
                <w:sz w:val="20"/>
                <w:szCs w:val="20"/>
              </w:rPr>
            </w:pPr>
          </w:p>
          <w:p w14:paraId="123FAF57" w14:textId="77777777" w:rsidR="00177600" w:rsidRDefault="00177600" w:rsidP="00177600">
            <w:pPr>
              <w:spacing w:after="0" w:line="240" w:lineRule="auto"/>
              <w:rPr>
                <w:rFonts w:ascii="Futura Std Condensed Light" w:eastAsia="Calibri" w:hAnsi="Futura Std Condensed Light" w:cs="Calibri"/>
                <w:sz w:val="20"/>
                <w:szCs w:val="20"/>
              </w:rPr>
            </w:pPr>
          </w:p>
          <w:p w14:paraId="5CFDB83A" w14:textId="4D129A5A" w:rsidR="007D55C8" w:rsidRDefault="007D55C8" w:rsidP="00177600">
            <w:pPr>
              <w:spacing w:after="0" w:line="240" w:lineRule="auto"/>
              <w:rPr>
                <w:rFonts w:ascii="Futura Std Condensed Light" w:eastAsia="Calibri" w:hAnsi="Futura Std Condensed Light" w:cs="Calibri"/>
                <w:sz w:val="20"/>
                <w:szCs w:val="20"/>
              </w:rPr>
            </w:pPr>
          </w:p>
          <w:p w14:paraId="1C54D20C" w14:textId="77777777" w:rsidR="00177600" w:rsidRDefault="00177600" w:rsidP="00177600">
            <w:pPr>
              <w:spacing w:after="0" w:line="240" w:lineRule="auto"/>
              <w:rPr>
                <w:rFonts w:ascii="Futura Std Condensed Light" w:eastAsia="Calibri" w:hAnsi="Futura Std Condensed Light" w:cs="Calibri"/>
                <w:sz w:val="20"/>
                <w:szCs w:val="20"/>
              </w:rPr>
            </w:pPr>
          </w:p>
          <w:p w14:paraId="7D0AE16F" w14:textId="270C4C9C" w:rsidR="00177600" w:rsidRDefault="00177600" w:rsidP="00177600">
            <w:pPr>
              <w:spacing w:after="0" w:line="240" w:lineRule="auto"/>
              <w:rPr>
                <w:rFonts w:ascii="Futura Std Condensed Light" w:eastAsia="Calibri" w:hAnsi="Futura Std Condensed Light" w:cs="Calibri"/>
                <w:sz w:val="20"/>
                <w:szCs w:val="20"/>
              </w:rPr>
            </w:pPr>
            <w:r w:rsidRPr="00177600">
              <w:rPr>
                <w:rFonts w:ascii="Futura Std Condensed Light" w:eastAsia="Calibri" w:hAnsi="Futura Std Condensed Light" w:cs="Calibri"/>
                <w:sz w:val="20"/>
                <w:szCs w:val="20"/>
              </w:rPr>
              <w:t>Brindar una educación media superior de calidad relevante y pertinente centrada en el mejoramiento del desempeño escolar del estudiante.</w:t>
            </w:r>
          </w:p>
          <w:p w14:paraId="25775FAE" w14:textId="77777777" w:rsidR="00177600" w:rsidRDefault="00177600" w:rsidP="00177600">
            <w:pPr>
              <w:spacing w:after="0" w:line="240" w:lineRule="auto"/>
              <w:rPr>
                <w:rFonts w:ascii="Futura Std Condensed Light" w:eastAsia="Calibri" w:hAnsi="Futura Std Condensed Light" w:cs="Calibri"/>
                <w:sz w:val="20"/>
                <w:szCs w:val="20"/>
              </w:rPr>
            </w:pPr>
          </w:p>
          <w:p w14:paraId="6F9E4F87" w14:textId="77777777" w:rsidR="00177600" w:rsidRDefault="00177600" w:rsidP="00177600">
            <w:pPr>
              <w:spacing w:after="0" w:line="240" w:lineRule="auto"/>
              <w:rPr>
                <w:rFonts w:ascii="Futura Std Condensed Light" w:eastAsia="Calibri" w:hAnsi="Futura Std Condensed Light" w:cs="Calibri"/>
                <w:sz w:val="20"/>
                <w:szCs w:val="20"/>
              </w:rPr>
            </w:pPr>
          </w:p>
          <w:p w14:paraId="275DEC86" w14:textId="77777777" w:rsidR="00177600" w:rsidRDefault="00177600" w:rsidP="00177600">
            <w:pPr>
              <w:spacing w:after="0" w:line="240" w:lineRule="auto"/>
              <w:rPr>
                <w:rFonts w:ascii="Futura Std Condensed Light" w:eastAsia="Calibri" w:hAnsi="Futura Std Condensed Light" w:cs="Calibri"/>
                <w:sz w:val="20"/>
                <w:szCs w:val="20"/>
              </w:rPr>
            </w:pPr>
          </w:p>
          <w:p w14:paraId="3085FB50" w14:textId="24A5B7F3" w:rsidR="00177600" w:rsidRDefault="00177600" w:rsidP="00177600">
            <w:pPr>
              <w:spacing w:after="0" w:line="240" w:lineRule="auto"/>
              <w:rPr>
                <w:rFonts w:ascii="Futura Std Condensed Light" w:eastAsia="Calibri" w:hAnsi="Futura Std Condensed Light" w:cs="Calibri"/>
                <w:sz w:val="20"/>
                <w:szCs w:val="20"/>
              </w:rPr>
            </w:pPr>
          </w:p>
        </w:tc>
      </w:tr>
      <w:tr w:rsidR="00177600" w14:paraId="15A99310" w14:textId="77777777" w:rsidTr="00C527EB">
        <w:trPr>
          <w:trHeight w:val="283"/>
          <w:jc w:val="center"/>
        </w:trPr>
        <w:tc>
          <w:tcPr>
            <w:tcW w:w="0" w:type="auto"/>
            <w:vMerge/>
            <w:tcBorders>
              <w:left w:val="single" w:sz="4" w:space="0" w:color="auto"/>
              <w:right w:val="single" w:sz="4" w:space="0" w:color="auto"/>
            </w:tcBorders>
            <w:shd w:val="clear" w:color="auto" w:fill="FFFFFF" w:themeFill="background1"/>
            <w:vAlign w:val="center"/>
            <w:hideMark/>
          </w:tcPr>
          <w:p w14:paraId="6A40EEAF" w14:textId="0527A8C0" w:rsidR="00177600" w:rsidRDefault="00177600" w:rsidP="00177600">
            <w:pPr>
              <w:spacing w:after="0" w:line="240" w:lineRule="auto"/>
              <w:jc w:val="center"/>
              <w:rPr>
                <w:rFonts w:ascii="Futura Std Condensed Light" w:eastAsia="Calibri" w:hAnsi="Futura Std Condensed Light" w:cs="Calibri"/>
                <w:sz w:val="20"/>
                <w:szCs w:val="20"/>
              </w:rPr>
            </w:pPr>
          </w:p>
        </w:tc>
        <w:tc>
          <w:tcPr>
            <w:tcW w:w="1630"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5811A429" w14:textId="77777777" w:rsidR="00177600" w:rsidRDefault="00177600" w:rsidP="00177600">
            <w:pPr>
              <w:spacing w:after="0" w:line="240" w:lineRule="auto"/>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 xml:space="preserve">5. Desarrollar una estrategia integral que permita ampliar la cobertura educativa de nivel medio </w:t>
            </w:r>
            <w:r>
              <w:rPr>
                <w:rFonts w:ascii="Futura Std Condensed Light" w:eastAsia="Calibri" w:hAnsi="Futura Std Condensed Light" w:cs="Calibri"/>
                <w:sz w:val="20"/>
                <w:szCs w:val="20"/>
              </w:rPr>
              <w:lastRenderedPageBreak/>
              <w:t>superior y superior en las instituciones públicas.</w:t>
            </w:r>
          </w:p>
        </w:tc>
        <w:tc>
          <w:tcPr>
            <w:tcW w:w="178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7D3AB03" w14:textId="77777777" w:rsidR="00177600" w:rsidRDefault="00177600" w:rsidP="00177600">
            <w:pPr>
              <w:spacing w:after="0" w:line="240" w:lineRule="auto"/>
              <w:ind w:left="143" w:right="142"/>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lastRenderedPageBreak/>
              <w:t xml:space="preserve">2. Desarrollar una estrategia integral que permita ampliar la cobertura educativa de nivel </w:t>
            </w:r>
            <w:r>
              <w:rPr>
                <w:rFonts w:ascii="Futura Std Condensed Light" w:eastAsia="Calibri" w:hAnsi="Futura Std Condensed Light" w:cs="Calibri"/>
                <w:sz w:val="20"/>
                <w:szCs w:val="20"/>
              </w:rPr>
              <w:lastRenderedPageBreak/>
              <w:t>medio superior en las instituciones públicas.</w:t>
            </w: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E545E11" w14:textId="77777777" w:rsidR="00177600" w:rsidRDefault="00177600" w:rsidP="00177600">
            <w:pPr>
              <w:spacing w:after="0" w:line="240" w:lineRule="auto"/>
              <w:jc w:val="left"/>
              <w:rPr>
                <w:rFonts w:ascii="Futura Std Condensed Light" w:eastAsia="Calibri" w:hAnsi="Futura Std Condensed Light" w:cs="Calibri"/>
                <w:sz w:val="20"/>
                <w:szCs w:val="20"/>
              </w:rPr>
            </w:pPr>
          </w:p>
        </w:tc>
      </w:tr>
      <w:tr w:rsidR="00177600" w14:paraId="326A15EA" w14:textId="77777777" w:rsidTr="00C527EB">
        <w:trPr>
          <w:trHeight w:val="283"/>
          <w:jc w:val="center"/>
        </w:trPr>
        <w:tc>
          <w:tcPr>
            <w:tcW w:w="0" w:type="auto"/>
            <w:vMerge/>
            <w:tcBorders>
              <w:left w:val="single" w:sz="4" w:space="0" w:color="auto"/>
              <w:right w:val="single" w:sz="4" w:space="0" w:color="auto"/>
            </w:tcBorders>
            <w:shd w:val="clear" w:color="auto" w:fill="FFFFFF" w:themeFill="background1"/>
            <w:vAlign w:val="center"/>
            <w:hideMark/>
          </w:tcPr>
          <w:p w14:paraId="257B7AF8" w14:textId="068A6227" w:rsidR="00177600" w:rsidRDefault="00177600" w:rsidP="00177600">
            <w:pPr>
              <w:spacing w:after="0" w:line="240" w:lineRule="auto"/>
              <w:jc w:val="center"/>
              <w:rPr>
                <w:rFonts w:ascii="Futura Std Condensed Light" w:eastAsia="Calibri" w:hAnsi="Futura Std Condensed Light" w:cs="Calibri"/>
                <w:sz w:val="20"/>
                <w:szCs w:val="20"/>
              </w:rPr>
            </w:pPr>
          </w:p>
        </w:tc>
        <w:tc>
          <w:tcPr>
            <w:tcW w:w="1630"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0D2951BD" w14:textId="77777777" w:rsidR="00177600" w:rsidRDefault="00177600" w:rsidP="00177600">
            <w:pPr>
              <w:spacing w:after="0" w:line="240" w:lineRule="auto"/>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6. Implementar un programa para elevar la eficiencia terminal en la educación media superior y superior.</w:t>
            </w:r>
          </w:p>
        </w:tc>
        <w:tc>
          <w:tcPr>
            <w:tcW w:w="178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5318ABE" w14:textId="77777777" w:rsidR="00177600" w:rsidRDefault="00177600" w:rsidP="00177600">
            <w:pPr>
              <w:spacing w:after="0" w:line="240" w:lineRule="auto"/>
              <w:ind w:left="143" w:right="142"/>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3. Implementar un programa para elevar la eficiencia terminal en la educación media superior.</w:t>
            </w: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8A44EA6" w14:textId="77777777" w:rsidR="00177600" w:rsidRDefault="00177600" w:rsidP="00177600">
            <w:pPr>
              <w:spacing w:after="0" w:line="240" w:lineRule="auto"/>
              <w:jc w:val="left"/>
              <w:rPr>
                <w:rFonts w:ascii="Futura Std Condensed Light" w:eastAsia="Calibri" w:hAnsi="Futura Std Condensed Light" w:cs="Calibri"/>
                <w:sz w:val="20"/>
                <w:szCs w:val="20"/>
              </w:rPr>
            </w:pPr>
          </w:p>
        </w:tc>
      </w:tr>
      <w:tr w:rsidR="00177600" w14:paraId="1250330F" w14:textId="77777777" w:rsidTr="00C527EB">
        <w:trPr>
          <w:trHeight w:val="283"/>
          <w:jc w:val="center"/>
        </w:trPr>
        <w:tc>
          <w:tcPr>
            <w:tcW w:w="0" w:type="auto"/>
            <w:vMerge/>
            <w:tcBorders>
              <w:left w:val="single" w:sz="4" w:space="0" w:color="auto"/>
              <w:right w:val="single" w:sz="4" w:space="0" w:color="auto"/>
            </w:tcBorders>
            <w:shd w:val="clear" w:color="auto" w:fill="FFFFFF" w:themeFill="background1"/>
            <w:vAlign w:val="center"/>
            <w:hideMark/>
          </w:tcPr>
          <w:p w14:paraId="2AD78328" w14:textId="68CE17D3" w:rsidR="00177600" w:rsidRDefault="00177600" w:rsidP="00177600">
            <w:pPr>
              <w:spacing w:after="0" w:line="240" w:lineRule="auto"/>
              <w:jc w:val="center"/>
              <w:rPr>
                <w:rFonts w:ascii="Futura Std Condensed Light" w:eastAsia="Calibri" w:hAnsi="Futura Std Condensed Light" w:cs="Calibri"/>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8CF6482" w14:textId="77777777" w:rsidR="00177600" w:rsidRDefault="00177600" w:rsidP="00177600">
            <w:pPr>
              <w:spacing w:after="0" w:line="240" w:lineRule="auto"/>
              <w:jc w:val="left"/>
              <w:rPr>
                <w:rFonts w:ascii="Futura Std Condensed Light" w:eastAsia="Calibri" w:hAnsi="Futura Std Condensed Light" w:cs="Calibri"/>
                <w:sz w:val="20"/>
                <w:szCs w:val="20"/>
              </w:rPr>
            </w:pPr>
          </w:p>
        </w:tc>
        <w:tc>
          <w:tcPr>
            <w:tcW w:w="178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74F93F0" w14:textId="77777777" w:rsidR="00177600" w:rsidRDefault="00177600" w:rsidP="00177600">
            <w:pPr>
              <w:spacing w:after="0" w:line="240" w:lineRule="auto"/>
              <w:ind w:left="143" w:right="142"/>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4. Impulsar la calidad en los planteles de Educación Media Superior mediante evaluaciones y/o acreditaciones.</w:t>
            </w: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2EB2752" w14:textId="77777777" w:rsidR="00177600" w:rsidRDefault="00177600" w:rsidP="00177600">
            <w:pPr>
              <w:spacing w:after="0" w:line="240" w:lineRule="auto"/>
              <w:jc w:val="left"/>
              <w:rPr>
                <w:rFonts w:ascii="Futura Std Condensed Light" w:eastAsia="Calibri" w:hAnsi="Futura Std Condensed Light" w:cs="Calibri"/>
                <w:sz w:val="20"/>
                <w:szCs w:val="20"/>
              </w:rPr>
            </w:pPr>
          </w:p>
        </w:tc>
      </w:tr>
      <w:tr w:rsidR="00177600" w14:paraId="7F64FCBB" w14:textId="77777777" w:rsidTr="00C527EB">
        <w:trPr>
          <w:trHeight w:val="283"/>
          <w:jc w:val="center"/>
        </w:trPr>
        <w:tc>
          <w:tcPr>
            <w:tcW w:w="0" w:type="auto"/>
            <w:vMerge/>
            <w:tcBorders>
              <w:left w:val="single" w:sz="4" w:space="0" w:color="auto"/>
              <w:right w:val="single" w:sz="4" w:space="0" w:color="auto"/>
            </w:tcBorders>
            <w:shd w:val="clear" w:color="auto" w:fill="FFFFFF" w:themeFill="background1"/>
            <w:vAlign w:val="center"/>
            <w:hideMark/>
          </w:tcPr>
          <w:p w14:paraId="29C377C2" w14:textId="6064FE74" w:rsidR="00177600" w:rsidRDefault="00177600" w:rsidP="00177600">
            <w:pPr>
              <w:spacing w:after="0" w:line="240" w:lineRule="auto"/>
              <w:jc w:val="center"/>
              <w:rPr>
                <w:rFonts w:ascii="Futura Std Condensed Light" w:eastAsia="Calibri" w:hAnsi="Futura Std Condensed Light" w:cs="Calibri"/>
                <w:sz w:val="20"/>
                <w:szCs w:val="20"/>
              </w:rPr>
            </w:pPr>
          </w:p>
        </w:tc>
        <w:tc>
          <w:tcPr>
            <w:tcW w:w="1630"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4AD60586" w14:textId="77777777" w:rsidR="00177600" w:rsidRDefault="00177600" w:rsidP="00177600">
            <w:pPr>
              <w:spacing w:after="0" w:line="240" w:lineRule="auto"/>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11. Impulsar la participación de los padres de familia en la formación integral de los alumnos.</w:t>
            </w:r>
          </w:p>
        </w:tc>
        <w:tc>
          <w:tcPr>
            <w:tcW w:w="178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F9EBA6D" w14:textId="77777777" w:rsidR="00177600" w:rsidRDefault="00177600" w:rsidP="00177600">
            <w:pPr>
              <w:spacing w:after="0" w:line="240" w:lineRule="auto"/>
              <w:ind w:left="143" w:right="142"/>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5. Impulsar la participación de los padres de familia en la formación integral de los alumnos.</w:t>
            </w: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762ABC8" w14:textId="77777777" w:rsidR="00177600" w:rsidRDefault="00177600" w:rsidP="00177600">
            <w:pPr>
              <w:spacing w:after="0" w:line="240" w:lineRule="auto"/>
              <w:jc w:val="left"/>
              <w:rPr>
                <w:rFonts w:ascii="Futura Std Condensed Light" w:eastAsia="Calibri" w:hAnsi="Futura Std Condensed Light" w:cs="Calibri"/>
                <w:sz w:val="20"/>
                <w:szCs w:val="20"/>
              </w:rPr>
            </w:pPr>
          </w:p>
        </w:tc>
      </w:tr>
      <w:tr w:rsidR="00177600" w14:paraId="3E65FF8C" w14:textId="77777777" w:rsidTr="00C527EB">
        <w:trPr>
          <w:trHeight w:val="283"/>
          <w:jc w:val="center"/>
        </w:trPr>
        <w:tc>
          <w:tcPr>
            <w:tcW w:w="0" w:type="auto"/>
            <w:vMerge/>
            <w:tcBorders>
              <w:left w:val="single" w:sz="4" w:space="0" w:color="auto"/>
              <w:right w:val="single" w:sz="4" w:space="0" w:color="auto"/>
            </w:tcBorders>
            <w:shd w:val="clear" w:color="auto" w:fill="FFFFFF" w:themeFill="background1"/>
            <w:vAlign w:val="center"/>
            <w:hideMark/>
          </w:tcPr>
          <w:p w14:paraId="60409368" w14:textId="65E03956" w:rsidR="00177600" w:rsidRDefault="00177600" w:rsidP="00177600">
            <w:pPr>
              <w:spacing w:after="0" w:line="240" w:lineRule="auto"/>
              <w:jc w:val="center"/>
              <w:rPr>
                <w:rFonts w:ascii="Futura Std Condensed Light" w:eastAsia="Calibri" w:hAnsi="Futura Std Condensed Light" w:cs="Calibri"/>
                <w:sz w:val="20"/>
                <w:szCs w:val="20"/>
              </w:rPr>
            </w:pPr>
          </w:p>
        </w:tc>
        <w:tc>
          <w:tcPr>
            <w:tcW w:w="1630"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2863F831" w14:textId="77777777" w:rsidR="00177600" w:rsidRDefault="00177600" w:rsidP="00177600">
            <w:pPr>
              <w:spacing w:after="0" w:line="240" w:lineRule="auto"/>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12. Impulsar un programa para fortalecer la comprensión de lectura, escritura y pensamiento lógico matemático en escuelas de todos los niveles.</w:t>
            </w:r>
          </w:p>
        </w:tc>
        <w:tc>
          <w:tcPr>
            <w:tcW w:w="178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E35297F" w14:textId="77777777" w:rsidR="00177600" w:rsidRDefault="00177600" w:rsidP="00177600">
            <w:pPr>
              <w:spacing w:after="0" w:line="240" w:lineRule="auto"/>
              <w:ind w:left="143" w:right="142"/>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6 .Impulsar estrategias para fortalecer la comprensión de lectura, escritura y pensamiento lógico matemático y demás áreas del conocimiento en escuelas de nivel medio superior.</w:t>
            </w: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885C1BA" w14:textId="77777777" w:rsidR="00177600" w:rsidRDefault="00177600" w:rsidP="00177600">
            <w:pPr>
              <w:spacing w:after="0" w:line="240" w:lineRule="auto"/>
              <w:jc w:val="left"/>
              <w:rPr>
                <w:rFonts w:ascii="Futura Std Condensed Light" w:eastAsia="Calibri" w:hAnsi="Futura Std Condensed Light" w:cs="Calibri"/>
                <w:sz w:val="20"/>
                <w:szCs w:val="20"/>
              </w:rPr>
            </w:pPr>
          </w:p>
        </w:tc>
      </w:tr>
      <w:tr w:rsidR="00177600" w14:paraId="12C40BDA" w14:textId="77777777" w:rsidTr="00C527EB">
        <w:trPr>
          <w:trHeight w:val="283"/>
          <w:jc w:val="center"/>
        </w:trPr>
        <w:tc>
          <w:tcPr>
            <w:tcW w:w="0" w:type="auto"/>
            <w:vMerge/>
            <w:tcBorders>
              <w:left w:val="single" w:sz="4" w:space="0" w:color="auto"/>
              <w:right w:val="single" w:sz="4" w:space="0" w:color="auto"/>
            </w:tcBorders>
            <w:shd w:val="clear" w:color="auto" w:fill="FFFFFF" w:themeFill="background1"/>
            <w:vAlign w:val="center"/>
            <w:hideMark/>
          </w:tcPr>
          <w:p w14:paraId="6A0964D0" w14:textId="311D3869" w:rsidR="00177600" w:rsidRDefault="00177600" w:rsidP="00177600">
            <w:pPr>
              <w:spacing w:after="0" w:line="240" w:lineRule="auto"/>
              <w:jc w:val="center"/>
              <w:rPr>
                <w:rFonts w:ascii="Futura Std Condensed Light" w:eastAsia="Calibri" w:hAnsi="Futura Std Condensed Light" w:cs="Calibri"/>
                <w:sz w:val="20"/>
                <w:szCs w:val="20"/>
              </w:rPr>
            </w:pPr>
          </w:p>
        </w:tc>
        <w:tc>
          <w:tcPr>
            <w:tcW w:w="1630"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056D804B" w14:textId="77777777" w:rsidR="00177600" w:rsidRDefault="00177600" w:rsidP="00177600">
            <w:pPr>
              <w:spacing w:after="0" w:line="240" w:lineRule="auto"/>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23. Impulsar acciones de atención para mejorar la formación inicial y continua de docentes.</w:t>
            </w:r>
          </w:p>
        </w:tc>
        <w:tc>
          <w:tcPr>
            <w:tcW w:w="178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4DF72F8" w14:textId="77777777" w:rsidR="00177600" w:rsidRDefault="00177600" w:rsidP="00177600">
            <w:pPr>
              <w:spacing w:after="0" w:line="240" w:lineRule="auto"/>
              <w:ind w:left="143" w:right="142"/>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7. Impulsar acciones de atención para mejorar la formación  continua y desarrollo profesional de los docentes.</w:t>
            </w: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B4A7700" w14:textId="77777777" w:rsidR="00177600" w:rsidRDefault="00177600" w:rsidP="00177600">
            <w:pPr>
              <w:spacing w:after="0" w:line="240" w:lineRule="auto"/>
              <w:jc w:val="left"/>
              <w:rPr>
                <w:rFonts w:ascii="Futura Std Condensed Light" w:eastAsia="Calibri" w:hAnsi="Futura Std Condensed Light" w:cs="Calibri"/>
                <w:sz w:val="20"/>
                <w:szCs w:val="20"/>
              </w:rPr>
            </w:pPr>
          </w:p>
        </w:tc>
      </w:tr>
      <w:tr w:rsidR="00177600" w14:paraId="0D63C747" w14:textId="77777777" w:rsidTr="00C527EB">
        <w:trPr>
          <w:trHeight w:val="283"/>
          <w:jc w:val="center"/>
        </w:trPr>
        <w:tc>
          <w:tcPr>
            <w:tcW w:w="0" w:type="auto"/>
            <w:vMerge/>
            <w:tcBorders>
              <w:left w:val="single" w:sz="4" w:space="0" w:color="auto"/>
              <w:right w:val="single" w:sz="4" w:space="0" w:color="auto"/>
            </w:tcBorders>
            <w:shd w:val="clear" w:color="auto" w:fill="FFFFFF" w:themeFill="background1"/>
            <w:vAlign w:val="center"/>
            <w:hideMark/>
          </w:tcPr>
          <w:p w14:paraId="06075D4D" w14:textId="0250116E" w:rsidR="00177600" w:rsidRDefault="00177600" w:rsidP="00177600">
            <w:pPr>
              <w:spacing w:after="0" w:line="240" w:lineRule="auto"/>
              <w:jc w:val="center"/>
              <w:rPr>
                <w:rFonts w:ascii="Futura Std Condensed Light" w:eastAsia="Calibri" w:hAnsi="Futura Std Condensed Light" w:cs="Calibri"/>
                <w:sz w:val="20"/>
                <w:szCs w:val="20"/>
              </w:rPr>
            </w:pPr>
          </w:p>
        </w:tc>
        <w:tc>
          <w:tcPr>
            <w:tcW w:w="1630"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639301CD" w14:textId="77777777" w:rsidR="00177600" w:rsidRDefault="00177600" w:rsidP="00177600">
            <w:pPr>
              <w:spacing w:after="0" w:line="240" w:lineRule="auto"/>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24. Impulsar la formación integral de los estudiantes en todos los niveles educativos.</w:t>
            </w:r>
          </w:p>
        </w:tc>
        <w:tc>
          <w:tcPr>
            <w:tcW w:w="178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9B90378" w14:textId="77777777" w:rsidR="00177600" w:rsidRDefault="00177600" w:rsidP="00177600">
            <w:pPr>
              <w:spacing w:after="0" w:line="240" w:lineRule="auto"/>
              <w:ind w:left="143" w:right="142"/>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8. Impulsar la formación integral de los estudiantes en el nivel medio superior.</w:t>
            </w: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9C6DEF2" w14:textId="77777777" w:rsidR="00177600" w:rsidRDefault="00177600" w:rsidP="00177600">
            <w:pPr>
              <w:spacing w:after="0" w:line="240" w:lineRule="auto"/>
              <w:jc w:val="left"/>
              <w:rPr>
                <w:rFonts w:ascii="Futura Std Condensed Light" w:eastAsia="Calibri" w:hAnsi="Futura Std Condensed Light" w:cs="Calibri"/>
                <w:sz w:val="20"/>
                <w:szCs w:val="20"/>
              </w:rPr>
            </w:pPr>
          </w:p>
        </w:tc>
      </w:tr>
      <w:tr w:rsidR="00177600" w14:paraId="5F6E3348" w14:textId="77777777" w:rsidTr="00C527EB">
        <w:trPr>
          <w:trHeight w:val="283"/>
          <w:jc w:val="center"/>
        </w:trPr>
        <w:tc>
          <w:tcPr>
            <w:tcW w:w="0" w:type="auto"/>
            <w:vMerge/>
            <w:tcBorders>
              <w:left w:val="single" w:sz="4" w:space="0" w:color="auto"/>
              <w:right w:val="single" w:sz="4" w:space="0" w:color="auto"/>
            </w:tcBorders>
            <w:shd w:val="clear" w:color="auto" w:fill="FFFFFF" w:themeFill="background1"/>
            <w:vAlign w:val="center"/>
            <w:hideMark/>
          </w:tcPr>
          <w:p w14:paraId="47E0AEB5" w14:textId="6FB88BE8" w:rsidR="00177600" w:rsidRDefault="00177600" w:rsidP="00177600">
            <w:pPr>
              <w:spacing w:after="0" w:line="240" w:lineRule="auto"/>
              <w:jc w:val="center"/>
              <w:rPr>
                <w:rFonts w:ascii="Futura Std Condensed Light" w:eastAsia="Calibri" w:hAnsi="Futura Std Condensed Light" w:cs="Calibri"/>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19B2D46" w14:textId="77777777" w:rsidR="00177600" w:rsidRDefault="00177600" w:rsidP="00177600">
            <w:pPr>
              <w:spacing w:after="0" w:line="240" w:lineRule="auto"/>
              <w:jc w:val="left"/>
              <w:rPr>
                <w:rFonts w:ascii="Futura Std Condensed Light" w:eastAsia="Calibri" w:hAnsi="Futura Std Condensed Light" w:cs="Calibri"/>
                <w:sz w:val="20"/>
                <w:szCs w:val="20"/>
              </w:rPr>
            </w:pPr>
          </w:p>
        </w:tc>
        <w:tc>
          <w:tcPr>
            <w:tcW w:w="178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9248FE7" w14:textId="77777777" w:rsidR="00177600" w:rsidRDefault="00177600" w:rsidP="00177600">
            <w:pPr>
              <w:spacing w:after="0" w:line="240" w:lineRule="auto"/>
              <w:ind w:left="143" w:right="142"/>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 xml:space="preserve">9. Impulsar el modelo mexicano de formación Dual para establecer un equilibrio </w:t>
            </w:r>
            <w:r>
              <w:rPr>
                <w:rFonts w:ascii="Futura Std Condensed Light" w:eastAsia="Calibri" w:hAnsi="Futura Std Condensed Light" w:cs="Calibri"/>
                <w:sz w:val="20"/>
                <w:szCs w:val="20"/>
              </w:rPr>
              <w:lastRenderedPageBreak/>
              <w:t>armónico entre la formación teórica y la formación práctica de los estudiantes de bachillerato tecnológico, profesional técnico o profesional técnico bachiller de instituciones públicas de Educación Media Superior.</w:t>
            </w: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AB1509B" w14:textId="77777777" w:rsidR="00177600" w:rsidRDefault="00177600" w:rsidP="00177600">
            <w:pPr>
              <w:spacing w:after="0" w:line="240" w:lineRule="auto"/>
              <w:jc w:val="left"/>
              <w:rPr>
                <w:rFonts w:ascii="Futura Std Condensed Light" w:eastAsia="Calibri" w:hAnsi="Futura Std Condensed Light" w:cs="Calibri"/>
                <w:sz w:val="20"/>
                <w:szCs w:val="20"/>
              </w:rPr>
            </w:pPr>
          </w:p>
        </w:tc>
      </w:tr>
      <w:tr w:rsidR="00177600" w14:paraId="71641F5C" w14:textId="77777777" w:rsidTr="00C527EB">
        <w:trPr>
          <w:trHeight w:val="283"/>
          <w:jc w:val="center"/>
        </w:trPr>
        <w:tc>
          <w:tcPr>
            <w:tcW w:w="0" w:type="auto"/>
            <w:vMerge/>
            <w:tcBorders>
              <w:left w:val="single" w:sz="4" w:space="0" w:color="auto"/>
              <w:right w:val="single" w:sz="4" w:space="0" w:color="auto"/>
            </w:tcBorders>
            <w:shd w:val="clear" w:color="auto" w:fill="FFFFFF" w:themeFill="background1"/>
            <w:vAlign w:val="center"/>
            <w:hideMark/>
          </w:tcPr>
          <w:p w14:paraId="21B23D5B" w14:textId="22327AB2" w:rsidR="00177600" w:rsidRDefault="00177600" w:rsidP="00177600">
            <w:pPr>
              <w:spacing w:after="0" w:line="240" w:lineRule="auto"/>
              <w:jc w:val="center"/>
              <w:rPr>
                <w:rFonts w:ascii="Futura Std Condensed Light" w:eastAsia="Calibri" w:hAnsi="Futura Std Condensed Light" w:cs="Calibri"/>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DE88AA0" w14:textId="77777777" w:rsidR="00177600" w:rsidRDefault="00177600" w:rsidP="00177600">
            <w:pPr>
              <w:spacing w:after="0" w:line="240" w:lineRule="auto"/>
              <w:jc w:val="left"/>
              <w:rPr>
                <w:rFonts w:ascii="Futura Std Condensed Light" w:eastAsia="Calibri" w:hAnsi="Futura Std Condensed Light" w:cs="Calibri"/>
                <w:sz w:val="20"/>
                <w:szCs w:val="20"/>
              </w:rPr>
            </w:pPr>
          </w:p>
        </w:tc>
        <w:tc>
          <w:tcPr>
            <w:tcW w:w="178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D1AE94C" w14:textId="77777777" w:rsidR="00177600" w:rsidRDefault="00177600" w:rsidP="00177600">
            <w:pPr>
              <w:spacing w:after="0" w:line="240" w:lineRule="auto"/>
              <w:ind w:left="143" w:right="142"/>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10. Impulsar  los servicios de evaluación y certificación de competencias laborales, servicios tecnológicos y capacitación para facilitar la inserción y movilidad laboral de los alumnos y egresados de Educación Media Superior, así como de la población en general.</w:t>
            </w: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C750C42" w14:textId="77777777" w:rsidR="00177600" w:rsidRDefault="00177600" w:rsidP="00177600">
            <w:pPr>
              <w:spacing w:after="0" w:line="240" w:lineRule="auto"/>
              <w:jc w:val="left"/>
              <w:rPr>
                <w:rFonts w:ascii="Futura Std Condensed Light" w:eastAsia="Calibri" w:hAnsi="Futura Std Condensed Light" w:cs="Calibri"/>
                <w:sz w:val="20"/>
                <w:szCs w:val="20"/>
              </w:rPr>
            </w:pPr>
          </w:p>
        </w:tc>
      </w:tr>
      <w:tr w:rsidR="00177600" w14:paraId="64A06E4F" w14:textId="77777777" w:rsidTr="00C527EB">
        <w:trPr>
          <w:trHeight w:val="283"/>
          <w:jc w:val="center"/>
        </w:trPr>
        <w:tc>
          <w:tcPr>
            <w:tcW w:w="0" w:type="auto"/>
            <w:vMerge/>
            <w:tcBorders>
              <w:left w:val="single" w:sz="4" w:space="0" w:color="auto"/>
              <w:right w:val="single" w:sz="4" w:space="0" w:color="auto"/>
            </w:tcBorders>
            <w:shd w:val="clear" w:color="auto" w:fill="FFFFFF" w:themeFill="background1"/>
            <w:vAlign w:val="center"/>
            <w:hideMark/>
          </w:tcPr>
          <w:p w14:paraId="2913EF07" w14:textId="0A4EB0AA" w:rsidR="00177600" w:rsidRDefault="00177600" w:rsidP="00177600">
            <w:pPr>
              <w:spacing w:after="0" w:line="240" w:lineRule="auto"/>
              <w:jc w:val="center"/>
              <w:rPr>
                <w:rFonts w:ascii="Futura Std Condensed Light" w:eastAsia="Calibri" w:hAnsi="Futura Std Condensed Light" w:cs="Calibri"/>
                <w:sz w:val="20"/>
                <w:szCs w:val="20"/>
              </w:rPr>
            </w:pPr>
          </w:p>
        </w:tc>
        <w:tc>
          <w:tcPr>
            <w:tcW w:w="1630"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7CC5BAE1" w14:textId="77777777" w:rsidR="00177600" w:rsidRDefault="00177600" w:rsidP="00177600">
            <w:pPr>
              <w:spacing w:after="0" w:line="240" w:lineRule="auto"/>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25. Desarrollar e implementar acciones para fortalecer el Modelo de Prevención Quintana Roo.</w:t>
            </w:r>
          </w:p>
        </w:tc>
        <w:tc>
          <w:tcPr>
            <w:tcW w:w="178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89F33B0" w14:textId="77777777" w:rsidR="00177600" w:rsidRDefault="00177600" w:rsidP="00177600">
            <w:pPr>
              <w:spacing w:after="0" w:line="240" w:lineRule="auto"/>
              <w:ind w:left="143" w:right="142"/>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11. Implementar el Programa de Seguridad Escolar para el fortalecimiento de valores, la tolerancia y la promoción de la paz social en las escuelas de nivel medio superior.</w:t>
            </w: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E8EBAC9" w14:textId="77777777" w:rsidR="00177600" w:rsidRDefault="00177600" w:rsidP="00177600">
            <w:pPr>
              <w:spacing w:after="0" w:line="240" w:lineRule="auto"/>
              <w:jc w:val="left"/>
              <w:rPr>
                <w:rFonts w:ascii="Futura Std Condensed Light" w:eastAsia="Calibri" w:hAnsi="Futura Std Condensed Light" w:cs="Calibri"/>
                <w:sz w:val="20"/>
                <w:szCs w:val="20"/>
              </w:rPr>
            </w:pPr>
          </w:p>
        </w:tc>
      </w:tr>
      <w:tr w:rsidR="00177600" w14:paraId="694C7F52" w14:textId="77777777" w:rsidTr="00C527EB">
        <w:trPr>
          <w:trHeight w:val="283"/>
          <w:jc w:val="center"/>
        </w:trPr>
        <w:tc>
          <w:tcPr>
            <w:tcW w:w="0" w:type="auto"/>
            <w:vMerge/>
            <w:tcBorders>
              <w:left w:val="single" w:sz="4" w:space="0" w:color="auto"/>
              <w:right w:val="single" w:sz="4" w:space="0" w:color="auto"/>
            </w:tcBorders>
            <w:shd w:val="clear" w:color="auto" w:fill="FFFFFF" w:themeFill="background1"/>
            <w:vAlign w:val="center"/>
            <w:hideMark/>
          </w:tcPr>
          <w:p w14:paraId="79B4BCDD" w14:textId="35E5891B" w:rsidR="00177600" w:rsidRDefault="00177600" w:rsidP="00177600">
            <w:pPr>
              <w:spacing w:after="0" w:line="240" w:lineRule="auto"/>
              <w:jc w:val="center"/>
              <w:rPr>
                <w:rFonts w:ascii="Futura Std Condensed Light" w:eastAsia="Calibri" w:hAnsi="Futura Std Condensed Light" w:cs="Calibri"/>
                <w:sz w:val="20"/>
                <w:szCs w:val="20"/>
              </w:rPr>
            </w:pPr>
          </w:p>
        </w:tc>
        <w:tc>
          <w:tcPr>
            <w:tcW w:w="1630"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25BE6744" w14:textId="77777777" w:rsidR="00177600" w:rsidRDefault="00177600" w:rsidP="00177600">
            <w:pPr>
              <w:spacing w:after="0" w:line="240" w:lineRule="auto"/>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 xml:space="preserve">26. Impulsar e implementar acciones permanentes en materia de promoción, protección y defensa de los Derechos Humanos, con la aplicación de planteamientos legales, estructurales, así como la constante formación de Servidores Públicos fortaleciendo el ejercicio </w:t>
            </w:r>
            <w:r>
              <w:rPr>
                <w:rFonts w:ascii="Futura Std Condensed Light" w:eastAsia="Calibri" w:hAnsi="Futura Std Condensed Light" w:cs="Calibri"/>
                <w:sz w:val="20"/>
                <w:szCs w:val="20"/>
              </w:rPr>
              <w:lastRenderedPageBreak/>
              <w:t>de los Derechos Humanos de los Ciudadanos.</w:t>
            </w:r>
          </w:p>
        </w:tc>
        <w:tc>
          <w:tcPr>
            <w:tcW w:w="178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48C74A5" w14:textId="77777777" w:rsidR="00177600" w:rsidRDefault="00177600" w:rsidP="00177600">
            <w:pPr>
              <w:spacing w:after="0" w:line="240" w:lineRule="auto"/>
              <w:ind w:left="143" w:right="142"/>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lastRenderedPageBreak/>
              <w:t>12. Impulsar e implementar acciones permanentes en materia de promoción, protección y defensa de los Derechos Humanos, con la aplicación de planteamientos legales, estructurales, así como la constante formación de Servidores Públicos fortaleciendo el ejercicio de los Derechos Humanos de los Ciudadanos.</w:t>
            </w: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B63A8B8" w14:textId="77777777" w:rsidR="00177600" w:rsidRDefault="00177600" w:rsidP="00177600">
            <w:pPr>
              <w:spacing w:after="0" w:line="240" w:lineRule="auto"/>
              <w:jc w:val="left"/>
              <w:rPr>
                <w:rFonts w:ascii="Futura Std Condensed Light" w:eastAsia="Calibri" w:hAnsi="Futura Std Condensed Light" w:cs="Calibri"/>
                <w:sz w:val="20"/>
                <w:szCs w:val="20"/>
              </w:rPr>
            </w:pPr>
          </w:p>
        </w:tc>
      </w:tr>
      <w:tr w:rsidR="00177600" w14:paraId="6C207319" w14:textId="77777777" w:rsidTr="00C527EB">
        <w:trPr>
          <w:trHeight w:val="283"/>
          <w:jc w:val="center"/>
        </w:trPr>
        <w:tc>
          <w:tcPr>
            <w:tcW w:w="0" w:type="auto"/>
            <w:vMerge/>
            <w:tcBorders>
              <w:left w:val="single" w:sz="4" w:space="0" w:color="auto"/>
              <w:right w:val="single" w:sz="4" w:space="0" w:color="auto"/>
            </w:tcBorders>
            <w:shd w:val="clear" w:color="auto" w:fill="FFFFFF" w:themeFill="background1"/>
            <w:vAlign w:val="center"/>
            <w:hideMark/>
          </w:tcPr>
          <w:p w14:paraId="36BD5CF5" w14:textId="34E43E00" w:rsidR="00177600" w:rsidRDefault="00177600" w:rsidP="00177600">
            <w:pPr>
              <w:spacing w:after="0" w:line="240" w:lineRule="auto"/>
              <w:jc w:val="center"/>
              <w:rPr>
                <w:rFonts w:ascii="Futura Std Condensed Light" w:eastAsia="Calibri" w:hAnsi="Futura Std Condensed Light" w:cs="Calibri"/>
                <w:sz w:val="20"/>
                <w:szCs w:val="20"/>
              </w:rPr>
            </w:pPr>
          </w:p>
        </w:tc>
        <w:tc>
          <w:tcPr>
            <w:tcW w:w="1630"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19A3F9A0" w14:textId="77777777" w:rsidR="00177600" w:rsidRDefault="00177600" w:rsidP="00177600">
            <w:pPr>
              <w:spacing w:after="0" w:line="240" w:lineRule="auto"/>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27. Atender las actividades administrativas, técnicas, jurídicas y de Staff.</w:t>
            </w:r>
          </w:p>
        </w:tc>
        <w:tc>
          <w:tcPr>
            <w:tcW w:w="178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2AC21B4" w14:textId="77777777" w:rsidR="00177600" w:rsidRDefault="00177600" w:rsidP="00177600">
            <w:pPr>
              <w:spacing w:after="0" w:line="240" w:lineRule="auto"/>
              <w:ind w:left="143" w:right="142"/>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13. Atender las actividades administrativas, técnicas, jurídicas y de Staff.</w:t>
            </w: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095C12B" w14:textId="77777777" w:rsidR="00177600" w:rsidRDefault="00177600" w:rsidP="00177600">
            <w:pPr>
              <w:spacing w:after="0" w:line="240" w:lineRule="auto"/>
              <w:jc w:val="left"/>
              <w:rPr>
                <w:rFonts w:ascii="Futura Std Condensed Light" w:eastAsia="Calibri" w:hAnsi="Futura Std Condensed Light" w:cs="Calibri"/>
                <w:sz w:val="20"/>
                <w:szCs w:val="20"/>
              </w:rPr>
            </w:pPr>
          </w:p>
        </w:tc>
      </w:tr>
      <w:tr w:rsidR="00177600" w14:paraId="7A36A56C" w14:textId="77777777" w:rsidTr="00D83181">
        <w:trPr>
          <w:trHeight w:val="1418"/>
          <w:jc w:val="center"/>
        </w:trPr>
        <w:tc>
          <w:tcPr>
            <w:tcW w:w="700" w:type="pct"/>
            <w:vMerge/>
            <w:tcBorders>
              <w:left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33EC762D" w14:textId="30C0125C" w:rsidR="00177600" w:rsidRDefault="00177600" w:rsidP="00177600">
            <w:pPr>
              <w:spacing w:after="0" w:line="240" w:lineRule="auto"/>
              <w:jc w:val="center"/>
              <w:rPr>
                <w:rFonts w:ascii="Futura Std Condensed Light" w:eastAsia="Calibri" w:hAnsi="Futura Std Condensed Light" w:cs="Calibri"/>
                <w:sz w:val="20"/>
                <w:szCs w:val="20"/>
              </w:rPr>
            </w:pPr>
          </w:p>
        </w:tc>
        <w:tc>
          <w:tcPr>
            <w:tcW w:w="1630"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117E6C00" w14:textId="77777777" w:rsidR="00177600" w:rsidRDefault="00177600" w:rsidP="00177600">
            <w:pPr>
              <w:spacing w:after="0" w:line="240" w:lineRule="auto"/>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2. Reorientar el programa de becas e incentivos para otorgarlas a alumnos de escasos recursos a fin de que concluyan sus estudios.</w:t>
            </w:r>
          </w:p>
        </w:tc>
        <w:tc>
          <w:tcPr>
            <w:tcW w:w="178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A01F2B3" w14:textId="77777777" w:rsidR="00177600" w:rsidRDefault="00177600" w:rsidP="00177600">
            <w:pPr>
              <w:spacing w:after="0" w:line="240" w:lineRule="auto"/>
              <w:ind w:left="143" w:right="142"/>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1. Reorientar el programa de becas e incentivos para otorgarlas a alumnos de escasos recursos a fin de que concluyan sus estudios.</w:t>
            </w:r>
          </w:p>
        </w:tc>
        <w:tc>
          <w:tcPr>
            <w:tcW w:w="882"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4FA59BEA" w14:textId="3C395465" w:rsidR="00177600" w:rsidRDefault="00177600" w:rsidP="00177600">
            <w:pPr>
              <w:spacing w:after="0" w:line="240" w:lineRule="auto"/>
              <w:rPr>
                <w:rFonts w:ascii="Futura Std Condensed Light" w:eastAsia="Calibri" w:hAnsi="Futura Std Condensed Light" w:cs="Calibri"/>
                <w:sz w:val="20"/>
                <w:szCs w:val="20"/>
              </w:rPr>
            </w:pPr>
          </w:p>
          <w:p w14:paraId="3F8DCFC1" w14:textId="77777777" w:rsidR="00177600" w:rsidRPr="00177600" w:rsidRDefault="00177600" w:rsidP="00177600">
            <w:pPr>
              <w:spacing w:after="0" w:line="240" w:lineRule="auto"/>
              <w:rPr>
                <w:rFonts w:ascii="Futura Std Condensed Light" w:eastAsia="Calibri" w:hAnsi="Futura Std Condensed Light" w:cs="Calibri"/>
                <w:sz w:val="20"/>
                <w:szCs w:val="20"/>
              </w:rPr>
            </w:pPr>
            <w:r w:rsidRPr="00177600">
              <w:rPr>
                <w:rFonts w:ascii="Futura Std Condensed Light" w:eastAsia="Calibri" w:hAnsi="Futura Std Condensed Light" w:cs="Calibri"/>
                <w:sz w:val="20"/>
                <w:szCs w:val="20"/>
              </w:rPr>
              <w:t xml:space="preserve">Asegurar la calidad de la formación profesional a través de programas y proyectos que favorezcan la continuidad y conclusión de los estudiantes de educación superior, acorde a las necesidades que requiere el desarrollo social y económico del estado. </w:t>
            </w:r>
          </w:p>
          <w:p w14:paraId="3774D1E1" w14:textId="0100EC35" w:rsidR="00177600" w:rsidRDefault="00177600" w:rsidP="00177600">
            <w:pPr>
              <w:spacing w:after="0" w:line="240" w:lineRule="auto"/>
              <w:jc w:val="center"/>
              <w:rPr>
                <w:rFonts w:ascii="Futura Std Condensed Light" w:eastAsia="Calibri" w:hAnsi="Futura Std Condensed Light" w:cs="Calibri"/>
                <w:sz w:val="20"/>
                <w:szCs w:val="20"/>
              </w:rPr>
            </w:pPr>
          </w:p>
          <w:p w14:paraId="1B727051" w14:textId="29AB86AE" w:rsidR="00177600" w:rsidRDefault="00177600" w:rsidP="00177600">
            <w:pPr>
              <w:spacing w:after="0" w:line="240" w:lineRule="auto"/>
              <w:jc w:val="center"/>
              <w:rPr>
                <w:rFonts w:ascii="Futura Std Condensed Light" w:eastAsia="Calibri" w:hAnsi="Futura Std Condensed Light" w:cs="Calibri"/>
                <w:sz w:val="20"/>
                <w:szCs w:val="20"/>
              </w:rPr>
            </w:pPr>
          </w:p>
          <w:p w14:paraId="345A8911" w14:textId="77777777" w:rsidR="00177600" w:rsidRDefault="00177600" w:rsidP="00177600">
            <w:pPr>
              <w:spacing w:after="0" w:line="240" w:lineRule="auto"/>
              <w:jc w:val="center"/>
              <w:rPr>
                <w:rFonts w:ascii="Futura Std Condensed Light" w:eastAsia="Calibri" w:hAnsi="Futura Std Condensed Light" w:cs="Calibri"/>
                <w:sz w:val="20"/>
                <w:szCs w:val="20"/>
              </w:rPr>
            </w:pPr>
          </w:p>
          <w:p w14:paraId="17A463FB" w14:textId="66408BA9" w:rsidR="00177600" w:rsidRDefault="00177600" w:rsidP="00177600">
            <w:pPr>
              <w:spacing w:after="0" w:line="240" w:lineRule="auto"/>
              <w:rPr>
                <w:rFonts w:ascii="Futura Std Condensed Light" w:eastAsia="Calibri" w:hAnsi="Futura Std Condensed Light" w:cs="Calibri"/>
                <w:sz w:val="20"/>
                <w:szCs w:val="20"/>
              </w:rPr>
            </w:pPr>
          </w:p>
          <w:p w14:paraId="553AAD82" w14:textId="5F52BB05" w:rsidR="00177600" w:rsidRDefault="00177600" w:rsidP="00177600">
            <w:pPr>
              <w:spacing w:after="0" w:line="240" w:lineRule="auto"/>
              <w:rPr>
                <w:rFonts w:ascii="Futura Std Condensed Light" w:eastAsia="Calibri" w:hAnsi="Futura Std Condensed Light" w:cs="Calibri"/>
                <w:sz w:val="20"/>
                <w:szCs w:val="20"/>
              </w:rPr>
            </w:pPr>
          </w:p>
          <w:p w14:paraId="03DD8E5B" w14:textId="7877E21D" w:rsidR="00177600" w:rsidRDefault="00177600" w:rsidP="00177600">
            <w:pPr>
              <w:spacing w:after="0" w:line="240" w:lineRule="auto"/>
              <w:rPr>
                <w:rFonts w:ascii="Futura Std Condensed Light" w:eastAsia="Calibri" w:hAnsi="Futura Std Condensed Light" w:cs="Calibri"/>
                <w:sz w:val="20"/>
                <w:szCs w:val="20"/>
              </w:rPr>
            </w:pPr>
          </w:p>
          <w:p w14:paraId="2A2A6EEB" w14:textId="34348961" w:rsidR="00177600" w:rsidRDefault="00177600" w:rsidP="00177600">
            <w:pPr>
              <w:spacing w:after="0" w:line="240" w:lineRule="auto"/>
              <w:rPr>
                <w:rFonts w:ascii="Futura Std Condensed Light" w:eastAsia="Calibri" w:hAnsi="Futura Std Condensed Light" w:cs="Calibri"/>
                <w:sz w:val="20"/>
                <w:szCs w:val="20"/>
              </w:rPr>
            </w:pPr>
          </w:p>
          <w:p w14:paraId="5E872D65" w14:textId="7FCB3A69" w:rsidR="00177600" w:rsidRDefault="00177600" w:rsidP="00177600">
            <w:pPr>
              <w:spacing w:after="0" w:line="240" w:lineRule="auto"/>
              <w:rPr>
                <w:rFonts w:ascii="Futura Std Condensed Light" w:eastAsia="Calibri" w:hAnsi="Futura Std Condensed Light" w:cs="Calibri"/>
                <w:sz w:val="20"/>
                <w:szCs w:val="20"/>
              </w:rPr>
            </w:pPr>
          </w:p>
          <w:p w14:paraId="328CC38F" w14:textId="2A5C6592" w:rsidR="00177600" w:rsidRDefault="00177600" w:rsidP="00177600">
            <w:pPr>
              <w:spacing w:after="0" w:line="240" w:lineRule="auto"/>
              <w:rPr>
                <w:rFonts w:ascii="Futura Std Condensed Light" w:eastAsia="Calibri" w:hAnsi="Futura Std Condensed Light" w:cs="Calibri"/>
                <w:sz w:val="20"/>
                <w:szCs w:val="20"/>
              </w:rPr>
            </w:pPr>
          </w:p>
          <w:p w14:paraId="35B14FC8" w14:textId="26E803A7" w:rsidR="007D55C8" w:rsidRDefault="007D55C8" w:rsidP="00177600">
            <w:pPr>
              <w:spacing w:after="0" w:line="240" w:lineRule="auto"/>
              <w:rPr>
                <w:rFonts w:ascii="Futura Std Condensed Light" w:eastAsia="Calibri" w:hAnsi="Futura Std Condensed Light" w:cs="Calibri"/>
                <w:sz w:val="20"/>
                <w:szCs w:val="20"/>
              </w:rPr>
            </w:pPr>
          </w:p>
          <w:p w14:paraId="2DE0F662" w14:textId="3CE47CBA" w:rsidR="007D55C8" w:rsidRDefault="007D55C8" w:rsidP="00177600">
            <w:pPr>
              <w:spacing w:after="0" w:line="240" w:lineRule="auto"/>
              <w:rPr>
                <w:rFonts w:ascii="Futura Std Condensed Light" w:eastAsia="Calibri" w:hAnsi="Futura Std Condensed Light" w:cs="Calibri"/>
                <w:sz w:val="20"/>
                <w:szCs w:val="20"/>
              </w:rPr>
            </w:pPr>
          </w:p>
          <w:p w14:paraId="155A2EA3" w14:textId="02E2C884" w:rsidR="007D55C8" w:rsidRDefault="007D55C8" w:rsidP="00177600">
            <w:pPr>
              <w:spacing w:after="0" w:line="240" w:lineRule="auto"/>
              <w:rPr>
                <w:rFonts w:ascii="Futura Std Condensed Light" w:eastAsia="Calibri" w:hAnsi="Futura Std Condensed Light" w:cs="Calibri"/>
                <w:sz w:val="20"/>
                <w:szCs w:val="20"/>
              </w:rPr>
            </w:pPr>
          </w:p>
          <w:p w14:paraId="189C535A" w14:textId="77777777" w:rsidR="00177600" w:rsidRDefault="00177600" w:rsidP="00177600">
            <w:pPr>
              <w:spacing w:after="0" w:line="240" w:lineRule="auto"/>
              <w:rPr>
                <w:rFonts w:ascii="Futura Std Condensed Light" w:eastAsia="Calibri" w:hAnsi="Futura Std Condensed Light" w:cs="Calibri"/>
                <w:sz w:val="20"/>
                <w:szCs w:val="20"/>
              </w:rPr>
            </w:pPr>
          </w:p>
          <w:p w14:paraId="14466C6C" w14:textId="77777777" w:rsidR="007F3EA3" w:rsidRDefault="007F3EA3" w:rsidP="00177600">
            <w:pPr>
              <w:spacing w:after="0" w:line="240" w:lineRule="auto"/>
              <w:rPr>
                <w:rFonts w:ascii="Futura Std Condensed Light" w:eastAsia="Calibri" w:hAnsi="Futura Std Condensed Light" w:cs="Calibri"/>
                <w:sz w:val="20"/>
                <w:szCs w:val="20"/>
              </w:rPr>
            </w:pPr>
          </w:p>
          <w:p w14:paraId="249A8C9C" w14:textId="77777777" w:rsidR="007F3EA3" w:rsidRDefault="007F3EA3" w:rsidP="00177600">
            <w:pPr>
              <w:spacing w:after="0" w:line="240" w:lineRule="auto"/>
              <w:rPr>
                <w:rFonts w:ascii="Futura Std Condensed Light" w:eastAsia="Calibri" w:hAnsi="Futura Std Condensed Light" w:cs="Calibri"/>
                <w:sz w:val="20"/>
                <w:szCs w:val="20"/>
              </w:rPr>
            </w:pPr>
          </w:p>
          <w:p w14:paraId="779F9BD9" w14:textId="77777777" w:rsidR="007F3EA3" w:rsidRDefault="007F3EA3" w:rsidP="00177600">
            <w:pPr>
              <w:spacing w:after="0" w:line="240" w:lineRule="auto"/>
              <w:rPr>
                <w:rFonts w:ascii="Futura Std Condensed Light" w:eastAsia="Calibri" w:hAnsi="Futura Std Condensed Light" w:cs="Calibri"/>
                <w:sz w:val="20"/>
                <w:szCs w:val="20"/>
              </w:rPr>
            </w:pPr>
          </w:p>
          <w:p w14:paraId="2B33D4D1" w14:textId="77777777" w:rsidR="007F3EA3" w:rsidRDefault="007F3EA3" w:rsidP="00177600">
            <w:pPr>
              <w:spacing w:after="0" w:line="240" w:lineRule="auto"/>
              <w:rPr>
                <w:rFonts w:ascii="Futura Std Condensed Light" w:eastAsia="Calibri" w:hAnsi="Futura Std Condensed Light" w:cs="Calibri"/>
                <w:sz w:val="20"/>
                <w:szCs w:val="20"/>
              </w:rPr>
            </w:pPr>
          </w:p>
          <w:p w14:paraId="651AF437" w14:textId="77777777" w:rsidR="007F3EA3" w:rsidRDefault="007F3EA3" w:rsidP="00177600">
            <w:pPr>
              <w:spacing w:after="0" w:line="240" w:lineRule="auto"/>
              <w:rPr>
                <w:rFonts w:ascii="Futura Std Condensed Light" w:eastAsia="Calibri" w:hAnsi="Futura Std Condensed Light" w:cs="Calibri"/>
                <w:sz w:val="20"/>
                <w:szCs w:val="20"/>
              </w:rPr>
            </w:pPr>
          </w:p>
          <w:p w14:paraId="68347467" w14:textId="77777777" w:rsidR="007F3EA3" w:rsidRDefault="007F3EA3" w:rsidP="00177600">
            <w:pPr>
              <w:spacing w:after="0" w:line="240" w:lineRule="auto"/>
              <w:rPr>
                <w:rFonts w:ascii="Futura Std Condensed Light" w:eastAsia="Calibri" w:hAnsi="Futura Std Condensed Light" w:cs="Calibri"/>
                <w:sz w:val="20"/>
                <w:szCs w:val="20"/>
              </w:rPr>
            </w:pPr>
          </w:p>
          <w:p w14:paraId="7B71AE62" w14:textId="77777777" w:rsidR="007F3EA3" w:rsidRDefault="007F3EA3" w:rsidP="00177600">
            <w:pPr>
              <w:spacing w:after="0" w:line="240" w:lineRule="auto"/>
              <w:rPr>
                <w:rFonts w:ascii="Futura Std Condensed Light" w:eastAsia="Calibri" w:hAnsi="Futura Std Condensed Light" w:cs="Calibri"/>
                <w:sz w:val="20"/>
                <w:szCs w:val="20"/>
              </w:rPr>
            </w:pPr>
          </w:p>
          <w:p w14:paraId="640F56ED" w14:textId="77777777" w:rsidR="007F3EA3" w:rsidRDefault="007F3EA3" w:rsidP="00177600">
            <w:pPr>
              <w:spacing w:after="0" w:line="240" w:lineRule="auto"/>
              <w:rPr>
                <w:rFonts w:ascii="Futura Std Condensed Light" w:eastAsia="Calibri" w:hAnsi="Futura Std Condensed Light" w:cs="Calibri"/>
                <w:sz w:val="20"/>
                <w:szCs w:val="20"/>
              </w:rPr>
            </w:pPr>
          </w:p>
          <w:p w14:paraId="0559CCDC" w14:textId="58A72620" w:rsidR="007F3EA3" w:rsidRDefault="007F3EA3" w:rsidP="00177600">
            <w:pPr>
              <w:spacing w:after="0" w:line="240" w:lineRule="auto"/>
              <w:rPr>
                <w:rFonts w:ascii="Futura Std Condensed Light" w:eastAsia="Calibri" w:hAnsi="Futura Std Condensed Light" w:cs="Calibri"/>
                <w:sz w:val="20"/>
                <w:szCs w:val="20"/>
              </w:rPr>
            </w:pPr>
          </w:p>
          <w:p w14:paraId="1F6E6EAC" w14:textId="6100DFFA" w:rsidR="00A24FEB" w:rsidRDefault="00A24FEB" w:rsidP="00177600">
            <w:pPr>
              <w:spacing w:after="0" w:line="240" w:lineRule="auto"/>
              <w:rPr>
                <w:rFonts w:ascii="Futura Std Condensed Light" w:eastAsia="Calibri" w:hAnsi="Futura Std Condensed Light" w:cs="Calibri"/>
                <w:sz w:val="20"/>
                <w:szCs w:val="20"/>
              </w:rPr>
            </w:pPr>
          </w:p>
          <w:p w14:paraId="799D553B" w14:textId="5F5DCD1E" w:rsidR="00A24FEB" w:rsidRDefault="00A24FEB" w:rsidP="00177600">
            <w:pPr>
              <w:spacing w:after="0" w:line="240" w:lineRule="auto"/>
              <w:rPr>
                <w:rFonts w:ascii="Futura Std Condensed Light" w:eastAsia="Calibri" w:hAnsi="Futura Std Condensed Light" w:cs="Calibri"/>
                <w:sz w:val="20"/>
                <w:szCs w:val="20"/>
              </w:rPr>
            </w:pPr>
          </w:p>
          <w:p w14:paraId="2C92F15C" w14:textId="3F230161" w:rsidR="00A24FEB" w:rsidRDefault="00A24FEB" w:rsidP="00177600">
            <w:pPr>
              <w:spacing w:after="0" w:line="240" w:lineRule="auto"/>
              <w:rPr>
                <w:rFonts w:ascii="Futura Std Condensed Light" w:eastAsia="Calibri" w:hAnsi="Futura Std Condensed Light" w:cs="Calibri"/>
                <w:sz w:val="20"/>
                <w:szCs w:val="20"/>
              </w:rPr>
            </w:pPr>
          </w:p>
          <w:p w14:paraId="3CF8C5EC" w14:textId="74B3F267" w:rsidR="00A24FEB" w:rsidRDefault="00A24FEB" w:rsidP="00177600">
            <w:pPr>
              <w:spacing w:after="0" w:line="240" w:lineRule="auto"/>
              <w:rPr>
                <w:rFonts w:ascii="Futura Std Condensed Light" w:eastAsia="Calibri" w:hAnsi="Futura Std Condensed Light" w:cs="Calibri"/>
                <w:sz w:val="20"/>
                <w:szCs w:val="20"/>
              </w:rPr>
            </w:pPr>
          </w:p>
          <w:p w14:paraId="36674BAF" w14:textId="73D935F8" w:rsidR="00A24FEB" w:rsidRDefault="00A24FEB" w:rsidP="00177600">
            <w:pPr>
              <w:spacing w:after="0" w:line="240" w:lineRule="auto"/>
              <w:rPr>
                <w:rFonts w:ascii="Futura Std Condensed Light" w:eastAsia="Calibri" w:hAnsi="Futura Std Condensed Light" w:cs="Calibri"/>
                <w:sz w:val="20"/>
                <w:szCs w:val="20"/>
              </w:rPr>
            </w:pPr>
          </w:p>
          <w:p w14:paraId="6EF85D82" w14:textId="5A5005F2" w:rsidR="00A24FEB" w:rsidRDefault="00A24FEB" w:rsidP="00177600">
            <w:pPr>
              <w:spacing w:after="0" w:line="240" w:lineRule="auto"/>
              <w:rPr>
                <w:rFonts w:ascii="Futura Std Condensed Light" w:eastAsia="Calibri" w:hAnsi="Futura Std Condensed Light" w:cs="Calibri"/>
                <w:sz w:val="20"/>
                <w:szCs w:val="20"/>
              </w:rPr>
            </w:pPr>
          </w:p>
          <w:p w14:paraId="4B00FEB6" w14:textId="4D6B8F7B" w:rsidR="00A24FEB" w:rsidRDefault="00A24FEB" w:rsidP="00177600">
            <w:pPr>
              <w:spacing w:after="0" w:line="240" w:lineRule="auto"/>
              <w:rPr>
                <w:rFonts w:ascii="Futura Std Condensed Light" w:eastAsia="Calibri" w:hAnsi="Futura Std Condensed Light" w:cs="Calibri"/>
                <w:sz w:val="20"/>
                <w:szCs w:val="20"/>
              </w:rPr>
            </w:pPr>
          </w:p>
          <w:p w14:paraId="326C3DD9" w14:textId="24B35710" w:rsidR="00A24FEB" w:rsidRDefault="00A24FEB" w:rsidP="00177600">
            <w:pPr>
              <w:spacing w:after="0" w:line="240" w:lineRule="auto"/>
              <w:rPr>
                <w:rFonts w:ascii="Futura Std Condensed Light" w:eastAsia="Calibri" w:hAnsi="Futura Std Condensed Light" w:cs="Calibri"/>
                <w:sz w:val="20"/>
                <w:szCs w:val="20"/>
              </w:rPr>
            </w:pPr>
          </w:p>
          <w:p w14:paraId="0F1FC1C7" w14:textId="49F4F405" w:rsidR="00A24FEB" w:rsidRDefault="00A24FEB" w:rsidP="00177600">
            <w:pPr>
              <w:spacing w:after="0" w:line="240" w:lineRule="auto"/>
              <w:rPr>
                <w:rFonts w:ascii="Futura Std Condensed Light" w:eastAsia="Calibri" w:hAnsi="Futura Std Condensed Light" w:cs="Calibri"/>
                <w:sz w:val="20"/>
                <w:szCs w:val="20"/>
              </w:rPr>
            </w:pPr>
          </w:p>
          <w:p w14:paraId="55424E70" w14:textId="5419850D" w:rsidR="00A24FEB" w:rsidRDefault="00A24FEB" w:rsidP="00177600">
            <w:pPr>
              <w:spacing w:after="0" w:line="240" w:lineRule="auto"/>
              <w:rPr>
                <w:rFonts w:ascii="Futura Std Condensed Light" w:eastAsia="Calibri" w:hAnsi="Futura Std Condensed Light" w:cs="Calibri"/>
                <w:sz w:val="20"/>
                <w:szCs w:val="20"/>
              </w:rPr>
            </w:pPr>
          </w:p>
          <w:p w14:paraId="72121637" w14:textId="1ECD3193" w:rsidR="00A24FEB" w:rsidRDefault="00A24FEB" w:rsidP="00177600">
            <w:pPr>
              <w:spacing w:after="0" w:line="240" w:lineRule="auto"/>
              <w:rPr>
                <w:rFonts w:ascii="Futura Std Condensed Light" w:eastAsia="Calibri" w:hAnsi="Futura Std Condensed Light" w:cs="Calibri"/>
                <w:sz w:val="20"/>
                <w:szCs w:val="20"/>
              </w:rPr>
            </w:pPr>
          </w:p>
          <w:p w14:paraId="40F394D7" w14:textId="516BFF9A" w:rsidR="00A24FEB" w:rsidRDefault="00A24FEB" w:rsidP="00177600">
            <w:pPr>
              <w:spacing w:after="0" w:line="240" w:lineRule="auto"/>
              <w:rPr>
                <w:rFonts w:ascii="Futura Std Condensed Light" w:eastAsia="Calibri" w:hAnsi="Futura Std Condensed Light" w:cs="Calibri"/>
                <w:sz w:val="20"/>
                <w:szCs w:val="20"/>
              </w:rPr>
            </w:pPr>
          </w:p>
          <w:p w14:paraId="3739A29E" w14:textId="3BE15FA7" w:rsidR="00A24FEB" w:rsidRDefault="00A24FEB" w:rsidP="00177600">
            <w:pPr>
              <w:spacing w:after="0" w:line="240" w:lineRule="auto"/>
              <w:rPr>
                <w:rFonts w:ascii="Futura Std Condensed Light" w:eastAsia="Calibri" w:hAnsi="Futura Std Condensed Light" w:cs="Calibri"/>
                <w:sz w:val="20"/>
                <w:szCs w:val="20"/>
              </w:rPr>
            </w:pPr>
          </w:p>
          <w:p w14:paraId="501F6920" w14:textId="00B807CA" w:rsidR="00A24FEB" w:rsidRDefault="00A24FEB" w:rsidP="00177600">
            <w:pPr>
              <w:spacing w:after="0" w:line="240" w:lineRule="auto"/>
              <w:rPr>
                <w:rFonts w:ascii="Futura Std Condensed Light" w:eastAsia="Calibri" w:hAnsi="Futura Std Condensed Light" w:cs="Calibri"/>
                <w:sz w:val="20"/>
                <w:szCs w:val="20"/>
              </w:rPr>
            </w:pPr>
          </w:p>
          <w:p w14:paraId="2F0F83C9" w14:textId="77777777" w:rsidR="00A24FEB" w:rsidRDefault="00A24FEB" w:rsidP="00177600">
            <w:pPr>
              <w:spacing w:after="0" w:line="240" w:lineRule="auto"/>
              <w:rPr>
                <w:rFonts w:ascii="Futura Std Condensed Light" w:eastAsia="Calibri" w:hAnsi="Futura Std Condensed Light" w:cs="Calibri"/>
                <w:sz w:val="20"/>
                <w:szCs w:val="20"/>
              </w:rPr>
            </w:pPr>
          </w:p>
          <w:p w14:paraId="0972706C" w14:textId="6F09BE54" w:rsidR="00177600" w:rsidRPr="00177600" w:rsidRDefault="00177600" w:rsidP="00177600">
            <w:pPr>
              <w:spacing w:after="0" w:line="240" w:lineRule="auto"/>
              <w:rPr>
                <w:rFonts w:ascii="Futura Std Condensed Light" w:eastAsia="Calibri" w:hAnsi="Futura Std Condensed Light" w:cs="Calibri"/>
                <w:sz w:val="20"/>
                <w:szCs w:val="20"/>
              </w:rPr>
            </w:pPr>
            <w:r w:rsidRPr="00177600">
              <w:rPr>
                <w:rFonts w:ascii="Futura Std Condensed Light" w:eastAsia="Calibri" w:hAnsi="Futura Std Condensed Light" w:cs="Calibri"/>
                <w:sz w:val="20"/>
                <w:szCs w:val="20"/>
              </w:rPr>
              <w:t xml:space="preserve">Asegurar la calidad de la formación profesional a través de programas y proyectos que favorezcan la </w:t>
            </w:r>
            <w:r w:rsidRPr="00177600">
              <w:rPr>
                <w:rFonts w:ascii="Futura Std Condensed Light" w:eastAsia="Calibri" w:hAnsi="Futura Std Condensed Light" w:cs="Calibri"/>
                <w:sz w:val="20"/>
                <w:szCs w:val="20"/>
              </w:rPr>
              <w:lastRenderedPageBreak/>
              <w:t xml:space="preserve">continuidad y conclusión de los estudiantes de educación superior, acorde a las necesidades que requiere el desarrollo social y económico del estado. </w:t>
            </w:r>
          </w:p>
          <w:p w14:paraId="74F871E7" w14:textId="0016AD87" w:rsidR="00177600" w:rsidRDefault="00177600" w:rsidP="00177600">
            <w:pPr>
              <w:spacing w:after="0" w:line="240" w:lineRule="auto"/>
              <w:rPr>
                <w:rFonts w:ascii="Futura Std Condensed Light" w:eastAsia="Calibri" w:hAnsi="Futura Std Condensed Light" w:cs="Calibri"/>
                <w:sz w:val="20"/>
                <w:szCs w:val="20"/>
              </w:rPr>
            </w:pPr>
          </w:p>
        </w:tc>
      </w:tr>
      <w:tr w:rsidR="00177600" w14:paraId="61466F62" w14:textId="77777777" w:rsidTr="00C527EB">
        <w:trPr>
          <w:trHeight w:val="283"/>
          <w:jc w:val="center"/>
        </w:trPr>
        <w:tc>
          <w:tcPr>
            <w:tcW w:w="0" w:type="auto"/>
            <w:vMerge/>
            <w:tcBorders>
              <w:left w:val="single" w:sz="4" w:space="0" w:color="auto"/>
              <w:right w:val="single" w:sz="4" w:space="0" w:color="auto"/>
            </w:tcBorders>
            <w:shd w:val="clear" w:color="auto" w:fill="FFFFFF" w:themeFill="background1"/>
            <w:vAlign w:val="center"/>
            <w:hideMark/>
          </w:tcPr>
          <w:p w14:paraId="1D751FD7" w14:textId="016031F4" w:rsidR="00177600" w:rsidRDefault="00177600" w:rsidP="00177600">
            <w:pPr>
              <w:spacing w:after="0" w:line="240" w:lineRule="auto"/>
              <w:jc w:val="center"/>
              <w:rPr>
                <w:rFonts w:ascii="Futura Std Condensed Light" w:eastAsia="Calibri" w:hAnsi="Futura Std Condensed Light" w:cs="Calibri"/>
                <w:sz w:val="20"/>
                <w:szCs w:val="20"/>
              </w:rPr>
            </w:pPr>
          </w:p>
        </w:tc>
        <w:tc>
          <w:tcPr>
            <w:tcW w:w="1630"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31533B78" w14:textId="77777777" w:rsidR="00177600" w:rsidRDefault="00177600" w:rsidP="00177600">
            <w:pPr>
              <w:spacing w:after="0" w:line="240" w:lineRule="auto"/>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5. Desarrollar una estrategia integral que permita ampliar la cobertura educativa de nivel medio superior y superior en las instituciones públicas.</w:t>
            </w:r>
          </w:p>
        </w:tc>
        <w:tc>
          <w:tcPr>
            <w:tcW w:w="178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11D458E" w14:textId="77777777" w:rsidR="00177600" w:rsidRDefault="00177600" w:rsidP="00177600">
            <w:pPr>
              <w:spacing w:after="0" w:line="240" w:lineRule="auto"/>
              <w:ind w:left="143" w:right="142"/>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2. Desarrollar una estrategia integral que permita ampliar la cobertura educativa de nivel superior en las instituciones públicas.</w:t>
            </w: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B02460F" w14:textId="77777777" w:rsidR="00177600" w:rsidRDefault="00177600" w:rsidP="00177600">
            <w:pPr>
              <w:spacing w:after="0" w:line="240" w:lineRule="auto"/>
              <w:jc w:val="left"/>
              <w:rPr>
                <w:rFonts w:ascii="Futura Std Condensed Light" w:eastAsia="Calibri" w:hAnsi="Futura Std Condensed Light" w:cs="Calibri"/>
                <w:sz w:val="20"/>
                <w:szCs w:val="20"/>
              </w:rPr>
            </w:pPr>
          </w:p>
        </w:tc>
      </w:tr>
      <w:tr w:rsidR="00177600" w14:paraId="3DE02D5C" w14:textId="77777777" w:rsidTr="00C527EB">
        <w:trPr>
          <w:trHeight w:val="283"/>
          <w:jc w:val="center"/>
        </w:trPr>
        <w:tc>
          <w:tcPr>
            <w:tcW w:w="0" w:type="auto"/>
            <w:vMerge/>
            <w:tcBorders>
              <w:left w:val="single" w:sz="4" w:space="0" w:color="auto"/>
              <w:right w:val="single" w:sz="4" w:space="0" w:color="auto"/>
            </w:tcBorders>
            <w:shd w:val="clear" w:color="auto" w:fill="FFFFFF" w:themeFill="background1"/>
            <w:vAlign w:val="center"/>
            <w:hideMark/>
          </w:tcPr>
          <w:p w14:paraId="662BFCCF" w14:textId="507F9CEB" w:rsidR="00177600" w:rsidRDefault="00177600" w:rsidP="00177600">
            <w:pPr>
              <w:spacing w:after="0" w:line="240" w:lineRule="auto"/>
              <w:jc w:val="center"/>
              <w:rPr>
                <w:rFonts w:ascii="Futura Std Condensed Light" w:eastAsia="Calibri" w:hAnsi="Futura Std Condensed Light" w:cs="Calibri"/>
                <w:sz w:val="20"/>
                <w:szCs w:val="20"/>
              </w:rPr>
            </w:pP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08E74DB" w14:textId="77777777" w:rsidR="00177600" w:rsidRDefault="00177600" w:rsidP="00177600">
            <w:pPr>
              <w:spacing w:after="0" w:line="240" w:lineRule="auto"/>
              <w:jc w:val="left"/>
              <w:rPr>
                <w:rFonts w:ascii="Futura Std Condensed Light" w:eastAsia="Calibri" w:hAnsi="Futura Std Condensed Light" w:cs="Calibri"/>
                <w:sz w:val="20"/>
                <w:szCs w:val="20"/>
              </w:rPr>
            </w:pPr>
          </w:p>
        </w:tc>
        <w:tc>
          <w:tcPr>
            <w:tcW w:w="178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425BF5D" w14:textId="77777777" w:rsidR="00177600" w:rsidRDefault="00177600" w:rsidP="00177600">
            <w:pPr>
              <w:spacing w:after="0" w:line="240" w:lineRule="auto"/>
              <w:ind w:left="143" w:right="142"/>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3. Promover la educación multimodal (escolarizada, no escolarizada y mixta) como alternativa para la formación profesional.</w:t>
            </w: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2B2967" w14:textId="77777777" w:rsidR="00177600" w:rsidRDefault="00177600" w:rsidP="00177600">
            <w:pPr>
              <w:spacing w:after="0" w:line="240" w:lineRule="auto"/>
              <w:jc w:val="left"/>
              <w:rPr>
                <w:rFonts w:ascii="Futura Std Condensed Light" w:eastAsia="Calibri" w:hAnsi="Futura Std Condensed Light" w:cs="Calibri"/>
                <w:sz w:val="20"/>
                <w:szCs w:val="20"/>
              </w:rPr>
            </w:pPr>
          </w:p>
        </w:tc>
      </w:tr>
      <w:tr w:rsidR="00177600" w14:paraId="15F01D3B" w14:textId="77777777" w:rsidTr="00C527EB">
        <w:trPr>
          <w:trHeight w:val="283"/>
          <w:jc w:val="center"/>
        </w:trPr>
        <w:tc>
          <w:tcPr>
            <w:tcW w:w="0" w:type="auto"/>
            <w:vMerge/>
            <w:tcBorders>
              <w:left w:val="single" w:sz="4" w:space="0" w:color="auto"/>
              <w:right w:val="single" w:sz="4" w:space="0" w:color="auto"/>
            </w:tcBorders>
            <w:shd w:val="clear" w:color="auto" w:fill="FFFFFF" w:themeFill="background1"/>
            <w:vAlign w:val="center"/>
            <w:hideMark/>
          </w:tcPr>
          <w:p w14:paraId="5C38ED33" w14:textId="556A0C70" w:rsidR="00177600" w:rsidRDefault="00177600" w:rsidP="00177600">
            <w:pPr>
              <w:spacing w:after="0" w:line="240" w:lineRule="auto"/>
              <w:jc w:val="center"/>
              <w:rPr>
                <w:rFonts w:ascii="Futura Std Condensed Light" w:eastAsia="Calibri" w:hAnsi="Futura Std Condensed Light" w:cs="Calibri"/>
                <w:sz w:val="20"/>
                <w:szCs w:val="20"/>
              </w:rPr>
            </w:pPr>
          </w:p>
        </w:tc>
        <w:tc>
          <w:tcPr>
            <w:tcW w:w="1630"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0EF0A202" w14:textId="77777777" w:rsidR="00177600" w:rsidRDefault="00177600" w:rsidP="00177600">
            <w:pPr>
              <w:spacing w:after="0" w:line="240" w:lineRule="auto"/>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6. Implementar un programa para elevar la eficiencia terminal en la educación media superior y superior.</w:t>
            </w:r>
          </w:p>
        </w:tc>
        <w:tc>
          <w:tcPr>
            <w:tcW w:w="178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083F075" w14:textId="77777777" w:rsidR="00177600" w:rsidRDefault="00177600" w:rsidP="00177600">
            <w:pPr>
              <w:spacing w:after="0" w:line="240" w:lineRule="auto"/>
              <w:ind w:left="143" w:right="142"/>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4. Fortalecer los programas de asesoría, tutoría y acompañamiento académico, programas de becas y apoyos a fin de mejorar el desempeño académico, permanencia escolar, y la eficiencia terminal.</w:t>
            </w: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0AC8828" w14:textId="77777777" w:rsidR="00177600" w:rsidRDefault="00177600" w:rsidP="00177600">
            <w:pPr>
              <w:spacing w:after="0" w:line="240" w:lineRule="auto"/>
              <w:jc w:val="left"/>
              <w:rPr>
                <w:rFonts w:ascii="Futura Std Condensed Light" w:eastAsia="Calibri" w:hAnsi="Futura Std Condensed Light" w:cs="Calibri"/>
                <w:sz w:val="20"/>
                <w:szCs w:val="20"/>
              </w:rPr>
            </w:pPr>
          </w:p>
        </w:tc>
      </w:tr>
      <w:tr w:rsidR="00177600" w14:paraId="5846BDFB" w14:textId="77777777" w:rsidTr="00C527EB">
        <w:trPr>
          <w:trHeight w:val="283"/>
          <w:jc w:val="center"/>
        </w:trPr>
        <w:tc>
          <w:tcPr>
            <w:tcW w:w="0" w:type="auto"/>
            <w:vMerge/>
            <w:tcBorders>
              <w:left w:val="single" w:sz="4" w:space="0" w:color="auto"/>
              <w:right w:val="single" w:sz="4" w:space="0" w:color="auto"/>
            </w:tcBorders>
            <w:shd w:val="clear" w:color="auto" w:fill="FFFFFF" w:themeFill="background1"/>
            <w:vAlign w:val="center"/>
            <w:hideMark/>
          </w:tcPr>
          <w:p w14:paraId="379E2AD7" w14:textId="7A3E7129" w:rsidR="00177600" w:rsidRDefault="00177600" w:rsidP="00177600">
            <w:pPr>
              <w:spacing w:after="0" w:line="240" w:lineRule="auto"/>
              <w:jc w:val="center"/>
              <w:rPr>
                <w:rFonts w:ascii="Futura Std Condensed Light" w:eastAsia="Calibri" w:hAnsi="Futura Std Condensed Light" w:cs="Calibri"/>
                <w:sz w:val="20"/>
                <w:szCs w:val="20"/>
              </w:rPr>
            </w:pPr>
          </w:p>
        </w:tc>
        <w:tc>
          <w:tcPr>
            <w:tcW w:w="1630"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49DE3BBE" w14:textId="77777777" w:rsidR="00177600" w:rsidRDefault="00177600" w:rsidP="00177600">
            <w:pPr>
              <w:spacing w:after="0" w:line="240" w:lineRule="auto"/>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 xml:space="preserve">13 .Asegurar que la oferta educativa de las instituciones de educación </w:t>
            </w:r>
            <w:r>
              <w:rPr>
                <w:rFonts w:ascii="Futura Std Condensed Light" w:eastAsia="Calibri" w:hAnsi="Futura Std Condensed Light" w:cs="Calibri"/>
                <w:sz w:val="20"/>
                <w:szCs w:val="20"/>
              </w:rPr>
              <w:lastRenderedPageBreak/>
              <w:t>superior responda a las nuevas áreas de oportunidad en la entidad.</w:t>
            </w:r>
          </w:p>
        </w:tc>
        <w:tc>
          <w:tcPr>
            <w:tcW w:w="178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DA6C65B" w14:textId="77777777" w:rsidR="00177600" w:rsidRDefault="00177600" w:rsidP="00177600">
            <w:pPr>
              <w:spacing w:after="0" w:line="240" w:lineRule="auto"/>
              <w:ind w:left="143" w:right="142"/>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lastRenderedPageBreak/>
              <w:t xml:space="preserve">5.  Fortalecer la oferta educativa de las instituciones de educación superior para </w:t>
            </w:r>
            <w:r>
              <w:rPr>
                <w:rFonts w:ascii="Futura Std Condensed Light" w:eastAsia="Calibri" w:hAnsi="Futura Std Condensed Light" w:cs="Calibri"/>
                <w:sz w:val="20"/>
                <w:szCs w:val="20"/>
              </w:rPr>
              <w:lastRenderedPageBreak/>
              <w:t>asegurar la pertinencia con base en las necesidades de la entidad.</w:t>
            </w: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148533" w14:textId="77777777" w:rsidR="00177600" w:rsidRDefault="00177600" w:rsidP="00177600">
            <w:pPr>
              <w:spacing w:after="0" w:line="240" w:lineRule="auto"/>
              <w:jc w:val="left"/>
              <w:rPr>
                <w:rFonts w:ascii="Futura Std Condensed Light" w:eastAsia="Calibri" w:hAnsi="Futura Std Condensed Light" w:cs="Calibri"/>
                <w:sz w:val="20"/>
                <w:szCs w:val="20"/>
              </w:rPr>
            </w:pPr>
          </w:p>
        </w:tc>
      </w:tr>
      <w:tr w:rsidR="00177600" w14:paraId="4A6A54BC" w14:textId="77777777" w:rsidTr="00C527EB">
        <w:trPr>
          <w:trHeight w:val="283"/>
          <w:jc w:val="center"/>
        </w:trPr>
        <w:tc>
          <w:tcPr>
            <w:tcW w:w="0" w:type="auto"/>
            <w:vMerge/>
            <w:tcBorders>
              <w:left w:val="single" w:sz="4" w:space="0" w:color="auto"/>
              <w:right w:val="single" w:sz="4" w:space="0" w:color="auto"/>
            </w:tcBorders>
            <w:shd w:val="clear" w:color="auto" w:fill="FFFFFF" w:themeFill="background1"/>
            <w:vAlign w:val="center"/>
            <w:hideMark/>
          </w:tcPr>
          <w:p w14:paraId="2CF338D3" w14:textId="343EFC2E" w:rsidR="00177600" w:rsidRDefault="00177600" w:rsidP="00177600">
            <w:pPr>
              <w:spacing w:after="0" w:line="240" w:lineRule="auto"/>
              <w:jc w:val="center"/>
              <w:rPr>
                <w:rFonts w:ascii="Futura Std Condensed Light" w:eastAsia="Calibri" w:hAnsi="Futura Std Condensed Light" w:cs="Calibri"/>
                <w:sz w:val="20"/>
                <w:szCs w:val="20"/>
              </w:rPr>
            </w:pPr>
          </w:p>
        </w:tc>
        <w:tc>
          <w:tcPr>
            <w:tcW w:w="1630"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09D7CD0C" w14:textId="77777777" w:rsidR="00177600" w:rsidRDefault="00177600" w:rsidP="00177600">
            <w:pPr>
              <w:spacing w:after="0" w:line="240" w:lineRule="auto"/>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14. Acreditar los planes y programas de educación superior a fin de garantizar su calidad.</w:t>
            </w:r>
          </w:p>
        </w:tc>
        <w:tc>
          <w:tcPr>
            <w:tcW w:w="178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6E20965" w14:textId="77777777" w:rsidR="00177600" w:rsidRDefault="00177600" w:rsidP="00177600">
            <w:pPr>
              <w:spacing w:after="0" w:line="240" w:lineRule="auto"/>
              <w:ind w:left="143" w:right="142"/>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6. Impulsar la acreditación y evaluación de los planes y programas de estudio de educación superior  por organismos externos reconocidos a nivel nacional e internacional.</w:t>
            </w: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88F3ED6" w14:textId="77777777" w:rsidR="00177600" w:rsidRDefault="00177600" w:rsidP="00177600">
            <w:pPr>
              <w:spacing w:after="0" w:line="240" w:lineRule="auto"/>
              <w:jc w:val="left"/>
              <w:rPr>
                <w:rFonts w:ascii="Futura Std Condensed Light" w:eastAsia="Calibri" w:hAnsi="Futura Std Condensed Light" w:cs="Calibri"/>
                <w:sz w:val="20"/>
                <w:szCs w:val="20"/>
              </w:rPr>
            </w:pPr>
          </w:p>
        </w:tc>
      </w:tr>
      <w:tr w:rsidR="00177600" w14:paraId="13CBE8F8" w14:textId="77777777" w:rsidTr="00C527EB">
        <w:trPr>
          <w:trHeight w:val="283"/>
          <w:jc w:val="center"/>
        </w:trPr>
        <w:tc>
          <w:tcPr>
            <w:tcW w:w="0" w:type="auto"/>
            <w:vMerge/>
            <w:tcBorders>
              <w:left w:val="single" w:sz="4" w:space="0" w:color="auto"/>
              <w:right w:val="single" w:sz="4" w:space="0" w:color="auto"/>
            </w:tcBorders>
            <w:shd w:val="clear" w:color="auto" w:fill="FFFFFF" w:themeFill="background1"/>
            <w:vAlign w:val="center"/>
            <w:hideMark/>
          </w:tcPr>
          <w:p w14:paraId="6C418497" w14:textId="1CBC93EF" w:rsidR="00177600" w:rsidRDefault="00177600" w:rsidP="00177600">
            <w:pPr>
              <w:spacing w:after="0" w:line="240" w:lineRule="auto"/>
              <w:jc w:val="center"/>
              <w:rPr>
                <w:rFonts w:ascii="Futura Std Condensed Light" w:eastAsia="Calibri" w:hAnsi="Futura Std Condensed Light" w:cs="Calibri"/>
                <w:sz w:val="20"/>
                <w:szCs w:val="20"/>
              </w:rPr>
            </w:pPr>
          </w:p>
        </w:tc>
        <w:tc>
          <w:tcPr>
            <w:tcW w:w="1630"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28887BF5" w14:textId="77777777" w:rsidR="00177600" w:rsidRDefault="00177600" w:rsidP="00177600">
            <w:pPr>
              <w:spacing w:after="0" w:line="240" w:lineRule="auto"/>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15. Fomentar la investigación básica y aplicada, científica, tecnológica y de innovación en instituciones de educación media superior y superior.</w:t>
            </w:r>
          </w:p>
        </w:tc>
        <w:tc>
          <w:tcPr>
            <w:tcW w:w="178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7083D73" w14:textId="77777777" w:rsidR="00177600" w:rsidRDefault="00177600" w:rsidP="00177600">
            <w:pPr>
              <w:spacing w:after="0" w:line="240" w:lineRule="auto"/>
              <w:ind w:left="143" w:right="142"/>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7.  Fortalecer la investigación básica y aplicada con la participación de los estudiantes de educación superior.</w:t>
            </w: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22A1748" w14:textId="77777777" w:rsidR="00177600" w:rsidRDefault="00177600" w:rsidP="00177600">
            <w:pPr>
              <w:spacing w:after="0" w:line="240" w:lineRule="auto"/>
              <w:jc w:val="left"/>
              <w:rPr>
                <w:rFonts w:ascii="Futura Std Condensed Light" w:eastAsia="Calibri" w:hAnsi="Futura Std Condensed Light" w:cs="Calibri"/>
                <w:sz w:val="20"/>
                <w:szCs w:val="20"/>
              </w:rPr>
            </w:pPr>
          </w:p>
        </w:tc>
      </w:tr>
      <w:tr w:rsidR="00177600" w14:paraId="6B5B74A8" w14:textId="77777777" w:rsidTr="00C527EB">
        <w:trPr>
          <w:trHeight w:val="283"/>
          <w:jc w:val="center"/>
        </w:trPr>
        <w:tc>
          <w:tcPr>
            <w:tcW w:w="0" w:type="auto"/>
            <w:vMerge/>
            <w:tcBorders>
              <w:left w:val="single" w:sz="4" w:space="0" w:color="auto"/>
              <w:right w:val="single" w:sz="4" w:space="0" w:color="auto"/>
            </w:tcBorders>
            <w:shd w:val="clear" w:color="auto" w:fill="FFFFFF" w:themeFill="background1"/>
            <w:vAlign w:val="center"/>
            <w:hideMark/>
          </w:tcPr>
          <w:p w14:paraId="10B53455" w14:textId="570AA6EC" w:rsidR="00177600" w:rsidRDefault="00177600" w:rsidP="00177600">
            <w:pPr>
              <w:spacing w:after="0" w:line="240" w:lineRule="auto"/>
              <w:jc w:val="center"/>
              <w:rPr>
                <w:rFonts w:ascii="Futura Std Condensed Light" w:eastAsia="Calibri" w:hAnsi="Futura Std Condensed Light" w:cs="Calibri"/>
                <w:sz w:val="20"/>
                <w:szCs w:val="20"/>
              </w:rPr>
            </w:pPr>
          </w:p>
        </w:tc>
        <w:tc>
          <w:tcPr>
            <w:tcW w:w="1630"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12A56A3D" w14:textId="77777777" w:rsidR="00177600" w:rsidRDefault="00177600" w:rsidP="00177600">
            <w:pPr>
              <w:spacing w:after="0" w:line="240" w:lineRule="auto"/>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21. Generar esquemas de vinculación con instituciones públicas y privadas para la realización de prácticas profesionales y servicio social por parte de estudiantes de educación superior.</w:t>
            </w:r>
          </w:p>
        </w:tc>
        <w:tc>
          <w:tcPr>
            <w:tcW w:w="178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EE952F7" w14:textId="77777777" w:rsidR="00177600" w:rsidRDefault="00177600" w:rsidP="00177600">
            <w:pPr>
              <w:spacing w:after="0" w:line="240" w:lineRule="auto"/>
              <w:ind w:left="143" w:right="142"/>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8. Impulsar la vinculación con instituciones públicas y privadas para la realización del servicio social, prácticas profesionales o su equivalente y modelo dual por parte de los estudiantes de educación superior.</w:t>
            </w: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20BF67" w14:textId="77777777" w:rsidR="00177600" w:rsidRDefault="00177600" w:rsidP="00177600">
            <w:pPr>
              <w:spacing w:after="0" w:line="240" w:lineRule="auto"/>
              <w:jc w:val="left"/>
              <w:rPr>
                <w:rFonts w:ascii="Futura Std Condensed Light" w:eastAsia="Calibri" w:hAnsi="Futura Std Condensed Light" w:cs="Calibri"/>
                <w:sz w:val="20"/>
                <w:szCs w:val="20"/>
              </w:rPr>
            </w:pPr>
          </w:p>
        </w:tc>
      </w:tr>
      <w:tr w:rsidR="00177600" w14:paraId="1236B946" w14:textId="77777777" w:rsidTr="00C527EB">
        <w:trPr>
          <w:trHeight w:val="283"/>
          <w:jc w:val="center"/>
        </w:trPr>
        <w:tc>
          <w:tcPr>
            <w:tcW w:w="0" w:type="auto"/>
            <w:vMerge/>
            <w:tcBorders>
              <w:left w:val="single" w:sz="4" w:space="0" w:color="auto"/>
              <w:right w:val="single" w:sz="4" w:space="0" w:color="auto"/>
            </w:tcBorders>
            <w:shd w:val="clear" w:color="auto" w:fill="FFFFFF" w:themeFill="background1"/>
            <w:vAlign w:val="center"/>
            <w:hideMark/>
          </w:tcPr>
          <w:p w14:paraId="2E97519C" w14:textId="75905FB5" w:rsidR="00177600" w:rsidRDefault="00177600" w:rsidP="00177600">
            <w:pPr>
              <w:spacing w:after="0" w:line="240" w:lineRule="auto"/>
              <w:jc w:val="center"/>
              <w:rPr>
                <w:rFonts w:ascii="Futura Std Condensed Light" w:eastAsia="Calibri" w:hAnsi="Futura Std Condensed Light" w:cs="Calibri"/>
                <w:sz w:val="20"/>
                <w:szCs w:val="20"/>
              </w:rPr>
            </w:pPr>
          </w:p>
        </w:tc>
        <w:tc>
          <w:tcPr>
            <w:tcW w:w="1630"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7E229BD2" w14:textId="77777777" w:rsidR="00177600" w:rsidRDefault="00177600" w:rsidP="00177600">
            <w:pPr>
              <w:spacing w:after="0" w:line="240" w:lineRule="auto"/>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23. Impulsar acciones de atención para mejorar la formación inicial y continua de docentes.</w:t>
            </w:r>
          </w:p>
        </w:tc>
        <w:tc>
          <w:tcPr>
            <w:tcW w:w="178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0C0B271" w14:textId="77777777" w:rsidR="00177600" w:rsidRDefault="00177600" w:rsidP="00177600">
            <w:pPr>
              <w:spacing w:after="0" w:line="240" w:lineRule="auto"/>
              <w:ind w:left="143" w:right="142"/>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9. Implementar  programas de formación y actualización docente al interior de las instituciones de educación superior.</w:t>
            </w: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B8A42EF" w14:textId="77777777" w:rsidR="00177600" w:rsidRDefault="00177600" w:rsidP="00177600">
            <w:pPr>
              <w:spacing w:after="0" w:line="240" w:lineRule="auto"/>
              <w:jc w:val="left"/>
              <w:rPr>
                <w:rFonts w:ascii="Futura Std Condensed Light" w:eastAsia="Calibri" w:hAnsi="Futura Std Condensed Light" w:cs="Calibri"/>
                <w:sz w:val="20"/>
                <w:szCs w:val="20"/>
              </w:rPr>
            </w:pPr>
          </w:p>
        </w:tc>
      </w:tr>
      <w:tr w:rsidR="00177600" w14:paraId="36451DA9" w14:textId="77777777" w:rsidTr="00C527EB">
        <w:trPr>
          <w:trHeight w:val="283"/>
          <w:jc w:val="center"/>
        </w:trPr>
        <w:tc>
          <w:tcPr>
            <w:tcW w:w="0" w:type="auto"/>
            <w:vMerge/>
            <w:tcBorders>
              <w:left w:val="single" w:sz="4" w:space="0" w:color="auto"/>
              <w:right w:val="single" w:sz="4" w:space="0" w:color="auto"/>
            </w:tcBorders>
            <w:shd w:val="clear" w:color="auto" w:fill="FFFFFF" w:themeFill="background1"/>
            <w:vAlign w:val="center"/>
            <w:hideMark/>
          </w:tcPr>
          <w:p w14:paraId="586E5BDD" w14:textId="2FD1E4F7" w:rsidR="00177600" w:rsidRDefault="00177600" w:rsidP="00177600">
            <w:pPr>
              <w:spacing w:after="0" w:line="240" w:lineRule="auto"/>
              <w:jc w:val="center"/>
              <w:rPr>
                <w:rFonts w:ascii="Futura Std Condensed Light" w:eastAsia="Calibri" w:hAnsi="Futura Std Condensed Light" w:cs="Calibri"/>
                <w:sz w:val="20"/>
                <w:szCs w:val="20"/>
              </w:rPr>
            </w:pPr>
          </w:p>
        </w:tc>
        <w:tc>
          <w:tcPr>
            <w:tcW w:w="1630"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1CC71849" w14:textId="77777777" w:rsidR="00177600" w:rsidRDefault="00177600" w:rsidP="00177600">
            <w:pPr>
              <w:spacing w:after="0" w:line="240" w:lineRule="auto"/>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 xml:space="preserve">25. Desarrollar e implementar acciones para </w:t>
            </w:r>
            <w:r>
              <w:rPr>
                <w:rFonts w:ascii="Futura Std Condensed Light" w:eastAsia="Calibri" w:hAnsi="Futura Std Condensed Light" w:cs="Calibri"/>
                <w:sz w:val="20"/>
                <w:szCs w:val="20"/>
              </w:rPr>
              <w:lastRenderedPageBreak/>
              <w:t>fortalecer el Modelo de Prevención Quintana Roo.</w:t>
            </w:r>
          </w:p>
        </w:tc>
        <w:tc>
          <w:tcPr>
            <w:tcW w:w="178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CFB6AAF" w14:textId="77777777" w:rsidR="00177600" w:rsidRDefault="00177600" w:rsidP="00177600">
            <w:pPr>
              <w:spacing w:after="0" w:line="240" w:lineRule="auto"/>
              <w:ind w:left="143" w:right="142"/>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lastRenderedPageBreak/>
              <w:t xml:space="preserve">10. Implementar el Programa de Seguridad Escolar para el fortalecimiento de valores, la </w:t>
            </w:r>
            <w:r>
              <w:rPr>
                <w:rFonts w:ascii="Futura Std Condensed Light" w:eastAsia="Calibri" w:hAnsi="Futura Std Condensed Light" w:cs="Calibri"/>
                <w:sz w:val="20"/>
                <w:szCs w:val="20"/>
              </w:rPr>
              <w:lastRenderedPageBreak/>
              <w:t>tolerancia y la promoción de la paz social en las escuelas.</w:t>
            </w: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4387DF5" w14:textId="77777777" w:rsidR="00177600" w:rsidRDefault="00177600" w:rsidP="00177600">
            <w:pPr>
              <w:spacing w:after="0" w:line="240" w:lineRule="auto"/>
              <w:jc w:val="left"/>
              <w:rPr>
                <w:rFonts w:ascii="Futura Std Condensed Light" w:eastAsia="Calibri" w:hAnsi="Futura Std Condensed Light" w:cs="Calibri"/>
                <w:sz w:val="20"/>
                <w:szCs w:val="20"/>
              </w:rPr>
            </w:pPr>
          </w:p>
        </w:tc>
      </w:tr>
      <w:tr w:rsidR="00177600" w14:paraId="2113A6C6" w14:textId="77777777" w:rsidTr="00C527EB">
        <w:trPr>
          <w:trHeight w:val="283"/>
          <w:jc w:val="center"/>
        </w:trPr>
        <w:tc>
          <w:tcPr>
            <w:tcW w:w="0" w:type="auto"/>
            <w:vMerge/>
            <w:tcBorders>
              <w:left w:val="single" w:sz="4" w:space="0" w:color="auto"/>
              <w:right w:val="single" w:sz="4" w:space="0" w:color="auto"/>
            </w:tcBorders>
            <w:shd w:val="clear" w:color="auto" w:fill="FFFFFF" w:themeFill="background1"/>
            <w:vAlign w:val="center"/>
            <w:hideMark/>
          </w:tcPr>
          <w:p w14:paraId="148FA767" w14:textId="17EDCCDD" w:rsidR="00177600" w:rsidRDefault="00177600" w:rsidP="00177600">
            <w:pPr>
              <w:spacing w:after="0" w:line="240" w:lineRule="auto"/>
              <w:jc w:val="center"/>
              <w:rPr>
                <w:rFonts w:ascii="Futura Std Condensed Light" w:eastAsia="Calibri" w:hAnsi="Futura Std Condensed Light" w:cs="Calibri"/>
                <w:sz w:val="20"/>
                <w:szCs w:val="20"/>
              </w:rPr>
            </w:pPr>
          </w:p>
        </w:tc>
        <w:tc>
          <w:tcPr>
            <w:tcW w:w="1630"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6615C713" w14:textId="77777777" w:rsidR="00177600" w:rsidRDefault="00177600" w:rsidP="00177600">
            <w:pPr>
              <w:spacing w:after="0" w:line="240" w:lineRule="auto"/>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26. Impulsar e implementar acciones permanentes en materia de promoción, protección y defensa de los Derechos Humanos, con la aplicación de planteamientos legales, estructurales, así como la constante formación de Servidores Públicos fortaleciendo el ejercicio de los Derechos Humanos de los Ciudadanos.</w:t>
            </w:r>
          </w:p>
        </w:tc>
        <w:tc>
          <w:tcPr>
            <w:tcW w:w="178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C8307A1" w14:textId="77777777" w:rsidR="00177600" w:rsidRDefault="00177600" w:rsidP="00177600">
            <w:pPr>
              <w:spacing w:after="0" w:line="240" w:lineRule="auto"/>
              <w:ind w:left="143" w:right="142"/>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11. Impulsar e implementar acciones permanentes en materia de promoción, protección y defensa de los Derechos Humanos, con la aplicación de planteamientos legales, estructurales, así como la constante formación de Servidores Públicos fortaleciendo el ejercicio de los Derechos Humanos de los Ciudadanos.</w:t>
            </w: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9C8A29F" w14:textId="77777777" w:rsidR="00177600" w:rsidRDefault="00177600" w:rsidP="00177600">
            <w:pPr>
              <w:spacing w:after="0" w:line="240" w:lineRule="auto"/>
              <w:jc w:val="left"/>
              <w:rPr>
                <w:rFonts w:ascii="Futura Std Condensed Light" w:eastAsia="Calibri" w:hAnsi="Futura Std Condensed Light" w:cs="Calibri"/>
                <w:sz w:val="20"/>
                <w:szCs w:val="20"/>
              </w:rPr>
            </w:pPr>
          </w:p>
        </w:tc>
      </w:tr>
      <w:tr w:rsidR="00177600" w14:paraId="457F2706" w14:textId="77777777" w:rsidTr="00F13334">
        <w:trPr>
          <w:trHeight w:val="283"/>
          <w:jc w:val="center"/>
        </w:trPr>
        <w:tc>
          <w:tcPr>
            <w:tcW w:w="0" w:type="auto"/>
            <w:vMerge/>
            <w:tcBorders>
              <w:left w:val="single" w:sz="4" w:space="0" w:color="auto"/>
              <w:right w:val="single" w:sz="4" w:space="0" w:color="auto"/>
            </w:tcBorders>
            <w:shd w:val="clear" w:color="auto" w:fill="FFFFFF" w:themeFill="background1"/>
            <w:vAlign w:val="center"/>
            <w:hideMark/>
          </w:tcPr>
          <w:p w14:paraId="09F1BAE5" w14:textId="4F2E149A" w:rsidR="00177600" w:rsidRDefault="00177600" w:rsidP="00177600">
            <w:pPr>
              <w:spacing w:after="0" w:line="240" w:lineRule="auto"/>
              <w:jc w:val="center"/>
              <w:rPr>
                <w:rFonts w:ascii="Futura Std Condensed Light" w:eastAsia="Calibri" w:hAnsi="Futura Std Condensed Light" w:cs="Calibri"/>
                <w:sz w:val="20"/>
                <w:szCs w:val="20"/>
              </w:rPr>
            </w:pPr>
          </w:p>
        </w:tc>
        <w:tc>
          <w:tcPr>
            <w:tcW w:w="1630"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199BA92D" w14:textId="77777777" w:rsidR="00177600" w:rsidRDefault="00177600" w:rsidP="00177600">
            <w:pPr>
              <w:spacing w:after="0" w:line="240" w:lineRule="auto"/>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27. Atender las actividades administrativas, técnicas, jurídicas y de Staff.</w:t>
            </w:r>
          </w:p>
        </w:tc>
        <w:tc>
          <w:tcPr>
            <w:tcW w:w="1787"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3B5EFDA" w14:textId="77777777" w:rsidR="00177600" w:rsidRDefault="00177600" w:rsidP="00177600">
            <w:pPr>
              <w:spacing w:after="0" w:line="240" w:lineRule="auto"/>
              <w:ind w:left="143" w:right="142"/>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 xml:space="preserve">12. Atender las actividades administrativas, técnicas, jurídicas y de Staff.  </w:t>
            </w: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5BF4320" w14:textId="77777777" w:rsidR="00177600" w:rsidRDefault="00177600" w:rsidP="00177600">
            <w:pPr>
              <w:spacing w:after="0" w:line="240" w:lineRule="auto"/>
              <w:jc w:val="left"/>
              <w:rPr>
                <w:rFonts w:ascii="Futura Std Condensed Light" w:eastAsia="Calibri" w:hAnsi="Futura Std Condensed Light" w:cs="Calibri"/>
                <w:sz w:val="20"/>
                <w:szCs w:val="20"/>
              </w:rPr>
            </w:pPr>
          </w:p>
        </w:tc>
      </w:tr>
      <w:tr w:rsidR="00177600" w14:paraId="42A2DA5D" w14:textId="77777777" w:rsidTr="00F42776">
        <w:trPr>
          <w:trHeight w:val="992"/>
          <w:jc w:val="center"/>
        </w:trPr>
        <w:tc>
          <w:tcPr>
            <w:tcW w:w="700" w:type="pct"/>
            <w:vMerge/>
            <w:tcBorders>
              <w:left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3A08E985" w14:textId="605835CA" w:rsidR="00177600" w:rsidRDefault="00177600" w:rsidP="00177600">
            <w:pPr>
              <w:spacing w:after="0" w:line="240" w:lineRule="auto"/>
              <w:jc w:val="center"/>
              <w:rPr>
                <w:rFonts w:ascii="Futura Std Condensed Light" w:eastAsia="Calibri" w:hAnsi="Futura Std Condensed Light" w:cs="Calibri"/>
                <w:sz w:val="20"/>
                <w:szCs w:val="20"/>
              </w:rPr>
            </w:pPr>
          </w:p>
        </w:tc>
        <w:tc>
          <w:tcPr>
            <w:tcW w:w="1630" w:type="pct"/>
            <w:vMerge w:val="restart"/>
            <w:tcBorders>
              <w:top w:val="single" w:sz="4" w:space="0" w:color="auto"/>
              <w:left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185DEC90" w14:textId="77777777" w:rsidR="00A24FEB" w:rsidRDefault="00A24FEB" w:rsidP="00177600">
            <w:pPr>
              <w:spacing w:after="0" w:line="240" w:lineRule="auto"/>
              <w:rPr>
                <w:rFonts w:ascii="Futura Std Condensed Light" w:eastAsia="Calibri" w:hAnsi="Futura Std Condensed Light" w:cs="Calibri"/>
                <w:sz w:val="20"/>
                <w:szCs w:val="20"/>
              </w:rPr>
            </w:pPr>
          </w:p>
          <w:p w14:paraId="3A611A7B" w14:textId="77777777" w:rsidR="00A24FEB" w:rsidRDefault="00A24FEB" w:rsidP="00177600">
            <w:pPr>
              <w:spacing w:after="0" w:line="240" w:lineRule="auto"/>
              <w:rPr>
                <w:rFonts w:ascii="Futura Std Condensed Light" w:eastAsia="Calibri" w:hAnsi="Futura Std Condensed Light" w:cs="Calibri"/>
                <w:sz w:val="20"/>
                <w:szCs w:val="20"/>
              </w:rPr>
            </w:pPr>
          </w:p>
          <w:p w14:paraId="391F2EAF" w14:textId="77777777" w:rsidR="00A24FEB" w:rsidRDefault="00A24FEB" w:rsidP="00177600">
            <w:pPr>
              <w:spacing w:after="0" w:line="240" w:lineRule="auto"/>
              <w:rPr>
                <w:rFonts w:ascii="Futura Std Condensed Light" w:eastAsia="Calibri" w:hAnsi="Futura Std Condensed Light" w:cs="Calibri"/>
                <w:sz w:val="20"/>
                <w:szCs w:val="20"/>
              </w:rPr>
            </w:pPr>
          </w:p>
          <w:p w14:paraId="1A1B316B" w14:textId="77777777" w:rsidR="00A24FEB" w:rsidRDefault="00A24FEB" w:rsidP="00177600">
            <w:pPr>
              <w:spacing w:after="0" w:line="240" w:lineRule="auto"/>
              <w:rPr>
                <w:rFonts w:ascii="Futura Std Condensed Light" w:eastAsia="Calibri" w:hAnsi="Futura Std Condensed Light" w:cs="Calibri"/>
                <w:sz w:val="20"/>
                <w:szCs w:val="20"/>
              </w:rPr>
            </w:pPr>
          </w:p>
          <w:p w14:paraId="080C7623" w14:textId="77777777" w:rsidR="00A24FEB" w:rsidRDefault="00A24FEB" w:rsidP="00177600">
            <w:pPr>
              <w:spacing w:after="0" w:line="240" w:lineRule="auto"/>
              <w:rPr>
                <w:rFonts w:ascii="Futura Std Condensed Light" w:eastAsia="Calibri" w:hAnsi="Futura Std Condensed Light" w:cs="Calibri"/>
                <w:sz w:val="20"/>
                <w:szCs w:val="20"/>
              </w:rPr>
            </w:pPr>
          </w:p>
          <w:p w14:paraId="0B78F7C0" w14:textId="77777777" w:rsidR="00A24FEB" w:rsidRDefault="00A24FEB" w:rsidP="00177600">
            <w:pPr>
              <w:spacing w:after="0" w:line="240" w:lineRule="auto"/>
              <w:rPr>
                <w:rFonts w:ascii="Futura Std Condensed Light" w:eastAsia="Calibri" w:hAnsi="Futura Std Condensed Light" w:cs="Calibri"/>
                <w:sz w:val="20"/>
                <w:szCs w:val="20"/>
              </w:rPr>
            </w:pPr>
          </w:p>
          <w:p w14:paraId="0B254802" w14:textId="77777777" w:rsidR="00A24FEB" w:rsidRDefault="00A24FEB" w:rsidP="00177600">
            <w:pPr>
              <w:spacing w:after="0" w:line="240" w:lineRule="auto"/>
              <w:rPr>
                <w:rFonts w:ascii="Futura Std Condensed Light" w:eastAsia="Calibri" w:hAnsi="Futura Std Condensed Light" w:cs="Calibri"/>
                <w:sz w:val="20"/>
                <w:szCs w:val="20"/>
              </w:rPr>
            </w:pPr>
          </w:p>
          <w:p w14:paraId="5A1A1B62" w14:textId="3B82272A" w:rsidR="00177600" w:rsidRDefault="00937D44" w:rsidP="00177600">
            <w:pPr>
              <w:spacing w:after="0" w:line="240" w:lineRule="auto"/>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19. Emprender un</w:t>
            </w:r>
            <w:r w:rsidR="00177600">
              <w:rPr>
                <w:rFonts w:ascii="Futura Std Condensed Light" w:eastAsia="Calibri" w:hAnsi="Futura Std Condensed Light" w:cs="Calibri"/>
                <w:sz w:val="20"/>
                <w:szCs w:val="20"/>
              </w:rPr>
              <w:t xml:space="preserve"> programa de intervención de escuelas públicas mediante </w:t>
            </w:r>
            <w:r w:rsidR="00177600">
              <w:rPr>
                <w:rFonts w:ascii="Futura Std Condensed Light" w:eastAsia="Calibri" w:hAnsi="Futura Std Condensed Light" w:cs="Calibri"/>
                <w:sz w:val="20"/>
                <w:szCs w:val="20"/>
              </w:rPr>
              <w:lastRenderedPageBreak/>
              <w:t>el equipamiento y rehabilitación de las mismas.</w:t>
            </w:r>
          </w:p>
          <w:p w14:paraId="4D1FC135" w14:textId="77777777" w:rsidR="00A24FEB" w:rsidRDefault="00A24FEB" w:rsidP="00177600">
            <w:pPr>
              <w:spacing w:after="0" w:line="240" w:lineRule="auto"/>
              <w:rPr>
                <w:rFonts w:ascii="Futura Std Condensed Light" w:eastAsia="Calibri" w:hAnsi="Futura Std Condensed Light" w:cs="Calibri"/>
                <w:sz w:val="20"/>
                <w:szCs w:val="20"/>
              </w:rPr>
            </w:pPr>
          </w:p>
          <w:p w14:paraId="7A4D4AC1" w14:textId="6C9122C1" w:rsidR="00A24FEB" w:rsidRDefault="00A24FEB" w:rsidP="00177600">
            <w:pPr>
              <w:spacing w:after="0" w:line="240" w:lineRule="auto"/>
              <w:rPr>
                <w:rFonts w:ascii="Futura Std Condensed Light" w:eastAsia="Calibri" w:hAnsi="Futura Std Condensed Light" w:cs="Calibri"/>
                <w:sz w:val="20"/>
                <w:szCs w:val="20"/>
              </w:rPr>
            </w:pPr>
          </w:p>
          <w:p w14:paraId="16EF3A1B" w14:textId="6984A0B0" w:rsidR="00A24FEB" w:rsidRDefault="00A24FEB" w:rsidP="00177600">
            <w:pPr>
              <w:spacing w:after="0" w:line="240" w:lineRule="auto"/>
              <w:rPr>
                <w:rFonts w:ascii="Futura Std Condensed Light" w:eastAsia="Calibri" w:hAnsi="Futura Std Condensed Light" w:cs="Calibri"/>
                <w:sz w:val="20"/>
                <w:szCs w:val="20"/>
              </w:rPr>
            </w:pPr>
          </w:p>
          <w:p w14:paraId="20157B92" w14:textId="2242823C" w:rsidR="00A24FEB" w:rsidRDefault="00A24FEB" w:rsidP="00177600">
            <w:pPr>
              <w:spacing w:after="0" w:line="240" w:lineRule="auto"/>
              <w:rPr>
                <w:rFonts w:ascii="Futura Std Condensed Light" w:eastAsia="Calibri" w:hAnsi="Futura Std Condensed Light" w:cs="Calibri"/>
                <w:sz w:val="20"/>
                <w:szCs w:val="20"/>
              </w:rPr>
            </w:pPr>
          </w:p>
          <w:p w14:paraId="6C8B05B8" w14:textId="12A552A3" w:rsidR="00A24FEB" w:rsidRDefault="00A24FEB" w:rsidP="00177600">
            <w:pPr>
              <w:spacing w:after="0" w:line="240" w:lineRule="auto"/>
              <w:rPr>
                <w:rFonts w:ascii="Futura Std Condensed Light" w:eastAsia="Calibri" w:hAnsi="Futura Std Condensed Light" w:cs="Calibri"/>
                <w:sz w:val="20"/>
                <w:szCs w:val="20"/>
              </w:rPr>
            </w:pPr>
          </w:p>
          <w:p w14:paraId="6B5FF328" w14:textId="06848248" w:rsidR="00A24FEB" w:rsidRDefault="00A24FEB" w:rsidP="00177600">
            <w:pPr>
              <w:spacing w:after="0" w:line="240" w:lineRule="auto"/>
              <w:rPr>
                <w:rFonts w:ascii="Futura Std Condensed Light" w:eastAsia="Calibri" w:hAnsi="Futura Std Condensed Light" w:cs="Calibri"/>
                <w:sz w:val="20"/>
                <w:szCs w:val="20"/>
              </w:rPr>
            </w:pPr>
          </w:p>
          <w:p w14:paraId="2486C6C5" w14:textId="04B555DE" w:rsidR="00A24FEB" w:rsidRDefault="00A24FEB" w:rsidP="00177600">
            <w:pPr>
              <w:spacing w:after="0" w:line="240" w:lineRule="auto"/>
              <w:rPr>
                <w:rFonts w:ascii="Futura Std Condensed Light" w:eastAsia="Calibri" w:hAnsi="Futura Std Condensed Light" w:cs="Calibri"/>
                <w:sz w:val="20"/>
                <w:szCs w:val="20"/>
              </w:rPr>
            </w:pPr>
          </w:p>
          <w:p w14:paraId="3BABCA97" w14:textId="6A0A0512" w:rsidR="00A24FEB" w:rsidRDefault="00A24FEB" w:rsidP="00177600">
            <w:pPr>
              <w:spacing w:after="0" w:line="240" w:lineRule="auto"/>
              <w:rPr>
                <w:rFonts w:ascii="Futura Std Condensed Light" w:eastAsia="Calibri" w:hAnsi="Futura Std Condensed Light" w:cs="Calibri"/>
                <w:sz w:val="20"/>
                <w:szCs w:val="20"/>
              </w:rPr>
            </w:pPr>
          </w:p>
          <w:p w14:paraId="1D718265" w14:textId="1429F6BA" w:rsidR="00A24FEB" w:rsidRDefault="00A24FEB" w:rsidP="00177600">
            <w:pPr>
              <w:spacing w:after="0" w:line="240" w:lineRule="auto"/>
              <w:rPr>
                <w:rFonts w:ascii="Futura Std Condensed Light" w:eastAsia="Calibri" w:hAnsi="Futura Std Condensed Light" w:cs="Calibri"/>
                <w:sz w:val="20"/>
                <w:szCs w:val="20"/>
              </w:rPr>
            </w:pPr>
          </w:p>
          <w:p w14:paraId="28EAF1A6" w14:textId="49880996" w:rsidR="00A24FEB" w:rsidRDefault="00A24FEB" w:rsidP="00177600">
            <w:pPr>
              <w:spacing w:after="0" w:line="240" w:lineRule="auto"/>
              <w:rPr>
                <w:rFonts w:ascii="Futura Std Condensed Light" w:eastAsia="Calibri" w:hAnsi="Futura Std Condensed Light" w:cs="Calibri"/>
                <w:sz w:val="20"/>
                <w:szCs w:val="20"/>
              </w:rPr>
            </w:pPr>
          </w:p>
          <w:p w14:paraId="02E49FDB" w14:textId="2CB8B66F" w:rsidR="00A24FEB" w:rsidRDefault="00A24FEB" w:rsidP="00177600">
            <w:pPr>
              <w:spacing w:after="0" w:line="240" w:lineRule="auto"/>
              <w:rPr>
                <w:rFonts w:ascii="Futura Std Condensed Light" w:eastAsia="Calibri" w:hAnsi="Futura Std Condensed Light" w:cs="Calibri"/>
                <w:sz w:val="20"/>
                <w:szCs w:val="20"/>
              </w:rPr>
            </w:pPr>
          </w:p>
          <w:p w14:paraId="453B9511" w14:textId="44C0DECB" w:rsidR="00A24FEB" w:rsidRDefault="00A24FEB" w:rsidP="00177600">
            <w:pPr>
              <w:spacing w:after="0" w:line="240" w:lineRule="auto"/>
              <w:rPr>
                <w:rFonts w:ascii="Futura Std Condensed Light" w:eastAsia="Calibri" w:hAnsi="Futura Std Condensed Light" w:cs="Calibri"/>
                <w:sz w:val="20"/>
                <w:szCs w:val="20"/>
              </w:rPr>
            </w:pPr>
          </w:p>
          <w:p w14:paraId="362FFD32" w14:textId="0B00A27E" w:rsidR="00A24FEB" w:rsidRDefault="00A24FEB" w:rsidP="00177600">
            <w:pPr>
              <w:spacing w:after="0" w:line="240" w:lineRule="auto"/>
              <w:rPr>
                <w:rFonts w:ascii="Futura Std Condensed Light" w:eastAsia="Calibri" w:hAnsi="Futura Std Condensed Light" w:cs="Calibri"/>
                <w:sz w:val="20"/>
                <w:szCs w:val="20"/>
              </w:rPr>
            </w:pPr>
          </w:p>
          <w:p w14:paraId="32667911" w14:textId="611AC745" w:rsidR="00A24FEB" w:rsidRDefault="00A24FEB" w:rsidP="00177600">
            <w:pPr>
              <w:spacing w:after="0" w:line="240" w:lineRule="auto"/>
              <w:rPr>
                <w:rFonts w:ascii="Futura Std Condensed Light" w:eastAsia="Calibri" w:hAnsi="Futura Std Condensed Light" w:cs="Calibri"/>
                <w:sz w:val="20"/>
                <w:szCs w:val="20"/>
              </w:rPr>
            </w:pPr>
          </w:p>
          <w:p w14:paraId="5B5B96BA" w14:textId="00BC546E" w:rsidR="00A24FEB" w:rsidRDefault="00A24FEB" w:rsidP="00177600">
            <w:pPr>
              <w:spacing w:after="0" w:line="240" w:lineRule="auto"/>
              <w:rPr>
                <w:rFonts w:ascii="Futura Std Condensed Light" w:eastAsia="Calibri" w:hAnsi="Futura Std Condensed Light" w:cs="Calibri"/>
                <w:sz w:val="20"/>
                <w:szCs w:val="20"/>
              </w:rPr>
            </w:pPr>
          </w:p>
          <w:p w14:paraId="53FF9F35" w14:textId="10039D43" w:rsidR="00A24FEB" w:rsidRDefault="00A24FEB" w:rsidP="00177600">
            <w:pPr>
              <w:spacing w:after="0" w:line="240" w:lineRule="auto"/>
              <w:rPr>
                <w:rFonts w:ascii="Futura Std Condensed Light" w:eastAsia="Calibri" w:hAnsi="Futura Std Condensed Light" w:cs="Calibri"/>
                <w:sz w:val="20"/>
                <w:szCs w:val="20"/>
              </w:rPr>
            </w:pPr>
          </w:p>
          <w:p w14:paraId="75B4D280" w14:textId="2E0A0C87" w:rsidR="00A24FEB" w:rsidRDefault="00A24FEB" w:rsidP="00177600">
            <w:pPr>
              <w:spacing w:after="0" w:line="240" w:lineRule="auto"/>
              <w:rPr>
                <w:rFonts w:ascii="Futura Std Condensed Light" w:eastAsia="Calibri" w:hAnsi="Futura Std Condensed Light" w:cs="Calibri"/>
                <w:sz w:val="20"/>
                <w:szCs w:val="20"/>
              </w:rPr>
            </w:pPr>
          </w:p>
          <w:p w14:paraId="528F7441" w14:textId="039A0B14" w:rsidR="00A24FEB" w:rsidRDefault="00A24FEB" w:rsidP="00177600">
            <w:pPr>
              <w:spacing w:after="0" w:line="240" w:lineRule="auto"/>
              <w:rPr>
                <w:rFonts w:ascii="Futura Std Condensed Light" w:eastAsia="Calibri" w:hAnsi="Futura Std Condensed Light" w:cs="Calibri"/>
                <w:sz w:val="20"/>
                <w:szCs w:val="20"/>
              </w:rPr>
            </w:pPr>
          </w:p>
          <w:p w14:paraId="47A79F3C" w14:textId="77777777" w:rsidR="00A24FEB" w:rsidRDefault="00A24FEB" w:rsidP="00177600">
            <w:pPr>
              <w:spacing w:after="0" w:line="240" w:lineRule="auto"/>
              <w:rPr>
                <w:rFonts w:ascii="Futura Std Condensed Light" w:eastAsia="Calibri" w:hAnsi="Futura Std Condensed Light" w:cs="Calibri"/>
                <w:sz w:val="20"/>
                <w:szCs w:val="20"/>
              </w:rPr>
            </w:pPr>
          </w:p>
          <w:p w14:paraId="788450F2" w14:textId="77777777" w:rsidR="00A24FEB" w:rsidRDefault="00A24FEB" w:rsidP="00177600">
            <w:pPr>
              <w:spacing w:after="0" w:line="240" w:lineRule="auto"/>
              <w:rPr>
                <w:rFonts w:ascii="Futura Std Condensed Light" w:eastAsia="Calibri" w:hAnsi="Futura Std Condensed Light" w:cs="Calibri"/>
                <w:sz w:val="20"/>
                <w:szCs w:val="20"/>
              </w:rPr>
            </w:pPr>
          </w:p>
          <w:p w14:paraId="01724645" w14:textId="77777777" w:rsidR="00A24FEB" w:rsidRDefault="00A24FEB" w:rsidP="00177600">
            <w:pPr>
              <w:spacing w:after="0" w:line="240" w:lineRule="auto"/>
              <w:rPr>
                <w:rFonts w:ascii="Futura Std Condensed Light" w:eastAsia="Calibri" w:hAnsi="Futura Std Condensed Light" w:cs="Calibri"/>
                <w:sz w:val="20"/>
                <w:szCs w:val="20"/>
              </w:rPr>
            </w:pPr>
          </w:p>
          <w:p w14:paraId="5914397D" w14:textId="1C83CA41" w:rsidR="00A24FEB" w:rsidRDefault="00A24FEB" w:rsidP="00177600">
            <w:pPr>
              <w:spacing w:after="0" w:line="240" w:lineRule="auto"/>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19. Emprender un programa de intervención de escuelas públicas mediante el equipamiento y rehabilitación de las mismas.</w:t>
            </w:r>
          </w:p>
        </w:tc>
        <w:tc>
          <w:tcPr>
            <w:tcW w:w="1787" w:type="pct"/>
            <w:tcBorders>
              <w:top w:val="single" w:sz="4" w:space="0" w:color="auto"/>
              <w:left w:val="single" w:sz="4" w:space="0" w:color="auto"/>
              <w:bottom w:val="single" w:sz="4" w:space="0" w:color="auto"/>
              <w:right w:val="single" w:sz="4" w:space="0" w:color="auto"/>
            </w:tcBorders>
            <w:shd w:val="clear" w:color="auto" w:fill="FFFFFF" w:themeFill="background1"/>
          </w:tcPr>
          <w:p w14:paraId="77EE648C" w14:textId="77777777" w:rsidR="00177600" w:rsidRDefault="00177600" w:rsidP="00177600">
            <w:pPr>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lastRenderedPageBreak/>
              <w:t>1.</w:t>
            </w:r>
            <w:r w:rsidRPr="00770E94">
              <w:rPr>
                <w:rFonts w:ascii="Futura Std Condensed Light" w:eastAsia="Calibri" w:hAnsi="Futura Std Condensed Light" w:cs="Calibri"/>
                <w:sz w:val="20"/>
                <w:szCs w:val="20"/>
              </w:rPr>
              <w:t>Emprender programas de intervención de escuelas públicas, en los diferentes niveles educativos, mediante el equipamiento y rehabilitación de las mismas para beneficio de la comunidad estudiantil de nuestro Estado.</w:t>
            </w:r>
          </w:p>
        </w:tc>
        <w:tc>
          <w:tcPr>
            <w:tcW w:w="882" w:type="pct"/>
            <w:vMerge w:val="restart"/>
            <w:tcBorders>
              <w:top w:val="single" w:sz="4" w:space="0" w:color="auto"/>
              <w:left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13683A49" w14:textId="1C154B9D" w:rsidR="0064478F" w:rsidRDefault="0064478F" w:rsidP="00937D44">
            <w:pPr>
              <w:rPr>
                <w:rFonts w:ascii="Futura Std Condensed Light" w:eastAsia="Calibri" w:hAnsi="Futura Std Condensed Light" w:cs="Calibri"/>
                <w:sz w:val="20"/>
                <w:szCs w:val="20"/>
              </w:rPr>
            </w:pPr>
          </w:p>
          <w:p w14:paraId="1540BB0C" w14:textId="3CA14F33" w:rsidR="00937D44" w:rsidRPr="00937D44" w:rsidRDefault="00937D44" w:rsidP="00937D44">
            <w:pPr>
              <w:rPr>
                <w:rFonts w:ascii="Futura Std Condensed Light" w:eastAsia="Calibri" w:hAnsi="Futura Std Condensed Light" w:cs="Calibri"/>
                <w:sz w:val="20"/>
                <w:szCs w:val="20"/>
              </w:rPr>
            </w:pPr>
            <w:r w:rsidRPr="00937D44">
              <w:rPr>
                <w:rFonts w:ascii="Futura Std Condensed Light" w:eastAsia="Calibri" w:hAnsi="Futura Std Condensed Light" w:cs="Calibri"/>
                <w:sz w:val="20"/>
                <w:szCs w:val="20"/>
              </w:rPr>
              <w:t xml:space="preserve">Mejorar la infraestructura y equipamiento de las escuelas de los diferentes niveles educativos, a fin </w:t>
            </w:r>
            <w:r w:rsidRPr="00937D44">
              <w:rPr>
                <w:rFonts w:ascii="Futura Std Condensed Light" w:eastAsia="Calibri" w:hAnsi="Futura Std Condensed Light" w:cs="Calibri"/>
                <w:sz w:val="20"/>
                <w:szCs w:val="20"/>
              </w:rPr>
              <w:lastRenderedPageBreak/>
              <w:t>de contar con espacios que brinden una educación inclusiva de calidad en beneficio de los estudiantes del Estado.</w:t>
            </w:r>
          </w:p>
          <w:p w14:paraId="5C4149DD" w14:textId="77777777" w:rsidR="00177600" w:rsidRDefault="00177600" w:rsidP="00177600">
            <w:pPr>
              <w:spacing w:after="0" w:line="240" w:lineRule="auto"/>
              <w:rPr>
                <w:rFonts w:ascii="Futura Std Condensed Light" w:eastAsia="Calibri" w:hAnsi="Futura Std Condensed Light" w:cs="Calibri"/>
                <w:sz w:val="20"/>
                <w:szCs w:val="20"/>
              </w:rPr>
            </w:pPr>
          </w:p>
          <w:p w14:paraId="4FBB9DB8" w14:textId="77777777" w:rsidR="00177600" w:rsidRDefault="00177600" w:rsidP="00177600">
            <w:pPr>
              <w:spacing w:after="0" w:line="240" w:lineRule="auto"/>
              <w:rPr>
                <w:rFonts w:ascii="Futura Std Condensed Light" w:eastAsia="Calibri" w:hAnsi="Futura Std Condensed Light" w:cs="Calibri"/>
                <w:sz w:val="20"/>
                <w:szCs w:val="20"/>
              </w:rPr>
            </w:pPr>
          </w:p>
          <w:p w14:paraId="6B9E6E0A" w14:textId="77777777" w:rsidR="00177600" w:rsidRDefault="00177600" w:rsidP="00177600">
            <w:pPr>
              <w:spacing w:after="0" w:line="240" w:lineRule="auto"/>
              <w:rPr>
                <w:rFonts w:ascii="Futura Std Condensed Light" w:eastAsia="Calibri" w:hAnsi="Futura Std Condensed Light" w:cs="Calibri"/>
                <w:sz w:val="20"/>
                <w:szCs w:val="20"/>
              </w:rPr>
            </w:pPr>
          </w:p>
          <w:p w14:paraId="37F05970" w14:textId="77777777" w:rsidR="00177600" w:rsidRDefault="00177600" w:rsidP="00177600">
            <w:pPr>
              <w:spacing w:after="0" w:line="240" w:lineRule="auto"/>
              <w:rPr>
                <w:rFonts w:ascii="Futura Std Condensed Light" w:eastAsia="Calibri" w:hAnsi="Futura Std Condensed Light" w:cs="Calibri"/>
                <w:sz w:val="20"/>
                <w:szCs w:val="20"/>
              </w:rPr>
            </w:pPr>
          </w:p>
          <w:p w14:paraId="1AA3F56E" w14:textId="77777777" w:rsidR="00177600" w:rsidRDefault="00177600" w:rsidP="00177600">
            <w:pPr>
              <w:spacing w:after="0" w:line="240" w:lineRule="auto"/>
              <w:rPr>
                <w:rFonts w:ascii="Futura Std Condensed Light" w:eastAsia="Calibri" w:hAnsi="Futura Std Condensed Light" w:cs="Calibri"/>
                <w:sz w:val="20"/>
                <w:szCs w:val="20"/>
              </w:rPr>
            </w:pPr>
          </w:p>
          <w:p w14:paraId="1F0B4B57" w14:textId="77777777" w:rsidR="00177600" w:rsidRDefault="00177600" w:rsidP="00177600">
            <w:pPr>
              <w:spacing w:after="0" w:line="240" w:lineRule="auto"/>
              <w:rPr>
                <w:rFonts w:ascii="Futura Std Condensed Light" w:eastAsia="Calibri" w:hAnsi="Futura Std Condensed Light" w:cs="Calibri"/>
                <w:sz w:val="20"/>
                <w:szCs w:val="20"/>
              </w:rPr>
            </w:pPr>
          </w:p>
          <w:p w14:paraId="6503A07B" w14:textId="4B2A1383" w:rsidR="00177600" w:rsidRDefault="00177600" w:rsidP="00177600">
            <w:pPr>
              <w:spacing w:after="0" w:line="240" w:lineRule="auto"/>
              <w:rPr>
                <w:rFonts w:ascii="Futura Std Condensed Light" w:eastAsia="Calibri" w:hAnsi="Futura Std Condensed Light" w:cs="Calibri"/>
                <w:sz w:val="20"/>
                <w:szCs w:val="20"/>
              </w:rPr>
            </w:pPr>
          </w:p>
          <w:p w14:paraId="283B7071" w14:textId="57CA4E8E" w:rsidR="00DE37B7" w:rsidRDefault="00DE37B7" w:rsidP="00177600">
            <w:pPr>
              <w:spacing w:after="0" w:line="240" w:lineRule="auto"/>
              <w:rPr>
                <w:rFonts w:ascii="Futura Std Condensed Light" w:eastAsia="Calibri" w:hAnsi="Futura Std Condensed Light" w:cs="Calibri"/>
                <w:sz w:val="20"/>
                <w:szCs w:val="20"/>
              </w:rPr>
            </w:pPr>
          </w:p>
          <w:p w14:paraId="07348D28" w14:textId="3C1BF449" w:rsidR="00DE37B7" w:rsidRDefault="00DE37B7" w:rsidP="00177600">
            <w:pPr>
              <w:spacing w:after="0" w:line="240" w:lineRule="auto"/>
              <w:rPr>
                <w:rFonts w:ascii="Futura Std Condensed Light" w:eastAsia="Calibri" w:hAnsi="Futura Std Condensed Light" w:cs="Calibri"/>
                <w:sz w:val="20"/>
                <w:szCs w:val="20"/>
              </w:rPr>
            </w:pPr>
          </w:p>
          <w:p w14:paraId="17777A93" w14:textId="7C66465D" w:rsidR="00DE37B7" w:rsidRDefault="00DE37B7" w:rsidP="00177600">
            <w:pPr>
              <w:spacing w:after="0" w:line="240" w:lineRule="auto"/>
              <w:rPr>
                <w:rFonts w:ascii="Futura Std Condensed Light" w:eastAsia="Calibri" w:hAnsi="Futura Std Condensed Light" w:cs="Calibri"/>
                <w:sz w:val="20"/>
                <w:szCs w:val="20"/>
              </w:rPr>
            </w:pPr>
          </w:p>
          <w:p w14:paraId="7AA66960" w14:textId="6185AB91" w:rsidR="00DE37B7" w:rsidRDefault="00DE37B7" w:rsidP="00177600">
            <w:pPr>
              <w:spacing w:after="0" w:line="240" w:lineRule="auto"/>
              <w:rPr>
                <w:rFonts w:ascii="Futura Std Condensed Light" w:eastAsia="Calibri" w:hAnsi="Futura Std Condensed Light" w:cs="Calibri"/>
                <w:sz w:val="20"/>
                <w:szCs w:val="20"/>
              </w:rPr>
            </w:pPr>
          </w:p>
          <w:p w14:paraId="6013C5A5" w14:textId="516285AE" w:rsidR="00DE37B7" w:rsidRDefault="00DE37B7" w:rsidP="00177600">
            <w:pPr>
              <w:spacing w:after="0" w:line="240" w:lineRule="auto"/>
              <w:rPr>
                <w:rFonts w:ascii="Futura Std Condensed Light" w:eastAsia="Calibri" w:hAnsi="Futura Std Condensed Light" w:cs="Calibri"/>
                <w:sz w:val="20"/>
                <w:szCs w:val="20"/>
              </w:rPr>
            </w:pPr>
          </w:p>
          <w:p w14:paraId="4BAF3B6D" w14:textId="087C962F" w:rsidR="00DE37B7" w:rsidRDefault="00DE37B7" w:rsidP="00177600">
            <w:pPr>
              <w:spacing w:after="0" w:line="240" w:lineRule="auto"/>
              <w:rPr>
                <w:rFonts w:ascii="Futura Std Condensed Light" w:eastAsia="Calibri" w:hAnsi="Futura Std Condensed Light" w:cs="Calibri"/>
                <w:sz w:val="20"/>
                <w:szCs w:val="20"/>
              </w:rPr>
            </w:pPr>
          </w:p>
          <w:p w14:paraId="2E9A385B" w14:textId="4B29781A" w:rsidR="00DE37B7" w:rsidRDefault="00DE37B7" w:rsidP="00177600">
            <w:pPr>
              <w:spacing w:after="0" w:line="240" w:lineRule="auto"/>
              <w:rPr>
                <w:rFonts w:ascii="Futura Std Condensed Light" w:eastAsia="Calibri" w:hAnsi="Futura Std Condensed Light" w:cs="Calibri"/>
                <w:sz w:val="20"/>
                <w:szCs w:val="20"/>
              </w:rPr>
            </w:pPr>
          </w:p>
          <w:p w14:paraId="10F14CCC" w14:textId="3F00A026" w:rsidR="00DE37B7" w:rsidRDefault="00DE37B7" w:rsidP="00177600">
            <w:pPr>
              <w:spacing w:after="0" w:line="240" w:lineRule="auto"/>
              <w:rPr>
                <w:rFonts w:ascii="Futura Std Condensed Light" w:eastAsia="Calibri" w:hAnsi="Futura Std Condensed Light" w:cs="Calibri"/>
                <w:sz w:val="20"/>
                <w:szCs w:val="20"/>
              </w:rPr>
            </w:pPr>
          </w:p>
          <w:p w14:paraId="160CB22A" w14:textId="1B596BB3" w:rsidR="007F3EA3" w:rsidRDefault="007F3EA3" w:rsidP="00177600">
            <w:pPr>
              <w:spacing w:after="0" w:line="240" w:lineRule="auto"/>
              <w:rPr>
                <w:rFonts w:ascii="Futura Std Condensed Light" w:eastAsia="Calibri" w:hAnsi="Futura Std Condensed Light" w:cs="Calibri"/>
                <w:sz w:val="20"/>
                <w:szCs w:val="20"/>
              </w:rPr>
            </w:pPr>
          </w:p>
          <w:p w14:paraId="508572B1" w14:textId="1FEBF417" w:rsidR="007F3EA3" w:rsidRDefault="007F3EA3" w:rsidP="00177600">
            <w:pPr>
              <w:spacing w:after="0" w:line="240" w:lineRule="auto"/>
              <w:rPr>
                <w:rFonts w:ascii="Futura Std Condensed Light" w:eastAsia="Calibri" w:hAnsi="Futura Std Condensed Light" w:cs="Calibri"/>
                <w:sz w:val="20"/>
                <w:szCs w:val="20"/>
              </w:rPr>
            </w:pPr>
          </w:p>
          <w:p w14:paraId="39FFD286" w14:textId="65FBADED" w:rsidR="007F3EA3" w:rsidRDefault="007F3EA3" w:rsidP="00177600">
            <w:pPr>
              <w:spacing w:after="0" w:line="240" w:lineRule="auto"/>
              <w:rPr>
                <w:rFonts w:ascii="Futura Std Condensed Light" w:eastAsia="Calibri" w:hAnsi="Futura Std Condensed Light" w:cs="Calibri"/>
                <w:sz w:val="20"/>
                <w:szCs w:val="20"/>
              </w:rPr>
            </w:pPr>
          </w:p>
          <w:p w14:paraId="034C4B8C" w14:textId="265D7E68" w:rsidR="007F3EA3" w:rsidRDefault="007F3EA3" w:rsidP="00177600">
            <w:pPr>
              <w:spacing w:after="0" w:line="240" w:lineRule="auto"/>
              <w:rPr>
                <w:rFonts w:ascii="Futura Std Condensed Light" w:eastAsia="Calibri" w:hAnsi="Futura Std Condensed Light" w:cs="Calibri"/>
                <w:sz w:val="20"/>
                <w:szCs w:val="20"/>
              </w:rPr>
            </w:pPr>
          </w:p>
          <w:p w14:paraId="6BC71CE4" w14:textId="68239CEA" w:rsidR="007F3EA3" w:rsidRDefault="007F3EA3" w:rsidP="00177600">
            <w:pPr>
              <w:spacing w:after="0" w:line="240" w:lineRule="auto"/>
              <w:rPr>
                <w:rFonts w:ascii="Futura Std Condensed Light" w:eastAsia="Calibri" w:hAnsi="Futura Std Condensed Light" w:cs="Calibri"/>
                <w:sz w:val="20"/>
                <w:szCs w:val="20"/>
              </w:rPr>
            </w:pPr>
          </w:p>
          <w:p w14:paraId="3947B651" w14:textId="7A991106" w:rsidR="007F3EA3" w:rsidRDefault="007F3EA3" w:rsidP="00177600">
            <w:pPr>
              <w:spacing w:after="0" w:line="240" w:lineRule="auto"/>
              <w:rPr>
                <w:rFonts w:ascii="Futura Std Condensed Light" w:eastAsia="Calibri" w:hAnsi="Futura Std Condensed Light" w:cs="Calibri"/>
                <w:sz w:val="20"/>
                <w:szCs w:val="20"/>
              </w:rPr>
            </w:pPr>
          </w:p>
          <w:p w14:paraId="5D2F05D2" w14:textId="39AB5BD2" w:rsidR="007F3EA3" w:rsidRDefault="007F3EA3" w:rsidP="00177600">
            <w:pPr>
              <w:spacing w:after="0" w:line="240" w:lineRule="auto"/>
              <w:rPr>
                <w:rFonts w:ascii="Futura Std Condensed Light" w:eastAsia="Calibri" w:hAnsi="Futura Std Condensed Light" w:cs="Calibri"/>
                <w:sz w:val="20"/>
                <w:szCs w:val="20"/>
              </w:rPr>
            </w:pPr>
          </w:p>
          <w:p w14:paraId="7DEE5B94" w14:textId="2CA779B3" w:rsidR="00A24FEB" w:rsidRDefault="00A24FEB" w:rsidP="00177600">
            <w:pPr>
              <w:spacing w:after="0" w:line="240" w:lineRule="auto"/>
              <w:rPr>
                <w:rFonts w:ascii="Futura Std Condensed Light" w:eastAsia="Calibri" w:hAnsi="Futura Std Condensed Light" w:cs="Calibri"/>
                <w:sz w:val="20"/>
                <w:szCs w:val="20"/>
              </w:rPr>
            </w:pPr>
          </w:p>
          <w:p w14:paraId="2FF4A3BE" w14:textId="60A674AC" w:rsidR="00A24FEB" w:rsidRDefault="00A24FEB" w:rsidP="00177600">
            <w:pPr>
              <w:spacing w:after="0" w:line="240" w:lineRule="auto"/>
              <w:rPr>
                <w:rFonts w:ascii="Futura Std Condensed Light" w:eastAsia="Calibri" w:hAnsi="Futura Std Condensed Light" w:cs="Calibri"/>
                <w:sz w:val="20"/>
                <w:szCs w:val="20"/>
              </w:rPr>
            </w:pPr>
          </w:p>
          <w:p w14:paraId="6CD6E3DE" w14:textId="52E1E163" w:rsidR="00A24FEB" w:rsidRDefault="00A24FEB" w:rsidP="00177600">
            <w:pPr>
              <w:spacing w:after="0" w:line="240" w:lineRule="auto"/>
              <w:rPr>
                <w:rFonts w:ascii="Futura Std Condensed Light" w:eastAsia="Calibri" w:hAnsi="Futura Std Condensed Light" w:cs="Calibri"/>
                <w:sz w:val="20"/>
                <w:szCs w:val="20"/>
              </w:rPr>
            </w:pPr>
          </w:p>
          <w:p w14:paraId="3E906430" w14:textId="6F8BCE90" w:rsidR="00A24FEB" w:rsidRDefault="00A24FEB" w:rsidP="00177600">
            <w:pPr>
              <w:spacing w:after="0" w:line="240" w:lineRule="auto"/>
              <w:rPr>
                <w:rFonts w:ascii="Futura Std Condensed Light" w:eastAsia="Calibri" w:hAnsi="Futura Std Condensed Light" w:cs="Calibri"/>
                <w:sz w:val="20"/>
                <w:szCs w:val="20"/>
              </w:rPr>
            </w:pPr>
          </w:p>
          <w:p w14:paraId="61804EA4" w14:textId="0D8B0AD3" w:rsidR="00A24FEB" w:rsidRDefault="00A24FEB" w:rsidP="00177600">
            <w:pPr>
              <w:spacing w:after="0" w:line="240" w:lineRule="auto"/>
              <w:rPr>
                <w:rFonts w:ascii="Futura Std Condensed Light" w:eastAsia="Calibri" w:hAnsi="Futura Std Condensed Light" w:cs="Calibri"/>
                <w:sz w:val="20"/>
                <w:szCs w:val="20"/>
              </w:rPr>
            </w:pPr>
          </w:p>
          <w:p w14:paraId="2A2AFB2C" w14:textId="3F7624E0" w:rsidR="00A24FEB" w:rsidRDefault="00A24FEB" w:rsidP="00177600">
            <w:pPr>
              <w:spacing w:after="0" w:line="240" w:lineRule="auto"/>
              <w:rPr>
                <w:rFonts w:ascii="Futura Std Condensed Light" w:eastAsia="Calibri" w:hAnsi="Futura Std Condensed Light" w:cs="Calibri"/>
                <w:sz w:val="20"/>
                <w:szCs w:val="20"/>
              </w:rPr>
            </w:pPr>
          </w:p>
          <w:p w14:paraId="32717793" w14:textId="77777777" w:rsidR="00A24FEB" w:rsidRDefault="00A24FEB" w:rsidP="00177600">
            <w:pPr>
              <w:spacing w:after="0" w:line="240" w:lineRule="auto"/>
              <w:rPr>
                <w:rFonts w:ascii="Futura Std Condensed Light" w:eastAsia="Calibri" w:hAnsi="Futura Std Condensed Light" w:cs="Calibri"/>
                <w:sz w:val="20"/>
                <w:szCs w:val="20"/>
              </w:rPr>
            </w:pPr>
          </w:p>
          <w:p w14:paraId="7A7C6210" w14:textId="51843D9E" w:rsidR="00DE37B7" w:rsidRDefault="00DE37B7" w:rsidP="00177600">
            <w:pPr>
              <w:spacing w:after="0" w:line="240" w:lineRule="auto"/>
              <w:rPr>
                <w:rFonts w:ascii="Futura Std Condensed Light" w:eastAsia="Calibri" w:hAnsi="Futura Std Condensed Light" w:cs="Calibri"/>
                <w:sz w:val="20"/>
                <w:szCs w:val="20"/>
              </w:rPr>
            </w:pPr>
          </w:p>
          <w:p w14:paraId="086579C7" w14:textId="77777777" w:rsidR="00937D44" w:rsidRPr="00937D44" w:rsidRDefault="00937D44" w:rsidP="00937D44">
            <w:pPr>
              <w:rPr>
                <w:rFonts w:ascii="Futura Std Condensed Light" w:eastAsia="Calibri" w:hAnsi="Futura Std Condensed Light" w:cs="Calibri"/>
                <w:sz w:val="20"/>
                <w:szCs w:val="20"/>
              </w:rPr>
            </w:pPr>
            <w:r w:rsidRPr="00937D44">
              <w:rPr>
                <w:rFonts w:ascii="Futura Std Condensed Light" w:eastAsia="Calibri" w:hAnsi="Futura Std Condensed Light" w:cs="Calibri"/>
                <w:sz w:val="20"/>
                <w:szCs w:val="20"/>
              </w:rPr>
              <w:t>Mejorar la infraestructura y equipamiento de las escuelas de los diferentes niveles educativos, a fin de contar con espacios que brinden una educación inclusiva de calidad en beneficio de los estudiantes del Estado.</w:t>
            </w:r>
          </w:p>
          <w:p w14:paraId="57307855" w14:textId="77777777" w:rsidR="00177600" w:rsidRDefault="00177600" w:rsidP="00177600">
            <w:pPr>
              <w:spacing w:after="0" w:line="240" w:lineRule="auto"/>
              <w:rPr>
                <w:rFonts w:ascii="Futura Std Condensed Light" w:eastAsia="Calibri" w:hAnsi="Futura Std Condensed Light" w:cs="Calibri"/>
                <w:sz w:val="20"/>
                <w:szCs w:val="20"/>
              </w:rPr>
            </w:pPr>
          </w:p>
          <w:p w14:paraId="79853310" w14:textId="77777777" w:rsidR="00177600" w:rsidRDefault="00177600" w:rsidP="00177600">
            <w:pPr>
              <w:spacing w:after="0" w:line="240" w:lineRule="auto"/>
              <w:rPr>
                <w:rFonts w:ascii="Futura Std Condensed Light" w:eastAsia="Calibri" w:hAnsi="Futura Std Condensed Light" w:cs="Calibri"/>
                <w:sz w:val="20"/>
                <w:szCs w:val="20"/>
              </w:rPr>
            </w:pPr>
          </w:p>
          <w:p w14:paraId="0604D305" w14:textId="77777777" w:rsidR="00177600" w:rsidRDefault="00177600" w:rsidP="00177600">
            <w:pPr>
              <w:spacing w:after="0" w:line="240" w:lineRule="auto"/>
              <w:rPr>
                <w:rFonts w:ascii="Futura Std Condensed Light" w:eastAsia="Calibri" w:hAnsi="Futura Std Condensed Light" w:cs="Calibri"/>
                <w:sz w:val="20"/>
                <w:szCs w:val="20"/>
              </w:rPr>
            </w:pPr>
          </w:p>
          <w:p w14:paraId="02201101" w14:textId="77777777" w:rsidR="00177600" w:rsidRDefault="00177600" w:rsidP="00177600">
            <w:pPr>
              <w:spacing w:after="0" w:line="240" w:lineRule="auto"/>
              <w:rPr>
                <w:rFonts w:ascii="Futura Std Condensed Light" w:eastAsia="Calibri" w:hAnsi="Futura Std Condensed Light" w:cs="Calibri"/>
                <w:sz w:val="20"/>
                <w:szCs w:val="20"/>
              </w:rPr>
            </w:pPr>
          </w:p>
          <w:p w14:paraId="233910F5" w14:textId="77777777" w:rsidR="00177600" w:rsidRDefault="00177600" w:rsidP="00177600">
            <w:pPr>
              <w:spacing w:after="0" w:line="240" w:lineRule="auto"/>
              <w:rPr>
                <w:rFonts w:ascii="Futura Std Condensed Light" w:eastAsia="Calibri" w:hAnsi="Futura Std Condensed Light" w:cs="Calibri"/>
                <w:sz w:val="20"/>
                <w:szCs w:val="20"/>
              </w:rPr>
            </w:pPr>
          </w:p>
          <w:p w14:paraId="5F4C4652" w14:textId="77777777" w:rsidR="00177600" w:rsidRDefault="00177600" w:rsidP="00177600">
            <w:pPr>
              <w:spacing w:after="0" w:line="240" w:lineRule="auto"/>
              <w:rPr>
                <w:rFonts w:ascii="Futura Std Condensed Light" w:eastAsia="Calibri" w:hAnsi="Futura Std Condensed Light" w:cs="Calibri"/>
                <w:sz w:val="20"/>
                <w:szCs w:val="20"/>
              </w:rPr>
            </w:pPr>
          </w:p>
          <w:p w14:paraId="0C3294EE" w14:textId="77777777" w:rsidR="00177600" w:rsidRDefault="00177600" w:rsidP="00177600">
            <w:pPr>
              <w:spacing w:after="0" w:line="240" w:lineRule="auto"/>
              <w:rPr>
                <w:rFonts w:ascii="Futura Std Condensed Light" w:eastAsia="Calibri" w:hAnsi="Futura Std Condensed Light" w:cs="Calibri"/>
                <w:sz w:val="20"/>
                <w:szCs w:val="20"/>
              </w:rPr>
            </w:pPr>
          </w:p>
          <w:p w14:paraId="0B881979" w14:textId="77777777" w:rsidR="00177600" w:rsidRDefault="00177600" w:rsidP="00177600">
            <w:pPr>
              <w:spacing w:after="0" w:line="240" w:lineRule="auto"/>
              <w:rPr>
                <w:rFonts w:ascii="Futura Std Condensed Light" w:eastAsia="Calibri" w:hAnsi="Futura Std Condensed Light" w:cs="Calibri"/>
                <w:sz w:val="20"/>
                <w:szCs w:val="20"/>
              </w:rPr>
            </w:pPr>
          </w:p>
          <w:p w14:paraId="7F45F478" w14:textId="77777777" w:rsidR="00177600" w:rsidRDefault="00177600" w:rsidP="00177600">
            <w:pPr>
              <w:spacing w:after="0" w:line="240" w:lineRule="auto"/>
              <w:rPr>
                <w:rFonts w:ascii="Futura Std Condensed Light" w:eastAsia="Calibri" w:hAnsi="Futura Std Condensed Light" w:cs="Calibri"/>
                <w:sz w:val="20"/>
                <w:szCs w:val="20"/>
              </w:rPr>
            </w:pPr>
          </w:p>
          <w:p w14:paraId="39C0A4AB" w14:textId="77777777" w:rsidR="00177600" w:rsidRDefault="00177600" w:rsidP="00177600">
            <w:pPr>
              <w:spacing w:after="0" w:line="240" w:lineRule="auto"/>
              <w:rPr>
                <w:rFonts w:ascii="Futura Std Condensed Light" w:eastAsia="Calibri" w:hAnsi="Futura Std Condensed Light" w:cs="Calibri"/>
                <w:sz w:val="20"/>
                <w:szCs w:val="20"/>
              </w:rPr>
            </w:pPr>
          </w:p>
          <w:p w14:paraId="454C4946" w14:textId="77777777" w:rsidR="003152CC" w:rsidRDefault="003152CC" w:rsidP="00C60620">
            <w:pPr>
              <w:rPr>
                <w:rFonts w:ascii="Futura Std Condensed Light" w:eastAsia="Calibri" w:hAnsi="Futura Std Condensed Light" w:cs="Calibri"/>
                <w:sz w:val="20"/>
                <w:szCs w:val="20"/>
              </w:rPr>
            </w:pPr>
          </w:p>
          <w:p w14:paraId="36C633DA" w14:textId="77777777" w:rsidR="003152CC" w:rsidRDefault="003152CC" w:rsidP="00C60620">
            <w:pPr>
              <w:rPr>
                <w:rFonts w:ascii="Futura Std Condensed Light" w:eastAsia="Calibri" w:hAnsi="Futura Std Condensed Light" w:cs="Calibri"/>
                <w:sz w:val="20"/>
                <w:szCs w:val="20"/>
              </w:rPr>
            </w:pPr>
          </w:p>
          <w:p w14:paraId="66DF0C4B" w14:textId="77777777" w:rsidR="003152CC" w:rsidRDefault="003152CC" w:rsidP="00C60620">
            <w:pPr>
              <w:rPr>
                <w:rFonts w:ascii="Futura Std Condensed Light" w:eastAsia="Calibri" w:hAnsi="Futura Std Condensed Light" w:cs="Calibri"/>
                <w:sz w:val="20"/>
                <w:szCs w:val="20"/>
              </w:rPr>
            </w:pPr>
          </w:p>
          <w:p w14:paraId="72D1BED6" w14:textId="77777777" w:rsidR="003152CC" w:rsidRDefault="003152CC" w:rsidP="00C60620">
            <w:pPr>
              <w:rPr>
                <w:rFonts w:ascii="Futura Std Condensed Light" w:eastAsia="Calibri" w:hAnsi="Futura Std Condensed Light" w:cs="Calibri"/>
                <w:sz w:val="20"/>
                <w:szCs w:val="20"/>
              </w:rPr>
            </w:pPr>
          </w:p>
          <w:p w14:paraId="7B4C7BCC" w14:textId="53760CB1" w:rsidR="00C60620" w:rsidRPr="00937D44" w:rsidRDefault="00C60620" w:rsidP="00C60620">
            <w:pPr>
              <w:rPr>
                <w:rFonts w:ascii="Futura Std Condensed Light" w:eastAsia="Calibri" w:hAnsi="Futura Std Condensed Light" w:cs="Calibri"/>
                <w:sz w:val="20"/>
                <w:szCs w:val="20"/>
              </w:rPr>
            </w:pPr>
            <w:r w:rsidRPr="00937D44">
              <w:rPr>
                <w:rFonts w:ascii="Futura Std Condensed Light" w:eastAsia="Calibri" w:hAnsi="Futura Std Condensed Light" w:cs="Calibri"/>
                <w:sz w:val="20"/>
                <w:szCs w:val="20"/>
              </w:rPr>
              <w:t>Mejorar la infraestructura y equipamiento de las escuelas de los diferentes niveles educativos, a fin de contar con espacios que brinden una educación inclusiva de calidad en beneficio de los estudiantes del Estado.</w:t>
            </w:r>
          </w:p>
          <w:p w14:paraId="3A96B4CC" w14:textId="0AEC0D7F" w:rsidR="00177600" w:rsidRDefault="00177600" w:rsidP="00177600">
            <w:pPr>
              <w:spacing w:after="0" w:line="240" w:lineRule="auto"/>
              <w:rPr>
                <w:rFonts w:ascii="Futura Std Condensed Light" w:eastAsia="Calibri" w:hAnsi="Futura Std Condensed Light" w:cs="Calibri"/>
                <w:sz w:val="20"/>
                <w:szCs w:val="20"/>
              </w:rPr>
            </w:pPr>
          </w:p>
        </w:tc>
      </w:tr>
      <w:tr w:rsidR="00177600" w14:paraId="787D40F6" w14:textId="77777777" w:rsidTr="00D83181">
        <w:trPr>
          <w:trHeight w:val="2020"/>
          <w:jc w:val="center"/>
        </w:trPr>
        <w:tc>
          <w:tcPr>
            <w:tcW w:w="700" w:type="pct"/>
            <w:vMerge/>
            <w:tcBorders>
              <w:left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7C9FFCF8" w14:textId="4559202D" w:rsidR="00177600" w:rsidRDefault="00177600" w:rsidP="00177600">
            <w:pPr>
              <w:spacing w:after="0" w:line="240" w:lineRule="auto"/>
              <w:jc w:val="center"/>
              <w:rPr>
                <w:rFonts w:ascii="Futura Std Condensed Light" w:eastAsia="Calibri" w:hAnsi="Futura Std Condensed Light" w:cs="Calibri"/>
                <w:sz w:val="20"/>
                <w:szCs w:val="20"/>
              </w:rPr>
            </w:pPr>
          </w:p>
        </w:tc>
        <w:tc>
          <w:tcPr>
            <w:tcW w:w="1630" w:type="pct"/>
            <w:vMerge/>
            <w:tcBorders>
              <w:left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20B8B879" w14:textId="77777777" w:rsidR="00177600" w:rsidRDefault="00177600" w:rsidP="00177600">
            <w:pPr>
              <w:spacing w:after="0" w:line="240" w:lineRule="auto"/>
              <w:rPr>
                <w:rFonts w:ascii="Futura Std Condensed Light" w:eastAsia="Calibri" w:hAnsi="Futura Std Condensed Light" w:cs="Calibri"/>
                <w:sz w:val="20"/>
                <w:szCs w:val="20"/>
              </w:rPr>
            </w:pPr>
          </w:p>
        </w:tc>
        <w:tc>
          <w:tcPr>
            <w:tcW w:w="1787" w:type="pct"/>
            <w:tcBorders>
              <w:top w:val="single" w:sz="4" w:space="0" w:color="auto"/>
              <w:left w:val="single" w:sz="4" w:space="0" w:color="auto"/>
              <w:bottom w:val="single" w:sz="4" w:space="0" w:color="auto"/>
              <w:right w:val="single" w:sz="4" w:space="0" w:color="auto"/>
            </w:tcBorders>
            <w:shd w:val="clear" w:color="auto" w:fill="FFFFFF" w:themeFill="background1"/>
          </w:tcPr>
          <w:p w14:paraId="6989AF87" w14:textId="77777777" w:rsidR="00177600" w:rsidRDefault="00177600" w:rsidP="00177600">
            <w:pPr>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2.</w:t>
            </w:r>
            <w:r w:rsidRPr="00770E94">
              <w:rPr>
                <w:rFonts w:ascii="Futura Std Condensed Light" w:eastAsia="Calibri" w:hAnsi="Futura Std Condensed Light" w:cs="Calibri"/>
                <w:sz w:val="20"/>
                <w:szCs w:val="20"/>
              </w:rPr>
              <w:t>Implementar y actualizar permanentemente una base de datos de información del estado físico de las instalaciones que integran la infraestructura física educativa del estado, recopilando la información del estado que guarda los espacios educativos, con la finalidad de realizar diagnósticos y pronósticos de los mismos.</w:t>
            </w:r>
          </w:p>
        </w:tc>
        <w:tc>
          <w:tcPr>
            <w:tcW w:w="882" w:type="pct"/>
            <w:vMerge/>
            <w:tcBorders>
              <w:left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621FC960" w14:textId="77777777" w:rsidR="00177600" w:rsidRDefault="00177600" w:rsidP="00177600">
            <w:pPr>
              <w:spacing w:after="0" w:line="240" w:lineRule="auto"/>
              <w:rPr>
                <w:rFonts w:ascii="Futura Std Condensed Light" w:eastAsia="Calibri" w:hAnsi="Futura Std Condensed Light" w:cs="Calibri"/>
                <w:sz w:val="20"/>
                <w:szCs w:val="20"/>
              </w:rPr>
            </w:pPr>
          </w:p>
        </w:tc>
      </w:tr>
      <w:tr w:rsidR="00177600" w14:paraId="213DFC40" w14:textId="77777777" w:rsidTr="00D83181">
        <w:trPr>
          <w:trHeight w:val="1182"/>
          <w:jc w:val="center"/>
        </w:trPr>
        <w:tc>
          <w:tcPr>
            <w:tcW w:w="700" w:type="pct"/>
            <w:vMerge/>
            <w:tcBorders>
              <w:left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78321C71" w14:textId="7787F67D" w:rsidR="00177600" w:rsidRDefault="00177600" w:rsidP="00177600">
            <w:pPr>
              <w:spacing w:after="0" w:line="240" w:lineRule="auto"/>
              <w:jc w:val="center"/>
              <w:rPr>
                <w:rFonts w:ascii="Futura Std Condensed Light" w:eastAsia="Calibri" w:hAnsi="Futura Std Condensed Light" w:cs="Calibri"/>
                <w:sz w:val="20"/>
                <w:szCs w:val="20"/>
              </w:rPr>
            </w:pPr>
          </w:p>
        </w:tc>
        <w:tc>
          <w:tcPr>
            <w:tcW w:w="1630" w:type="pct"/>
            <w:vMerge/>
            <w:tcBorders>
              <w:left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357A1DA7" w14:textId="77777777" w:rsidR="00177600" w:rsidRDefault="00177600" w:rsidP="00177600">
            <w:pPr>
              <w:spacing w:after="0" w:line="240" w:lineRule="auto"/>
              <w:rPr>
                <w:rFonts w:ascii="Futura Std Condensed Light" w:eastAsia="Calibri" w:hAnsi="Futura Std Condensed Light" w:cs="Calibri"/>
                <w:sz w:val="20"/>
                <w:szCs w:val="20"/>
              </w:rPr>
            </w:pPr>
          </w:p>
        </w:tc>
        <w:tc>
          <w:tcPr>
            <w:tcW w:w="1787" w:type="pct"/>
            <w:tcBorders>
              <w:top w:val="single" w:sz="4" w:space="0" w:color="auto"/>
              <w:left w:val="single" w:sz="4" w:space="0" w:color="auto"/>
              <w:bottom w:val="single" w:sz="4" w:space="0" w:color="auto"/>
              <w:right w:val="single" w:sz="4" w:space="0" w:color="auto"/>
            </w:tcBorders>
            <w:shd w:val="clear" w:color="auto" w:fill="FFFFFF" w:themeFill="background1"/>
          </w:tcPr>
          <w:p w14:paraId="28D05A39" w14:textId="22A1D99F" w:rsidR="00177600" w:rsidRDefault="00F42776" w:rsidP="00177600">
            <w:pPr>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3</w:t>
            </w:r>
            <w:r w:rsidR="00177600">
              <w:rPr>
                <w:rFonts w:ascii="Futura Std Condensed Light" w:eastAsia="Calibri" w:hAnsi="Futura Std Condensed Light" w:cs="Calibri"/>
                <w:sz w:val="20"/>
                <w:szCs w:val="20"/>
              </w:rPr>
              <w:t xml:space="preserve">. </w:t>
            </w:r>
            <w:r w:rsidR="00177600" w:rsidRPr="00786F87">
              <w:rPr>
                <w:rFonts w:ascii="Futura Std Condensed Light" w:eastAsia="Calibri" w:hAnsi="Futura Std Condensed Light" w:cs="Calibri"/>
                <w:sz w:val="20"/>
                <w:szCs w:val="20"/>
              </w:rPr>
              <w:t>Fortalecer la Contraloría Social con el apoyo de los padres de familia, con el fin de transparentar las acciones realizadas por el Instituto, en materi</w:t>
            </w:r>
            <w:r w:rsidR="00177600">
              <w:rPr>
                <w:rFonts w:ascii="Futura Std Condensed Light" w:eastAsia="Calibri" w:hAnsi="Futura Std Condensed Light" w:cs="Calibri"/>
                <w:sz w:val="20"/>
                <w:szCs w:val="20"/>
              </w:rPr>
              <w:t>a de Infraestructura Educativa.</w:t>
            </w:r>
          </w:p>
        </w:tc>
        <w:tc>
          <w:tcPr>
            <w:tcW w:w="882" w:type="pct"/>
            <w:vMerge/>
            <w:tcBorders>
              <w:left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5C220C48" w14:textId="77777777" w:rsidR="00177600" w:rsidRDefault="00177600" w:rsidP="00177600">
            <w:pPr>
              <w:spacing w:after="0" w:line="240" w:lineRule="auto"/>
              <w:rPr>
                <w:rFonts w:ascii="Futura Std Condensed Light" w:eastAsia="Calibri" w:hAnsi="Futura Std Condensed Light" w:cs="Calibri"/>
                <w:sz w:val="20"/>
                <w:szCs w:val="20"/>
              </w:rPr>
            </w:pPr>
          </w:p>
        </w:tc>
      </w:tr>
      <w:tr w:rsidR="00177600" w14:paraId="461A26C2" w14:textId="77777777" w:rsidTr="00D83181">
        <w:trPr>
          <w:trHeight w:val="630"/>
          <w:jc w:val="center"/>
        </w:trPr>
        <w:tc>
          <w:tcPr>
            <w:tcW w:w="700" w:type="pct"/>
            <w:vMerge/>
            <w:tcBorders>
              <w:left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6202F1C6" w14:textId="3B179E3A" w:rsidR="00177600" w:rsidRDefault="00177600" w:rsidP="00177600">
            <w:pPr>
              <w:spacing w:after="0" w:line="240" w:lineRule="auto"/>
              <w:jc w:val="center"/>
              <w:rPr>
                <w:rFonts w:ascii="Futura Std Condensed Light" w:eastAsia="Calibri" w:hAnsi="Futura Std Condensed Light" w:cs="Calibri"/>
                <w:sz w:val="20"/>
                <w:szCs w:val="20"/>
              </w:rPr>
            </w:pPr>
          </w:p>
        </w:tc>
        <w:tc>
          <w:tcPr>
            <w:tcW w:w="1630" w:type="pct"/>
            <w:vMerge/>
            <w:tcBorders>
              <w:left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2602208F" w14:textId="77777777" w:rsidR="00177600" w:rsidRDefault="00177600" w:rsidP="00177600">
            <w:pPr>
              <w:spacing w:after="0" w:line="240" w:lineRule="auto"/>
              <w:rPr>
                <w:rFonts w:ascii="Futura Std Condensed Light" w:eastAsia="Calibri" w:hAnsi="Futura Std Condensed Light" w:cs="Calibri"/>
                <w:sz w:val="20"/>
                <w:szCs w:val="20"/>
              </w:rPr>
            </w:pPr>
          </w:p>
        </w:tc>
        <w:tc>
          <w:tcPr>
            <w:tcW w:w="1787" w:type="pct"/>
            <w:tcBorders>
              <w:top w:val="single" w:sz="4" w:space="0" w:color="auto"/>
              <w:left w:val="single" w:sz="4" w:space="0" w:color="auto"/>
              <w:bottom w:val="single" w:sz="4" w:space="0" w:color="auto"/>
              <w:right w:val="single" w:sz="4" w:space="0" w:color="auto"/>
            </w:tcBorders>
            <w:shd w:val="clear" w:color="auto" w:fill="FFFFFF" w:themeFill="background1"/>
          </w:tcPr>
          <w:p w14:paraId="3AA7C971" w14:textId="034C6467" w:rsidR="00177600" w:rsidRDefault="00F42776" w:rsidP="00177600">
            <w:pPr>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4</w:t>
            </w:r>
            <w:r w:rsidR="00177600">
              <w:rPr>
                <w:rFonts w:ascii="Futura Std Condensed Light" w:eastAsia="Calibri" w:hAnsi="Futura Std Condensed Light" w:cs="Calibri"/>
                <w:sz w:val="20"/>
                <w:szCs w:val="20"/>
              </w:rPr>
              <w:t>.</w:t>
            </w:r>
            <w:r w:rsidR="00177600" w:rsidRPr="00315506">
              <w:rPr>
                <w:rFonts w:ascii="Futura Std Condensed Light" w:eastAsia="Calibri" w:hAnsi="Futura Std Condensed Light" w:cs="Calibri"/>
                <w:sz w:val="20"/>
                <w:szCs w:val="20"/>
              </w:rPr>
              <w:t>Habilitar las condiciones de infra</w:t>
            </w:r>
            <w:r w:rsidR="00177600">
              <w:rPr>
                <w:rFonts w:ascii="Futura Std Condensed Light" w:eastAsia="Calibri" w:hAnsi="Futura Std Condensed Light" w:cs="Calibri"/>
                <w:sz w:val="20"/>
                <w:szCs w:val="20"/>
              </w:rPr>
              <w:t>estructura tecnológica y telecom</w:t>
            </w:r>
            <w:r w:rsidR="00177600" w:rsidRPr="00315506">
              <w:rPr>
                <w:rFonts w:ascii="Futura Std Condensed Light" w:eastAsia="Calibri" w:hAnsi="Futura Std Condensed Light" w:cs="Calibri"/>
                <w:sz w:val="20"/>
                <w:szCs w:val="20"/>
              </w:rPr>
              <w:t>unicaciones de las escuelas del Estado.</w:t>
            </w:r>
          </w:p>
        </w:tc>
        <w:tc>
          <w:tcPr>
            <w:tcW w:w="882" w:type="pct"/>
            <w:vMerge/>
            <w:tcBorders>
              <w:left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51E7D66E" w14:textId="77777777" w:rsidR="00177600" w:rsidRDefault="00177600" w:rsidP="00177600">
            <w:pPr>
              <w:spacing w:after="0" w:line="240" w:lineRule="auto"/>
              <w:rPr>
                <w:rFonts w:ascii="Futura Std Condensed Light" w:eastAsia="Calibri" w:hAnsi="Futura Std Condensed Light" w:cs="Calibri"/>
                <w:sz w:val="20"/>
                <w:szCs w:val="20"/>
              </w:rPr>
            </w:pPr>
          </w:p>
        </w:tc>
      </w:tr>
      <w:tr w:rsidR="00177600" w14:paraId="04110ED4" w14:textId="77777777" w:rsidTr="00D83181">
        <w:trPr>
          <w:trHeight w:val="1665"/>
          <w:jc w:val="center"/>
        </w:trPr>
        <w:tc>
          <w:tcPr>
            <w:tcW w:w="700" w:type="pct"/>
            <w:vMerge/>
            <w:tcBorders>
              <w:left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744DB06C" w14:textId="564701E4" w:rsidR="00177600" w:rsidRDefault="00177600" w:rsidP="00177600">
            <w:pPr>
              <w:spacing w:after="0" w:line="240" w:lineRule="auto"/>
              <w:jc w:val="center"/>
              <w:rPr>
                <w:rFonts w:ascii="Futura Std Condensed Light" w:eastAsia="Calibri" w:hAnsi="Futura Std Condensed Light" w:cs="Calibri"/>
                <w:sz w:val="20"/>
                <w:szCs w:val="20"/>
              </w:rPr>
            </w:pPr>
          </w:p>
        </w:tc>
        <w:tc>
          <w:tcPr>
            <w:tcW w:w="1630" w:type="pct"/>
            <w:vMerge/>
            <w:tcBorders>
              <w:left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6376182B" w14:textId="77777777" w:rsidR="00177600" w:rsidRDefault="00177600" w:rsidP="00177600">
            <w:pPr>
              <w:spacing w:after="0" w:line="240" w:lineRule="auto"/>
              <w:rPr>
                <w:rFonts w:ascii="Futura Std Condensed Light" w:eastAsia="Calibri" w:hAnsi="Futura Std Condensed Light" w:cs="Calibri"/>
                <w:sz w:val="20"/>
                <w:szCs w:val="20"/>
              </w:rPr>
            </w:pPr>
          </w:p>
        </w:tc>
        <w:tc>
          <w:tcPr>
            <w:tcW w:w="1787" w:type="pct"/>
            <w:tcBorders>
              <w:top w:val="single" w:sz="4" w:space="0" w:color="auto"/>
              <w:left w:val="single" w:sz="4" w:space="0" w:color="auto"/>
              <w:bottom w:val="single" w:sz="4" w:space="0" w:color="auto"/>
              <w:right w:val="single" w:sz="4" w:space="0" w:color="auto"/>
            </w:tcBorders>
            <w:shd w:val="clear" w:color="auto" w:fill="FFFFFF" w:themeFill="background1"/>
          </w:tcPr>
          <w:p w14:paraId="7EB08C28" w14:textId="4ED4D5B3" w:rsidR="00177600" w:rsidRDefault="00F42776" w:rsidP="00177600">
            <w:pPr>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5</w:t>
            </w:r>
            <w:r w:rsidR="00177600">
              <w:rPr>
                <w:rFonts w:ascii="Futura Std Condensed Light" w:eastAsia="Calibri" w:hAnsi="Futura Std Condensed Light" w:cs="Calibri"/>
                <w:sz w:val="20"/>
                <w:szCs w:val="20"/>
              </w:rPr>
              <w:t xml:space="preserve">. </w:t>
            </w:r>
            <w:r w:rsidR="00177600" w:rsidRPr="00301472">
              <w:rPr>
                <w:rFonts w:ascii="Futura Std Condensed Light" w:eastAsia="Calibri" w:hAnsi="Futura Std Condensed Light" w:cs="Calibri"/>
                <w:sz w:val="20"/>
                <w:szCs w:val="20"/>
              </w:rPr>
              <w:t xml:space="preserve">Desarrollar los proyectos de construcción y rehabilitación, así como de equipamiento de los niveles básico, media superior y superior, previa solicitud de la instancia correspondiente, así como integrar los expedientes </w:t>
            </w:r>
            <w:r w:rsidR="00177600" w:rsidRPr="00301472">
              <w:rPr>
                <w:rFonts w:ascii="Futura Std Condensed Light" w:eastAsia="Calibri" w:hAnsi="Futura Std Condensed Light" w:cs="Calibri"/>
                <w:sz w:val="20"/>
                <w:szCs w:val="20"/>
              </w:rPr>
              <w:lastRenderedPageBreak/>
              <w:t xml:space="preserve">técnicos que deriven de ellos, en apego a los lineamientos establecidos </w:t>
            </w:r>
            <w:r w:rsidR="00937D44">
              <w:rPr>
                <w:rFonts w:ascii="Futura Std Condensed Light" w:eastAsia="Calibri" w:hAnsi="Futura Std Condensed Light" w:cs="Calibri"/>
                <w:sz w:val="20"/>
                <w:szCs w:val="20"/>
              </w:rPr>
              <w:t>en el marco normativo aplicable.</w:t>
            </w:r>
          </w:p>
        </w:tc>
        <w:tc>
          <w:tcPr>
            <w:tcW w:w="882" w:type="pct"/>
            <w:vMerge/>
            <w:tcBorders>
              <w:left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55FDC8E6" w14:textId="77777777" w:rsidR="00177600" w:rsidRDefault="00177600" w:rsidP="00177600">
            <w:pPr>
              <w:spacing w:after="0" w:line="240" w:lineRule="auto"/>
              <w:rPr>
                <w:rFonts w:ascii="Futura Std Condensed Light" w:eastAsia="Calibri" w:hAnsi="Futura Std Condensed Light" w:cs="Calibri"/>
                <w:sz w:val="20"/>
                <w:szCs w:val="20"/>
              </w:rPr>
            </w:pPr>
          </w:p>
        </w:tc>
      </w:tr>
      <w:tr w:rsidR="00177600" w14:paraId="221DC2C1" w14:textId="77777777" w:rsidTr="00D83181">
        <w:trPr>
          <w:trHeight w:val="1158"/>
          <w:jc w:val="center"/>
        </w:trPr>
        <w:tc>
          <w:tcPr>
            <w:tcW w:w="700" w:type="pct"/>
            <w:vMerge/>
            <w:tcBorders>
              <w:left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1D728461" w14:textId="6BF59116" w:rsidR="00177600" w:rsidRDefault="00177600" w:rsidP="00177600">
            <w:pPr>
              <w:spacing w:after="0" w:line="240" w:lineRule="auto"/>
              <w:jc w:val="center"/>
              <w:rPr>
                <w:rFonts w:ascii="Futura Std Condensed Light" w:eastAsia="Calibri" w:hAnsi="Futura Std Condensed Light" w:cs="Calibri"/>
                <w:sz w:val="20"/>
                <w:szCs w:val="20"/>
              </w:rPr>
            </w:pPr>
          </w:p>
        </w:tc>
        <w:tc>
          <w:tcPr>
            <w:tcW w:w="1630" w:type="pct"/>
            <w:vMerge/>
            <w:tcBorders>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4D4D3AE7" w14:textId="77777777" w:rsidR="00177600" w:rsidRDefault="00177600" w:rsidP="00177600">
            <w:pPr>
              <w:spacing w:after="0" w:line="240" w:lineRule="auto"/>
              <w:rPr>
                <w:rFonts w:ascii="Futura Std Condensed Light" w:eastAsia="Calibri" w:hAnsi="Futura Std Condensed Light" w:cs="Calibri"/>
                <w:sz w:val="20"/>
                <w:szCs w:val="20"/>
              </w:rPr>
            </w:pPr>
          </w:p>
        </w:tc>
        <w:tc>
          <w:tcPr>
            <w:tcW w:w="1787" w:type="pct"/>
            <w:tcBorders>
              <w:top w:val="single" w:sz="4" w:space="0" w:color="auto"/>
              <w:left w:val="single" w:sz="4" w:space="0" w:color="auto"/>
              <w:bottom w:val="single" w:sz="4" w:space="0" w:color="auto"/>
              <w:right w:val="single" w:sz="4" w:space="0" w:color="auto"/>
            </w:tcBorders>
            <w:shd w:val="clear" w:color="auto" w:fill="FFFFFF" w:themeFill="background1"/>
          </w:tcPr>
          <w:p w14:paraId="26D99C91" w14:textId="473B461C" w:rsidR="00177600" w:rsidRDefault="00F42776" w:rsidP="00177600">
            <w:pPr>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6</w:t>
            </w:r>
            <w:r w:rsidR="00177600" w:rsidRPr="00301472">
              <w:rPr>
                <w:rFonts w:ascii="Futura Std Condensed Light" w:eastAsia="Calibri" w:hAnsi="Futura Std Condensed Light" w:cs="Calibri"/>
                <w:sz w:val="20"/>
                <w:szCs w:val="20"/>
              </w:rPr>
              <w:t>.Dar seguimiento técnico y supervisar que las acciones de obra y equipamiento del programa de acciones específicas para 300 localida</w:t>
            </w:r>
            <w:r w:rsidR="00177600">
              <w:rPr>
                <w:rFonts w:ascii="Futura Std Condensed Light" w:eastAsia="Calibri" w:hAnsi="Futura Std Condensed Light" w:cs="Calibri"/>
                <w:sz w:val="20"/>
                <w:szCs w:val="20"/>
              </w:rPr>
              <w:t>des cumpla con los lineamientos.</w:t>
            </w:r>
          </w:p>
        </w:tc>
        <w:tc>
          <w:tcPr>
            <w:tcW w:w="882" w:type="pct"/>
            <w:vMerge/>
            <w:tcBorders>
              <w:left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055828B1" w14:textId="77777777" w:rsidR="00177600" w:rsidRDefault="00177600" w:rsidP="00177600">
            <w:pPr>
              <w:spacing w:after="0" w:line="240" w:lineRule="auto"/>
              <w:rPr>
                <w:rFonts w:ascii="Futura Std Condensed Light" w:eastAsia="Calibri" w:hAnsi="Futura Std Condensed Light" w:cs="Calibri"/>
                <w:sz w:val="20"/>
                <w:szCs w:val="20"/>
              </w:rPr>
            </w:pPr>
          </w:p>
        </w:tc>
      </w:tr>
      <w:tr w:rsidR="00FC69DC" w14:paraId="353BC6D6" w14:textId="77777777" w:rsidTr="00937D44">
        <w:trPr>
          <w:trHeight w:val="1341"/>
          <w:jc w:val="center"/>
        </w:trPr>
        <w:tc>
          <w:tcPr>
            <w:tcW w:w="0" w:type="auto"/>
            <w:vMerge/>
            <w:tcBorders>
              <w:left w:val="single" w:sz="4" w:space="0" w:color="auto"/>
              <w:right w:val="single" w:sz="4" w:space="0" w:color="auto"/>
            </w:tcBorders>
            <w:shd w:val="clear" w:color="auto" w:fill="FFFFFF" w:themeFill="background1"/>
            <w:vAlign w:val="center"/>
            <w:hideMark/>
          </w:tcPr>
          <w:p w14:paraId="6AC51F48" w14:textId="747DCFFA" w:rsidR="00FC69DC" w:rsidRDefault="00FC69DC" w:rsidP="00177600">
            <w:pPr>
              <w:spacing w:after="0" w:line="240" w:lineRule="auto"/>
              <w:jc w:val="center"/>
              <w:rPr>
                <w:rFonts w:ascii="Futura Std Condensed Light" w:eastAsia="Calibri" w:hAnsi="Futura Std Condensed Light" w:cs="Calibri"/>
                <w:sz w:val="20"/>
                <w:szCs w:val="20"/>
              </w:rPr>
            </w:pPr>
          </w:p>
        </w:tc>
        <w:tc>
          <w:tcPr>
            <w:tcW w:w="1630" w:type="pct"/>
            <w:vMerge w:val="restart"/>
            <w:tcBorders>
              <w:top w:val="single" w:sz="4" w:space="0" w:color="auto"/>
              <w:left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274DFDB3" w14:textId="49A4033A" w:rsidR="00FC69DC" w:rsidRDefault="00FC69DC" w:rsidP="00177600">
            <w:pPr>
              <w:spacing w:after="0" w:line="240" w:lineRule="auto"/>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20. Construir, en colaboración con las instancias correspondientes, espacios educativos a fin de ampliar la cobertura.</w:t>
            </w:r>
          </w:p>
        </w:tc>
        <w:tc>
          <w:tcPr>
            <w:tcW w:w="1787" w:type="pct"/>
            <w:tcBorders>
              <w:top w:val="single" w:sz="4" w:space="0" w:color="auto"/>
              <w:left w:val="single" w:sz="4" w:space="0" w:color="auto"/>
              <w:bottom w:val="single" w:sz="4" w:space="0" w:color="auto"/>
              <w:right w:val="single" w:sz="4" w:space="0" w:color="auto"/>
            </w:tcBorders>
            <w:shd w:val="clear" w:color="auto" w:fill="FFFFFF" w:themeFill="background1"/>
          </w:tcPr>
          <w:p w14:paraId="0E2742B4" w14:textId="54832870" w:rsidR="00FC69DC" w:rsidRDefault="004A3335" w:rsidP="00937D44">
            <w:pPr>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7</w:t>
            </w:r>
            <w:r w:rsidR="00FC69DC">
              <w:rPr>
                <w:rFonts w:ascii="Futura Std Condensed Light" w:eastAsia="Calibri" w:hAnsi="Futura Std Condensed Light" w:cs="Calibri"/>
                <w:sz w:val="20"/>
                <w:szCs w:val="20"/>
              </w:rPr>
              <w:t>.</w:t>
            </w:r>
            <w:r w:rsidR="00FC69DC" w:rsidRPr="00505A13">
              <w:rPr>
                <w:rFonts w:ascii="Futura Std Condensed Light" w:eastAsia="Calibri" w:hAnsi="Futura Std Condensed Light" w:cs="Calibri"/>
                <w:sz w:val="20"/>
                <w:szCs w:val="20"/>
              </w:rPr>
              <w:t>Construir y Rehabilitar, en colaboración con las instancias correspondientes, espacios educativos a fin de ampliar la cobertura de acuerdo a las necesidades y re</w:t>
            </w:r>
            <w:r w:rsidR="00FC69DC">
              <w:rPr>
                <w:rFonts w:ascii="Futura Std Condensed Light" w:eastAsia="Calibri" w:hAnsi="Futura Std Condensed Light" w:cs="Calibri"/>
                <w:sz w:val="20"/>
                <w:szCs w:val="20"/>
              </w:rPr>
              <w:t>querimiento básicos de calidad.</w:t>
            </w:r>
          </w:p>
        </w:tc>
        <w:tc>
          <w:tcPr>
            <w:tcW w:w="0" w:type="auto"/>
            <w:vMerge/>
            <w:tcBorders>
              <w:left w:val="single" w:sz="4" w:space="0" w:color="auto"/>
              <w:right w:val="single" w:sz="4" w:space="0" w:color="auto"/>
            </w:tcBorders>
            <w:shd w:val="clear" w:color="auto" w:fill="FFFFFF" w:themeFill="background1"/>
            <w:vAlign w:val="center"/>
            <w:hideMark/>
          </w:tcPr>
          <w:p w14:paraId="1336B7F4" w14:textId="77777777" w:rsidR="00FC69DC" w:rsidRDefault="00FC69DC" w:rsidP="00177600">
            <w:pPr>
              <w:spacing w:after="0" w:line="240" w:lineRule="auto"/>
              <w:jc w:val="left"/>
              <w:rPr>
                <w:rFonts w:ascii="Futura Std Condensed Light" w:eastAsia="Calibri" w:hAnsi="Futura Std Condensed Light" w:cs="Calibri"/>
                <w:sz w:val="20"/>
                <w:szCs w:val="20"/>
              </w:rPr>
            </w:pPr>
          </w:p>
        </w:tc>
      </w:tr>
      <w:tr w:rsidR="00FC69DC" w14:paraId="2B8ED725" w14:textId="77777777" w:rsidTr="009E3B2F">
        <w:trPr>
          <w:trHeight w:val="675"/>
          <w:jc w:val="center"/>
        </w:trPr>
        <w:tc>
          <w:tcPr>
            <w:tcW w:w="0" w:type="auto"/>
            <w:vMerge/>
            <w:tcBorders>
              <w:left w:val="single" w:sz="4" w:space="0" w:color="auto"/>
              <w:right w:val="single" w:sz="4" w:space="0" w:color="auto"/>
            </w:tcBorders>
            <w:shd w:val="clear" w:color="auto" w:fill="FFFFFF" w:themeFill="background1"/>
            <w:vAlign w:val="center"/>
          </w:tcPr>
          <w:p w14:paraId="5147C640" w14:textId="3A89A8D2" w:rsidR="00FC69DC" w:rsidRDefault="00FC69DC" w:rsidP="00177600">
            <w:pPr>
              <w:spacing w:after="0" w:line="240" w:lineRule="auto"/>
              <w:jc w:val="center"/>
              <w:rPr>
                <w:rFonts w:ascii="Futura Std Condensed Light" w:eastAsia="Calibri" w:hAnsi="Futura Std Condensed Light" w:cs="Calibri"/>
                <w:sz w:val="20"/>
                <w:szCs w:val="20"/>
              </w:rPr>
            </w:pPr>
          </w:p>
        </w:tc>
        <w:tc>
          <w:tcPr>
            <w:tcW w:w="1630" w:type="pct"/>
            <w:vMerge/>
            <w:tcBorders>
              <w:left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498D5C2B" w14:textId="77777777" w:rsidR="00FC69DC" w:rsidRDefault="00FC69DC" w:rsidP="00177600">
            <w:pPr>
              <w:spacing w:after="0" w:line="240" w:lineRule="auto"/>
              <w:rPr>
                <w:rFonts w:ascii="Futura Std Condensed Light" w:eastAsia="Calibri" w:hAnsi="Futura Std Condensed Light" w:cs="Calibri"/>
                <w:sz w:val="20"/>
                <w:szCs w:val="20"/>
              </w:rPr>
            </w:pPr>
          </w:p>
        </w:tc>
        <w:tc>
          <w:tcPr>
            <w:tcW w:w="1787" w:type="pct"/>
            <w:tcBorders>
              <w:top w:val="single" w:sz="4" w:space="0" w:color="auto"/>
              <w:left w:val="single" w:sz="4" w:space="0" w:color="auto"/>
              <w:bottom w:val="single" w:sz="4" w:space="0" w:color="auto"/>
              <w:right w:val="single" w:sz="4" w:space="0" w:color="auto"/>
            </w:tcBorders>
            <w:shd w:val="clear" w:color="auto" w:fill="FFFFFF" w:themeFill="background1"/>
          </w:tcPr>
          <w:p w14:paraId="4F15AC12" w14:textId="7609E57F" w:rsidR="00FC69DC" w:rsidRDefault="004A3335" w:rsidP="00177600">
            <w:pPr>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8</w:t>
            </w:r>
            <w:r w:rsidR="00FC69DC">
              <w:rPr>
                <w:rFonts w:ascii="Futura Std Condensed Light" w:eastAsia="Calibri" w:hAnsi="Futura Std Condensed Light" w:cs="Calibri"/>
                <w:sz w:val="20"/>
                <w:szCs w:val="20"/>
              </w:rPr>
              <w:t>.</w:t>
            </w:r>
            <w:r w:rsidR="00FC69DC" w:rsidRPr="00301472">
              <w:rPr>
                <w:rFonts w:ascii="Futura Std Condensed Light" w:eastAsia="Calibri" w:hAnsi="Futura Std Condensed Light" w:cs="Calibri"/>
                <w:sz w:val="20"/>
                <w:szCs w:val="20"/>
              </w:rPr>
              <w:t>Hacer cumplir las normas de construcción y equipamiento de las escuelas, que sean emitidas por autoridad competente y por el Instituto, asegurando la calidad de los insumos utilizados en las acciones ejecutadas por el Instituto.</w:t>
            </w:r>
          </w:p>
        </w:tc>
        <w:tc>
          <w:tcPr>
            <w:tcW w:w="0" w:type="auto"/>
            <w:vMerge/>
            <w:tcBorders>
              <w:left w:val="single" w:sz="4" w:space="0" w:color="auto"/>
              <w:right w:val="single" w:sz="4" w:space="0" w:color="auto"/>
            </w:tcBorders>
            <w:shd w:val="clear" w:color="auto" w:fill="FFFFFF" w:themeFill="background1"/>
            <w:vAlign w:val="center"/>
          </w:tcPr>
          <w:p w14:paraId="0D770F33" w14:textId="77777777" w:rsidR="00FC69DC" w:rsidRDefault="00FC69DC" w:rsidP="00177600">
            <w:pPr>
              <w:spacing w:after="0" w:line="240" w:lineRule="auto"/>
              <w:jc w:val="left"/>
              <w:rPr>
                <w:rFonts w:ascii="Futura Std Condensed Light" w:eastAsia="Calibri" w:hAnsi="Futura Std Condensed Light" w:cs="Calibri"/>
                <w:sz w:val="20"/>
                <w:szCs w:val="20"/>
              </w:rPr>
            </w:pPr>
          </w:p>
        </w:tc>
      </w:tr>
      <w:tr w:rsidR="00FC69DC" w14:paraId="1A06F7C7" w14:textId="77777777" w:rsidTr="00652479">
        <w:trPr>
          <w:trHeight w:val="1620"/>
          <w:jc w:val="center"/>
        </w:trPr>
        <w:tc>
          <w:tcPr>
            <w:tcW w:w="0" w:type="auto"/>
            <w:vMerge/>
            <w:tcBorders>
              <w:left w:val="single" w:sz="4" w:space="0" w:color="auto"/>
              <w:right w:val="single" w:sz="4" w:space="0" w:color="auto"/>
            </w:tcBorders>
            <w:shd w:val="clear" w:color="auto" w:fill="FFFFFF" w:themeFill="background1"/>
            <w:vAlign w:val="center"/>
          </w:tcPr>
          <w:p w14:paraId="21E06216" w14:textId="656D0545" w:rsidR="00FC69DC" w:rsidRDefault="00FC69DC" w:rsidP="00177600">
            <w:pPr>
              <w:spacing w:after="0" w:line="240" w:lineRule="auto"/>
              <w:jc w:val="center"/>
              <w:rPr>
                <w:rFonts w:ascii="Futura Std Condensed Light" w:eastAsia="Calibri" w:hAnsi="Futura Std Condensed Light" w:cs="Calibri"/>
                <w:sz w:val="20"/>
                <w:szCs w:val="20"/>
              </w:rPr>
            </w:pPr>
          </w:p>
        </w:tc>
        <w:tc>
          <w:tcPr>
            <w:tcW w:w="1630" w:type="pct"/>
            <w:vMerge/>
            <w:tcBorders>
              <w:left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381FAFF2" w14:textId="77777777" w:rsidR="00FC69DC" w:rsidRDefault="00FC69DC" w:rsidP="00177600">
            <w:pPr>
              <w:spacing w:after="0" w:line="240" w:lineRule="auto"/>
              <w:rPr>
                <w:rFonts w:ascii="Futura Std Condensed Light" w:eastAsia="Calibri" w:hAnsi="Futura Std Condensed Light" w:cs="Calibri"/>
                <w:sz w:val="20"/>
                <w:szCs w:val="20"/>
              </w:rPr>
            </w:pPr>
          </w:p>
        </w:tc>
        <w:tc>
          <w:tcPr>
            <w:tcW w:w="1787" w:type="pct"/>
            <w:tcBorders>
              <w:top w:val="single" w:sz="4" w:space="0" w:color="auto"/>
              <w:left w:val="single" w:sz="4" w:space="0" w:color="auto"/>
              <w:bottom w:val="single" w:sz="4" w:space="0" w:color="auto"/>
              <w:right w:val="single" w:sz="4" w:space="0" w:color="auto"/>
            </w:tcBorders>
            <w:shd w:val="clear" w:color="auto" w:fill="FFFFFF" w:themeFill="background1"/>
          </w:tcPr>
          <w:p w14:paraId="1E201F54" w14:textId="6264B4F9" w:rsidR="00FC69DC" w:rsidRPr="007221E9" w:rsidRDefault="004A3335" w:rsidP="007221E9">
            <w:pPr>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9</w:t>
            </w:r>
            <w:r w:rsidR="00FC69DC">
              <w:rPr>
                <w:rFonts w:ascii="Futura Std Condensed Light" w:eastAsia="Calibri" w:hAnsi="Futura Std Condensed Light" w:cs="Calibri"/>
                <w:sz w:val="20"/>
                <w:szCs w:val="20"/>
              </w:rPr>
              <w:t>.</w:t>
            </w:r>
            <w:r w:rsidR="00FC69DC" w:rsidRPr="00301472">
              <w:rPr>
                <w:rFonts w:ascii="Futura Std Condensed Light" w:eastAsia="Calibri" w:hAnsi="Futura Std Condensed Light" w:cs="Calibri"/>
                <w:sz w:val="20"/>
                <w:szCs w:val="20"/>
              </w:rPr>
              <w:t>Certificar que los espacios educativos públicos y privados que se construyan derivado de las necesidades de crecimiento, contengan los requerimientos básicos, como son calidad, seguridad, funcionalidad, oportunidad, equidad, sustentabilidad, resiliencia, pertinencia, integralidad, accesibilidad, inclusividad e hi</w:t>
            </w:r>
            <w:r w:rsidR="00FC69DC">
              <w:rPr>
                <w:rFonts w:ascii="Futura Std Condensed Light" w:eastAsia="Calibri" w:hAnsi="Futura Std Condensed Light" w:cs="Calibri"/>
                <w:sz w:val="20"/>
                <w:szCs w:val="20"/>
              </w:rPr>
              <w:t>giene</w:t>
            </w:r>
            <w:r w:rsidR="007221E9">
              <w:rPr>
                <w:rFonts w:ascii="Futura Std Condensed Light" w:eastAsia="Calibri" w:hAnsi="Futura Std Condensed Light" w:cs="Calibri"/>
                <w:sz w:val="20"/>
                <w:szCs w:val="20"/>
              </w:rPr>
              <w:t>.</w:t>
            </w:r>
          </w:p>
        </w:tc>
        <w:tc>
          <w:tcPr>
            <w:tcW w:w="0" w:type="auto"/>
            <w:vMerge/>
            <w:tcBorders>
              <w:left w:val="single" w:sz="4" w:space="0" w:color="auto"/>
              <w:right w:val="single" w:sz="4" w:space="0" w:color="auto"/>
            </w:tcBorders>
            <w:shd w:val="clear" w:color="auto" w:fill="FFFFFF" w:themeFill="background1"/>
            <w:vAlign w:val="center"/>
          </w:tcPr>
          <w:p w14:paraId="4DFDBB4A" w14:textId="77777777" w:rsidR="00FC69DC" w:rsidRDefault="00FC69DC" w:rsidP="00177600">
            <w:pPr>
              <w:spacing w:after="0" w:line="240" w:lineRule="auto"/>
              <w:jc w:val="left"/>
              <w:rPr>
                <w:rFonts w:ascii="Futura Std Condensed Light" w:eastAsia="Calibri" w:hAnsi="Futura Std Condensed Light" w:cs="Calibri"/>
                <w:sz w:val="20"/>
                <w:szCs w:val="20"/>
              </w:rPr>
            </w:pPr>
          </w:p>
        </w:tc>
      </w:tr>
      <w:tr w:rsidR="00FC69DC" w14:paraId="0AF70A00" w14:textId="77777777" w:rsidTr="009E3B2F">
        <w:trPr>
          <w:trHeight w:val="1620"/>
          <w:jc w:val="center"/>
        </w:trPr>
        <w:tc>
          <w:tcPr>
            <w:tcW w:w="0" w:type="auto"/>
            <w:vMerge/>
            <w:tcBorders>
              <w:left w:val="single" w:sz="4" w:space="0" w:color="auto"/>
              <w:right w:val="single" w:sz="4" w:space="0" w:color="auto"/>
            </w:tcBorders>
            <w:shd w:val="clear" w:color="auto" w:fill="FFFFFF" w:themeFill="background1"/>
            <w:vAlign w:val="center"/>
          </w:tcPr>
          <w:p w14:paraId="5032D68A" w14:textId="426BFAB1" w:rsidR="00FC69DC" w:rsidRDefault="00FC69DC" w:rsidP="00177600">
            <w:pPr>
              <w:spacing w:after="0" w:line="240" w:lineRule="auto"/>
              <w:jc w:val="center"/>
              <w:rPr>
                <w:rFonts w:ascii="Futura Std Condensed Light" w:eastAsia="Calibri" w:hAnsi="Futura Std Condensed Light" w:cs="Calibri"/>
                <w:sz w:val="20"/>
                <w:szCs w:val="20"/>
              </w:rPr>
            </w:pPr>
          </w:p>
        </w:tc>
        <w:tc>
          <w:tcPr>
            <w:tcW w:w="1630" w:type="pct"/>
            <w:vMerge/>
            <w:tcBorders>
              <w:left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495D4F0A" w14:textId="77777777" w:rsidR="00FC69DC" w:rsidRDefault="00FC69DC" w:rsidP="00177600">
            <w:pPr>
              <w:spacing w:after="0" w:line="240" w:lineRule="auto"/>
              <w:rPr>
                <w:rFonts w:ascii="Futura Std Condensed Light" w:eastAsia="Calibri" w:hAnsi="Futura Std Condensed Light" w:cs="Calibri"/>
                <w:sz w:val="20"/>
                <w:szCs w:val="20"/>
              </w:rPr>
            </w:pPr>
          </w:p>
        </w:tc>
        <w:tc>
          <w:tcPr>
            <w:tcW w:w="1787" w:type="pct"/>
            <w:tcBorders>
              <w:top w:val="single" w:sz="4" w:space="0" w:color="auto"/>
              <w:left w:val="single" w:sz="4" w:space="0" w:color="auto"/>
              <w:bottom w:val="single" w:sz="4" w:space="0" w:color="auto"/>
              <w:right w:val="single" w:sz="4" w:space="0" w:color="auto"/>
            </w:tcBorders>
            <w:shd w:val="clear" w:color="auto" w:fill="FFFFFF" w:themeFill="background1"/>
          </w:tcPr>
          <w:p w14:paraId="1BAE037C" w14:textId="6B1C85B4" w:rsidR="00FC69DC" w:rsidRDefault="00F42776" w:rsidP="00177600">
            <w:pPr>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1</w:t>
            </w:r>
            <w:r w:rsidR="004A3335">
              <w:rPr>
                <w:rFonts w:ascii="Futura Std Condensed Light" w:eastAsia="Calibri" w:hAnsi="Futura Std Condensed Light" w:cs="Calibri"/>
                <w:sz w:val="20"/>
                <w:szCs w:val="20"/>
              </w:rPr>
              <w:t>0</w:t>
            </w:r>
            <w:r w:rsidR="00FC69DC" w:rsidRPr="00652479">
              <w:rPr>
                <w:rFonts w:ascii="Futura Std Condensed Light" w:eastAsia="Calibri" w:hAnsi="Futura Std Condensed Light" w:cs="Calibri"/>
                <w:sz w:val="20"/>
                <w:szCs w:val="20"/>
              </w:rPr>
              <w:t>.Desarrollar el Programa Estatal de Certificación, logrando difundir los criterios para evaluar y dictaminar las escuelas públicas y privadas del Estado, conforme la normatividad de la materia.</w:t>
            </w:r>
          </w:p>
        </w:tc>
        <w:tc>
          <w:tcPr>
            <w:tcW w:w="0" w:type="auto"/>
            <w:vMerge/>
            <w:tcBorders>
              <w:left w:val="single" w:sz="4" w:space="0" w:color="auto"/>
              <w:right w:val="single" w:sz="4" w:space="0" w:color="auto"/>
            </w:tcBorders>
            <w:shd w:val="clear" w:color="auto" w:fill="FFFFFF" w:themeFill="background1"/>
            <w:vAlign w:val="center"/>
          </w:tcPr>
          <w:p w14:paraId="7DC85F25" w14:textId="77777777" w:rsidR="00FC69DC" w:rsidRDefault="00FC69DC" w:rsidP="00177600">
            <w:pPr>
              <w:spacing w:after="0" w:line="240" w:lineRule="auto"/>
              <w:jc w:val="left"/>
              <w:rPr>
                <w:rFonts w:ascii="Futura Std Condensed Light" w:eastAsia="Calibri" w:hAnsi="Futura Std Condensed Light" w:cs="Calibri"/>
                <w:sz w:val="20"/>
                <w:szCs w:val="20"/>
              </w:rPr>
            </w:pPr>
          </w:p>
        </w:tc>
      </w:tr>
      <w:tr w:rsidR="0006394F" w14:paraId="0F8E5D89" w14:textId="77777777" w:rsidTr="0006394F">
        <w:trPr>
          <w:trHeight w:val="831"/>
          <w:jc w:val="center"/>
        </w:trPr>
        <w:tc>
          <w:tcPr>
            <w:tcW w:w="0" w:type="auto"/>
            <w:vMerge/>
            <w:tcBorders>
              <w:left w:val="single" w:sz="4" w:space="0" w:color="auto"/>
              <w:right w:val="single" w:sz="4" w:space="0" w:color="auto"/>
            </w:tcBorders>
            <w:shd w:val="clear" w:color="auto" w:fill="FFFFFF" w:themeFill="background1"/>
            <w:vAlign w:val="center"/>
          </w:tcPr>
          <w:p w14:paraId="1DFA7301" w14:textId="77777777" w:rsidR="0006394F" w:rsidRDefault="0006394F" w:rsidP="0006394F">
            <w:pPr>
              <w:spacing w:after="0" w:line="240" w:lineRule="auto"/>
              <w:jc w:val="center"/>
              <w:rPr>
                <w:rFonts w:ascii="Futura Std Condensed Light" w:eastAsia="Calibri" w:hAnsi="Futura Std Condensed Light" w:cs="Calibri"/>
                <w:sz w:val="20"/>
                <w:szCs w:val="20"/>
              </w:rPr>
            </w:pPr>
          </w:p>
        </w:tc>
        <w:tc>
          <w:tcPr>
            <w:tcW w:w="1630" w:type="pct"/>
            <w:tcBorders>
              <w:left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2C1AB4B2" w14:textId="63B51211" w:rsidR="0006394F" w:rsidRDefault="0006394F" w:rsidP="0006394F">
            <w:pPr>
              <w:spacing w:after="0" w:line="240" w:lineRule="auto"/>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25. Desarrollar e implementar acciones para fortalecer el Modelo de Prevención Quintana Roo.</w:t>
            </w:r>
          </w:p>
        </w:tc>
        <w:tc>
          <w:tcPr>
            <w:tcW w:w="1787" w:type="pct"/>
            <w:tcBorders>
              <w:top w:val="single" w:sz="4" w:space="0" w:color="auto"/>
              <w:left w:val="single" w:sz="4" w:space="0" w:color="auto"/>
              <w:right w:val="single" w:sz="4" w:space="0" w:color="auto"/>
            </w:tcBorders>
            <w:shd w:val="clear" w:color="auto" w:fill="FFFFFF" w:themeFill="background1"/>
          </w:tcPr>
          <w:p w14:paraId="1792E782" w14:textId="67C53F18" w:rsidR="0006394F" w:rsidRDefault="00F42776" w:rsidP="0006394F">
            <w:pPr>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1</w:t>
            </w:r>
            <w:r w:rsidR="004A3335">
              <w:rPr>
                <w:rFonts w:ascii="Futura Std Condensed Light" w:eastAsia="Calibri" w:hAnsi="Futura Std Condensed Light" w:cs="Calibri"/>
                <w:sz w:val="20"/>
                <w:szCs w:val="20"/>
              </w:rPr>
              <w:t>1</w:t>
            </w:r>
            <w:r w:rsidR="0006394F">
              <w:rPr>
                <w:rFonts w:ascii="Futura Std Condensed Light" w:eastAsia="Calibri" w:hAnsi="Futura Std Condensed Light" w:cs="Calibri"/>
                <w:sz w:val="20"/>
                <w:szCs w:val="20"/>
              </w:rPr>
              <w:t>. Desarrollar e implementar acciones para fortalecer el Modelo de Prevención Quintana Roo.</w:t>
            </w:r>
          </w:p>
        </w:tc>
        <w:tc>
          <w:tcPr>
            <w:tcW w:w="0" w:type="auto"/>
            <w:vMerge/>
            <w:tcBorders>
              <w:left w:val="single" w:sz="4" w:space="0" w:color="auto"/>
              <w:right w:val="single" w:sz="4" w:space="0" w:color="auto"/>
            </w:tcBorders>
            <w:shd w:val="clear" w:color="auto" w:fill="FFFFFF" w:themeFill="background1"/>
            <w:vAlign w:val="center"/>
          </w:tcPr>
          <w:p w14:paraId="79C82DB4" w14:textId="77777777" w:rsidR="0006394F" w:rsidRDefault="0006394F" w:rsidP="0006394F">
            <w:pPr>
              <w:spacing w:after="0" w:line="240" w:lineRule="auto"/>
              <w:jc w:val="left"/>
              <w:rPr>
                <w:rFonts w:ascii="Futura Std Condensed Light" w:eastAsia="Calibri" w:hAnsi="Futura Std Condensed Light" w:cs="Calibri"/>
                <w:sz w:val="20"/>
                <w:szCs w:val="20"/>
              </w:rPr>
            </w:pPr>
          </w:p>
        </w:tc>
      </w:tr>
      <w:tr w:rsidR="0006394F" w14:paraId="55090B6F" w14:textId="77777777" w:rsidTr="00077A92">
        <w:trPr>
          <w:trHeight w:val="229"/>
          <w:jc w:val="center"/>
        </w:trPr>
        <w:tc>
          <w:tcPr>
            <w:tcW w:w="0" w:type="auto"/>
            <w:vMerge/>
            <w:tcBorders>
              <w:left w:val="single" w:sz="4" w:space="0" w:color="auto"/>
              <w:right w:val="single" w:sz="4" w:space="0" w:color="auto"/>
            </w:tcBorders>
            <w:shd w:val="clear" w:color="auto" w:fill="FFFFFF" w:themeFill="background1"/>
            <w:vAlign w:val="center"/>
          </w:tcPr>
          <w:p w14:paraId="63A71015" w14:textId="77777777" w:rsidR="0006394F" w:rsidRDefault="0006394F" w:rsidP="0006394F">
            <w:pPr>
              <w:spacing w:after="0" w:line="240" w:lineRule="auto"/>
              <w:jc w:val="center"/>
              <w:rPr>
                <w:rFonts w:ascii="Futura Std Condensed Light" w:eastAsia="Calibri" w:hAnsi="Futura Std Condensed Light" w:cs="Calibri"/>
                <w:sz w:val="20"/>
                <w:szCs w:val="20"/>
              </w:rPr>
            </w:pPr>
          </w:p>
        </w:tc>
        <w:tc>
          <w:tcPr>
            <w:tcW w:w="1630" w:type="pct"/>
            <w:tcBorders>
              <w:left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1B20E221" w14:textId="479CEF40" w:rsidR="0006394F" w:rsidRDefault="0006394F" w:rsidP="0006394F">
            <w:pPr>
              <w:spacing w:after="0" w:line="240" w:lineRule="auto"/>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 xml:space="preserve">26. Impulsar e implementar acciones permanentes en materia de promoción, protección y defensa de los Derechos Humanos, con la aplicación de planteamientos legales, </w:t>
            </w:r>
            <w:r>
              <w:rPr>
                <w:rFonts w:ascii="Futura Std Condensed Light" w:eastAsia="Calibri" w:hAnsi="Futura Std Condensed Light" w:cs="Calibri"/>
                <w:sz w:val="20"/>
                <w:szCs w:val="20"/>
              </w:rPr>
              <w:lastRenderedPageBreak/>
              <w:t>estructurales, así como la constante formación de Servidores Públicos fortaleciendo el ejercicio de los Derechos Humanos de los Ciudadanos.</w:t>
            </w:r>
          </w:p>
        </w:tc>
        <w:tc>
          <w:tcPr>
            <w:tcW w:w="1787" w:type="pct"/>
            <w:tcBorders>
              <w:top w:val="single" w:sz="4" w:space="0" w:color="auto"/>
              <w:left w:val="single" w:sz="4" w:space="0" w:color="auto"/>
              <w:right w:val="single" w:sz="4" w:space="0" w:color="auto"/>
            </w:tcBorders>
            <w:shd w:val="clear" w:color="auto" w:fill="FFFFFF" w:themeFill="background1"/>
          </w:tcPr>
          <w:p w14:paraId="578FC010" w14:textId="36806871" w:rsidR="0006394F" w:rsidRDefault="00F42776" w:rsidP="0006394F">
            <w:pPr>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lastRenderedPageBreak/>
              <w:t>1</w:t>
            </w:r>
            <w:r w:rsidR="004A3335">
              <w:rPr>
                <w:rFonts w:ascii="Futura Std Condensed Light" w:eastAsia="Calibri" w:hAnsi="Futura Std Condensed Light" w:cs="Calibri"/>
                <w:sz w:val="20"/>
                <w:szCs w:val="20"/>
              </w:rPr>
              <w:t>2</w:t>
            </w:r>
            <w:r w:rsidR="0006394F">
              <w:rPr>
                <w:rFonts w:ascii="Futura Std Condensed Light" w:eastAsia="Calibri" w:hAnsi="Futura Std Condensed Light" w:cs="Calibri"/>
                <w:sz w:val="20"/>
                <w:szCs w:val="20"/>
              </w:rPr>
              <w:t xml:space="preserve">. Impulsar e implementar acciones permanentes en materia de promoción, protección y defensa de los Derechos Humanos, con la aplicación de planteamientos </w:t>
            </w:r>
            <w:r w:rsidR="0006394F">
              <w:rPr>
                <w:rFonts w:ascii="Futura Std Condensed Light" w:eastAsia="Calibri" w:hAnsi="Futura Std Condensed Light" w:cs="Calibri"/>
                <w:sz w:val="20"/>
                <w:szCs w:val="20"/>
              </w:rPr>
              <w:lastRenderedPageBreak/>
              <w:t>legales, estructurales, así como la constante formación de Servidores Públicos fortaleciendo el ejercicio de los Derechos Humanos de los Ciudadanos.</w:t>
            </w:r>
          </w:p>
        </w:tc>
        <w:tc>
          <w:tcPr>
            <w:tcW w:w="0" w:type="auto"/>
            <w:vMerge/>
            <w:tcBorders>
              <w:left w:val="single" w:sz="4" w:space="0" w:color="auto"/>
              <w:right w:val="single" w:sz="4" w:space="0" w:color="auto"/>
            </w:tcBorders>
            <w:shd w:val="clear" w:color="auto" w:fill="FFFFFF" w:themeFill="background1"/>
            <w:vAlign w:val="center"/>
          </w:tcPr>
          <w:p w14:paraId="40C808DE" w14:textId="77777777" w:rsidR="0006394F" w:rsidRDefault="0006394F" w:rsidP="0006394F">
            <w:pPr>
              <w:spacing w:after="0" w:line="240" w:lineRule="auto"/>
              <w:jc w:val="left"/>
              <w:rPr>
                <w:rFonts w:ascii="Futura Std Condensed Light" w:eastAsia="Calibri" w:hAnsi="Futura Std Condensed Light" w:cs="Calibri"/>
                <w:sz w:val="20"/>
                <w:szCs w:val="20"/>
              </w:rPr>
            </w:pPr>
          </w:p>
        </w:tc>
      </w:tr>
      <w:tr w:rsidR="0006394F" w14:paraId="4BE2E0A6" w14:textId="77777777" w:rsidTr="00C60620">
        <w:trPr>
          <w:trHeight w:val="892"/>
          <w:jc w:val="center"/>
        </w:trPr>
        <w:tc>
          <w:tcPr>
            <w:tcW w:w="0" w:type="auto"/>
            <w:vMerge/>
            <w:tcBorders>
              <w:left w:val="single" w:sz="4" w:space="0" w:color="auto"/>
              <w:right w:val="single" w:sz="4" w:space="0" w:color="auto"/>
            </w:tcBorders>
            <w:shd w:val="clear" w:color="auto" w:fill="FFFFFF" w:themeFill="background1"/>
            <w:vAlign w:val="center"/>
            <w:hideMark/>
          </w:tcPr>
          <w:p w14:paraId="079DCE9E" w14:textId="1432B3D1" w:rsidR="0006394F" w:rsidRDefault="0006394F" w:rsidP="0006394F">
            <w:pPr>
              <w:spacing w:after="0" w:line="240" w:lineRule="auto"/>
              <w:jc w:val="center"/>
              <w:rPr>
                <w:rFonts w:ascii="Futura Std Condensed Light" w:eastAsia="Calibri" w:hAnsi="Futura Std Condensed Light" w:cs="Calibri"/>
                <w:sz w:val="20"/>
                <w:szCs w:val="20"/>
              </w:rPr>
            </w:pPr>
          </w:p>
        </w:tc>
        <w:tc>
          <w:tcPr>
            <w:tcW w:w="1630"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4C0C43B0" w14:textId="77777777" w:rsidR="0006394F" w:rsidRDefault="0006394F" w:rsidP="0006394F">
            <w:pPr>
              <w:spacing w:after="0" w:line="240" w:lineRule="auto"/>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27. Atender las actividades administrativas, técnicas, jurídicas y de Staff.</w:t>
            </w:r>
          </w:p>
        </w:tc>
        <w:tc>
          <w:tcPr>
            <w:tcW w:w="1787" w:type="pct"/>
            <w:tcBorders>
              <w:left w:val="single" w:sz="4" w:space="0" w:color="auto"/>
              <w:bottom w:val="single" w:sz="4" w:space="0" w:color="auto"/>
              <w:right w:val="single" w:sz="4" w:space="0" w:color="auto"/>
            </w:tcBorders>
            <w:shd w:val="clear" w:color="auto" w:fill="FFFFFF" w:themeFill="background1"/>
          </w:tcPr>
          <w:p w14:paraId="0D8D8AEF" w14:textId="278077D6" w:rsidR="0006394F" w:rsidRDefault="00F42776" w:rsidP="0006394F">
            <w:pPr>
              <w:spacing w:after="0" w:line="240" w:lineRule="auto"/>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1</w:t>
            </w:r>
            <w:r w:rsidR="004A3335">
              <w:rPr>
                <w:rFonts w:ascii="Futura Std Condensed Light" w:eastAsia="Calibri" w:hAnsi="Futura Std Condensed Light" w:cs="Calibri"/>
                <w:sz w:val="20"/>
                <w:szCs w:val="20"/>
              </w:rPr>
              <w:t>3</w:t>
            </w:r>
            <w:r w:rsidR="007221E9">
              <w:rPr>
                <w:rFonts w:ascii="Futura Std Condensed Light" w:eastAsia="Calibri" w:hAnsi="Futura Std Condensed Light" w:cs="Calibri"/>
                <w:sz w:val="20"/>
                <w:szCs w:val="20"/>
              </w:rPr>
              <w:t>. Atender las actividades administrativas, técnicas, jurídicas y de Staff.</w:t>
            </w:r>
          </w:p>
        </w:tc>
        <w:tc>
          <w:tcPr>
            <w:tcW w:w="0" w:type="auto"/>
            <w:vMerge/>
            <w:tcBorders>
              <w:left w:val="single" w:sz="4" w:space="0" w:color="auto"/>
              <w:bottom w:val="single" w:sz="4" w:space="0" w:color="auto"/>
              <w:right w:val="single" w:sz="4" w:space="0" w:color="auto"/>
            </w:tcBorders>
            <w:shd w:val="clear" w:color="auto" w:fill="FFFFFF" w:themeFill="background1"/>
            <w:vAlign w:val="center"/>
            <w:hideMark/>
          </w:tcPr>
          <w:p w14:paraId="0A17BE0E" w14:textId="77777777" w:rsidR="0006394F" w:rsidRDefault="0006394F" w:rsidP="0006394F">
            <w:pPr>
              <w:spacing w:after="0" w:line="240" w:lineRule="auto"/>
              <w:jc w:val="left"/>
              <w:rPr>
                <w:rFonts w:ascii="Futura Std Condensed Light" w:eastAsia="Calibri" w:hAnsi="Futura Std Condensed Light" w:cs="Calibri"/>
                <w:sz w:val="20"/>
                <w:szCs w:val="20"/>
              </w:rPr>
            </w:pPr>
          </w:p>
        </w:tc>
      </w:tr>
      <w:tr w:rsidR="0006394F" w14:paraId="09F3C6BB" w14:textId="77777777" w:rsidTr="00D83181">
        <w:trPr>
          <w:trHeight w:val="283"/>
          <w:jc w:val="center"/>
        </w:trPr>
        <w:tc>
          <w:tcPr>
            <w:tcW w:w="700" w:type="pct"/>
            <w:vMerge/>
            <w:tcBorders>
              <w:left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59D117AB" w14:textId="5ABB4027" w:rsidR="0006394F" w:rsidRDefault="0006394F" w:rsidP="0006394F">
            <w:pPr>
              <w:spacing w:after="0" w:line="240" w:lineRule="auto"/>
              <w:jc w:val="center"/>
              <w:rPr>
                <w:rFonts w:ascii="Futura Std Condensed Light" w:eastAsia="Calibri" w:hAnsi="Futura Std Condensed Light" w:cs="Calibri"/>
                <w:sz w:val="20"/>
                <w:szCs w:val="20"/>
              </w:rPr>
            </w:pPr>
          </w:p>
        </w:tc>
        <w:tc>
          <w:tcPr>
            <w:tcW w:w="1630"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4585F362" w14:textId="424B6322" w:rsidR="0006394F" w:rsidRDefault="0006394F" w:rsidP="0006394F">
            <w:pPr>
              <w:spacing w:after="0" w:line="240" w:lineRule="auto"/>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8. Coordinar el programa de alfabetización y educación básica dirigido a jóvenes, adultos y adultos mayores en rezago educativo por medio de Tecnologías de la Información y Comunicación (TIC´s) con organizaciones de la sociedad civil y el Instituto Estatal para la Educación de Jóvenes y Adultos.</w:t>
            </w:r>
          </w:p>
        </w:tc>
        <w:tc>
          <w:tcPr>
            <w:tcW w:w="17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D6BE88" w14:textId="15FBBC25" w:rsidR="0006394F" w:rsidRDefault="0006394F" w:rsidP="0006394F">
            <w:pPr>
              <w:spacing w:after="0" w:line="240" w:lineRule="auto"/>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1. Coordinar el programa de alfabetización y educación básica dirigido a jóvenes, adultos y adultos mayores en rezago educativo por medio de Tecnologías de la Información y Comunicación (TIC´s) con organizaciones de la sociedad civil y el Instituto Estatal para la Educación de Jóvenes y Adultos.</w:t>
            </w:r>
          </w:p>
        </w:tc>
        <w:tc>
          <w:tcPr>
            <w:tcW w:w="882" w:type="pct"/>
            <w:vMerge w:val="restar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17A705B7" w14:textId="3143DFE2" w:rsidR="0006394F" w:rsidRDefault="0006394F" w:rsidP="0006394F">
            <w:pPr>
              <w:spacing w:after="0" w:line="240" w:lineRule="auto"/>
              <w:jc w:val="center"/>
              <w:rPr>
                <w:rFonts w:ascii="Futura Std Condensed Light" w:eastAsia="Calibri" w:hAnsi="Futura Std Condensed Light" w:cs="Calibri"/>
                <w:sz w:val="20"/>
                <w:szCs w:val="20"/>
              </w:rPr>
            </w:pPr>
          </w:p>
          <w:p w14:paraId="16660F2E" w14:textId="77777777" w:rsidR="0006394F" w:rsidRDefault="0006394F" w:rsidP="0006394F">
            <w:pPr>
              <w:spacing w:after="0" w:line="240" w:lineRule="auto"/>
              <w:rPr>
                <w:rFonts w:ascii="Futura Std Condensed Light" w:eastAsia="Calibri" w:hAnsi="Futura Std Condensed Light" w:cs="Calibri"/>
                <w:sz w:val="20"/>
                <w:szCs w:val="20"/>
              </w:rPr>
            </w:pPr>
          </w:p>
          <w:p w14:paraId="76FA7652" w14:textId="77777777" w:rsidR="0006394F" w:rsidRDefault="0006394F" w:rsidP="0006394F">
            <w:pPr>
              <w:spacing w:after="0" w:line="240" w:lineRule="auto"/>
              <w:rPr>
                <w:rFonts w:ascii="Futura Std Condensed Light" w:eastAsia="Calibri" w:hAnsi="Futura Std Condensed Light" w:cs="Calibri"/>
                <w:sz w:val="20"/>
                <w:szCs w:val="20"/>
              </w:rPr>
            </w:pPr>
          </w:p>
          <w:p w14:paraId="38BFDAB3" w14:textId="77777777" w:rsidR="0006394F" w:rsidRDefault="0006394F" w:rsidP="0006394F">
            <w:pPr>
              <w:spacing w:after="0" w:line="240" w:lineRule="auto"/>
              <w:rPr>
                <w:rFonts w:ascii="Futura Std Condensed Light" w:eastAsia="Calibri" w:hAnsi="Futura Std Condensed Light" w:cs="Calibri"/>
                <w:sz w:val="20"/>
                <w:szCs w:val="20"/>
              </w:rPr>
            </w:pPr>
          </w:p>
          <w:p w14:paraId="706B0802" w14:textId="77777777" w:rsidR="0006394F" w:rsidRDefault="0006394F" w:rsidP="0006394F">
            <w:pPr>
              <w:spacing w:after="0" w:line="240" w:lineRule="auto"/>
              <w:rPr>
                <w:rFonts w:ascii="Futura Std Condensed Light" w:eastAsia="Calibri" w:hAnsi="Futura Std Condensed Light" w:cs="Calibri"/>
                <w:sz w:val="20"/>
                <w:szCs w:val="20"/>
              </w:rPr>
            </w:pPr>
          </w:p>
          <w:p w14:paraId="20648B61" w14:textId="77777777" w:rsidR="0006394F" w:rsidRDefault="0006394F" w:rsidP="0006394F">
            <w:pPr>
              <w:spacing w:after="0" w:line="240" w:lineRule="auto"/>
              <w:rPr>
                <w:rFonts w:ascii="Futura Std Condensed Light" w:eastAsia="Calibri" w:hAnsi="Futura Std Condensed Light" w:cs="Calibri"/>
                <w:sz w:val="20"/>
                <w:szCs w:val="20"/>
              </w:rPr>
            </w:pPr>
          </w:p>
          <w:p w14:paraId="13EBB1BA" w14:textId="77777777" w:rsidR="0006394F" w:rsidRDefault="0006394F" w:rsidP="0006394F">
            <w:pPr>
              <w:spacing w:after="0" w:line="240" w:lineRule="auto"/>
              <w:rPr>
                <w:rFonts w:ascii="Futura Std Condensed Light" w:eastAsia="Calibri" w:hAnsi="Futura Std Condensed Light" w:cs="Calibri"/>
                <w:sz w:val="20"/>
                <w:szCs w:val="20"/>
              </w:rPr>
            </w:pPr>
          </w:p>
          <w:p w14:paraId="5A0A8EB2" w14:textId="77777777" w:rsidR="0006394F" w:rsidRDefault="0006394F" w:rsidP="0006394F">
            <w:pPr>
              <w:spacing w:after="0" w:line="240" w:lineRule="auto"/>
              <w:rPr>
                <w:rFonts w:ascii="Futura Std Condensed Light" w:eastAsia="Calibri" w:hAnsi="Futura Std Condensed Light" w:cs="Calibri"/>
                <w:sz w:val="20"/>
                <w:szCs w:val="20"/>
              </w:rPr>
            </w:pPr>
          </w:p>
          <w:p w14:paraId="1AF67917" w14:textId="77777777" w:rsidR="0006394F" w:rsidRDefault="0006394F" w:rsidP="0006394F">
            <w:pPr>
              <w:spacing w:after="0" w:line="240" w:lineRule="auto"/>
              <w:rPr>
                <w:rFonts w:ascii="Futura Std Condensed Light" w:eastAsia="Calibri" w:hAnsi="Futura Std Condensed Light" w:cs="Calibri"/>
                <w:sz w:val="20"/>
                <w:szCs w:val="20"/>
              </w:rPr>
            </w:pPr>
          </w:p>
          <w:p w14:paraId="62FB4AE7" w14:textId="77777777" w:rsidR="0006394F" w:rsidRDefault="0006394F" w:rsidP="0006394F">
            <w:pPr>
              <w:spacing w:after="0" w:line="240" w:lineRule="auto"/>
              <w:rPr>
                <w:rFonts w:ascii="Futura Std Condensed Light" w:eastAsia="Calibri" w:hAnsi="Futura Std Condensed Light" w:cs="Calibri"/>
                <w:sz w:val="20"/>
                <w:szCs w:val="20"/>
              </w:rPr>
            </w:pPr>
          </w:p>
          <w:p w14:paraId="34C1738E" w14:textId="77777777" w:rsidR="0006394F" w:rsidRDefault="0006394F" w:rsidP="0006394F">
            <w:pPr>
              <w:spacing w:after="0" w:line="240" w:lineRule="auto"/>
              <w:rPr>
                <w:rFonts w:ascii="Futura Std Condensed Light" w:eastAsia="Calibri" w:hAnsi="Futura Std Condensed Light" w:cs="Calibri"/>
                <w:sz w:val="20"/>
                <w:szCs w:val="20"/>
              </w:rPr>
            </w:pPr>
          </w:p>
          <w:p w14:paraId="2EB1449E" w14:textId="77777777" w:rsidR="0006394F" w:rsidRDefault="0006394F" w:rsidP="0006394F">
            <w:pPr>
              <w:spacing w:after="0" w:line="240" w:lineRule="auto"/>
              <w:rPr>
                <w:rFonts w:ascii="Futura Std Condensed Light" w:eastAsia="Calibri" w:hAnsi="Futura Std Condensed Light" w:cs="Calibri"/>
                <w:sz w:val="20"/>
                <w:szCs w:val="20"/>
              </w:rPr>
            </w:pPr>
          </w:p>
          <w:p w14:paraId="715541C2" w14:textId="26C0A4D4" w:rsidR="0006394F" w:rsidRDefault="0006394F" w:rsidP="0006394F">
            <w:pPr>
              <w:spacing w:after="0" w:line="240" w:lineRule="auto"/>
              <w:rPr>
                <w:rFonts w:ascii="Futura Std Condensed Light" w:eastAsia="Calibri" w:hAnsi="Futura Std Condensed Light" w:cs="Calibri"/>
                <w:sz w:val="20"/>
                <w:szCs w:val="20"/>
              </w:rPr>
            </w:pPr>
          </w:p>
          <w:p w14:paraId="47801170" w14:textId="774154A0" w:rsidR="007F3EA3" w:rsidRDefault="007F3EA3" w:rsidP="0006394F">
            <w:pPr>
              <w:spacing w:after="0" w:line="240" w:lineRule="auto"/>
              <w:rPr>
                <w:rFonts w:ascii="Futura Std Condensed Light" w:eastAsia="Calibri" w:hAnsi="Futura Std Condensed Light" w:cs="Calibri"/>
                <w:sz w:val="20"/>
                <w:szCs w:val="20"/>
              </w:rPr>
            </w:pPr>
          </w:p>
          <w:p w14:paraId="20587530" w14:textId="36B61CDF" w:rsidR="007F3EA3" w:rsidRDefault="007F3EA3" w:rsidP="0006394F">
            <w:pPr>
              <w:spacing w:after="0" w:line="240" w:lineRule="auto"/>
              <w:rPr>
                <w:rFonts w:ascii="Futura Std Condensed Light" w:eastAsia="Calibri" w:hAnsi="Futura Std Condensed Light" w:cs="Calibri"/>
                <w:sz w:val="20"/>
                <w:szCs w:val="20"/>
              </w:rPr>
            </w:pPr>
          </w:p>
          <w:p w14:paraId="037E70A1" w14:textId="7D2E0374" w:rsidR="007F3EA3" w:rsidRDefault="007F3EA3" w:rsidP="0006394F">
            <w:pPr>
              <w:spacing w:after="0" w:line="240" w:lineRule="auto"/>
              <w:rPr>
                <w:rFonts w:ascii="Futura Std Condensed Light" w:eastAsia="Calibri" w:hAnsi="Futura Std Condensed Light" w:cs="Calibri"/>
                <w:sz w:val="20"/>
                <w:szCs w:val="20"/>
              </w:rPr>
            </w:pPr>
          </w:p>
          <w:p w14:paraId="69476C3A" w14:textId="61E01BF7" w:rsidR="007F3EA3" w:rsidRDefault="007F3EA3" w:rsidP="0006394F">
            <w:pPr>
              <w:spacing w:after="0" w:line="240" w:lineRule="auto"/>
              <w:rPr>
                <w:rFonts w:ascii="Futura Std Condensed Light" w:eastAsia="Calibri" w:hAnsi="Futura Std Condensed Light" w:cs="Calibri"/>
                <w:sz w:val="20"/>
                <w:szCs w:val="20"/>
              </w:rPr>
            </w:pPr>
          </w:p>
          <w:p w14:paraId="6D9DB688" w14:textId="0EFD96A5" w:rsidR="007F3EA3" w:rsidRDefault="007F3EA3" w:rsidP="0006394F">
            <w:pPr>
              <w:spacing w:after="0" w:line="240" w:lineRule="auto"/>
              <w:rPr>
                <w:rFonts w:ascii="Futura Std Condensed Light" w:eastAsia="Calibri" w:hAnsi="Futura Std Condensed Light" w:cs="Calibri"/>
                <w:sz w:val="20"/>
                <w:szCs w:val="20"/>
              </w:rPr>
            </w:pPr>
          </w:p>
          <w:p w14:paraId="3188E37A" w14:textId="77777777" w:rsidR="007F3EA3" w:rsidRDefault="007F3EA3" w:rsidP="0006394F">
            <w:pPr>
              <w:spacing w:after="0" w:line="240" w:lineRule="auto"/>
              <w:rPr>
                <w:rFonts w:ascii="Futura Std Condensed Light" w:eastAsia="Calibri" w:hAnsi="Futura Std Condensed Light" w:cs="Calibri"/>
                <w:sz w:val="20"/>
                <w:szCs w:val="20"/>
              </w:rPr>
            </w:pPr>
          </w:p>
          <w:p w14:paraId="27FA3808" w14:textId="77777777" w:rsidR="0006394F" w:rsidRDefault="0006394F" w:rsidP="0006394F">
            <w:pPr>
              <w:spacing w:after="0" w:line="240" w:lineRule="auto"/>
              <w:rPr>
                <w:rFonts w:ascii="Futura Std Condensed Light" w:eastAsia="Calibri" w:hAnsi="Futura Std Condensed Light" w:cs="Calibri"/>
                <w:sz w:val="20"/>
                <w:szCs w:val="20"/>
              </w:rPr>
            </w:pPr>
          </w:p>
          <w:p w14:paraId="329ED023" w14:textId="77777777" w:rsidR="0006394F" w:rsidRDefault="0006394F" w:rsidP="0006394F">
            <w:pPr>
              <w:spacing w:after="0" w:line="240" w:lineRule="auto"/>
              <w:rPr>
                <w:rFonts w:ascii="Futura Std Condensed Light" w:eastAsia="Calibri" w:hAnsi="Futura Std Condensed Light" w:cs="Calibri"/>
                <w:sz w:val="20"/>
                <w:szCs w:val="20"/>
              </w:rPr>
            </w:pPr>
          </w:p>
          <w:p w14:paraId="0393924E" w14:textId="77777777" w:rsidR="0006394F" w:rsidRDefault="0006394F" w:rsidP="0006394F">
            <w:pPr>
              <w:spacing w:after="0" w:line="240" w:lineRule="auto"/>
              <w:rPr>
                <w:rFonts w:ascii="Futura Std Condensed Light" w:eastAsia="Calibri" w:hAnsi="Futura Std Condensed Light" w:cs="Calibri"/>
                <w:sz w:val="20"/>
                <w:szCs w:val="20"/>
              </w:rPr>
            </w:pPr>
          </w:p>
          <w:p w14:paraId="5FE8E124" w14:textId="489B297E" w:rsidR="0006394F" w:rsidRPr="008B2769" w:rsidRDefault="0006394F" w:rsidP="0006394F">
            <w:pPr>
              <w:spacing w:after="0" w:line="240" w:lineRule="auto"/>
              <w:rPr>
                <w:rFonts w:ascii="Futura Std Condensed Light" w:eastAsia="Calibri" w:hAnsi="Futura Std Condensed Light" w:cs="Calibri"/>
                <w:sz w:val="20"/>
                <w:szCs w:val="20"/>
              </w:rPr>
            </w:pPr>
            <w:r w:rsidRPr="008B2769">
              <w:rPr>
                <w:rFonts w:ascii="Futura Std Condensed Light" w:eastAsia="Calibri" w:hAnsi="Futura Std Condensed Light" w:cs="Calibri"/>
                <w:sz w:val="20"/>
                <w:szCs w:val="20"/>
              </w:rPr>
              <w:t xml:space="preserve">Lograr que las personas de 15 años y más en </w:t>
            </w:r>
            <w:r w:rsidRPr="008B2769">
              <w:rPr>
                <w:rFonts w:ascii="Futura Std Condensed Light" w:eastAsia="Calibri" w:hAnsi="Futura Std Condensed Light" w:cs="Calibri"/>
                <w:sz w:val="20"/>
                <w:szCs w:val="20"/>
              </w:rPr>
              <w:lastRenderedPageBreak/>
              <w:t>rezago educativo en la entidad concluyan su educación básica</w:t>
            </w:r>
            <w:r>
              <w:rPr>
                <w:rFonts w:ascii="Futura Std Condensed Light" w:eastAsia="Calibri" w:hAnsi="Futura Std Condensed Light" w:cs="Calibri"/>
                <w:sz w:val="20"/>
                <w:szCs w:val="20"/>
              </w:rPr>
              <w:t>.</w:t>
            </w:r>
          </w:p>
          <w:p w14:paraId="4F584FA2" w14:textId="561FA919" w:rsidR="0006394F" w:rsidRDefault="0006394F" w:rsidP="0006394F">
            <w:pPr>
              <w:spacing w:after="0" w:line="240" w:lineRule="auto"/>
              <w:jc w:val="center"/>
              <w:rPr>
                <w:rFonts w:ascii="Futura Std Condensed Light" w:eastAsia="Calibri" w:hAnsi="Futura Std Condensed Light" w:cs="Calibri"/>
                <w:sz w:val="20"/>
                <w:szCs w:val="20"/>
              </w:rPr>
            </w:pPr>
          </w:p>
        </w:tc>
      </w:tr>
      <w:tr w:rsidR="0006394F" w14:paraId="09BFB50F" w14:textId="77777777" w:rsidTr="00F13334">
        <w:trPr>
          <w:trHeight w:val="283"/>
          <w:jc w:val="center"/>
        </w:trPr>
        <w:tc>
          <w:tcPr>
            <w:tcW w:w="0" w:type="auto"/>
            <w:vMerge/>
            <w:tcBorders>
              <w:left w:val="single" w:sz="4" w:space="0" w:color="auto"/>
              <w:right w:val="single" w:sz="4" w:space="0" w:color="auto"/>
            </w:tcBorders>
            <w:shd w:val="clear" w:color="auto" w:fill="FFFFFF" w:themeFill="background1"/>
            <w:vAlign w:val="center"/>
            <w:hideMark/>
          </w:tcPr>
          <w:p w14:paraId="681BB558" w14:textId="7DA51E2D" w:rsidR="0006394F" w:rsidRDefault="0006394F" w:rsidP="0006394F">
            <w:pPr>
              <w:spacing w:after="0" w:line="240" w:lineRule="auto"/>
              <w:jc w:val="center"/>
              <w:rPr>
                <w:rFonts w:ascii="Futura Std Condensed Light" w:eastAsia="Calibri" w:hAnsi="Futura Std Condensed Light" w:cs="Calibri"/>
                <w:sz w:val="20"/>
                <w:szCs w:val="20"/>
              </w:rPr>
            </w:pPr>
          </w:p>
        </w:tc>
        <w:tc>
          <w:tcPr>
            <w:tcW w:w="1630"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0A08E0C4" w14:textId="0E2C4065" w:rsidR="0006394F" w:rsidRDefault="0006394F" w:rsidP="0006394F">
            <w:pPr>
              <w:spacing w:after="0" w:line="240" w:lineRule="auto"/>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16. Coordinar el programa de certificación de educación básica para jóvenes, adultos y adultos mayores en rezago educativo.</w:t>
            </w:r>
          </w:p>
        </w:tc>
        <w:tc>
          <w:tcPr>
            <w:tcW w:w="1787" w:type="pct"/>
            <w:tcBorders>
              <w:top w:val="single" w:sz="4" w:space="0" w:color="auto"/>
              <w:left w:val="single" w:sz="4" w:space="0" w:color="auto"/>
              <w:bottom w:val="single" w:sz="4" w:space="0" w:color="auto"/>
              <w:right w:val="single" w:sz="4" w:space="0" w:color="auto"/>
            </w:tcBorders>
            <w:shd w:val="clear" w:color="auto" w:fill="FFFFFF" w:themeFill="background1"/>
          </w:tcPr>
          <w:p w14:paraId="11A372FB" w14:textId="250F1548" w:rsidR="0006394F" w:rsidRDefault="0006394F" w:rsidP="0006394F">
            <w:pPr>
              <w:spacing w:after="0" w:line="240" w:lineRule="auto"/>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2. Coordinar el programa de certificación de educación básica para jóvenes, adultos y adultos mayores en rezago educativo.</w:t>
            </w: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67ECE5E" w14:textId="77777777" w:rsidR="0006394F" w:rsidRDefault="0006394F" w:rsidP="0006394F">
            <w:pPr>
              <w:spacing w:after="0" w:line="240" w:lineRule="auto"/>
              <w:jc w:val="left"/>
              <w:rPr>
                <w:rFonts w:ascii="Futura Std Condensed Light" w:eastAsia="Calibri" w:hAnsi="Futura Std Condensed Light" w:cs="Calibri"/>
                <w:sz w:val="20"/>
                <w:szCs w:val="20"/>
              </w:rPr>
            </w:pPr>
          </w:p>
        </w:tc>
      </w:tr>
      <w:tr w:rsidR="0006394F" w14:paraId="1DFAFB73" w14:textId="77777777" w:rsidTr="00F13334">
        <w:trPr>
          <w:trHeight w:val="283"/>
          <w:jc w:val="center"/>
        </w:trPr>
        <w:tc>
          <w:tcPr>
            <w:tcW w:w="0" w:type="auto"/>
            <w:vMerge/>
            <w:tcBorders>
              <w:left w:val="single" w:sz="4" w:space="0" w:color="auto"/>
              <w:right w:val="single" w:sz="4" w:space="0" w:color="auto"/>
            </w:tcBorders>
            <w:shd w:val="clear" w:color="auto" w:fill="FFFFFF" w:themeFill="background1"/>
            <w:vAlign w:val="center"/>
            <w:hideMark/>
          </w:tcPr>
          <w:p w14:paraId="1A91A9D0" w14:textId="6291AB7E" w:rsidR="0006394F" w:rsidRDefault="0006394F" w:rsidP="0006394F">
            <w:pPr>
              <w:spacing w:after="0" w:line="240" w:lineRule="auto"/>
              <w:jc w:val="center"/>
              <w:rPr>
                <w:rFonts w:ascii="Futura Std Condensed Light" w:eastAsia="Calibri" w:hAnsi="Futura Std Condensed Light" w:cs="Calibri"/>
                <w:sz w:val="20"/>
                <w:szCs w:val="20"/>
              </w:rPr>
            </w:pPr>
          </w:p>
        </w:tc>
        <w:tc>
          <w:tcPr>
            <w:tcW w:w="1630"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612C4E3A" w14:textId="42B235E0" w:rsidR="0006394F" w:rsidRDefault="0006394F" w:rsidP="0006394F">
            <w:pPr>
              <w:spacing w:after="0" w:line="240" w:lineRule="auto"/>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 xml:space="preserve">17. Coordinar en colaboración con el Instituto Estatal para la Educación de Jóvenes y Adultos la aplicación de un </w:t>
            </w:r>
            <w:r>
              <w:rPr>
                <w:rFonts w:ascii="Futura Std Condensed Light" w:eastAsia="Calibri" w:hAnsi="Futura Std Condensed Light" w:cs="Calibri"/>
                <w:sz w:val="20"/>
                <w:szCs w:val="20"/>
              </w:rPr>
              <w:lastRenderedPageBreak/>
              <w:t>modelo de educación inclusiva dirigido a jóvenes, adultos y adultos mayores en rezago educativo.</w:t>
            </w:r>
          </w:p>
        </w:tc>
        <w:tc>
          <w:tcPr>
            <w:tcW w:w="1787" w:type="pct"/>
            <w:tcBorders>
              <w:top w:val="single" w:sz="4" w:space="0" w:color="auto"/>
              <w:left w:val="single" w:sz="4" w:space="0" w:color="auto"/>
              <w:bottom w:val="single" w:sz="4" w:space="0" w:color="auto"/>
              <w:right w:val="single" w:sz="4" w:space="0" w:color="auto"/>
            </w:tcBorders>
            <w:shd w:val="clear" w:color="auto" w:fill="FFFFFF" w:themeFill="background1"/>
          </w:tcPr>
          <w:p w14:paraId="7BC1F3B7" w14:textId="5F8773AC" w:rsidR="0006394F" w:rsidRDefault="0006394F" w:rsidP="0006394F">
            <w:pPr>
              <w:spacing w:after="0" w:line="240" w:lineRule="auto"/>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lastRenderedPageBreak/>
              <w:t xml:space="preserve">3. Coordinar en colaboración con el Instituto Estatal para la Educación de Jóvenes y Adultos la aplicación de un modelo de educación inclusiva dirigido a </w:t>
            </w:r>
            <w:r>
              <w:rPr>
                <w:rFonts w:ascii="Futura Std Condensed Light" w:eastAsia="Calibri" w:hAnsi="Futura Std Condensed Light" w:cs="Calibri"/>
                <w:sz w:val="20"/>
                <w:szCs w:val="20"/>
              </w:rPr>
              <w:lastRenderedPageBreak/>
              <w:t>jóvenes, adultos y adultos mayores en rezago educativo.</w:t>
            </w: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AAF9BDB" w14:textId="77777777" w:rsidR="0006394F" w:rsidRDefault="0006394F" w:rsidP="0006394F">
            <w:pPr>
              <w:spacing w:after="0" w:line="240" w:lineRule="auto"/>
              <w:jc w:val="left"/>
              <w:rPr>
                <w:rFonts w:ascii="Futura Std Condensed Light" w:eastAsia="Calibri" w:hAnsi="Futura Std Condensed Light" w:cs="Calibri"/>
                <w:sz w:val="20"/>
                <w:szCs w:val="20"/>
              </w:rPr>
            </w:pPr>
          </w:p>
        </w:tc>
      </w:tr>
      <w:tr w:rsidR="0006394F" w14:paraId="7B846D20" w14:textId="77777777" w:rsidTr="00F13334">
        <w:trPr>
          <w:trHeight w:val="283"/>
          <w:jc w:val="center"/>
        </w:trPr>
        <w:tc>
          <w:tcPr>
            <w:tcW w:w="0" w:type="auto"/>
            <w:vMerge/>
            <w:tcBorders>
              <w:left w:val="single" w:sz="4" w:space="0" w:color="auto"/>
              <w:right w:val="single" w:sz="4" w:space="0" w:color="auto"/>
            </w:tcBorders>
            <w:shd w:val="clear" w:color="auto" w:fill="FFFFFF" w:themeFill="background1"/>
            <w:vAlign w:val="center"/>
            <w:hideMark/>
          </w:tcPr>
          <w:p w14:paraId="408D2AEB" w14:textId="4B376387" w:rsidR="0006394F" w:rsidRDefault="0006394F" w:rsidP="0006394F">
            <w:pPr>
              <w:spacing w:after="0" w:line="240" w:lineRule="auto"/>
              <w:jc w:val="center"/>
              <w:rPr>
                <w:rFonts w:ascii="Futura Std Condensed Light" w:eastAsia="Calibri" w:hAnsi="Futura Std Condensed Light" w:cs="Calibri"/>
                <w:sz w:val="20"/>
                <w:szCs w:val="20"/>
              </w:rPr>
            </w:pPr>
          </w:p>
        </w:tc>
        <w:tc>
          <w:tcPr>
            <w:tcW w:w="1630"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02B43F6F" w14:textId="226AECED" w:rsidR="0006394F" w:rsidRDefault="0006394F" w:rsidP="0006394F">
            <w:pPr>
              <w:spacing w:after="0" w:line="240" w:lineRule="auto"/>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18. Celebrar Jornadas Estatales de incorporación y conclusión de educación básica dirigida a jóvenes, adultos y adultos mayores en rezago educativo.</w:t>
            </w:r>
          </w:p>
        </w:tc>
        <w:tc>
          <w:tcPr>
            <w:tcW w:w="17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F2326E" w14:textId="63E7BAEC" w:rsidR="0006394F" w:rsidRDefault="0006394F" w:rsidP="0006394F">
            <w:pPr>
              <w:spacing w:after="0" w:line="240" w:lineRule="auto"/>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4. Celebrar Jornadas Estatales de incorporación y conclusión de educación básica dirigida a jóvenes, adultos y adultos mayores en rezago educativo.</w:t>
            </w: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1858D25" w14:textId="77777777" w:rsidR="0006394F" w:rsidRDefault="0006394F" w:rsidP="0006394F">
            <w:pPr>
              <w:spacing w:after="0" w:line="240" w:lineRule="auto"/>
              <w:jc w:val="left"/>
              <w:rPr>
                <w:rFonts w:ascii="Futura Std Condensed Light" w:eastAsia="Calibri" w:hAnsi="Futura Std Condensed Light" w:cs="Calibri"/>
                <w:sz w:val="20"/>
                <w:szCs w:val="20"/>
              </w:rPr>
            </w:pPr>
          </w:p>
        </w:tc>
      </w:tr>
      <w:tr w:rsidR="00D83181" w14:paraId="5783BFE3" w14:textId="77777777" w:rsidTr="00F13334">
        <w:trPr>
          <w:trHeight w:val="283"/>
          <w:jc w:val="center"/>
        </w:trPr>
        <w:tc>
          <w:tcPr>
            <w:tcW w:w="0" w:type="auto"/>
            <w:vMerge/>
            <w:tcBorders>
              <w:left w:val="single" w:sz="4" w:space="0" w:color="auto"/>
              <w:right w:val="single" w:sz="4" w:space="0" w:color="auto"/>
            </w:tcBorders>
            <w:shd w:val="clear" w:color="auto" w:fill="FFFFFF" w:themeFill="background1"/>
            <w:vAlign w:val="center"/>
          </w:tcPr>
          <w:p w14:paraId="33741E1C" w14:textId="77777777" w:rsidR="00D83181" w:rsidRDefault="00D83181" w:rsidP="0006394F">
            <w:pPr>
              <w:spacing w:after="0" w:line="240" w:lineRule="auto"/>
              <w:jc w:val="center"/>
              <w:rPr>
                <w:rFonts w:ascii="Futura Std Condensed Light" w:eastAsia="Calibri" w:hAnsi="Futura Std Condensed Light" w:cs="Calibri"/>
                <w:sz w:val="20"/>
                <w:szCs w:val="20"/>
              </w:rPr>
            </w:pPr>
          </w:p>
        </w:tc>
        <w:tc>
          <w:tcPr>
            <w:tcW w:w="1630"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08B3F2D7" w14:textId="635A55C8" w:rsidR="00D83181" w:rsidRDefault="00D83181" w:rsidP="0006394F">
            <w:pPr>
              <w:spacing w:after="0" w:line="240" w:lineRule="auto"/>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25. Desarrollar e implementar acciones para fortalecer el Modelo de Prevención Quintana Roo.</w:t>
            </w:r>
          </w:p>
        </w:tc>
        <w:tc>
          <w:tcPr>
            <w:tcW w:w="1787" w:type="pct"/>
            <w:tcBorders>
              <w:top w:val="single" w:sz="4" w:space="0" w:color="auto"/>
              <w:left w:val="single" w:sz="4" w:space="0" w:color="auto"/>
              <w:bottom w:val="single" w:sz="4" w:space="0" w:color="auto"/>
              <w:right w:val="single" w:sz="4" w:space="0" w:color="auto"/>
            </w:tcBorders>
            <w:shd w:val="clear" w:color="auto" w:fill="FFFFFF" w:themeFill="background1"/>
          </w:tcPr>
          <w:p w14:paraId="7A77CD56" w14:textId="1D19DD5E" w:rsidR="00D83181" w:rsidRDefault="00D83181" w:rsidP="0006394F">
            <w:pPr>
              <w:spacing w:after="0" w:line="240" w:lineRule="auto"/>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5. Desarrollar e implementar acciones para fortalecer el Modelo de Prevención Quintana Roo.</w:t>
            </w: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0D5506" w14:textId="77777777" w:rsidR="00D83181" w:rsidRDefault="00D83181" w:rsidP="0006394F">
            <w:pPr>
              <w:spacing w:after="0" w:line="240" w:lineRule="auto"/>
              <w:jc w:val="left"/>
              <w:rPr>
                <w:rFonts w:ascii="Futura Std Condensed Light" w:eastAsia="Calibri" w:hAnsi="Futura Std Condensed Light" w:cs="Calibri"/>
                <w:sz w:val="20"/>
                <w:szCs w:val="20"/>
              </w:rPr>
            </w:pPr>
          </w:p>
        </w:tc>
      </w:tr>
      <w:tr w:rsidR="00D83181" w14:paraId="3F45DC34" w14:textId="77777777" w:rsidTr="00F13334">
        <w:trPr>
          <w:trHeight w:val="283"/>
          <w:jc w:val="center"/>
        </w:trPr>
        <w:tc>
          <w:tcPr>
            <w:tcW w:w="0" w:type="auto"/>
            <w:vMerge/>
            <w:tcBorders>
              <w:left w:val="single" w:sz="4" w:space="0" w:color="auto"/>
              <w:right w:val="single" w:sz="4" w:space="0" w:color="auto"/>
            </w:tcBorders>
            <w:shd w:val="clear" w:color="auto" w:fill="FFFFFF" w:themeFill="background1"/>
            <w:vAlign w:val="center"/>
          </w:tcPr>
          <w:p w14:paraId="4C422F61" w14:textId="77777777" w:rsidR="00D83181" w:rsidRDefault="00D83181" w:rsidP="0006394F">
            <w:pPr>
              <w:spacing w:after="0" w:line="240" w:lineRule="auto"/>
              <w:jc w:val="center"/>
              <w:rPr>
                <w:rFonts w:ascii="Futura Std Condensed Light" w:eastAsia="Calibri" w:hAnsi="Futura Std Condensed Light" w:cs="Calibri"/>
                <w:sz w:val="20"/>
                <w:szCs w:val="20"/>
              </w:rPr>
            </w:pPr>
          </w:p>
        </w:tc>
        <w:tc>
          <w:tcPr>
            <w:tcW w:w="1630"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222070FC" w14:textId="2E6E5F2F" w:rsidR="00D83181" w:rsidRDefault="00D83181" w:rsidP="0006394F">
            <w:pPr>
              <w:spacing w:after="0" w:line="240" w:lineRule="auto"/>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26. Impulsar e implementar acciones permanentes en materia de promoción, protección y defensa de los Derechos Humanos, con la aplicación de planteamientos legales, estructurales, así como la constante formación de Servidores Públicos fortaleciendo el ejercicio de los Derechos Humanos de los Ciudadanos.</w:t>
            </w:r>
          </w:p>
        </w:tc>
        <w:tc>
          <w:tcPr>
            <w:tcW w:w="1787" w:type="pct"/>
            <w:tcBorders>
              <w:top w:val="single" w:sz="4" w:space="0" w:color="auto"/>
              <w:left w:val="single" w:sz="4" w:space="0" w:color="auto"/>
              <w:bottom w:val="single" w:sz="4" w:space="0" w:color="auto"/>
              <w:right w:val="single" w:sz="4" w:space="0" w:color="auto"/>
            </w:tcBorders>
            <w:shd w:val="clear" w:color="auto" w:fill="FFFFFF" w:themeFill="background1"/>
          </w:tcPr>
          <w:p w14:paraId="519B37BB" w14:textId="51290BAF" w:rsidR="00D83181" w:rsidRDefault="00D83181" w:rsidP="0006394F">
            <w:pPr>
              <w:spacing w:after="0" w:line="240" w:lineRule="auto"/>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6. Impulsar e implementar acciones permanentes en materia de promoción, protección y defensa de los Derechos Humanos, con la aplicación de planteamientos legales, estructurales, así como la constante formación de Servidores Públicos fortaleciendo el ejercicio de los Derechos Humanos de los Ciudadanos.</w:t>
            </w: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B5E603" w14:textId="77777777" w:rsidR="00D83181" w:rsidRDefault="00D83181" w:rsidP="0006394F">
            <w:pPr>
              <w:spacing w:after="0" w:line="240" w:lineRule="auto"/>
              <w:jc w:val="left"/>
              <w:rPr>
                <w:rFonts w:ascii="Futura Std Condensed Light" w:eastAsia="Calibri" w:hAnsi="Futura Std Condensed Light" w:cs="Calibri"/>
                <w:sz w:val="20"/>
                <w:szCs w:val="20"/>
              </w:rPr>
            </w:pPr>
          </w:p>
        </w:tc>
      </w:tr>
      <w:tr w:rsidR="0006394F" w14:paraId="6E2C2A42" w14:textId="77777777" w:rsidTr="00F13334">
        <w:trPr>
          <w:trHeight w:val="283"/>
          <w:jc w:val="center"/>
        </w:trPr>
        <w:tc>
          <w:tcPr>
            <w:tcW w:w="0" w:type="auto"/>
            <w:vMerge/>
            <w:tcBorders>
              <w:left w:val="single" w:sz="4" w:space="0" w:color="auto"/>
              <w:right w:val="single" w:sz="4" w:space="0" w:color="auto"/>
            </w:tcBorders>
            <w:shd w:val="clear" w:color="auto" w:fill="FFFFFF" w:themeFill="background1"/>
            <w:vAlign w:val="center"/>
            <w:hideMark/>
          </w:tcPr>
          <w:p w14:paraId="225B56AB" w14:textId="5B2CCA0B" w:rsidR="0006394F" w:rsidRDefault="0006394F" w:rsidP="0006394F">
            <w:pPr>
              <w:spacing w:after="0" w:line="240" w:lineRule="auto"/>
              <w:jc w:val="center"/>
              <w:rPr>
                <w:rFonts w:ascii="Futura Std Condensed Light" w:eastAsia="Calibri" w:hAnsi="Futura Std Condensed Light" w:cs="Calibri"/>
                <w:sz w:val="20"/>
                <w:szCs w:val="20"/>
              </w:rPr>
            </w:pPr>
          </w:p>
        </w:tc>
        <w:tc>
          <w:tcPr>
            <w:tcW w:w="1630"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2518AEAC" w14:textId="77777777" w:rsidR="0006394F" w:rsidRDefault="0006394F" w:rsidP="0006394F">
            <w:pPr>
              <w:spacing w:after="0" w:line="240" w:lineRule="auto"/>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27. Atender las actividades administrativas, técnicas, jurídicas y de Staff.</w:t>
            </w:r>
          </w:p>
        </w:tc>
        <w:tc>
          <w:tcPr>
            <w:tcW w:w="1787" w:type="pct"/>
            <w:tcBorders>
              <w:top w:val="single" w:sz="4" w:space="0" w:color="auto"/>
              <w:left w:val="single" w:sz="4" w:space="0" w:color="auto"/>
              <w:bottom w:val="single" w:sz="4" w:space="0" w:color="auto"/>
              <w:right w:val="single" w:sz="4" w:space="0" w:color="auto"/>
            </w:tcBorders>
            <w:shd w:val="clear" w:color="auto" w:fill="FFFFFF" w:themeFill="background1"/>
          </w:tcPr>
          <w:p w14:paraId="3EF1BA13" w14:textId="61ADFC72" w:rsidR="0006394F" w:rsidRDefault="00D83181" w:rsidP="0006394F">
            <w:pPr>
              <w:spacing w:after="0" w:line="240" w:lineRule="auto"/>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7</w:t>
            </w:r>
            <w:r w:rsidR="0006394F">
              <w:rPr>
                <w:rFonts w:ascii="Futura Std Condensed Light" w:eastAsia="Calibri" w:hAnsi="Futura Std Condensed Light" w:cs="Calibri"/>
                <w:sz w:val="20"/>
                <w:szCs w:val="20"/>
              </w:rPr>
              <w:t>. Atender las actividades administrativas, técnicas, jurídicas y de Staff.</w:t>
            </w:r>
          </w:p>
        </w:tc>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A7C5094" w14:textId="77777777" w:rsidR="0006394F" w:rsidRDefault="0006394F" w:rsidP="0006394F">
            <w:pPr>
              <w:spacing w:after="0" w:line="240" w:lineRule="auto"/>
              <w:jc w:val="left"/>
              <w:rPr>
                <w:rFonts w:ascii="Futura Std Condensed Light" w:eastAsia="Calibri" w:hAnsi="Futura Std Condensed Light" w:cs="Calibri"/>
                <w:sz w:val="20"/>
                <w:szCs w:val="20"/>
              </w:rPr>
            </w:pPr>
          </w:p>
        </w:tc>
      </w:tr>
      <w:tr w:rsidR="0006394F" w14:paraId="49A361C1" w14:textId="77777777" w:rsidTr="00D83181">
        <w:trPr>
          <w:trHeight w:val="260"/>
          <w:jc w:val="center"/>
        </w:trPr>
        <w:tc>
          <w:tcPr>
            <w:tcW w:w="700" w:type="pct"/>
            <w:vMerge/>
            <w:tcBorders>
              <w:left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2F5E26C8" w14:textId="6820AA35" w:rsidR="0006394F" w:rsidRDefault="0006394F" w:rsidP="0006394F">
            <w:pPr>
              <w:spacing w:after="0" w:line="240" w:lineRule="auto"/>
              <w:jc w:val="center"/>
              <w:rPr>
                <w:rFonts w:ascii="Futura Std Condensed Light" w:eastAsia="Calibri" w:hAnsi="Futura Std Condensed Light" w:cs="Calibri"/>
                <w:sz w:val="20"/>
                <w:szCs w:val="20"/>
              </w:rPr>
            </w:pPr>
          </w:p>
        </w:tc>
        <w:tc>
          <w:tcPr>
            <w:tcW w:w="1630" w:type="pct"/>
            <w:vMerge w:val="restart"/>
            <w:tcBorders>
              <w:top w:val="single" w:sz="4" w:space="0" w:color="auto"/>
              <w:left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23AC45EE" w14:textId="0A0B983D" w:rsidR="0006394F" w:rsidRDefault="0006394F" w:rsidP="0006394F">
            <w:pPr>
              <w:spacing w:after="0" w:line="240" w:lineRule="auto"/>
              <w:rPr>
                <w:rFonts w:ascii="Futura Std Condensed Light" w:eastAsia="Calibri" w:hAnsi="Futura Std Condensed Light" w:cs="Calibri"/>
                <w:sz w:val="20"/>
                <w:szCs w:val="20"/>
              </w:rPr>
            </w:pPr>
          </w:p>
          <w:p w14:paraId="23037E13" w14:textId="77777777" w:rsidR="0006394F" w:rsidRDefault="0006394F" w:rsidP="0006394F">
            <w:pPr>
              <w:spacing w:after="0" w:line="240" w:lineRule="auto"/>
              <w:rPr>
                <w:rFonts w:ascii="Futura Std Condensed Light" w:eastAsia="Calibri" w:hAnsi="Futura Std Condensed Light" w:cs="Calibri"/>
                <w:sz w:val="20"/>
                <w:szCs w:val="20"/>
              </w:rPr>
            </w:pPr>
          </w:p>
          <w:p w14:paraId="580864BC" w14:textId="77777777" w:rsidR="0006394F" w:rsidRDefault="0006394F" w:rsidP="0006394F">
            <w:pPr>
              <w:spacing w:after="0" w:line="240" w:lineRule="auto"/>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lastRenderedPageBreak/>
              <w:t>16. Fomentar la investigación básica y aplicada, científica, tecnológica y de innovación en instituciones de educación media superior y superior.</w:t>
            </w:r>
          </w:p>
        </w:tc>
        <w:tc>
          <w:tcPr>
            <w:tcW w:w="1787" w:type="pct"/>
            <w:tcBorders>
              <w:top w:val="single" w:sz="4" w:space="0" w:color="auto"/>
              <w:left w:val="single" w:sz="4" w:space="0" w:color="auto"/>
              <w:bottom w:val="single" w:sz="4" w:space="0" w:color="auto"/>
              <w:right w:val="single" w:sz="4" w:space="0" w:color="auto"/>
            </w:tcBorders>
            <w:shd w:val="clear" w:color="auto" w:fill="FFFFFF" w:themeFill="background1"/>
          </w:tcPr>
          <w:p w14:paraId="550D6539" w14:textId="77777777" w:rsidR="0006394F" w:rsidRPr="00A363C7" w:rsidRDefault="0006394F" w:rsidP="0006394F">
            <w:pPr>
              <w:spacing w:after="0"/>
              <w:rPr>
                <w:rFonts w:ascii="Futura Std Condensed Light" w:eastAsia="Calibri" w:hAnsi="Futura Std Condensed Light" w:cs="Calibri"/>
                <w:sz w:val="20"/>
                <w:szCs w:val="20"/>
              </w:rPr>
            </w:pPr>
            <w:r w:rsidRPr="00A363C7">
              <w:rPr>
                <w:rFonts w:ascii="Futura Std Condensed Light" w:eastAsia="Calibri" w:hAnsi="Futura Std Condensed Light" w:cs="Calibri"/>
                <w:sz w:val="20"/>
                <w:szCs w:val="20"/>
              </w:rPr>
              <w:lastRenderedPageBreak/>
              <w:t>1</w:t>
            </w:r>
            <w:r>
              <w:rPr>
                <w:rFonts w:ascii="Futura Std Condensed Light" w:eastAsia="Calibri" w:hAnsi="Futura Std Condensed Light" w:cs="Calibri"/>
                <w:sz w:val="20"/>
                <w:szCs w:val="20"/>
              </w:rPr>
              <w:t>.</w:t>
            </w:r>
            <w:r w:rsidRPr="00A363C7">
              <w:rPr>
                <w:rFonts w:ascii="Futura Std Condensed Light" w:eastAsia="Calibri" w:hAnsi="Futura Std Condensed Light" w:cs="Calibri"/>
                <w:sz w:val="20"/>
                <w:szCs w:val="20"/>
              </w:rPr>
              <w:t xml:space="preserve">Propiciar mediante el uso del conocimiento científico y tecnológico, el desarrollo de las </w:t>
            </w:r>
            <w:r w:rsidRPr="00A363C7">
              <w:rPr>
                <w:rFonts w:ascii="Futura Std Condensed Light" w:eastAsia="Calibri" w:hAnsi="Futura Std Condensed Light" w:cs="Calibri"/>
                <w:sz w:val="20"/>
                <w:szCs w:val="20"/>
              </w:rPr>
              <w:lastRenderedPageBreak/>
              <w:t>áreas y actividades identificadas como estratégicas para el Estado.</w:t>
            </w:r>
          </w:p>
          <w:p w14:paraId="7DF12F3E" w14:textId="77777777" w:rsidR="0006394F" w:rsidRDefault="0006394F" w:rsidP="0006394F">
            <w:pPr>
              <w:spacing w:after="0" w:line="240" w:lineRule="auto"/>
              <w:jc w:val="center"/>
              <w:rPr>
                <w:rFonts w:ascii="Futura Std Condensed Light" w:eastAsia="Calibri" w:hAnsi="Futura Std Condensed Light" w:cs="Calibri"/>
                <w:sz w:val="20"/>
                <w:szCs w:val="20"/>
              </w:rPr>
            </w:pPr>
          </w:p>
        </w:tc>
        <w:tc>
          <w:tcPr>
            <w:tcW w:w="882" w:type="pct"/>
            <w:vMerge w:val="restart"/>
            <w:tcBorders>
              <w:top w:val="single" w:sz="4" w:space="0" w:color="auto"/>
              <w:left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6A6667D3" w14:textId="67AF47A3" w:rsidR="0006394F" w:rsidRDefault="0006394F" w:rsidP="0006394F">
            <w:pPr>
              <w:spacing w:after="0" w:line="240" w:lineRule="auto"/>
              <w:rPr>
                <w:rFonts w:ascii="Futura Std Condensed Light" w:eastAsia="Calibri" w:hAnsi="Futura Std Condensed Light" w:cs="Calibri"/>
                <w:sz w:val="20"/>
                <w:szCs w:val="20"/>
              </w:rPr>
            </w:pPr>
          </w:p>
          <w:p w14:paraId="0EFFD550" w14:textId="77777777" w:rsidR="00D83181" w:rsidRDefault="00D83181" w:rsidP="0006394F">
            <w:pPr>
              <w:spacing w:after="0"/>
              <w:rPr>
                <w:rFonts w:ascii="Futura Std Condensed Light" w:eastAsia="Calibri" w:hAnsi="Futura Std Condensed Light" w:cs="Calibri"/>
                <w:sz w:val="20"/>
                <w:szCs w:val="20"/>
              </w:rPr>
            </w:pPr>
          </w:p>
          <w:p w14:paraId="0ABE6AD7" w14:textId="77777777" w:rsidR="00D83181" w:rsidRDefault="00D83181" w:rsidP="0006394F">
            <w:pPr>
              <w:spacing w:after="0"/>
              <w:rPr>
                <w:rFonts w:ascii="Futura Std Condensed Light" w:eastAsia="Calibri" w:hAnsi="Futura Std Condensed Light" w:cs="Calibri"/>
                <w:sz w:val="20"/>
                <w:szCs w:val="20"/>
              </w:rPr>
            </w:pPr>
          </w:p>
          <w:p w14:paraId="10A5A34C" w14:textId="77777777" w:rsidR="00D83181" w:rsidRDefault="00D83181" w:rsidP="0006394F">
            <w:pPr>
              <w:spacing w:after="0"/>
              <w:rPr>
                <w:rFonts w:ascii="Futura Std Condensed Light" w:eastAsia="Calibri" w:hAnsi="Futura Std Condensed Light" w:cs="Calibri"/>
                <w:sz w:val="20"/>
                <w:szCs w:val="20"/>
              </w:rPr>
            </w:pPr>
          </w:p>
          <w:p w14:paraId="52CE3201" w14:textId="77777777" w:rsidR="00D83181" w:rsidRDefault="00D83181" w:rsidP="0006394F">
            <w:pPr>
              <w:spacing w:after="0"/>
              <w:rPr>
                <w:rFonts w:ascii="Futura Std Condensed Light" w:eastAsia="Calibri" w:hAnsi="Futura Std Condensed Light" w:cs="Calibri"/>
                <w:sz w:val="20"/>
                <w:szCs w:val="20"/>
              </w:rPr>
            </w:pPr>
          </w:p>
          <w:p w14:paraId="6C77EE8F" w14:textId="77777777" w:rsidR="00D83181" w:rsidRDefault="00D83181" w:rsidP="0006394F">
            <w:pPr>
              <w:spacing w:after="0"/>
              <w:rPr>
                <w:rFonts w:ascii="Futura Std Condensed Light" w:eastAsia="Calibri" w:hAnsi="Futura Std Condensed Light" w:cs="Calibri"/>
                <w:sz w:val="20"/>
                <w:szCs w:val="20"/>
              </w:rPr>
            </w:pPr>
          </w:p>
          <w:p w14:paraId="72A9A0A2" w14:textId="77777777" w:rsidR="00D83181" w:rsidRDefault="00D83181" w:rsidP="0006394F">
            <w:pPr>
              <w:spacing w:after="0"/>
              <w:rPr>
                <w:rFonts w:ascii="Futura Std Condensed Light" w:eastAsia="Calibri" w:hAnsi="Futura Std Condensed Light" w:cs="Calibri"/>
                <w:sz w:val="20"/>
                <w:szCs w:val="20"/>
              </w:rPr>
            </w:pPr>
          </w:p>
          <w:p w14:paraId="43D81AF0" w14:textId="77777777" w:rsidR="00D83181" w:rsidRDefault="00D83181" w:rsidP="0006394F">
            <w:pPr>
              <w:spacing w:after="0"/>
              <w:rPr>
                <w:rFonts w:ascii="Futura Std Condensed Light" w:eastAsia="Calibri" w:hAnsi="Futura Std Condensed Light" w:cs="Calibri"/>
                <w:sz w:val="20"/>
                <w:szCs w:val="20"/>
              </w:rPr>
            </w:pPr>
          </w:p>
          <w:p w14:paraId="5C2B616B" w14:textId="77777777" w:rsidR="00D83181" w:rsidRDefault="00D83181" w:rsidP="0006394F">
            <w:pPr>
              <w:spacing w:after="0"/>
              <w:rPr>
                <w:rFonts w:ascii="Futura Std Condensed Light" w:eastAsia="Calibri" w:hAnsi="Futura Std Condensed Light" w:cs="Calibri"/>
                <w:sz w:val="20"/>
                <w:szCs w:val="20"/>
              </w:rPr>
            </w:pPr>
          </w:p>
          <w:p w14:paraId="244744C6" w14:textId="77777777" w:rsidR="00D83181" w:rsidRDefault="00D83181" w:rsidP="0006394F">
            <w:pPr>
              <w:spacing w:after="0"/>
              <w:rPr>
                <w:rFonts w:ascii="Futura Std Condensed Light" w:eastAsia="Calibri" w:hAnsi="Futura Std Condensed Light" w:cs="Calibri"/>
                <w:sz w:val="20"/>
                <w:szCs w:val="20"/>
              </w:rPr>
            </w:pPr>
          </w:p>
          <w:p w14:paraId="157D993A" w14:textId="77777777" w:rsidR="00D83181" w:rsidRDefault="00D83181" w:rsidP="0006394F">
            <w:pPr>
              <w:spacing w:after="0"/>
              <w:rPr>
                <w:rFonts w:ascii="Futura Std Condensed Light" w:eastAsia="Calibri" w:hAnsi="Futura Std Condensed Light" w:cs="Calibri"/>
                <w:sz w:val="20"/>
                <w:szCs w:val="20"/>
              </w:rPr>
            </w:pPr>
          </w:p>
          <w:p w14:paraId="15F0E42A" w14:textId="4169DE2F" w:rsidR="0006394F" w:rsidRPr="008B2769" w:rsidRDefault="0006394F" w:rsidP="0006394F">
            <w:pPr>
              <w:spacing w:after="0"/>
              <w:rPr>
                <w:rFonts w:ascii="Futura Std Condensed Light" w:eastAsia="Calibri" w:hAnsi="Futura Std Condensed Light" w:cs="Calibri"/>
                <w:sz w:val="20"/>
                <w:szCs w:val="20"/>
              </w:rPr>
            </w:pPr>
            <w:r w:rsidRPr="008B2769">
              <w:rPr>
                <w:rFonts w:ascii="Futura Std Condensed Light" w:eastAsia="Calibri" w:hAnsi="Futura Std Condensed Light" w:cs="Calibri"/>
                <w:sz w:val="20"/>
                <w:szCs w:val="20"/>
              </w:rPr>
              <w:t>Impulsar el desarrollo de la investigación científica, tecnológica y de la innovación para el incremento de los niveles de competitividad del Estado.</w:t>
            </w:r>
          </w:p>
          <w:p w14:paraId="31A00899" w14:textId="2D179D99" w:rsidR="0006394F" w:rsidRDefault="0006394F" w:rsidP="0006394F">
            <w:pPr>
              <w:spacing w:after="0" w:line="240" w:lineRule="auto"/>
              <w:rPr>
                <w:rFonts w:ascii="Futura Std Condensed Light" w:eastAsia="Calibri" w:hAnsi="Futura Std Condensed Light" w:cs="Calibri"/>
                <w:sz w:val="20"/>
                <w:szCs w:val="20"/>
              </w:rPr>
            </w:pPr>
          </w:p>
          <w:p w14:paraId="20C4196C" w14:textId="77777777" w:rsidR="0006394F" w:rsidRDefault="0006394F" w:rsidP="0006394F">
            <w:pPr>
              <w:spacing w:after="0" w:line="240" w:lineRule="auto"/>
              <w:jc w:val="center"/>
              <w:rPr>
                <w:rFonts w:ascii="Futura Std Condensed Light" w:eastAsia="Calibri" w:hAnsi="Futura Std Condensed Light" w:cs="Calibri"/>
                <w:sz w:val="20"/>
                <w:szCs w:val="20"/>
              </w:rPr>
            </w:pPr>
          </w:p>
          <w:p w14:paraId="1E101649" w14:textId="77777777" w:rsidR="0006394F" w:rsidRDefault="0006394F" w:rsidP="0006394F">
            <w:pPr>
              <w:spacing w:after="0" w:line="240" w:lineRule="auto"/>
              <w:jc w:val="center"/>
              <w:rPr>
                <w:rFonts w:ascii="Futura Std Condensed Light" w:eastAsia="Calibri" w:hAnsi="Futura Std Condensed Light" w:cs="Calibri"/>
                <w:sz w:val="20"/>
                <w:szCs w:val="20"/>
              </w:rPr>
            </w:pPr>
          </w:p>
          <w:p w14:paraId="6A339E06" w14:textId="77777777" w:rsidR="0006394F" w:rsidRDefault="0006394F" w:rsidP="0006394F">
            <w:pPr>
              <w:spacing w:after="0" w:line="240" w:lineRule="auto"/>
              <w:jc w:val="center"/>
              <w:rPr>
                <w:rFonts w:ascii="Futura Std Condensed Light" w:eastAsia="Calibri" w:hAnsi="Futura Std Condensed Light" w:cs="Calibri"/>
                <w:sz w:val="20"/>
                <w:szCs w:val="20"/>
              </w:rPr>
            </w:pPr>
          </w:p>
          <w:p w14:paraId="59422C29" w14:textId="77777777" w:rsidR="0006394F" w:rsidRDefault="0006394F" w:rsidP="0006394F">
            <w:pPr>
              <w:spacing w:after="0" w:line="240" w:lineRule="auto"/>
              <w:jc w:val="center"/>
              <w:rPr>
                <w:rFonts w:ascii="Futura Std Condensed Light" w:eastAsia="Calibri" w:hAnsi="Futura Std Condensed Light" w:cs="Calibri"/>
                <w:sz w:val="20"/>
                <w:szCs w:val="20"/>
              </w:rPr>
            </w:pPr>
          </w:p>
          <w:p w14:paraId="5AA514E2" w14:textId="77777777" w:rsidR="0006394F" w:rsidRDefault="0006394F" w:rsidP="0006394F">
            <w:pPr>
              <w:spacing w:after="0" w:line="240" w:lineRule="auto"/>
              <w:jc w:val="center"/>
              <w:rPr>
                <w:rFonts w:ascii="Futura Std Condensed Light" w:eastAsia="Calibri" w:hAnsi="Futura Std Condensed Light" w:cs="Calibri"/>
                <w:sz w:val="20"/>
                <w:szCs w:val="20"/>
              </w:rPr>
            </w:pPr>
          </w:p>
          <w:p w14:paraId="0A1F02D6" w14:textId="5A59346E" w:rsidR="0006394F" w:rsidRDefault="0006394F" w:rsidP="0006394F">
            <w:pPr>
              <w:spacing w:after="0" w:line="240" w:lineRule="auto"/>
              <w:jc w:val="center"/>
              <w:rPr>
                <w:rFonts w:ascii="Futura Std Condensed Light" w:eastAsia="Calibri" w:hAnsi="Futura Std Condensed Light" w:cs="Calibri"/>
                <w:sz w:val="20"/>
                <w:szCs w:val="20"/>
              </w:rPr>
            </w:pPr>
          </w:p>
          <w:p w14:paraId="2B3D39A7" w14:textId="61947A9D" w:rsidR="0006394F" w:rsidRDefault="0006394F" w:rsidP="0006394F">
            <w:pPr>
              <w:spacing w:after="0" w:line="240" w:lineRule="auto"/>
              <w:jc w:val="center"/>
              <w:rPr>
                <w:rFonts w:ascii="Futura Std Condensed Light" w:eastAsia="Calibri" w:hAnsi="Futura Std Condensed Light" w:cs="Calibri"/>
                <w:sz w:val="20"/>
                <w:szCs w:val="20"/>
              </w:rPr>
            </w:pPr>
          </w:p>
          <w:p w14:paraId="1830D199" w14:textId="000208B1" w:rsidR="0006394F" w:rsidRDefault="0006394F" w:rsidP="0006394F">
            <w:pPr>
              <w:spacing w:after="0" w:line="240" w:lineRule="auto"/>
              <w:jc w:val="center"/>
              <w:rPr>
                <w:rFonts w:ascii="Futura Std Condensed Light" w:eastAsia="Calibri" w:hAnsi="Futura Std Condensed Light" w:cs="Calibri"/>
                <w:sz w:val="20"/>
                <w:szCs w:val="20"/>
              </w:rPr>
            </w:pPr>
          </w:p>
          <w:p w14:paraId="69142FDC" w14:textId="2EA51ED1" w:rsidR="0006394F" w:rsidRDefault="0006394F" w:rsidP="0006394F">
            <w:pPr>
              <w:spacing w:after="0" w:line="240" w:lineRule="auto"/>
              <w:jc w:val="center"/>
              <w:rPr>
                <w:rFonts w:ascii="Futura Std Condensed Light" w:eastAsia="Calibri" w:hAnsi="Futura Std Condensed Light" w:cs="Calibri"/>
                <w:sz w:val="20"/>
                <w:szCs w:val="20"/>
              </w:rPr>
            </w:pPr>
          </w:p>
          <w:p w14:paraId="0F9C107F" w14:textId="5E3299C2" w:rsidR="0006394F" w:rsidRDefault="0006394F" w:rsidP="0006394F">
            <w:pPr>
              <w:spacing w:after="0" w:line="240" w:lineRule="auto"/>
              <w:jc w:val="center"/>
              <w:rPr>
                <w:rFonts w:ascii="Futura Std Condensed Light" w:eastAsia="Calibri" w:hAnsi="Futura Std Condensed Light" w:cs="Calibri"/>
                <w:sz w:val="20"/>
                <w:szCs w:val="20"/>
              </w:rPr>
            </w:pPr>
          </w:p>
          <w:p w14:paraId="564180B7" w14:textId="12B5B580" w:rsidR="00D83181" w:rsidRDefault="00D83181" w:rsidP="0006394F">
            <w:pPr>
              <w:spacing w:after="0" w:line="240" w:lineRule="auto"/>
              <w:jc w:val="center"/>
              <w:rPr>
                <w:rFonts w:ascii="Futura Std Condensed Light" w:eastAsia="Calibri" w:hAnsi="Futura Std Condensed Light" w:cs="Calibri"/>
                <w:sz w:val="20"/>
                <w:szCs w:val="20"/>
              </w:rPr>
            </w:pPr>
          </w:p>
          <w:p w14:paraId="60009B42" w14:textId="09C87A69" w:rsidR="00D83181" w:rsidRDefault="00D83181" w:rsidP="0006394F">
            <w:pPr>
              <w:spacing w:after="0" w:line="240" w:lineRule="auto"/>
              <w:jc w:val="center"/>
              <w:rPr>
                <w:rFonts w:ascii="Futura Std Condensed Light" w:eastAsia="Calibri" w:hAnsi="Futura Std Condensed Light" w:cs="Calibri"/>
                <w:sz w:val="20"/>
                <w:szCs w:val="20"/>
              </w:rPr>
            </w:pPr>
          </w:p>
          <w:p w14:paraId="6B0CCDE8" w14:textId="3573F3E0" w:rsidR="00D83181" w:rsidRDefault="00D83181" w:rsidP="0006394F">
            <w:pPr>
              <w:spacing w:after="0" w:line="240" w:lineRule="auto"/>
              <w:jc w:val="center"/>
              <w:rPr>
                <w:rFonts w:ascii="Futura Std Condensed Light" w:eastAsia="Calibri" w:hAnsi="Futura Std Condensed Light" w:cs="Calibri"/>
                <w:sz w:val="20"/>
                <w:szCs w:val="20"/>
              </w:rPr>
            </w:pPr>
          </w:p>
          <w:p w14:paraId="3C5F9B70" w14:textId="4D6CE516" w:rsidR="00D83181" w:rsidRDefault="00D83181" w:rsidP="0006394F">
            <w:pPr>
              <w:spacing w:after="0" w:line="240" w:lineRule="auto"/>
              <w:jc w:val="center"/>
              <w:rPr>
                <w:rFonts w:ascii="Futura Std Condensed Light" w:eastAsia="Calibri" w:hAnsi="Futura Std Condensed Light" w:cs="Calibri"/>
                <w:sz w:val="20"/>
                <w:szCs w:val="20"/>
              </w:rPr>
            </w:pPr>
          </w:p>
          <w:p w14:paraId="4D3D948E" w14:textId="0A9E9008" w:rsidR="00D83181" w:rsidRDefault="00D83181" w:rsidP="00D83181">
            <w:pPr>
              <w:spacing w:after="0" w:line="240" w:lineRule="auto"/>
              <w:rPr>
                <w:rFonts w:ascii="Futura Std Condensed Light" w:eastAsia="Calibri" w:hAnsi="Futura Std Condensed Light" w:cs="Calibri"/>
                <w:sz w:val="20"/>
                <w:szCs w:val="20"/>
              </w:rPr>
            </w:pPr>
          </w:p>
          <w:p w14:paraId="00084BBE" w14:textId="371ADCFA" w:rsidR="007F3EA3" w:rsidRDefault="007F3EA3" w:rsidP="00D83181">
            <w:pPr>
              <w:spacing w:after="0" w:line="240" w:lineRule="auto"/>
              <w:rPr>
                <w:rFonts w:ascii="Futura Std Condensed Light" w:eastAsia="Calibri" w:hAnsi="Futura Std Condensed Light" w:cs="Calibri"/>
                <w:sz w:val="20"/>
                <w:szCs w:val="20"/>
              </w:rPr>
            </w:pPr>
          </w:p>
          <w:p w14:paraId="1C9C3C96" w14:textId="54057A51" w:rsidR="007F3EA3" w:rsidRDefault="007F3EA3" w:rsidP="00D83181">
            <w:pPr>
              <w:spacing w:after="0" w:line="240" w:lineRule="auto"/>
              <w:rPr>
                <w:rFonts w:ascii="Futura Std Condensed Light" w:eastAsia="Calibri" w:hAnsi="Futura Std Condensed Light" w:cs="Calibri"/>
                <w:sz w:val="20"/>
                <w:szCs w:val="20"/>
              </w:rPr>
            </w:pPr>
          </w:p>
          <w:p w14:paraId="713248BE" w14:textId="55C2A176" w:rsidR="007F3EA3" w:rsidRDefault="007F3EA3" w:rsidP="00D83181">
            <w:pPr>
              <w:spacing w:after="0" w:line="240" w:lineRule="auto"/>
              <w:rPr>
                <w:rFonts w:ascii="Futura Std Condensed Light" w:eastAsia="Calibri" w:hAnsi="Futura Std Condensed Light" w:cs="Calibri"/>
                <w:sz w:val="20"/>
                <w:szCs w:val="20"/>
              </w:rPr>
            </w:pPr>
          </w:p>
          <w:p w14:paraId="26B9040F" w14:textId="0CCFB1E7" w:rsidR="007F3EA3" w:rsidRDefault="007F3EA3" w:rsidP="00D83181">
            <w:pPr>
              <w:spacing w:after="0" w:line="240" w:lineRule="auto"/>
              <w:rPr>
                <w:rFonts w:ascii="Futura Std Condensed Light" w:eastAsia="Calibri" w:hAnsi="Futura Std Condensed Light" w:cs="Calibri"/>
                <w:sz w:val="20"/>
                <w:szCs w:val="20"/>
              </w:rPr>
            </w:pPr>
          </w:p>
          <w:p w14:paraId="16E895B4" w14:textId="77777777" w:rsidR="007F3EA3" w:rsidRDefault="007F3EA3" w:rsidP="00D83181">
            <w:pPr>
              <w:spacing w:after="0" w:line="240" w:lineRule="auto"/>
              <w:rPr>
                <w:rFonts w:ascii="Futura Std Condensed Light" w:eastAsia="Calibri" w:hAnsi="Futura Std Condensed Light" w:cs="Calibri"/>
                <w:sz w:val="20"/>
                <w:szCs w:val="20"/>
              </w:rPr>
            </w:pPr>
          </w:p>
          <w:p w14:paraId="7F7A82BA" w14:textId="77777777" w:rsidR="0006394F" w:rsidRPr="008B2769" w:rsidRDefault="0006394F" w:rsidP="0006394F">
            <w:pPr>
              <w:spacing w:after="0"/>
              <w:rPr>
                <w:rFonts w:ascii="Futura Std Condensed Light" w:eastAsia="Calibri" w:hAnsi="Futura Std Condensed Light" w:cs="Calibri"/>
                <w:sz w:val="20"/>
                <w:szCs w:val="20"/>
              </w:rPr>
            </w:pPr>
            <w:r w:rsidRPr="008B2769">
              <w:rPr>
                <w:rFonts w:ascii="Futura Std Condensed Light" w:eastAsia="Calibri" w:hAnsi="Futura Std Condensed Light" w:cs="Calibri"/>
                <w:sz w:val="20"/>
                <w:szCs w:val="20"/>
              </w:rPr>
              <w:t>Impulsar el desarrollo de la investigación científica, tecnológica y de la innovación para el incremento de los niveles de competitividad del Estado.</w:t>
            </w:r>
          </w:p>
          <w:p w14:paraId="19F62816" w14:textId="77777777" w:rsidR="0006394F" w:rsidRDefault="0006394F" w:rsidP="0006394F">
            <w:pPr>
              <w:spacing w:after="0" w:line="240" w:lineRule="auto"/>
              <w:rPr>
                <w:rFonts w:ascii="Futura Std Condensed Light" w:eastAsia="Calibri" w:hAnsi="Futura Std Condensed Light" w:cs="Calibri"/>
                <w:sz w:val="20"/>
                <w:szCs w:val="20"/>
              </w:rPr>
            </w:pPr>
          </w:p>
          <w:p w14:paraId="1A5D76A3" w14:textId="4663DEE8" w:rsidR="0006394F" w:rsidRDefault="0006394F" w:rsidP="0006394F">
            <w:pPr>
              <w:spacing w:after="0" w:line="240" w:lineRule="auto"/>
              <w:jc w:val="center"/>
              <w:rPr>
                <w:rFonts w:ascii="Futura Std Condensed Light" w:eastAsia="Calibri" w:hAnsi="Futura Std Condensed Light" w:cs="Calibri"/>
                <w:sz w:val="20"/>
                <w:szCs w:val="20"/>
              </w:rPr>
            </w:pPr>
          </w:p>
          <w:p w14:paraId="006B4925" w14:textId="503D0D4C" w:rsidR="0006394F" w:rsidRDefault="0006394F" w:rsidP="0006394F">
            <w:pPr>
              <w:spacing w:after="0" w:line="240" w:lineRule="auto"/>
              <w:jc w:val="center"/>
              <w:rPr>
                <w:rFonts w:ascii="Futura Std Condensed Light" w:eastAsia="Calibri" w:hAnsi="Futura Std Condensed Light" w:cs="Calibri"/>
                <w:sz w:val="20"/>
                <w:szCs w:val="20"/>
              </w:rPr>
            </w:pPr>
          </w:p>
          <w:p w14:paraId="4DAEE566" w14:textId="07B3E991" w:rsidR="0006394F" w:rsidRDefault="0006394F" w:rsidP="0006394F">
            <w:pPr>
              <w:spacing w:after="0" w:line="240" w:lineRule="auto"/>
              <w:rPr>
                <w:rFonts w:ascii="Futura Std Condensed Light" w:eastAsia="Calibri" w:hAnsi="Futura Std Condensed Light" w:cs="Calibri"/>
                <w:sz w:val="20"/>
                <w:szCs w:val="20"/>
              </w:rPr>
            </w:pPr>
          </w:p>
        </w:tc>
      </w:tr>
      <w:tr w:rsidR="0006394F" w14:paraId="77BC0591" w14:textId="77777777" w:rsidTr="00D83181">
        <w:trPr>
          <w:trHeight w:val="260"/>
          <w:jc w:val="center"/>
        </w:trPr>
        <w:tc>
          <w:tcPr>
            <w:tcW w:w="700" w:type="pct"/>
            <w:vMerge/>
            <w:tcBorders>
              <w:left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1BEA11F1" w14:textId="4C200C51" w:rsidR="0006394F" w:rsidRDefault="0006394F" w:rsidP="0006394F">
            <w:pPr>
              <w:spacing w:after="0" w:line="240" w:lineRule="auto"/>
              <w:jc w:val="center"/>
              <w:rPr>
                <w:rFonts w:ascii="Futura Std Condensed Light" w:eastAsia="Calibri" w:hAnsi="Futura Std Condensed Light" w:cs="Calibri"/>
                <w:sz w:val="20"/>
                <w:szCs w:val="20"/>
              </w:rPr>
            </w:pPr>
          </w:p>
        </w:tc>
        <w:tc>
          <w:tcPr>
            <w:tcW w:w="1630" w:type="pct"/>
            <w:vMerge/>
            <w:tcBorders>
              <w:left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7DBF0272" w14:textId="77777777" w:rsidR="0006394F" w:rsidRDefault="0006394F" w:rsidP="0006394F">
            <w:pPr>
              <w:spacing w:after="0" w:line="240" w:lineRule="auto"/>
              <w:rPr>
                <w:rFonts w:ascii="Futura Std Condensed Light" w:eastAsia="Calibri" w:hAnsi="Futura Std Condensed Light" w:cs="Calibri"/>
                <w:sz w:val="20"/>
                <w:szCs w:val="20"/>
              </w:rPr>
            </w:pPr>
          </w:p>
        </w:tc>
        <w:tc>
          <w:tcPr>
            <w:tcW w:w="1787" w:type="pct"/>
            <w:tcBorders>
              <w:top w:val="single" w:sz="4" w:space="0" w:color="auto"/>
              <w:left w:val="single" w:sz="4" w:space="0" w:color="auto"/>
              <w:bottom w:val="single" w:sz="4" w:space="0" w:color="auto"/>
              <w:right w:val="single" w:sz="4" w:space="0" w:color="auto"/>
            </w:tcBorders>
            <w:shd w:val="clear" w:color="auto" w:fill="FFFFFF" w:themeFill="background1"/>
          </w:tcPr>
          <w:p w14:paraId="23CDBC96" w14:textId="77777777" w:rsidR="0006394F" w:rsidRPr="00A363C7" w:rsidRDefault="0006394F" w:rsidP="0006394F">
            <w:pPr>
              <w:spacing w:after="0"/>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2.</w:t>
            </w:r>
            <w:r w:rsidRPr="00A363C7">
              <w:rPr>
                <w:rFonts w:ascii="Futura Std Condensed Light" w:eastAsia="Calibri" w:hAnsi="Futura Std Condensed Light" w:cs="Calibri"/>
                <w:sz w:val="20"/>
                <w:szCs w:val="20"/>
              </w:rPr>
              <w:t>Impulsar la formación de recursos humanos de alta especialidad en áreas identificadas como estratégicas para el desarrollo de la Entidad.</w:t>
            </w:r>
          </w:p>
        </w:tc>
        <w:tc>
          <w:tcPr>
            <w:tcW w:w="882" w:type="pct"/>
            <w:vMerge/>
            <w:tcBorders>
              <w:left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26C892FF" w14:textId="77777777" w:rsidR="0006394F" w:rsidRDefault="0006394F" w:rsidP="0006394F">
            <w:pPr>
              <w:spacing w:after="0" w:line="240" w:lineRule="auto"/>
              <w:jc w:val="center"/>
              <w:rPr>
                <w:rFonts w:ascii="Futura Std Condensed Light" w:eastAsia="Calibri" w:hAnsi="Futura Std Condensed Light" w:cs="Calibri"/>
                <w:sz w:val="20"/>
                <w:szCs w:val="20"/>
              </w:rPr>
            </w:pPr>
          </w:p>
        </w:tc>
      </w:tr>
      <w:tr w:rsidR="0006394F" w14:paraId="7229ED8D" w14:textId="77777777" w:rsidTr="00D83181">
        <w:trPr>
          <w:trHeight w:val="260"/>
          <w:jc w:val="center"/>
        </w:trPr>
        <w:tc>
          <w:tcPr>
            <w:tcW w:w="700" w:type="pct"/>
            <w:vMerge/>
            <w:tcBorders>
              <w:left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032E9014" w14:textId="1DC32734" w:rsidR="0006394F" w:rsidRDefault="0006394F" w:rsidP="0006394F">
            <w:pPr>
              <w:spacing w:after="0" w:line="240" w:lineRule="auto"/>
              <w:jc w:val="center"/>
              <w:rPr>
                <w:rFonts w:ascii="Futura Std Condensed Light" w:eastAsia="Calibri" w:hAnsi="Futura Std Condensed Light" w:cs="Calibri"/>
                <w:sz w:val="20"/>
                <w:szCs w:val="20"/>
              </w:rPr>
            </w:pPr>
          </w:p>
        </w:tc>
        <w:tc>
          <w:tcPr>
            <w:tcW w:w="1630" w:type="pct"/>
            <w:vMerge/>
            <w:tcBorders>
              <w:left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2C5A013F" w14:textId="77777777" w:rsidR="0006394F" w:rsidRDefault="0006394F" w:rsidP="0006394F">
            <w:pPr>
              <w:spacing w:after="0" w:line="240" w:lineRule="auto"/>
              <w:rPr>
                <w:rFonts w:ascii="Futura Std Condensed Light" w:eastAsia="Calibri" w:hAnsi="Futura Std Condensed Light" w:cs="Calibri"/>
                <w:sz w:val="20"/>
                <w:szCs w:val="20"/>
              </w:rPr>
            </w:pPr>
          </w:p>
        </w:tc>
        <w:tc>
          <w:tcPr>
            <w:tcW w:w="1787" w:type="pct"/>
            <w:tcBorders>
              <w:top w:val="single" w:sz="4" w:space="0" w:color="auto"/>
              <w:left w:val="single" w:sz="4" w:space="0" w:color="auto"/>
              <w:bottom w:val="single" w:sz="4" w:space="0" w:color="auto"/>
              <w:right w:val="single" w:sz="4" w:space="0" w:color="auto"/>
            </w:tcBorders>
            <w:shd w:val="clear" w:color="auto" w:fill="FFFFFF" w:themeFill="background1"/>
          </w:tcPr>
          <w:p w14:paraId="13EE874A" w14:textId="77777777" w:rsidR="0006394F" w:rsidRPr="00A363C7" w:rsidRDefault="0006394F" w:rsidP="0006394F">
            <w:pPr>
              <w:spacing w:after="0"/>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3.</w:t>
            </w:r>
            <w:r w:rsidRPr="00B20C32">
              <w:rPr>
                <w:rFonts w:ascii="Futura Std Condensed Light" w:eastAsia="Calibri" w:hAnsi="Futura Std Condensed Light" w:cs="Calibri"/>
                <w:sz w:val="20"/>
                <w:szCs w:val="20"/>
              </w:rPr>
              <w:t xml:space="preserve">Impulsar la generación y transferencia de conocimiento para la solución de problemas locales. </w:t>
            </w:r>
          </w:p>
        </w:tc>
        <w:tc>
          <w:tcPr>
            <w:tcW w:w="882" w:type="pct"/>
            <w:vMerge/>
            <w:tcBorders>
              <w:left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40C8CB3E" w14:textId="77777777" w:rsidR="0006394F" w:rsidRDefault="0006394F" w:rsidP="0006394F">
            <w:pPr>
              <w:spacing w:after="0" w:line="240" w:lineRule="auto"/>
              <w:jc w:val="center"/>
              <w:rPr>
                <w:rFonts w:ascii="Futura Std Condensed Light" w:eastAsia="Calibri" w:hAnsi="Futura Std Condensed Light" w:cs="Calibri"/>
                <w:sz w:val="20"/>
                <w:szCs w:val="20"/>
              </w:rPr>
            </w:pPr>
          </w:p>
        </w:tc>
      </w:tr>
      <w:tr w:rsidR="0006394F" w14:paraId="62CB63DA" w14:textId="77777777" w:rsidTr="00D83181">
        <w:trPr>
          <w:trHeight w:val="260"/>
          <w:jc w:val="center"/>
        </w:trPr>
        <w:tc>
          <w:tcPr>
            <w:tcW w:w="700" w:type="pct"/>
            <w:vMerge/>
            <w:tcBorders>
              <w:left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4D8B26DE" w14:textId="5E11B9B0" w:rsidR="0006394F" w:rsidRDefault="0006394F" w:rsidP="0006394F">
            <w:pPr>
              <w:spacing w:after="0" w:line="240" w:lineRule="auto"/>
              <w:jc w:val="center"/>
              <w:rPr>
                <w:rFonts w:ascii="Futura Std Condensed Light" w:eastAsia="Calibri" w:hAnsi="Futura Std Condensed Light" w:cs="Calibri"/>
                <w:sz w:val="20"/>
                <w:szCs w:val="20"/>
              </w:rPr>
            </w:pPr>
          </w:p>
        </w:tc>
        <w:tc>
          <w:tcPr>
            <w:tcW w:w="1630" w:type="pct"/>
            <w:vMerge/>
            <w:tcBorders>
              <w:left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6E5EFB2C" w14:textId="77777777" w:rsidR="0006394F" w:rsidRDefault="0006394F" w:rsidP="0006394F">
            <w:pPr>
              <w:spacing w:after="0" w:line="240" w:lineRule="auto"/>
              <w:rPr>
                <w:rFonts w:ascii="Futura Std Condensed Light" w:eastAsia="Calibri" w:hAnsi="Futura Std Condensed Light" w:cs="Calibri"/>
                <w:sz w:val="20"/>
                <w:szCs w:val="20"/>
              </w:rPr>
            </w:pPr>
          </w:p>
        </w:tc>
        <w:tc>
          <w:tcPr>
            <w:tcW w:w="1787" w:type="pct"/>
            <w:tcBorders>
              <w:top w:val="single" w:sz="4" w:space="0" w:color="auto"/>
              <w:left w:val="single" w:sz="4" w:space="0" w:color="auto"/>
              <w:bottom w:val="single" w:sz="4" w:space="0" w:color="auto"/>
              <w:right w:val="single" w:sz="4" w:space="0" w:color="auto"/>
            </w:tcBorders>
            <w:shd w:val="clear" w:color="auto" w:fill="FFFFFF" w:themeFill="background1"/>
          </w:tcPr>
          <w:p w14:paraId="4CD6AFBC" w14:textId="77777777" w:rsidR="0006394F" w:rsidRPr="00B20C32" w:rsidRDefault="0006394F" w:rsidP="0006394F">
            <w:pPr>
              <w:spacing w:after="0"/>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4.</w:t>
            </w:r>
            <w:r w:rsidRPr="00B20C32">
              <w:rPr>
                <w:rFonts w:ascii="Futura Std Condensed Light" w:eastAsia="Calibri" w:hAnsi="Futura Std Condensed Light" w:cs="Calibri"/>
                <w:sz w:val="20"/>
                <w:szCs w:val="20"/>
              </w:rPr>
              <w:t>Promover la creación de infraestructura Científica, Tecnológica y de Innovación para la generación y transferencia de nuevo conocimiento.</w:t>
            </w:r>
          </w:p>
          <w:p w14:paraId="632096BD" w14:textId="77777777" w:rsidR="0006394F" w:rsidRPr="00A363C7" w:rsidRDefault="0006394F" w:rsidP="0006394F">
            <w:pPr>
              <w:spacing w:after="0"/>
              <w:rPr>
                <w:rFonts w:ascii="Futura Std Condensed Light" w:eastAsia="Calibri" w:hAnsi="Futura Std Condensed Light" w:cs="Calibri"/>
                <w:sz w:val="20"/>
                <w:szCs w:val="20"/>
              </w:rPr>
            </w:pPr>
          </w:p>
        </w:tc>
        <w:tc>
          <w:tcPr>
            <w:tcW w:w="882" w:type="pct"/>
            <w:vMerge/>
            <w:tcBorders>
              <w:left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7443A986" w14:textId="77777777" w:rsidR="0006394F" w:rsidRDefault="0006394F" w:rsidP="0006394F">
            <w:pPr>
              <w:spacing w:after="0" w:line="240" w:lineRule="auto"/>
              <w:jc w:val="center"/>
              <w:rPr>
                <w:rFonts w:ascii="Futura Std Condensed Light" w:eastAsia="Calibri" w:hAnsi="Futura Std Condensed Light" w:cs="Calibri"/>
                <w:sz w:val="20"/>
                <w:szCs w:val="20"/>
              </w:rPr>
            </w:pPr>
          </w:p>
        </w:tc>
      </w:tr>
      <w:tr w:rsidR="0006394F" w14:paraId="5C09C441" w14:textId="77777777" w:rsidTr="00D83181">
        <w:trPr>
          <w:trHeight w:val="260"/>
          <w:jc w:val="center"/>
        </w:trPr>
        <w:tc>
          <w:tcPr>
            <w:tcW w:w="700" w:type="pct"/>
            <w:vMerge/>
            <w:tcBorders>
              <w:left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2FC28ADF" w14:textId="436086D9" w:rsidR="0006394F" w:rsidRDefault="0006394F" w:rsidP="0006394F">
            <w:pPr>
              <w:spacing w:after="0" w:line="240" w:lineRule="auto"/>
              <w:jc w:val="center"/>
              <w:rPr>
                <w:rFonts w:ascii="Futura Std Condensed Light" w:eastAsia="Calibri" w:hAnsi="Futura Std Condensed Light" w:cs="Calibri"/>
                <w:sz w:val="20"/>
                <w:szCs w:val="20"/>
              </w:rPr>
            </w:pPr>
          </w:p>
        </w:tc>
        <w:tc>
          <w:tcPr>
            <w:tcW w:w="1630" w:type="pct"/>
            <w:vMerge/>
            <w:tcBorders>
              <w:left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55565D55" w14:textId="77777777" w:rsidR="0006394F" w:rsidRDefault="0006394F" w:rsidP="0006394F">
            <w:pPr>
              <w:spacing w:after="0" w:line="240" w:lineRule="auto"/>
              <w:rPr>
                <w:rFonts w:ascii="Futura Std Condensed Light" w:eastAsia="Calibri" w:hAnsi="Futura Std Condensed Light" w:cs="Calibri"/>
                <w:sz w:val="20"/>
                <w:szCs w:val="20"/>
              </w:rPr>
            </w:pPr>
          </w:p>
        </w:tc>
        <w:tc>
          <w:tcPr>
            <w:tcW w:w="1787" w:type="pct"/>
            <w:tcBorders>
              <w:top w:val="single" w:sz="4" w:space="0" w:color="auto"/>
              <w:left w:val="single" w:sz="4" w:space="0" w:color="auto"/>
              <w:bottom w:val="single" w:sz="4" w:space="0" w:color="auto"/>
              <w:right w:val="single" w:sz="4" w:space="0" w:color="auto"/>
            </w:tcBorders>
            <w:shd w:val="clear" w:color="auto" w:fill="FFFFFF" w:themeFill="background1"/>
          </w:tcPr>
          <w:p w14:paraId="6D477B4A" w14:textId="77777777" w:rsidR="0006394F" w:rsidRPr="00A363C7" w:rsidRDefault="0006394F" w:rsidP="0006394F">
            <w:pPr>
              <w:spacing w:after="0"/>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5.</w:t>
            </w:r>
            <w:r w:rsidRPr="00ED2442">
              <w:rPr>
                <w:rFonts w:ascii="Futura Std Condensed Light" w:eastAsia="Calibri" w:hAnsi="Futura Std Condensed Light" w:cs="Calibri"/>
                <w:sz w:val="20"/>
                <w:szCs w:val="20"/>
              </w:rPr>
              <w:t>Impulsar el desarrollo de Investigación científica y tecnológica con pertinencia social, resultado de la identificación de demandas, de los foros de consulta y de los trabajos realizados con grupos especializados en la materia.</w:t>
            </w:r>
          </w:p>
        </w:tc>
        <w:tc>
          <w:tcPr>
            <w:tcW w:w="882" w:type="pct"/>
            <w:vMerge/>
            <w:tcBorders>
              <w:left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6A51B7EC" w14:textId="77777777" w:rsidR="0006394F" w:rsidRDefault="0006394F" w:rsidP="0006394F">
            <w:pPr>
              <w:spacing w:after="0" w:line="240" w:lineRule="auto"/>
              <w:jc w:val="center"/>
              <w:rPr>
                <w:rFonts w:ascii="Futura Std Condensed Light" w:eastAsia="Calibri" w:hAnsi="Futura Std Condensed Light" w:cs="Calibri"/>
                <w:sz w:val="20"/>
                <w:szCs w:val="20"/>
              </w:rPr>
            </w:pPr>
          </w:p>
        </w:tc>
      </w:tr>
      <w:tr w:rsidR="0006394F" w14:paraId="10F052E9" w14:textId="77777777" w:rsidTr="00D83181">
        <w:trPr>
          <w:trHeight w:val="90"/>
          <w:jc w:val="center"/>
        </w:trPr>
        <w:tc>
          <w:tcPr>
            <w:tcW w:w="700" w:type="pct"/>
            <w:vMerge/>
            <w:tcBorders>
              <w:left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7DBAE48D" w14:textId="4C6F6513" w:rsidR="0006394F" w:rsidRDefault="0006394F" w:rsidP="0006394F">
            <w:pPr>
              <w:spacing w:after="0" w:line="240" w:lineRule="auto"/>
              <w:jc w:val="center"/>
              <w:rPr>
                <w:rFonts w:ascii="Futura Std Condensed Light" w:eastAsia="Calibri" w:hAnsi="Futura Std Condensed Light" w:cs="Calibri"/>
                <w:sz w:val="20"/>
                <w:szCs w:val="20"/>
              </w:rPr>
            </w:pPr>
          </w:p>
        </w:tc>
        <w:tc>
          <w:tcPr>
            <w:tcW w:w="1630" w:type="pct"/>
            <w:vMerge/>
            <w:tcBorders>
              <w:left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05DEE77E" w14:textId="77777777" w:rsidR="0006394F" w:rsidRDefault="0006394F" w:rsidP="0006394F">
            <w:pPr>
              <w:spacing w:after="0" w:line="240" w:lineRule="auto"/>
              <w:rPr>
                <w:rFonts w:ascii="Futura Std Condensed Light" w:eastAsia="Calibri" w:hAnsi="Futura Std Condensed Light" w:cs="Calibri"/>
                <w:sz w:val="20"/>
                <w:szCs w:val="20"/>
              </w:rPr>
            </w:pPr>
          </w:p>
        </w:tc>
        <w:tc>
          <w:tcPr>
            <w:tcW w:w="1787" w:type="pct"/>
            <w:tcBorders>
              <w:top w:val="single" w:sz="4" w:space="0" w:color="auto"/>
              <w:left w:val="single" w:sz="4" w:space="0" w:color="auto"/>
              <w:bottom w:val="single" w:sz="4" w:space="0" w:color="auto"/>
              <w:right w:val="single" w:sz="4" w:space="0" w:color="auto"/>
            </w:tcBorders>
            <w:shd w:val="clear" w:color="auto" w:fill="FFFFFF" w:themeFill="background1"/>
          </w:tcPr>
          <w:p w14:paraId="53638066" w14:textId="77777777" w:rsidR="0006394F" w:rsidRPr="00A363C7" w:rsidRDefault="0006394F" w:rsidP="0006394F">
            <w:pPr>
              <w:spacing w:after="0"/>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6.</w:t>
            </w:r>
            <w:r w:rsidRPr="00ED2442">
              <w:rPr>
                <w:rFonts w:ascii="Futura Std Condensed Light" w:eastAsia="Calibri" w:hAnsi="Futura Std Condensed Light" w:cs="Calibri"/>
                <w:sz w:val="20"/>
                <w:szCs w:val="20"/>
              </w:rPr>
              <w:t>Propiciar la vinculación entre las instituciones de educación superior, los centros de investigación, el sector productivo, el gobierno y la sociedad, incentivando la inversión pública y privada, hasta alcanzar, al menos, niveles similares a los nacionales.</w:t>
            </w:r>
          </w:p>
        </w:tc>
        <w:tc>
          <w:tcPr>
            <w:tcW w:w="882" w:type="pct"/>
            <w:vMerge/>
            <w:tcBorders>
              <w:left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2B41A8AA" w14:textId="77777777" w:rsidR="0006394F" w:rsidRDefault="0006394F" w:rsidP="0006394F">
            <w:pPr>
              <w:spacing w:after="0" w:line="240" w:lineRule="auto"/>
              <w:jc w:val="center"/>
              <w:rPr>
                <w:rFonts w:ascii="Futura Std Condensed Light" w:eastAsia="Calibri" w:hAnsi="Futura Std Condensed Light" w:cs="Calibri"/>
                <w:sz w:val="20"/>
                <w:szCs w:val="20"/>
              </w:rPr>
            </w:pPr>
          </w:p>
        </w:tc>
      </w:tr>
      <w:tr w:rsidR="0006394F" w14:paraId="4A161643" w14:textId="77777777" w:rsidTr="00D83181">
        <w:trPr>
          <w:trHeight w:val="90"/>
          <w:jc w:val="center"/>
        </w:trPr>
        <w:tc>
          <w:tcPr>
            <w:tcW w:w="700" w:type="pct"/>
            <w:vMerge/>
            <w:tcBorders>
              <w:left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6EA95D41" w14:textId="57FEA3E6" w:rsidR="0006394F" w:rsidRDefault="0006394F" w:rsidP="0006394F">
            <w:pPr>
              <w:spacing w:after="0" w:line="240" w:lineRule="auto"/>
              <w:jc w:val="center"/>
              <w:rPr>
                <w:rFonts w:ascii="Futura Std Condensed Light" w:eastAsia="Calibri" w:hAnsi="Futura Std Condensed Light" w:cs="Calibri"/>
                <w:sz w:val="20"/>
                <w:szCs w:val="20"/>
              </w:rPr>
            </w:pPr>
          </w:p>
        </w:tc>
        <w:tc>
          <w:tcPr>
            <w:tcW w:w="1630" w:type="pct"/>
            <w:vMerge/>
            <w:tcBorders>
              <w:left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726B71AF" w14:textId="77777777" w:rsidR="0006394F" w:rsidRDefault="0006394F" w:rsidP="0006394F">
            <w:pPr>
              <w:spacing w:after="0" w:line="240" w:lineRule="auto"/>
              <w:rPr>
                <w:rFonts w:ascii="Futura Std Condensed Light" w:eastAsia="Calibri" w:hAnsi="Futura Std Condensed Light" w:cs="Calibri"/>
                <w:sz w:val="20"/>
                <w:szCs w:val="20"/>
              </w:rPr>
            </w:pPr>
          </w:p>
        </w:tc>
        <w:tc>
          <w:tcPr>
            <w:tcW w:w="1787" w:type="pct"/>
            <w:tcBorders>
              <w:top w:val="single" w:sz="4" w:space="0" w:color="auto"/>
              <w:left w:val="single" w:sz="4" w:space="0" w:color="auto"/>
              <w:bottom w:val="single" w:sz="4" w:space="0" w:color="auto"/>
              <w:right w:val="single" w:sz="4" w:space="0" w:color="auto"/>
            </w:tcBorders>
            <w:shd w:val="clear" w:color="auto" w:fill="FFFFFF" w:themeFill="background1"/>
          </w:tcPr>
          <w:p w14:paraId="1EF53625" w14:textId="77777777" w:rsidR="0006394F" w:rsidRPr="00A363C7" w:rsidRDefault="0006394F" w:rsidP="0006394F">
            <w:pPr>
              <w:spacing w:after="0"/>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7.</w:t>
            </w:r>
            <w:r w:rsidRPr="00ED2442">
              <w:rPr>
                <w:rFonts w:ascii="Futura Std Condensed Light" w:eastAsia="Calibri" w:hAnsi="Futura Std Condensed Light" w:cs="Calibri"/>
                <w:sz w:val="20"/>
                <w:szCs w:val="20"/>
              </w:rPr>
              <w:t xml:space="preserve">Promover la Apropiación Social del Conocimiento. </w:t>
            </w:r>
          </w:p>
        </w:tc>
        <w:tc>
          <w:tcPr>
            <w:tcW w:w="882" w:type="pct"/>
            <w:vMerge/>
            <w:tcBorders>
              <w:left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402AEEC0" w14:textId="77777777" w:rsidR="0006394F" w:rsidRDefault="0006394F" w:rsidP="0006394F">
            <w:pPr>
              <w:spacing w:after="0" w:line="240" w:lineRule="auto"/>
              <w:jc w:val="center"/>
              <w:rPr>
                <w:rFonts w:ascii="Futura Std Condensed Light" w:eastAsia="Calibri" w:hAnsi="Futura Std Condensed Light" w:cs="Calibri"/>
                <w:sz w:val="20"/>
                <w:szCs w:val="20"/>
              </w:rPr>
            </w:pPr>
          </w:p>
        </w:tc>
      </w:tr>
      <w:tr w:rsidR="0006394F" w14:paraId="3AE32FF5" w14:textId="77777777" w:rsidTr="00D83181">
        <w:trPr>
          <w:trHeight w:val="90"/>
          <w:jc w:val="center"/>
        </w:trPr>
        <w:tc>
          <w:tcPr>
            <w:tcW w:w="700" w:type="pct"/>
            <w:vMerge/>
            <w:tcBorders>
              <w:left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4C60F25D" w14:textId="52077276" w:rsidR="0006394F" w:rsidRDefault="0006394F" w:rsidP="0006394F">
            <w:pPr>
              <w:spacing w:after="0" w:line="240" w:lineRule="auto"/>
              <w:jc w:val="center"/>
              <w:rPr>
                <w:rFonts w:ascii="Futura Std Condensed Light" w:eastAsia="Calibri" w:hAnsi="Futura Std Condensed Light" w:cs="Calibri"/>
                <w:sz w:val="20"/>
                <w:szCs w:val="20"/>
              </w:rPr>
            </w:pPr>
          </w:p>
        </w:tc>
        <w:tc>
          <w:tcPr>
            <w:tcW w:w="1630" w:type="pct"/>
            <w:vMerge/>
            <w:tcBorders>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3E3EB473" w14:textId="77777777" w:rsidR="0006394F" w:rsidRDefault="0006394F" w:rsidP="0006394F">
            <w:pPr>
              <w:spacing w:after="0" w:line="240" w:lineRule="auto"/>
              <w:rPr>
                <w:rFonts w:ascii="Futura Std Condensed Light" w:eastAsia="Calibri" w:hAnsi="Futura Std Condensed Light" w:cs="Calibri"/>
                <w:sz w:val="20"/>
                <w:szCs w:val="20"/>
              </w:rPr>
            </w:pPr>
          </w:p>
        </w:tc>
        <w:tc>
          <w:tcPr>
            <w:tcW w:w="1787" w:type="pct"/>
            <w:tcBorders>
              <w:top w:val="single" w:sz="4" w:space="0" w:color="auto"/>
              <w:left w:val="single" w:sz="4" w:space="0" w:color="auto"/>
              <w:bottom w:val="single" w:sz="4" w:space="0" w:color="auto"/>
              <w:right w:val="single" w:sz="4" w:space="0" w:color="auto"/>
            </w:tcBorders>
            <w:shd w:val="clear" w:color="auto" w:fill="FFFFFF" w:themeFill="background1"/>
          </w:tcPr>
          <w:p w14:paraId="069D7161" w14:textId="77777777" w:rsidR="0006394F" w:rsidRPr="00A363C7" w:rsidRDefault="0006394F" w:rsidP="0006394F">
            <w:pPr>
              <w:spacing w:after="0"/>
              <w:rPr>
                <w:rFonts w:ascii="Futura Std Condensed Light" w:eastAsia="Calibri" w:hAnsi="Futura Std Condensed Light" w:cs="Calibri"/>
                <w:sz w:val="20"/>
                <w:szCs w:val="20"/>
              </w:rPr>
            </w:pPr>
            <w:r w:rsidRPr="00ED2442">
              <w:rPr>
                <w:rFonts w:ascii="Futura Std Condensed Light" w:eastAsia="Calibri" w:hAnsi="Futura Std Condensed Light" w:cs="Calibri"/>
                <w:sz w:val="20"/>
                <w:szCs w:val="20"/>
              </w:rPr>
              <w:t xml:space="preserve">8.Incentivar la participación de la sociedad en su conjunto, en la difusión y divulgación del conocimiento. </w:t>
            </w:r>
          </w:p>
        </w:tc>
        <w:tc>
          <w:tcPr>
            <w:tcW w:w="882" w:type="pct"/>
            <w:vMerge/>
            <w:tcBorders>
              <w:left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6113424B" w14:textId="77777777" w:rsidR="0006394F" w:rsidRDefault="0006394F" w:rsidP="0006394F">
            <w:pPr>
              <w:spacing w:after="0" w:line="240" w:lineRule="auto"/>
              <w:jc w:val="center"/>
              <w:rPr>
                <w:rFonts w:ascii="Futura Std Condensed Light" w:eastAsia="Calibri" w:hAnsi="Futura Std Condensed Light" w:cs="Calibri"/>
                <w:sz w:val="20"/>
                <w:szCs w:val="20"/>
              </w:rPr>
            </w:pPr>
          </w:p>
        </w:tc>
      </w:tr>
      <w:tr w:rsidR="00D83181" w14:paraId="40EAB62A" w14:textId="77777777" w:rsidTr="00D83181">
        <w:trPr>
          <w:trHeight w:val="893"/>
          <w:jc w:val="center"/>
        </w:trPr>
        <w:tc>
          <w:tcPr>
            <w:tcW w:w="0" w:type="auto"/>
            <w:vMerge/>
            <w:tcBorders>
              <w:left w:val="single" w:sz="4" w:space="0" w:color="auto"/>
              <w:right w:val="single" w:sz="4" w:space="0" w:color="auto"/>
            </w:tcBorders>
            <w:shd w:val="clear" w:color="auto" w:fill="FFFFFF" w:themeFill="background1"/>
            <w:vAlign w:val="center"/>
          </w:tcPr>
          <w:p w14:paraId="701BA7FF" w14:textId="77777777" w:rsidR="00D83181" w:rsidRDefault="00D83181" w:rsidP="0006394F">
            <w:pPr>
              <w:spacing w:after="0" w:line="240" w:lineRule="auto"/>
              <w:jc w:val="center"/>
              <w:rPr>
                <w:rFonts w:ascii="Futura Std Condensed Light" w:eastAsia="Calibri" w:hAnsi="Futura Std Condensed Light" w:cs="Calibri"/>
                <w:sz w:val="20"/>
                <w:szCs w:val="20"/>
              </w:rPr>
            </w:pPr>
          </w:p>
        </w:tc>
        <w:tc>
          <w:tcPr>
            <w:tcW w:w="1630"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7008D985" w14:textId="3D435FA0" w:rsidR="00D83181" w:rsidRDefault="00D83181" w:rsidP="0006394F">
            <w:pPr>
              <w:spacing w:after="0" w:line="240" w:lineRule="auto"/>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25. Desarrollar e implementar acciones para fortalecer el Modelo de Prevención Quintana Roo.</w:t>
            </w:r>
          </w:p>
        </w:tc>
        <w:tc>
          <w:tcPr>
            <w:tcW w:w="1787" w:type="pct"/>
            <w:tcBorders>
              <w:top w:val="single" w:sz="4" w:space="0" w:color="auto"/>
              <w:left w:val="single" w:sz="4" w:space="0" w:color="auto"/>
              <w:bottom w:val="single" w:sz="4" w:space="0" w:color="auto"/>
              <w:right w:val="single" w:sz="4" w:space="0" w:color="auto"/>
            </w:tcBorders>
            <w:shd w:val="clear" w:color="auto" w:fill="FFFFFF" w:themeFill="background1"/>
          </w:tcPr>
          <w:p w14:paraId="1E8DB523" w14:textId="13E227B6" w:rsidR="00D83181" w:rsidRDefault="00D83181" w:rsidP="0006394F">
            <w:pPr>
              <w:spacing w:after="0" w:line="240" w:lineRule="auto"/>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9.Desarrollar e implementar acciones para fortalecer el Modelo de Prevención Quintana Roo.</w:t>
            </w:r>
          </w:p>
        </w:tc>
        <w:tc>
          <w:tcPr>
            <w:tcW w:w="0" w:type="auto"/>
            <w:vMerge/>
            <w:tcBorders>
              <w:left w:val="single" w:sz="4" w:space="0" w:color="auto"/>
              <w:bottom w:val="single" w:sz="4" w:space="0" w:color="auto"/>
              <w:right w:val="single" w:sz="4" w:space="0" w:color="auto"/>
            </w:tcBorders>
            <w:shd w:val="clear" w:color="auto" w:fill="FFFFFF" w:themeFill="background1"/>
            <w:vAlign w:val="center"/>
          </w:tcPr>
          <w:p w14:paraId="3D6AAFE5" w14:textId="77777777" w:rsidR="00D83181" w:rsidRDefault="00D83181" w:rsidP="0006394F">
            <w:pPr>
              <w:spacing w:after="0" w:line="240" w:lineRule="auto"/>
              <w:jc w:val="left"/>
              <w:rPr>
                <w:rFonts w:ascii="Futura Std Condensed Light" w:eastAsia="Calibri" w:hAnsi="Futura Std Condensed Light" w:cs="Calibri"/>
                <w:sz w:val="20"/>
                <w:szCs w:val="20"/>
              </w:rPr>
            </w:pPr>
          </w:p>
        </w:tc>
      </w:tr>
      <w:tr w:rsidR="007B7760" w14:paraId="1681E2AA" w14:textId="77777777" w:rsidTr="00077A92">
        <w:trPr>
          <w:trHeight w:val="893"/>
          <w:jc w:val="center"/>
        </w:trPr>
        <w:tc>
          <w:tcPr>
            <w:tcW w:w="0" w:type="auto"/>
            <w:vMerge/>
            <w:tcBorders>
              <w:left w:val="single" w:sz="4" w:space="0" w:color="auto"/>
              <w:right w:val="single" w:sz="4" w:space="0" w:color="auto"/>
            </w:tcBorders>
            <w:shd w:val="clear" w:color="auto" w:fill="FFFFFF" w:themeFill="background1"/>
            <w:vAlign w:val="center"/>
          </w:tcPr>
          <w:p w14:paraId="1FD5A4B1" w14:textId="77777777" w:rsidR="007B7760" w:rsidRDefault="007B7760" w:rsidP="007B7760">
            <w:pPr>
              <w:spacing w:after="0" w:line="240" w:lineRule="auto"/>
              <w:jc w:val="center"/>
              <w:rPr>
                <w:rFonts w:ascii="Futura Std Condensed Light" w:eastAsia="Calibri" w:hAnsi="Futura Std Condensed Light" w:cs="Calibri"/>
                <w:sz w:val="20"/>
                <w:szCs w:val="20"/>
              </w:rPr>
            </w:pPr>
          </w:p>
        </w:tc>
        <w:tc>
          <w:tcPr>
            <w:tcW w:w="1630"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621BDD5C" w14:textId="495CCEAC" w:rsidR="007B7760" w:rsidRDefault="007B7760" w:rsidP="007B7760">
            <w:pPr>
              <w:spacing w:after="0" w:line="240" w:lineRule="auto"/>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26. Impulsar e implementar acciones permanentes en materia de promoción, protección y defensa de los Derechos Humanos, con la aplicación de planteamientos legales, estructurales, así como la constante formación de Servidores Públicos fortaleciendo el ejercicio de los Derechos Humanos de los Ciudadanos.</w:t>
            </w:r>
          </w:p>
        </w:tc>
        <w:tc>
          <w:tcPr>
            <w:tcW w:w="178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080210" w14:textId="6BEDDBF0" w:rsidR="007B7760" w:rsidRDefault="007B7760" w:rsidP="007B7760">
            <w:pPr>
              <w:spacing w:after="0" w:line="240" w:lineRule="auto"/>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10.Impulsar e implementar acciones permanentes en materia de promoción, protección y defensa de los Derechos Humanos, con la aplicación de planteamientos legales, estructurales, así como la constante formación de Servidores Públicos fortaleciendo el ejercicio de los Derechos Humanos de los Ciudadanos.</w:t>
            </w:r>
          </w:p>
        </w:tc>
        <w:tc>
          <w:tcPr>
            <w:tcW w:w="0" w:type="auto"/>
            <w:vMerge/>
            <w:tcBorders>
              <w:left w:val="single" w:sz="4" w:space="0" w:color="auto"/>
              <w:bottom w:val="single" w:sz="4" w:space="0" w:color="auto"/>
              <w:right w:val="single" w:sz="4" w:space="0" w:color="auto"/>
            </w:tcBorders>
            <w:shd w:val="clear" w:color="auto" w:fill="FFFFFF" w:themeFill="background1"/>
            <w:vAlign w:val="center"/>
          </w:tcPr>
          <w:p w14:paraId="68441260" w14:textId="77777777" w:rsidR="007B7760" w:rsidRDefault="007B7760" w:rsidP="007B7760">
            <w:pPr>
              <w:spacing w:after="0" w:line="240" w:lineRule="auto"/>
              <w:jc w:val="left"/>
              <w:rPr>
                <w:rFonts w:ascii="Futura Std Condensed Light" w:eastAsia="Calibri" w:hAnsi="Futura Std Condensed Light" w:cs="Calibri"/>
                <w:sz w:val="20"/>
                <w:szCs w:val="20"/>
              </w:rPr>
            </w:pPr>
          </w:p>
        </w:tc>
      </w:tr>
      <w:tr w:rsidR="007B7760" w14:paraId="59A69BD3" w14:textId="77777777" w:rsidTr="00B278FF">
        <w:trPr>
          <w:trHeight w:val="893"/>
          <w:jc w:val="center"/>
        </w:trPr>
        <w:tc>
          <w:tcPr>
            <w:tcW w:w="0" w:type="auto"/>
            <w:vMerge/>
            <w:tcBorders>
              <w:left w:val="single" w:sz="4" w:space="0" w:color="auto"/>
              <w:right w:val="single" w:sz="4" w:space="0" w:color="auto"/>
            </w:tcBorders>
            <w:shd w:val="clear" w:color="auto" w:fill="FFFFFF" w:themeFill="background1"/>
            <w:vAlign w:val="center"/>
            <w:hideMark/>
          </w:tcPr>
          <w:p w14:paraId="38B39562" w14:textId="5DDE9E5B" w:rsidR="007B7760" w:rsidRDefault="007B7760" w:rsidP="007B7760">
            <w:pPr>
              <w:spacing w:after="0" w:line="240" w:lineRule="auto"/>
              <w:jc w:val="center"/>
              <w:rPr>
                <w:rFonts w:ascii="Futura Std Condensed Light" w:eastAsia="Calibri" w:hAnsi="Futura Std Condensed Light" w:cs="Calibri"/>
                <w:sz w:val="20"/>
                <w:szCs w:val="20"/>
              </w:rPr>
            </w:pPr>
          </w:p>
        </w:tc>
        <w:tc>
          <w:tcPr>
            <w:tcW w:w="1630"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5C76A019" w14:textId="7D17922C" w:rsidR="007B7760" w:rsidRDefault="007B7760" w:rsidP="007B7760">
            <w:pPr>
              <w:spacing w:after="0" w:line="240" w:lineRule="auto"/>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27. Atender las actividades administrativas, técnicas, jurídicas y de Staff.</w:t>
            </w:r>
          </w:p>
        </w:tc>
        <w:tc>
          <w:tcPr>
            <w:tcW w:w="1787" w:type="pct"/>
            <w:tcBorders>
              <w:top w:val="single" w:sz="4" w:space="0" w:color="auto"/>
              <w:left w:val="single" w:sz="4" w:space="0" w:color="auto"/>
              <w:bottom w:val="single" w:sz="4" w:space="0" w:color="auto"/>
              <w:right w:val="single" w:sz="4" w:space="0" w:color="auto"/>
            </w:tcBorders>
            <w:shd w:val="clear" w:color="auto" w:fill="FFFFFF" w:themeFill="background1"/>
          </w:tcPr>
          <w:p w14:paraId="4DE8D492" w14:textId="2AE740DA" w:rsidR="007B7760" w:rsidRDefault="007B7760" w:rsidP="007B7760">
            <w:pPr>
              <w:spacing w:after="0" w:line="240" w:lineRule="auto"/>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11. Atender las actividades administrativas, técnicas, jurídicas y de Staff.</w:t>
            </w:r>
          </w:p>
          <w:p w14:paraId="222BE929" w14:textId="42343849" w:rsidR="007B7760" w:rsidRPr="00B278FF" w:rsidRDefault="007B7760" w:rsidP="007B7760">
            <w:pPr>
              <w:rPr>
                <w:rFonts w:ascii="Futura Std Condensed Light" w:eastAsia="Calibri" w:hAnsi="Futura Std Condensed Light" w:cs="Calibri"/>
                <w:sz w:val="20"/>
                <w:szCs w:val="20"/>
              </w:rPr>
            </w:pPr>
          </w:p>
        </w:tc>
        <w:tc>
          <w:tcPr>
            <w:tcW w:w="0" w:type="auto"/>
            <w:vMerge/>
            <w:tcBorders>
              <w:left w:val="single" w:sz="4" w:space="0" w:color="auto"/>
              <w:bottom w:val="single" w:sz="4" w:space="0" w:color="auto"/>
              <w:right w:val="single" w:sz="4" w:space="0" w:color="auto"/>
            </w:tcBorders>
            <w:shd w:val="clear" w:color="auto" w:fill="FFFFFF" w:themeFill="background1"/>
            <w:vAlign w:val="center"/>
            <w:hideMark/>
          </w:tcPr>
          <w:p w14:paraId="782FB7AF" w14:textId="77777777" w:rsidR="007B7760" w:rsidRDefault="007B7760" w:rsidP="007B7760">
            <w:pPr>
              <w:spacing w:after="0" w:line="240" w:lineRule="auto"/>
              <w:jc w:val="left"/>
              <w:rPr>
                <w:rFonts w:ascii="Futura Std Condensed Light" w:eastAsia="Calibri" w:hAnsi="Futura Std Condensed Light" w:cs="Calibri"/>
                <w:sz w:val="20"/>
                <w:szCs w:val="20"/>
              </w:rPr>
            </w:pPr>
          </w:p>
        </w:tc>
      </w:tr>
      <w:tr w:rsidR="007B7760" w:rsidRPr="008B2769" w14:paraId="6FF08FB4" w14:textId="77777777" w:rsidTr="00D83181">
        <w:trPr>
          <w:trHeight w:val="115"/>
          <w:jc w:val="center"/>
        </w:trPr>
        <w:tc>
          <w:tcPr>
            <w:tcW w:w="700" w:type="pct"/>
            <w:vMerge/>
            <w:tcBorders>
              <w:left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67B4D32E" w14:textId="45AC599D" w:rsidR="007B7760" w:rsidRDefault="007B7760" w:rsidP="007B7760">
            <w:pPr>
              <w:spacing w:after="0" w:line="240" w:lineRule="auto"/>
              <w:jc w:val="center"/>
              <w:rPr>
                <w:rFonts w:ascii="Futura Std Condensed Light" w:eastAsia="Calibri" w:hAnsi="Futura Std Condensed Light" w:cs="Calibri"/>
                <w:sz w:val="20"/>
                <w:szCs w:val="20"/>
              </w:rPr>
            </w:pPr>
          </w:p>
        </w:tc>
        <w:tc>
          <w:tcPr>
            <w:tcW w:w="1630" w:type="pct"/>
            <w:vMerge w:val="restart"/>
            <w:tcBorders>
              <w:top w:val="single" w:sz="4" w:space="0" w:color="auto"/>
              <w:left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1F166A46" w14:textId="41890224" w:rsidR="007B7760" w:rsidRDefault="007B7760" w:rsidP="007B7760">
            <w:pPr>
              <w:spacing w:after="0" w:line="240" w:lineRule="auto"/>
              <w:rPr>
                <w:rFonts w:ascii="Futura Std Condensed Light" w:eastAsia="Calibri" w:hAnsi="Futura Std Condensed Light" w:cs="Calibri"/>
                <w:sz w:val="20"/>
                <w:szCs w:val="20"/>
              </w:rPr>
            </w:pPr>
          </w:p>
          <w:p w14:paraId="4024031C" w14:textId="2AF00653" w:rsidR="007B7760" w:rsidRDefault="007B7760" w:rsidP="007B7760">
            <w:pPr>
              <w:spacing w:after="0" w:line="240" w:lineRule="auto"/>
              <w:rPr>
                <w:rFonts w:ascii="Futura Std Condensed Light" w:eastAsia="Calibri" w:hAnsi="Futura Std Condensed Light" w:cs="Calibri"/>
                <w:sz w:val="20"/>
                <w:szCs w:val="20"/>
              </w:rPr>
            </w:pPr>
          </w:p>
          <w:p w14:paraId="552F68DB" w14:textId="72D4CB86" w:rsidR="007B7760" w:rsidRDefault="007B7760" w:rsidP="007B7760">
            <w:pPr>
              <w:spacing w:after="0" w:line="240" w:lineRule="auto"/>
              <w:rPr>
                <w:rFonts w:ascii="Futura Std Condensed Light" w:eastAsia="Calibri" w:hAnsi="Futura Std Condensed Light" w:cs="Calibri"/>
                <w:sz w:val="20"/>
                <w:szCs w:val="20"/>
              </w:rPr>
            </w:pPr>
          </w:p>
          <w:p w14:paraId="6890D53B" w14:textId="2FFB96AB" w:rsidR="007B7760" w:rsidRDefault="007B7760" w:rsidP="007B7760">
            <w:pPr>
              <w:spacing w:after="0" w:line="240" w:lineRule="auto"/>
              <w:rPr>
                <w:rFonts w:ascii="Futura Std Condensed Light" w:eastAsia="Calibri" w:hAnsi="Futura Std Condensed Light" w:cs="Calibri"/>
                <w:sz w:val="20"/>
                <w:szCs w:val="20"/>
              </w:rPr>
            </w:pPr>
          </w:p>
          <w:p w14:paraId="61CFF4E3" w14:textId="1DB29560" w:rsidR="007B7760" w:rsidRDefault="007B7760" w:rsidP="007B7760">
            <w:pPr>
              <w:spacing w:after="0" w:line="240" w:lineRule="auto"/>
              <w:rPr>
                <w:rFonts w:ascii="Futura Std Condensed Light" w:eastAsia="Calibri" w:hAnsi="Futura Std Condensed Light" w:cs="Calibri"/>
                <w:sz w:val="20"/>
                <w:szCs w:val="20"/>
              </w:rPr>
            </w:pPr>
          </w:p>
          <w:p w14:paraId="6719461C" w14:textId="4B32F876" w:rsidR="007B7760" w:rsidRDefault="007B7760" w:rsidP="007B7760">
            <w:pPr>
              <w:spacing w:after="0" w:line="240" w:lineRule="auto"/>
              <w:rPr>
                <w:rFonts w:ascii="Futura Std Condensed Light" w:eastAsia="Calibri" w:hAnsi="Futura Std Condensed Light" w:cs="Calibri"/>
                <w:sz w:val="20"/>
                <w:szCs w:val="20"/>
              </w:rPr>
            </w:pPr>
          </w:p>
          <w:p w14:paraId="2E79D844" w14:textId="460DD73B" w:rsidR="007B7760" w:rsidRDefault="007B7760" w:rsidP="007B7760">
            <w:pPr>
              <w:spacing w:after="0" w:line="240" w:lineRule="auto"/>
              <w:rPr>
                <w:rFonts w:ascii="Futura Std Condensed Light" w:eastAsia="Calibri" w:hAnsi="Futura Std Condensed Light" w:cs="Calibri"/>
                <w:sz w:val="20"/>
                <w:szCs w:val="20"/>
              </w:rPr>
            </w:pPr>
          </w:p>
          <w:p w14:paraId="39F7BBBF" w14:textId="77777777" w:rsidR="007B7760" w:rsidRDefault="007B7760" w:rsidP="007B7760">
            <w:pPr>
              <w:spacing w:after="0" w:line="240" w:lineRule="auto"/>
              <w:rPr>
                <w:rFonts w:ascii="Futura Std Condensed Light" w:eastAsia="Calibri" w:hAnsi="Futura Std Condensed Light" w:cs="Calibri"/>
                <w:sz w:val="20"/>
                <w:szCs w:val="20"/>
              </w:rPr>
            </w:pPr>
          </w:p>
          <w:p w14:paraId="6FEA70B1" w14:textId="606785BF" w:rsidR="007B7760" w:rsidRDefault="0065199D" w:rsidP="007B7760">
            <w:pPr>
              <w:spacing w:after="0" w:line="240" w:lineRule="auto"/>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9</w:t>
            </w:r>
            <w:r w:rsidR="007B7760">
              <w:rPr>
                <w:rFonts w:ascii="Futura Std Condensed Light" w:eastAsia="Calibri" w:hAnsi="Futura Std Condensed Light" w:cs="Calibri"/>
                <w:sz w:val="20"/>
                <w:szCs w:val="20"/>
              </w:rPr>
              <w:t>. Elevar la capacitación y certificación en competencias laborales.</w:t>
            </w:r>
          </w:p>
          <w:p w14:paraId="0FF21C22" w14:textId="77777777" w:rsidR="007B7760" w:rsidRDefault="007B7760" w:rsidP="007B7760">
            <w:pPr>
              <w:spacing w:after="0" w:line="240" w:lineRule="auto"/>
              <w:rPr>
                <w:rFonts w:ascii="Futura Std Condensed Light" w:eastAsia="Calibri" w:hAnsi="Futura Std Condensed Light" w:cs="Calibri"/>
                <w:sz w:val="20"/>
                <w:szCs w:val="20"/>
              </w:rPr>
            </w:pPr>
          </w:p>
          <w:p w14:paraId="562DF222" w14:textId="77777777" w:rsidR="007B7760" w:rsidRDefault="007B7760" w:rsidP="007B7760">
            <w:pPr>
              <w:spacing w:after="0" w:line="240" w:lineRule="auto"/>
              <w:rPr>
                <w:rFonts w:ascii="Futura Std Condensed Light" w:eastAsia="Calibri" w:hAnsi="Futura Std Condensed Light" w:cs="Calibri"/>
                <w:sz w:val="20"/>
                <w:szCs w:val="20"/>
              </w:rPr>
            </w:pPr>
          </w:p>
          <w:p w14:paraId="3BAEDB84" w14:textId="77777777" w:rsidR="007B7760" w:rsidRDefault="007B7760" w:rsidP="007B7760">
            <w:pPr>
              <w:spacing w:after="0" w:line="240" w:lineRule="auto"/>
              <w:rPr>
                <w:rFonts w:ascii="Futura Std Condensed Light" w:eastAsia="Calibri" w:hAnsi="Futura Std Condensed Light" w:cs="Calibri"/>
                <w:sz w:val="20"/>
                <w:szCs w:val="20"/>
              </w:rPr>
            </w:pPr>
          </w:p>
          <w:p w14:paraId="3E2836A3" w14:textId="77777777" w:rsidR="007B7760" w:rsidRDefault="007B7760" w:rsidP="007B7760">
            <w:pPr>
              <w:spacing w:after="0" w:line="240" w:lineRule="auto"/>
              <w:rPr>
                <w:rFonts w:ascii="Futura Std Condensed Light" w:eastAsia="Calibri" w:hAnsi="Futura Std Condensed Light" w:cs="Calibri"/>
                <w:sz w:val="20"/>
                <w:szCs w:val="20"/>
              </w:rPr>
            </w:pPr>
          </w:p>
          <w:p w14:paraId="27C4E355" w14:textId="77777777" w:rsidR="007B7760" w:rsidRDefault="007B7760" w:rsidP="007B7760">
            <w:pPr>
              <w:spacing w:after="0" w:line="240" w:lineRule="auto"/>
              <w:rPr>
                <w:rFonts w:ascii="Futura Std Condensed Light" w:eastAsia="Calibri" w:hAnsi="Futura Std Condensed Light" w:cs="Calibri"/>
                <w:sz w:val="20"/>
                <w:szCs w:val="20"/>
              </w:rPr>
            </w:pPr>
          </w:p>
          <w:p w14:paraId="4751FEBB" w14:textId="77777777" w:rsidR="007B7760" w:rsidRDefault="007B7760" w:rsidP="007B7760">
            <w:pPr>
              <w:spacing w:after="0" w:line="240" w:lineRule="auto"/>
              <w:rPr>
                <w:rFonts w:ascii="Futura Std Condensed Light" w:eastAsia="Calibri" w:hAnsi="Futura Std Condensed Light" w:cs="Calibri"/>
                <w:sz w:val="20"/>
                <w:szCs w:val="20"/>
              </w:rPr>
            </w:pPr>
          </w:p>
          <w:p w14:paraId="2FA63762" w14:textId="77777777" w:rsidR="007B7760" w:rsidRDefault="007B7760" w:rsidP="007B7760">
            <w:pPr>
              <w:spacing w:after="0" w:line="240" w:lineRule="auto"/>
              <w:rPr>
                <w:rFonts w:ascii="Futura Std Condensed Light" w:eastAsia="Calibri" w:hAnsi="Futura Std Condensed Light" w:cs="Calibri"/>
                <w:sz w:val="20"/>
                <w:szCs w:val="20"/>
              </w:rPr>
            </w:pPr>
          </w:p>
          <w:p w14:paraId="16A77036" w14:textId="77777777" w:rsidR="007B7760" w:rsidRDefault="007B7760" w:rsidP="007B7760">
            <w:pPr>
              <w:spacing w:after="0" w:line="240" w:lineRule="auto"/>
              <w:rPr>
                <w:rFonts w:ascii="Futura Std Condensed Light" w:eastAsia="Calibri" w:hAnsi="Futura Std Condensed Light" w:cs="Calibri"/>
                <w:sz w:val="20"/>
                <w:szCs w:val="20"/>
              </w:rPr>
            </w:pPr>
          </w:p>
          <w:p w14:paraId="308897A4" w14:textId="77777777" w:rsidR="007B7760" w:rsidRDefault="007B7760" w:rsidP="007B7760">
            <w:pPr>
              <w:spacing w:after="0" w:line="240" w:lineRule="auto"/>
              <w:rPr>
                <w:rFonts w:ascii="Futura Std Condensed Light" w:eastAsia="Calibri" w:hAnsi="Futura Std Condensed Light" w:cs="Calibri"/>
                <w:sz w:val="20"/>
                <w:szCs w:val="20"/>
              </w:rPr>
            </w:pPr>
          </w:p>
          <w:p w14:paraId="032E481F" w14:textId="77777777" w:rsidR="007B7760" w:rsidRDefault="007B7760" w:rsidP="007B7760">
            <w:pPr>
              <w:spacing w:after="0" w:line="240" w:lineRule="auto"/>
              <w:rPr>
                <w:rFonts w:ascii="Futura Std Condensed Light" w:eastAsia="Calibri" w:hAnsi="Futura Std Condensed Light" w:cs="Calibri"/>
                <w:sz w:val="20"/>
                <w:szCs w:val="20"/>
              </w:rPr>
            </w:pPr>
          </w:p>
          <w:p w14:paraId="21918310" w14:textId="77777777" w:rsidR="007B7760" w:rsidRDefault="007B7760" w:rsidP="007B7760">
            <w:pPr>
              <w:spacing w:after="0" w:line="240" w:lineRule="auto"/>
              <w:rPr>
                <w:rFonts w:ascii="Futura Std Condensed Light" w:eastAsia="Calibri" w:hAnsi="Futura Std Condensed Light" w:cs="Calibri"/>
                <w:sz w:val="20"/>
                <w:szCs w:val="20"/>
              </w:rPr>
            </w:pPr>
          </w:p>
          <w:p w14:paraId="665DC053" w14:textId="77777777" w:rsidR="007B7760" w:rsidRDefault="007B7760" w:rsidP="007B7760">
            <w:pPr>
              <w:spacing w:after="0" w:line="240" w:lineRule="auto"/>
              <w:rPr>
                <w:rFonts w:ascii="Futura Std Condensed Light" w:eastAsia="Calibri" w:hAnsi="Futura Std Condensed Light" w:cs="Calibri"/>
                <w:sz w:val="20"/>
                <w:szCs w:val="20"/>
              </w:rPr>
            </w:pPr>
          </w:p>
          <w:p w14:paraId="35A813E2" w14:textId="77777777" w:rsidR="007B7760" w:rsidRDefault="007B7760" w:rsidP="007B7760">
            <w:pPr>
              <w:spacing w:after="0" w:line="240" w:lineRule="auto"/>
              <w:rPr>
                <w:rFonts w:ascii="Futura Std Condensed Light" w:eastAsia="Calibri" w:hAnsi="Futura Std Condensed Light" w:cs="Calibri"/>
                <w:sz w:val="20"/>
                <w:szCs w:val="20"/>
              </w:rPr>
            </w:pPr>
          </w:p>
          <w:p w14:paraId="0C0F95E1" w14:textId="77777777" w:rsidR="007B7760" w:rsidRDefault="007B7760" w:rsidP="007B7760">
            <w:pPr>
              <w:spacing w:after="0" w:line="240" w:lineRule="auto"/>
              <w:rPr>
                <w:rFonts w:ascii="Futura Std Condensed Light" w:eastAsia="Calibri" w:hAnsi="Futura Std Condensed Light" w:cs="Calibri"/>
                <w:sz w:val="20"/>
                <w:szCs w:val="20"/>
              </w:rPr>
            </w:pPr>
          </w:p>
          <w:p w14:paraId="4CF584DF" w14:textId="77777777" w:rsidR="007B7760" w:rsidRDefault="007B7760" w:rsidP="007B7760">
            <w:pPr>
              <w:spacing w:after="0" w:line="240" w:lineRule="auto"/>
              <w:rPr>
                <w:rFonts w:ascii="Futura Std Condensed Light" w:eastAsia="Calibri" w:hAnsi="Futura Std Condensed Light" w:cs="Calibri"/>
                <w:sz w:val="20"/>
                <w:szCs w:val="20"/>
              </w:rPr>
            </w:pPr>
          </w:p>
          <w:p w14:paraId="01F73855" w14:textId="77777777" w:rsidR="007B7760" w:rsidRDefault="007B7760" w:rsidP="007B7760">
            <w:pPr>
              <w:spacing w:after="0" w:line="240" w:lineRule="auto"/>
              <w:rPr>
                <w:rFonts w:ascii="Futura Std Condensed Light" w:eastAsia="Calibri" w:hAnsi="Futura Std Condensed Light" w:cs="Calibri"/>
                <w:sz w:val="20"/>
                <w:szCs w:val="20"/>
              </w:rPr>
            </w:pPr>
          </w:p>
          <w:p w14:paraId="0438B5C7" w14:textId="77777777" w:rsidR="007B7760" w:rsidRDefault="007B7760" w:rsidP="007B7760">
            <w:pPr>
              <w:spacing w:after="0" w:line="240" w:lineRule="auto"/>
              <w:rPr>
                <w:rFonts w:ascii="Futura Std Condensed Light" w:eastAsia="Calibri" w:hAnsi="Futura Std Condensed Light" w:cs="Calibri"/>
                <w:sz w:val="20"/>
                <w:szCs w:val="20"/>
              </w:rPr>
            </w:pPr>
          </w:p>
          <w:p w14:paraId="0EA23CCF" w14:textId="74B173E2" w:rsidR="007B7760" w:rsidRPr="00A75407" w:rsidRDefault="0065199D" w:rsidP="007B7760">
            <w:pPr>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lastRenderedPageBreak/>
              <w:t>9</w:t>
            </w:r>
            <w:r w:rsidR="007B7760">
              <w:rPr>
                <w:rFonts w:ascii="Futura Std Condensed Light" w:eastAsia="Calibri" w:hAnsi="Futura Std Condensed Light" w:cs="Calibri"/>
                <w:sz w:val="20"/>
                <w:szCs w:val="20"/>
              </w:rPr>
              <w:t>. Elevar la capacitación y certificación en competencias laborales.</w:t>
            </w:r>
          </w:p>
        </w:tc>
        <w:tc>
          <w:tcPr>
            <w:tcW w:w="1787" w:type="pct"/>
            <w:tcBorders>
              <w:top w:val="single" w:sz="4" w:space="0" w:color="auto"/>
              <w:left w:val="single" w:sz="4" w:space="0" w:color="auto"/>
              <w:bottom w:val="single" w:sz="4" w:space="0" w:color="auto"/>
              <w:right w:val="single" w:sz="4" w:space="0" w:color="auto"/>
            </w:tcBorders>
            <w:shd w:val="clear" w:color="auto" w:fill="FFFFFF" w:themeFill="background1"/>
          </w:tcPr>
          <w:p w14:paraId="01038D70" w14:textId="77777777" w:rsidR="007B7760" w:rsidRDefault="007B7760" w:rsidP="007B7760">
            <w:pPr>
              <w:spacing w:after="120" w:line="259" w:lineRule="auto"/>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lastRenderedPageBreak/>
              <w:t>1.</w:t>
            </w:r>
            <w:r w:rsidRPr="00742A24">
              <w:rPr>
                <w:rFonts w:ascii="Futura Std Condensed Light" w:eastAsia="Calibri" w:hAnsi="Futura Std Condensed Light" w:cs="Calibri"/>
                <w:sz w:val="20"/>
                <w:szCs w:val="20"/>
              </w:rPr>
              <w:t xml:space="preserve">Implementar estrategias de promoción y difusión de la oferta educativa del Instituto a través de una campaña de publicidad realizada por la dirección de vinculación </w:t>
            </w:r>
          </w:p>
        </w:tc>
        <w:tc>
          <w:tcPr>
            <w:tcW w:w="882" w:type="pct"/>
            <w:vMerge w:val="restart"/>
            <w:tcBorders>
              <w:top w:val="single" w:sz="4" w:space="0" w:color="auto"/>
              <w:left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14C797A7" w14:textId="751440AF" w:rsidR="007B7760" w:rsidRDefault="007B7760" w:rsidP="007B7760">
            <w:pPr>
              <w:spacing w:after="0" w:line="240" w:lineRule="auto"/>
              <w:rPr>
                <w:rFonts w:ascii="Futura Std Condensed Light" w:eastAsia="Calibri" w:hAnsi="Futura Std Condensed Light" w:cs="Calibri"/>
                <w:sz w:val="20"/>
                <w:szCs w:val="20"/>
              </w:rPr>
            </w:pPr>
          </w:p>
          <w:p w14:paraId="008F9CBB" w14:textId="77777777" w:rsidR="007B7760" w:rsidRDefault="007B7760" w:rsidP="007B7760">
            <w:pPr>
              <w:spacing w:after="0" w:line="240" w:lineRule="auto"/>
              <w:rPr>
                <w:rFonts w:ascii="Futura Std Condensed Light" w:eastAsia="Calibri" w:hAnsi="Futura Std Condensed Light" w:cs="Calibri"/>
                <w:sz w:val="20"/>
                <w:szCs w:val="20"/>
              </w:rPr>
            </w:pPr>
          </w:p>
          <w:p w14:paraId="70B91E7F" w14:textId="77777777" w:rsidR="007B7760" w:rsidRPr="008B2769" w:rsidRDefault="007B7760" w:rsidP="007B7760">
            <w:pPr>
              <w:rPr>
                <w:rFonts w:ascii="Futura Std Condensed Light" w:eastAsia="Calibri" w:hAnsi="Futura Std Condensed Light" w:cs="Calibri"/>
                <w:sz w:val="20"/>
                <w:szCs w:val="20"/>
              </w:rPr>
            </w:pPr>
            <w:r w:rsidRPr="008B2769">
              <w:rPr>
                <w:rFonts w:ascii="Futura Std Condensed Light" w:eastAsia="Calibri" w:hAnsi="Futura Std Condensed Light" w:cs="Calibri"/>
                <w:sz w:val="20"/>
                <w:szCs w:val="20"/>
              </w:rPr>
              <w:t>Impulsar la adquisición de conocimientos, habilidades y destrezas relacionadas con un oficio calificado que permita mejorar la calidad de vida de las personas mediante la capacitación, evaluación y certificación.</w:t>
            </w:r>
          </w:p>
          <w:p w14:paraId="0DCF976B" w14:textId="4D9CEFB4" w:rsidR="007B7760" w:rsidRDefault="007B7760" w:rsidP="007B7760">
            <w:pPr>
              <w:spacing w:after="0" w:line="240" w:lineRule="auto"/>
              <w:rPr>
                <w:rFonts w:ascii="Futura Std Condensed Light" w:eastAsia="Calibri" w:hAnsi="Futura Std Condensed Light" w:cs="Calibri"/>
                <w:sz w:val="20"/>
                <w:szCs w:val="20"/>
              </w:rPr>
            </w:pPr>
          </w:p>
        </w:tc>
      </w:tr>
      <w:tr w:rsidR="007B7760" w:rsidRPr="008B2769" w14:paraId="3B432FD5" w14:textId="77777777" w:rsidTr="00D83181">
        <w:trPr>
          <w:trHeight w:val="115"/>
          <w:jc w:val="center"/>
        </w:trPr>
        <w:tc>
          <w:tcPr>
            <w:tcW w:w="700" w:type="pct"/>
            <w:vMerge/>
            <w:tcBorders>
              <w:left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7AC5D031" w14:textId="77777777" w:rsidR="007B7760" w:rsidRDefault="007B7760" w:rsidP="007B7760">
            <w:pPr>
              <w:spacing w:after="0" w:line="240" w:lineRule="auto"/>
              <w:jc w:val="center"/>
              <w:rPr>
                <w:rFonts w:ascii="Futura Std Condensed Light" w:eastAsia="Calibri" w:hAnsi="Futura Std Condensed Light" w:cs="Calibri"/>
                <w:sz w:val="20"/>
                <w:szCs w:val="20"/>
              </w:rPr>
            </w:pPr>
          </w:p>
        </w:tc>
        <w:tc>
          <w:tcPr>
            <w:tcW w:w="1630" w:type="pct"/>
            <w:vMerge/>
            <w:tcBorders>
              <w:left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11D0E5E9" w14:textId="77777777" w:rsidR="007B7760" w:rsidRDefault="007B7760" w:rsidP="007B7760">
            <w:pPr>
              <w:spacing w:after="0" w:line="240" w:lineRule="auto"/>
              <w:rPr>
                <w:rFonts w:ascii="Futura Std Condensed Light" w:eastAsia="Calibri" w:hAnsi="Futura Std Condensed Light" w:cs="Calibri"/>
                <w:sz w:val="20"/>
                <w:szCs w:val="20"/>
              </w:rPr>
            </w:pPr>
          </w:p>
        </w:tc>
        <w:tc>
          <w:tcPr>
            <w:tcW w:w="1787" w:type="pct"/>
            <w:tcBorders>
              <w:top w:val="single" w:sz="4" w:space="0" w:color="auto"/>
              <w:left w:val="single" w:sz="4" w:space="0" w:color="auto"/>
              <w:bottom w:val="single" w:sz="4" w:space="0" w:color="auto"/>
              <w:right w:val="single" w:sz="4" w:space="0" w:color="auto"/>
            </w:tcBorders>
            <w:shd w:val="clear" w:color="auto" w:fill="FFFFFF" w:themeFill="background1"/>
          </w:tcPr>
          <w:p w14:paraId="1610C3BC" w14:textId="77777777" w:rsidR="007B7760" w:rsidRDefault="007B7760" w:rsidP="007B7760">
            <w:pPr>
              <w:spacing w:after="120" w:line="259" w:lineRule="auto"/>
              <w:rPr>
                <w:rFonts w:ascii="Futura Std Condensed Light" w:eastAsia="Calibri" w:hAnsi="Futura Std Condensed Light" w:cs="Calibri"/>
                <w:sz w:val="20"/>
                <w:szCs w:val="20"/>
              </w:rPr>
            </w:pPr>
            <w:r w:rsidRPr="00742A24">
              <w:rPr>
                <w:rFonts w:ascii="Futura Std Condensed Light" w:eastAsia="Calibri" w:hAnsi="Futura Std Condensed Light" w:cs="Calibri"/>
                <w:sz w:val="20"/>
                <w:szCs w:val="20"/>
              </w:rPr>
              <w:t>2.Impulsar programas de capacitación que generen el interés de la</w:t>
            </w:r>
            <w:r w:rsidRPr="00742A24">
              <w:rPr>
                <w:sz w:val="22"/>
              </w:rPr>
              <w:t xml:space="preserve"> </w:t>
            </w:r>
            <w:r w:rsidRPr="00742A24">
              <w:rPr>
                <w:rFonts w:ascii="Futura Std Condensed Light" w:eastAsia="Calibri" w:hAnsi="Futura Std Condensed Light" w:cs="Calibri"/>
                <w:sz w:val="20"/>
                <w:szCs w:val="20"/>
              </w:rPr>
              <w:t xml:space="preserve">población de 15 años y más, para obtener conocimientos, habilidades y destrezas para el adecuado desempeño en su centro de trabajo o para autoemplearse. </w:t>
            </w:r>
          </w:p>
        </w:tc>
        <w:tc>
          <w:tcPr>
            <w:tcW w:w="882" w:type="pct"/>
            <w:vMerge/>
            <w:tcBorders>
              <w:left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1C31BD98" w14:textId="77777777" w:rsidR="007B7760" w:rsidRDefault="007B7760" w:rsidP="007B7760">
            <w:pPr>
              <w:spacing w:after="0" w:line="240" w:lineRule="auto"/>
              <w:jc w:val="center"/>
              <w:rPr>
                <w:rFonts w:ascii="Futura Std Condensed Light" w:eastAsia="Calibri" w:hAnsi="Futura Std Condensed Light" w:cs="Calibri"/>
                <w:sz w:val="20"/>
                <w:szCs w:val="20"/>
              </w:rPr>
            </w:pPr>
          </w:p>
        </w:tc>
      </w:tr>
      <w:tr w:rsidR="007B7760" w:rsidRPr="008B2769" w14:paraId="4E6D0FA3" w14:textId="77777777" w:rsidTr="00D83181">
        <w:trPr>
          <w:trHeight w:val="115"/>
          <w:jc w:val="center"/>
        </w:trPr>
        <w:tc>
          <w:tcPr>
            <w:tcW w:w="700" w:type="pct"/>
            <w:vMerge/>
            <w:tcBorders>
              <w:left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1B8EE063" w14:textId="77777777" w:rsidR="007B7760" w:rsidRDefault="007B7760" w:rsidP="007B7760">
            <w:pPr>
              <w:spacing w:after="0" w:line="240" w:lineRule="auto"/>
              <w:jc w:val="center"/>
              <w:rPr>
                <w:rFonts w:ascii="Futura Std Condensed Light" w:eastAsia="Calibri" w:hAnsi="Futura Std Condensed Light" w:cs="Calibri"/>
                <w:sz w:val="20"/>
                <w:szCs w:val="20"/>
              </w:rPr>
            </w:pPr>
          </w:p>
        </w:tc>
        <w:tc>
          <w:tcPr>
            <w:tcW w:w="1630" w:type="pct"/>
            <w:vMerge/>
            <w:tcBorders>
              <w:left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5342FFEB" w14:textId="77777777" w:rsidR="007B7760" w:rsidRDefault="007B7760" w:rsidP="007B7760">
            <w:pPr>
              <w:spacing w:after="0" w:line="240" w:lineRule="auto"/>
              <w:rPr>
                <w:rFonts w:ascii="Futura Std Condensed Light" w:eastAsia="Calibri" w:hAnsi="Futura Std Condensed Light" w:cs="Calibri"/>
                <w:sz w:val="20"/>
                <w:szCs w:val="20"/>
              </w:rPr>
            </w:pPr>
          </w:p>
        </w:tc>
        <w:tc>
          <w:tcPr>
            <w:tcW w:w="1787" w:type="pct"/>
            <w:tcBorders>
              <w:top w:val="single" w:sz="4" w:space="0" w:color="auto"/>
              <w:left w:val="single" w:sz="4" w:space="0" w:color="auto"/>
              <w:bottom w:val="single" w:sz="4" w:space="0" w:color="auto"/>
              <w:right w:val="single" w:sz="4" w:space="0" w:color="auto"/>
            </w:tcBorders>
            <w:shd w:val="clear" w:color="auto" w:fill="FFFFFF" w:themeFill="background1"/>
          </w:tcPr>
          <w:p w14:paraId="4C60BEED" w14:textId="77777777" w:rsidR="007B7760" w:rsidRDefault="007B7760" w:rsidP="007B7760">
            <w:pPr>
              <w:spacing w:after="120" w:line="259" w:lineRule="auto"/>
              <w:rPr>
                <w:rFonts w:ascii="Futura Std Condensed Light" w:eastAsia="Calibri" w:hAnsi="Futura Std Condensed Light" w:cs="Calibri"/>
                <w:sz w:val="20"/>
                <w:szCs w:val="20"/>
              </w:rPr>
            </w:pPr>
            <w:r w:rsidRPr="00742A24">
              <w:rPr>
                <w:rFonts w:ascii="Futura Std Condensed Light" w:eastAsia="Calibri" w:hAnsi="Futura Std Condensed Light" w:cs="Calibri"/>
                <w:sz w:val="20"/>
                <w:szCs w:val="20"/>
              </w:rPr>
              <w:t>3.Impulsar programas de capacitación dirigidos a los trabajadores en activo de empresas, instituciones u organismos de los sectores productivos y de servicios privado, público y social que pretenden complementar, especializar y/o actualizarse en una determinada actividad laboral.</w:t>
            </w:r>
          </w:p>
        </w:tc>
        <w:tc>
          <w:tcPr>
            <w:tcW w:w="882" w:type="pct"/>
            <w:vMerge/>
            <w:tcBorders>
              <w:left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36895ACC" w14:textId="77777777" w:rsidR="007B7760" w:rsidRDefault="007B7760" w:rsidP="007B7760">
            <w:pPr>
              <w:spacing w:after="0" w:line="240" w:lineRule="auto"/>
              <w:jc w:val="center"/>
              <w:rPr>
                <w:rFonts w:ascii="Futura Std Condensed Light" w:eastAsia="Calibri" w:hAnsi="Futura Std Condensed Light" w:cs="Calibri"/>
                <w:sz w:val="20"/>
                <w:szCs w:val="20"/>
              </w:rPr>
            </w:pPr>
          </w:p>
        </w:tc>
      </w:tr>
      <w:tr w:rsidR="007B7760" w:rsidRPr="008B2769" w14:paraId="243D37D7" w14:textId="77777777" w:rsidTr="00D83181">
        <w:trPr>
          <w:trHeight w:val="115"/>
          <w:jc w:val="center"/>
        </w:trPr>
        <w:tc>
          <w:tcPr>
            <w:tcW w:w="700" w:type="pct"/>
            <w:vMerge/>
            <w:tcBorders>
              <w:left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48FDBDA6" w14:textId="77777777" w:rsidR="007B7760" w:rsidRDefault="007B7760" w:rsidP="007B7760">
            <w:pPr>
              <w:spacing w:after="0" w:line="240" w:lineRule="auto"/>
              <w:jc w:val="center"/>
              <w:rPr>
                <w:rFonts w:ascii="Futura Std Condensed Light" w:eastAsia="Calibri" w:hAnsi="Futura Std Condensed Light" w:cs="Calibri"/>
                <w:sz w:val="20"/>
                <w:szCs w:val="20"/>
              </w:rPr>
            </w:pPr>
          </w:p>
        </w:tc>
        <w:tc>
          <w:tcPr>
            <w:tcW w:w="1630" w:type="pct"/>
            <w:vMerge/>
            <w:tcBorders>
              <w:left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4961768D" w14:textId="77777777" w:rsidR="007B7760" w:rsidRDefault="007B7760" w:rsidP="007B7760">
            <w:pPr>
              <w:spacing w:after="0" w:line="240" w:lineRule="auto"/>
              <w:rPr>
                <w:rFonts w:ascii="Futura Std Condensed Light" w:eastAsia="Calibri" w:hAnsi="Futura Std Condensed Light" w:cs="Calibri"/>
                <w:sz w:val="20"/>
                <w:szCs w:val="20"/>
              </w:rPr>
            </w:pPr>
          </w:p>
        </w:tc>
        <w:tc>
          <w:tcPr>
            <w:tcW w:w="1787" w:type="pct"/>
            <w:tcBorders>
              <w:top w:val="single" w:sz="4" w:space="0" w:color="auto"/>
              <w:left w:val="single" w:sz="4" w:space="0" w:color="auto"/>
              <w:bottom w:val="single" w:sz="4" w:space="0" w:color="auto"/>
              <w:right w:val="single" w:sz="4" w:space="0" w:color="auto"/>
            </w:tcBorders>
            <w:shd w:val="clear" w:color="auto" w:fill="FFFFFF" w:themeFill="background1"/>
          </w:tcPr>
          <w:p w14:paraId="3B0DD29E" w14:textId="77777777" w:rsidR="007B7760" w:rsidRDefault="007B7760" w:rsidP="007B7760">
            <w:pPr>
              <w:spacing w:after="120" w:line="259" w:lineRule="auto"/>
              <w:rPr>
                <w:rFonts w:ascii="Futura Std Condensed Light" w:eastAsia="Calibri" w:hAnsi="Futura Std Condensed Light" w:cs="Calibri"/>
                <w:sz w:val="20"/>
                <w:szCs w:val="20"/>
              </w:rPr>
            </w:pPr>
            <w:r w:rsidRPr="00742A24">
              <w:rPr>
                <w:rFonts w:ascii="Futura Std Condensed Light" w:eastAsia="Calibri" w:hAnsi="Futura Std Condensed Light" w:cs="Calibri"/>
                <w:sz w:val="20"/>
                <w:szCs w:val="20"/>
              </w:rPr>
              <w:t>4.Promover la certificación de los conocimientos, habilidades y destrezas correspondientes a una competencia ocupacional, adquiridos empíricamente a través de una evaluación</w:t>
            </w:r>
          </w:p>
        </w:tc>
        <w:tc>
          <w:tcPr>
            <w:tcW w:w="882" w:type="pct"/>
            <w:vMerge/>
            <w:tcBorders>
              <w:left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1C55D79C" w14:textId="77777777" w:rsidR="007B7760" w:rsidRDefault="007B7760" w:rsidP="007B7760">
            <w:pPr>
              <w:spacing w:after="0" w:line="240" w:lineRule="auto"/>
              <w:jc w:val="center"/>
              <w:rPr>
                <w:rFonts w:ascii="Futura Std Condensed Light" w:eastAsia="Calibri" w:hAnsi="Futura Std Condensed Light" w:cs="Calibri"/>
                <w:sz w:val="20"/>
                <w:szCs w:val="20"/>
              </w:rPr>
            </w:pPr>
          </w:p>
        </w:tc>
      </w:tr>
      <w:tr w:rsidR="007B7760" w:rsidRPr="008B2769" w14:paraId="58CAD468" w14:textId="77777777" w:rsidTr="00D83181">
        <w:trPr>
          <w:trHeight w:val="1886"/>
          <w:jc w:val="center"/>
        </w:trPr>
        <w:tc>
          <w:tcPr>
            <w:tcW w:w="700" w:type="pct"/>
            <w:vMerge/>
            <w:tcBorders>
              <w:left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5B940779" w14:textId="77777777" w:rsidR="007B7760" w:rsidRDefault="007B7760" w:rsidP="007B7760">
            <w:pPr>
              <w:spacing w:after="0" w:line="240" w:lineRule="auto"/>
              <w:jc w:val="center"/>
              <w:rPr>
                <w:rFonts w:ascii="Futura Std Condensed Light" w:eastAsia="Calibri" w:hAnsi="Futura Std Condensed Light" w:cs="Calibri"/>
                <w:sz w:val="20"/>
                <w:szCs w:val="20"/>
              </w:rPr>
            </w:pPr>
          </w:p>
        </w:tc>
        <w:tc>
          <w:tcPr>
            <w:tcW w:w="1630" w:type="pct"/>
            <w:vMerge/>
            <w:tcBorders>
              <w:left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58EF9B07" w14:textId="77777777" w:rsidR="007B7760" w:rsidRDefault="007B7760" w:rsidP="007B7760">
            <w:pPr>
              <w:spacing w:after="0" w:line="240" w:lineRule="auto"/>
              <w:rPr>
                <w:rFonts w:ascii="Futura Std Condensed Light" w:eastAsia="Calibri" w:hAnsi="Futura Std Condensed Light" w:cs="Calibri"/>
                <w:sz w:val="20"/>
                <w:szCs w:val="20"/>
              </w:rPr>
            </w:pPr>
          </w:p>
        </w:tc>
        <w:tc>
          <w:tcPr>
            <w:tcW w:w="1787" w:type="pct"/>
            <w:tcBorders>
              <w:top w:val="single" w:sz="4" w:space="0" w:color="auto"/>
              <w:left w:val="single" w:sz="4" w:space="0" w:color="auto"/>
              <w:right w:val="single" w:sz="4" w:space="0" w:color="auto"/>
            </w:tcBorders>
            <w:shd w:val="clear" w:color="auto" w:fill="FFFFFF" w:themeFill="background1"/>
          </w:tcPr>
          <w:p w14:paraId="7B1B2EDC" w14:textId="77777777" w:rsidR="007B7760" w:rsidRDefault="007B7760" w:rsidP="007B7760">
            <w:pPr>
              <w:spacing w:after="120" w:line="259" w:lineRule="auto"/>
              <w:rPr>
                <w:rFonts w:ascii="Futura Std Condensed Light" w:eastAsia="Calibri" w:hAnsi="Futura Std Condensed Light" w:cs="Calibri"/>
                <w:sz w:val="20"/>
                <w:szCs w:val="20"/>
              </w:rPr>
            </w:pPr>
            <w:r w:rsidRPr="00742A24">
              <w:rPr>
                <w:rFonts w:ascii="Futura Std Condensed Light" w:eastAsia="Calibri" w:hAnsi="Futura Std Condensed Light" w:cs="Calibri"/>
                <w:sz w:val="20"/>
                <w:szCs w:val="20"/>
              </w:rPr>
              <w:t>5.Promover la certificación de los conocimientos, habilidades y destrezas requeridas, para que una persona realice cualquier actividad productiva, social o de gobierno, con un nivel de alto desempeño a través de los Estándares de Competencia Laboral.</w:t>
            </w:r>
          </w:p>
        </w:tc>
        <w:tc>
          <w:tcPr>
            <w:tcW w:w="882" w:type="pct"/>
            <w:vMerge/>
            <w:tcBorders>
              <w:left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5CE1AD86" w14:textId="77777777" w:rsidR="007B7760" w:rsidRDefault="007B7760" w:rsidP="007B7760">
            <w:pPr>
              <w:spacing w:after="0" w:line="240" w:lineRule="auto"/>
              <w:jc w:val="center"/>
              <w:rPr>
                <w:rFonts w:ascii="Futura Std Condensed Light" w:eastAsia="Calibri" w:hAnsi="Futura Std Condensed Light" w:cs="Calibri"/>
                <w:sz w:val="20"/>
                <w:szCs w:val="20"/>
              </w:rPr>
            </w:pPr>
          </w:p>
        </w:tc>
      </w:tr>
      <w:tr w:rsidR="0065199D" w14:paraId="3BAD0D8C" w14:textId="77777777" w:rsidTr="0065199D">
        <w:trPr>
          <w:trHeight w:val="848"/>
          <w:jc w:val="center"/>
        </w:trPr>
        <w:tc>
          <w:tcPr>
            <w:tcW w:w="0" w:type="auto"/>
            <w:vMerge/>
            <w:tcBorders>
              <w:left w:val="single" w:sz="4" w:space="0" w:color="auto"/>
              <w:bottom w:val="single" w:sz="4" w:space="0" w:color="auto"/>
              <w:right w:val="single" w:sz="4" w:space="0" w:color="auto"/>
            </w:tcBorders>
            <w:shd w:val="clear" w:color="auto" w:fill="FFFFFF" w:themeFill="background1"/>
            <w:vAlign w:val="center"/>
          </w:tcPr>
          <w:p w14:paraId="4EC1F665" w14:textId="77777777" w:rsidR="0065199D" w:rsidRDefault="0065199D" w:rsidP="007B7760">
            <w:pPr>
              <w:spacing w:after="0" w:line="240" w:lineRule="auto"/>
              <w:jc w:val="left"/>
              <w:rPr>
                <w:rFonts w:ascii="Futura Std Condensed Light" w:eastAsia="Calibri" w:hAnsi="Futura Std Condensed Light" w:cs="Calibri"/>
                <w:sz w:val="20"/>
                <w:szCs w:val="20"/>
              </w:rPr>
            </w:pPr>
          </w:p>
        </w:tc>
        <w:tc>
          <w:tcPr>
            <w:tcW w:w="1630"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02165CDB" w14:textId="77D261D0" w:rsidR="0065199D" w:rsidRDefault="0065199D" w:rsidP="007B7760">
            <w:pPr>
              <w:spacing w:after="0" w:line="240" w:lineRule="auto"/>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25. Desarrollar e implementar acciones para fortalecer el Modelo de Prevención Quintana Roo</w:t>
            </w:r>
          </w:p>
        </w:tc>
        <w:tc>
          <w:tcPr>
            <w:tcW w:w="1787" w:type="pct"/>
            <w:tcBorders>
              <w:top w:val="single" w:sz="4" w:space="0" w:color="auto"/>
              <w:left w:val="single" w:sz="4" w:space="0" w:color="auto"/>
              <w:bottom w:val="single" w:sz="4" w:space="0" w:color="auto"/>
              <w:right w:val="single" w:sz="4" w:space="0" w:color="auto"/>
            </w:tcBorders>
            <w:shd w:val="clear" w:color="auto" w:fill="FFFFFF" w:themeFill="background1"/>
          </w:tcPr>
          <w:p w14:paraId="2EF50112" w14:textId="430EE247" w:rsidR="0065199D" w:rsidRDefault="0065199D" w:rsidP="007B7760">
            <w:pPr>
              <w:spacing w:after="0" w:line="240" w:lineRule="auto"/>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6. Desarrollar e implementar acciones para fortalecer el Modelo de Prevención Quintana Roo</w:t>
            </w:r>
          </w:p>
        </w:tc>
        <w:tc>
          <w:tcPr>
            <w:tcW w:w="0" w:type="auto"/>
            <w:vMerge/>
            <w:tcBorders>
              <w:left w:val="single" w:sz="4" w:space="0" w:color="auto"/>
              <w:bottom w:val="single" w:sz="4" w:space="0" w:color="auto"/>
              <w:right w:val="single" w:sz="4" w:space="0" w:color="auto"/>
            </w:tcBorders>
            <w:shd w:val="clear" w:color="auto" w:fill="FFFFFF" w:themeFill="background1"/>
            <w:vAlign w:val="center"/>
          </w:tcPr>
          <w:p w14:paraId="0836DC46" w14:textId="77777777" w:rsidR="0065199D" w:rsidRDefault="0065199D" w:rsidP="007B7760">
            <w:pPr>
              <w:spacing w:after="0" w:line="240" w:lineRule="auto"/>
              <w:jc w:val="left"/>
              <w:rPr>
                <w:rFonts w:ascii="Futura Std Condensed Light" w:eastAsia="Calibri" w:hAnsi="Futura Std Condensed Light" w:cs="Calibri"/>
                <w:sz w:val="20"/>
                <w:szCs w:val="20"/>
              </w:rPr>
            </w:pPr>
          </w:p>
        </w:tc>
      </w:tr>
      <w:tr w:rsidR="0065199D" w14:paraId="282B512E" w14:textId="77777777" w:rsidTr="00B87F8B">
        <w:trPr>
          <w:trHeight w:val="1305"/>
          <w:jc w:val="center"/>
        </w:trPr>
        <w:tc>
          <w:tcPr>
            <w:tcW w:w="0" w:type="auto"/>
            <w:vMerge/>
            <w:tcBorders>
              <w:left w:val="single" w:sz="4" w:space="0" w:color="auto"/>
              <w:bottom w:val="single" w:sz="4" w:space="0" w:color="auto"/>
              <w:right w:val="single" w:sz="4" w:space="0" w:color="auto"/>
            </w:tcBorders>
            <w:shd w:val="clear" w:color="auto" w:fill="FFFFFF" w:themeFill="background1"/>
            <w:vAlign w:val="center"/>
          </w:tcPr>
          <w:p w14:paraId="13115E7D" w14:textId="77777777" w:rsidR="0065199D" w:rsidRDefault="0065199D" w:rsidP="007B7760">
            <w:pPr>
              <w:spacing w:after="0" w:line="240" w:lineRule="auto"/>
              <w:jc w:val="left"/>
              <w:rPr>
                <w:rFonts w:ascii="Futura Std Condensed Light" w:eastAsia="Calibri" w:hAnsi="Futura Std Condensed Light" w:cs="Calibri"/>
                <w:sz w:val="20"/>
                <w:szCs w:val="20"/>
              </w:rPr>
            </w:pPr>
          </w:p>
        </w:tc>
        <w:tc>
          <w:tcPr>
            <w:tcW w:w="1630"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tcPr>
          <w:p w14:paraId="1C62AE70" w14:textId="71D4EE68" w:rsidR="0065199D" w:rsidRDefault="0065199D" w:rsidP="007B7760">
            <w:pPr>
              <w:spacing w:after="0" w:line="240" w:lineRule="auto"/>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26. Impulsar e implementar acciones permanentes en materia de promoción, protección y defensa de los Derechos Humanos, con la aplicación de planteamientos legales, estructurales, así como la constante formación de Servidores Públicos fortaleciendo el ejercicio de los Derechos Humanos de los Ciudadanos.</w:t>
            </w:r>
          </w:p>
        </w:tc>
        <w:tc>
          <w:tcPr>
            <w:tcW w:w="1787" w:type="pct"/>
            <w:tcBorders>
              <w:top w:val="single" w:sz="4" w:space="0" w:color="auto"/>
              <w:left w:val="single" w:sz="4" w:space="0" w:color="auto"/>
              <w:bottom w:val="single" w:sz="4" w:space="0" w:color="auto"/>
              <w:right w:val="single" w:sz="4" w:space="0" w:color="auto"/>
            </w:tcBorders>
            <w:shd w:val="clear" w:color="auto" w:fill="FFFFFF" w:themeFill="background1"/>
          </w:tcPr>
          <w:p w14:paraId="10CACE0A" w14:textId="43A9C778" w:rsidR="0065199D" w:rsidRDefault="0065199D" w:rsidP="007B7760">
            <w:pPr>
              <w:spacing w:after="0" w:line="240" w:lineRule="auto"/>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7. Impulsar e implementar acciones permanentes en materia de promoción, protección y defensa de los Derechos Humanos, con la aplicación de planteamientos legales, estructurales, así como la constante formación de Servidores Públicos fortaleciendo el ejercicio de los Derechos Humanos de los Ciudadanos.</w:t>
            </w:r>
          </w:p>
        </w:tc>
        <w:tc>
          <w:tcPr>
            <w:tcW w:w="0" w:type="auto"/>
            <w:vMerge/>
            <w:tcBorders>
              <w:left w:val="single" w:sz="4" w:space="0" w:color="auto"/>
              <w:bottom w:val="single" w:sz="4" w:space="0" w:color="auto"/>
              <w:right w:val="single" w:sz="4" w:space="0" w:color="auto"/>
            </w:tcBorders>
            <w:shd w:val="clear" w:color="auto" w:fill="FFFFFF" w:themeFill="background1"/>
            <w:vAlign w:val="center"/>
          </w:tcPr>
          <w:p w14:paraId="4F4F16D2" w14:textId="77777777" w:rsidR="0065199D" w:rsidRDefault="0065199D" w:rsidP="007B7760">
            <w:pPr>
              <w:spacing w:after="0" w:line="240" w:lineRule="auto"/>
              <w:jc w:val="left"/>
              <w:rPr>
                <w:rFonts w:ascii="Futura Std Condensed Light" w:eastAsia="Calibri" w:hAnsi="Futura Std Condensed Light" w:cs="Calibri"/>
                <w:sz w:val="20"/>
                <w:szCs w:val="20"/>
              </w:rPr>
            </w:pPr>
          </w:p>
        </w:tc>
      </w:tr>
      <w:tr w:rsidR="007B7760" w14:paraId="6FFDB4EE" w14:textId="77777777" w:rsidTr="009D6EFB">
        <w:trPr>
          <w:trHeight w:val="984"/>
          <w:jc w:val="center"/>
        </w:trPr>
        <w:tc>
          <w:tcPr>
            <w:tcW w:w="0" w:type="auto"/>
            <w:vMerge/>
            <w:tcBorders>
              <w:left w:val="single" w:sz="4" w:space="0" w:color="auto"/>
              <w:bottom w:val="single" w:sz="4" w:space="0" w:color="auto"/>
              <w:right w:val="single" w:sz="4" w:space="0" w:color="auto"/>
            </w:tcBorders>
            <w:shd w:val="clear" w:color="auto" w:fill="FFFFFF" w:themeFill="background1"/>
            <w:vAlign w:val="center"/>
            <w:hideMark/>
          </w:tcPr>
          <w:p w14:paraId="784374BE" w14:textId="77777777" w:rsidR="007B7760" w:rsidRDefault="007B7760" w:rsidP="007B7760">
            <w:pPr>
              <w:spacing w:after="0" w:line="240" w:lineRule="auto"/>
              <w:jc w:val="left"/>
              <w:rPr>
                <w:rFonts w:ascii="Futura Std Condensed Light" w:eastAsia="Calibri" w:hAnsi="Futura Std Condensed Light" w:cs="Calibri"/>
                <w:sz w:val="20"/>
                <w:szCs w:val="20"/>
              </w:rPr>
            </w:pPr>
          </w:p>
        </w:tc>
        <w:tc>
          <w:tcPr>
            <w:tcW w:w="1630" w:type="pct"/>
            <w:tcBorders>
              <w:top w:val="single" w:sz="4" w:space="0" w:color="auto"/>
              <w:left w:val="single" w:sz="4" w:space="0" w:color="auto"/>
              <w:bottom w:val="single" w:sz="4" w:space="0" w:color="auto"/>
              <w:right w:val="single" w:sz="4" w:space="0" w:color="auto"/>
            </w:tcBorders>
            <w:shd w:val="clear" w:color="auto" w:fill="FFFFFF" w:themeFill="background1"/>
            <w:tcMar>
              <w:top w:w="72" w:type="dxa"/>
              <w:left w:w="144" w:type="dxa"/>
              <w:bottom w:w="72" w:type="dxa"/>
              <w:right w:w="144" w:type="dxa"/>
            </w:tcMar>
            <w:vAlign w:val="center"/>
            <w:hideMark/>
          </w:tcPr>
          <w:p w14:paraId="5F195056" w14:textId="1775BE2F" w:rsidR="007B7760" w:rsidRDefault="007B7760" w:rsidP="007B7760">
            <w:pPr>
              <w:spacing w:after="0" w:line="240" w:lineRule="auto"/>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27. Atender las actividades administrativas, técnicas, jurídicas y de Staff.</w:t>
            </w:r>
          </w:p>
          <w:p w14:paraId="4EE28A7E" w14:textId="5AB8AEAB" w:rsidR="007B7760" w:rsidRDefault="007B7760" w:rsidP="007B7760">
            <w:pPr>
              <w:spacing w:after="0" w:line="240" w:lineRule="auto"/>
              <w:rPr>
                <w:rFonts w:ascii="Futura Std Condensed Light" w:eastAsia="Calibri" w:hAnsi="Futura Std Condensed Light" w:cs="Calibri"/>
                <w:sz w:val="20"/>
                <w:szCs w:val="20"/>
              </w:rPr>
            </w:pPr>
          </w:p>
        </w:tc>
        <w:tc>
          <w:tcPr>
            <w:tcW w:w="1787" w:type="pct"/>
            <w:tcBorders>
              <w:top w:val="single" w:sz="4" w:space="0" w:color="auto"/>
              <w:left w:val="single" w:sz="4" w:space="0" w:color="auto"/>
              <w:bottom w:val="single" w:sz="4" w:space="0" w:color="auto"/>
              <w:right w:val="single" w:sz="4" w:space="0" w:color="auto"/>
            </w:tcBorders>
            <w:shd w:val="clear" w:color="auto" w:fill="FFFFFF" w:themeFill="background1"/>
          </w:tcPr>
          <w:p w14:paraId="63E7EC26" w14:textId="74824FF9" w:rsidR="007B7760" w:rsidRDefault="0065199D" w:rsidP="007B7760">
            <w:pPr>
              <w:spacing w:after="0" w:line="240" w:lineRule="auto"/>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8</w:t>
            </w:r>
            <w:r w:rsidR="007B7760">
              <w:rPr>
                <w:rFonts w:ascii="Futura Std Condensed Light" w:eastAsia="Calibri" w:hAnsi="Futura Std Condensed Light" w:cs="Calibri"/>
                <w:sz w:val="20"/>
                <w:szCs w:val="20"/>
              </w:rPr>
              <w:t>. Atender las actividades administrativas, técnicas, jurídicas y de Staff.</w:t>
            </w:r>
          </w:p>
        </w:tc>
        <w:tc>
          <w:tcPr>
            <w:tcW w:w="0" w:type="auto"/>
            <w:vMerge/>
            <w:tcBorders>
              <w:left w:val="single" w:sz="4" w:space="0" w:color="auto"/>
              <w:bottom w:val="single" w:sz="4" w:space="0" w:color="auto"/>
              <w:right w:val="single" w:sz="4" w:space="0" w:color="auto"/>
            </w:tcBorders>
            <w:shd w:val="clear" w:color="auto" w:fill="FFFFFF" w:themeFill="background1"/>
            <w:vAlign w:val="center"/>
            <w:hideMark/>
          </w:tcPr>
          <w:p w14:paraId="535B489E" w14:textId="77777777" w:rsidR="007B7760" w:rsidRDefault="007B7760" w:rsidP="007B7760">
            <w:pPr>
              <w:spacing w:after="0" w:line="240" w:lineRule="auto"/>
              <w:jc w:val="left"/>
              <w:rPr>
                <w:rFonts w:ascii="Futura Std Condensed Light" w:eastAsia="Calibri" w:hAnsi="Futura Std Condensed Light" w:cs="Calibri"/>
                <w:sz w:val="20"/>
                <w:szCs w:val="20"/>
              </w:rPr>
            </w:pPr>
          </w:p>
        </w:tc>
      </w:tr>
    </w:tbl>
    <w:p w14:paraId="3ACD9C9C" w14:textId="77777777" w:rsidR="0021177B" w:rsidRDefault="0021177B" w:rsidP="0021177B">
      <w:pPr>
        <w:pStyle w:val="Textonotapie"/>
        <w:rPr>
          <w:rFonts w:ascii="Futura T OT" w:eastAsiaTheme="minorEastAsia" w:hAnsi="Futura T OT" w:cstheme="minorBidi"/>
          <w:szCs w:val="16"/>
          <w:lang w:val="es-ES_tradnl" w:eastAsia="es-ES"/>
        </w:rPr>
      </w:pPr>
      <w:r w:rsidRPr="00FA0940">
        <w:rPr>
          <w:rFonts w:ascii="Futura T OT" w:eastAsiaTheme="minorEastAsia" w:hAnsi="Futura T OT" w:cstheme="minorBidi"/>
          <w:b/>
          <w:szCs w:val="16"/>
          <w:lang w:val="es-ES_tradnl" w:eastAsia="es-ES"/>
        </w:rPr>
        <w:t>Fuente:</w:t>
      </w:r>
      <w:r>
        <w:rPr>
          <w:rFonts w:ascii="Futura T OT" w:eastAsiaTheme="minorEastAsia" w:hAnsi="Futura T OT" w:cstheme="minorBidi"/>
          <w:szCs w:val="16"/>
          <w:lang w:val="es-ES_tradnl" w:eastAsia="es-ES"/>
        </w:rPr>
        <w:t xml:space="preserve"> Elaboración Propia. Dirección de Planeación. Secretaría de Educación de Quintana Roo.  </w:t>
      </w:r>
    </w:p>
    <w:p w14:paraId="04360488" w14:textId="3514A956" w:rsidR="00913635" w:rsidRDefault="00527E03" w:rsidP="0021177B">
      <w:r>
        <w:t xml:space="preserve">La actualización del </w:t>
      </w:r>
      <w:r w:rsidR="0021177B">
        <w:t xml:space="preserve"> Plan Estatal de Desarrollo 2016-2022 en el Programa 23. Educación Pública de Calidad, establece indicadores de impacto para medir el logro del objetivo del programa, los cuales se muestran en el siguiente cuadro con sus respectivas metas a lo largo del periodo de la</w:t>
      </w:r>
      <w:r w:rsidR="00B87F8B">
        <w:t xml:space="preserve"> administración pública estatal.</w:t>
      </w:r>
    </w:p>
    <w:p w14:paraId="74B1059B" w14:textId="77777777" w:rsidR="00913635" w:rsidRDefault="00913635">
      <w:pPr>
        <w:spacing w:after="0" w:line="240" w:lineRule="auto"/>
        <w:jc w:val="left"/>
      </w:pPr>
      <w:r>
        <w:br w:type="page"/>
      </w:r>
    </w:p>
    <w:p w14:paraId="6398E3D0" w14:textId="49B66751" w:rsidR="0021177B" w:rsidRDefault="00FA0940" w:rsidP="0021177B">
      <w:pPr>
        <w:pStyle w:val="Textoindependiente"/>
        <w:jc w:val="center"/>
        <w:rPr>
          <w:rFonts w:eastAsia="Arial" w:cs="Times New Roman"/>
          <w:b/>
          <w:color w:val="4BACC6" w:themeColor="accent5"/>
        </w:rPr>
      </w:pPr>
      <w:r>
        <w:rPr>
          <w:rFonts w:eastAsia="Arial" w:cs="Times New Roman"/>
          <w:b/>
          <w:color w:val="4BACC6" w:themeColor="accent5"/>
        </w:rPr>
        <w:lastRenderedPageBreak/>
        <w:t>Cuadro 23</w:t>
      </w:r>
      <w:r w:rsidR="0021177B">
        <w:rPr>
          <w:rFonts w:eastAsia="Arial" w:cs="Times New Roman"/>
          <w:b/>
          <w:color w:val="4BACC6" w:themeColor="accent5"/>
        </w:rPr>
        <w:t>. Indicadores y Metas</w:t>
      </w:r>
      <w:r w:rsidR="00357472">
        <w:rPr>
          <w:rFonts w:eastAsia="Arial" w:cs="Times New Roman"/>
          <w:b/>
          <w:color w:val="4BACC6" w:themeColor="accent5"/>
        </w:rPr>
        <w:t xml:space="preserve"> del Programa establecidos en la actualización del </w:t>
      </w:r>
      <w:r w:rsidR="0021177B">
        <w:rPr>
          <w:rFonts w:eastAsia="Arial" w:cs="Times New Roman"/>
          <w:b/>
          <w:color w:val="4BACC6" w:themeColor="accent5"/>
        </w:rPr>
        <w:t xml:space="preserve"> PED 2016-2022</w:t>
      </w:r>
    </w:p>
    <w:p w14:paraId="7B687F9F" w14:textId="6E58D23F" w:rsidR="0021177B" w:rsidRPr="00425D2A" w:rsidRDefault="0021177B" w:rsidP="0021177B">
      <w:pPr>
        <w:spacing w:after="0" w:line="240" w:lineRule="auto"/>
        <w:jc w:val="left"/>
        <w:rPr>
          <w:rFonts w:ascii="Futura Std Condensed Light" w:eastAsia="Calibri" w:hAnsi="Futura Std Condensed Light" w:cs="Calibri"/>
        </w:rPr>
      </w:pPr>
      <w:r w:rsidRPr="00425D2A">
        <w:rPr>
          <w:rFonts w:ascii="Futura Std Condensed Light" w:eastAsia="Calibri" w:hAnsi="Futura Std Condensed Light" w:cs="Calibri"/>
          <w:b/>
        </w:rPr>
        <w:t>Tasa de cobertura estatal en Educación Básica</w:t>
      </w:r>
      <w:r w:rsidRPr="00425D2A">
        <w:rPr>
          <w:rFonts w:ascii="Futura Std Condensed Light" w:eastAsia="Calibri" w:hAnsi="Futura Std Condensed Light" w:cs="Calibri"/>
        </w:rPr>
        <w:t>.</w:t>
      </w:r>
    </w:p>
    <w:p w14:paraId="72F4E787" w14:textId="77777777" w:rsidR="0021177B" w:rsidRPr="00591F2A" w:rsidRDefault="0021177B" w:rsidP="0021177B">
      <w:pPr>
        <w:spacing w:after="0" w:line="240" w:lineRule="auto"/>
        <w:jc w:val="left"/>
        <w:rPr>
          <w:rFonts w:ascii="Futura Std Condensed Light" w:eastAsia="Calibri" w:hAnsi="Futura Std Condensed Light" w:cs="Calibri"/>
          <w:sz w:val="20"/>
          <w:szCs w:val="20"/>
        </w:rPr>
      </w:pPr>
    </w:p>
    <w:tbl>
      <w:tblPr>
        <w:tblStyle w:val="Tablaconcuadrcula"/>
        <w:tblW w:w="5000" w:type="pct"/>
        <w:tblLook w:val="0420" w:firstRow="1" w:lastRow="0" w:firstColumn="0" w:lastColumn="0" w:noHBand="0" w:noVBand="1"/>
      </w:tblPr>
      <w:tblGrid>
        <w:gridCol w:w="1176"/>
        <w:gridCol w:w="1238"/>
        <w:gridCol w:w="1318"/>
        <w:gridCol w:w="1165"/>
        <w:gridCol w:w="680"/>
        <w:gridCol w:w="660"/>
        <w:gridCol w:w="660"/>
        <w:gridCol w:w="660"/>
        <w:gridCol w:w="660"/>
        <w:gridCol w:w="660"/>
        <w:gridCol w:w="660"/>
      </w:tblGrid>
      <w:tr w:rsidR="00E64229" w:rsidRPr="000140F1" w14:paraId="2E49A02D" w14:textId="77777777" w:rsidTr="00E64229">
        <w:trPr>
          <w:trHeight w:val="568"/>
        </w:trPr>
        <w:tc>
          <w:tcPr>
            <w:tcW w:w="571" w:type="pct"/>
            <w:shd w:val="clear" w:color="auto" w:fill="A6A6A6" w:themeFill="background1" w:themeFillShade="A6"/>
            <w:hideMark/>
          </w:tcPr>
          <w:p w14:paraId="38630E1F" w14:textId="77777777" w:rsidR="00E64229" w:rsidRPr="000140F1" w:rsidRDefault="00E64229" w:rsidP="000140F1">
            <w:pPr>
              <w:spacing w:after="0" w:line="240" w:lineRule="auto"/>
              <w:jc w:val="center"/>
              <w:rPr>
                <w:rFonts w:ascii="Futura Std Condensed Light" w:eastAsia="Calibri" w:hAnsi="Futura Std Condensed Light" w:cs="Calibri"/>
                <w:color w:val="auto"/>
                <w:sz w:val="20"/>
                <w:szCs w:val="20"/>
              </w:rPr>
            </w:pPr>
            <w:r w:rsidRPr="000140F1">
              <w:rPr>
                <w:rFonts w:ascii="Futura Std Condensed Light" w:eastAsia="Calibri" w:hAnsi="Futura Std Condensed Light" w:cs="Calibri"/>
                <w:color w:val="auto"/>
                <w:sz w:val="20"/>
                <w:szCs w:val="20"/>
              </w:rPr>
              <w:t>Indicador PED</w:t>
            </w:r>
          </w:p>
        </w:tc>
        <w:tc>
          <w:tcPr>
            <w:tcW w:w="625" w:type="pct"/>
            <w:shd w:val="clear" w:color="auto" w:fill="A6A6A6" w:themeFill="background1" w:themeFillShade="A6"/>
            <w:hideMark/>
          </w:tcPr>
          <w:p w14:paraId="4B217A47" w14:textId="77777777" w:rsidR="00E64229" w:rsidRPr="000140F1" w:rsidRDefault="00E64229" w:rsidP="000140F1">
            <w:pPr>
              <w:spacing w:after="0" w:line="240" w:lineRule="auto"/>
              <w:jc w:val="center"/>
              <w:rPr>
                <w:rFonts w:ascii="Futura Std Condensed Light" w:eastAsia="Calibri" w:hAnsi="Futura Std Condensed Light" w:cs="Calibri"/>
                <w:color w:val="auto"/>
                <w:sz w:val="20"/>
                <w:szCs w:val="20"/>
              </w:rPr>
            </w:pPr>
            <w:r w:rsidRPr="000140F1">
              <w:rPr>
                <w:rFonts w:ascii="Futura Std Condensed Light" w:eastAsia="Calibri" w:hAnsi="Futura Std Condensed Light" w:cs="Calibri"/>
                <w:color w:val="auto"/>
                <w:sz w:val="20"/>
                <w:szCs w:val="20"/>
              </w:rPr>
              <w:t>Fuente</w:t>
            </w:r>
          </w:p>
        </w:tc>
        <w:tc>
          <w:tcPr>
            <w:tcW w:w="568" w:type="pct"/>
            <w:shd w:val="clear" w:color="auto" w:fill="A6A6A6" w:themeFill="background1" w:themeFillShade="A6"/>
          </w:tcPr>
          <w:p w14:paraId="7C9FAF40" w14:textId="00DEABBA" w:rsidR="00E64229" w:rsidRPr="000140F1" w:rsidRDefault="00E64229" w:rsidP="000140F1">
            <w:pPr>
              <w:spacing w:after="0" w:line="240" w:lineRule="auto"/>
              <w:jc w:val="center"/>
              <w:rPr>
                <w:rFonts w:ascii="Futura Std Condensed Light" w:eastAsia="Calibri" w:hAnsi="Futura Std Condensed Light" w:cs="Calibri"/>
                <w:color w:val="auto"/>
                <w:sz w:val="20"/>
                <w:szCs w:val="20"/>
              </w:rPr>
            </w:pPr>
            <w:r>
              <w:rPr>
                <w:rFonts w:ascii="Futura Std Condensed Light" w:eastAsia="Calibri" w:hAnsi="Futura Std Condensed Light" w:cs="Calibri"/>
                <w:color w:val="auto"/>
                <w:sz w:val="20"/>
                <w:szCs w:val="20"/>
              </w:rPr>
              <w:t>Periodicidad</w:t>
            </w:r>
          </w:p>
        </w:tc>
        <w:tc>
          <w:tcPr>
            <w:tcW w:w="568" w:type="pct"/>
            <w:shd w:val="clear" w:color="auto" w:fill="A6A6A6" w:themeFill="background1" w:themeFillShade="A6"/>
            <w:hideMark/>
          </w:tcPr>
          <w:p w14:paraId="5E5CC66A" w14:textId="182C7560" w:rsidR="00E64229" w:rsidRPr="000140F1" w:rsidRDefault="00E64229" w:rsidP="000140F1">
            <w:pPr>
              <w:spacing w:after="0" w:line="240" w:lineRule="auto"/>
              <w:jc w:val="center"/>
              <w:rPr>
                <w:rFonts w:ascii="Futura Std Condensed Light" w:eastAsia="Calibri" w:hAnsi="Futura Std Condensed Light" w:cs="Calibri"/>
                <w:color w:val="auto"/>
                <w:sz w:val="20"/>
                <w:szCs w:val="20"/>
              </w:rPr>
            </w:pPr>
            <w:r w:rsidRPr="000140F1">
              <w:rPr>
                <w:rFonts w:ascii="Futura Std Condensed Light" w:eastAsia="Calibri" w:hAnsi="Futura Std Condensed Light" w:cs="Calibri"/>
                <w:color w:val="auto"/>
                <w:sz w:val="20"/>
                <w:szCs w:val="20"/>
              </w:rPr>
              <w:t>Unidad de Medida</w:t>
            </w:r>
          </w:p>
        </w:tc>
        <w:tc>
          <w:tcPr>
            <w:tcW w:w="362" w:type="pct"/>
            <w:shd w:val="clear" w:color="auto" w:fill="A6A6A6" w:themeFill="background1" w:themeFillShade="A6"/>
            <w:hideMark/>
          </w:tcPr>
          <w:p w14:paraId="2834BB6F" w14:textId="77777777" w:rsidR="00E64229" w:rsidRPr="000140F1" w:rsidRDefault="00E64229" w:rsidP="000140F1">
            <w:pPr>
              <w:spacing w:after="0" w:line="240" w:lineRule="auto"/>
              <w:jc w:val="center"/>
              <w:rPr>
                <w:rFonts w:ascii="Futura Std Condensed Light" w:eastAsia="Calibri" w:hAnsi="Futura Std Condensed Light" w:cs="Calibri"/>
                <w:color w:val="auto"/>
                <w:sz w:val="20"/>
                <w:szCs w:val="20"/>
              </w:rPr>
            </w:pPr>
            <w:r w:rsidRPr="000140F1">
              <w:rPr>
                <w:rFonts w:ascii="Futura Std Condensed Light" w:eastAsia="Calibri" w:hAnsi="Futura Std Condensed Light" w:cs="Calibri"/>
                <w:color w:val="auto"/>
                <w:sz w:val="20"/>
                <w:szCs w:val="20"/>
              </w:rPr>
              <w:t>Línea Base</w:t>
            </w:r>
          </w:p>
        </w:tc>
        <w:tc>
          <w:tcPr>
            <w:tcW w:w="384" w:type="pct"/>
            <w:shd w:val="clear" w:color="auto" w:fill="A6A6A6" w:themeFill="background1" w:themeFillShade="A6"/>
            <w:hideMark/>
          </w:tcPr>
          <w:p w14:paraId="0A074C85" w14:textId="77777777" w:rsidR="00E64229" w:rsidRPr="000140F1" w:rsidRDefault="00E64229" w:rsidP="000140F1">
            <w:pPr>
              <w:spacing w:after="0" w:line="240" w:lineRule="auto"/>
              <w:jc w:val="center"/>
              <w:rPr>
                <w:rFonts w:ascii="Futura Std Condensed Light" w:eastAsia="Calibri" w:hAnsi="Futura Std Condensed Light" w:cs="Calibri"/>
                <w:color w:val="auto"/>
                <w:sz w:val="20"/>
                <w:szCs w:val="20"/>
              </w:rPr>
            </w:pPr>
            <w:r w:rsidRPr="000140F1">
              <w:rPr>
                <w:rFonts w:ascii="Futura Std Condensed Light" w:eastAsia="Calibri" w:hAnsi="Futura Std Condensed Light" w:cs="Calibri"/>
                <w:color w:val="auto"/>
                <w:sz w:val="20"/>
                <w:szCs w:val="20"/>
              </w:rPr>
              <w:t>2017</w:t>
            </w:r>
          </w:p>
        </w:tc>
        <w:tc>
          <w:tcPr>
            <w:tcW w:w="384" w:type="pct"/>
            <w:shd w:val="clear" w:color="auto" w:fill="A6A6A6" w:themeFill="background1" w:themeFillShade="A6"/>
            <w:hideMark/>
          </w:tcPr>
          <w:p w14:paraId="550F50D3" w14:textId="77777777" w:rsidR="00E64229" w:rsidRPr="000140F1" w:rsidRDefault="00E64229" w:rsidP="000140F1">
            <w:pPr>
              <w:spacing w:after="0" w:line="240" w:lineRule="auto"/>
              <w:jc w:val="center"/>
              <w:rPr>
                <w:rFonts w:ascii="Futura Std Condensed Light" w:eastAsia="Calibri" w:hAnsi="Futura Std Condensed Light" w:cs="Calibri"/>
                <w:color w:val="auto"/>
                <w:sz w:val="20"/>
                <w:szCs w:val="20"/>
              </w:rPr>
            </w:pPr>
            <w:r w:rsidRPr="000140F1">
              <w:rPr>
                <w:rFonts w:ascii="Futura Std Condensed Light" w:eastAsia="Calibri" w:hAnsi="Futura Std Condensed Light" w:cs="Calibri"/>
                <w:color w:val="auto"/>
                <w:sz w:val="20"/>
                <w:szCs w:val="20"/>
              </w:rPr>
              <w:t>2018</w:t>
            </w:r>
          </w:p>
        </w:tc>
        <w:tc>
          <w:tcPr>
            <w:tcW w:w="384" w:type="pct"/>
            <w:shd w:val="clear" w:color="auto" w:fill="A6A6A6" w:themeFill="background1" w:themeFillShade="A6"/>
            <w:hideMark/>
          </w:tcPr>
          <w:p w14:paraId="479C8592" w14:textId="77777777" w:rsidR="00E64229" w:rsidRPr="000140F1" w:rsidRDefault="00E64229" w:rsidP="000140F1">
            <w:pPr>
              <w:spacing w:after="0" w:line="240" w:lineRule="auto"/>
              <w:jc w:val="center"/>
              <w:rPr>
                <w:rFonts w:ascii="Futura Std Condensed Light" w:eastAsia="Calibri" w:hAnsi="Futura Std Condensed Light" w:cs="Calibri"/>
                <w:color w:val="auto"/>
                <w:sz w:val="20"/>
                <w:szCs w:val="20"/>
              </w:rPr>
            </w:pPr>
            <w:r w:rsidRPr="000140F1">
              <w:rPr>
                <w:rFonts w:ascii="Futura Std Condensed Light" w:eastAsia="Calibri" w:hAnsi="Futura Std Condensed Light" w:cs="Calibri"/>
                <w:color w:val="auto"/>
                <w:sz w:val="20"/>
                <w:szCs w:val="20"/>
              </w:rPr>
              <w:t>2019</w:t>
            </w:r>
          </w:p>
        </w:tc>
        <w:tc>
          <w:tcPr>
            <w:tcW w:w="384" w:type="pct"/>
            <w:shd w:val="clear" w:color="auto" w:fill="A6A6A6" w:themeFill="background1" w:themeFillShade="A6"/>
            <w:hideMark/>
          </w:tcPr>
          <w:p w14:paraId="5ABD007D" w14:textId="77777777" w:rsidR="00E64229" w:rsidRPr="000140F1" w:rsidRDefault="00E64229" w:rsidP="000140F1">
            <w:pPr>
              <w:spacing w:after="0" w:line="240" w:lineRule="auto"/>
              <w:jc w:val="center"/>
              <w:rPr>
                <w:rFonts w:ascii="Futura Std Condensed Light" w:eastAsia="Calibri" w:hAnsi="Futura Std Condensed Light" w:cs="Calibri"/>
                <w:color w:val="auto"/>
                <w:sz w:val="20"/>
                <w:szCs w:val="20"/>
              </w:rPr>
            </w:pPr>
            <w:r w:rsidRPr="000140F1">
              <w:rPr>
                <w:rFonts w:ascii="Futura Std Condensed Light" w:eastAsia="Calibri" w:hAnsi="Futura Std Condensed Light" w:cs="Calibri"/>
                <w:color w:val="auto"/>
                <w:sz w:val="20"/>
                <w:szCs w:val="20"/>
              </w:rPr>
              <w:t>2020</w:t>
            </w:r>
          </w:p>
        </w:tc>
        <w:tc>
          <w:tcPr>
            <w:tcW w:w="384" w:type="pct"/>
            <w:shd w:val="clear" w:color="auto" w:fill="A6A6A6" w:themeFill="background1" w:themeFillShade="A6"/>
            <w:hideMark/>
          </w:tcPr>
          <w:p w14:paraId="1FC89C12" w14:textId="77777777" w:rsidR="00E64229" w:rsidRPr="000140F1" w:rsidRDefault="00E64229" w:rsidP="000140F1">
            <w:pPr>
              <w:spacing w:after="0" w:line="240" w:lineRule="auto"/>
              <w:jc w:val="center"/>
              <w:rPr>
                <w:rFonts w:ascii="Futura Std Condensed Light" w:eastAsia="Calibri" w:hAnsi="Futura Std Condensed Light" w:cs="Calibri"/>
                <w:color w:val="auto"/>
                <w:sz w:val="20"/>
                <w:szCs w:val="20"/>
              </w:rPr>
            </w:pPr>
            <w:r w:rsidRPr="000140F1">
              <w:rPr>
                <w:rFonts w:ascii="Futura Std Condensed Light" w:eastAsia="Calibri" w:hAnsi="Futura Std Condensed Light" w:cs="Calibri"/>
                <w:color w:val="auto"/>
                <w:sz w:val="20"/>
                <w:szCs w:val="20"/>
              </w:rPr>
              <w:t>2021</w:t>
            </w:r>
          </w:p>
        </w:tc>
        <w:tc>
          <w:tcPr>
            <w:tcW w:w="384" w:type="pct"/>
            <w:shd w:val="clear" w:color="auto" w:fill="A6A6A6" w:themeFill="background1" w:themeFillShade="A6"/>
            <w:hideMark/>
          </w:tcPr>
          <w:p w14:paraId="6E181E27" w14:textId="77777777" w:rsidR="00E64229" w:rsidRPr="000140F1" w:rsidRDefault="00E64229" w:rsidP="000140F1">
            <w:pPr>
              <w:spacing w:after="0" w:line="240" w:lineRule="auto"/>
              <w:jc w:val="center"/>
              <w:rPr>
                <w:rFonts w:ascii="Futura Std Condensed Light" w:eastAsia="Calibri" w:hAnsi="Futura Std Condensed Light" w:cs="Calibri"/>
                <w:color w:val="auto"/>
                <w:sz w:val="20"/>
                <w:szCs w:val="20"/>
              </w:rPr>
            </w:pPr>
            <w:r w:rsidRPr="000140F1">
              <w:rPr>
                <w:rFonts w:ascii="Futura Std Condensed Light" w:eastAsia="Calibri" w:hAnsi="Futura Std Condensed Light" w:cs="Calibri"/>
                <w:color w:val="auto"/>
                <w:sz w:val="20"/>
                <w:szCs w:val="20"/>
              </w:rPr>
              <w:t>2022</w:t>
            </w:r>
          </w:p>
        </w:tc>
      </w:tr>
      <w:tr w:rsidR="00E64229" w:rsidRPr="00591F2A" w14:paraId="17ED016D" w14:textId="77777777" w:rsidTr="00E64229">
        <w:trPr>
          <w:trHeight w:val="1281"/>
        </w:trPr>
        <w:tc>
          <w:tcPr>
            <w:tcW w:w="571" w:type="pct"/>
            <w:hideMark/>
          </w:tcPr>
          <w:p w14:paraId="5992A84D" w14:textId="77777777" w:rsidR="00E64229" w:rsidRPr="00591F2A" w:rsidRDefault="00E64229" w:rsidP="009E3B2F">
            <w:pPr>
              <w:spacing w:after="0" w:line="240" w:lineRule="auto"/>
              <w:jc w:val="left"/>
              <w:rPr>
                <w:rFonts w:ascii="Futura Std Condensed Light" w:eastAsia="Calibri" w:hAnsi="Futura Std Condensed Light" w:cs="Calibri"/>
                <w:sz w:val="20"/>
                <w:szCs w:val="20"/>
              </w:rPr>
            </w:pPr>
            <w:r w:rsidRPr="00591F2A">
              <w:rPr>
                <w:rFonts w:ascii="Futura Std Condensed Light" w:eastAsia="Calibri" w:hAnsi="Futura Std Condensed Light" w:cs="Calibri"/>
                <w:sz w:val="20"/>
                <w:szCs w:val="20"/>
              </w:rPr>
              <w:t>Tasa de cobertura estatal de educación básica.</w:t>
            </w:r>
          </w:p>
        </w:tc>
        <w:tc>
          <w:tcPr>
            <w:tcW w:w="625" w:type="pct"/>
            <w:hideMark/>
          </w:tcPr>
          <w:p w14:paraId="6A4F7686" w14:textId="77777777" w:rsidR="00E64229" w:rsidRPr="00591F2A" w:rsidRDefault="00E64229" w:rsidP="009E3B2F">
            <w:pPr>
              <w:spacing w:after="0" w:line="240" w:lineRule="auto"/>
              <w:jc w:val="left"/>
              <w:rPr>
                <w:rFonts w:ascii="Futura Std Condensed Light" w:eastAsia="Calibri" w:hAnsi="Futura Std Condensed Light" w:cs="Calibri"/>
                <w:sz w:val="20"/>
                <w:szCs w:val="20"/>
              </w:rPr>
            </w:pPr>
            <w:r w:rsidRPr="00591F2A">
              <w:rPr>
                <w:rFonts w:ascii="Futura Std Condensed Light" w:eastAsia="Calibri" w:hAnsi="Futura Std Condensed Light" w:cs="Calibri"/>
                <w:sz w:val="20"/>
                <w:szCs w:val="20"/>
              </w:rPr>
              <w:t>Sistema Nacional de Indicadores Educativos. SEP</w:t>
            </w:r>
          </w:p>
        </w:tc>
        <w:tc>
          <w:tcPr>
            <w:tcW w:w="568" w:type="pct"/>
          </w:tcPr>
          <w:p w14:paraId="19C3C7BD" w14:textId="05BC9D68" w:rsidR="00E64229" w:rsidRPr="00591F2A" w:rsidRDefault="00E64229" w:rsidP="00E64229">
            <w:pPr>
              <w:spacing w:after="0" w:line="240" w:lineRule="auto"/>
              <w:jc w:val="center"/>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Anual</w:t>
            </w:r>
          </w:p>
        </w:tc>
        <w:tc>
          <w:tcPr>
            <w:tcW w:w="568" w:type="pct"/>
            <w:hideMark/>
          </w:tcPr>
          <w:p w14:paraId="0582E9BF" w14:textId="1513201D" w:rsidR="00E64229" w:rsidRPr="00591F2A" w:rsidRDefault="00E64229" w:rsidP="009E3B2F">
            <w:pPr>
              <w:spacing w:after="0" w:line="240" w:lineRule="auto"/>
              <w:jc w:val="left"/>
              <w:rPr>
                <w:rFonts w:ascii="Futura Std Condensed Light" w:eastAsia="Calibri" w:hAnsi="Futura Std Condensed Light" w:cs="Calibri"/>
                <w:sz w:val="20"/>
                <w:szCs w:val="20"/>
              </w:rPr>
            </w:pPr>
            <w:r w:rsidRPr="00591F2A">
              <w:rPr>
                <w:rFonts w:ascii="Futura Std Condensed Light" w:eastAsia="Calibri" w:hAnsi="Futura Std Condensed Light" w:cs="Calibri"/>
                <w:sz w:val="20"/>
                <w:szCs w:val="20"/>
              </w:rPr>
              <w:t>Porcentaje</w:t>
            </w:r>
          </w:p>
        </w:tc>
        <w:tc>
          <w:tcPr>
            <w:tcW w:w="362" w:type="pct"/>
            <w:hideMark/>
          </w:tcPr>
          <w:p w14:paraId="0A4DE98E" w14:textId="77777777" w:rsidR="00E64229" w:rsidRPr="00591F2A" w:rsidRDefault="00E64229" w:rsidP="009E3B2F">
            <w:pPr>
              <w:spacing w:after="0" w:line="240" w:lineRule="auto"/>
              <w:jc w:val="left"/>
              <w:rPr>
                <w:rFonts w:ascii="Futura Std Condensed Light" w:eastAsia="Calibri" w:hAnsi="Futura Std Condensed Light" w:cs="Calibri"/>
                <w:sz w:val="20"/>
                <w:szCs w:val="20"/>
              </w:rPr>
            </w:pPr>
            <w:r w:rsidRPr="00591F2A">
              <w:rPr>
                <w:rFonts w:ascii="Futura Std Condensed Light" w:eastAsia="Calibri" w:hAnsi="Futura Std Condensed Light" w:cs="Calibri"/>
                <w:sz w:val="20"/>
                <w:szCs w:val="20"/>
              </w:rPr>
              <w:t>95.15</w:t>
            </w:r>
          </w:p>
        </w:tc>
        <w:tc>
          <w:tcPr>
            <w:tcW w:w="384" w:type="pct"/>
            <w:hideMark/>
          </w:tcPr>
          <w:p w14:paraId="6A05A3A8" w14:textId="77777777" w:rsidR="00E64229" w:rsidRPr="00591F2A" w:rsidRDefault="00E64229" w:rsidP="009E3B2F">
            <w:pPr>
              <w:spacing w:after="0" w:line="240" w:lineRule="auto"/>
              <w:jc w:val="left"/>
              <w:rPr>
                <w:rFonts w:ascii="Futura Std Condensed Light" w:eastAsia="Calibri" w:hAnsi="Futura Std Condensed Light" w:cs="Calibri"/>
                <w:sz w:val="20"/>
                <w:szCs w:val="20"/>
              </w:rPr>
            </w:pPr>
            <w:r w:rsidRPr="00591F2A">
              <w:rPr>
                <w:rFonts w:ascii="Futura Std Condensed Light" w:eastAsia="Calibri" w:hAnsi="Futura Std Condensed Light" w:cs="Calibri"/>
                <w:sz w:val="20"/>
                <w:szCs w:val="20"/>
              </w:rPr>
              <w:t>95.54</w:t>
            </w:r>
          </w:p>
        </w:tc>
        <w:tc>
          <w:tcPr>
            <w:tcW w:w="384" w:type="pct"/>
            <w:hideMark/>
          </w:tcPr>
          <w:p w14:paraId="75645146" w14:textId="77777777" w:rsidR="00E64229" w:rsidRPr="00591F2A" w:rsidRDefault="00E64229" w:rsidP="009E3B2F">
            <w:pPr>
              <w:spacing w:after="0" w:line="240" w:lineRule="auto"/>
              <w:jc w:val="left"/>
              <w:rPr>
                <w:rFonts w:ascii="Futura Std Condensed Light" w:eastAsia="Calibri" w:hAnsi="Futura Std Condensed Light" w:cs="Calibri"/>
                <w:sz w:val="20"/>
                <w:szCs w:val="20"/>
              </w:rPr>
            </w:pPr>
            <w:r w:rsidRPr="00591F2A">
              <w:rPr>
                <w:rFonts w:ascii="Futura Std Condensed Light" w:eastAsia="Calibri" w:hAnsi="Futura Std Condensed Light" w:cs="Calibri"/>
                <w:sz w:val="20"/>
                <w:szCs w:val="20"/>
              </w:rPr>
              <w:t>96.48</w:t>
            </w:r>
          </w:p>
        </w:tc>
        <w:tc>
          <w:tcPr>
            <w:tcW w:w="384" w:type="pct"/>
            <w:hideMark/>
          </w:tcPr>
          <w:p w14:paraId="248EE431" w14:textId="77777777" w:rsidR="00E64229" w:rsidRPr="00591F2A" w:rsidRDefault="00E64229" w:rsidP="009E3B2F">
            <w:pPr>
              <w:spacing w:after="0" w:line="240" w:lineRule="auto"/>
              <w:jc w:val="left"/>
              <w:rPr>
                <w:rFonts w:ascii="Futura Std Condensed Light" w:eastAsia="Calibri" w:hAnsi="Futura Std Condensed Light" w:cs="Calibri"/>
                <w:sz w:val="20"/>
                <w:szCs w:val="20"/>
              </w:rPr>
            </w:pPr>
            <w:r w:rsidRPr="00591F2A">
              <w:rPr>
                <w:rFonts w:ascii="Futura Std Condensed Light" w:eastAsia="Calibri" w:hAnsi="Futura Std Condensed Light" w:cs="Calibri"/>
                <w:sz w:val="20"/>
                <w:szCs w:val="20"/>
              </w:rPr>
              <w:t>97.05</w:t>
            </w:r>
          </w:p>
        </w:tc>
        <w:tc>
          <w:tcPr>
            <w:tcW w:w="384" w:type="pct"/>
            <w:hideMark/>
          </w:tcPr>
          <w:p w14:paraId="18D4E5B9" w14:textId="77777777" w:rsidR="00E64229" w:rsidRPr="00591F2A" w:rsidRDefault="00E64229" w:rsidP="009E3B2F">
            <w:pPr>
              <w:spacing w:after="0" w:line="240" w:lineRule="auto"/>
              <w:jc w:val="left"/>
              <w:rPr>
                <w:rFonts w:ascii="Futura Std Condensed Light" w:eastAsia="Calibri" w:hAnsi="Futura Std Condensed Light" w:cs="Calibri"/>
                <w:sz w:val="20"/>
                <w:szCs w:val="20"/>
              </w:rPr>
            </w:pPr>
            <w:r w:rsidRPr="00591F2A">
              <w:rPr>
                <w:rFonts w:ascii="Futura Std Condensed Light" w:eastAsia="Calibri" w:hAnsi="Futura Std Condensed Light" w:cs="Calibri"/>
                <w:sz w:val="20"/>
                <w:szCs w:val="20"/>
              </w:rPr>
              <w:t>97.62</w:t>
            </w:r>
          </w:p>
        </w:tc>
        <w:tc>
          <w:tcPr>
            <w:tcW w:w="384" w:type="pct"/>
            <w:hideMark/>
          </w:tcPr>
          <w:p w14:paraId="3A7DAD58" w14:textId="77777777" w:rsidR="00E64229" w:rsidRPr="00591F2A" w:rsidRDefault="00E64229" w:rsidP="009E3B2F">
            <w:pPr>
              <w:spacing w:after="0" w:line="240" w:lineRule="auto"/>
              <w:jc w:val="left"/>
              <w:rPr>
                <w:rFonts w:ascii="Futura Std Condensed Light" w:eastAsia="Calibri" w:hAnsi="Futura Std Condensed Light" w:cs="Calibri"/>
                <w:sz w:val="20"/>
                <w:szCs w:val="20"/>
              </w:rPr>
            </w:pPr>
            <w:r w:rsidRPr="00591F2A">
              <w:rPr>
                <w:rFonts w:ascii="Futura Std Condensed Light" w:eastAsia="Calibri" w:hAnsi="Futura Std Condensed Light" w:cs="Calibri"/>
                <w:sz w:val="20"/>
                <w:szCs w:val="20"/>
              </w:rPr>
              <w:t>98.44</w:t>
            </w:r>
          </w:p>
        </w:tc>
        <w:tc>
          <w:tcPr>
            <w:tcW w:w="384" w:type="pct"/>
            <w:hideMark/>
          </w:tcPr>
          <w:p w14:paraId="026FD939" w14:textId="77777777" w:rsidR="00E64229" w:rsidRPr="00591F2A" w:rsidRDefault="00E64229" w:rsidP="009E3B2F">
            <w:pPr>
              <w:spacing w:after="0" w:line="240" w:lineRule="auto"/>
              <w:jc w:val="left"/>
              <w:rPr>
                <w:rFonts w:ascii="Futura Std Condensed Light" w:eastAsia="Calibri" w:hAnsi="Futura Std Condensed Light" w:cs="Calibri"/>
                <w:sz w:val="20"/>
                <w:szCs w:val="20"/>
              </w:rPr>
            </w:pPr>
            <w:r w:rsidRPr="00591F2A">
              <w:rPr>
                <w:rFonts w:ascii="Futura Std Condensed Light" w:eastAsia="Calibri" w:hAnsi="Futura Std Condensed Light" w:cs="Calibri"/>
                <w:sz w:val="20"/>
                <w:szCs w:val="20"/>
              </w:rPr>
              <w:t>99.29</w:t>
            </w:r>
          </w:p>
        </w:tc>
      </w:tr>
    </w:tbl>
    <w:p w14:paraId="14135F26" w14:textId="36DA27B1" w:rsidR="00B43BCA" w:rsidRDefault="0021177B" w:rsidP="0021177B">
      <w:pPr>
        <w:spacing w:after="0" w:line="240" w:lineRule="auto"/>
        <w:jc w:val="left"/>
        <w:rPr>
          <w:rFonts w:ascii="Futura Std Condensed Light" w:eastAsia="Calibri" w:hAnsi="Futura Std Condensed Light" w:cs="Calibri"/>
          <w:sz w:val="20"/>
          <w:szCs w:val="20"/>
        </w:rPr>
      </w:pPr>
      <w:r w:rsidRPr="00591F2A">
        <w:rPr>
          <w:rFonts w:ascii="Futura Std Condensed Light" w:eastAsia="Calibri" w:hAnsi="Futura Std Condensed Light" w:cs="Calibri"/>
          <w:sz w:val="16"/>
          <w:szCs w:val="16"/>
        </w:rPr>
        <w:t>Fuente: Elaboración Propia. Dirección de Planeación. Secretaría de Educación de Quintana Roo</w:t>
      </w:r>
      <w:r w:rsidRPr="00591F2A">
        <w:rPr>
          <w:rFonts w:ascii="Futura Std Condensed Light" w:eastAsia="Calibri" w:hAnsi="Futura Std Condensed Light" w:cs="Calibri"/>
          <w:sz w:val="20"/>
          <w:szCs w:val="20"/>
        </w:rPr>
        <w:t xml:space="preserve">. </w:t>
      </w:r>
    </w:p>
    <w:p w14:paraId="6A317BA1" w14:textId="49D01619" w:rsidR="007D490C" w:rsidRDefault="007D490C" w:rsidP="0021177B">
      <w:pPr>
        <w:spacing w:after="0" w:line="240" w:lineRule="auto"/>
        <w:jc w:val="left"/>
        <w:rPr>
          <w:rFonts w:ascii="Futura Std Condensed Light" w:eastAsia="Calibri" w:hAnsi="Futura Std Condensed Light" w:cs="Calibri"/>
          <w:sz w:val="20"/>
          <w:szCs w:val="20"/>
        </w:rPr>
      </w:pPr>
    </w:p>
    <w:p w14:paraId="7E548BD5" w14:textId="77777777" w:rsidR="0021177B" w:rsidRPr="00425D2A" w:rsidRDefault="0021177B" w:rsidP="0021177B">
      <w:pPr>
        <w:spacing w:after="0" w:line="240" w:lineRule="auto"/>
        <w:jc w:val="left"/>
        <w:rPr>
          <w:rFonts w:ascii="Futura Std Condensed Light" w:eastAsia="Calibri" w:hAnsi="Futura Std Condensed Light" w:cs="Calibri"/>
          <w:b/>
          <w:szCs w:val="20"/>
        </w:rPr>
      </w:pPr>
      <w:r w:rsidRPr="00425D2A">
        <w:rPr>
          <w:rFonts w:ascii="Futura Std Condensed Light" w:eastAsia="Calibri" w:hAnsi="Futura Std Condensed Light" w:cs="Calibri"/>
          <w:b/>
          <w:szCs w:val="20"/>
        </w:rPr>
        <w:t>Tasa de cobertura estatal en Educación Media Superior.</w:t>
      </w:r>
    </w:p>
    <w:p w14:paraId="0C855AED" w14:textId="77777777" w:rsidR="0021177B" w:rsidRPr="00591F2A" w:rsidRDefault="0021177B" w:rsidP="0021177B">
      <w:pPr>
        <w:spacing w:after="0" w:line="240" w:lineRule="auto"/>
        <w:jc w:val="left"/>
        <w:rPr>
          <w:rFonts w:ascii="Futura Std Condensed Light" w:eastAsia="Calibri" w:hAnsi="Futura Std Condensed Light" w:cs="Calibri"/>
          <w:sz w:val="20"/>
          <w:szCs w:val="20"/>
        </w:rPr>
      </w:pPr>
    </w:p>
    <w:tbl>
      <w:tblPr>
        <w:tblStyle w:val="Tablaconcuadrcula"/>
        <w:tblW w:w="5000" w:type="pct"/>
        <w:tblLook w:val="0420" w:firstRow="1" w:lastRow="0" w:firstColumn="0" w:lastColumn="0" w:noHBand="0" w:noVBand="1"/>
      </w:tblPr>
      <w:tblGrid>
        <w:gridCol w:w="1176"/>
        <w:gridCol w:w="1238"/>
        <w:gridCol w:w="1318"/>
        <w:gridCol w:w="1165"/>
        <w:gridCol w:w="680"/>
        <w:gridCol w:w="660"/>
        <w:gridCol w:w="660"/>
        <w:gridCol w:w="660"/>
        <w:gridCol w:w="660"/>
        <w:gridCol w:w="660"/>
        <w:gridCol w:w="660"/>
      </w:tblGrid>
      <w:tr w:rsidR="00E64229" w:rsidRPr="0086391F" w14:paraId="33913A83" w14:textId="77777777" w:rsidTr="00E64229">
        <w:trPr>
          <w:trHeight w:val="551"/>
        </w:trPr>
        <w:tc>
          <w:tcPr>
            <w:tcW w:w="566" w:type="pct"/>
            <w:shd w:val="clear" w:color="auto" w:fill="A6A6A6" w:themeFill="background1" w:themeFillShade="A6"/>
            <w:hideMark/>
          </w:tcPr>
          <w:p w14:paraId="72FDE2FA" w14:textId="77777777" w:rsidR="00E64229" w:rsidRPr="000140F1" w:rsidRDefault="00E64229" w:rsidP="009E3B2F">
            <w:pPr>
              <w:spacing w:after="0" w:line="240" w:lineRule="auto"/>
              <w:jc w:val="center"/>
              <w:rPr>
                <w:rFonts w:ascii="Futura Std Condensed Light" w:eastAsia="Calibri" w:hAnsi="Futura Std Condensed Light" w:cs="Calibri"/>
                <w:color w:val="auto"/>
                <w:sz w:val="20"/>
                <w:szCs w:val="20"/>
              </w:rPr>
            </w:pPr>
            <w:r w:rsidRPr="000140F1">
              <w:rPr>
                <w:rFonts w:ascii="Futura Std Condensed Light" w:eastAsia="Calibri" w:hAnsi="Futura Std Condensed Light" w:cs="Calibri"/>
                <w:color w:val="auto"/>
                <w:sz w:val="20"/>
                <w:szCs w:val="20"/>
              </w:rPr>
              <w:t>Indicador PED</w:t>
            </w:r>
          </w:p>
        </w:tc>
        <w:tc>
          <w:tcPr>
            <w:tcW w:w="621" w:type="pct"/>
            <w:shd w:val="clear" w:color="auto" w:fill="A6A6A6" w:themeFill="background1" w:themeFillShade="A6"/>
            <w:hideMark/>
          </w:tcPr>
          <w:p w14:paraId="10F98975" w14:textId="77777777" w:rsidR="00E64229" w:rsidRPr="000140F1" w:rsidRDefault="00E64229" w:rsidP="009E3B2F">
            <w:pPr>
              <w:spacing w:after="0" w:line="240" w:lineRule="auto"/>
              <w:jc w:val="center"/>
              <w:rPr>
                <w:rFonts w:ascii="Futura Std Condensed Light" w:eastAsia="Calibri" w:hAnsi="Futura Std Condensed Light" w:cs="Calibri"/>
                <w:color w:val="auto"/>
                <w:sz w:val="20"/>
                <w:szCs w:val="20"/>
              </w:rPr>
            </w:pPr>
            <w:r w:rsidRPr="000140F1">
              <w:rPr>
                <w:rFonts w:ascii="Futura Std Condensed Light" w:eastAsia="Calibri" w:hAnsi="Futura Std Condensed Light" w:cs="Calibri"/>
                <w:color w:val="auto"/>
                <w:sz w:val="20"/>
                <w:szCs w:val="20"/>
              </w:rPr>
              <w:t>Fuente</w:t>
            </w:r>
          </w:p>
        </w:tc>
        <w:tc>
          <w:tcPr>
            <w:tcW w:w="586" w:type="pct"/>
            <w:shd w:val="clear" w:color="auto" w:fill="A6A6A6" w:themeFill="background1" w:themeFillShade="A6"/>
          </w:tcPr>
          <w:p w14:paraId="24B379FF" w14:textId="3E567194" w:rsidR="00E64229" w:rsidRPr="000140F1" w:rsidRDefault="00E64229" w:rsidP="009E3B2F">
            <w:pPr>
              <w:spacing w:after="0" w:line="240" w:lineRule="auto"/>
              <w:jc w:val="center"/>
              <w:rPr>
                <w:rFonts w:ascii="Futura Std Condensed Light" w:eastAsia="Calibri" w:hAnsi="Futura Std Condensed Light" w:cs="Calibri"/>
                <w:color w:val="auto"/>
                <w:sz w:val="20"/>
                <w:szCs w:val="20"/>
              </w:rPr>
            </w:pPr>
            <w:r>
              <w:rPr>
                <w:rFonts w:ascii="Futura Std Condensed Light" w:eastAsia="Calibri" w:hAnsi="Futura Std Condensed Light" w:cs="Calibri"/>
                <w:color w:val="auto"/>
                <w:sz w:val="20"/>
                <w:szCs w:val="20"/>
              </w:rPr>
              <w:t>Periodicidad</w:t>
            </w:r>
          </w:p>
        </w:tc>
        <w:tc>
          <w:tcPr>
            <w:tcW w:w="586" w:type="pct"/>
            <w:shd w:val="clear" w:color="auto" w:fill="A6A6A6" w:themeFill="background1" w:themeFillShade="A6"/>
            <w:hideMark/>
          </w:tcPr>
          <w:p w14:paraId="501B1210" w14:textId="68050C3D" w:rsidR="00E64229" w:rsidRPr="000140F1" w:rsidRDefault="00E64229" w:rsidP="009E3B2F">
            <w:pPr>
              <w:spacing w:after="0" w:line="240" w:lineRule="auto"/>
              <w:jc w:val="center"/>
              <w:rPr>
                <w:rFonts w:ascii="Futura Std Condensed Light" w:eastAsia="Calibri" w:hAnsi="Futura Std Condensed Light" w:cs="Calibri"/>
                <w:color w:val="auto"/>
                <w:sz w:val="20"/>
                <w:szCs w:val="20"/>
              </w:rPr>
            </w:pPr>
            <w:r w:rsidRPr="000140F1">
              <w:rPr>
                <w:rFonts w:ascii="Futura Std Condensed Light" w:eastAsia="Calibri" w:hAnsi="Futura Std Condensed Light" w:cs="Calibri"/>
                <w:color w:val="auto"/>
                <w:sz w:val="20"/>
                <w:szCs w:val="20"/>
              </w:rPr>
              <w:t xml:space="preserve">Unidad de Medida </w:t>
            </w:r>
          </w:p>
        </w:tc>
        <w:tc>
          <w:tcPr>
            <w:tcW w:w="388" w:type="pct"/>
            <w:shd w:val="clear" w:color="auto" w:fill="A6A6A6" w:themeFill="background1" w:themeFillShade="A6"/>
            <w:hideMark/>
          </w:tcPr>
          <w:p w14:paraId="3990D15F" w14:textId="77777777" w:rsidR="00E64229" w:rsidRPr="000140F1" w:rsidRDefault="00E64229" w:rsidP="009E3B2F">
            <w:pPr>
              <w:spacing w:after="0" w:line="240" w:lineRule="auto"/>
              <w:jc w:val="center"/>
              <w:rPr>
                <w:rFonts w:ascii="Futura Std Condensed Light" w:eastAsia="Calibri" w:hAnsi="Futura Std Condensed Light" w:cs="Calibri"/>
                <w:color w:val="auto"/>
                <w:sz w:val="20"/>
                <w:szCs w:val="20"/>
              </w:rPr>
            </w:pPr>
            <w:r w:rsidRPr="000140F1">
              <w:rPr>
                <w:rFonts w:ascii="Futura Std Condensed Light" w:eastAsia="Calibri" w:hAnsi="Futura Std Condensed Light" w:cs="Calibri"/>
                <w:color w:val="auto"/>
                <w:sz w:val="20"/>
                <w:szCs w:val="20"/>
              </w:rPr>
              <w:t>Línea Base</w:t>
            </w:r>
          </w:p>
        </w:tc>
        <w:tc>
          <w:tcPr>
            <w:tcW w:w="376" w:type="pct"/>
            <w:shd w:val="clear" w:color="auto" w:fill="A6A6A6" w:themeFill="background1" w:themeFillShade="A6"/>
            <w:hideMark/>
          </w:tcPr>
          <w:p w14:paraId="03BCF006" w14:textId="77777777" w:rsidR="00E64229" w:rsidRPr="000140F1" w:rsidRDefault="00E64229" w:rsidP="009E3B2F">
            <w:pPr>
              <w:spacing w:after="0" w:line="240" w:lineRule="auto"/>
              <w:jc w:val="center"/>
              <w:rPr>
                <w:rFonts w:ascii="Futura Std Condensed Light" w:eastAsia="Calibri" w:hAnsi="Futura Std Condensed Light" w:cs="Calibri"/>
                <w:color w:val="auto"/>
                <w:sz w:val="20"/>
                <w:szCs w:val="20"/>
              </w:rPr>
            </w:pPr>
            <w:r w:rsidRPr="000140F1">
              <w:rPr>
                <w:rFonts w:ascii="Futura Std Condensed Light" w:eastAsia="Calibri" w:hAnsi="Futura Std Condensed Light" w:cs="Calibri"/>
                <w:color w:val="auto"/>
                <w:sz w:val="20"/>
                <w:szCs w:val="20"/>
              </w:rPr>
              <w:t>2017</w:t>
            </w:r>
          </w:p>
        </w:tc>
        <w:tc>
          <w:tcPr>
            <w:tcW w:w="376" w:type="pct"/>
            <w:shd w:val="clear" w:color="auto" w:fill="A6A6A6" w:themeFill="background1" w:themeFillShade="A6"/>
            <w:hideMark/>
          </w:tcPr>
          <w:p w14:paraId="0250C6BD" w14:textId="77777777" w:rsidR="00E64229" w:rsidRPr="000140F1" w:rsidRDefault="00E64229" w:rsidP="009E3B2F">
            <w:pPr>
              <w:spacing w:after="0" w:line="240" w:lineRule="auto"/>
              <w:jc w:val="center"/>
              <w:rPr>
                <w:rFonts w:ascii="Futura Std Condensed Light" w:eastAsia="Calibri" w:hAnsi="Futura Std Condensed Light" w:cs="Calibri"/>
                <w:color w:val="auto"/>
                <w:sz w:val="20"/>
                <w:szCs w:val="20"/>
              </w:rPr>
            </w:pPr>
            <w:r w:rsidRPr="000140F1">
              <w:rPr>
                <w:rFonts w:ascii="Futura Std Condensed Light" w:eastAsia="Calibri" w:hAnsi="Futura Std Condensed Light" w:cs="Calibri"/>
                <w:color w:val="auto"/>
                <w:sz w:val="20"/>
                <w:szCs w:val="20"/>
              </w:rPr>
              <w:t>2018</w:t>
            </w:r>
          </w:p>
        </w:tc>
        <w:tc>
          <w:tcPr>
            <w:tcW w:w="376" w:type="pct"/>
            <w:shd w:val="clear" w:color="auto" w:fill="A6A6A6" w:themeFill="background1" w:themeFillShade="A6"/>
            <w:hideMark/>
          </w:tcPr>
          <w:p w14:paraId="6FE4E8BF" w14:textId="77777777" w:rsidR="00E64229" w:rsidRPr="000140F1" w:rsidRDefault="00E64229" w:rsidP="009E3B2F">
            <w:pPr>
              <w:spacing w:after="0" w:line="240" w:lineRule="auto"/>
              <w:jc w:val="center"/>
              <w:rPr>
                <w:rFonts w:ascii="Futura Std Condensed Light" w:eastAsia="Calibri" w:hAnsi="Futura Std Condensed Light" w:cs="Calibri"/>
                <w:color w:val="auto"/>
                <w:sz w:val="20"/>
                <w:szCs w:val="20"/>
              </w:rPr>
            </w:pPr>
            <w:r w:rsidRPr="000140F1">
              <w:rPr>
                <w:rFonts w:ascii="Futura Std Condensed Light" w:eastAsia="Calibri" w:hAnsi="Futura Std Condensed Light" w:cs="Calibri"/>
                <w:color w:val="auto"/>
                <w:sz w:val="20"/>
                <w:szCs w:val="20"/>
              </w:rPr>
              <w:t>2019</w:t>
            </w:r>
          </w:p>
        </w:tc>
        <w:tc>
          <w:tcPr>
            <w:tcW w:w="376" w:type="pct"/>
            <w:shd w:val="clear" w:color="auto" w:fill="A6A6A6" w:themeFill="background1" w:themeFillShade="A6"/>
            <w:hideMark/>
          </w:tcPr>
          <w:p w14:paraId="3BC1C80C" w14:textId="77777777" w:rsidR="00E64229" w:rsidRPr="000140F1" w:rsidRDefault="00E64229" w:rsidP="009E3B2F">
            <w:pPr>
              <w:spacing w:after="0" w:line="240" w:lineRule="auto"/>
              <w:jc w:val="center"/>
              <w:rPr>
                <w:rFonts w:ascii="Futura Std Condensed Light" w:eastAsia="Calibri" w:hAnsi="Futura Std Condensed Light" w:cs="Calibri"/>
                <w:color w:val="auto"/>
                <w:sz w:val="20"/>
                <w:szCs w:val="20"/>
              </w:rPr>
            </w:pPr>
            <w:r w:rsidRPr="000140F1">
              <w:rPr>
                <w:rFonts w:ascii="Futura Std Condensed Light" w:eastAsia="Calibri" w:hAnsi="Futura Std Condensed Light" w:cs="Calibri"/>
                <w:color w:val="auto"/>
                <w:sz w:val="20"/>
                <w:szCs w:val="20"/>
              </w:rPr>
              <w:t>2020</w:t>
            </w:r>
          </w:p>
        </w:tc>
        <w:tc>
          <w:tcPr>
            <w:tcW w:w="376" w:type="pct"/>
            <w:shd w:val="clear" w:color="auto" w:fill="A6A6A6" w:themeFill="background1" w:themeFillShade="A6"/>
            <w:hideMark/>
          </w:tcPr>
          <w:p w14:paraId="14244B0E" w14:textId="77777777" w:rsidR="00E64229" w:rsidRPr="000140F1" w:rsidRDefault="00E64229" w:rsidP="009E3B2F">
            <w:pPr>
              <w:spacing w:after="0" w:line="240" w:lineRule="auto"/>
              <w:jc w:val="center"/>
              <w:rPr>
                <w:rFonts w:ascii="Futura Std Condensed Light" w:eastAsia="Calibri" w:hAnsi="Futura Std Condensed Light" w:cs="Calibri"/>
                <w:color w:val="auto"/>
                <w:sz w:val="20"/>
                <w:szCs w:val="20"/>
              </w:rPr>
            </w:pPr>
            <w:r w:rsidRPr="000140F1">
              <w:rPr>
                <w:rFonts w:ascii="Futura Std Condensed Light" w:eastAsia="Calibri" w:hAnsi="Futura Std Condensed Light" w:cs="Calibri"/>
                <w:color w:val="auto"/>
                <w:sz w:val="20"/>
                <w:szCs w:val="20"/>
              </w:rPr>
              <w:t>2021</w:t>
            </w:r>
          </w:p>
        </w:tc>
        <w:tc>
          <w:tcPr>
            <w:tcW w:w="376" w:type="pct"/>
            <w:shd w:val="clear" w:color="auto" w:fill="A6A6A6" w:themeFill="background1" w:themeFillShade="A6"/>
            <w:hideMark/>
          </w:tcPr>
          <w:p w14:paraId="4F6011A1" w14:textId="77777777" w:rsidR="00E64229" w:rsidRPr="000140F1" w:rsidRDefault="00E64229" w:rsidP="009E3B2F">
            <w:pPr>
              <w:spacing w:after="0" w:line="240" w:lineRule="auto"/>
              <w:jc w:val="center"/>
              <w:rPr>
                <w:rFonts w:ascii="Futura Std Condensed Light" w:eastAsia="Calibri" w:hAnsi="Futura Std Condensed Light" w:cs="Calibri"/>
                <w:color w:val="auto"/>
                <w:sz w:val="20"/>
                <w:szCs w:val="20"/>
              </w:rPr>
            </w:pPr>
            <w:r w:rsidRPr="000140F1">
              <w:rPr>
                <w:rFonts w:ascii="Futura Std Condensed Light" w:eastAsia="Calibri" w:hAnsi="Futura Std Condensed Light" w:cs="Calibri"/>
                <w:color w:val="auto"/>
                <w:sz w:val="20"/>
                <w:szCs w:val="20"/>
              </w:rPr>
              <w:t>2022</w:t>
            </w:r>
          </w:p>
        </w:tc>
      </w:tr>
      <w:tr w:rsidR="00E64229" w:rsidRPr="00591F2A" w14:paraId="54E4CFB6" w14:textId="77777777" w:rsidTr="00E64229">
        <w:trPr>
          <w:trHeight w:val="584"/>
        </w:trPr>
        <w:tc>
          <w:tcPr>
            <w:tcW w:w="566" w:type="pct"/>
            <w:hideMark/>
          </w:tcPr>
          <w:p w14:paraId="657E7214" w14:textId="77777777" w:rsidR="00E64229" w:rsidRPr="00591F2A" w:rsidRDefault="00E64229" w:rsidP="009E3B2F">
            <w:pPr>
              <w:spacing w:after="0" w:line="240" w:lineRule="auto"/>
              <w:jc w:val="center"/>
              <w:rPr>
                <w:rFonts w:ascii="Futura Std Condensed Light" w:eastAsia="Calibri" w:hAnsi="Futura Std Condensed Light" w:cs="Calibri"/>
                <w:sz w:val="20"/>
                <w:szCs w:val="20"/>
              </w:rPr>
            </w:pPr>
            <w:r w:rsidRPr="00591F2A">
              <w:rPr>
                <w:rFonts w:ascii="Futura Std Condensed Light" w:eastAsia="Calibri" w:hAnsi="Futura Std Condensed Light" w:cs="Calibri"/>
                <w:sz w:val="20"/>
                <w:szCs w:val="20"/>
              </w:rPr>
              <w:t>Tasa de cobertura estatal de educación media superior</w:t>
            </w:r>
          </w:p>
        </w:tc>
        <w:tc>
          <w:tcPr>
            <w:tcW w:w="621" w:type="pct"/>
            <w:hideMark/>
          </w:tcPr>
          <w:p w14:paraId="3EEB55D6" w14:textId="77777777" w:rsidR="00E64229" w:rsidRPr="00591F2A" w:rsidRDefault="00E64229" w:rsidP="009E3B2F">
            <w:pPr>
              <w:spacing w:after="0" w:line="240" w:lineRule="auto"/>
              <w:jc w:val="center"/>
              <w:rPr>
                <w:rFonts w:ascii="Futura Std Condensed Light" w:eastAsia="Calibri" w:hAnsi="Futura Std Condensed Light" w:cs="Calibri"/>
                <w:sz w:val="20"/>
                <w:szCs w:val="20"/>
              </w:rPr>
            </w:pPr>
            <w:r w:rsidRPr="00591F2A">
              <w:rPr>
                <w:rFonts w:ascii="Futura Std Condensed Light" w:eastAsia="Calibri" w:hAnsi="Futura Std Condensed Light" w:cs="Calibri"/>
                <w:sz w:val="20"/>
                <w:szCs w:val="20"/>
              </w:rPr>
              <w:t>Sistema Nacional de Indicadores Educativos. SEP</w:t>
            </w:r>
          </w:p>
        </w:tc>
        <w:tc>
          <w:tcPr>
            <w:tcW w:w="586" w:type="pct"/>
          </w:tcPr>
          <w:p w14:paraId="258AD630" w14:textId="2B88285E" w:rsidR="00E64229" w:rsidRPr="00591F2A" w:rsidRDefault="00E64229" w:rsidP="009E3B2F">
            <w:pPr>
              <w:spacing w:after="0" w:line="240" w:lineRule="auto"/>
              <w:jc w:val="center"/>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Anual</w:t>
            </w:r>
          </w:p>
        </w:tc>
        <w:tc>
          <w:tcPr>
            <w:tcW w:w="586" w:type="pct"/>
            <w:hideMark/>
          </w:tcPr>
          <w:p w14:paraId="6548D426" w14:textId="145BEC74" w:rsidR="00E64229" w:rsidRPr="00591F2A" w:rsidRDefault="00E64229" w:rsidP="009E3B2F">
            <w:pPr>
              <w:spacing w:after="0" w:line="240" w:lineRule="auto"/>
              <w:jc w:val="center"/>
              <w:rPr>
                <w:rFonts w:ascii="Futura Std Condensed Light" w:eastAsia="Calibri" w:hAnsi="Futura Std Condensed Light" w:cs="Calibri"/>
                <w:sz w:val="20"/>
                <w:szCs w:val="20"/>
              </w:rPr>
            </w:pPr>
            <w:r w:rsidRPr="00591F2A">
              <w:rPr>
                <w:rFonts w:ascii="Futura Std Condensed Light" w:eastAsia="Calibri" w:hAnsi="Futura Std Condensed Light" w:cs="Calibri"/>
                <w:sz w:val="20"/>
                <w:szCs w:val="20"/>
              </w:rPr>
              <w:t>Porcentaje</w:t>
            </w:r>
          </w:p>
        </w:tc>
        <w:tc>
          <w:tcPr>
            <w:tcW w:w="388" w:type="pct"/>
            <w:hideMark/>
          </w:tcPr>
          <w:p w14:paraId="35FF94BD" w14:textId="77777777" w:rsidR="00E64229" w:rsidRPr="00591F2A" w:rsidRDefault="00E64229" w:rsidP="009E3B2F">
            <w:pPr>
              <w:spacing w:after="0" w:line="240" w:lineRule="auto"/>
              <w:jc w:val="center"/>
              <w:rPr>
                <w:rFonts w:ascii="Futura Std Condensed Light" w:eastAsia="Calibri" w:hAnsi="Futura Std Condensed Light" w:cs="Calibri"/>
                <w:sz w:val="20"/>
                <w:szCs w:val="20"/>
              </w:rPr>
            </w:pPr>
            <w:r w:rsidRPr="00591F2A">
              <w:rPr>
                <w:rFonts w:ascii="Futura Std Condensed Light" w:eastAsia="Calibri" w:hAnsi="Futura Std Condensed Light" w:cs="Calibri"/>
                <w:sz w:val="20"/>
                <w:szCs w:val="20"/>
              </w:rPr>
              <w:t>73.35</w:t>
            </w:r>
          </w:p>
        </w:tc>
        <w:tc>
          <w:tcPr>
            <w:tcW w:w="376" w:type="pct"/>
            <w:hideMark/>
          </w:tcPr>
          <w:p w14:paraId="28F9F5D2" w14:textId="77777777" w:rsidR="00E64229" w:rsidRPr="00591F2A" w:rsidRDefault="00E64229" w:rsidP="009E3B2F">
            <w:pPr>
              <w:spacing w:after="0" w:line="240" w:lineRule="auto"/>
              <w:jc w:val="center"/>
              <w:rPr>
                <w:rFonts w:ascii="Futura Std Condensed Light" w:eastAsia="Calibri" w:hAnsi="Futura Std Condensed Light" w:cs="Calibri"/>
                <w:sz w:val="20"/>
                <w:szCs w:val="20"/>
              </w:rPr>
            </w:pPr>
            <w:r w:rsidRPr="00591F2A">
              <w:rPr>
                <w:rFonts w:ascii="Futura Std Condensed Light" w:eastAsia="Calibri" w:hAnsi="Futura Std Condensed Light" w:cs="Calibri"/>
                <w:sz w:val="20"/>
                <w:szCs w:val="20"/>
              </w:rPr>
              <w:t>77.56</w:t>
            </w:r>
          </w:p>
        </w:tc>
        <w:tc>
          <w:tcPr>
            <w:tcW w:w="376" w:type="pct"/>
            <w:hideMark/>
          </w:tcPr>
          <w:p w14:paraId="185846FE" w14:textId="77777777" w:rsidR="00E64229" w:rsidRPr="00591F2A" w:rsidRDefault="00E64229" w:rsidP="009E3B2F">
            <w:pPr>
              <w:spacing w:after="0" w:line="240" w:lineRule="auto"/>
              <w:jc w:val="center"/>
              <w:rPr>
                <w:rFonts w:ascii="Futura Std Condensed Light" w:eastAsia="Calibri" w:hAnsi="Futura Std Condensed Light" w:cs="Calibri"/>
                <w:sz w:val="20"/>
                <w:szCs w:val="20"/>
              </w:rPr>
            </w:pPr>
            <w:r w:rsidRPr="00591F2A">
              <w:rPr>
                <w:rFonts w:ascii="Futura Std Condensed Light" w:eastAsia="Calibri" w:hAnsi="Futura Std Condensed Light" w:cs="Calibri"/>
                <w:sz w:val="20"/>
                <w:szCs w:val="20"/>
              </w:rPr>
              <w:t>81.15</w:t>
            </w:r>
          </w:p>
        </w:tc>
        <w:tc>
          <w:tcPr>
            <w:tcW w:w="376" w:type="pct"/>
            <w:hideMark/>
          </w:tcPr>
          <w:p w14:paraId="0DA83F9D" w14:textId="77777777" w:rsidR="00E64229" w:rsidRPr="00591F2A" w:rsidRDefault="00E64229" w:rsidP="009E3B2F">
            <w:pPr>
              <w:spacing w:after="0" w:line="240" w:lineRule="auto"/>
              <w:jc w:val="center"/>
              <w:rPr>
                <w:rFonts w:ascii="Futura Std Condensed Light" w:eastAsia="Calibri" w:hAnsi="Futura Std Condensed Light" w:cs="Calibri"/>
                <w:sz w:val="20"/>
                <w:szCs w:val="20"/>
              </w:rPr>
            </w:pPr>
            <w:r w:rsidRPr="00591F2A">
              <w:rPr>
                <w:rFonts w:ascii="Futura Std Condensed Light" w:eastAsia="Calibri" w:hAnsi="Futura Std Condensed Light" w:cs="Calibri"/>
                <w:sz w:val="20"/>
                <w:szCs w:val="20"/>
              </w:rPr>
              <w:t>80.59</w:t>
            </w:r>
          </w:p>
        </w:tc>
        <w:tc>
          <w:tcPr>
            <w:tcW w:w="376" w:type="pct"/>
            <w:hideMark/>
          </w:tcPr>
          <w:p w14:paraId="0A9D2C80" w14:textId="77777777" w:rsidR="00E64229" w:rsidRPr="00591F2A" w:rsidRDefault="00E64229" w:rsidP="009E3B2F">
            <w:pPr>
              <w:spacing w:after="0" w:line="240" w:lineRule="auto"/>
              <w:jc w:val="center"/>
              <w:rPr>
                <w:rFonts w:ascii="Futura Std Condensed Light" w:eastAsia="Calibri" w:hAnsi="Futura Std Condensed Light" w:cs="Calibri"/>
                <w:sz w:val="20"/>
                <w:szCs w:val="20"/>
              </w:rPr>
            </w:pPr>
            <w:r w:rsidRPr="00591F2A">
              <w:rPr>
                <w:rFonts w:ascii="Futura Std Condensed Light" w:eastAsia="Calibri" w:hAnsi="Futura Std Condensed Light" w:cs="Calibri"/>
                <w:sz w:val="20"/>
                <w:szCs w:val="20"/>
              </w:rPr>
              <w:t>80.93</w:t>
            </w:r>
          </w:p>
        </w:tc>
        <w:tc>
          <w:tcPr>
            <w:tcW w:w="376" w:type="pct"/>
            <w:hideMark/>
          </w:tcPr>
          <w:p w14:paraId="4AC0E265" w14:textId="77777777" w:rsidR="00E64229" w:rsidRPr="00591F2A" w:rsidRDefault="00E64229" w:rsidP="009E3B2F">
            <w:pPr>
              <w:spacing w:after="0" w:line="240" w:lineRule="auto"/>
              <w:jc w:val="center"/>
              <w:rPr>
                <w:rFonts w:ascii="Futura Std Condensed Light" w:eastAsia="Calibri" w:hAnsi="Futura Std Condensed Light" w:cs="Calibri"/>
                <w:sz w:val="20"/>
                <w:szCs w:val="20"/>
              </w:rPr>
            </w:pPr>
            <w:r w:rsidRPr="00591F2A">
              <w:rPr>
                <w:rFonts w:ascii="Futura Std Condensed Light" w:eastAsia="Calibri" w:hAnsi="Futura Std Condensed Light" w:cs="Calibri"/>
                <w:sz w:val="20"/>
                <w:szCs w:val="20"/>
              </w:rPr>
              <w:t>81.45</w:t>
            </w:r>
          </w:p>
        </w:tc>
        <w:tc>
          <w:tcPr>
            <w:tcW w:w="376" w:type="pct"/>
            <w:hideMark/>
          </w:tcPr>
          <w:p w14:paraId="64BA29DC" w14:textId="77777777" w:rsidR="00E64229" w:rsidRPr="00591F2A" w:rsidRDefault="00E64229" w:rsidP="009E3B2F">
            <w:pPr>
              <w:spacing w:after="0" w:line="240" w:lineRule="auto"/>
              <w:jc w:val="center"/>
              <w:rPr>
                <w:rFonts w:ascii="Futura Std Condensed Light" w:eastAsia="Calibri" w:hAnsi="Futura Std Condensed Light" w:cs="Calibri"/>
                <w:sz w:val="20"/>
                <w:szCs w:val="20"/>
              </w:rPr>
            </w:pPr>
            <w:r w:rsidRPr="00591F2A">
              <w:rPr>
                <w:rFonts w:ascii="Futura Std Condensed Light" w:eastAsia="Calibri" w:hAnsi="Futura Std Condensed Light" w:cs="Calibri"/>
                <w:sz w:val="20"/>
                <w:szCs w:val="20"/>
              </w:rPr>
              <w:t>81.97</w:t>
            </w:r>
          </w:p>
        </w:tc>
      </w:tr>
    </w:tbl>
    <w:p w14:paraId="69015D72" w14:textId="77777777" w:rsidR="0021177B" w:rsidRPr="007F2BBA" w:rsidRDefault="0021177B" w:rsidP="0021177B">
      <w:pPr>
        <w:spacing w:after="0" w:line="240" w:lineRule="auto"/>
        <w:jc w:val="left"/>
        <w:rPr>
          <w:rFonts w:ascii="Futura Std Condensed Light" w:eastAsia="Calibri" w:hAnsi="Futura Std Condensed Light" w:cs="Calibri"/>
          <w:sz w:val="16"/>
          <w:szCs w:val="16"/>
        </w:rPr>
      </w:pPr>
      <w:r w:rsidRPr="007F2BBA">
        <w:rPr>
          <w:rFonts w:ascii="Futura Std Condensed Light" w:eastAsia="Calibri" w:hAnsi="Futura Std Condensed Light" w:cs="Calibri"/>
          <w:sz w:val="16"/>
          <w:szCs w:val="16"/>
        </w:rPr>
        <w:t xml:space="preserve">Fuente: Elaboración Propia. Dirección de Planeación. Secretaría de Educación de Quintana Roo. </w:t>
      </w:r>
    </w:p>
    <w:p w14:paraId="746AC091" w14:textId="77777777" w:rsidR="0021177B" w:rsidRPr="00425D2A" w:rsidRDefault="0021177B" w:rsidP="0021177B">
      <w:pPr>
        <w:spacing w:after="0" w:line="240" w:lineRule="auto"/>
        <w:jc w:val="left"/>
        <w:rPr>
          <w:rFonts w:ascii="Futura Std Condensed Light" w:eastAsia="Calibri" w:hAnsi="Futura Std Condensed Light" w:cs="Calibri"/>
          <w:b/>
          <w:sz w:val="22"/>
          <w:szCs w:val="20"/>
        </w:rPr>
      </w:pPr>
    </w:p>
    <w:p w14:paraId="3E6A78EE" w14:textId="77777777" w:rsidR="0021177B" w:rsidRPr="00425D2A" w:rsidRDefault="0021177B" w:rsidP="0021177B">
      <w:pPr>
        <w:spacing w:after="0" w:line="240" w:lineRule="auto"/>
        <w:jc w:val="left"/>
        <w:rPr>
          <w:rFonts w:ascii="Futura Std Condensed Light" w:eastAsia="Calibri" w:hAnsi="Futura Std Condensed Light" w:cs="Calibri"/>
          <w:b/>
          <w:sz w:val="22"/>
          <w:szCs w:val="20"/>
        </w:rPr>
      </w:pPr>
      <w:r w:rsidRPr="00425D2A">
        <w:rPr>
          <w:rFonts w:ascii="Futura Std Condensed Light" w:eastAsia="Calibri" w:hAnsi="Futura Std Condensed Light" w:cs="Calibri"/>
          <w:b/>
          <w:sz w:val="22"/>
          <w:szCs w:val="20"/>
        </w:rPr>
        <w:t>Tasa de cobertura estatal en Educación Superior.</w:t>
      </w:r>
    </w:p>
    <w:p w14:paraId="15AE1EDA" w14:textId="77777777" w:rsidR="0021177B" w:rsidRPr="00591F2A" w:rsidRDefault="0021177B" w:rsidP="0021177B">
      <w:pPr>
        <w:spacing w:after="0" w:line="240" w:lineRule="auto"/>
        <w:jc w:val="left"/>
        <w:rPr>
          <w:rFonts w:ascii="Futura Std Condensed Light" w:eastAsia="Calibri" w:hAnsi="Futura Std Condensed Light" w:cs="Calibri"/>
          <w:sz w:val="20"/>
          <w:szCs w:val="20"/>
        </w:rPr>
      </w:pPr>
    </w:p>
    <w:tbl>
      <w:tblPr>
        <w:tblStyle w:val="Tablaconcuadrcula"/>
        <w:tblW w:w="5000" w:type="pct"/>
        <w:tblLook w:val="0420" w:firstRow="1" w:lastRow="0" w:firstColumn="0" w:lastColumn="0" w:noHBand="0" w:noVBand="1"/>
      </w:tblPr>
      <w:tblGrid>
        <w:gridCol w:w="1176"/>
        <w:gridCol w:w="1238"/>
        <w:gridCol w:w="1318"/>
        <w:gridCol w:w="1165"/>
        <w:gridCol w:w="680"/>
        <w:gridCol w:w="660"/>
        <w:gridCol w:w="660"/>
        <w:gridCol w:w="660"/>
        <w:gridCol w:w="660"/>
        <w:gridCol w:w="660"/>
        <w:gridCol w:w="660"/>
      </w:tblGrid>
      <w:tr w:rsidR="00AC5900" w:rsidRPr="000140F1" w14:paraId="5CF11E57" w14:textId="77777777" w:rsidTr="00AC5900">
        <w:trPr>
          <w:trHeight w:val="507"/>
        </w:trPr>
        <w:tc>
          <w:tcPr>
            <w:tcW w:w="566" w:type="pct"/>
            <w:shd w:val="clear" w:color="auto" w:fill="A6A6A6" w:themeFill="background1" w:themeFillShade="A6"/>
            <w:hideMark/>
          </w:tcPr>
          <w:p w14:paraId="53E2433F" w14:textId="77777777" w:rsidR="00AC5900" w:rsidRPr="000140F1" w:rsidRDefault="00AC5900" w:rsidP="009E3B2F">
            <w:pPr>
              <w:spacing w:after="0" w:line="240" w:lineRule="auto"/>
              <w:jc w:val="center"/>
              <w:rPr>
                <w:rFonts w:ascii="Futura Std Condensed Light" w:eastAsia="Calibri" w:hAnsi="Futura Std Condensed Light" w:cs="Calibri"/>
                <w:color w:val="auto"/>
                <w:sz w:val="20"/>
                <w:szCs w:val="20"/>
              </w:rPr>
            </w:pPr>
            <w:r w:rsidRPr="000140F1">
              <w:rPr>
                <w:rFonts w:ascii="Futura Std Condensed Light" w:eastAsia="Calibri" w:hAnsi="Futura Std Condensed Light" w:cs="Calibri"/>
                <w:color w:val="auto"/>
                <w:sz w:val="20"/>
                <w:szCs w:val="20"/>
              </w:rPr>
              <w:t>Indicador PED</w:t>
            </w:r>
          </w:p>
        </w:tc>
        <w:tc>
          <w:tcPr>
            <w:tcW w:w="621" w:type="pct"/>
            <w:shd w:val="clear" w:color="auto" w:fill="A6A6A6" w:themeFill="background1" w:themeFillShade="A6"/>
            <w:hideMark/>
          </w:tcPr>
          <w:p w14:paraId="2A3AAE9D" w14:textId="77777777" w:rsidR="00AC5900" w:rsidRPr="000140F1" w:rsidRDefault="00AC5900" w:rsidP="009E3B2F">
            <w:pPr>
              <w:spacing w:after="0" w:line="240" w:lineRule="auto"/>
              <w:jc w:val="center"/>
              <w:rPr>
                <w:rFonts w:ascii="Futura Std Condensed Light" w:eastAsia="Calibri" w:hAnsi="Futura Std Condensed Light" w:cs="Calibri"/>
                <w:color w:val="auto"/>
                <w:sz w:val="20"/>
                <w:szCs w:val="20"/>
              </w:rPr>
            </w:pPr>
            <w:r w:rsidRPr="000140F1">
              <w:rPr>
                <w:rFonts w:ascii="Futura Std Condensed Light" w:eastAsia="Calibri" w:hAnsi="Futura Std Condensed Light" w:cs="Calibri"/>
                <w:color w:val="auto"/>
                <w:sz w:val="20"/>
                <w:szCs w:val="20"/>
              </w:rPr>
              <w:t>Fuente</w:t>
            </w:r>
          </w:p>
        </w:tc>
        <w:tc>
          <w:tcPr>
            <w:tcW w:w="586" w:type="pct"/>
            <w:shd w:val="clear" w:color="auto" w:fill="A6A6A6" w:themeFill="background1" w:themeFillShade="A6"/>
          </w:tcPr>
          <w:p w14:paraId="24AE9D89" w14:textId="3C2377FE" w:rsidR="00AC5900" w:rsidRPr="000140F1" w:rsidRDefault="00AC5900" w:rsidP="009E3B2F">
            <w:pPr>
              <w:spacing w:after="0" w:line="240" w:lineRule="auto"/>
              <w:jc w:val="center"/>
              <w:rPr>
                <w:rFonts w:ascii="Futura Std Condensed Light" w:eastAsia="Calibri" w:hAnsi="Futura Std Condensed Light" w:cs="Calibri"/>
                <w:color w:val="auto"/>
                <w:sz w:val="20"/>
                <w:szCs w:val="20"/>
              </w:rPr>
            </w:pPr>
            <w:r>
              <w:rPr>
                <w:rFonts w:ascii="Futura Std Condensed Light" w:eastAsia="Calibri" w:hAnsi="Futura Std Condensed Light" w:cs="Calibri"/>
                <w:color w:val="auto"/>
                <w:sz w:val="20"/>
                <w:szCs w:val="20"/>
              </w:rPr>
              <w:t>Periodicidad</w:t>
            </w:r>
          </w:p>
        </w:tc>
        <w:tc>
          <w:tcPr>
            <w:tcW w:w="586" w:type="pct"/>
            <w:shd w:val="clear" w:color="auto" w:fill="A6A6A6" w:themeFill="background1" w:themeFillShade="A6"/>
            <w:hideMark/>
          </w:tcPr>
          <w:p w14:paraId="28499800" w14:textId="4D2522A3" w:rsidR="00AC5900" w:rsidRPr="000140F1" w:rsidRDefault="00AC5900" w:rsidP="009E3B2F">
            <w:pPr>
              <w:spacing w:after="0" w:line="240" w:lineRule="auto"/>
              <w:jc w:val="center"/>
              <w:rPr>
                <w:rFonts w:ascii="Futura Std Condensed Light" w:eastAsia="Calibri" w:hAnsi="Futura Std Condensed Light" w:cs="Calibri"/>
                <w:color w:val="auto"/>
                <w:sz w:val="20"/>
                <w:szCs w:val="20"/>
              </w:rPr>
            </w:pPr>
            <w:r w:rsidRPr="000140F1">
              <w:rPr>
                <w:rFonts w:ascii="Futura Std Condensed Light" w:eastAsia="Calibri" w:hAnsi="Futura Std Condensed Light" w:cs="Calibri"/>
                <w:color w:val="auto"/>
                <w:sz w:val="20"/>
                <w:szCs w:val="20"/>
              </w:rPr>
              <w:t xml:space="preserve">Unidad de Medida </w:t>
            </w:r>
          </w:p>
        </w:tc>
        <w:tc>
          <w:tcPr>
            <w:tcW w:w="388" w:type="pct"/>
            <w:shd w:val="clear" w:color="auto" w:fill="A6A6A6" w:themeFill="background1" w:themeFillShade="A6"/>
            <w:hideMark/>
          </w:tcPr>
          <w:p w14:paraId="2A58FF1C" w14:textId="77777777" w:rsidR="00AC5900" w:rsidRPr="000140F1" w:rsidRDefault="00AC5900" w:rsidP="009E3B2F">
            <w:pPr>
              <w:spacing w:after="0" w:line="240" w:lineRule="auto"/>
              <w:jc w:val="center"/>
              <w:rPr>
                <w:rFonts w:ascii="Futura Std Condensed Light" w:eastAsia="Calibri" w:hAnsi="Futura Std Condensed Light" w:cs="Calibri"/>
                <w:color w:val="auto"/>
                <w:sz w:val="20"/>
                <w:szCs w:val="20"/>
              </w:rPr>
            </w:pPr>
            <w:r w:rsidRPr="000140F1">
              <w:rPr>
                <w:rFonts w:ascii="Futura Std Condensed Light" w:eastAsia="Calibri" w:hAnsi="Futura Std Condensed Light" w:cs="Calibri"/>
                <w:color w:val="auto"/>
                <w:sz w:val="20"/>
                <w:szCs w:val="20"/>
              </w:rPr>
              <w:t>Línea Base</w:t>
            </w:r>
          </w:p>
        </w:tc>
        <w:tc>
          <w:tcPr>
            <w:tcW w:w="376" w:type="pct"/>
            <w:shd w:val="clear" w:color="auto" w:fill="A6A6A6" w:themeFill="background1" w:themeFillShade="A6"/>
            <w:hideMark/>
          </w:tcPr>
          <w:p w14:paraId="333F971C" w14:textId="77777777" w:rsidR="00AC5900" w:rsidRPr="000140F1" w:rsidRDefault="00AC5900" w:rsidP="009E3B2F">
            <w:pPr>
              <w:spacing w:after="0" w:line="240" w:lineRule="auto"/>
              <w:jc w:val="center"/>
              <w:rPr>
                <w:rFonts w:ascii="Futura Std Condensed Light" w:eastAsia="Calibri" w:hAnsi="Futura Std Condensed Light" w:cs="Calibri"/>
                <w:color w:val="auto"/>
                <w:sz w:val="20"/>
                <w:szCs w:val="20"/>
              </w:rPr>
            </w:pPr>
            <w:r w:rsidRPr="000140F1">
              <w:rPr>
                <w:rFonts w:ascii="Futura Std Condensed Light" w:eastAsia="Calibri" w:hAnsi="Futura Std Condensed Light" w:cs="Calibri"/>
                <w:color w:val="auto"/>
                <w:sz w:val="20"/>
                <w:szCs w:val="20"/>
              </w:rPr>
              <w:t>2017</w:t>
            </w:r>
          </w:p>
        </w:tc>
        <w:tc>
          <w:tcPr>
            <w:tcW w:w="376" w:type="pct"/>
            <w:shd w:val="clear" w:color="auto" w:fill="A6A6A6" w:themeFill="background1" w:themeFillShade="A6"/>
            <w:hideMark/>
          </w:tcPr>
          <w:p w14:paraId="2994E105" w14:textId="77777777" w:rsidR="00AC5900" w:rsidRPr="000140F1" w:rsidRDefault="00AC5900" w:rsidP="009E3B2F">
            <w:pPr>
              <w:spacing w:after="0" w:line="240" w:lineRule="auto"/>
              <w:jc w:val="center"/>
              <w:rPr>
                <w:rFonts w:ascii="Futura Std Condensed Light" w:eastAsia="Calibri" w:hAnsi="Futura Std Condensed Light" w:cs="Calibri"/>
                <w:color w:val="auto"/>
                <w:sz w:val="20"/>
                <w:szCs w:val="20"/>
              </w:rPr>
            </w:pPr>
            <w:r w:rsidRPr="000140F1">
              <w:rPr>
                <w:rFonts w:ascii="Futura Std Condensed Light" w:eastAsia="Calibri" w:hAnsi="Futura Std Condensed Light" w:cs="Calibri"/>
                <w:color w:val="auto"/>
                <w:sz w:val="20"/>
                <w:szCs w:val="20"/>
              </w:rPr>
              <w:t>2018</w:t>
            </w:r>
          </w:p>
        </w:tc>
        <w:tc>
          <w:tcPr>
            <w:tcW w:w="376" w:type="pct"/>
            <w:shd w:val="clear" w:color="auto" w:fill="A6A6A6" w:themeFill="background1" w:themeFillShade="A6"/>
            <w:hideMark/>
          </w:tcPr>
          <w:p w14:paraId="4F893A1B" w14:textId="77777777" w:rsidR="00AC5900" w:rsidRPr="000140F1" w:rsidRDefault="00AC5900" w:rsidP="009E3B2F">
            <w:pPr>
              <w:spacing w:after="0" w:line="240" w:lineRule="auto"/>
              <w:jc w:val="center"/>
              <w:rPr>
                <w:rFonts w:ascii="Futura Std Condensed Light" w:eastAsia="Calibri" w:hAnsi="Futura Std Condensed Light" w:cs="Calibri"/>
                <w:color w:val="auto"/>
                <w:sz w:val="20"/>
                <w:szCs w:val="20"/>
              </w:rPr>
            </w:pPr>
            <w:r w:rsidRPr="000140F1">
              <w:rPr>
                <w:rFonts w:ascii="Futura Std Condensed Light" w:eastAsia="Calibri" w:hAnsi="Futura Std Condensed Light" w:cs="Calibri"/>
                <w:color w:val="auto"/>
                <w:sz w:val="20"/>
                <w:szCs w:val="20"/>
              </w:rPr>
              <w:t>2019</w:t>
            </w:r>
          </w:p>
        </w:tc>
        <w:tc>
          <w:tcPr>
            <w:tcW w:w="376" w:type="pct"/>
            <w:shd w:val="clear" w:color="auto" w:fill="A6A6A6" w:themeFill="background1" w:themeFillShade="A6"/>
            <w:hideMark/>
          </w:tcPr>
          <w:p w14:paraId="5E870DFA" w14:textId="77777777" w:rsidR="00AC5900" w:rsidRPr="000140F1" w:rsidRDefault="00AC5900" w:rsidP="009E3B2F">
            <w:pPr>
              <w:spacing w:after="0" w:line="240" w:lineRule="auto"/>
              <w:jc w:val="center"/>
              <w:rPr>
                <w:rFonts w:ascii="Futura Std Condensed Light" w:eastAsia="Calibri" w:hAnsi="Futura Std Condensed Light" w:cs="Calibri"/>
                <w:color w:val="auto"/>
                <w:sz w:val="20"/>
                <w:szCs w:val="20"/>
              </w:rPr>
            </w:pPr>
            <w:r w:rsidRPr="000140F1">
              <w:rPr>
                <w:rFonts w:ascii="Futura Std Condensed Light" w:eastAsia="Calibri" w:hAnsi="Futura Std Condensed Light" w:cs="Calibri"/>
                <w:color w:val="auto"/>
                <w:sz w:val="20"/>
                <w:szCs w:val="20"/>
              </w:rPr>
              <w:t>2020</w:t>
            </w:r>
          </w:p>
        </w:tc>
        <w:tc>
          <w:tcPr>
            <w:tcW w:w="376" w:type="pct"/>
            <w:shd w:val="clear" w:color="auto" w:fill="A6A6A6" w:themeFill="background1" w:themeFillShade="A6"/>
            <w:hideMark/>
          </w:tcPr>
          <w:p w14:paraId="7E30066F" w14:textId="77777777" w:rsidR="00AC5900" w:rsidRPr="000140F1" w:rsidRDefault="00AC5900" w:rsidP="009E3B2F">
            <w:pPr>
              <w:spacing w:after="0" w:line="240" w:lineRule="auto"/>
              <w:jc w:val="center"/>
              <w:rPr>
                <w:rFonts w:ascii="Futura Std Condensed Light" w:eastAsia="Calibri" w:hAnsi="Futura Std Condensed Light" w:cs="Calibri"/>
                <w:color w:val="auto"/>
                <w:sz w:val="20"/>
                <w:szCs w:val="20"/>
              </w:rPr>
            </w:pPr>
            <w:r w:rsidRPr="000140F1">
              <w:rPr>
                <w:rFonts w:ascii="Futura Std Condensed Light" w:eastAsia="Calibri" w:hAnsi="Futura Std Condensed Light" w:cs="Calibri"/>
                <w:color w:val="auto"/>
                <w:sz w:val="20"/>
                <w:szCs w:val="20"/>
              </w:rPr>
              <w:t>2021</w:t>
            </w:r>
          </w:p>
        </w:tc>
        <w:tc>
          <w:tcPr>
            <w:tcW w:w="376" w:type="pct"/>
            <w:shd w:val="clear" w:color="auto" w:fill="A6A6A6" w:themeFill="background1" w:themeFillShade="A6"/>
            <w:hideMark/>
          </w:tcPr>
          <w:p w14:paraId="1373CFA1" w14:textId="77777777" w:rsidR="00AC5900" w:rsidRPr="000140F1" w:rsidRDefault="00AC5900" w:rsidP="009E3B2F">
            <w:pPr>
              <w:spacing w:after="0" w:line="240" w:lineRule="auto"/>
              <w:jc w:val="center"/>
              <w:rPr>
                <w:rFonts w:ascii="Futura Std Condensed Light" w:eastAsia="Calibri" w:hAnsi="Futura Std Condensed Light" w:cs="Calibri"/>
                <w:color w:val="auto"/>
                <w:sz w:val="20"/>
                <w:szCs w:val="20"/>
              </w:rPr>
            </w:pPr>
            <w:r w:rsidRPr="000140F1">
              <w:rPr>
                <w:rFonts w:ascii="Futura Std Condensed Light" w:eastAsia="Calibri" w:hAnsi="Futura Std Condensed Light" w:cs="Calibri"/>
                <w:color w:val="auto"/>
                <w:sz w:val="20"/>
                <w:szCs w:val="20"/>
              </w:rPr>
              <w:t>2022</w:t>
            </w:r>
          </w:p>
        </w:tc>
      </w:tr>
      <w:tr w:rsidR="00AC5900" w:rsidRPr="00591F2A" w14:paraId="312CD50A" w14:textId="77777777" w:rsidTr="00AC5900">
        <w:trPr>
          <w:trHeight w:val="584"/>
        </w:trPr>
        <w:tc>
          <w:tcPr>
            <w:tcW w:w="566" w:type="pct"/>
            <w:hideMark/>
          </w:tcPr>
          <w:p w14:paraId="2925DB0E" w14:textId="77777777" w:rsidR="00AC5900" w:rsidRPr="002A6010" w:rsidRDefault="00AC5900" w:rsidP="009E3B2F">
            <w:pPr>
              <w:spacing w:after="0" w:line="240" w:lineRule="auto"/>
              <w:jc w:val="center"/>
              <w:rPr>
                <w:rFonts w:ascii="Futura Std Condensed Light" w:eastAsia="Calibri" w:hAnsi="Futura Std Condensed Light" w:cs="Calibri"/>
                <w:sz w:val="20"/>
                <w:szCs w:val="20"/>
              </w:rPr>
            </w:pPr>
            <w:r w:rsidRPr="002A6010">
              <w:rPr>
                <w:rFonts w:ascii="Futura Std Condensed Light" w:eastAsia="Calibri" w:hAnsi="Futura Std Condensed Light" w:cs="Calibri"/>
                <w:sz w:val="20"/>
                <w:szCs w:val="20"/>
              </w:rPr>
              <w:t>Tasa de cobertura estatal de educación superior</w:t>
            </w:r>
          </w:p>
        </w:tc>
        <w:tc>
          <w:tcPr>
            <w:tcW w:w="621" w:type="pct"/>
            <w:hideMark/>
          </w:tcPr>
          <w:p w14:paraId="2C516DB2" w14:textId="77777777" w:rsidR="00AC5900" w:rsidRPr="002A6010" w:rsidRDefault="00AC5900" w:rsidP="009E3B2F">
            <w:pPr>
              <w:spacing w:after="0" w:line="240" w:lineRule="auto"/>
              <w:jc w:val="center"/>
              <w:rPr>
                <w:rFonts w:ascii="Futura Std Condensed Light" w:eastAsia="Calibri" w:hAnsi="Futura Std Condensed Light" w:cs="Calibri"/>
                <w:sz w:val="20"/>
                <w:szCs w:val="20"/>
              </w:rPr>
            </w:pPr>
            <w:r w:rsidRPr="002A6010">
              <w:rPr>
                <w:rFonts w:ascii="Futura Std Condensed Light" w:eastAsia="Calibri" w:hAnsi="Futura Std Condensed Light" w:cs="Calibri"/>
                <w:sz w:val="20"/>
                <w:szCs w:val="20"/>
              </w:rPr>
              <w:t>Sistema Nacional de Indicadores Educativos. SEP</w:t>
            </w:r>
          </w:p>
        </w:tc>
        <w:tc>
          <w:tcPr>
            <w:tcW w:w="586" w:type="pct"/>
          </w:tcPr>
          <w:p w14:paraId="405CE601" w14:textId="65CF5BF7" w:rsidR="00AC5900" w:rsidRPr="002A6010" w:rsidRDefault="00AC5900" w:rsidP="009E3B2F">
            <w:pPr>
              <w:spacing w:after="0" w:line="240" w:lineRule="auto"/>
              <w:jc w:val="center"/>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Anual</w:t>
            </w:r>
          </w:p>
        </w:tc>
        <w:tc>
          <w:tcPr>
            <w:tcW w:w="586" w:type="pct"/>
            <w:hideMark/>
          </w:tcPr>
          <w:p w14:paraId="4AEA15B0" w14:textId="59DE4DD6" w:rsidR="00AC5900" w:rsidRPr="002A6010" w:rsidRDefault="00AC5900" w:rsidP="009E3B2F">
            <w:pPr>
              <w:spacing w:after="0" w:line="240" w:lineRule="auto"/>
              <w:jc w:val="center"/>
              <w:rPr>
                <w:rFonts w:ascii="Futura Std Condensed Light" w:eastAsia="Calibri" w:hAnsi="Futura Std Condensed Light" w:cs="Calibri"/>
                <w:sz w:val="20"/>
                <w:szCs w:val="20"/>
              </w:rPr>
            </w:pPr>
            <w:r w:rsidRPr="002A6010">
              <w:rPr>
                <w:rFonts w:ascii="Futura Std Condensed Light" w:eastAsia="Calibri" w:hAnsi="Futura Std Condensed Light" w:cs="Calibri"/>
                <w:sz w:val="20"/>
                <w:szCs w:val="20"/>
              </w:rPr>
              <w:t>Porcentaje</w:t>
            </w:r>
          </w:p>
        </w:tc>
        <w:tc>
          <w:tcPr>
            <w:tcW w:w="388" w:type="pct"/>
            <w:hideMark/>
          </w:tcPr>
          <w:p w14:paraId="114EDA7B" w14:textId="77777777" w:rsidR="00AC5900" w:rsidRPr="002A6010" w:rsidRDefault="00AC5900" w:rsidP="009E3B2F">
            <w:pPr>
              <w:spacing w:after="0" w:line="240" w:lineRule="auto"/>
              <w:jc w:val="center"/>
              <w:rPr>
                <w:rFonts w:ascii="Futura Std Condensed Light" w:eastAsia="Calibri" w:hAnsi="Futura Std Condensed Light" w:cs="Calibri"/>
                <w:sz w:val="20"/>
                <w:szCs w:val="20"/>
              </w:rPr>
            </w:pPr>
            <w:r w:rsidRPr="002A6010">
              <w:rPr>
                <w:rFonts w:ascii="Futura Std Condensed Light" w:eastAsia="Calibri" w:hAnsi="Futura Std Condensed Light" w:cs="Calibri"/>
                <w:sz w:val="20"/>
                <w:szCs w:val="20"/>
              </w:rPr>
              <w:t>26.06</w:t>
            </w:r>
          </w:p>
        </w:tc>
        <w:tc>
          <w:tcPr>
            <w:tcW w:w="376" w:type="pct"/>
            <w:hideMark/>
          </w:tcPr>
          <w:p w14:paraId="1920567C" w14:textId="77777777" w:rsidR="00AC5900" w:rsidRPr="002A6010" w:rsidRDefault="00AC5900" w:rsidP="009E3B2F">
            <w:pPr>
              <w:spacing w:after="0" w:line="240" w:lineRule="auto"/>
              <w:jc w:val="center"/>
              <w:rPr>
                <w:rFonts w:ascii="Futura Std Condensed Light" w:eastAsia="Calibri" w:hAnsi="Futura Std Condensed Light" w:cs="Calibri"/>
                <w:sz w:val="20"/>
                <w:szCs w:val="20"/>
              </w:rPr>
            </w:pPr>
            <w:r w:rsidRPr="002A6010">
              <w:rPr>
                <w:rFonts w:ascii="Futura Std Condensed Light" w:eastAsia="Calibri" w:hAnsi="Futura Std Condensed Light" w:cs="Calibri"/>
                <w:sz w:val="20"/>
                <w:szCs w:val="20"/>
              </w:rPr>
              <w:t>28.15</w:t>
            </w:r>
          </w:p>
        </w:tc>
        <w:tc>
          <w:tcPr>
            <w:tcW w:w="376" w:type="pct"/>
            <w:hideMark/>
          </w:tcPr>
          <w:p w14:paraId="08A29690" w14:textId="77777777" w:rsidR="00AC5900" w:rsidRPr="002A6010" w:rsidRDefault="00AC5900" w:rsidP="009E3B2F">
            <w:pPr>
              <w:spacing w:after="0" w:line="240" w:lineRule="auto"/>
              <w:jc w:val="center"/>
              <w:rPr>
                <w:rFonts w:ascii="Futura Std Condensed Light" w:eastAsia="Calibri" w:hAnsi="Futura Std Condensed Light" w:cs="Calibri"/>
                <w:sz w:val="20"/>
                <w:szCs w:val="20"/>
              </w:rPr>
            </w:pPr>
            <w:r w:rsidRPr="002A6010">
              <w:rPr>
                <w:rFonts w:ascii="Futura Std Condensed Light" w:eastAsia="Calibri" w:hAnsi="Futura Std Condensed Light" w:cs="Calibri"/>
                <w:sz w:val="20"/>
                <w:szCs w:val="20"/>
              </w:rPr>
              <w:t>29.52</w:t>
            </w:r>
          </w:p>
        </w:tc>
        <w:tc>
          <w:tcPr>
            <w:tcW w:w="376" w:type="pct"/>
            <w:hideMark/>
          </w:tcPr>
          <w:p w14:paraId="6076B8AD" w14:textId="77777777" w:rsidR="00AC5900" w:rsidRPr="002A6010" w:rsidRDefault="00AC5900" w:rsidP="009E3B2F">
            <w:pPr>
              <w:spacing w:after="0" w:line="240" w:lineRule="auto"/>
              <w:jc w:val="center"/>
              <w:rPr>
                <w:rFonts w:ascii="Futura Std Condensed Light" w:eastAsia="Calibri" w:hAnsi="Futura Std Condensed Light" w:cs="Calibri"/>
                <w:sz w:val="20"/>
                <w:szCs w:val="20"/>
              </w:rPr>
            </w:pPr>
            <w:r w:rsidRPr="002A6010">
              <w:rPr>
                <w:rFonts w:ascii="Futura Std Condensed Light" w:eastAsia="Calibri" w:hAnsi="Futura Std Condensed Light" w:cs="Calibri"/>
                <w:sz w:val="20"/>
                <w:szCs w:val="20"/>
              </w:rPr>
              <w:t>31.83</w:t>
            </w:r>
          </w:p>
        </w:tc>
        <w:tc>
          <w:tcPr>
            <w:tcW w:w="376" w:type="pct"/>
            <w:hideMark/>
          </w:tcPr>
          <w:p w14:paraId="45979EB0" w14:textId="77777777" w:rsidR="00AC5900" w:rsidRPr="002A6010" w:rsidRDefault="00AC5900" w:rsidP="009E3B2F">
            <w:pPr>
              <w:spacing w:after="0" w:line="240" w:lineRule="auto"/>
              <w:jc w:val="center"/>
              <w:rPr>
                <w:rFonts w:ascii="Futura Std Condensed Light" w:eastAsia="Calibri" w:hAnsi="Futura Std Condensed Light" w:cs="Calibri"/>
                <w:sz w:val="20"/>
                <w:szCs w:val="20"/>
              </w:rPr>
            </w:pPr>
            <w:r w:rsidRPr="002A6010">
              <w:rPr>
                <w:rFonts w:ascii="Futura Std Condensed Light" w:eastAsia="Calibri" w:hAnsi="Futura Std Condensed Light" w:cs="Calibri"/>
                <w:sz w:val="20"/>
                <w:szCs w:val="20"/>
              </w:rPr>
              <w:t>32.57</w:t>
            </w:r>
          </w:p>
        </w:tc>
        <w:tc>
          <w:tcPr>
            <w:tcW w:w="376" w:type="pct"/>
            <w:hideMark/>
          </w:tcPr>
          <w:p w14:paraId="64AF979C" w14:textId="77777777" w:rsidR="00AC5900" w:rsidRPr="002A6010" w:rsidRDefault="00AC5900" w:rsidP="009E3B2F">
            <w:pPr>
              <w:spacing w:after="0" w:line="240" w:lineRule="auto"/>
              <w:jc w:val="center"/>
              <w:rPr>
                <w:rFonts w:ascii="Futura Std Condensed Light" w:eastAsia="Calibri" w:hAnsi="Futura Std Condensed Light" w:cs="Calibri"/>
                <w:sz w:val="20"/>
                <w:szCs w:val="20"/>
              </w:rPr>
            </w:pPr>
            <w:r w:rsidRPr="002A6010">
              <w:rPr>
                <w:rFonts w:ascii="Futura Std Condensed Light" w:eastAsia="Calibri" w:hAnsi="Futura Std Condensed Light" w:cs="Calibri"/>
                <w:sz w:val="20"/>
                <w:szCs w:val="20"/>
              </w:rPr>
              <w:t>33.93</w:t>
            </w:r>
          </w:p>
        </w:tc>
        <w:tc>
          <w:tcPr>
            <w:tcW w:w="376" w:type="pct"/>
            <w:hideMark/>
          </w:tcPr>
          <w:p w14:paraId="3F581510" w14:textId="77777777" w:rsidR="00AC5900" w:rsidRPr="002A6010" w:rsidRDefault="00AC5900" w:rsidP="009E3B2F">
            <w:pPr>
              <w:spacing w:after="0" w:line="240" w:lineRule="auto"/>
              <w:jc w:val="center"/>
              <w:rPr>
                <w:rFonts w:ascii="Futura Std Condensed Light" w:eastAsia="Calibri" w:hAnsi="Futura Std Condensed Light" w:cs="Calibri"/>
                <w:sz w:val="20"/>
                <w:szCs w:val="20"/>
              </w:rPr>
            </w:pPr>
            <w:r w:rsidRPr="002A6010">
              <w:rPr>
                <w:rFonts w:ascii="Futura Std Condensed Light" w:eastAsia="Calibri" w:hAnsi="Futura Std Condensed Light" w:cs="Calibri"/>
                <w:sz w:val="20"/>
                <w:szCs w:val="20"/>
              </w:rPr>
              <w:t>35.28</w:t>
            </w:r>
          </w:p>
        </w:tc>
      </w:tr>
    </w:tbl>
    <w:p w14:paraId="1FF5AC63" w14:textId="77777777" w:rsidR="0021177B" w:rsidRPr="00591F2A" w:rsidRDefault="0021177B" w:rsidP="0021177B">
      <w:pPr>
        <w:spacing w:after="0" w:line="240" w:lineRule="auto"/>
        <w:jc w:val="left"/>
        <w:rPr>
          <w:rFonts w:ascii="Futura Std Condensed Light" w:eastAsia="Calibri" w:hAnsi="Futura Std Condensed Light" w:cs="Calibri"/>
          <w:sz w:val="20"/>
          <w:szCs w:val="20"/>
        </w:rPr>
      </w:pPr>
      <w:r w:rsidRPr="002A6010">
        <w:rPr>
          <w:rFonts w:ascii="Futura Std Condensed Light" w:eastAsia="Calibri" w:hAnsi="Futura Std Condensed Light" w:cs="Calibri"/>
          <w:sz w:val="16"/>
          <w:szCs w:val="16"/>
        </w:rPr>
        <w:t>Fuente: Elaboración Propia. Dirección de Planeación. Secretaría de Educación de Quintana Roo</w:t>
      </w:r>
      <w:r w:rsidRPr="00591F2A">
        <w:rPr>
          <w:rFonts w:ascii="Futura Std Condensed Light" w:eastAsia="Calibri" w:hAnsi="Futura Std Condensed Light" w:cs="Calibri"/>
          <w:sz w:val="20"/>
          <w:szCs w:val="20"/>
        </w:rPr>
        <w:t xml:space="preserve">. </w:t>
      </w:r>
    </w:p>
    <w:p w14:paraId="615881D7" w14:textId="5A1E4740" w:rsidR="0021177B" w:rsidRDefault="00A44ECF" w:rsidP="0021177B">
      <w:pPr>
        <w:spacing w:after="0" w:line="240" w:lineRule="auto"/>
      </w:pPr>
      <w:r>
        <w:lastRenderedPageBreak/>
        <w:t>La Actualización del</w:t>
      </w:r>
      <w:r w:rsidR="0021177B" w:rsidRPr="00F10D83">
        <w:t xml:space="preserve"> Programa </w:t>
      </w:r>
      <w:r w:rsidR="0021177B">
        <w:t>Educación Pú</w:t>
      </w:r>
      <w:r w:rsidR="008B64F3">
        <w:t>blica de Calidad contenido en la actualización del</w:t>
      </w:r>
      <w:r w:rsidR="0021177B">
        <w:t xml:space="preserve"> Plan Estatal de Desarrollo establece 27 líneas de acción, las cuales al llevarse a cabo contribuirán al logro del objetivo plasmado en dicho programa, en los siguientes cuadros se presentan las líneas de acción con sus entregables y metas establecidas.</w:t>
      </w:r>
    </w:p>
    <w:p w14:paraId="254EC3AE" w14:textId="02ED4A49" w:rsidR="0079632A" w:rsidRDefault="0079632A" w:rsidP="0021177B">
      <w:pPr>
        <w:spacing w:after="0" w:line="240" w:lineRule="auto"/>
      </w:pPr>
    </w:p>
    <w:p w14:paraId="25904476" w14:textId="22BA2A45" w:rsidR="0021177B" w:rsidRDefault="00FA0940" w:rsidP="0021177B">
      <w:pPr>
        <w:spacing w:after="0" w:line="240" w:lineRule="auto"/>
        <w:jc w:val="center"/>
      </w:pPr>
      <w:r>
        <w:rPr>
          <w:rFonts w:eastAsia="Arial" w:cs="Times New Roman"/>
          <w:b/>
          <w:color w:val="4BACC6" w:themeColor="accent5"/>
        </w:rPr>
        <w:t>Cuadro 24</w:t>
      </w:r>
      <w:r w:rsidR="0021177B">
        <w:rPr>
          <w:rFonts w:eastAsia="Arial" w:cs="Times New Roman"/>
          <w:b/>
          <w:color w:val="4BACC6" w:themeColor="accent5"/>
        </w:rPr>
        <w:t>. Entregable y meta de la línea de acción 1 del PED</w:t>
      </w:r>
    </w:p>
    <w:p w14:paraId="397E6236" w14:textId="77777777" w:rsidR="0021177B" w:rsidRDefault="0021177B" w:rsidP="0021177B">
      <w:pPr>
        <w:spacing w:after="0" w:line="240" w:lineRule="auto"/>
        <w:jc w:val="left"/>
      </w:pPr>
    </w:p>
    <w:tbl>
      <w:tblPr>
        <w:tblStyle w:val="Tablaconcuadrcula"/>
        <w:tblW w:w="5000" w:type="pct"/>
        <w:tblLook w:val="04A0" w:firstRow="1" w:lastRow="0" w:firstColumn="1" w:lastColumn="0" w:noHBand="0" w:noVBand="1"/>
      </w:tblPr>
      <w:tblGrid>
        <w:gridCol w:w="1558"/>
        <w:gridCol w:w="1814"/>
        <w:gridCol w:w="1385"/>
        <w:gridCol w:w="1385"/>
        <w:gridCol w:w="1385"/>
        <w:gridCol w:w="2010"/>
      </w:tblGrid>
      <w:tr w:rsidR="0086391F" w:rsidRPr="000140F1" w14:paraId="71A290D0" w14:textId="77777777" w:rsidTr="00495F3A">
        <w:trPr>
          <w:trHeight w:val="192"/>
        </w:trPr>
        <w:tc>
          <w:tcPr>
            <w:tcW w:w="1768" w:type="pct"/>
            <w:gridSpan w:val="2"/>
            <w:shd w:val="clear" w:color="auto" w:fill="A6A6A6" w:themeFill="background1" w:themeFillShade="A6"/>
          </w:tcPr>
          <w:p w14:paraId="408A8A08" w14:textId="77777777" w:rsidR="0021177B" w:rsidRPr="000140F1" w:rsidRDefault="0021177B" w:rsidP="009E3B2F">
            <w:pPr>
              <w:spacing w:after="0" w:line="240" w:lineRule="auto"/>
              <w:jc w:val="center"/>
              <w:rPr>
                <w:rFonts w:ascii="Futura Std Condensed Light" w:eastAsia="Calibri" w:hAnsi="Futura Std Condensed Light" w:cs="Calibri"/>
                <w:color w:val="auto"/>
                <w:sz w:val="20"/>
                <w:szCs w:val="20"/>
              </w:rPr>
            </w:pPr>
            <w:r w:rsidRPr="000140F1">
              <w:rPr>
                <w:rFonts w:ascii="Futura Std Condensed Light" w:eastAsia="Calibri" w:hAnsi="Futura Std Condensed Light" w:cs="Calibri"/>
                <w:color w:val="auto"/>
                <w:sz w:val="20"/>
                <w:szCs w:val="20"/>
              </w:rPr>
              <w:t>Programa PED</w:t>
            </w:r>
          </w:p>
        </w:tc>
        <w:tc>
          <w:tcPr>
            <w:tcW w:w="3232" w:type="pct"/>
            <w:gridSpan w:val="4"/>
            <w:shd w:val="clear" w:color="auto" w:fill="A6A6A6" w:themeFill="background1" w:themeFillShade="A6"/>
          </w:tcPr>
          <w:p w14:paraId="1DDE3BA3" w14:textId="77777777" w:rsidR="0021177B" w:rsidRPr="000140F1" w:rsidRDefault="0021177B" w:rsidP="009E3B2F">
            <w:pPr>
              <w:spacing w:after="0" w:line="240" w:lineRule="auto"/>
              <w:jc w:val="center"/>
              <w:rPr>
                <w:rFonts w:ascii="Futura Std Condensed Light" w:eastAsia="Calibri" w:hAnsi="Futura Std Condensed Light" w:cs="Calibri"/>
                <w:color w:val="auto"/>
                <w:sz w:val="20"/>
                <w:szCs w:val="20"/>
              </w:rPr>
            </w:pPr>
            <w:r w:rsidRPr="000140F1">
              <w:rPr>
                <w:rFonts w:ascii="Futura Std Condensed Light" w:eastAsia="Calibri" w:hAnsi="Futura Std Condensed Light" w:cs="Calibri"/>
                <w:color w:val="auto"/>
                <w:sz w:val="20"/>
                <w:szCs w:val="20"/>
              </w:rPr>
              <w:t>Programa Sectorial Educación Pública de Calidad</w:t>
            </w:r>
          </w:p>
        </w:tc>
      </w:tr>
      <w:tr w:rsidR="0021177B" w:rsidRPr="00D12127" w14:paraId="7AFAE4F7" w14:textId="77777777" w:rsidTr="009E3B2F">
        <w:trPr>
          <w:trHeight w:val="469"/>
        </w:trPr>
        <w:tc>
          <w:tcPr>
            <w:tcW w:w="1768" w:type="pct"/>
            <w:gridSpan w:val="2"/>
          </w:tcPr>
          <w:p w14:paraId="049A6909" w14:textId="77777777" w:rsidR="0021177B" w:rsidRPr="00E73D1F" w:rsidRDefault="0021177B" w:rsidP="009E3B2F">
            <w:pPr>
              <w:spacing w:after="0" w:line="240" w:lineRule="auto"/>
              <w:jc w:val="center"/>
              <w:rPr>
                <w:rFonts w:ascii="Futura Std Condensed Light" w:eastAsia="Calibri" w:hAnsi="Futura Std Condensed Light" w:cs="Calibri"/>
                <w:b/>
                <w:sz w:val="20"/>
                <w:szCs w:val="20"/>
              </w:rPr>
            </w:pPr>
            <w:r w:rsidRPr="00E73D1F">
              <w:rPr>
                <w:rFonts w:ascii="Futura Std Condensed Light" w:eastAsia="Calibri" w:hAnsi="Futura Std Condensed Light" w:cs="Calibri"/>
                <w:b/>
                <w:sz w:val="20"/>
                <w:szCs w:val="20"/>
              </w:rPr>
              <w:t>Línea de acción:</w:t>
            </w:r>
          </w:p>
        </w:tc>
        <w:tc>
          <w:tcPr>
            <w:tcW w:w="3232" w:type="pct"/>
            <w:gridSpan w:val="4"/>
          </w:tcPr>
          <w:p w14:paraId="32BC4048" w14:textId="77777777" w:rsidR="0021177B" w:rsidRPr="00E73D1F" w:rsidRDefault="0021177B" w:rsidP="009E3B2F">
            <w:pPr>
              <w:spacing w:after="0" w:line="240" w:lineRule="auto"/>
              <w:jc w:val="center"/>
              <w:rPr>
                <w:rFonts w:ascii="Futura Std Condensed Light" w:eastAsia="Calibri" w:hAnsi="Futura Std Condensed Light" w:cs="Calibri"/>
                <w:sz w:val="20"/>
                <w:szCs w:val="20"/>
              </w:rPr>
            </w:pPr>
            <w:r w:rsidRPr="00E73D1F">
              <w:rPr>
                <w:rFonts w:ascii="Futura Std Condensed Light" w:eastAsia="Calibri" w:hAnsi="Futura Std Condensed Light" w:cs="Calibri"/>
                <w:sz w:val="20"/>
                <w:szCs w:val="20"/>
              </w:rPr>
              <w:t> 1.  Incrementar la inserción de los niños en educación inicial en el Sistema Educativo Estatal.</w:t>
            </w:r>
          </w:p>
        </w:tc>
      </w:tr>
      <w:tr w:rsidR="0021177B" w:rsidRPr="00D12127" w14:paraId="4942DA16" w14:textId="77777777" w:rsidTr="009E3B2F">
        <w:trPr>
          <w:trHeight w:val="484"/>
        </w:trPr>
        <w:tc>
          <w:tcPr>
            <w:tcW w:w="1768" w:type="pct"/>
            <w:gridSpan w:val="2"/>
          </w:tcPr>
          <w:p w14:paraId="062EDDA2" w14:textId="77777777" w:rsidR="0021177B" w:rsidRPr="00E73D1F" w:rsidRDefault="0021177B" w:rsidP="009E3B2F">
            <w:pPr>
              <w:spacing w:after="0" w:line="240" w:lineRule="auto"/>
              <w:jc w:val="center"/>
              <w:rPr>
                <w:rFonts w:ascii="Futura Std Condensed Light" w:eastAsia="Calibri" w:hAnsi="Futura Std Condensed Light" w:cs="Calibri"/>
                <w:b/>
                <w:sz w:val="20"/>
                <w:szCs w:val="20"/>
              </w:rPr>
            </w:pPr>
            <w:r w:rsidRPr="00E73D1F">
              <w:rPr>
                <w:rFonts w:ascii="Futura Std Condensed Light" w:eastAsia="Calibri" w:hAnsi="Futura Std Condensed Light" w:cs="Calibri"/>
                <w:b/>
                <w:sz w:val="20"/>
                <w:szCs w:val="20"/>
              </w:rPr>
              <w:t>Plan Estratégico Objetivo Especifico</w:t>
            </w:r>
          </w:p>
        </w:tc>
        <w:tc>
          <w:tcPr>
            <w:tcW w:w="3232" w:type="pct"/>
            <w:gridSpan w:val="4"/>
          </w:tcPr>
          <w:p w14:paraId="4EF933BE" w14:textId="77777777" w:rsidR="0021177B" w:rsidRPr="00E73D1F" w:rsidRDefault="0021177B" w:rsidP="009E3B2F">
            <w:pPr>
              <w:spacing w:after="0" w:line="240" w:lineRule="auto"/>
              <w:jc w:val="center"/>
              <w:rPr>
                <w:rFonts w:ascii="Futura Std Condensed Light" w:eastAsia="Calibri" w:hAnsi="Futura Std Condensed Light" w:cs="Calibri"/>
                <w:sz w:val="20"/>
                <w:szCs w:val="20"/>
              </w:rPr>
            </w:pPr>
            <w:r w:rsidRPr="00E73D1F">
              <w:rPr>
                <w:rFonts w:ascii="Futura Std Condensed Light" w:eastAsia="Calibri" w:hAnsi="Futura Std Condensed Light" w:cs="Calibri"/>
                <w:sz w:val="20"/>
                <w:szCs w:val="20"/>
              </w:rPr>
              <w:t>Disminuir la desigualdad en sus diversas formas </w:t>
            </w:r>
          </w:p>
        </w:tc>
      </w:tr>
      <w:tr w:rsidR="0021177B" w:rsidRPr="00D12127" w14:paraId="52A6BB78" w14:textId="77777777" w:rsidTr="009E3B2F">
        <w:trPr>
          <w:trHeight w:val="484"/>
        </w:trPr>
        <w:tc>
          <w:tcPr>
            <w:tcW w:w="817" w:type="pct"/>
          </w:tcPr>
          <w:p w14:paraId="24B56492" w14:textId="77777777" w:rsidR="0021177B" w:rsidRPr="00E73D1F" w:rsidRDefault="0021177B" w:rsidP="009E3B2F">
            <w:pPr>
              <w:spacing w:after="0" w:line="240" w:lineRule="auto"/>
              <w:jc w:val="center"/>
              <w:rPr>
                <w:rFonts w:ascii="Futura Std Condensed Light" w:eastAsia="Calibri" w:hAnsi="Futura Std Condensed Light" w:cs="Calibri"/>
                <w:b/>
                <w:sz w:val="20"/>
                <w:szCs w:val="20"/>
              </w:rPr>
            </w:pPr>
            <w:r w:rsidRPr="00E73D1F">
              <w:rPr>
                <w:rFonts w:ascii="Futura Std Condensed Light" w:eastAsia="Calibri" w:hAnsi="Futura Std Condensed Light" w:cs="Calibri"/>
                <w:b/>
                <w:sz w:val="20"/>
                <w:szCs w:val="20"/>
              </w:rPr>
              <w:t>Entregable:</w:t>
            </w:r>
          </w:p>
        </w:tc>
        <w:tc>
          <w:tcPr>
            <w:tcW w:w="951" w:type="pct"/>
          </w:tcPr>
          <w:p w14:paraId="5DE00210" w14:textId="77777777" w:rsidR="0021177B" w:rsidRPr="00E73D1F" w:rsidRDefault="0021177B" w:rsidP="009E3B2F">
            <w:pPr>
              <w:spacing w:after="0" w:line="240" w:lineRule="auto"/>
              <w:jc w:val="center"/>
              <w:rPr>
                <w:rFonts w:ascii="Futura Std Condensed Light" w:eastAsia="Calibri" w:hAnsi="Futura Std Condensed Light" w:cs="Calibri"/>
                <w:b/>
                <w:sz w:val="20"/>
                <w:szCs w:val="20"/>
              </w:rPr>
            </w:pPr>
            <w:r w:rsidRPr="00E73D1F">
              <w:rPr>
                <w:rFonts w:ascii="Futura Std Condensed Light" w:eastAsia="Calibri" w:hAnsi="Futura Std Condensed Light" w:cs="Calibri"/>
                <w:b/>
                <w:sz w:val="20"/>
                <w:szCs w:val="20"/>
              </w:rPr>
              <w:t>Inserción de alumnos a la educación inicial</w:t>
            </w:r>
          </w:p>
        </w:tc>
        <w:tc>
          <w:tcPr>
            <w:tcW w:w="2178" w:type="pct"/>
            <w:gridSpan w:val="3"/>
          </w:tcPr>
          <w:p w14:paraId="75BC1586" w14:textId="77777777" w:rsidR="0021177B" w:rsidRPr="00E73D1F" w:rsidRDefault="0021177B" w:rsidP="009E3B2F">
            <w:pPr>
              <w:spacing w:after="0" w:line="240" w:lineRule="auto"/>
              <w:jc w:val="center"/>
              <w:rPr>
                <w:rFonts w:ascii="Futura Std Condensed Light" w:eastAsia="Calibri" w:hAnsi="Futura Std Condensed Light" w:cs="Calibri"/>
                <w:sz w:val="20"/>
                <w:szCs w:val="20"/>
              </w:rPr>
            </w:pPr>
            <w:r w:rsidRPr="002C3625">
              <w:rPr>
                <w:rFonts w:ascii="Futura Std Condensed Light" w:eastAsia="Calibri" w:hAnsi="Futura Std Condensed Light" w:cs="Calibri"/>
                <w:b/>
                <w:sz w:val="20"/>
                <w:szCs w:val="20"/>
              </w:rPr>
              <w:t>Unidad de Medida</w:t>
            </w:r>
            <w:r w:rsidRPr="00E73D1F">
              <w:rPr>
                <w:rFonts w:ascii="Futura Std Condensed Light" w:eastAsia="Calibri" w:hAnsi="Futura Std Condensed Light" w:cs="Calibri"/>
                <w:sz w:val="20"/>
                <w:szCs w:val="20"/>
              </w:rPr>
              <w:t>:</w:t>
            </w:r>
          </w:p>
        </w:tc>
        <w:tc>
          <w:tcPr>
            <w:tcW w:w="1054" w:type="pct"/>
          </w:tcPr>
          <w:p w14:paraId="4B929D3B" w14:textId="77777777" w:rsidR="0021177B" w:rsidRPr="00E73D1F" w:rsidRDefault="0021177B" w:rsidP="009E3B2F">
            <w:pPr>
              <w:spacing w:after="0" w:line="240" w:lineRule="auto"/>
              <w:jc w:val="center"/>
              <w:rPr>
                <w:rFonts w:ascii="Futura Std Condensed Light" w:eastAsia="Calibri" w:hAnsi="Futura Std Condensed Light" w:cs="Calibri"/>
                <w:sz w:val="20"/>
                <w:szCs w:val="20"/>
              </w:rPr>
            </w:pPr>
            <w:r w:rsidRPr="00E73D1F">
              <w:rPr>
                <w:rFonts w:ascii="Futura Std Condensed Light" w:eastAsia="Calibri" w:hAnsi="Futura Std Condensed Light" w:cs="Calibri"/>
                <w:sz w:val="20"/>
                <w:szCs w:val="20"/>
              </w:rPr>
              <w:t>Alumnos</w:t>
            </w:r>
          </w:p>
        </w:tc>
      </w:tr>
      <w:tr w:rsidR="0021177B" w:rsidRPr="00D12127" w14:paraId="396C9236" w14:textId="77777777" w:rsidTr="009E3B2F">
        <w:trPr>
          <w:trHeight w:val="449"/>
        </w:trPr>
        <w:tc>
          <w:tcPr>
            <w:tcW w:w="817" w:type="pct"/>
          </w:tcPr>
          <w:p w14:paraId="6172DF08" w14:textId="77777777" w:rsidR="0021177B" w:rsidRPr="00E73D1F" w:rsidRDefault="0021177B" w:rsidP="009E3B2F">
            <w:pPr>
              <w:spacing w:after="0" w:line="240" w:lineRule="auto"/>
              <w:jc w:val="center"/>
              <w:rPr>
                <w:rFonts w:ascii="Futura Std Condensed Light" w:eastAsia="Calibri" w:hAnsi="Futura Std Condensed Light" w:cs="Calibri"/>
                <w:b/>
                <w:sz w:val="20"/>
                <w:szCs w:val="20"/>
              </w:rPr>
            </w:pPr>
            <w:r w:rsidRPr="00E73D1F">
              <w:rPr>
                <w:rFonts w:ascii="Futura Std Condensed Light" w:eastAsia="Calibri" w:hAnsi="Futura Std Condensed Light" w:cs="Calibri"/>
                <w:b/>
                <w:sz w:val="20"/>
                <w:szCs w:val="20"/>
              </w:rPr>
              <w:t>Descripción:</w:t>
            </w:r>
          </w:p>
        </w:tc>
        <w:tc>
          <w:tcPr>
            <w:tcW w:w="4183" w:type="pct"/>
            <w:gridSpan w:val="5"/>
          </w:tcPr>
          <w:p w14:paraId="0EE31A17" w14:textId="77777777" w:rsidR="0021177B" w:rsidRPr="00E73D1F" w:rsidRDefault="0021177B" w:rsidP="009E3B2F">
            <w:pPr>
              <w:spacing w:after="0" w:line="240" w:lineRule="auto"/>
              <w:jc w:val="center"/>
              <w:rPr>
                <w:rFonts w:ascii="Futura Std Condensed Light" w:eastAsia="Calibri" w:hAnsi="Futura Std Condensed Light" w:cs="Calibri"/>
                <w:sz w:val="20"/>
                <w:szCs w:val="20"/>
              </w:rPr>
            </w:pPr>
            <w:r w:rsidRPr="00E73D1F">
              <w:rPr>
                <w:rFonts w:ascii="Futura Std Condensed Light" w:eastAsia="Calibri" w:hAnsi="Futura Std Condensed Light" w:cs="Calibri"/>
                <w:sz w:val="20"/>
                <w:szCs w:val="20"/>
              </w:rPr>
              <w:t xml:space="preserve">Se busca la inserción de los niños en edad de iniciar su educación inicial (45 días a 2 años 11 meses) al sistema educativo   con la finalidad de ampliar la cobertura.                                    </w:t>
            </w:r>
          </w:p>
        </w:tc>
      </w:tr>
      <w:tr w:rsidR="0021177B" w:rsidRPr="00D12127" w14:paraId="751E1B8D" w14:textId="77777777" w:rsidTr="009E3B2F">
        <w:trPr>
          <w:trHeight w:val="484"/>
        </w:trPr>
        <w:tc>
          <w:tcPr>
            <w:tcW w:w="1768" w:type="pct"/>
            <w:gridSpan w:val="2"/>
          </w:tcPr>
          <w:p w14:paraId="153201C1" w14:textId="77777777" w:rsidR="0021177B" w:rsidRPr="00E73D1F" w:rsidRDefault="0021177B" w:rsidP="009E3B2F">
            <w:pPr>
              <w:spacing w:after="0" w:line="240" w:lineRule="auto"/>
              <w:jc w:val="center"/>
              <w:rPr>
                <w:rFonts w:ascii="Futura Std Condensed Light" w:eastAsia="Calibri" w:hAnsi="Futura Std Condensed Light" w:cs="Calibri"/>
                <w:b/>
                <w:sz w:val="20"/>
                <w:szCs w:val="20"/>
              </w:rPr>
            </w:pPr>
            <w:r w:rsidRPr="00E73D1F">
              <w:rPr>
                <w:rFonts w:ascii="Futura Std Condensed Light" w:eastAsia="Calibri" w:hAnsi="Futura Std Condensed Light" w:cs="Calibri"/>
                <w:b/>
                <w:sz w:val="20"/>
                <w:szCs w:val="20"/>
              </w:rPr>
              <w:t>Medio de verificación:</w:t>
            </w:r>
          </w:p>
        </w:tc>
        <w:tc>
          <w:tcPr>
            <w:tcW w:w="3232" w:type="pct"/>
            <w:gridSpan w:val="4"/>
          </w:tcPr>
          <w:p w14:paraId="3A79FE50" w14:textId="77777777" w:rsidR="0021177B" w:rsidRPr="00E73D1F" w:rsidRDefault="0021177B" w:rsidP="009E3B2F">
            <w:pPr>
              <w:spacing w:after="0" w:line="240" w:lineRule="auto"/>
              <w:jc w:val="center"/>
              <w:rPr>
                <w:rFonts w:ascii="Futura Std Condensed Light" w:eastAsia="Calibri" w:hAnsi="Futura Std Condensed Light" w:cs="Calibri"/>
                <w:sz w:val="20"/>
                <w:szCs w:val="20"/>
              </w:rPr>
            </w:pPr>
            <w:r w:rsidRPr="00E73D1F">
              <w:rPr>
                <w:rFonts w:ascii="Futura Std Condensed Light" w:eastAsia="Calibri" w:hAnsi="Futura Std Condensed Light" w:cs="Calibri"/>
                <w:sz w:val="20"/>
                <w:szCs w:val="20"/>
              </w:rPr>
              <w:t>Matrícula de educación inicial de la estadística 911</w:t>
            </w:r>
          </w:p>
        </w:tc>
      </w:tr>
      <w:tr w:rsidR="0021177B" w:rsidRPr="00D12127" w14:paraId="1C47A68C" w14:textId="77777777" w:rsidTr="009E3B2F">
        <w:trPr>
          <w:trHeight w:val="484"/>
        </w:trPr>
        <w:tc>
          <w:tcPr>
            <w:tcW w:w="1768" w:type="pct"/>
            <w:gridSpan w:val="2"/>
          </w:tcPr>
          <w:p w14:paraId="1F13DDEC" w14:textId="77777777" w:rsidR="0021177B" w:rsidRPr="00E73D1F" w:rsidRDefault="0021177B" w:rsidP="009E3B2F">
            <w:pPr>
              <w:spacing w:after="0" w:line="240" w:lineRule="auto"/>
              <w:jc w:val="center"/>
              <w:rPr>
                <w:rFonts w:ascii="Futura Std Condensed Light" w:eastAsia="Calibri" w:hAnsi="Futura Std Condensed Light" w:cs="Calibri"/>
                <w:b/>
                <w:sz w:val="20"/>
                <w:szCs w:val="20"/>
              </w:rPr>
            </w:pPr>
            <w:r w:rsidRPr="00E73D1F">
              <w:rPr>
                <w:rFonts w:ascii="Futura Std Condensed Light" w:eastAsia="Calibri" w:hAnsi="Futura Std Condensed Light" w:cs="Calibri"/>
                <w:b/>
                <w:sz w:val="20"/>
                <w:szCs w:val="20"/>
              </w:rPr>
              <w:t>Línea base:</w:t>
            </w:r>
          </w:p>
        </w:tc>
        <w:tc>
          <w:tcPr>
            <w:tcW w:w="726" w:type="pct"/>
          </w:tcPr>
          <w:p w14:paraId="58355736" w14:textId="77777777" w:rsidR="0021177B" w:rsidRPr="00E73D1F" w:rsidRDefault="0021177B" w:rsidP="009E3B2F">
            <w:pPr>
              <w:spacing w:after="0" w:line="240" w:lineRule="auto"/>
              <w:jc w:val="center"/>
              <w:rPr>
                <w:rFonts w:ascii="Futura Std Condensed Light" w:eastAsia="Calibri" w:hAnsi="Futura Std Condensed Light" w:cs="Calibri"/>
                <w:sz w:val="20"/>
                <w:szCs w:val="20"/>
              </w:rPr>
            </w:pPr>
            <w:r w:rsidRPr="00E73D1F">
              <w:rPr>
                <w:rFonts w:ascii="Futura Std Condensed Light" w:eastAsia="Calibri" w:hAnsi="Futura Std Condensed Light" w:cs="Calibri"/>
                <w:sz w:val="20"/>
                <w:szCs w:val="20"/>
              </w:rPr>
              <w:t>2,161</w:t>
            </w:r>
          </w:p>
        </w:tc>
        <w:tc>
          <w:tcPr>
            <w:tcW w:w="1452" w:type="pct"/>
            <w:gridSpan w:val="2"/>
          </w:tcPr>
          <w:p w14:paraId="115FA077" w14:textId="77777777" w:rsidR="0021177B" w:rsidRPr="00E73D1F" w:rsidRDefault="0021177B" w:rsidP="009E3B2F">
            <w:pPr>
              <w:spacing w:after="0" w:line="240" w:lineRule="auto"/>
              <w:jc w:val="center"/>
              <w:rPr>
                <w:rFonts w:ascii="Futura Std Condensed Light" w:eastAsia="Calibri" w:hAnsi="Futura Std Condensed Light" w:cs="Calibri"/>
                <w:b/>
                <w:sz w:val="20"/>
                <w:szCs w:val="20"/>
              </w:rPr>
            </w:pPr>
            <w:r w:rsidRPr="00E73D1F">
              <w:rPr>
                <w:rFonts w:ascii="Futura Std Condensed Light" w:eastAsia="Calibri" w:hAnsi="Futura Std Condensed Light" w:cs="Calibri"/>
                <w:b/>
                <w:sz w:val="20"/>
                <w:szCs w:val="20"/>
              </w:rPr>
              <w:t>Año de línea base:</w:t>
            </w:r>
          </w:p>
        </w:tc>
        <w:tc>
          <w:tcPr>
            <w:tcW w:w="1054" w:type="pct"/>
          </w:tcPr>
          <w:p w14:paraId="1C9BB3A6" w14:textId="77777777" w:rsidR="0021177B" w:rsidRPr="00E73D1F" w:rsidRDefault="0021177B" w:rsidP="009E3B2F">
            <w:pPr>
              <w:spacing w:after="0" w:line="240" w:lineRule="auto"/>
              <w:jc w:val="center"/>
              <w:rPr>
                <w:rFonts w:ascii="Futura Std Condensed Light" w:eastAsia="Calibri" w:hAnsi="Futura Std Condensed Light" w:cs="Calibri"/>
                <w:sz w:val="20"/>
                <w:szCs w:val="20"/>
              </w:rPr>
            </w:pPr>
            <w:r w:rsidRPr="00E73D1F">
              <w:rPr>
                <w:rFonts w:ascii="Futura Std Condensed Light" w:eastAsia="Calibri" w:hAnsi="Futura Std Condensed Light" w:cs="Calibri"/>
                <w:sz w:val="20"/>
                <w:szCs w:val="20"/>
              </w:rPr>
              <w:t>2016</w:t>
            </w:r>
          </w:p>
        </w:tc>
      </w:tr>
      <w:tr w:rsidR="0021177B" w:rsidRPr="00D12127" w14:paraId="4D24B157" w14:textId="77777777" w:rsidTr="009E3B2F">
        <w:trPr>
          <w:trHeight w:val="484"/>
        </w:trPr>
        <w:tc>
          <w:tcPr>
            <w:tcW w:w="1768" w:type="pct"/>
            <w:gridSpan w:val="2"/>
          </w:tcPr>
          <w:p w14:paraId="03CD0807" w14:textId="77777777" w:rsidR="0021177B" w:rsidRPr="00E73D1F" w:rsidRDefault="0021177B" w:rsidP="009E3B2F">
            <w:pPr>
              <w:spacing w:after="0" w:line="240" w:lineRule="auto"/>
              <w:jc w:val="center"/>
              <w:rPr>
                <w:rFonts w:ascii="Futura Std Condensed Light" w:eastAsia="Calibri" w:hAnsi="Futura Std Condensed Light" w:cs="Calibri"/>
                <w:b/>
                <w:sz w:val="20"/>
                <w:szCs w:val="20"/>
              </w:rPr>
            </w:pPr>
            <w:r w:rsidRPr="00E73D1F">
              <w:rPr>
                <w:rFonts w:ascii="Futura Std Condensed Light" w:eastAsia="Calibri" w:hAnsi="Futura Std Condensed Light" w:cs="Calibri"/>
                <w:b/>
                <w:sz w:val="20"/>
                <w:szCs w:val="20"/>
              </w:rPr>
              <w:t>Contribución Directa al Objetivo de la Agenda 2030</w:t>
            </w:r>
          </w:p>
        </w:tc>
        <w:tc>
          <w:tcPr>
            <w:tcW w:w="3232" w:type="pct"/>
            <w:gridSpan w:val="4"/>
          </w:tcPr>
          <w:p w14:paraId="6BB9ACBD" w14:textId="77777777" w:rsidR="0021177B" w:rsidRPr="00E73D1F" w:rsidRDefault="0021177B" w:rsidP="009E3B2F">
            <w:pPr>
              <w:spacing w:after="0" w:line="240" w:lineRule="auto"/>
              <w:jc w:val="center"/>
              <w:rPr>
                <w:rFonts w:ascii="Futura Std Condensed Light" w:eastAsia="Calibri" w:hAnsi="Futura Std Condensed Light" w:cs="Calibri"/>
                <w:sz w:val="20"/>
                <w:szCs w:val="20"/>
              </w:rPr>
            </w:pPr>
            <w:r w:rsidRPr="00E73D1F">
              <w:rPr>
                <w:rFonts w:ascii="Futura Std Condensed Light" w:eastAsia="Calibri" w:hAnsi="Futura Std Condensed Light" w:cs="Calibri"/>
                <w:sz w:val="20"/>
                <w:szCs w:val="20"/>
              </w:rPr>
              <w:t>Garantizar una educación inclusiva, equitativa y de calidad y promover oportunidades de aprendizaje durante toda la vida para todos</w:t>
            </w:r>
          </w:p>
        </w:tc>
      </w:tr>
      <w:tr w:rsidR="0021177B" w:rsidRPr="00D12127" w14:paraId="507BE7EB" w14:textId="77777777" w:rsidTr="009E3B2F">
        <w:trPr>
          <w:trHeight w:val="484"/>
        </w:trPr>
        <w:tc>
          <w:tcPr>
            <w:tcW w:w="1768" w:type="pct"/>
            <w:gridSpan w:val="2"/>
          </w:tcPr>
          <w:p w14:paraId="13B438FD" w14:textId="77777777" w:rsidR="0021177B" w:rsidRPr="00E73D1F" w:rsidRDefault="0021177B" w:rsidP="009E3B2F">
            <w:pPr>
              <w:spacing w:after="0" w:line="240" w:lineRule="auto"/>
              <w:jc w:val="center"/>
              <w:rPr>
                <w:rFonts w:ascii="Futura Std Condensed Light" w:eastAsia="Calibri" w:hAnsi="Futura Std Condensed Light" w:cs="Calibri"/>
                <w:b/>
                <w:sz w:val="20"/>
                <w:szCs w:val="20"/>
              </w:rPr>
            </w:pPr>
            <w:r w:rsidRPr="00E73D1F">
              <w:rPr>
                <w:rFonts w:ascii="Futura Std Condensed Light" w:eastAsia="Calibri" w:hAnsi="Futura Std Condensed Light" w:cs="Calibri"/>
                <w:b/>
                <w:sz w:val="20"/>
                <w:szCs w:val="20"/>
              </w:rPr>
              <w:t>Contribución Directa  a la Meta de la Agenda 2030</w:t>
            </w:r>
          </w:p>
        </w:tc>
        <w:tc>
          <w:tcPr>
            <w:tcW w:w="3232" w:type="pct"/>
            <w:gridSpan w:val="4"/>
          </w:tcPr>
          <w:p w14:paraId="03FB0859" w14:textId="77777777" w:rsidR="0021177B" w:rsidRPr="00E73D1F" w:rsidRDefault="0021177B" w:rsidP="009E3B2F">
            <w:pPr>
              <w:spacing w:after="0" w:line="240" w:lineRule="auto"/>
              <w:jc w:val="center"/>
              <w:rPr>
                <w:rFonts w:ascii="Futura Std Condensed Light" w:eastAsia="Calibri" w:hAnsi="Futura Std Condensed Light" w:cs="Calibri"/>
                <w:sz w:val="20"/>
                <w:szCs w:val="20"/>
              </w:rPr>
            </w:pPr>
            <w:r w:rsidRPr="00E73D1F">
              <w:rPr>
                <w:rFonts w:ascii="Futura Std Condensed Light" w:eastAsia="Calibri" w:hAnsi="Futura Std Condensed Light" w:cs="Calibri"/>
                <w:sz w:val="20"/>
                <w:szCs w:val="20"/>
              </w:rPr>
              <w:t>De aquí a 2030, asegurar que todas las niñas y todos los niños tengan acceso a servicios de atención y desarrollo en la primera infancia y educación preescolar de calidad, a fin de que estén preparados para la enseñanza primaria.</w:t>
            </w:r>
          </w:p>
        </w:tc>
      </w:tr>
      <w:tr w:rsidR="0021177B" w:rsidRPr="00D12127" w14:paraId="0BC651E2" w14:textId="77777777" w:rsidTr="009E3B2F">
        <w:trPr>
          <w:trHeight w:val="484"/>
        </w:trPr>
        <w:tc>
          <w:tcPr>
            <w:tcW w:w="1768" w:type="pct"/>
            <w:gridSpan w:val="2"/>
          </w:tcPr>
          <w:p w14:paraId="3C7CF4F1" w14:textId="77777777" w:rsidR="0021177B" w:rsidRPr="00E73D1F" w:rsidRDefault="0021177B" w:rsidP="009E3B2F">
            <w:pPr>
              <w:spacing w:after="0" w:line="240" w:lineRule="auto"/>
              <w:jc w:val="center"/>
              <w:rPr>
                <w:rFonts w:ascii="Futura Std Condensed Light" w:eastAsia="Calibri" w:hAnsi="Futura Std Condensed Light" w:cs="Calibri"/>
                <w:b/>
                <w:sz w:val="20"/>
                <w:szCs w:val="20"/>
              </w:rPr>
            </w:pPr>
            <w:r w:rsidRPr="00E73D1F">
              <w:rPr>
                <w:rFonts w:ascii="Futura Std Condensed Light" w:eastAsia="Calibri" w:hAnsi="Futura Std Condensed Light" w:cs="Calibri"/>
                <w:b/>
                <w:sz w:val="20"/>
                <w:szCs w:val="20"/>
              </w:rPr>
              <w:t>Tema / Proyecto Prioritario de Quintana Roo</w:t>
            </w:r>
          </w:p>
        </w:tc>
        <w:tc>
          <w:tcPr>
            <w:tcW w:w="3232" w:type="pct"/>
            <w:gridSpan w:val="4"/>
          </w:tcPr>
          <w:p w14:paraId="20CDA1D6" w14:textId="77777777" w:rsidR="0021177B" w:rsidRPr="00E73D1F" w:rsidRDefault="0021177B" w:rsidP="009E3B2F">
            <w:pPr>
              <w:spacing w:after="0" w:line="240" w:lineRule="auto"/>
              <w:jc w:val="center"/>
              <w:rPr>
                <w:rFonts w:ascii="Futura Std Condensed Light" w:eastAsia="Calibri" w:hAnsi="Futura Std Condensed Light" w:cs="Calibri"/>
                <w:sz w:val="20"/>
                <w:szCs w:val="20"/>
              </w:rPr>
            </w:pPr>
            <w:r w:rsidRPr="00E73D1F">
              <w:rPr>
                <w:rFonts w:ascii="Futura Std Condensed Light" w:eastAsia="Calibri" w:hAnsi="Futura Std Condensed Light" w:cs="Calibri"/>
                <w:sz w:val="20"/>
                <w:szCs w:val="20"/>
              </w:rPr>
              <w:t>24.5 Abatir el rezago educativo</w:t>
            </w:r>
            <w:r>
              <w:rPr>
                <w:rFonts w:ascii="Futura Std Condensed Light" w:eastAsia="Calibri" w:hAnsi="Futura Std Condensed Light" w:cs="Calibri"/>
                <w:sz w:val="20"/>
                <w:szCs w:val="20"/>
              </w:rPr>
              <w:t xml:space="preserve">. </w:t>
            </w:r>
          </w:p>
        </w:tc>
      </w:tr>
      <w:tr w:rsidR="0021177B" w:rsidRPr="00D12127" w14:paraId="5A3DC112" w14:textId="77777777" w:rsidTr="009E3B2F">
        <w:trPr>
          <w:trHeight w:val="484"/>
        </w:trPr>
        <w:tc>
          <w:tcPr>
            <w:tcW w:w="1768" w:type="pct"/>
            <w:gridSpan w:val="2"/>
          </w:tcPr>
          <w:p w14:paraId="523FF4FC" w14:textId="77777777" w:rsidR="0021177B" w:rsidRPr="00E73D1F" w:rsidRDefault="0021177B" w:rsidP="009E3B2F">
            <w:pPr>
              <w:spacing w:after="0" w:line="240" w:lineRule="auto"/>
              <w:jc w:val="center"/>
              <w:rPr>
                <w:rFonts w:ascii="Futura Std Condensed Light" w:eastAsia="Calibri" w:hAnsi="Futura Std Condensed Light" w:cs="Calibri"/>
                <w:b/>
                <w:sz w:val="20"/>
                <w:szCs w:val="20"/>
              </w:rPr>
            </w:pPr>
            <w:r w:rsidRPr="00E73D1F">
              <w:rPr>
                <w:rFonts w:ascii="Futura Std Condensed Light" w:eastAsia="Calibri" w:hAnsi="Futura Std Condensed Light" w:cs="Calibri"/>
                <w:b/>
                <w:sz w:val="20"/>
                <w:szCs w:val="20"/>
              </w:rPr>
              <w:t>Subtema Prioritario de Quintana Roo</w:t>
            </w:r>
          </w:p>
        </w:tc>
        <w:tc>
          <w:tcPr>
            <w:tcW w:w="3232" w:type="pct"/>
            <w:gridSpan w:val="4"/>
          </w:tcPr>
          <w:p w14:paraId="7AA655FD" w14:textId="77777777" w:rsidR="0021177B" w:rsidRPr="00E73D1F" w:rsidRDefault="0021177B" w:rsidP="009E3B2F">
            <w:pPr>
              <w:spacing w:after="0" w:line="240" w:lineRule="auto"/>
              <w:jc w:val="center"/>
              <w:rPr>
                <w:rFonts w:ascii="Futura Std Condensed Light" w:eastAsia="Calibri" w:hAnsi="Futura Std Condensed Light" w:cs="Calibri"/>
                <w:sz w:val="20"/>
                <w:szCs w:val="20"/>
              </w:rPr>
            </w:pPr>
            <w:r w:rsidRPr="00E73D1F">
              <w:rPr>
                <w:rFonts w:ascii="Futura Std Condensed Light" w:eastAsia="Calibri" w:hAnsi="Futura Std Condensed Light" w:cs="Calibri"/>
                <w:sz w:val="20"/>
                <w:szCs w:val="20"/>
              </w:rPr>
              <w:t>N/A</w:t>
            </w:r>
          </w:p>
        </w:tc>
      </w:tr>
      <w:tr w:rsidR="0021177B" w:rsidRPr="00D12127" w14:paraId="3217E22B" w14:textId="77777777" w:rsidTr="009E3B2F">
        <w:trPr>
          <w:trHeight w:val="484"/>
        </w:trPr>
        <w:tc>
          <w:tcPr>
            <w:tcW w:w="5000" w:type="pct"/>
            <w:gridSpan w:val="6"/>
          </w:tcPr>
          <w:p w14:paraId="0E24BA9D" w14:textId="77777777" w:rsidR="0021177B" w:rsidRPr="00E73D1F" w:rsidRDefault="0021177B" w:rsidP="009E3B2F">
            <w:pPr>
              <w:spacing w:after="0" w:line="240" w:lineRule="auto"/>
              <w:jc w:val="center"/>
              <w:rPr>
                <w:rFonts w:ascii="Futura Std Condensed Light" w:eastAsia="Calibri" w:hAnsi="Futura Std Condensed Light" w:cs="Calibri"/>
                <w:b/>
                <w:sz w:val="20"/>
                <w:szCs w:val="20"/>
              </w:rPr>
            </w:pPr>
            <w:r w:rsidRPr="00E73D1F">
              <w:rPr>
                <w:rFonts w:ascii="Futura Std Condensed Light" w:eastAsia="Calibri" w:hAnsi="Futura Std Condensed Light" w:cs="Calibri"/>
                <w:b/>
                <w:sz w:val="20"/>
                <w:szCs w:val="20"/>
              </w:rPr>
              <w:t>Meta Total:</w:t>
            </w:r>
          </w:p>
        </w:tc>
      </w:tr>
      <w:tr w:rsidR="0021177B" w:rsidRPr="00D12127" w14:paraId="473297EE" w14:textId="77777777" w:rsidTr="009E3B2F">
        <w:trPr>
          <w:trHeight w:val="484"/>
        </w:trPr>
        <w:tc>
          <w:tcPr>
            <w:tcW w:w="817" w:type="pct"/>
          </w:tcPr>
          <w:p w14:paraId="594C49E3" w14:textId="77777777" w:rsidR="0021177B" w:rsidRPr="00E73D1F" w:rsidRDefault="0021177B" w:rsidP="009E3B2F">
            <w:pPr>
              <w:spacing w:after="0" w:line="240" w:lineRule="auto"/>
              <w:jc w:val="center"/>
              <w:rPr>
                <w:rFonts w:ascii="Futura Std Condensed Light" w:eastAsia="Calibri" w:hAnsi="Futura Std Condensed Light" w:cs="Calibri"/>
                <w:b/>
                <w:sz w:val="20"/>
                <w:szCs w:val="20"/>
              </w:rPr>
            </w:pPr>
            <w:r w:rsidRPr="00E73D1F">
              <w:rPr>
                <w:rFonts w:ascii="Futura Std Condensed Light" w:eastAsia="Calibri" w:hAnsi="Futura Std Condensed Light" w:cs="Calibri"/>
                <w:b/>
                <w:sz w:val="20"/>
                <w:szCs w:val="20"/>
              </w:rPr>
              <w:t>2017</w:t>
            </w:r>
          </w:p>
        </w:tc>
        <w:tc>
          <w:tcPr>
            <w:tcW w:w="951" w:type="pct"/>
          </w:tcPr>
          <w:p w14:paraId="5EBB6121" w14:textId="77777777" w:rsidR="0021177B" w:rsidRPr="00E73D1F" w:rsidRDefault="0021177B" w:rsidP="009E3B2F">
            <w:pPr>
              <w:spacing w:after="0" w:line="240" w:lineRule="auto"/>
              <w:jc w:val="center"/>
              <w:rPr>
                <w:rFonts w:ascii="Futura Std Condensed Light" w:eastAsia="Calibri" w:hAnsi="Futura Std Condensed Light" w:cs="Calibri"/>
                <w:b/>
                <w:sz w:val="20"/>
                <w:szCs w:val="20"/>
              </w:rPr>
            </w:pPr>
            <w:r w:rsidRPr="00E73D1F">
              <w:rPr>
                <w:rFonts w:ascii="Futura Std Condensed Light" w:eastAsia="Calibri" w:hAnsi="Futura Std Condensed Light" w:cs="Calibri"/>
                <w:b/>
                <w:sz w:val="20"/>
                <w:szCs w:val="20"/>
              </w:rPr>
              <w:t>2018</w:t>
            </w:r>
          </w:p>
        </w:tc>
        <w:tc>
          <w:tcPr>
            <w:tcW w:w="726" w:type="pct"/>
          </w:tcPr>
          <w:p w14:paraId="558A1CC2" w14:textId="77777777" w:rsidR="0021177B" w:rsidRPr="00E73D1F" w:rsidRDefault="0021177B" w:rsidP="009E3B2F">
            <w:pPr>
              <w:spacing w:after="0" w:line="240" w:lineRule="auto"/>
              <w:jc w:val="center"/>
              <w:rPr>
                <w:rFonts w:ascii="Futura Std Condensed Light" w:eastAsia="Calibri" w:hAnsi="Futura Std Condensed Light" w:cs="Calibri"/>
                <w:b/>
                <w:sz w:val="20"/>
                <w:szCs w:val="20"/>
              </w:rPr>
            </w:pPr>
            <w:r w:rsidRPr="00E73D1F">
              <w:rPr>
                <w:rFonts w:ascii="Futura Std Condensed Light" w:eastAsia="Calibri" w:hAnsi="Futura Std Condensed Light" w:cs="Calibri"/>
                <w:b/>
                <w:sz w:val="20"/>
                <w:szCs w:val="20"/>
              </w:rPr>
              <w:t>2019</w:t>
            </w:r>
          </w:p>
        </w:tc>
        <w:tc>
          <w:tcPr>
            <w:tcW w:w="726" w:type="pct"/>
          </w:tcPr>
          <w:p w14:paraId="2E7E1C4A" w14:textId="77777777" w:rsidR="0021177B" w:rsidRPr="00E73D1F" w:rsidRDefault="0021177B" w:rsidP="009E3B2F">
            <w:pPr>
              <w:spacing w:after="0" w:line="240" w:lineRule="auto"/>
              <w:jc w:val="center"/>
              <w:rPr>
                <w:rFonts w:ascii="Futura Std Condensed Light" w:eastAsia="Calibri" w:hAnsi="Futura Std Condensed Light" w:cs="Calibri"/>
                <w:b/>
                <w:sz w:val="20"/>
                <w:szCs w:val="20"/>
              </w:rPr>
            </w:pPr>
            <w:r w:rsidRPr="00E73D1F">
              <w:rPr>
                <w:rFonts w:ascii="Futura Std Condensed Light" w:eastAsia="Calibri" w:hAnsi="Futura Std Condensed Light" w:cs="Calibri"/>
                <w:b/>
                <w:sz w:val="20"/>
                <w:szCs w:val="20"/>
              </w:rPr>
              <w:t>2020</w:t>
            </w:r>
          </w:p>
        </w:tc>
        <w:tc>
          <w:tcPr>
            <w:tcW w:w="726" w:type="pct"/>
          </w:tcPr>
          <w:p w14:paraId="3710063F" w14:textId="77777777" w:rsidR="0021177B" w:rsidRPr="00E73D1F" w:rsidRDefault="0021177B" w:rsidP="009E3B2F">
            <w:pPr>
              <w:spacing w:after="0" w:line="240" w:lineRule="auto"/>
              <w:jc w:val="center"/>
              <w:rPr>
                <w:rFonts w:ascii="Futura Std Condensed Light" w:eastAsia="Calibri" w:hAnsi="Futura Std Condensed Light" w:cs="Calibri"/>
                <w:b/>
                <w:sz w:val="20"/>
                <w:szCs w:val="20"/>
              </w:rPr>
            </w:pPr>
            <w:r w:rsidRPr="00E73D1F">
              <w:rPr>
                <w:rFonts w:ascii="Futura Std Condensed Light" w:eastAsia="Calibri" w:hAnsi="Futura Std Condensed Light" w:cs="Calibri"/>
                <w:b/>
                <w:sz w:val="20"/>
                <w:szCs w:val="20"/>
              </w:rPr>
              <w:t>2021</w:t>
            </w:r>
          </w:p>
        </w:tc>
        <w:tc>
          <w:tcPr>
            <w:tcW w:w="1054" w:type="pct"/>
          </w:tcPr>
          <w:p w14:paraId="7CCC5DAC" w14:textId="77777777" w:rsidR="0021177B" w:rsidRPr="00E73D1F" w:rsidRDefault="0021177B" w:rsidP="009E3B2F">
            <w:pPr>
              <w:spacing w:after="0" w:line="240" w:lineRule="auto"/>
              <w:jc w:val="center"/>
              <w:rPr>
                <w:rFonts w:ascii="Futura Std Condensed Light" w:eastAsia="Calibri" w:hAnsi="Futura Std Condensed Light" w:cs="Calibri"/>
                <w:b/>
                <w:sz w:val="20"/>
                <w:szCs w:val="20"/>
              </w:rPr>
            </w:pPr>
            <w:r w:rsidRPr="00E73D1F">
              <w:rPr>
                <w:rFonts w:ascii="Futura Std Condensed Light" w:eastAsia="Calibri" w:hAnsi="Futura Std Condensed Light" w:cs="Calibri"/>
                <w:b/>
                <w:sz w:val="20"/>
                <w:szCs w:val="20"/>
              </w:rPr>
              <w:t>2022</w:t>
            </w:r>
          </w:p>
        </w:tc>
      </w:tr>
      <w:tr w:rsidR="0021177B" w:rsidRPr="00D12127" w14:paraId="0F3E548B" w14:textId="77777777" w:rsidTr="009E3B2F">
        <w:trPr>
          <w:trHeight w:val="484"/>
        </w:trPr>
        <w:tc>
          <w:tcPr>
            <w:tcW w:w="817" w:type="pct"/>
          </w:tcPr>
          <w:p w14:paraId="7AFB5675" w14:textId="77777777" w:rsidR="0021177B" w:rsidRPr="00E73D1F" w:rsidRDefault="0021177B" w:rsidP="009E3B2F">
            <w:pPr>
              <w:spacing w:after="0" w:line="240" w:lineRule="auto"/>
              <w:jc w:val="center"/>
              <w:rPr>
                <w:rFonts w:ascii="Futura Std Condensed Light" w:eastAsia="Calibri" w:hAnsi="Futura Std Condensed Light" w:cs="Calibri"/>
                <w:sz w:val="20"/>
                <w:szCs w:val="20"/>
              </w:rPr>
            </w:pPr>
            <w:r w:rsidRPr="00E73D1F">
              <w:rPr>
                <w:rFonts w:ascii="Futura Std Condensed Light" w:eastAsia="Calibri" w:hAnsi="Futura Std Condensed Light" w:cs="Calibri"/>
                <w:sz w:val="20"/>
                <w:szCs w:val="20"/>
              </w:rPr>
              <w:t>3,026</w:t>
            </w:r>
          </w:p>
        </w:tc>
        <w:tc>
          <w:tcPr>
            <w:tcW w:w="951" w:type="pct"/>
          </w:tcPr>
          <w:p w14:paraId="1730ADE8" w14:textId="77777777" w:rsidR="0021177B" w:rsidRPr="00E73D1F" w:rsidRDefault="0021177B" w:rsidP="009E3B2F">
            <w:pPr>
              <w:spacing w:after="0" w:line="240" w:lineRule="auto"/>
              <w:jc w:val="center"/>
              <w:rPr>
                <w:rFonts w:ascii="Futura Std Condensed Light" w:eastAsia="Calibri" w:hAnsi="Futura Std Condensed Light" w:cs="Calibri"/>
                <w:sz w:val="20"/>
                <w:szCs w:val="20"/>
              </w:rPr>
            </w:pPr>
            <w:r w:rsidRPr="00E73D1F">
              <w:rPr>
                <w:rFonts w:ascii="Futura Std Condensed Light" w:eastAsia="Calibri" w:hAnsi="Futura Std Condensed Light" w:cs="Calibri"/>
                <w:sz w:val="20"/>
                <w:szCs w:val="20"/>
              </w:rPr>
              <w:t>2,742</w:t>
            </w:r>
          </w:p>
        </w:tc>
        <w:tc>
          <w:tcPr>
            <w:tcW w:w="726" w:type="pct"/>
          </w:tcPr>
          <w:p w14:paraId="418C6A3C" w14:textId="77777777" w:rsidR="0021177B" w:rsidRPr="00E73D1F" w:rsidRDefault="0021177B" w:rsidP="009E3B2F">
            <w:pPr>
              <w:spacing w:after="0" w:line="240" w:lineRule="auto"/>
              <w:jc w:val="center"/>
              <w:rPr>
                <w:rFonts w:ascii="Futura Std Condensed Light" w:eastAsia="Calibri" w:hAnsi="Futura Std Condensed Light" w:cs="Calibri"/>
                <w:sz w:val="20"/>
                <w:szCs w:val="20"/>
              </w:rPr>
            </w:pPr>
            <w:r w:rsidRPr="00E73D1F">
              <w:rPr>
                <w:rFonts w:ascii="Futura Std Condensed Light" w:eastAsia="Calibri" w:hAnsi="Futura Std Condensed Light" w:cs="Calibri"/>
                <w:sz w:val="20"/>
                <w:szCs w:val="20"/>
              </w:rPr>
              <w:t>2,459</w:t>
            </w:r>
          </w:p>
        </w:tc>
        <w:tc>
          <w:tcPr>
            <w:tcW w:w="726" w:type="pct"/>
          </w:tcPr>
          <w:p w14:paraId="42D4482E" w14:textId="77777777" w:rsidR="0021177B" w:rsidRPr="00E73D1F" w:rsidRDefault="0021177B" w:rsidP="009E3B2F">
            <w:pPr>
              <w:spacing w:after="0" w:line="240" w:lineRule="auto"/>
              <w:jc w:val="center"/>
              <w:rPr>
                <w:rFonts w:ascii="Futura Std Condensed Light" w:eastAsia="Calibri" w:hAnsi="Futura Std Condensed Light" w:cs="Calibri"/>
                <w:sz w:val="20"/>
                <w:szCs w:val="20"/>
              </w:rPr>
            </w:pPr>
            <w:r w:rsidRPr="00E73D1F">
              <w:rPr>
                <w:rFonts w:ascii="Futura Std Condensed Light" w:eastAsia="Calibri" w:hAnsi="Futura Std Condensed Light" w:cs="Calibri"/>
                <w:sz w:val="20"/>
                <w:szCs w:val="20"/>
              </w:rPr>
              <w:t>2,547</w:t>
            </w:r>
          </w:p>
        </w:tc>
        <w:tc>
          <w:tcPr>
            <w:tcW w:w="726" w:type="pct"/>
          </w:tcPr>
          <w:p w14:paraId="64E1D205" w14:textId="77777777" w:rsidR="0021177B" w:rsidRPr="00E73D1F" w:rsidRDefault="0021177B" w:rsidP="009E3B2F">
            <w:pPr>
              <w:spacing w:after="0" w:line="240" w:lineRule="auto"/>
              <w:jc w:val="center"/>
              <w:rPr>
                <w:rFonts w:ascii="Futura Std Condensed Light" w:eastAsia="Calibri" w:hAnsi="Futura Std Condensed Light" w:cs="Calibri"/>
                <w:sz w:val="20"/>
                <w:szCs w:val="20"/>
              </w:rPr>
            </w:pPr>
            <w:r w:rsidRPr="00E73D1F">
              <w:rPr>
                <w:rFonts w:ascii="Futura Std Condensed Light" w:eastAsia="Calibri" w:hAnsi="Futura Std Condensed Light" w:cs="Calibri"/>
                <w:sz w:val="20"/>
                <w:szCs w:val="20"/>
              </w:rPr>
              <w:t>2,602</w:t>
            </w:r>
          </w:p>
        </w:tc>
        <w:tc>
          <w:tcPr>
            <w:tcW w:w="1054" w:type="pct"/>
          </w:tcPr>
          <w:p w14:paraId="4642E454" w14:textId="77777777" w:rsidR="0021177B" w:rsidRPr="00E73D1F" w:rsidRDefault="0021177B" w:rsidP="009E3B2F">
            <w:pPr>
              <w:spacing w:after="0" w:line="240" w:lineRule="auto"/>
              <w:jc w:val="center"/>
              <w:rPr>
                <w:rFonts w:ascii="Futura Std Condensed Light" w:eastAsia="Calibri" w:hAnsi="Futura Std Condensed Light" w:cs="Calibri"/>
                <w:sz w:val="20"/>
                <w:szCs w:val="20"/>
              </w:rPr>
            </w:pPr>
            <w:r w:rsidRPr="00E73D1F">
              <w:rPr>
                <w:rFonts w:ascii="Futura Std Condensed Light" w:eastAsia="Calibri" w:hAnsi="Futura Std Condensed Light" w:cs="Calibri"/>
                <w:sz w:val="20"/>
                <w:szCs w:val="20"/>
              </w:rPr>
              <w:t>2,666</w:t>
            </w:r>
          </w:p>
        </w:tc>
      </w:tr>
    </w:tbl>
    <w:p w14:paraId="5E13AB41" w14:textId="0AD72C5F" w:rsidR="007F55A3" w:rsidRPr="007F55A3" w:rsidRDefault="007F55A3" w:rsidP="00FA0940">
      <w:pPr>
        <w:spacing w:after="0" w:line="240" w:lineRule="auto"/>
        <w:rPr>
          <w:rFonts w:eastAsia="Arial" w:cs="Times New Roman"/>
          <w:b/>
          <w:color w:val="auto"/>
        </w:rPr>
      </w:pPr>
    </w:p>
    <w:p w14:paraId="71DDD003" w14:textId="77777777" w:rsidR="00A26217" w:rsidRDefault="00A26217">
      <w:pPr>
        <w:spacing w:after="0" w:line="240" w:lineRule="auto"/>
        <w:jc w:val="left"/>
        <w:rPr>
          <w:rFonts w:eastAsia="Arial" w:cs="Times New Roman"/>
          <w:b/>
          <w:color w:val="4BACC6" w:themeColor="accent5"/>
        </w:rPr>
      </w:pPr>
      <w:r>
        <w:rPr>
          <w:rFonts w:eastAsia="Arial" w:cs="Times New Roman"/>
          <w:b/>
          <w:color w:val="4BACC6" w:themeColor="accent5"/>
        </w:rPr>
        <w:br w:type="page"/>
      </w:r>
    </w:p>
    <w:p w14:paraId="187DBFB6" w14:textId="55A68F8C" w:rsidR="0021177B" w:rsidRPr="007F55A3" w:rsidRDefault="00FA0940" w:rsidP="0021177B">
      <w:pPr>
        <w:spacing w:after="0" w:line="240" w:lineRule="auto"/>
        <w:jc w:val="center"/>
        <w:rPr>
          <w:color w:val="4BACC6" w:themeColor="accent5"/>
        </w:rPr>
      </w:pPr>
      <w:r>
        <w:rPr>
          <w:rFonts w:eastAsia="Arial" w:cs="Times New Roman"/>
          <w:b/>
          <w:color w:val="4BACC6" w:themeColor="accent5"/>
        </w:rPr>
        <w:lastRenderedPageBreak/>
        <w:t>Cuadro 25</w:t>
      </w:r>
      <w:r w:rsidR="0021177B" w:rsidRPr="007F55A3">
        <w:rPr>
          <w:rFonts w:eastAsia="Arial" w:cs="Times New Roman"/>
          <w:b/>
          <w:color w:val="4BACC6" w:themeColor="accent5"/>
        </w:rPr>
        <w:t>. Entregable y meta de la línea de acción 1 del PED</w:t>
      </w:r>
    </w:p>
    <w:p w14:paraId="2B30552D" w14:textId="77777777" w:rsidR="0021177B" w:rsidRPr="009D6EFB" w:rsidRDefault="0021177B" w:rsidP="0021177B">
      <w:pPr>
        <w:pStyle w:val="Textoindependiente"/>
        <w:rPr>
          <w:rFonts w:eastAsia="Arial" w:cs="Times New Roman"/>
          <w:b/>
          <w:color w:val="4BACC6" w:themeColor="accent5"/>
          <w:sz w:val="10"/>
        </w:rPr>
      </w:pPr>
    </w:p>
    <w:tbl>
      <w:tblPr>
        <w:tblStyle w:val="Tablaconcuadrcula"/>
        <w:tblW w:w="0" w:type="auto"/>
        <w:tblLook w:val="04A0" w:firstRow="1" w:lastRow="0" w:firstColumn="1" w:lastColumn="0" w:noHBand="0" w:noVBand="1"/>
      </w:tblPr>
      <w:tblGrid>
        <w:gridCol w:w="1425"/>
        <w:gridCol w:w="1842"/>
        <w:gridCol w:w="1471"/>
        <w:gridCol w:w="1470"/>
        <w:gridCol w:w="1470"/>
        <w:gridCol w:w="1859"/>
      </w:tblGrid>
      <w:tr w:rsidR="0086391F" w:rsidRPr="0086391F" w14:paraId="213AC6A6" w14:textId="77777777" w:rsidTr="00495F3A">
        <w:trPr>
          <w:trHeight w:val="271"/>
        </w:trPr>
        <w:tc>
          <w:tcPr>
            <w:tcW w:w="0" w:type="auto"/>
            <w:gridSpan w:val="2"/>
            <w:shd w:val="clear" w:color="auto" w:fill="A6A6A6" w:themeFill="background1" w:themeFillShade="A6"/>
          </w:tcPr>
          <w:p w14:paraId="784071B1" w14:textId="77777777" w:rsidR="0021177B" w:rsidRPr="00495F3A" w:rsidRDefault="0021177B" w:rsidP="009E3B2F">
            <w:pPr>
              <w:spacing w:after="0" w:line="240" w:lineRule="auto"/>
              <w:jc w:val="center"/>
              <w:rPr>
                <w:rFonts w:ascii="Futura Std Condensed Light" w:eastAsia="Calibri" w:hAnsi="Futura Std Condensed Light" w:cs="Calibri"/>
                <w:color w:val="auto"/>
                <w:sz w:val="20"/>
                <w:szCs w:val="20"/>
              </w:rPr>
            </w:pPr>
            <w:r w:rsidRPr="00495F3A">
              <w:rPr>
                <w:rFonts w:ascii="Futura Std Condensed Light" w:eastAsia="Calibri" w:hAnsi="Futura Std Condensed Light" w:cs="Calibri"/>
                <w:color w:val="auto"/>
                <w:sz w:val="20"/>
                <w:szCs w:val="20"/>
              </w:rPr>
              <w:t>Programa PED</w:t>
            </w:r>
          </w:p>
        </w:tc>
        <w:tc>
          <w:tcPr>
            <w:tcW w:w="0" w:type="auto"/>
            <w:gridSpan w:val="4"/>
            <w:shd w:val="clear" w:color="auto" w:fill="A6A6A6" w:themeFill="background1" w:themeFillShade="A6"/>
          </w:tcPr>
          <w:p w14:paraId="5B56850A" w14:textId="77777777" w:rsidR="0021177B" w:rsidRPr="00495F3A" w:rsidRDefault="0021177B" w:rsidP="009E3B2F">
            <w:pPr>
              <w:spacing w:after="0" w:line="240" w:lineRule="auto"/>
              <w:jc w:val="center"/>
              <w:rPr>
                <w:rFonts w:ascii="Futura Std Condensed Light" w:eastAsia="Calibri" w:hAnsi="Futura Std Condensed Light" w:cs="Calibri"/>
                <w:color w:val="auto"/>
                <w:sz w:val="20"/>
                <w:szCs w:val="20"/>
              </w:rPr>
            </w:pPr>
            <w:r w:rsidRPr="00495F3A">
              <w:rPr>
                <w:rFonts w:ascii="Futura Std Condensed Light" w:eastAsia="Calibri" w:hAnsi="Futura Std Condensed Light" w:cs="Calibri"/>
                <w:color w:val="auto"/>
                <w:sz w:val="20"/>
                <w:szCs w:val="20"/>
              </w:rPr>
              <w:t>Programa Sectorial Educación Pública de Calidad</w:t>
            </w:r>
          </w:p>
        </w:tc>
      </w:tr>
      <w:tr w:rsidR="0021177B" w:rsidRPr="002C3625" w14:paraId="5751E434" w14:textId="77777777" w:rsidTr="009E3B2F">
        <w:trPr>
          <w:trHeight w:val="469"/>
        </w:trPr>
        <w:tc>
          <w:tcPr>
            <w:tcW w:w="0" w:type="auto"/>
            <w:gridSpan w:val="2"/>
          </w:tcPr>
          <w:p w14:paraId="66E38500" w14:textId="77777777" w:rsidR="0021177B" w:rsidRPr="002C3625" w:rsidRDefault="0021177B" w:rsidP="009E3B2F">
            <w:pPr>
              <w:spacing w:after="0" w:line="240" w:lineRule="auto"/>
              <w:jc w:val="center"/>
              <w:rPr>
                <w:rFonts w:ascii="Futura Std Condensed Light" w:eastAsia="Calibri" w:hAnsi="Futura Std Condensed Light" w:cs="Calibri"/>
                <w:b/>
                <w:sz w:val="20"/>
                <w:szCs w:val="20"/>
              </w:rPr>
            </w:pPr>
            <w:r w:rsidRPr="002C3625">
              <w:rPr>
                <w:rFonts w:ascii="Futura Std Condensed Light" w:eastAsia="Calibri" w:hAnsi="Futura Std Condensed Light" w:cs="Calibri"/>
                <w:b/>
                <w:sz w:val="20"/>
                <w:szCs w:val="20"/>
              </w:rPr>
              <w:t>Línea de acción:</w:t>
            </w:r>
          </w:p>
        </w:tc>
        <w:tc>
          <w:tcPr>
            <w:tcW w:w="0" w:type="auto"/>
            <w:gridSpan w:val="4"/>
          </w:tcPr>
          <w:p w14:paraId="417241C4" w14:textId="77777777" w:rsidR="0021177B" w:rsidRPr="002C3625" w:rsidRDefault="0021177B" w:rsidP="009E3B2F">
            <w:pPr>
              <w:spacing w:after="0" w:line="240" w:lineRule="auto"/>
              <w:jc w:val="center"/>
              <w:rPr>
                <w:rFonts w:ascii="Futura Std Condensed Light" w:eastAsia="Calibri" w:hAnsi="Futura Std Condensed Light" w:cs="Calibri"/>
                <w:sz w:val="20"/>
                <w:szCs w:val="20"/>
              </w:rPr>
            </w:pPr>
            <w:r w:rsidRPr="002C3625">
              <w:rPr>
                <w:rFonts w:ascii="Futura Std Condensed Light" w:eastAsia="Calibri" w:hAnsi="Futura Std Condensed Light" w:cs="Calibri"/>
                <w:sz w:val="20"/>
                <w:szCs w:val="20"/>
              </w:rPr>
              <w:t> 1.  Incrementar la inserción de los niños en educación preescolar en el Sistema Educativo Estatal.</w:t>
            </w:r>
          </w:p>
        </w:tc>
      </w:tr>
      <w:tr w:rsidR="0021177B" w:rsidRPr="002C3625" w14:paraId="58673849" w14:textId="77777777" w:rsidTr="009E3B2F">
        <w:trPr>
          <w:trHeight w:val="484"/>
        </w:trPr>
        <w:tc>
          <w:tcPr>
            <w:tcW w:w="0" w:type="auto"/>
            <w:gridSpan w:val="2"/>
          </w:tcPr>
          <w:p w14:paraId="7BAC7D39" w14:textId="77777777" w:rsidR="0021177B" w:rsidRPr="002C3625" w:rsidRDefault="0021177B" w:rsidP="009E3B2F">
            <w:pPr>
              <w:spacing w:after="0" w:line="240" w:lineRule="auto"/>
              <w:jc w:val="center"/>
              <w:rPr>
                <w:rFonts w:ascii="Futura Std Condensed Light" w:eastAsia="Calibri" w:hAnsi="Futura Std Condensed Light" w:cs="Calibri"/>
                <w:b/>
                <w:sz w:val="20"/>
                <w:szCs w:val="20"/>
              </w:rPr>
            </w:pPr>
            <w:r w:rsidRPr="002C3625">
              <w:rPr>
                <w:rFonts w:ascii="Futura Std Condensed Light" w:eastAsia="Calibri" w:hAnsi="Futura Std Condensed Light" w:cs="Calibri"/>
                <w:b/>
                <w:sz w:val="20"/>
                <w:szCs w:val="20"/>
              </w:rPr>
              <w:t>Plan Estratégico Objetivo Especifico</w:t>
            </w:r>
          </w:p>
        </w:tc>
        <w:tc>
          <w:tcPr>
            <w:tcW w:w="0" w:type="auto"/>
            <w:gridSpan w:val="4"/>
          </w:tcPr>
          <w:p w14:paraId="234CE7D9" w14:textId="77777777" w:rsidR="0021177B" w:rsidRPr="002C3625" w:rsidRDefault="0021177B" w:rsidP="009E3B2F">
            <w:pPr>
              <w:spacing w:after="0" w:line="240" w:lineRule="auto"/>
              <w:jc w:val="center"/>
              <w:rPr>
                <w:rFonts w:ascii="Futura Std Condensed Light" w:eastAsia="Calibri" w:hAnsi="Futura Std Condensed Light" w:cs="Calibri"/>
                <w:sz w:val="20"/>
                <w:szCs w:val="20"/>
              </w:rPr>
            </w:pPr>
            <w:r w:rsidRPr="002C3625">
              <w:rPr>
                <w:rFonts w:ascii="Futura Std Condensed Light" w:eastAsia="Calibri" w:hAnsi="Futura Std Condensed Light" w:cs="Calibri"/>
                <w:sz w:val="20"/>
                <w:szCs w:val="20"/>
              </w:rPr>
              <w:t>Disminuir la desigualdad en sus diversas formas </w:t>
            </w:r>
          </w:p>
        </w:tc>
      </w:tr>
      <w:tr w:rsidR="0021177B" w:rsidRPr="002C3625" w14:paraId="3150D6F2" w14:textId="77777777" w:rsidTr="009E3B2F">
        <w:trPr>
          <w:trHeight w:val="484"/>
        </w:trPr>
        <w:tc>
          <w:tcPr>
            <w:tcW w:w="0" w:type="auto"/>
          </w:tcPr>
          <w:p w14:paraId="0AE73B2A" w14:textId="77777777" w:rsidR="0021177B" w:rsidRPr="002C3625" w:rsidRDefault="0021177B" w:rsidP="009E3B2F">
            <w:pPr>
              <w:spacing w:after="0" w:line="240" w:lineRule="auto"/>
              <w:jc w:val="center"/>
              <w:rPr>
                <w:rFonts w:ascii="Futura Std Condensed Light" w:eastAsia="Calibri" w:hAnsi="Futura Std Condensed Light" w:cs="Calibri"/>
                <w:b/>
                <w:sz w:val="20"/>
                <w:szCs w:val="20"/>
              </w:rPr>
            </w:pPr>
            <w:r w:rsidRPr="002C3625">
              <w:rPr>
                <w:rFonts w:ascii="Futura Std Condensed Light" w:eastAsia="Calibri" w:hAnsi="Futura Std Condensed Light" w:cs="Calibri"/>
                <w:b/>
                <w:sz w:val="20"/>
                <w:szCs w:val="20"/>
              </w:rPr>
              <w:t>Entregable:</w:t>
            </w:r>
          </w:p>
        </w:tc>
        <w:tc>
          <w:tcPr>
            <w:tcW w:w="0" w:type="auto"/>
          </w:tcPr>
          <w:p w14:paraId="63D56A49" w14:textId="77777777" w:rsidR="0021177B" w:rsidRPr="002C3625" w:rsidRDefault="0021177B" w:rsidP="009E3B2F">
            <w:pPr>
              <w:spacing w:after="0" w:line="240" w:lineRule="auto"/>
              <w:jc w:val="center"/>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I</w:t>
            </w:r>
            <w:r w:rsidRPr="002C3625">
              <w:rPr>
                <w:rFonts w:ascii="Futura Std Condensed Light" w:eastAsia="Calibri" w:hAnsi="Futura Std Condensed Light" w:cs="Calibri"/>
                <w:sz w:val="20"/>
                <w:szCs w:val="20"/>
              </w:rPr>
              <w:t>nserción de alumnos a la educación preescolar</w:t>
            </w:r>
          </w:p>
        </w:tc>
        <w:tc>
          <w:tcPr>
            <w:tcW w:w="0" w:type="auto"/>
            <w:gridSpan w:val="3"/>
          </w:tcPr>
          <w:p w14:paraId="0D5B5CEC" w14:textId="77777777" w:rsidR="0021177B" w:rsidRPr="002C3625" w:rsidRDefault="0021177B" w:rsidP="009E3B2F">
            <w:pPr>
              <w:spacing w:after="0" w:line="240" w:lineRule="auto"/>
              <w:jc w:val="center"/>
              <w:rPr>
                <w:rFonts w:ascii="Futura Std Condensed Light" w:eastAsia="Calibri" w:hAnsi="Futura Std Condensed Light" w:cs="Calibri"/>
                <w:b/>
                <w:sz w:val="20"/>
                <w:szCs w:val="20"/>
              </w:rPr>
            </w:pPr>
            <w:r w:rsidRPr="002C3625">
              <w:rPr>
                <w:rFonts w:ascii="Futura Std Condensed Light" w:eastAsia="Calibri" w:hAnsi="Futura Std Condensed Light" w:cs="Calibri"/>
                <w:b/>
                <w:sz w:val="20"/>
                <w:szCs w:val="20"/>
              </w:rPr>
              <w:t>Unidad de Medida:</w:t>
            </w:r>
          </w:p>
        </w:tc>
        <w:tc>
          <w:tcPr>
            <w:tcW w:w="0" w:type="auto"/>
          </w:tcPr>
          <w:p w14:paraId="05087A84" w14:textId="77777777" w:rsidR="0021177B" w:rsidRPr="002C3625" w:rsidRDefault="0021177B" w:rsidP="009E3B2F">
            <w:pPr>
              <w:spacing w:after="0" w:line="240" w:lineRule="auto"/>
              <w:jc w:val="center"/>
              <w:rPr>
                <w:rFonts w:ascii="Futura Std Condensed Light" w:eastAsia="Calibri" w:hAnsi="Futura Std Condensed Light" w:cs="Calibri"/>
                <w:sz w:val="20"/>
                <w:szCs w:val="20"/>
              </w:rPr>
            </w:pPr>
            <w:r w:rsidRPr="002C3625">
              <w:rPr>
                <w:rFonts w:ascii="Futura Std Condensed Light" w:eastAsia="Calibri" w:hAnsi="Futura Std Condensed Light" w:cs="Calibri"/>
                <w:sz w:val="20"/>
                <w:szCs w:val="20"/>
              </w:rPr>
              <w:t>Alumnos</w:t>
            </w:r>
          </w:p>
        </w:tc>
      </w:tr>
      <w:tr w:rsidR="0021177B" w:rsidRPr="002C3625" w14:paraId="09C4F881" w14:textId="77777777" w:rsidTr="009E3B2F">
        <w:trPr>
          <w:trHeight w:val="449"/>
        </w:trPr>
        <w:tc>
          <w:tcPr>
            <w:tcW w:w="0" w:type="auto"/>
          </w:tcPr>
          <w:p w14:paraId="0552D636" w14:textId="77777777" w:rsidR="0021177B" w:rsidRPr="002C3625" w:rsidRDefault="0021177B" w:rsidP="009E3B2F">
            <w:pPr>
              <w:spacing w:after="0" w:line="240" w:lineRule="auto"/>
              <w:jc w:val="center"/>
              <w:rPr>
                <w:rFonts w:ascii="Futura Std Condensed Light" w:eastAsia="Calibri" w:hAnsi="Futura Std Condensed Light" w:cs="Calibri"/>
                <w:b/>
                <w:sz w:val="20"/>
                <w:szCs w:val="20"/>
              </w:rPr>
            </w:pPr>
            <w:r w:rsidRPr="002C3625">
              <w:rPr>
                <w:rFonts w:ascii="Futura Std Condensed Light" w:eastAsia="Calibri" w:hAnsi="Futura Std Condensed Light" w:cs="Calibri"/>
                <w:b/>
                <w:sz w:val="20"/>
                <w:szCs w:val="20"/>
              </w:rPr>
              <w:t>Descripción:</w:t>
            </w:r>
          </w:p>
        </w:tc>
        <w:tc>
          <w:tcPr>
            <w:tcW w:w="0" w:type="auto"/>
            <w:gridSpan w:val="5"/>
          </w:tcPr>
          <w:p w14:paraId="55F0965B" w14:textId="77777777" w:rsidR="0021177B" w:rsidRPr="002C3625" w:rsidRDefault="0021177B" w:rsidP="009E3B2F">
            <w:pPr>
              <w:spacing w:after="0" w:line="240" w:lineRule="auto"/>
              <w:jc w:val="center"/>
              <w:rPr>
                <w:rFonts w:ascii="Futura Std Condensed Light" w:eastAsia="Calibri" w:hAnsi="Futura Std Condensed Light" w:cs="Calibri"/>
                <w:sz w:val="20"/>
                <w:szCs w:val="20"/>
              </w:rPr>
            </w:pPr>
            <w:r w:rsidRPr="002C3625">
              <w:rPr>
                <w:rFonts w:ascii="Futura Std Condensed Light" w:eastAsia="Calibri" w:hAnsi="Futura Std Condensed Light" w:cs="Calibri"/>
                <w:sz w:val="20"/>
                <w:szCs w:val="20"/>
              </w:rPr>
              <w:t xml:space="preserve">Se busca la inserción de los niños en edad de iniciar su educación preescolar (3 años y más) al sistema educativo con la finalidad de ampliar la cobertura.                                    </w:t>
            </w:r>
          </w:p>
        </w:tc>
      </w:tr>
      <w:tr w:rsidR="0021177B" w:rsidRPr="002C3625" w14:paraId="1511CB9B" w14:textId="77777777" w:rsidTr="009E3B2F">
        <w:trPr>
          <w:trHeight w:val="484"/>
        </w:trPr>
        <w:tc>
          <w:tcPr>
            <w:tcW w:w="0" w:type="auto"/>
            <w:gridSpan w:val="2"/>
          </w:tcPr>
          <w:p w14:paraId="647E1F5D" w14:textId="77777777" w:rsidR="0021177B" w:rsidRPr="002C3625" w:rsidRDefault="0021177B" w:rsidP="009E3B2F">
            <w:pPr>
              <w:spacing w:after="0" w:line="240" w:lineRule="auto"/>
              <w:jc w:val="center"/>
              <w:rPr>
                <w:rFonts w:ascii="Futura Std Condensed Light" w:eastAsia="Calibri" w:hAnsi="Futura Std Condensed Light" w:cs="Calibri"/>
                <w:b/>
                <w:sz w:val="20"/>
                <w:szCs w:val="20"/>
              </w:rPr>
            </w:pPr>
            <w:r w:rsidRPr="002C3625">
              <w:rPr>
                <w:rFonts w:ascii="Futura Std Condensed Light" w:eastAsia="Calibri" w:hAnsi="Futura Std Condensed Light" w:cs="Calibri"/>
                <w:b/>
                <w:sz w:val="20"/>
                <w:szCs w:val="20"/>
              </w:rPr>
              <w:t>Medio de verificación:</w:t>
            </w:r>
          </w:p>
        </w:tc>
        <w:tc>
          <w:tcPr>
            <w:tcW w:w="0" w:type="auto"/>
            <w:gridSpan w:val="4"/>
          </w:tcPr>
          <w:p w14:paraId="55861CF5" w14:textId="77777777" w:rsidR="0021177B" w:rsidRPr="002C3625" w:rsidRDefault="0021177B" w:rsidP="009E3B2F">
            <w:pPr>
              <w:spacing w:after="0" w:line="240" w:lineRule="auto"/>
              <w:jc w:val="center"/>
              <w:rPr>
                <w:rFonts w:ascii="Futura Std Condensed Light" w:eastAsia="Calibri" w:hAnsi="Futura Std Condensed Light" w:cs="Calibri"/>
                <w:sz w:val="20"/>
                <w:szCs w:val="20"/>
              </w:rPr>
            </w:pPr>
            <w:r w:rsidRPr="002C3625">
              <w:rPr>
                <w:rFonts w:ascii="Futura Std Condensed Light" w:eastAsia="Calibri" w:hAnsi="Futura Std Condensed Light" w:cs="Calibri"/>
                <w:sz w:val="20"/>
                <w:szCs w:val="20"/>
              </w:rPr>
              <w:t>Matrícula de educación preescolar de la estadística 911</w:t>
            </w:r>
          </w:p>
        </w:tc>
      </w:tr>
      <w:tr w:rsidR="0021177B" w:rsidRPr="002C3625" w14:paraId="4EFAC57D" w14:textId="77777777" w:rsidTr="009E3B2F">
        <w:trPr>
          <w:trHeight w:val="484"/>
        </w:trPr>
        <w:tc>
          <w:tcPr>
            <w:tcW w:w="0" w:type="auto"/>
            <w:gridSpan w:val="2"/>
          </w:tcPr>
          <w:p w14:paraId="66BCC2A9" w14:textId="77777777" w:rsidR="0021177B" w:rsidRPr="002C3625" w:rsidRDefault="0021177B" w:rsidP="009E3B2F">
            <w:pPr>
              <w:spacing w:after="0" w:line="240" w:lineRule="auto"/>
              <w:jc w:val="center"/>
              <w:rPr>
                <w:rFonts w:ascii="Futura Std Condensed Light" w:eastAsia="Calibri" w:hAnsi="Futura Std Condensed Light" w:cs="Calibri"/>
                <w:b/>
                <w:sz w:val="20"/>
                <w:szCs w:val="20"/>
              </w:rPr>
            </w:pPr>
            <w:r w:rsidRPr="002C3625">
              <w:rPr>
                <w:rFonts w:ascii="Futura Std Condensed Light" w:eastAsia="Calibri" w:hAnsi="Futura Std Condensed Light" w:cs="Calibri"/>
                <w:b/>
                <w:sz w:val="20"/>
                <w:szCs w:val="20"/>
              </w:rPr>
              <w:t>Línea base:</w:t>
            </w:r>
          </w:p>
        </w:tc>
        <w:tc>
          <w:tcPr>
            <w:tcW w:w="0" w:type="auto"/>
          </w:tcPr>
          <w:p w14:paraId="7284C6ED" w14:textId="77777777" w:rsidR="0021177B" w:rsidRPr="002C3625" w:rsidRDefault="0021177B" w:rsidP="009E3B2F">
            <w:pPr>
              <w:spacing w:after="0" w:line="240" w:lineRule="auto"/>
              <w:jc w:val="center"/>
              <w:rPr>
                <w:rFonts w:ascii="Futura Std Condensed Light" w:eastAsia="Calibri" w:hAnsi="Futura Std Condensed Light" w:cs="Calibri"/>
                <w:sz w:val="20"/>
                <w:szCs w:val="20"/>
              </w:rPr>
            </w:pPr>
            <w:r w:rsidRPr="002C3625">
              <w:rPr>
                <w:rFonts w:ascii="Futura Std Condensed Light" w:eastAsia="Calibri" w:hAnsi="Futura Std Condensed Light" w:cs="Calibri"/>
                <w:sz w:val="20"/>
                <w:szCs w:val="20"/>
              </w:rPr>
              <w:t>56,657</w:t>
            </w:r>
          </w:p>
        </w:tc>
        <w:tc>
          <w:tcPr>
            <w:tcW w:w="0" w:type="auto"/>
            <w:gridSpan w:val="2"/>
          </w:tcPr>
          <w:p w14:paraId="6AD063C3" w14:textId="77777777" w:rsidR="0021177B" w:rsidRPr="002C3625" w:rsidRDefault="0021177B" w:rsidP="009E3B2F">
            <w:pPr>
              <w:spacing w:after="0" w:line="240" w:lineRule="auto"/>
              <w:jc w:val="center"/>
              <w:rPr>
                <w:rFonts w:ascii="Futura Std Condensed Light" w:eastAsia="Calibri" w:hAnsi="Futura Std Condensed Light" w:cs="Calibri"/>
                <w:b/>
                <w:sz w:val="20"/>
                <w:szCs w:val="20"/>
              </w:rPr>
            </w:pPr>
            <w:r w:rsidRPr="002C3625">
              <w:rPr>
                <w:rFonts w:ascii="Futura Std Condensed Light" w:eastAsia="Calibri" w:hAnsi="Futura Std Condensed Light" w:cs="Calibri"/>
                <w:b/>
                <w:sz w:val="20"/>
                <w:szCs w:val="20"/>
              </w:rPr>
              <w:t>Año de línea base:</w:t>
            </w:r>
          </w:p>
        </w:tc>
        <w:tc>
          <w:tcPr>
            <w:tcW w:w="0" w:type="auto"/>
          </w:tcPr>
          <w:p w14:paraId="57901ECF" w14:textId="77777777" w:rsidR="0021177B" w:rsidRPr="002C3625" w:rsidRDefault="0021177B" w:rsidP="009E3B2F">
            <w:pPr>
              <w:spacing w:after="0" w:line="240" w:lineRule="auto"/>
              <w:jc w:val="center"/>
              <w:rPr>
                <w:rFonts w:ascii="Futura Std Condensed Light" w:eastAsia="Calibri" w:hAnsi="Futura Std Condensed Light" w:cs="Calibri"/>
                <w:sz w:val="20"/>
                <w:szCs w:val="20"/>
              </w:rPr>
            </w:pPr>
            <w:r w:rsidRPr="002C3625">
              <w:rPr>
                <w:rFonts w:ascii="Futura Std Condensed Light" w:eastAsia="Calibri" w:hAnsi="Futura Std Condensed Light" w:cs="Calibri"/>
                <w:sz w:val="20"/>
                <w:szCs w:val="20"/>
              </w:rPr>
              <w:t>2016</w:t>
            </w:r>
          </w:p>
        </w:tc>
      </w:tr>
      <w:tr w:rsidR="0021177B" w:rsidRPr="002C3625" w14:paraId="3E0AC603" w14:textId="77777777" w:rsidTr="009E3B2F">
        <w:trPr>
          <w:trHeight w:val="484"/>
        </w:trPr>
        <w:tc>
          <w:tcPr>
            <w:tcW w:w="0" w:type="auto"/>
            <w:gridSpan w:val="2"/>
          </w:tcPr>
          <w:p w14:paraId="05772188" w14:textId="77777777" w:rsidR="0021177B" w:rsidRPr="002C3625" w:rsidRDefault="0021177B" w:rsidP="009E3B2F">
            <w:pPr>
              <w:spacing w:after="0" w:line="240" w:lineRule="auto"/>
              <w:jc w:val="center"/>
              <w:rPr>
                <w:rFonts w:ascii="Futura Std Condensed Light" w:eastAsia="Calibri" w:hAnsi="Futura Std Condensed Light" w:cs="Calibri"/>
                <w:b/>
                <w:sz w:val="20"/>
                <w:szCs w:val="20"/>
              </w:rPr>
            </w:pPr>
            <w:r w:rsidRPr="002C3625">
              <w:rPr>
                <w:rFonts w:ascii="Futura Std Condensed Light" w:eastAsia="Calibri" w:hAnsi="Futura Std Condensed Light" w:cs="Calibri"/>
                <w:b/>
                <w:sz w:val="20"/>
                <w:szCs w:val="20"/>
              </w:rPr>
              <w:t>Contribución Directa al Objetivo de la Agenda 2030</w:t>
            </w:r>
          </w:p>
        </w:tc>
        <w:tc>
          <w:tcPr>
            <w:tcW w:w="0" w:type="auto"/>
            <w:gridSpan w:val="4"/>
          </w:tcPr>
          <w:p w14:paraId="464E1F12" w14:textId="77777777" w:rsidR="0021177B" w:rsidRPr="002C3625" w:rsidRDefault="0021177B" w:rsidP="009E3B2F">
            <w:pPr>
              <w:spacing w:after="0" w:line="240" w:lineRule="auto"/>
              <w:jc w:val="center"/>
              <w:rPr>
                <w:rFonts w:ascii="Futura Std Condensed Light" w:eastAsia="Calibri" w:hAnsi="Futura Std Condensed Light" w:cs="Calibri"/>
                <w:sz w:val="20"/>
                <w:szCs w:val="20"/>
              </w:rPr>
            </w:pPr>
            <w:r w:rsidRPr="002C3625">
              <w:rPr>
                <w:rFonts w:ascii="Futura Std Condensed Light" w:eastAsia="Calibri" w:hAnsi="Futura Std Condensed Light" w:cs="Calibri"/>
                <w:sz w:val="20"/>
                <w:szCs w:val="20"/>
              </w:rPr>
              <w:t>Garantizar una educación inclusiva, equitativa y de calidad y promover oportunidades de aprendizaje durante toda la vida para todos</w:t>
            </w:r>
          </w:p>
        </w:tc>
      </w:tr>
      <w:tr w:rsidR="0021177B" w:rsidRPr="002C3625" w14:paraId="5B16E726" w14:textId="77777777" w:rsidTr="009E3B2F">
        <w:trPr>
          <w:trHeight w:val="484"/>
        </w:trPr>
        <w:tc>
          <w:tcPr>
            <w:tcW w:w="0" w:type="auto"/>
            <w:gridSpan w:val="2"/>
          </w:tcPr>
          <w:p w14:paraId="3E5B3E14" w14:textId="77777777" w:rsidR="0021177B" w:rsidRPr="002C3625" w:rsidRDefault="0021177B" w:rsidP="009E3B2F">
            <w:pPr>
              <w:spacing w:after="0" w:line="240" w:lineRule="auto"/>
              <w:jc w:val="center"/>
              <w:rPr>
                <w:rFonts w:ascii="Futura Std Condensed Light" w:eastAsia="Calibri" w:hAnsi="Futura Std Condensed Light" w:cs="Calibri"/>
                <w:b/>
                <w:sz w:val="20"/>
                <w:szCs w:val="20"/>
              </w:rPr>
            </w:pPr>
            <w:r w:rsidRPr="002C3625">
              <w:rPr>
                <w:rFonts w:ascii="Futura Std Condensed Light" w:eastAsia="Calibri" w:hAnsi="Futura Std Condensed Light" w:cs="Calibri"/>
                <w:b/>
                <w:sz w:val="20"/>
                <w:szCs w:val="20"/>
              </w:rPr>
              <w:t>Contribución Directa  a la Meta de la Agenda 2030</w:t>
            </w:r>
          </w:p>
        </w:tc>
        <w:tc>
          <w:tcPr>
            <w:tcW w:w="0" w:type="auto"/>
            <w:gridSpan w:val="4"/>
          </w:tcPr>
          <w:p w14:paraId="4D6948B3" w14:textId="77777777" w:rsidR="0021177B" w:rsidRPr="002C3625" w:rsidRDefault="0021177B" w:rsidP="009E3B2F">
            <w:pPr>
              <w:spacing w:after="0" w:line="240" w:lineRule="auto"/>
              <w:jc w:val="center"/>
              <w:rPr>
                <w:rFonts w:ascii="Futura Std Condensed Light" w:eastAsia="Calibri" w:hAnsi="Futura Std Condensed Light" w:cs="Calibri"/>
                <w:sz w:val="20"/>
                <w:szCs w:val="20"/>
              </w:rPr>
            </w:pPr>
            <w:r w:rsidRPr="002C3625">
              <w:rPr>
                <w:rFonts w:ascii="Futura Std Condensed Light" w:eastAsia="Calibri" w:hAnsi="Futura Std Condensed Light" w:cs="Calibri"/>
                <w:sz w:val="20"/>
                <w:szCs w:val="20"/>
              </w:rPr>
              <w:t>De aquí a 2030, asegurar que todas las niñas y todos los niños tengan acceso a servicios de atención y desarrollo en la primera infancia y educación preescolar de calidad, a fin de que estén preparados para la enseñanza primaria.</w:t>
            </w:r>
          </w:p>
        </w:tc>
      </w:tr>
      <w:tr w:rsidR="0021177B" w:rsidRPr="002C3625" w14:paraId="73A34569" w14:textId="77777777" w:rsidTr="009E3B2F">
        <w:trPr>
          <w:trHeight w:val="484"/>
        </w:trPr>
        <w:tc>
          <w:tcPr>
            <w:tcW w:w="0" w:type="auto"/>
            <w:gridSpan w:val="2"/>
          </w:tcPr>
          <w:p w14:paraId="18AE7AC4" w14:textId="77777777" w:rsidR="0021177B" w:rsidRPr="002C3625" w:rsidRDefault="0021177B" w:rsidP="009E3B2F">
            <w:pPr>
              <w:spacing w:after="0" w:line="240" w:lineRule="auto"/>
              <w:jc w:val="center"/>
              <w:rPr>
                <w:rFonts w:ascii="Futura Std Condensed Light" w:eastAsia="Calibri" w:hAnsi="Futura Std Condensed Light" w:cs="Calibri"/>
                <w:b/>
                <w:sz w:val="20"/>
                <w:szCs w:val="20"/>
              </w:rPr>
            </w:pPr>
            <w:r w:rsidRPr="002C3625">
              <w:rPr>
                <w:rFonts w:ascii="Futura Std Condensed Light" w:eastAsia="Calibri" w:hAnsi="Futura Std Condensed Light" w:cs="Calibri"/>
                <w:b/>
                <w:sz w:val="20"/>
                <w:szCs w:val="20"/>
              </w:rPr>
              <w:t>Tema / Proyecto Prioritario de Quintana Roo</w:t>
            </w:r>
          </w:p>
        </w:tc>
        <w:tc>
          <w:tcPr>
            <w:tcW w:w="0" w:type="auto"/>
            <w:gridSpan w:val="4"/>
          </w:tcPr>
          <w:p w14:paraId="78A8827F" w14:textId="77777777" w:rsidR="0021177B" w:rsidRPr="002C3625" w:rsidRDefault="0021177B" w:rsidP="009E3B2F">
            <w:pPr>
              <w:spacing w:after="0" w:line="240" w:lineRule="auto"/>
              <w:jc w:val="center"/>
              <w:rPr>
                <w:rFonts w:ascii="Futura Std Condensed Light" w:eastAsia="Calibri" w:hAnsi="Futura Std Condensed Light" w:cs="Calibri"/>
                <w:sz w:val="20"/>
                <w:szCs w:val="20"/>
              </w:rPr>
            </w:pPr>
            <w:r w:rsidRPr="002C3625">
              <w:rPr>
                <w:rFonts w:ascii="Futura Std Condensed Light" w:eastAsia="Calibri" w:hAnsi="Futura Std Condensed Light" w:cs="Calibri"/>
                <w:sz w:val="20"/>
                <w:szCs w:val="20"/>
              </w:rPr>
              <w:t>24.5 Abatir el rezago educativo</w:t>
            </w:r>
          </w:p>
        </w:tc>
      </w:tr>
      <w:tr w:rsidR="0021177B" w:rsidRPr="002C3625" w14:paraId="6D22377B" w14:textId="77777777" w:rsidTr="009E3B2F">
        <w:trPr>
          <w:trHeight w:val="484"/>
        </w:trPr>
        <w:tc>
          <w:tcPr>
            <w:tcW w:w="0" w:type="auto"/>
            <w:gridSpan w:val="2"/>
          </w:tcPr>
          <w:p w14:paraId="59AAAFF9" w14:textId="77777777" w:rsidR="0021177B" w:rsidRPr="002C3625" w:rsidRDefault="0021177B" w:rsidP="009E3B2F">
            <w:pPr>
              <w:spacing w:after="0" w:line="240" w:lineRule="auto"/>
              <w:jc w:val="center"/>
              <w:rPr>
                <w:rFonts w:ascii="Futura Std Condensed Light" w:eastAsia="Calibri" w:hAnsi="Futura Std Condensed Light" w:cs="Calibri"/>
                <w:b/>
                <w:sz w:val="20"/>
                <w:szCs w:val="20"/>
              </w:rPr>
            </w:pPr>
            <w:r w:rsidRPr="002C3625">
              <w:rPr>
                <w:rFonts w:ascii="Futura Std Condensed Light" w:eastAsia="Calibri" w:hAnsi="Futura Std Condensed Light" w:cs="Calibri"/>
                <w:b/>
                <w:sz w:val="20"/>
                <w:szCs w:val="20"/>
              </w:rPr>
              <w:t>Subtema Prioritario de Quintana Roo</w:t>
            </w:r>
          </w:p>
        </w:tc>
        <w:tc>
          <w:tcPr>
            <w:tcW w:w="0" w:type="auto"/>
            <w:gridSpan w:val="4"/>
          </w:tcPr>
          <w:p w14:paraId="042DD3C7" w14:textId="77777777" w:rsidR="0021177B" w:rsidRPr="002C3625" w:rsidRDefault="0021177B" w:rsidP="009E3B2F">
            <w:pPr>
              <w:spacing w:after="0" w:line="240" w:lineRule="auto"/>
              <w:jc w:val="center"/>
              <w:rPr>
                <w:rFonts w:ascii="Futura Std Condensed Light" w:eastAsia="Calibri" w:hAnsi="Futura Std Condensed Light" w:cs="Calibri"/>
                <w:sz w:val="20"/>
                <w:szCs w:val="20"/>
              </w:rPr>
            </w:pPr>
            <w:r w:rsidRPr="002C3625">
              <w:rPr>
                <w:rFonts w:ascii="Futura Std Condensed Light" w:eastAsia="Calibri" w:hAnsi="Futura Std Condensed Light" w:cs="Calibri"/>
                <w:sz w:val="20"/>
                <w:szCs w:val="20"/>
              </w:rPr>
              <w:t>N/A</w:t>
            </w:r>
          </w:p>
        </w:tc>
      </w:tr>
      <w:tr w:rsidR="0021177B" w:rsidRPr="002C3625" w14:paraId="1A074AFE" w14:textId="77777777" w:rsidTr="009E3B2F">
        <w:trPr>
          <w:trHeight w:val="484"/>
        </w:trPr>
        <w:tc>
          <w:tcPr>
            <w:tcW w:w="0" w:type="auto"/>
            <w:gridSpan w:val="6"/>
          </w:tcPr>
          <w:p w14:paraId="54B760BE" w14:textId="77777777" w:rsidR="0021177B" w:rsidRPr="002C3625" w:rsidRDefault="0021177B" w:rsidP="009E3B2F">
            <w:pPr>
              <w:spacing w:after="0" w:line="240" w:lineRule="auto"/>
              <w:jc w:val="center"/>
              <w:rPr>
                <w:rFonts w:ascii="Futura Std Condensed Light" w:eastAsia="Calibri" w:hAnsi="Futura Std Condensed Light" w:cs="Calibri"/>
                <w:b/>
                <w:sz w:val="20"/>
                <w:szCs w:val="20"/>
              </w:rPr>
            </w:pPr>
            <w:r w:rsidRPr="002C3625">
              <w:rPr>
                <w:rFonts w:ascii="Futura Std Condensed Light" w:eastAsia="Calibri" w:hAnsi="Futura Std Condensed Light" w:cs="Calibri"/>
                <w:b/>
                <w:sz w:val="20"/>
                <w:szCs w:val="20"/>
              </w:rPr>
              <w:t>Meta Total:</w:t>
            </w:r>
          </w:p>
        </w:tc>
      </w:tr>
      <w:tr w:rsidR="0021177B" w:rsidRPr="002C3625" w14:paraId="72710DD9" w14:textId="77777777" w:rsidTr="009E3B2F">
        <w:trPr>
          <w:trHeight w:val="484"/>
        </w:trPr>
        <w:tc>
          <w:tcPr>
            <w:tcW w:w="0" w:type="auto"/>
          </w:tcPr>
          <w:p w14:paraId="24D4B051" w14:textId="77777777" w:rsidR="0021177B" w:rsidRPr="002C3625" w:rsidRDefault="0021177B" w:rsidP="009E3B2F">
            <w:pPr>
              <w:spacing w:after="0" w:line="240" w:lineRule="auto"/>
              <w:jc w:val="center"/>
              <w:rPr>
                <w:rFonts w:ascii="Futura Std Condensed Light" w:eastAsia="Calibri" w:hAnsi="Futura Std Condensed Light" w:cs="Calibri"/>
                <w:b/>
                <w:sz w:val="20"/>
                <w:szCs w:val="20"/>
              </w:rPr>
            </w:pPr>
            <w:r w:rsidRPr="002C3625">
              <w:rPr>
                <w:rFonts w:ascii="Futura Std Condensed Light" w:eastAsia="Calibri" w:hAnsi="Futura Std Condensed Light" w:cs="Calibri"/>
                <w:b/>
                <w:sz w:val="20"/>
                <w:szCs w:val="20"/>
              </w:rPr>
              <w:t>2017</w:t>
            </w:r>
          </w:p>
        </w:tc>
        <w:tc>
          <w:tcPr>
            <w:tcW w:w="0" w:type="auto"/>
          </w:tcPr>
          <w:p w14:paraId="0E7CD631" w14:textId="77777777" w:rsidR="0021177B" w:rsidRPr="002C3625" w:rsidRDefault="0021177B" w:rsidP="009E3B2F">
            <w:pPr>
              <w:spacing w:after="0" w:line="240" w:lineRule="auto"/>
              <w:jc w:val="center"/>
              <w:rPr>
                <w:rFonts w:ascii="Futura Std Condensed Light" w:eastAsia="Calibri" w:hAnsi="Futura Std Condensed Light" w:cs="Calibri"/>
                <w:b/>
                <w:sz w:val="20"/>
                <w:szCs w:val="20"/>
              </w:rPr>
            </w:pPr>
            <w:r w:rsidRPr="002C3625">
              <w:rPr>
                <w:rFonts w:ascii="Futura Std Condensed Light" w:eastAsia="Calibri" w:hAnsi="Futura Std Condensed Light" w:cs="Calibri"/>
                <w:b/>
                <w:sz w:val="20"/>
                <w:szCs w:val="20"/>
              </w:rPr>
              <w:t>2018</w:t>
            </w:r>
          </w:p>
        </w:tc>
        <w:tc>
          <w:tcPr>
            <w:tcW w:w="0" w:type="auto"/>
          </w:tcPr>
          <w:p w14:paraId="6631C335" w14:textId="77777777" w:rsidR="0021177B" w:rsidRPr="002C3625" w:rsidRDefault="0021177B" w:rsidP="009E3B2F">
            <w:pPr>
              <w:spacing w:after="0" w:line="240" w:lineRule="auto"/>
              <w:jc w:val="center"/>
              <w:rPr>
                <w:rFonts w:ascii="Futura Std Condensed Light" w:eastAsia="Calibri" w:hAnsi="Futura Std Condensed Light" w:cs="Calibri"/>
                <w:b/>
                <w:sz w:val="20"/>
                <w:szCs w:val="20"/>
              </w:rPr>
            </w:pPr>
            <w:r w:rsidRPr="002C3625">
              <w:rPr>
                <w:rFonts w:ascii="Futura Std Condensed Light" w:eastAsia="Calibri" w:hAnsi="Futura Std Condensed Light" w:cs="Calibri"/>
                <w:b/>
                <w:sz w:val="20"/>
                <w:szCs w:val="20"/>
              </w:rPr>
              <w:t>2019</w:t>
            </w:r>
          </w:p>
        </w:tc>
        <w:tc>
          <w:tcPr>
            <w:tcW w:w="0" w:type="auto"/>
          </w:tcPr>
          <w:p w14:paraId="1E1AA4F1" w14:textId="77777777" w:rsidR="0021177B" w:rsidRPr="002C3625" w:rsidRDefault="0021177B" w:rsidP="009E3B2F">
            <w:pPr>
              <w:spacing w:after="0" w:line="240" w:lineRule="auto"/>
              <w:jc w:val="center"/>
              <w:rPr>
                <w:rFonts w:ascii="Futura Std Condensed Light" w:eastAsia="Calibri" w:hAnsi="Futura Std Condensed Light" w:cs="Calibri"/>
                <w:b/>
                <w:sz w:val="20"/>
                <w:szCs w:val="20"/>
              </w:rPr>
            </w:pPr>
            <w:r w:rsidRPr="002C3625">
              <w:rPr>
                <w:rFonts w:ascii="Futura Std Condensed Light" w:eastAsia="Calibri" w:hAnsi="Futura Std Condensed Light" w:cs="Calibri"/>
                <w:b/>
                <w:sz w:val="20"/>
                <w:szCs w:val="20"/>
              </w:rPr>
              <w:t>2020</w:t>
            </w:r>
          </w:p>
        </w:tc>
        <w:tc>
          <w:tcPr>
            <w:tcW w:w="0" w:type="auto"/>
          </w:tcPr>
          <w:p w14:paraId="7F367F79" w14:textId="77777777" w:rsidR="0021177B" w:rsidRPr="002C3625" w:rsidRDefault="0021177B" w:rsidP="009E3B2F">
            <w:pPr>
              <w:spacing w:after="0" w:line="240" w:lineRule="auto"/>
              <w:jc w:val="center"/>
              <w:rPr>
                <w:rFonts w:ascii="Futura Std Condensed Light" w:eastAsia="Calibri" w:hAnsi="Futura Std Condensed Light" w:cs="Calibri"/>
                <w:b/>
                <w:sz w:val="20"/>
                <w:szCs w:val="20"/>
              </w:rPr>
            </w:pPr>
            <w:r w:rsidRPr="002C3625">
              <w:rPr>
                <w:rFonts w:ascii="Futura Std Condensed Light" w:eastAsia="Calibri" w:hAnsi="Futura Std Condensed Light" w:cs="Calibri"/>
                <w:b/>
                <w:sz w:val="20"/>
                <w:szCs w:val="20"/>
              </w:rPr>
              <w:t>2021</w:t>
            </w:r>
          </w:p>
        </w:tc>
        <w:tc>
          <w:tcPr>
            <w:tcW w:w="0" w:type="auto"/>
          </w:tcPr>
          <w:p w14:paraId="68C54190" w14:textId="77777777" w:rsidR="0021177B" w:rsidRPr="002C3625" w:rsidRDefault="0021177B" w:rsidP="009E3B2F">
            <w:pPr>
              <w:spacing w:after="0" w:line="240" w:lineRule="auto"/>
              <w:jc w:val="center"/>
              <w:rPr>
                <w:rFonts w:ascii="Futura Std Condensed Light" w:eastAsia="Calibri" w:hAnsi="Futura Std Condensed Light" w:cs="Calibri"/>
                <w:b/>
                <w:sz w:val="20"/>
                <w:szCs w:val="20"/>
              </w:rPr>
            </w:pPr>
            <w:r w:rsidRPr="002C3625">
              <w:rPr>
                <w:rFonts w:ascii="Futura Std Condensed Light" w:eastAsia="Calibri" w:hAnsi="Futura Std Condensed Light" w:cs="Calibri"/>
                <w:b/>
                <w:sz w:val="20"/>
                <w:szCs w:val="20"/>
              </w:rPr>
              <w:t>2022</w:t>
            </w:r>
          </w:p>
        </w:tc>
      </w:tr>
      <w:tr w:rsidR="0021177B" w:rsidRPr="002C3625" w14:paraId="17CBAEF8" w14:textId="77777777" w:rsidTr="009D6EFB">
        <w:trPr>
          <w:trHeight w:val="274"/>
        </w:trPr>
        <w:tc>
          <w:tcPr>
            <w:tcW w:w="0" w:type="auto"/>
          </w:tcPr>
          <w:p w14:paraId="762D242E" w14:textId="77777777" w:rsidR="0021177B" w:rsidRPr="002C3625" w:rsidRDefault="0021177B" w:rsidP="009E3B2F">
            <w:pPr>
              <w:spacing w:after="0" w:line="240" w:lineRule="auto"/>
              <w:jc w:val="center"/>
              <w:rPr>
                <w:rFonts w:ascii="Futura Std Condensed Light" w:eastAsia="Calibri" w:hAnsi="Futura Std Condensed Light" w:cs="Calibri"/>
                <w:sz w:val="20"/>
                <w:szCs w:val="20"/>
              </w:rPr>
            </w:pPr>
            <w:r w:rsidRPr="002C3625">
              <w:rPr>
                <w:rFonts w:ascii="Futura Std Condensed Light" w:eastAsia="Calibri" w:hAnsi="Futura Std Condensed Light" w:cs="Calibri"/>
                <w:sz w:val="20"/>
                <w:szCs w:val="20"/>
              </w:rPr>
              <w:t>58,024</w:t>
            </w:r>
          </w:p>
        </w:tc>
        <w:tc>
          <w:tcPr>
            <w:tcW w:w="0" w:type="auto"/>
          </w:tcPr>
          <w:p w14:paraId="3CD1FDB6" w14:textId="77777777" w:rsidR="0021177B" w:rsidRPr="002C3625" w:rsidRDefault="0021177B" w:rsidP="009E3B2F">
            <w:pPr>
              <w:spacing w:after="0" w:line="240" w:lineRule="auto"/>
              <w:jc w:val="center"/>
              <w:rPr>
                <w:rFonts w:ascii="Futura Std Condensed Light" w:eastAsia="Calibri" w:hAnsi="Futura Std Condensed Light" w:cs="Calibri"/>
                <w:sz w:val="20"/>
                <w:szCs w:val="20"/>
              </w:rPr>
            </w:pPr>
            <w:r w:rsidRPr="002C3625">
              <w:rPr>
                <w:rFonts w:ascii="Futura Std Condensed Light" w:eastAsia="Calibri" w:hAnsi="Futura Std Condensed Light" w:cs="Calibri"/>
                <w:sz w:val="20"/>
                <w:szCs w:val="20"/>
              </w:rPr>
              <w:t>59,455</w:t>
            </w:r>
          </w:p>
        </w:tc>
        <w:tc>
          <w:tcPr>
            <w:tcW w:w="0" w:type="auto"/>
          </w:tcPr>
          <w:p w14:paraId="5EFEF27A" w14:textId="77777777" w:rsidR="0021177B" w:rsidRPr="002C3625" w:rsidRDefault="0021177B" w:rsidP="009E3B2F">
            <w:pPr>
              <w:spacing w:after="0" w:line="240" w:lineRule="auto"/>
              <w:jc w:val="center"/>
              <w:rPr>
                <w:rFonts w:ascii="Futura Std Condensed Light" w:eastAsia="Calibri" w:hAnsi="Futura Std Condensed Light" w:cs="Calibri"/>
                <w:sz w:val="20"/>
                <w:szCs w:val="20"/>
              </w:rPr>
            </w:pPr>
            <w:r w:rsidRPr="002C3625">
              <w:rPr>
                <w:rFonts w:ascii="Futura Std Condensed Light" w:eastAsia="Calibri" w:hAnsi="Futura Std Condensed Light" w:cs="Calibri"/>
                <w:sz w:val="20"/>
                <w:szCs w:val="20"/>
              </w:rPr>
              <w:t>60,058</w:t>
            </w:r>
          </w:p>
        </w:tc>
        <w:tc>
          <w:tcPr>
            <w:tcW w:w="0" w:type="auto"/>
          </w:tcPr>
          <w:p w14:paraId="75A91778" w14:textId="77777777" w:rsidR="0021177B" w:rsidRPr="002C3625" w:rsidRDefault="0021177B" w:rsidP="009E3B2F">
            <w:pPr>
              <w:spacing w:after="0" w:line="240" w:lineRule="auto"/>
              <w:jc w:val="center"/>
              <w:rPr>
                <w:rFonts w:ascii="Futura Std Condensed Light" w:eastAsia="Calibri" w:hAnsi="Futura Std Condensed Light" w:cs="Calibri"/>
                <w:sz w:val="20"/>
                <w:szCs w:val="20"/>
              </w:rPr>
            </w:pPr>
            <w:r w:rsidRPr="002C3625">
              <w:rPr>
                <w:rFonts w:ascii="Futura Std Condensed Light" w:eastAsia="Calibri" w:hAnsi="Futura Std Condensed Light" w:cs="Calibri"/>
                <w:sz w:val="20"/>
                <w:szCs w:val="20"/>
              </w:rPr>
              <w:t>60,869</w:t>
            </w:r>
          </w:p>
        </w:tc>
        <w:tc>
          <w:tcPr>
            <w:tcW w:w="0" w:type="auto"/>
          </w:tcPr>
          <w:p w14:paraId="72F65F09" w14:textId="77777777" w:rsidR="0021177B" w:rsidRPr="002C3625" w:rsidRDefault="0021177B" w:rsidP="009E3B2F">
            <w:pPr>
              <w:spacing w:after="0" w:line="240" w:lineRule="auto"/>
              <w:jc w:val="center"/>
              <w:rPr>
                <w:rFonts w:ascii="Futura Std Condensed Light" w:eastAsia="Calibri" w:hAnsi="Futura Std Condensed Light" w:cs="Calibri"/>
                <w:sz w:val="20"/>
                <w:szCs w:val="20"/>
              </w:rPr>
            </w:pPr>
            <w:r w:rsidRPr="002C3625">
              <w:rPr>
                <w:rFonts w:ascii="Futura Std Condensed Light" w:eastAsia="Calibri" w:hAnsi="Futura Std Condensed Light" w:cs="Calibri"/>
                <w:sz w:val="20"/>
                <w:szCs w:val="20"/>
              </w:rPr>
              <w:t>61,541</w:t>
            </w:r>
          </w:p>
        </w:tc>
        <w:tc>
          <w:tcPr>
            <w:tcW w:w="0" w:type="auto"/>
          </w:tcPr>
          <w:p w14:paraId="70A8D3A1" w14:textId="77777777" w:rsidR="0021177B" w:rsidRPr="002C3625" w:rsidRDefault="0021177B" w:rsidP="009E3B2F">
            <w:pPr>
              <w:spacing w:after="0" w:line="240" w:lineRule="auto"/>
              <w:jc w:val="center"/>
              <w:rPr>
                <w:rFonts w:ascii="Futura Std Condensed Light" w:eastAsia="Calibri" w:hAnsi="Futura Std Condensed Light" w:cs="Calibri"/>
                <w:sz w:val="20"/>
                <w:szCs w:val="20"/>
              </w:rPr>
            </w:pPr>
            <w:r w:rsidRPr="002C3625">
              <w:rPr>
                <w:rFonts w:ascii="Futura Std Condensed Light" w:eastAsia="Calibri" w:hAnsi="Futura Std Condensed Light" w:cs="Calibri"/>
                <w:sz w:val="20"/>
                <w:szCs w:val="20"/>
              </w:rPr>
              <w:t>62,247</w:t>
            </w:r>
          </w:p>
        </w:tc>
      </w:tr>
    </w:tbl>
    <w:p w14:paraId="45039ECE" w14:textId="5CC1A358" w:rsidR="007F55A3" w:rsidRPr="007F55A3" w:rsidRDefault="007F55A3" w:rsidP="0021177B">
      <w:pPr>
        <w:rPr>
          <w:rFonts w:eastAsia="Arial" w:cs="Times New Roman"/>
          <w:b/>
          <w:color w:val="auto"/>
        </w:rPr>
      </w:pPr>
    </w:p>
    <w:p w14:paraId="477A695B" w14:textId="77777777" w:rsidR="00A26217" w:rsidRDefault="00A26217">
      <w:pPr>
        <w:spacing w:after="0" w:line="240" w:lineRule="auto"/>
        <w:jc w:val="left"/>
        <w:rPr>
          <w:rFonts w:eastAsia="Arial" w:cs="Times New Roman"/>
          <w:b/>
          <w:color w:val="4BACC6" w:themeColor="accent5"/>
        </w:rPr>
      </w:pPr>
      <w:r>
        <w:rPr>
          <w:rFonts w:eastAsia="Arial" w:cs="Times New Roman"/>
          <w:b/>
          <w:color w:val="4BACC6" w:themeColor="accent5"/>
        </w:rPr>
        <w:br w:type="page"/>
      </w:r>
    </w:p>
    <w:p w14:paraId="428F63CC" w14:textId="65820158" w:rsidR="0021177B" w:rsidRDefault="00FA0940" w:rsidP="0021177B">
      <w:pPr>
        <w:jc w:val="center"/>
      </w:pPr>
      <w:r>
        <w:rPr>
          <w:rFonts w:eastAsia="Arial" w:cs="Times New Roman"/>
          <w:b/>
          <w:color w:val="4BACC6" w:themeColor="accent5"/>
        </w:rPr>
        <w:lastRenderedPageBreak/>
        <w:t>Cuadro 26</w:t>
      </w:r>
      <w:r w:rsidR="0021177B">
        <w:rPr>
          <w:rFonts w:eastAsia="Arial" w:cs="Times New Roman"/>
          <w:b/>
          <w:color w:val="4BACC6" w:themeColor="accent5"/>
        </w:rPr>
        <w:t>. Entregable y meta de la línea de acción 2 del PED</w:t>
      </w:r>
    </w:p>
    <w:tbl>
      <w:tblPr>
        <w:tblStyle w:val="Tablaconcuadrcula"/>
        <w:tblW w:w="5000" w:type="pct"/>
        <w:tblLook w:val="04A0" w:firstRow="1" w:lastRow="0" w:firstColumn="1" w:lastColumn="0" w:noHBand="0" w:noVBand="1"/>
      </w:tblPr>
      <w:tblGrid>
        <w:gridCol w:w="1489"/>
        <w:gridCol w:w="814"/>
        <w:gridCol w:w="679"/>
        <w:gridCol w:w="462"/>
        <w:gridCol w:w="687"/>
        <w:gridCol w:w="576"/>
        <w:gridCol w:w="462"/>
        <w:gridCol w:w="1724"/>
        <w:gridCol w:w="1032"/>
        <w:gridCol w:w="1612"/>
      </w:tblGrid>
      <w:tr w:rsidR="0086391F" w:rsidRPr="00495F3A" w14:paraId="69C6681C" w14:textId="77777777" w:rsidTr="00495F3A">
        <w:trPr>
          <w:trHeight w:val="182"/>
        </w:trPr>
        <w:tc>
          <w:tcPr>
            <w:tcW w:w="1806" w:type="pct"/>
            <w:gridSpan w:val="4"/>
            <w:shd w:val="clear" w:color="auto" w:fill="A6A6A6" w:themeFill="background1" w:themeFillShade="A6"/>
          </w:tcPr>
          <w:p w14:paraId="11F4710A" w14:textId="77777777" w:rsidR="0021177B" w:rsidRPr="00495F3A" w:rsidRDefault="0021177B" w:rsidP="009E3B2F">
            <w:pPr>
              <w:spacing w:after="0" w:line="240" w:lineRule="auto"/>
              <w:jc w:val="center"/>
              <w:rPr>
                <w:rFonts w:ascii="Futura Std Condensed Light" w:eastAsia="Calibri" w:hAnsi="Futura Std Condensed Light" w:cs="Calibri"/>
                <w:color w:val="auto"/>
                <w:sz w:val="20"/>
                <w:szCs w:val="20"/>
              </w:rPr>
            </w:pPr>
            <w:r w:rsidRPr="00495F3A">
              <w:rPr>
                <w:rFonts w:ascii="Futura Std Condensed Light" w:eastAsia="Calibri" w:hAnsi="Futura Std Condensed Light" w:cs="Calibri"/>
                <w:color w:val="auto"/>
                <w:sz w:val="20"/>
                <w:szCs w:val="20"/>
              </w:rPr>
              <w:t>Programa PED</w:t>
            </w:r>
          </w:p>
        </w:tc>
        <w:tc>
          <w:tcPr>
            <w:tcW w:w="3194" w:type="pct"/>
            <w:gridSpan w:val="6"/>
            <w:shd w:val="clear" w:color="auto" w:fill="A6A6A6" w:themeFill="background1" w:themeFillShade="A6"/>
          </w:tcPr>
          <w:p w14:paraId="69A13DA2" w14:textId="77777777" w:rsidR="0021177B" w:rsidRPr="00495F3A" w:rsidRDefault="0021177B" w:rsidP="009E3B2F">
            <w:pPr>
              <w:spacing w:after="0" w:line="240" w:lineRule="auto"/>
              <w:jc w:val="center"/>
              <w:rPr>
                <w:rFonts w:ascii="Futura Std Condensed Light" w:eastAsia="Calibri" w:hAnsi="Futura Std Condensed Light" w:cs="Calibri"/>
                <w:color w:val="auto"/>
                <w:sz w:val="20"/>
                <w:szCs w:val="20"/>
              </w:rPr>
            </w:pPr>
            <w:r w:rsidRPr="00495F3A">
              <w:rPr>
                <w:rFonts w:ascii="Futura Std Condensed Light" w:eastAsia="Calibri" w:hAnsi="Futura Std Condensed Light" w:cs="Calibri"/>
                <w:color w:val="auto"/>
                <w:sz w:val="20"/>
                <w:szCs w:val="20"/>
              </w:rPr>
              <w:t>Programa Sectorial Educación Pública de Calidad</w:t>
            </w:r>
          </w:p>
        </w:tc>
      </w:tr>
      <w:tr w:rsidR="0021177B" w:rsidRPr="002C3625" w14:paraId="14892675" w14:textId="77777777" w:rsidTr="009E3B2F">
        <w:trPr>
          <w:trHeight w:val="469"/>
        </w:trPr>
        <w:tc>
          <w:tcPr>
            <w:tcW w:w="1806" w:type="pct"/>
            <w:gridSpan w:val="4"/>
          </w:tcPr>
          <w:p w14:paraId="7B94E877" w14:textId="77777777" w:rsidR="0021177B" w:rsidRPr="002C3625" w:rsidRDefault="0021177B" w:rsidP="009E3B2F">
            <w:pPr>
              <w:spacing w:after="0" w:line="240" w:lineRule="auto"/>
              <w:jc w:val="center"/>
              <w:rPr>
                <w:rFonts w:ascii="Futura Std Condensed Light" w:eastAsia="Calibri" w:hAnsi="Futura Std Condensed Light" w:cs="Calibri"/>
                <w:b/>
                <w:sz w:val="20"/>
                <w:szCs w:val="20"/>
              </w:rPr>
            </w:pPr>
            <w:r w:rsidRPr="002C3625">
              <w:rPr>
                <w:rFonts w:ascii="Futura Std Condensed Light" w:eastAsia="Calibri" w:hAnsi="Futura Std Condensed Light" w:cs="Calibri"/>
                <w:b/>
                <w:sz w:val="20"/>
                <w:szCs w:val="20"/>
              </w:rPr>
              <w:t>Línea de acción:</w:t>
            </w:r>
          </w:p>
        </w:tc>
        <w:tc>
          <w:tcPr>
            <w:tcW w:w="3194" w:type="pct"/>
            <w:gridSpan w:val="6"/>
          </w:tcPr>
          <w:p w14:paraId="1AA70575" w14:textId="77777777" w:rsidR="0021177B" w:rsidRPr="002C3625" w:rsidRDefault="0021177B" w:rsidP="009E3B2F">
            <w:pPr>
              <w:spacing w:after="0" w:line="240" w:lineRule="auto"/>
              <w:jc w:val="center"/>
              <w:rPr>
                <w:rFonts w:ascii="Futura Std Condensed Light" w:eastAsia="Calibri" w:hAnsi="Futura Std Condensed Light" w:cs="Calibri"/>
                <w:sz w:val="20"/>
                <w:szCs w:val="20"/>
              </w:rPr>
            </w:pPr>
            <w:r w:rsidRPr="002C3625">
              <w:rPr>
                <w:rFonts w:ascii="Futura Std Condensed Light" w:eastAsia="Calibri" w:hAnsi="Futura Std Condensed Light" w:cs="Calibri"/>
                <w:sz w:val="20"/>
                <w:szCs w:val="20"/>
              </w:rPr>
              <w:t>2. Reorientar el programa de becas e incentivos para otorgarlas a los alumnos de escasos recursos a fin de que concluyan sus estudios.</w:t>
            </w:r>
          </w:p>
        </w:tc>
      </w:tr>
      <w:tr w:rsidR="0021177B" w:rsidRPr="002C3625" w14:paraId="273A1985" w14:textId="77777777" w:rsidTr="009E3B2F">
        <w:trPr>
          <w:trHeight w:val="484"/>
        </w:trPr>
        <w:tc>
          <w:tcPr>
            <w:tcW w:w="1806" w:type="pct"/>
            <w:gridSpan w:val="4"/>
          </w:tcPr>
          <w:p w14:paraId="6C951EE2" w14:textId="77777777" w:rsidR="0021177B" w:rsidRPr="002C3625" w:rsidRDefault="0021177B" w:rsidP="009E3B2F">
            <w:pPr>
              <w:spacing w:after="0" w:line="240" w:lineRule="auto"/>
              <w:jc w:val="center"/>
              <w:rPr>
                <w:rFonts w:ascii="Futura Std Condensed Light" w:eastAsia="Calibri" w:hAnsi="Futura Std Condensed Light" w:cs="Calibri"/>
                <w:b/>
                <w:sz w:val="20"/>
                <w:szCs w:val="20"/>
              </w:rPr>
            </w:pPr>
            <w:r w:rsidRPr="002C3625">
              <w:rPr>
                <w:rFonts w:ascii="Futura Std Condensed Light" w:eastAsia="Calibri" w:hAnsi="Futura Std Condensed Light" w:cs="Calibri"/>
                <w:b/>
                <w:sz w:val="20"/>
                <w:szCs w:val="20"/>
              </w:rPr>
              <w:t>Plan Estratégico Objetivo Especifico</w:t>
            </w:r>
          </w:p>
        </w:tc>
        <w:tc>
          <w:tcPr>
            <w:tcW w:w="3194" w:type="pct"/>
            <w:gridSpan w:val="6"/>
          </w:tcPr>
          <w:p w14:paraId="2FCEAFC6" w14:textId="77777777" w:rsidR="0021177B" w:rsidRPr="002C3625" w:rsidRDefault="0021177B" w:rsidP="009E3B2F">
            <w:pPr>
              <w:spacing w:after="0" w:line="240" w:lineRule="auto"/>
              <w:jc w:val="center"/>
              <w:rPr>
                <w:rFonts w:ascii="Futura Std Condensed Light" w:eastAsia="Calibri" w:hAnsi="Futura Std Condensed Light" w:cs="Calibri"/>
                <w:sz w:val="20"/>
                <w:szCs w:val="20"/>
              </w:rPr>
            </w:pPr>
            <w:r w:rsidRPr="002C3625">
              <w:rPr>
                <w:rFonts w:ascii="Futura Std Condensed Light" w:eastAsia="Calibri" w:hAnsi="Futura Std Condensed Light" w:cs="Calibri"/>
                <w:sz w:val="20"/>
                <w:szCs w:val="20"/>
              </w:rPr>
              <w:t>Disminuir la desigualdad en sus diversas formas </w:t>
            </w:r>
          </w:p>
        </w:tc>
      </w:tr>
      <w:tr w:rsidR="0021177B" w:rsidRPr="002C3625" w14:paraId="75809656" w14:textId="77777777" w:rsidTr="009E3B2F">
        <w:trPr>
          <w:trHeight w:val="484"/>
        </w:trPr>
        <w:tc>
          <w:tcPr>
            <w:tcW w:w="1208" w:type="pct"/>
            <w:gridSpan w:val="2"/>
          </w:tcPr>
          <w:p w14:paraId="7AF1CDF1" w14:textId="77777777" w:rsidR="0021177B" w:rsidRPr="002C3625" w:rsidRDefault="0021177B" w:rsidP="009E3B2F">
            <w:pPr>
              <w:spacing w:after="0" w:line="240" w:lineRule="auto"/>
              <w:jc w:val="center"/>
              <w:rPr>
                <w:rFonts w:ascii="Futura Std Condensed Light" w:eastAsia="Calibri" w:hAnsi="Futura Std Condensed Light" w:cs="Calibri"/>
                <w:b/>
                <w:sz w:val="20"/>
                <w:szCs w:val="20"/>
              </w:rPr>
            </w:pPr>
            <w:r w:rsidRPr="002C3625">
              <w:rPr>
                <w:rFonts w:ascii="Futura Std Condensed Light" w:eastAsia="Calibri" w:hAnsi="Futura Std Condensed Light" w:cs="Calibri"/>
                <w:b/>
                <w:sz w:val="20"/>
                <w:szCs w:val="20"/>
              </w:rPr>
              <w:t>Entregable:</w:t>
            </w:r>
          </w:p>
        </w:tc>
        <w:tc>
          <w:tcPr>
            <w:tcW w:w="958" w:type="pct"/>
            <w:gridSpan w:val="3"/>
          </w:tcPr>
          <w:p w14:paraId="29769375" w14:textId="77777777" w:rsidR="0021177B" w:rsidRPr="002C3625" w:rsidRDefault="0021177B" w:rsidP="009E3B2F">
            <w:pPr>
              <w:spacing w:after="0" w:line="240" w:lineRule="auto"/>
              <w:jc w:val="center"/>
              <w:rPr>
                <w:rFonts w:ascii="Futura Std Condensed Light" w:eastAsia="Calibri" w:hAnsi="Futura Std Condensed Light" w:cs="Calibri"/>
                <w:sz w:val="20"/>
                <w:szCs w:val="20"/>
              </w:rPr>
            </w:pPr>
            <w:r w:rsidRPr="002C3625">
              <w:rPr>
                <w:rFonts w:ascii="Futura Std Condensed Light" w:eastAsia="Calibri" w:hAnsi="Futura Std Condensed Light" w:cs="Calibri"/>
                <w:sz w:val="20"/>
                <w:szCs w:val="20"/>
              </w:rPr>
              <w:t>Becas otorgadas a alumnos de escasos recursos</w:t>
            </w:r>
          </w:p>
        </w:tc>
        <w:tc>
          <w:tcPr>
            <w:tcW w:w="1446" w:type="pct"/>
            <w:gridSpan w:val="3"/>
          </w:tcPr>
          <w:p w14:paraId="4503C18D" w14:textId="77777777" w:rsidR="0021177B" w:rsidRPr="002C3625" w:rsidRDefault="0021177B" w:rsidP="009E3B2F">
            <w:pPr>
              <w:spacing w:after="0" w:line="240" w:lineRule="auto"/>
              <w:jc w:val="center"/>
              <w:rPr>
                <w:rFonts w:ascii="Futura Std Condensed Light" w:eastAsia="Calibri" w:hAnsi="Futura Std Condensed Light" w:cs="Calibri"/>
                <w:b/>
                <w:sz w:val="20"/>
                <w:szCs w:val="20"/>
              </w:rPr>
            </w:pPr>
            <w:r w:rsidRPr="002C3625">
              <w:rPr>
                <w:rFonts w:ascii="Futura Std Condensed Light" w:eastAsia="Calibri" w:hAnsi="Futura Std Condensed Light" w:cs="Calibri"/>
                <w:b/>
                <w:sz w:val="20"/>
                <w:szCs w:val="20"/>
              </w:rPr>
              <w:t>Unidad de Medida:</w:t>
            </w:r>
          </w:p>
        </w:tc>
        <w:tc>
          <w:tcPr>
            <w:tcW w:w="1387" w:type="pct"/>
            <w:gridSpan w:val="2"/>
          </w:tcPr>
          <w:p w14:paraId="3C251417" w14:textId="77777777" w:rsidR="0021177B" w:rsidRPr="002C3625" w:rsidRDefault="0021177B" w:rsidP="009E3B2F">
            <w:pPr>
              <w:spacing w:after="0" w:line="240" w:lineRule="auto"/>
              <w:jc w:val="center"/>
              <w:rPr>
                <w:rFonts w:ascii="Futura Std Condensed Light" w:eastAsia="Calibri" w:hAnsi="Futura Std Condensed Light" w:cs="Calibri"/>
                <w:sz w:val="20"/>
                <w:szCs w:val="20"/>
              </w:rPr>
            </w:pPr>
            <w:r w:rsidRPr="002C3625">
              <w:rPr>
                <w:rFonts w:ascii="Futura Std Condensed Light" w:eastAsia="Calibri" w:hAnsi="Futura Std Condensed Light" w:cs="Calibri"/>
                <w:sz w:val="20"/>
                <w:szCs w:val="20"/>
              </w:rPr>
              <w:t>Alumnos beneficiados</w:t>
            </w:r>
          </w:p>
        </w:tc>
      </w:tr>
      <w:tr w:rsidR="0021177B" w:rsidRPr="002C3625" w14:paraId="51FECD34" w14:textId="77777777" w:rsidTr="009E3B2F">
        <w:trPr>
          <w:trHeight w:val="449"/>
        </w:trPr>
        <w:tc>
          <w:tcPr>
            <w:tcW w:w="1208" w:type="pct"/>
            <w:gridSpan w:val="2"/>
          </w:tcPr>
          <w:p w14:paraId="6114553B" w14:textId="77777777" w:rsidR="0021177B" w:rsidRPr="002C3625" w:rsidRDefault="0021177B" w:rsidP="009E3B2F">
            <w:pPr>
              <w:spacing w:after="0" w:line="240" w:lineRule="auto"/>
              <w:jc w:val="center"/>
              <w:rPr>
                <w:rFonts w:ascii="Futura Std Condensed Light" w:eastAsia="Calibri" w:hAnsi="Futura Std Condensed Light" w:cs="Calibri"/>
                <w:b/>
                <w:sz w:val="20"/>
                <w:szCs w:val="20"/>
              </w:rPr>
            </w:pPr>
            <w:r w:rsidRPr="002C3625">
              <w:rPr>
                <w:rFonts w:ascii="Futura Std Condensed Light" w:eastAsia="Calibri" w:hAnsi="Futura Std Condensed Light" w:cs="Calibri"/>
                <w:b/>
                <w:sz w:val="20"/>
                <w:szCs w:val="20"/>
              </w:rPr>
              <w:t>Descripción:</w:t>
            </w:r>
          </w:p>
        </w:tc>
        <w:tc>
          <w:tcPr>
            <w:tcW w:w="3792" w:type="pct"/>
            <w:gridSpan w:val="8"/>
          </w:tcPr>
          <w:p w14:paraId="6416992A" w14:textId="77777777" w:rsidR="0021177B" w:rsidRPr="002C3625" w:rsidRDefault="0021177B" w:rsidP="009E3B2F">
            <w:pPr>
              <w:spacing w:after="0" w:line="240" w:lineRule="auto"/>
              <w:jc w:val="center"/>
              <w:rPr>
                <w:rFonts w:ascii="Futura Std Condensed Light" w:eastAsia="Calibri" w:hAnsi="Futura Std Condensed Light" w:cs="Calibri"/>
                <w:sz w:val="20"/>
                <w:szCs w:val="20"/>
              </w:rPr>
            </w:pPr>
            <w:r w:rsidRPr="002C3625">
              <w:rPr>
                <w:rFonts w:ascii="Futura Std Condensed Light" w:eastAsia="Calibri" w:hAnsi="Futura Std Condensed Light" w:cs="Calibri"/>
                <w:sz w:val="20"/>
                <w:szCs w:val="20"/>
              </w:rPr>
              <w:t>Se refiere al otorgamiento de becas económicas, becas a la excelencia y becas escolares a alumnos de educación básica.</w:t>
            </w:r>
          </w:p>
        </w:tc>
      </w:tr>
      <w:tr w:rsidR="0021177B" w:rsidRPr="002C3625" w14:paraId="492949CB" w14:textId="77777777" w:rsidTr="009E3B2F">
        <w:trPr>
          <w:trHeight w:val="484"/>
        </w:trPr>
        <w:tc>
          <w:tcPr>
            <w:tcW w:w="1806" w:type="pct"/>
            <w:gridSpan w:val="4"/>
          </w:tcPr>
          <w:p w14:paraId="371321C7" w14:textId="77777777" w:rsidR="0021177B" w:rsidRPr="002C3625" w:rsidRDefault="0021177B" w:rsidP="009E3B2F">
            <w:pPr>
              <w:spacing w:after="0" w:line="240" w:lineRule="auto"/>
              <w:jc w:val="center"/>
              <w:rPr>
                <w:rFonts w:ascii="Futura Std Condensed Light" w:eastAsia="Calibri" w:hAnsi="Futura Std Condensed Light" w:cs="Calibri"/>
                <w:b/>
                <w:sz w:val="20"/>
                <w:szCs w:val="20"/>
              </w:rPr>
            </w:pPr>
            <w:r w:rsidRPr="002C3625">
              <w:rPr>
                <w:rFonts w:ascii="Futura Std Condensed Light" w:eastAsia="Calibri" w:hAnsi="Futura Std Condensed Light" w:cs="Calibri"/>
                <w:b/>
                <w:sz w:val="20"/>
                <w:szCs w:val="20"/>
              </w:rPr>
              <w:t>Medio de verificación:</w:t>
            </w:r>
          </w:p>
        </w:tc>
        <w:tc>
          <w:tcPr>
            <w:tcW w:w="3194" w:type="pct"/>
            <w:gridSpan w:val="6"/>
          </w:tcPr>
          <w:p w14:paraId="7403999E" w14:textId="77777777" w:rsidR="0021177B" w:rsidRPr="002C3625" w:rsidRDefault="0021177B" w:rsidP="009E3B2F">
            <w:pPr>
              <w:spacing w:after="0" w:line="240" w:lineRule="auto"/>
              <w:jc w:val="center"/>
              <w:rPr>
                <w:rFonts w:ascii="Futura Std Condensed Light" w:eastAsia="Calibri" w:hAnsi="Futura Std Condensed Light" w:cs="Calibri"/>
                <w:sz w:val="20"/>
                <w:szCs w:val="20"/>
              </w:rPr>
            </w:pPr>
            <w:r w:rsidRPr="002C3625">
              <w:rPr>
                <w:rFonts w:ascii="Futura Std Condensed Light" w:eastAsia="Calibri" w:hAnsi="Futura Std Condensed Light" w:cs="Calibri"/>
                <w:sz w:val="20"/>
                <w:szCs w:val="20"/>
              </w:rPr>
              <w:t>Padrón de becarios</w:t>
            </w:r>
          </w:p>
        </w:tc>
      </w:tr>
      <w:tr w:rsidR="0021177B" w:rsidRPr="002C3625" w14:paraId="711DA3F6" w14:textId="77777777" w:rsidTr="009E3B2F">
        <w:trPr>
          <w:trHeight w:val="484"/>
        </w:trPr>
        <w:tc>
          <w:tcPr>
            <w:tcW w:w="1806" w:type="pct"/>
            <w:gridSpan w:val="4"/>
          </w:tcPr>
          <w:p w14:paraId="5000D347" w14:textId="77777777" w:rsidR="0021177B" w:rsidRPr="002C3625" w:rsidRDefault="0021177B" w:rsidP="009E3B2F">
            <w:pPr>
              <w:spacing w:after="0" w:line="240" w:lineRule="auto"/>
              <w:jc w:val="center"/>
              <w:rPr>
                <w:rFonts w:ascii="Futura Std Condensed Light" w:eastAsia="Calibri" w:hAnsi="Futura Std Condensed Light" w:cs="Calibri"/>
                <w:b/>
                <w:sz w:val="20"/>
                <w:szCs w:val="20"/>
              </w:rPr>
            </w:pPr>
            <w:r w:rsidRPr="002C3625">
              <w:rPr>
                <w:rFonts w:ascii="Futura Std Condensed Light" w:eastAsia="Calibri" w:hAnsi="Futura Std Condensed Light" w:cs="Calibri"/>
                <w:b/>
                <w:sz w:val="20"/>
                <w:szCs w:val="20"/>
              </w:rPr>
              <w:t>Línea base:</w:t>
            </w:r>
          </w:p>
        </w:tc>
        <w:tc>
          <w:tcPr>
            <w:tcW w:w="904" w:type="pct"/>
            <w:gridSpan w:val="3"/>
          </w:tcPr>
          <w:p w14:paraId="4AB61F29" w14:textId="77777777" w:rsidR="0021177B" w:rsidRPr="002C3625" w:rsidRDefault="0021177B" w:rsidP="009E3B2F">
            <w:pPr>
              <w:spacing w:after="0" w:line="240" w:lineRule="auto"/>
              <w:jc w:val="center"/>
              <w:rPr>
                <w:rFonts w:ascii="Futura Std Condensed Light" w:eastAsia="Calibri" w:hAnsi="Futura Std Condensed Light" w:cs="Calibri"/>
                <w:sz w:val="20"/>
                <w:szCs w:val="20"/>
              </w:rPr>
            </w:pPr>
            <w:r w:rsidRPr="002C3625">
              <w:rPr>
                <w:rFonts w:ascii="Futura Std Condensed Light" w:eastAsia="Calibri" w:hAnsi="Futura Std Condensed Light" w:cs="Calibri"/>
                <w:sz w:val="20"/>
                <w:szCs w:val="20"/>
              </w:rPr>
              <w:t>14,810</w:t>
            </w:r>
          </w:p>
        </w:tc>
        <w:tc>
          <w:tcPr>
            <w:tcW w:w="904" w:type="pct"/>
          </w:tcPr>
          <w:p w14:paraId="47D655F7" w14:textId="77777777" w:rsidR="0021177B" w:rsidRPr="002C3625" w:rsidRDefault="0021177B" w:rsidP="009E3B2F">
            <w:pPr>
              <w:spacing w:after="0" w:line="240" w:lineRule="auto"/>
              <w:jc w:val="center"/>
              <w:rPr>
                <w:rFonts w:ascii="Futura Std Condensed Light" w:eastAsia="Calibri" w:hAnsi="Futura Std Condensed Light" w:cs="Calibri"/>
                <w:b/>
                <w:sz w:val="20"/>
                <w:szCs w:val="20"/>
              </w:rPr>
            </w:pPr>
            <w:r w:rsidRPr="002C3625">
              <w:rPr>
                <w:rFonts w:ascii="Futura Std Condensed Light" w:eastAsia="Calibri" w:hAnsi="Futura Std Condensed Light" w:cs="Calibri"/>
                <w:b/>
                <w:sz w:val="20"/>
                <w:szCs w:val="20"/>
              </w:rPr>
              <w:t>Año de línea base:</w:t>
            </w:r>
          </w:p>
        </w:tc>
        <w:tc>
          <w:tcPr>
            <w:tcW w:w="1387" w:type="pct"/>
            <w:gridSpan w:val="2"/>
          </w:tcPr>
          <w:p w14:paraId="04ACB80E" w14:textId="77777777" w:rsidR="0021177B" w:rsidRPr="002C3625" w:rsidRDefault="0021177B" w:rsidP="009E3B2F">
            <w:pPr>
              <w:spacing w:after="0" w:line="240" w:lineRule="auto"/>
              <w:jc w:val="center"/>
              <w:rPr>
                <w:rFonts w:ascii="Futura Std Condensed Light" w:eastAsia="Calibri" w:hAnsi="Futura Std Condensed Light" w:cs="Calibri"/>
                <w:sz w:val="20"/>
                <w:szCs w:val="20"/>
              </w:rPr>
            </w:pPr>
            <w:r w:rsidRPr="002C3625">
              <w:rPr>
                <w:rFonts w:ascii="Futura Std Condensed Light" w:eastAsia="Calibri" w:hAnsi="Futura Std Condensed Light" w:cs="Calibri"/>
                <w:sz w:val="20"/>
                <w:szCs w:val="20"/>
              </w:rPr>
              <w:t>2016</w:t>
            </w:r>
          </w:p>
        </w:tc>
      </w:tr>
      <w:tr w:rsidR="0021177B" w:rsidRPr="002C3625" w14:paraId="7CA53087" w14:textId="77777777" w:rsidTr="009E3B2F">
        <w:trPr>
          <w:trHeight w:val="484"/>
        </w:trPr>
        <w:tc>
          <w:tcPr>
            <w:tcW w:w="1806" w:type="pct"/>
            <w:gridSpan w:val="4"/>
          </w:tcPr>
          <w:p w14:paraId="1927FB06" w14:textId="77777777" w:rsidR="0021177B" w:rsidRPr="002C3625" w:rsidRDefault="0021177B" w:rsidP="009E3B2F">
            <w:pPr>
              <w:spacing w:after="0" w:line="240" w:lineRule="auto"/>
              <w:jc w:val="center"/>
              <w:rPr>
                <w:rFonts w:ascii="Futura Std Condensed Light" w:eastAsia="Calibri" w:hAnsi="Futura Std Condensed Light" w:cs="Calibri"/>
                <w:b/>
                <w:sz w:val="20"/>
                <w:szCs w:val="20"/>
              </w:rPr>
            </w:pPr>
            <w:r w:rsidRPr="002C3625">
              <w:rPr>
                <w:rFonts w:ascii="Futura Std Condensed Light" w:eastAsia="Calibri" w:hAnsi="Futura Std Condensed Light" w:cs="Calibri"/>
                <w:b/>
                <w:sz w:val="20"/>
                <w:szCs w:val="20"/>
              </w:rPr>
              <w:t>Contribución Directa al Objetivo de la Agenda 2030</w:t>
            </w:r>
          </w:p>
        </w:tc>
        <w:tc>
          <w:tcPr>
            <w:tcW w:w="3194" w:type="pct"/>
            <w:gridSpan w:val="6"/>
          </w:tcPr>
          <w:p w14:paraId="2DD5C2F6" w14:textId="77777777" w:rsidR="0021177B" w:rsidRPr="002C3625" w:rsidRDefault="0021177B" w:rsidP="009E3B2F">
            <w:pPr>
              <w:spacing w:after="0" w:line="240" w:lineRule="auto"/>
              <w:jc w:val="center"/>
              <w:rPr>
                <w:rFonts w:ascii="Futura Std Condensed Light" w:eastAsia="Calibri" w:hAnsi="Futura Std Condensed Light" w:cs="Calibri"/>
                <w:sz w:val="20"/>
                <w:szCs w:val="20"/>
              </w:rPr>
            </w:pPr>
            <w:r w:rsidRPr="002C3625">
              <w:rPr>
                <w:rFonts w:ascii="Futura Std Condensed Light" w:eastAsia="Calibri" w:hAnsi="Futura Std Condensed Light" w:cs="Calibri"/>
                <w:sz w:val="20"/>
                <w:szCs w:val="20"/>
              </w:rPr>
              <w:t>Garantizar una educación inclusiva, equitativa y de calidad y promover oportunidades de aprendizaje durante toda la vida para todos</w:t>
            </w:r>
          </w:p>
        </w:tc>
      </w:tr>
      <w:tr w:rsidR="0021177B" w:rsidRPr="002C3625" w14:paraId="40DBA7AE" w14:textId="77777777" w:rsidTr="009E3B2F">
        <w:trPr>
          <w:trHeight w:val="484"/>
        </w:trPr>
        <w:tc>
          <w:tcPr>
            <w:tcW w:w="1806" w:type="pct"/>
            <w:gridSpan w:val="4"/>
          </w:tcPr>
          <w:p w14:paraId="6843B116" w14:textId="77777777" w:rsidR="0021177B" w:rsidRPr="002C3625" w:rsidRDefault="0021177B" w:rsidP="009E3B2F">
            <w:pPr>
              <w:spacing w:after="0" w:line="240" w:lineRule="auto"/>
              <w:jc w:val="center"/>
              <w:rPr>
                <w:rFonts w:ascii="Futura Std Condensed Light" w:eastAsia="Calibri" w:hAnsi="Futura Std Condensed Light" w:cs="Calibri"/>
                <w:b/>
                <w:sz w:val="20"/>
                <w:szCs w:val="20"/>
              </w:rPr>
            </w:pPr>
            <w:r w:rsidRPr="002C3625">
              <w:rPr>
                <w:rFonts w:ascii="Futura Std Condensed Light" w:eastAsia="Calibri" w:hAnsi="Futura Std Condensed Light" w:cs="Calibri"/>
                <w:b/>
                <w:sz w:val="20"/>
                <w:szCs w:val="20"/>
              </w:rPr>
              <w:t>Contribución Directa  a la Meta de la Agenda 2030</w:t>
            </w:r>
          </w:p>
        </w:tc>
        <w:tc>
          <w:tcPr>
            <w:tcW w:w="3194" w:type="pct"/>
            <w:gridSpan w:val="6"/>
          </w:tcPr>
          <w:p w14:paraId="07ED978D" w14:textId="77777777" w:rsidR="0021177B" w:rsidRPr="002C3625" w:rsidRDefault="0021177B" w:rsidP="009E3B2F">
            <w:pPr>
              <w:spacing w:after="0" w:line="240" w:lineRule="auto"/>
              <w:jc w:val="center"/>
              <w:rPr>
                <w:rFonts w:ascii="Futura Std Condensed Light" w:eastAsia="Calibri" w:hAnsi="Futura Std Condensed Light" w:cs="Calibri"/>
                <w:sz w:val="20"/>
                <w:szCs w:val="20"/>
              </w:rPr>
            </w:pPr>
            <w:r w:rsidRPr="002C3625">
              <w:rPr>
                <w:rFonts w:ascii="Futura Std Condensed Light" w:eastAsia="Calibri" w:hAnsi="Futura Std Condensed Light" w:cs="Calibri"/>
                <w:sz w:val="20"/>
                <w:szCs w:val="20"/>
              </w:rPr>
              <w:t>De aquí a 2030, aumentar considerablemente a nivel mundial el número de becas disponibles para los países en desarrollo a fin de que sus estudiantes puedan matricularse en programas de enseñanza superior, incluidos programas de formación profesional y programas técnicos, científicos, de ingeniería y de tecnología de la información y las comunicaciones.</w:t>
            </w:r>
          </w:p>
        </w:tc>
      </w:tr>
      <w:tr w:rsidR="0021177B" w:rsidRPr="002C3625" w14:paraId="0F5EFC67" w14:textId="77777777" w:rsidTr="009E3B2F">
        <w:trPr>
          <w:trHeight w:val="484"/>
        </w:trPr>
        <w:tc>
          <w:tcPr>
            <w:tcW w:w="1806" w:type="pct"/>
            <w:gridSpan w:val="4"/>
          </w:tcPr>
          <w:p w14:paraId="45BCA589" w14:textId="77777777" w:rsidR="0021177B" w:rsidRPr="002C3625" w:rsidRDefault="0021177B" w:rsidP="009E3B2F">
            <w:pPr>
              <w:spacing w:after="0" w:line="240" w:lineRule="auto"/>
              <w:jc w:val="center"/>
              <w:rPr>
                <w:rFonts w:ascii="Futura Std Condensed Light" w:eastAsia="Calibri" w:hAnsi="Futura Std Condensed Light" w:cs="Calibri"/>
                <w:b/>
                <w:sz w:val="20"/>
                <w:szCs w:val="20"/>
              </w:rPr>
            </w:pPr>
            <w:r w:rsidRPr="002C3625">
              <w:rPr>
                <w:rFonts w:ascii="Futura Std Condensed Light" w:eastAsia="Calibri" w:hAnsi="Futura Std Condensed Light" w:cs="Calibri"/>
                <w:b/>
                <w:sz w:val="20"/>
                <w:szCs w:val="20"/>
              </w:rPr>
              <w:t>Tema / Proyecto Prioritario de Quintana Roo</w:t>
            </w:r>
          </w:p>
        </w:tc>
        <w:tc>
          <w:tcPr>
            <w:tcW w:w="3194" w:type="pct"/>
            <w:gridSpan w:val="6"/>
          </w:tcPr>
          <w:p w14:paraId="7127651D" w14:textId="77777777" w:rsidR="0021177B" w:rsidRPr="002C3625" w:rsidRDefault="0021177B" w:rsidP="009E3B2F">
            <w:pPr>
              <w:spacing w:after="0" w:line="240" w:lineRule="auto"/>
              <w:jc w:val="center"/>
              <w:rPr>
                <w:rFonts w:ascii="Futura Std Condensed Light" w:eastAsia="Calibri" w:hAnsi="Futura Std Condensed Light" w:cs="Calibri"/>
                <w:sz w:val="20"/>
                <w:szCs w:val="20"/>
              </w:rPr>
            </w:pPr>
            <w:r w:rsidRPr="002C3625">
              <w:rPr>
                <w:rFonts w:ascii="Futura Std Condensed Light" w:eastAsia="Calibri" w:hAnsi="Futura Std Condensed Light" w:cs="Calibri"/>
                <w:sz w:val="20"/>
                <w:szCs w:val="20"/>
              </w:rPr>
              <w:t>24.5 Abatir el rezago educativo</w:t>
            </w:r>
          </w:p>
        </w:tc>
      </w:tr>
      <w:tr w:rsidR="0021177B" w:rsidRPr="002C3625" w14:paraId="68A1BA16" w14:textId="77777777" w:rsidTr="009E3B2F">
        <w:trPr>
          <w:trHeight w:val="484"/>
        </w:trPr>
        <w:tc>
          <w:tcPr>
            <w:tcW w:w="1806" w:type="pct"/>
            <w:gridSpan w:val="4"/>
          </w:tcPr>
          <w:p w14:paraId="4A05C06D" w14:textId="77777777" w:rsidR="0021177B" w:rsidRPr="002C3625" w:rsidRDefault="0021177B" w:rsidP="009E3B2F">
            <w:pPr>
              <w:spacing w:after="0" w:line="240" w:lineRule="auto"/>
              <w:jc w:val="center"/>
              <w:rPr>
                <w:rFonts w:ascii="Futura Std Condensed Light" w:eastAsia="Calibri" w:hAnsi="Futura Std Condensed Light" w:cs="Calibri"/>
                <w:b/>
                <w:sz w:val="20"/>
                <w:szCs w:val="20"/>
              </w:rPr>
            </w:pPr>
            <w:r w:rsidRPr="002C3625">
              <w:rPr>
                <w:rFonts w:ascii="Futura Std Condensed Light" w:eastAsia="Calibri" w:hAnsi="Futura Std Condensed Light" w:cs="Calibri"/>
                <w:b/>
                <w:sz w:val="20"/>
                <w:szCs w:val="20"/>
              </w:rPr>
              <w:t>Subtema Prioritario de Quintana Roo</w:t>
            </w:r>
          </w:p>
        </w:tc>
        <w:tc>
          <w:tcPr>
            <w:tcW w:w="3194" w:type="pct"/>
            <w:gridSpan w:val="6"/>
          </w:tcPr>
          <w:p w14:paraId="59B3FA9A" w14:textId="77777777" w:rsidR="0021177B" w:rsidRPr="002C3625" w:rsidRDefault="0021177B" w:rsidP="009E3B2F">
            <w:pPr>
              <w:spacing w:after="0" w:line="240" w:lineRule="auto"/>
              <w:jc w:val="center"/>
              <w:rPr>
                <w:rFonts w:ascii="Futura Std Condensed Light" w:eastAsia="Calibri" w:hAnsi="Futura Std Condensed Light" w:cs="Calibri"/>
                <w:sz w:val="20"/>
                <w:szCs w:val="20"/>
              </w:rPr>
            </w:pPr>
            <w:r w:rsidRPr="002C3625">
              <w:rPr>
                <w:rFonts w:ascii="Futura Std Condensed Light" w:eastAsia="Calibri" w:hAnsi="Futura Std Condensed Light" w:cs="Calibri"/>
                <w:sz w:val="20"/>
                <w:szCs w:val="20"/>
              </w:rPr>
              <w:t>N/A</w:t>
            </w:r>
          </w:p>
        </w:tc>
      </w:tr>
      <w:tr w:rsidR="0021177B" w:rsidRPr="002C3625" w14:paraId="2E7B1700" w14:textId="77777777" w:rsidTr="009E3B2F">
        <w:trPr>
          <w:trHeight w:val="484"/>
        </w:trPr>
        <w:tc>
          <w:tcPr>
            <w:tcW w:w="5000" w:type="pct"/>
            <w:gridSpan w:val="10"/>
          </w:tcPr>
          <w:p w14:paraId="1F6CDD86" w14:textId="77777777" w:rsidR="0021177B" w:rsidRPr="002C3625" w:rsidRDefault="0021177B" w:rsidP="009E3B2F">
            <w:pPr>
              <w:spacing w:after="0" w:line="240" w:lineRule="auto"/>
              <w:jc w:val="center"/>
              <w:rPr>
                <w:rFonts w:ascii="Futura Std Condensed Light" w:eastAsia="Calibri" w:hAnsi="Futura Std Condensed Light" w:cs="Calibri"/>
                <w:b/>
                <w:sz w:val="20"/>
                <w:szCs w:val="20"/>
              </w:rPr>
            </w:pPr>
            <w:r w:rsidRPr="002C3625">
              <w:rPr>
                <w:rFonts w:ascii="Futura Std Condensed Light" w:eastAsia="Calibri" w:hAnsi="Futura Std Condensed Light" w:cs="Calibri"/>
                <w:b/>
                <w:sz w:val="20"/>
                <w:szCs w:val="20"/>
              </w:rPr>
              <w:t>Meta Total:</w:t>
            </w:r>
          </w:p>
        </w:tc>
      </w:tr>
      <w:tr w:rsidR="0021177B" w:rsidRPr="002C3625" w14:paraId="7F1A9DB0" w14:textId="77777777" w:rsidTr="009E3B2F">
        <w:trPr>
          <w:trHeight w:val="484"/>
        </w:trPr>
        <w:tc>
          <w:tcPr>
            <w:tcW w:w="781" w:type="pct"/>
          </w:tcPr>
          <w:p w14:paraId="432E331E" w14:textId="77777777" w:rsidR="0021177B" w:rsidRPr="002C3625" w:rsidRDefault="0021177B" w:rsidP="009E3B2F">
            <w:pPr>
              <w:spacing w:after="0" w:line="240" w:lineRule="auto"/>
              <w:jc w:val="center"/>
              <w:rPr>
                <w:rFonts w:ascii="Futura Std Condensed Light" w:eastAsia="Calibri" w:hAnsi="Futura Std Condensed Light" w:cs="Calibri"/>
                <w:b/>
                <w:sz w:val="20"/>
                <w:szCs w:val="20"/>
              </w:rPr>
            </w:pPr>
            <w:r w:rsidRPr="002C3625">
              <w:rPr>
                <w:rFonts w:ascii="Futura Std Condensed Light" w:eastAsia="Calibri" w:hAnsi="Futura Std Condensed Light" w:cs="Calibri"/>
                <w:b/>
                <w:sz w:val="20"/>
                <w:szCs w:val="20"/>
              </w:rPr>
              <w:t>2017</w:t>
            </w:r>
          </w:p>
        </w:tc>
        <w:tc>
          <w:tcPr>
            <w:tcW w:w="783" w:type="pct"/>
            <w:gridSpan w:val="2"/>
          </w:tcPr>
          <w:p w14:paraId="5E6BD0C0" w14:textId="77777777" w:rsidR="0021177B" w:rsidRPr="002C3625" w:rsidRDefault="0021177B" w:rsidP="009E3B2F">
            <w:pPr>
              <w:spacing w:after="0" w:line="240" w:lineRule="auto"/>
              <w:jc w:val="center"/>
              <w:rPr>
                <w:rFonts w:ascii="Futura Std Condensed Light" w:eastAsia="Calibri" w:hAnsi="Futura Std Condensed Light" w:cs="Calibri"/>
                <w:b/>
                <w:sz w:val="20"/>
                <w:szCs w:val="20"/>
              </w:rPr>
            </w:pPr>
            <w:r w:rsidRPr="002C3625">
              <w:rPr>
                <w:rFonts w:ascii="Futura Std Condensed Light" w:eastAsia="Calibri" w:hAnsi="Futura Std Condensed Light" w:cs="Calibri"/>
                <w:b/>
                <w:sz w:val="20"/>
                <w:szCs w:val="20"/>
              </w:rPr>
              <w:t>2018</w:t>
            </w:r>
          </w:p>
        </w:tc>
        <w:tc>
          <w:tcPr>
            <w:tcW w:w="904" w:type="pct"/>
            <w:gridSpan w:val="3"/>
          </w:tcPr>
          <w:p w14:paraId="69344132" w14:textId="77777777" w:rsidR="0021177B" w:rsidRPr="002C3625" w:rsidRDefault="0021177B" w:rsidP="009E3B2F">
            <w:pPr>
              <w:spacing w:after="0" w:line="240" w:lineRule="auto"/>
              <w:jc w:val="center"/>
              <w:rPr>
                <w:rFonts w:ascii="Futura Std Condensed Light" w:eastAsia="Calibri" w:hAnsi="Futura Std Condensed Light" w:cs="Calibri"/>
                <w:b/>
                <w:sz w:val="20"/>
                <w:szCs w:val="20"/>
              </w:rPr>
            </w:pPr>
            <w:r w:rsidRPr="002C3625">
              <w:rPr>
                <w:rFonts w:ascii="Futura Std Condensed Light" w:eastAsia="Calibri" w:hAnsi="Futura Std Condensed Light" w:cs="Calibri"/>
                <w:b/>
                <w:sz w:val="20"/>
                <w:szCs w:val="20"/>
              </w:rPr>
              <w:t>2019</w:t>
            </w:r>
          </w:p>
        </w:tc>
        <w:tc>
          <w:tcPr>
            <w:tcW w:w="1144" w:type="pct"/>
            <w:gridSpan w:val="2"/>
          </w:tcPr>
          <w:p w14:paraId="14B60724" w14:textId="77777777" w:rsidR="0021177B" w:rsidRPr="002C3625" w:rsidRDefault="0021177B" w:rsidP="009E3B2F">
            <w:pPr>
              <w:spacing w:after="0" w:line="240" w:lineRule="auto"/>
              <w:jc w:val="center"/>
              <w:rPr>
                <w:rFonts w:ascii="Futura Std Condensed Light" w:eastAsia="Calibri" w:hAnsi="Futura Std Condensed Light" w:cs="Calibri"/>
                <w:b/>
                <w:sz w:val="20"/>
                <w:szCs w:val="20"/>
              </w:rPr>
            </w:pPr>
            <w:r w:rsidRPr="002C3625">
              <w:rPr>
                <w:rFonts w:ascii="Futura Std Condensed Light" w:eastAsia="Calibri" w:hAnsi="Futura Std Condensed Light" w:cs="Calibri"/>
                <w:b/>
                <w:sz w:val="20"/>
                <w:szCs w:val="20"/>
              </w:rPr>
              <w:t>2020</w:t>
            </w:r>
          </w:p>
        </w:tc>
        <w:tc>
          <w:tcPr>
            <w:tcW w:w="541" w:type="pct"/>
          </w:tcPr>
          <w:p w14:paraId="263C99BD" w14:textId="77777777" w:rsidR="0021177B" w:rsidRPr="002C3625" w:rsidRDefault="0021177B" w:rsidP="009E3B2F">
            <w:pPr>
              <w:spacing w:after="0" w:line="240" w:lineRule="auto"/>
              <w:jc w:val="center"/>
              <w:rPr>
                <w:rFonts w:ascii="Futura Std Condensed Light" w:eastAsia="Calibri" w:hAnsi="Futura Std Condensed Light" w:cs="Calibri"/>
                <w:b/>
                <w:sz w:val="20"/>
                <w:szCs w:val="20"/>
              </w:rPr>
            </w:pPr>
            <w:r w:rsidRPr="002C3625">
              <w:rPr>
                <w:rFonts w:ascii="Futura Std Condensed Light" w:eastAsia="Calibri" w:hAnsi="Futura Std Condensed Light" w:cs="Calibri"/>
                <w:b/>
                <w:sz w:val="20"/>
                <w:szCs w:val="20"/>
              </w:rPr>
              <w:t>2021</w:t>
            </w:r>
          </w:p>
        </w:tc>
        <w:tc>
          <w:tcPr>
            <w:tcW w:w="846" w:type="pct"/>
          </w:tcPr>
          <w:p w14:paraId="7DE2C132" w14:textId="77777777" w:rsidR="0021177B" w:rsidRPr="002C3625" w:rsidRDefault="0021177B" w:rsidP="009E3B2F">
            <w:pPr>
              <w:spacing w:after="0" w:line="240" w:lineRule="auto"/>
              <w:jc w:val="center"/>
              <w:rPr>
                <w:rFonts w:ascii="Futura Std Condensed Light" w:eastAsia="Calibri" w:hAnsi="Futura Std Condensed Light" w:cs="Calibri"/>
                <w:b/>
                <w:sz w:val="20"/>
                <w:szCs w:val="20"/>
              </w:rPr>
            </w:pPr>
            <w:r w:rsidRPr="002C3625">
              <w:rPr>
                <w:rFonts w:ascii="Futura Std Condensed Light" w:eastAsia="Calibri" w:hAnsi="Futura Std Condensed Light" w:cs="Calibri"/>
                <w:b/>
                <w:sz w:val="20"/>
                <w:szCs w:val="20"/>
              </w:rPr>
              <w:t>2022</w:t>
            </w:r>
          </w:p>
        </w:tc>
      </w:tr>
      <w:tr w:rsidR="0021177B" w:rsidRPr="002C3625" w14:paraId="0F86A1F4" w14:textId="77777777" w:rsidTr="009E3B2F">
        <w:trPr>
          <w:trHeight w:val="484"/>
        </w:trPr>
        <w:tc>
          <w:tcPr>
            <w:tcW w:w="781" w:type="pct"/>
          </w:tcPr>
          <w:p w14:paraId="3B2052F6" w14:textId="77777777" w:rsidR="0021177B" w:rsidRPr="002C3625" w:rsidRDefault="0021177B" w:rsidP="009E3B2F">
            <w:pPr>
              <w:spacing w:after="0" w:line="240" w:lineRule="auto"/>
              <w:jc w:val="center"/>
              <w:rPr>
                <w:rFonts w:ascii="Futura Std Condensed Light" w:eastAsia="Calibri" w:hAnsi="Futura Std Condensed Light" w:cs="Calibri"/>
                <w:sz w:val="20"/>
                <w:szCs w:val="20"/>
              </w:rPr>
            </w:pPr>
            <w:r w:rsidRPr="002C3625">
              <w:rPr>
                <w:rFonts w:ascii="Futura Std Condensed Light" w:eastAsia="Calibri" w:hAnsi="Futura Std Condensed Light" w:cs="Calibri"/>
                <w:sz w:val="20"/>
                <w:szCs w:val="20"/>
              </w:rPr>
              <w:t>23,810</w:t>
            </w:r>
          </w:p>
        </w:tc>
        <w:tc>
          <w:tcPr>
            <w:tcW w:w="783" w:type="pct"/>
            <w:gridSpan w:val="2"/>
          </w:tcPr>
          <w:p w14:paraId="621B821B" w14:textId="77777777" w:rsidR="0021177B" w:rsidRPr="002C3625" w:rsidRDefault="0021177B" w:rsidP="009E3B2F">
            <w:pPr>
              <w:spacing w:after="0" w:line="240" w:lineRule="auto"/>
              <w:jc w:val="center"/>
              <w:rPr>
                <w:rFonts w:ascii="Futura Std Condensed Light" w:eastAsia="Calibri" w:hAnsi="Futura Std Condensed Light" w:cs="Calibri"/>
                <w:sz w:val="20"/>
                <w:szCs w:val="20"/>
              </w:rPr>
            </w:pPr>
            <w:r w:rsidRPr="002C3625">
              <w:rPr>
                <w:rFonts w:ascii="Futura Std Condensed Light" w:eastAsia="Calibri" w:hAnsi="Futura Std Condensed Light" w:cs="Calibri"/>
                <w:sz w:val="20"/>
                <w:szCs w:val="20"/>
              </w:rPr>
              <w:t>22,595</w:t>
            </w:r>
          </w:p>
        </w:tc>
        <w:tc>
          <w:tcPr>
            <w:tcW w:w="904" w:type="pct"/>
            <w:gridSpan w:val="3"/>
          </w:tcPr>
          <w:p w14:paraId="545B1E5F" w14:textId="77777777" w:rsidR="0021177B" w:rsidRPr="002C3625" w:rsidRDefault="0021177B" w:rsidP="009E3B2F">
            <w:pPr>
              <w:spacing w:after="0" w:line="240" w:lineRule="auto"/>
              <w:jc w:val="center"/>
              <w:rPr>
                <w:rFonts w:ascii="Futura Std Condensed Light" w:eastAsia="Calibri" w:hAnsi="Futura Std Condensed Light" w:cs="Calibri"/>
                <w:sz w:val="20"/>
                <w:szCs w:val="20"/>
              </w:rPr>
            </w:pPr>
            <w:r w:rsidRPr="002C3625">
              <w:rPr>
                <w:rFonts w:ascii="Futura Std Condensed Light" w:eastAsia="Calibri" w:hAnsi="Futura Std Condensed Light" w:cs="Calibri"/>
                <w:sz w:val="20"/>
                <w:szCs w:val="20"/>
              </w:rPr>
              <w:t>0</w:t>
            </w:r>
          </w:p>
        </w:tc>
        <w:tc>
          <w:tcPr>
            <w:tcW w:w="1144" w:type="pct"/>
            <w:gridSpan w:val="2"/>
          </w:tcPr>
          <w:p w14:paraId="46A9172D" w14:textId="7CD76177" w:rsidR="0021177B" w:rsidRPr="002C3625" w:rsidRDefault="00856F17" w:rsidP="009E3B2F">
            <w:pPr>
              <w:spacing w:after="0" w:line="240" w:lineRule="auto"/>
              <w:jc w:val="center"/>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7,256</w:t>
            </w:r>
          </w:p>
        </w:tc>
        <w:tc>
          <w:tcPr>
            <w:tcW w:w="541" w:type="pct"/>
          </w:tcPr>
          <w:p w14:paraId="5FEAEC11" w14:textId="56CB49E0" w:rsidR="0021177B" w:rsidRPr="002C3625" w:rsidRDefault="00856F17" w:rsidP="009E3B2F">
            <w:pPr>
              <w:spacing w:after="0" w:line="240" w:lineRule="auto"/>
              <w:jc w:val="center"/>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7,638</w:t>
            </w:r>
          </w:p>
        </w:tc>
        <w:tc>
          <w:tcPr>
            <w:tcW w:w="846" w:type="pct"/>
          </w:tcPr>
          <w:p w14:paraId="526F3665" w14:textId="6235CCF4" w:rsidR="0021177B" w:rsidRPr="002C3625" w:rsidRDefault="00856F17" w:rsidP="009E3B2F">
            <w:pPr>
              <w:spacing w:after="0" w:line="240" w:lineRule="auto"/>
              <w:jc w:val="center"/>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8,040</w:t>
            </w:r>
          </w:p>
        </w:tc>
      </w:tr>
    </w:tbl>
    <w:p w14:paraId="7A9CFE1F" w14:textId="12071064" w:rsidR="001A3495" w:rsidRDefault="001A3495" w:rsidP="00D23E28">
      <w:pPr>
        <w:spacing w:after="0" w:line="240" w:lineRule="auto"/>
        <w:rPr>
          <w:rFonts w:ascii="Futura Std Condensed Light" w:eastAsia="Calibri" w:hAnsi="Futura Std Condensed Light" w:cs="Calibri"/>
          <w:b/>
          <w:sz w:val="20"/>
          <w:szCs w:val="20"/>
        </w:rPr>
      </w:pPr>
    </w:p>
    <w:p w14:paraId="23429992" w14:textId="63DE8C4E" w:rsidR="001A3495" w:rsidRDefault="001A3495" w:rsidP="0021177B">
      <w:pPr>
        <w:spacing w:after="0" w:line="240" w:lineRule="auto"/>
        <w:jc w:val="center"/>
        <w:rPr>
          <w:rFonts w:ascii="Futura Std Condensed Light" w:eastAsia="Calibri" w:hAnsi="Futura Std Condensed Light" w:cs="Calibri"/>
          <w:b/>
          <w:sz w:val="20"/>
          <w:szCs w:val="20"/>
        </w:rPr>
      </w:pPr>
    </w:p>
    <w:p w14:paraId="6BB96DD1" w14:textId="77777777" w:rsidR="00A24FEB" w:rsidRPr="002C3625" w:rsidRDefault="00A24FEB" w:rsidP="0021177B">
      <w:pPr>
        <w:spacing w:after="0" w:line="240" w:lineRule="auto"/>
        <w:jc w:val="center"/>
        <w:rPr>
          <w:rFonts w:ascii="Futura Std Condensed Light" w:eastAsia="Calibri" w:hAnsi="Futura Std Condensed Light" w:cs="Calibri"/>
          <w:b/>
          <w:sz w:val="20"/>
          <w:szCs w:val="20"/>
        </w:rPr>
      </w:pPr>
    </w:p>
    <w:p w14:paraId="37A128AF" w14:textId="77777777" w:rsidR="00A26217" w:rsidRDefault="00A26217">
      <w:pPr>
        <w:spacing w:after="0" w:line="240" w:lineRule="auto"/>
        <w:jc w:val="left"/>
        <w:rPr>
          <w:rFonts w:eastAsia="Arial" w:cs="Times New Roman"/>
          <w:b/>
          <w:color w:val="4BACC6" w:themeColor="accent5"/>
        </w:rPr>
      </w:pPr>
      <w:r>
        <w:rPr>
          <w:rFonts w:eastAsia="Arial" w:cs="Times New Roman"/>
          <w:b/>
          <w:color w:val="4BACC6" w:themeColor="accent5"/>
        </w:rPr>
        <w:br w:type="page"/>
      </w:r>
    </w:p>
    <w:p w14:paraId="7F4D3CD4" w14:textId="3E28A079" w:rsidR="0021177B" w:rsidRDefault="00FA0940" w:rsidP="0021177B">
      <w:pPr>
        <w:jc w:val="center"/>
      </w:pPr>
      <w:r>
        <w:rPr>
          <w:rFonts w:eastAsia="Arial" w:cs="Times New Roman"/>
          <w:b/>
          <w:color w:val="4BACC6" w:themeColor="accent5"/>
        </w:rPr>
        <w:lastRenderedPageBreak/>
        <w:t>Cuadro 27</w:t>
      </w:r>
      <w:r w:rsidR="0021177B">
        <w:rPr>
          <w:rFonts w:eastAsia="Arial" w:cs="Times New Roman"/>
          <w:b/>
          <w:color w:val="4BACC6" w:themeColor="accent5"/>
        </w:rPr>
        <w:t>. Entregable y meta de la línea de acción 3 del PED</w:t>
      </w:r>
    </w:p>
    <w:tbl>
      <w:tblPr>
        <w:tblStyle w:val="Tablaconcuadrcula"/>
        <w:tblW w:w="5000" w:type="pct"/>
        <w:tblLook w:val="04A0" w:firstRow="1" w:lastRow="0" w:firstColumn="1" w:lastColumn="0" w:noHBand="0" w:noVBand="1"/>
      </w:tblPr>
      <w:tblGrid>
        <w:gridCol w:w="1487"/>
        <w:gridCol w:w="814"/>
        <w:gridCol w:w="679"/>
        <w:gridCol w:w="462"/>
        <w:gridCol w:w="687"/>
        <w:gridCol w:w="576"/>
        <w:gridCol w:w="462"/>
        <w:gridCol w:w="917"/>
        <w:gridCol w:w="1205"/>
        <w:gridCol w:w="8"/>
        <w:gridCol w:w="626"/>
        <w:gridCol w:w="1614"/>
      </w:tblGrid>
      <w:tr w:rsidR="0086391F" w:rsidRPr="00A90272" w14:paraId="2673A485" w14:textId="77777777" w:rsidTr="00A90272">
        <w:trPr>
          <w:trHeight w:val="182"/>
        </w:trPr>
        <w:tc>
          <w:tcPr>
            <w:tcW w:w="1805" w:type="pct"/>
            <w:gridSpan w:val="4"/>
            <w:shd w:val="clear" w:color="auto" w:fill="A6A6A6" w:themeFill="background1" w:themeFillShade="A6"/>
          </w:tcPr>
          <w:p w14:paraId="51238454" w14:textId="77777777" w:rsidR="0021177B" w:rsidRPr="00A90272" w:rsidRDefault="0021177B" w:rsidP="009E3B2F">
            <w:pPr>
              <w:spacing w:after="0" w:line="240" w:lineRule="auto"/>
              <w:jc w:val="center"/>
              <w:rPr>
                <w:rFonts w:ascii="Futura Std Condensed Light" w:eastAsia="Calibri" w:hAnsi="Futura Std Condensed Light" w:cs="Calibri"/>
                <w:color w:val="auto"/>
                <w:sz w:val="20"/>
                <w:szCs w:val="20"/>
              </w:rPr>
            </w:pPr>
            <w:r w:rsidRPr="00A90272">
              <w:rPr>
                <w:rFonts w:ascii="Futura Std Condensed Light" w:eastAsia="Calibri" w:hAnsi="Futura Std Condensed Light" w:cs="Calibri"/>
                <w:color w:val="auto"/>
                <w:sz w:val="20"/>
                <w:szCs w:val="20"/>
              </w:rPr>
              <w:t>Programa PED</w:t>
            </w:r>
          </w:p>
        </w:tc>
        <w:tc>
          <w:tcPr>
            <w:tcW w:w="3195" w:type="pct"/>
            <w:gridSpan w:val="8"/>
            <w:shd w:val="clear" w:color="auto" w:fill="A6A6A6" w:themeFill="background1" w:themeFillShade="A6"/>
          </w:tcPr>
          <w:p w14:paraId="5A987955" w14:textId="77777777" w:rsidR="0021177B" w:rsidRPr="00A90272" w:rsidRDefault="0021177B" w:rsidP="009E3B2F">
            <w:pPr>
              <w:spacing w:after="0" w:line="240" w:lineRule="auto"/>
              <w:jc w:val="center"/>
              <w:rPr>
                <w:rFonts w:ascii="Futura Std Condensed Light" w:eastAsia="Calibri" w:hAnsi="Futura Std Condensed Light" w:cs="Calibri"/>
                <w:color w:val="auto"/>
                <w:sz w:val="20"/>
                <w:szCs w:val="20"/>
              </w:rPr>
            </w:pPr>
            <w:r w:rsidRPr="00A90272">
              <w:rPr>
                <w:rFonts w:ascii="Futura Std Condensed Light" w:eastAsia="Calibri" w:hAnsi="Futura Std Condensed Light" w:cs="Calibri"/>
                <w:color w:val="auto"/>
                <w:sz w:val="20"/>
                <w:szCs w:val="20"/>
              </w:rPr>
              <w:t>Programa Sectorial Educación Pública de Calidad</w:t>
            </w:r>
          </w:p>
        </w:tc>
      </w:tr>
      <w:tr w:rsidR="0021177B" w:rsidRPr="00D12127" w14:paraId="67EA694F" w14:textId="77777777" w:rsidTr="009E3B2F">
        <w:trPr>
          <w:trHeight w:val="469"/>
        </w:trPr>
        <w:tc>
          <w:tcPr>
            <w:tcW w:w="1805" w:type="pct"/>
            <w:gridSpan w:val="4"/>
          </w:tcPr>
          <w:p w14:paraId="3D7B58B6" w14:textId="77777777" w:rsidR="0021177B" w:rsidRPr="005F4C23" w:rsidRDefault="0021177B" w:rsidP="009E3B2F">
            <w:pPr>
              <w:spacing w:after="0" w:line="240" w:lineRule="auto"/>
              <w:jc w:val="center"/>
              <w:rPr>
                <w:rFonts w:ascii="Futura Std Condensed Light" w:eastAsia="Calibri" w:hAnsi="Futura Std Condensed Light" w:cs="Calibri"/>
                <w:b/>
                <w:sz w:val="20"/>
                <w:szCs w:val="20"/>
              </w:rPr>
            </w:pPr>
            <w:r w:rsidRPr="005F4C23">
              <w:rPr>
                <w:rFonts w:ascii="Futura Std Condensed Light" w:eastAsia="Calibri" w:hAnsi="Futura Std Condensed Light" w:cs="Calibri"/>
                <w:b/>
                <w:sz w:val="20"/>
                <w:szCs w:val="20"/>
              </w:rPr>
              <w:t>Línea de acción:</w:t>
            </w:r>
          </w:p>
        </w:tc>
        <w:tc>
          <w:tcPr>
            <w:tcW w:w="3195" w:type="pct"/>
            <w:gridSpan w:val="8"/>
          </w:tcPr>
          <w:p w14:paraId="40070227" w14:textId="77777777" w:rsidR="0021177B" w:rsidRPr="00596515" w:rsidRDefault="0021177B" w:rsidP="009E3B2F">
            <w:pPr>
              <w:spacing w:after="0" w:line="240" w:lineRule="auto"/>
              <w:jc w:val="center"/>
              <w:rPr>
                <w:rFonts w:ascii="Futura Std Condensed Light" w:eastAsia="Calibri" w:hAnsi="Futura Std Condensed Light" w:cs="Calibri"/>
                <w:sz w:val="20"/>
                <w:szCs w:val="20"/>
              </w:rPr>
            </w:pPr>
            <w:r w:rsidRPr="00596515">
              <w:rPr>
                <w:rFonts w:ascii="Futura Std Condensed Light" w:eastAsia="Calibri" w:hAnsi="Futura Std Condensed Light" w:cs="Calibri"/>
                <w:sz w:val="20"/>
                <w:szCs w:val="20"/>
              </w:rPr>
              <w:t>3.  Realizar, al interior de las escuelas públicas, la entrega de útiles a alumnos de nivel básico al inicio del ciclo escolar.</w:t>
            </w:r>
          </w:p>
        </w:tc>
      </w:tr>
      <w:tr w:rsidR="0021177B" w:rsidRPr="00D12127" w14:paraId="290DA057" w14:textId="77777777" w:rsidTr="009E3B2F">
        <w:trPr>
          <w:trHeight w:val="484"/>
        </w:trPr>
        <w:tc>
          <w:tcPr>
            <w:tcW w:w="1805" w:type="pct"/>
            <w:gridSpan w:val="4"/>
          </w:tcPr>
          <w:p w14:paraId="26D6DF0E" w14:textId="77777777" w:rsidR="0021177B" w:rsidRPr="005F4C23" w:rsidRDefault="0021177B" w:rsidP="009E3B2F">
            <w:pPr>
              <w:spacing w:after="0" w:line="240" w:lineRule="auto"/>
              <w:jc w:val="center"/>
              <w:rPr>
                <w:rFonts w:ascii="Futura Std Condensed Light" w:eastAsia="Calibri" w:hAnsi="Futura Std Condensed Light" w:cs="Calibri"/>
                <w:b/>
                <w:sz w:val="20"/>
                <w:szCs w:val="20"/>
              </w:rPr>
            </w:pPr>
            <w:r w:rsidRPr="005F4C23">
              <w:rPr>
                <w:rFonts w:ascii="Futura Std Condensed Light" w:eastAsia="Calibri" w:hAnsi="Futura Std Condensed Light" w:cs="Calibri"/>
                <w:b/>
                <w:sz w:val="20"/>
                <w:szCs w:val="20"/>
              </w:rPr>
              <w:t>Plan Estratégico Objetivo Especifico</w:t>
            </w:r>
          </w:p>
        </w:tc>
        <w:tc>
          <w:tcPr>
            <w:tcW w:w="3195" w:type="pct"/>
            <w:gridSpan w:val="8"/>
          </w:tcPr>
          <w:p w14:paraId="1C37F062" w14:textId="77777777" w:rsidR="0021177B" w:rsidRPr="00596515" w:rsidRDefault="0021177B" w:rsidP="009E3B2F">
            <w:pPr>
              <w:spacing w:after="0" w:line="240" w:lineRule="auto"/>
              <w:jc w:val="center"/>
              <w:rPr>
                <w:rFonts w:ascii="Futura Std Condensed Light" w:eastAsia="Calibri" w:hAnsi="Futura Std Condensed Light" w:cs="Calibri"/>
                <w:sz w:val="20"/>
                <w:szCs w:val="20"/>
              </w:rPr>
            </w:pPr>
            <w:r w:rsidRPr="00596515">
              <w:rPr>
                <w:rFonts w:ascii="Futura Std Condensed Light" w:eastAsia="Calibri" w:hAnsi="Futura Std Condensed Light" w:cs="Calibri"/>
                <w:sz w:val="20"/>
                <w:szCs w:val="20"/>
              </w:rPr>
              <w:t>Disminuir la desigualdad en sus diversas formas </w:t>
            </w:r>
          </w:p>
        </w:tc>
      </w:tr>
      <w:tr w:rsidR="0021177B" w:rsidRPr="00D12127" w14:paraId="713EF0D4" w14:textId="77777777" w:rsidTr="009E3B2F">
        <w:trPr>
          <w:trHeight w:val="484"/>
        </w:trPr>
        <w:tc>
          <w:tcPr>
            <w:tcW w:w="1207" w:type="pct"/>
            <w:gridSpan w:val="2"/>
          </w:tcPr>
          <w:p w14:paraId="0ACD010D" w14:textId="77777777" w:rsidR="0021177B" w:rsidRPr="005F4C23" w:rsidRDefault="0021177B" w:rsidP="009E3B2F">
            <w:pPr>
              <w:spacing w:after="0" w:line="240" w:lineRule="auto"/>
              <w:jc w:val="center"/>
              <w:rPr>
                <w:rFonts w:ascii="Futura Std Condensed Light" w:eastAsia="Calibri" w:hAnsi="Futura Std Condensed Light" w:cs="Calibri"/>
                <w:b/>
                <w:sz w:val="20"/>
                <w:szCs w:val="20"/>
              </w:rPr>
            </w:pPr>
            <w:r w:rsidRPr="005F4C23">
              <w:rPr>
                <w:rFonts w:ascii="Futura Std Condensed Light" w:eastAsia="Calibri" w:hAnsi="Futura Std Condensed Light" w:cs="Calibri"/>
                <w:b/>
                <w:sz w:val="20"/>
                <w:szCs w:val="20"/>
              </w:rPr>
              <w:t>Entregable:</w:t>
            </w:r>
          </w:p>
        </w:tc>
        <w:tc>
          <w:tcPr>
            <w:tcW w:w="958" w:type="pct"/>
            <w:gridSpan w:val="3"/>
          </w:tcPr>
          <w:p w14:paraId="75AE0239" w14:textId="77777777" w:rsidR="0021177B" w:rsidRPr="00596515" w:rsidRDefault="0021177B" w:rsidP="009E3B2F">
            <w:pPr>
              <w:spacing w:after="0" w:line="240" w:lineRule="auto"/>
              <w:jc w:val="center"/>
              <w:rPr>
                <w:rFonts w:ascii="Futura Std Condensed Light" w:eastAsia="Calibri" w:hAnsi="Futura Std Condensed Light" w:cs="Calibri"/>
                <w:sz w:val="20"/>
                <w:szCs w:val="20"/>
              </w:rPr>
            </w:pPr>
            <w:r w:rsidRPr="00596515">
              <w:rPr>
                <w:rFonts w:ascii="Futura Std Condensed Light" w:eastAsia="Calibri" w:hAnsi="Futura Std Condensed Light" w:cs="Calibri"/>
                <w:sz w:val="20"/>
                <w:szCs w:val="20"/>
              </w:rPr>
              <w:t>entrega de mochilas y útiles escolares</w:t>
            </w:r>
          </w:p>
        </w:tc>
        <w:tc>
          <w:tcPr>
            <w:tcW w:w="1661" w:type="pct"/>
            <w:gridSpan w:val="5"/>
          </w:tcPr>
          <w:p w14:paraId="2F982EE2" w14:textId="77777777" w:rsidR="0021177B" w:rsidRPr="005F4C23" w:rsidRDefault="0021177B" w:rsidP="009E3B2F">
            <w:pPr>
              <w:spacing w:after="0" w:line="240" w:lineRule="auto"/>
              <w:jc w:val="center"/>
              <w:rPr>
                <w:rFonts w:ascii="Futura Std Condensed Light" w:eastAsia="Calibri" w:hAnsi="Futura Std Condensed Light" w:cs="Calibri"/>
                <w:b/>
                <w:sz w:val="20"/>
                <w:szCs w:val="20"/>
              </w:rPr>
            </w:pPr>
            <w:r w:rsidRPr="005F4C23">
              <w:rPr>
                <w:rFonts w:ascii="Futura Std Condensed Light" w:eastAsia="Calibri" w:hAnsi="Futura Std Condensed Light" w:cs="Calibri"/>
                <w:b/>
                <w:sz w:val="20"/>
                <w:szCs w:val="20"/>
              </w:rPr>
              <w:t>Unidad de Medida:</w:t>
            </w:r>
          </w:p>
        </w:tc>
        <w:tc>
          <w:tcPr>
            <w:tcW w:w="1174" w:type="pct"/>
            <w:gridSpan w:val="2"/>
          </w:tcPr>
          <w:p w14:paraId="7C4B5669" w14:textId="77777777" w:rsidR="0021177B" w:rsidRPr="00596515" w:rsidRDefault="0021177B" w:rsidP="009E3B2F">
            <w:pPr>
              <w:spacing w:after="0" w:line="240" w:lineRule="auto"/>
              <w:jc w:val="center"/>
              <w:rPr>
                <w:rFonts w:ascii="Futura Std Condensed Light" w:eastAsia="Calibri" w:hAnsi="Futura Std Condensed Light" w:cs="Calibri"/>
                <w:sz w:val="20"/>
                <w:szCs w:val="20"/>
              </w:rPr>
            </w:pPr>
            <w:r w:rsidRPr="00596515">
              <w:rPr>
                <w:rFonts w:ascii="Futura Std Condensed Light" w:eastAsia="Calibri" w:hAnsi="Futura Std Condensed Light" w:cs="Calibri"/>
                <w:sz w:val="20"/>
                <w:szCs w:val="20"/>
              </w:rPr>
              <w:t>Alumnos beneficiados</w:t>
            </w:r>
          </w:p>
        </w:tc>
      </w:tr>
      <w:tr w:rsidR="0021177B" w:rsidRPr="00D12127" w14:paraId="207FBD76" w14:textId="77777777" w:rsidTr="009E3B2F">
        <w:trPr>
          <w:trHeight w:val="449"/>
        </w:trPr>
        <w:tc>
          <w:tcPr>
            <w:tcW w:w="1207" w:type="pct"/>
            <w:gridSpan w:val="2"/>
          </w:tcPr>
          <w:p w14:paraId="16A9EA6E" w14:textId="77777777" w:rsidR="0021177B" w:rsidRPr="005F4C23" w:rsidRDefault="0021177B" w:rsidP="009E3B2F">
            <w:pPr>
              <w:spacing w:after="0" w:line="240" w:lineRule="auto"/>
              <w:jc w:val="center"/>
              <w:rPr>
                <w:rFonts w:ascii="Futura Std Condensed Light" w:eastAsia="Calibri" w:hAnsi="Futura Std Condensed Light" w:cs="Calibri"/>
                <w:b/>
                <w:sz w:val="20"/>
                <w:szCs w:val="20"/>
              </w:rPr>
            </w:pPr>
            <w:r w:rsidRPr="005F4C23">
              <w:rPr>
                <w:rFonts w:ascii="Futura Std Condensed Light" w:eastAsia="Calibri" w:hAnsi="Futura Std Condensed Light" w:cs="Calibri"/>
                <w:b/>
                <w:sz w:val="20"/>
                <w:szCs w:val="20"/>
              </w:rPr>
              <w:t>Descripción:</w:t>
            </w:r>
          </w:p>
        </w:tc>
        <w:tc>
          <w:tcPr>
            <w:tcW w:w="3793" w:type="pct"/>
            <w:gridSpan w:val="10"/>
          </w:tcPr>
          <w:p w14:paraId="0F9349B7" w14:textId="77777777" w:rsidR="0021177B" w:rsidRPr="00596515" w:rsidRDefault="0021177B" w:rsidP="009E3B2F">
            <w:pPr>
              <w:spacing w:after="0" w:line="240" w:lineRule="auto"/>
              <w:jc w:val="center"/>
              <w:rPr>
                <w:rFonts w:ascii="Futura Std Condensed Light" w:eastAsia="Calibri" w:hAnsi="Futura Std Condensed Light" w:cs="Calibri"/>
                <w:sz w:val="20"/>
                <w:szCs w:val="20"/>
              </w:rPr>
            </w:pPr>
            <w:r w:rsidRPr="00596515">
              <w:rPr>
                <w:rFonts w:ascii="Futura Std Condensed Light" w:eastAsia="Calibri" w:hAnsi="Futura Std Condensed Light" w:cs="Calibri"/>
                <w:sz w:val="20"/>
                <w:szCs w:val="20"/>
              </w:rPr>
              <w:t>Es la entrega de mochilas y útiles escolares a alumnos de Educación Primaria General e Indígena.</w:t>
            </w:r>
          </w:p>
        </w:tc>
      </w:tr>
      <w:tr w:rsidR="0021177B" w:rsidRPr="00D12127" w14:paraId="59F44EB0" w14:textId="77777777" w:rsidTr="009E3B2F">
        <w:trPr>
          <w:trHeight w:val="484"/>
        </w:trPr>
        <w:tc>
          <w:tcPr>
            <w:tcW w:w="1805" w:type="pct"/>
            <w:gridSpan w:val="4"/>
          </w:tcPr>
          <w:p w14:paraId="5F941262" w14:textId="77777777" w:rsidR="0021177B" w:rsidRPr="005F4C23" w:rsidRDefault="0021177B" w:rsidP="009E3B2F">
            <w:pPr>
              <w:spacing w:after="0" w:line="240" w:lineRule="auto"/>
              <w:jc w:val="center"/>
              <w:rPr>
                <w:rFonts w:ascii="Futura Std Condensed Light" w:eastAsia="Calibri" w:hAnsi="Futura Std Condensed Light" w:cs="Calibri"/>
                <w:b/>
                <w:sz w:val="20"/>
                <w:szCs w:val="20"/>
              </w:rPr>
            </w:pPr>
            <w:r w:rsidRPr="005F4C23">
              <w:rPr>
                <w:rFonts w:ascii="Futura Std Condensed Light" w:eastAsia="Calibri" w:hAnsi="Futura Std Condensed Light" w:cs="Calibri"/>
                <w:b/>
                <w:sz w:val="20"/>
                <w:szCs w:val="20"/>
              </w:rPr>
              <w:t>Medio de verificación:</w:t>
            </w:r>
          </w:p>
        </w:tc>
        <w:tc>
          <w:tcPr>
            <w:tcW w:w="3195" w:type="pct"/>
            <w:gridSpan w:val="8"/>
          </w:tcPr>
          <w:p w14:paraId="4E92347C" w14:textId="77777777" w:rsidR="0021177B" w:rsidRPr="00596515" w:rsidRDefault="0021177B" w:rsidP="009E3B2F">
            <w:pPr>
              <w:spacing w:after="0" w:line="240" w:lineRule="auto"/>
              <w:jc w:val="center"/>
              <w:rPr>
                <w:rFonts w:ascii="Futura Std Condensed Light" w:eastAsia="Calibri" w:hAnsi="Futura Std Condensed Light" w:cs="Calibri"/>
                <w:sz w:val="20"/>
                <w:szCs w:val="20"/>
              </w:rPr>
            </w:pPr>
            <w:r w:rsidRPr="00596515">
              <w:rPr>
                <w:rFonts w:ascii="Futura Std Condensed Light" w:eastAsia="Calibri" w:hAnsi="Futura Std Condensed Light" w:cs="Calibri"/>
                <w:sz w:val="20"/>
                <w:szCs w:val="20"/>
              </w:rPr>
              <w:t>Listado de alumnos beneficiados</w:t>
            </w:r>
          </w:p>
        </w:tc>
      </w:tr>
      <w:tr w:rsidR="0021177B" w:rsidRPr="00D12127" w14:paraId="3456C266" w14:textId="77777777" w:rsidTr="009E3B2F">
        <w:trPr>
          <w:trHeight w:val="484"/>
        </w:trPr>
        <w:tc>
          <w:tcPr>
            <w:tcW w:w="1805" w:type="pct"/>
            <w:gridSpan w:val="4"/>
          </w:tcPr>
          <w:p w14:paraId="0C7BA762" w14:textId="77777777" w:rsidR="0021177B" w:rsidRPr="005F4C23" w:rsidRDefault="0021177B" w:rsidP="009E3B2F">
            <w:pPr>
              <w:spacing w:after="0" w:line="240" w:lineRule="auto"/>
              <w:jc w:val="center"/>
              <w:rPr>
                <w:rFonts w:ascii="Futura Std Condensed Light" w:eastAsia="Calibri" w:hAnsi="Futura Std Condensed Light" w:cs="Calibri"/>
                <w:b/>
                <w:sz w:val="20"/>
                <w:szCs w:val="20"/>
              </w:rPr>
            </w:pPr>
            <w:r w:rsidRPr="005F4C23">
              <w:rPr>
                <w:rFonts w:ascii="Futura Std Condensed Light" w:eastAsia="Calibri" w:hAnsi="Futura Std Condensed Light" w:cs="Calibri"/>
                <w:b/>
                <w:sz w:val="20"/>
                <w:szCs w:val="20"/>
              </w:rPr>
              <w:t>Línea base:</w:t>
            </w:r>
          </w:p>
        </w:tc>
        <w:tc>
          <w:tcPr>
            <w:tcW w:w="904" w:type="pct"/>
            <w:gridSpan w:val="3"/>
          </w:tcPr>
          <w:p w14:paraId="7ED10E39" w14:textId="77777777" w:rsidR="0021177B" w:rsidRPr="00596515" w:rsidRDefault="0021177B" w:rsidP="009E3B2F">
            <w:pPr>
              <w:spacing w:after="0" w:line="240" w:lineRule="auto"/>
              <w:jc w:val="center"/>
              <w:rPr>
                <w:rFonts w:ascii="Futura Std Condensed Light" w:eastAsia="Calibri" w:hAnsi="Futura Std Condensed Light" w:cs="Calibri"/>
                <w:sz w:val="20"/>
                <w:szCs w:val="20"/>
              </w:rPr>
            </w:pPr>
            <w:r w:rsidRPr="00596515">
              <w:rPr>
                <w:rFonts w:ascii="Futura Std Condensed Light" w:eastAsia="Calibri" w:hAnsi="Futura Std Condensed Light" w:cs="Calibri"/>
                <w:sz w:val="20"/>
                <w:szCs w:val="20"/>
              </w:rPr>
              <w:t>158,085</w:t>
            </w:r>
          </w:p>
        </w:tc>
        <w:tc>
          <w:tcPr>
            <w:tcW w:w="1113" w:type="pct"/>
            <w:gridSpan w:val="2"/>
          </w:tcPr>
          <w:p w14:paraId="351BA6AE" w14:textId="77777777" w:rsidR="0021177B" w:rsidRPr="005F4C23" w:rsidRDefault="0021177B" w:rsidP="009E3B2F">
            <w:pPr>
              <w:spacing w:after="0" w:line="240" w:lineRule="auto"/>
              <w:jc w:val="center"/>
              <w:rPr>
                <w:rFonts w:ascii="Futura Std Condensed Light" w:eastAsia="Calibri" w:hAnsi="Futura Std Condensed Light" w:cs="Calibri"/>
                <w:b/>
                <w:sz w:val="20"/>
                <w:szCs w:val="20"/>
              </w:rPr>
            </w:pPr>
            <w:r w:rsidRPr="005F4C23">
              <w:rPr>
                <w:rFonts w:ascii="Futura Std Condensed Light" w:eastAsia="Calibri" w:hAnsi="Futura Std Condensed Light" w:cs="Calibri"/>
                <w:b/>
                <w:sz w:val="20"/>
                <w:szCs w:val="20"/>
              </w:rPr>
              <w:t>Año de línea base:</w:t>
            </w:r>
          </w:p>
        </w:tc>
        <w:tc>
          <w:tcPr>
            <w:tcW w:w="1178" w:type="pct"/>
            <w:gridSpan w:val="3"/>
          </w:tcPr>
          <w:p w14:paraId="00D6325D" w14:textId="77777777" w:rsidR="0021177B" w:rsidRPr="00596515" w:rsidRDefault="0021177B" w:rsidP="009E3B2F">
            <w:pPr>
              <w:spacing w:after="0" w:line="240" w:lineRule="auto"/>
              <w:jc w:val="center"/>
              <w:rPr>
                <w:rFonts w:ascii="Futura Std Condensed Light" w:eastAsia="Calibri" w:hAnsi="Futura Std Condensed Light" w:cs="Calibri"/>
                <w:sz w:val="20"/>
                <w:szCs w:val="20"/>
              </w:rPr>
            </w:pPr>
            <w:r w:rsidRPr="00596515">
              <w:rPr>
                <w:rFonts w:ascii="Futura Std Condensed Light" w:eastAsia="Calibri" w:hAnsi="Futura Std Condensed Light" w:cs="Calibri"/>
                <w:sz w:val="20"/>
                <w:szCs w:val="20"/>
              </w:rPr>
              <w:t>2017</w:t>
            </w:r>
          </w:p>
        </w:tc>
      </w:tr>
      <w:tr w:rsidR="0021177B" w:rsidRPr="00D12127" w14:paraId="21F464B2" w14:textId="77777777" w:rsidTr="009E3B2F">
        <w:trPr>
          <w:trHeight w:val="484"/>
        </w:trPr>
        <w:tc>
          <w:tcPr>
            <w:tcW w:w="1805" w:type="pct"/>
            <w:gridSpan w:val="4"/>
          </w:tcPr>
          <w:p w14:paraId="7F6C87C3" w14:textId="77777777" w:rsidR="0021177B" w:rsidRPr="005F4C23" w:rsidRDefault="0021177B" w:rsidP="009E3B2F">
            <w:pPr>
              <w:spacing w:after="0" w:line="240" w:lineRule="auto"/>
              <w:jc w:val="center"/>
              <w:rPr>
                <w:rFonts w:ascii="Futura Std Condensed Light" w:eastAsia="Calibri" w:hAnsi="Futura Std Condensed Light" w:cs="Calibri"/>
                <w:b/>
                <w:sz w:val="20"/>
                <w:szCs w:val="20"/>
              </w:rPr>
            </w:pPr>
            <w:r w:rsidRPr="005F4C23">
              <w:rPr>
                <w:rFonts w:ascii="Futura Std Condensed Light" w:eastAsia="Calibri" w:hAnsi="Futura Std Condensed Light" w:cs="Calibri"/>
                <w:b/>
                <w:sz w:val="20"/>
                <w:szCs w:val="20"/>
              </w:rPr>
              <w:t>Contribución Directa al Objetivo de la Agenda 2030</w:t>
            </w:r>
          </w:p>
        </w:tc>
        <w:tc>
          <w:tcPr>
            <w:tcW w:w="3195" w:type="pct"/>
            <w:gridSpan w:val="8"/>
          </w:tcPr>
          <w:p w14:paraId="01A13ED7" w14:textId="77777777" w:rsidR="0021177B" w:rsidRPr="00596515" w:rsidRDefault="0021177B" w:rsidP="009E3B2F">
            <w:pPr>
              <w:spacing w:after="0" w:line="240" w:lineRule="auto"/>
              <w:jc w:val="center"/>
              <w:rPr>
                <w:rFonts w:ascii="Futura Std Condensed Light" w:eastAsia="Calibri" w:hAnsi="Futura Std Condensed Light" w:cs="Calibri"/>
                <w:sz w:val="20"/>
                <w:szCs w:val="20"/>
              </w:rPr>
            </w:pPr>
            <w:r w:rsidRPr="00596515">
              <w:rPr>
                <w:rFonts w:ascii="Futura Std Condensed Light" w:eastAsia="Calibri" w:hAnsi="Futura Std Condensed Light" w:cs="Calibri"/>
                <w:sz w:val="20"/>
                <w:szCs w:val="20"/>
              </w:rPr>
              <w:t>Garantizar una educación inclusiva, equitativa y de calidad y promover oportunidades de aprendizaje durante toda la vida para todos</w:t>
            </w:r>
          </w:p>
        </w:tc>
      </w:tr>
      <w:tr w:rsidR="0021177B" w:rsidRPr="00D12127" w14:paraId="5CF234D2" w14:textId="77777777" w:rsidTr="009E3B2F">
        <w:trPr>
          <w:trHeight w:val="484"/>
        </w:trPr>
        <w:tc>
          <w:tcPr>
            <w:tcW w:w="1805" w:type="pct"/>
            <w:gridSpan w:val="4"/>
          </w:tcPr>
          <w:p w14:paraId="37C7C90C" w14:textId="77777777" w:rsidR="0021177B" w:rsidRPr="005F4C23" w:rsidRDefault="0021177B" w:rsidP="009E3B2F">
            <w:pPr>
              <w:spacing w:after="0" w:line="240" w:lineRule="auto"/>
              <w:jc w:val="center"/>
              <w:rPr>
                <w:rFonts w:ascii="Futura Std Condensed Light" w:eastAsia="Calibri" w:hAnsi="Futura Std Condensed Light" w:cs="Calibri"/>
                <w:b/>
                <w:sz w:val="20"/>
                <w:szCs w:val="20"/>
              </w:rPr>
            </w:pPr>
            <w:r w:rsidRPr="005F4C23">
              <w:rPr>
                <w:rFonts w:ascii="Futura Std Condensed Light" w:eastAsia="Calibri" w:hAnsi="Futura Std Condensed Light" w:cs="Calibri"/>
                <w:b/>
                <w:sz w:val="20"/>
                <w:szCs w:val="20"/>
              </w:rPr>
              <w:t>Contribución Directa  a la Meta de la Agenda 2030</w:t>
            </w:r>
          </w:p>
        </w:tc>
        <w:tc>
          <w:tcPr>
            <w:tcW w:w="3195" w:type="pct"/>
            <w:gridSpan w:val="8"/>
          </w:tcPr>
          <w:p w14:paraId="0678A22C" w14:textId="77777777" w:rsidR="0021177B" w:rsidRPr="00596515" w:rsidRDefault="0021177B" w:rsidP="009E3B2F">
            <w:pPr>
              <w:spacing w:after="0" w:line="240" w:lineRule="auto"/>
              <w:jc w:val="center"/>
              <w:rPr>
                <w:rFonts w:ascii="Futura Std Condensed Light" w:eastAsia="Calibri" w:hAnsi="Futura Std Condensed Light" w:cs="Calibri"/>
                <w:sz w:val="20"/>
                <w:szCs w:val="20"/>
              </w:rPr>
            </w:pPr>
            <w:r w:rsidRPr="00596515">
              <w:rPr>
                <w:rFonts w:ascii="Futura Std Condensed Light" w:eastAsia="Calibri" w:hAnsi="Futura Std Condensed Light" w:cs="Calibri"/>
                <w:sz w:val="20"/>
                <w:szCs w:val="20"/>
              </w:rPr>
              <w:t>De aquí a 2030, aumentar considerablemente a nivel mundial el número de becas disponibles para los países en desarrollo a fin de que sus estudiantes puedan matricularse en programas de enseñanza superior, incluidos programas de formación profesional y programas técnicos, científicos, de ingeniería y de tecnología de la información y las comunicaciones.</w:t>
            </w:r>
          </w:p>
        </w:tc>
      </w:tr>
      <w:tr w:rsidR="0021177B" w:rsidRPr="00D12127" w14:paraId="37A3D4AE" w14:textId="77777777" w:rsidTr="009E3B2F">
        <w:trPr>
          <w:trHeight w:val="484"/>
        </w:trPr>
        <w:tc>
          <w:tcPr>
            <w:tcW w:w="1805" w:type="pct"/>
            <w:gridSpan w:val="4"/>
          </w:tcPr>
          <w:p w14:paraId="52E13707" w14:textId="77777777" w:rsidR="0021177B" w:rsidRPr="005F4C23" w:rsidRDefault="0021177B" w:rsidP="009E3B2F">
            <w:pPr>
              <w:spacing w:after="0" w:line="240" w:lineRule="auto"/>
              <w:jc w:val="center"/>
              <w:rPr>
                <w:rFonts w:ascii="Futura Std Condensed Light" w:eastAsia="Calibri" w:hAnsi="Futura Std Condensed Light" w:cs="Calibri"/>
                <w:b/>
                <w:sz w:val="20"/>
                <w:szCs w:val="20"/>
              </w:rPr>
            </w:pPr>
            <w:r w:rsidRPr="005F4C23">
              <w:rPr>
                <w:rFonts w:ascii="Futura Std Condensed Light" w:eastAsia="Calibri" w:hAnsi="Futura Std Condensed Light" w:cs="Calibri"/>
                <w:b/>
                <w:sz w:val="20"/>
                <w:szCs w:val="20"/>
              </w:rPr>
              <w:t>Tema / Proyecto Prioritario de Quintana Roo</w:t>
            </w:r>
          </w:p>
        </w:tc>
        <w:tc>
          <w:tcPr>
            <w:tcW w:w="3195" w:type="pct"/>
            <w:gridSpan w:val="8"/>
          </w:tcPr>
          <w:p w14:paraId="2508E01C" w14:textId="77777777" w:rsidR="0021177B" w:rsidRPr="00596515" w:rsidRDefault="0021177B" w:rsidP="009E3B2F">
            <w:pPr>
              <w:spacing w:after="0" w:line="240" w:lineRule="auto"/>
              <w:jc w:val="center"/>
              <w:rPr>
                <w:rFonts w:ascii="Futura Std Condensed Light" w:eastAsia="Calibri" w:hAnsi="Futura Std Condensed Light" w:cs="Calibri"/>
                <w:sz w:val="20"/>
                <w:szCs w:val="20"/>
              </w:rPr>
            </w:pPr>
            <w:r w:rsidRPr="00596515">
              <w:rPr>
                <w:rFonts w:ascii="Futura Std Condensed Light" w:eastAsia="Calibri" w:hAnsi="Futura Std Condensed Light" w:cs="Calibri"/>
                <w:sz w:val="20"/>
                <w:szCs w:val="20"/>
              </w:rPr>
              <w:t>24.2 Útiles escolares</w:t>
            </w:r>
          </w:p>
          <w:p w14:paraId="608A6078" w14:textId="77777777" w:rsidR="0021177B" w:rsidRPr="00596515" w:rsidRDefault="0021177B" w:rsidP="009E3B2F">
            <w:pPr>
              <w:spacing w:after="0" w:line="240" w:lineRule="auto"/>
              <w:jc w:val="center"/>
              <w:rPr>
                <w:rFonts w:ascii="Futura Std Condensed Light" w:eastAsia="Calibri" w:hAnsi="Futura Std Condensed Light" w:cs="Calibri"/>
                <w:sz w:val="20"/>
                <w:szCs w:val="20"/>
              </w:rPr>
            </w:pPr>
            <w:r w:rsidRPr="00596515">
              <w:rPr>
                <w:rFonts w:ascii="Futura Std Condensed Light" w:eastAsia="Calibri" w:hAnsi="Futura Std Condensed Light" w:cs="Calibri"/>
                <w:sz w:val="20"/>
                <w:szCs w:val="20"/>
              </w:rPr>
              <w:t>24.3 Mochilas</w:t>
            </w:r>
          </w:p>
        </w:tc>
      </w:tr>
      <w:tr w:rsidR="0021177B" w:rsidRPr="00D12127" w14:paraId="6FEA2352" w14:textId="77777777" w:rsidTr="009E3B2F">
        <w:trPr>
          <w:trHeight w:val="484"/>
        </w:trPr>
        <w:tc>
          <w:tcPr>
            <w:tcW w:w="1805" w:type="pct"/>
            <w:gridSpan w:val="4"/>
          </w:tcPr>
          <w:p w14:paraId="0ADF4A13" w14:textId="77777777" w:rsidR="0021177B" w:rsidRDefault="0021177B" w:rsidP="009E3B2F">
            <w:pPr>
              <w:spacing w:after="0" w:line="240" w:lineRule="auto"/>
              <w:jc w:val="center"/>
              <w:rPr>
                <w:rFonts w:ascii="Futura Std Condensed Light" w:eastAsia="Calibri" w:hAnsi="Futura Std Condensed Light" w:cs="Calibri"/>
                <w:b/>
                <w:sz w:val="20"/>
                <w:szCs w:val="20"/>
              </w:rPr>
            </w:pPr>
            <w:r w:rsidRPr="005F4C23">
              <w:rPr>
                <w:rFonts w:ascii="Futura Std Condensed Light" w:eastAsia="Calibri" w:hAnsi="Futura Std Condensed Light" w:cs="Calibri"/>
                <w:b/>
                <w:sz w:val="20"/>
                <w:szCs w:val="20"/>
              </w:rPr>
              <w:t>Subtema Prioritario de Quintana Roo</w:t>
            </w:r>
          </w:p>
          <w:p w14:paraId="2322DF12" w14:textId="2C45BFE4" w:rsidR="009B399E" w:rsidRPr="005F4C23" w:rsidRDefault="009B399E" w:rsidP="009E3B2F">
            <w:pPr>
              <w:spacing w:after="0" w:line="240" w:lineRule="auto"/>
              <w:jc w:val="center"/>
              <w:rPr>
                <w:rFonts w:ascii="Futura Std Condensed Light" w:eastAsia="Calibri" w:hAnsi="Futura Std Condensed Light" w:cs="Calibri"/>
                <w:b/>
                <w:sz w:val="20"/>
                <w:szCs w:val="20"/>
              </w:rPr>
            </w:pPr>
          </w:p>
        </w:tc>
        <w:tc>
          <w:tcPr>
            <w:tcW w:w="3195" w:type="pct"/>
            <w:gridSpan w:val="8"/>
          </w:tcPr>
          <w:p w14:paraId="0BD47070" w14:textId="77777777" w:rsidR="0021177B" w:rsidRPr="00596515" w:rsidRDefault="0021177B" w:rsidP="009E3B2F">
            <w:pPr>
              <w:spacing w:after="0" w:line="240" w:lineRule="auto"/>
              <w:jc w:val="center"/>
              <w:rPr>
                <w:rFonts w:ascii="Futura Std Condensed Light" w:eastAsia="Calibri" w:hAnsi="Futura Std Condensed Light" w:cs="Calibri"/>
                <w:sz w:val="20"/>
                <w:szCs w:val="20"/>
              </w:rPr>
            </w:pPr>
            <w:r w:rsidRPr="00596515">
              <w:rPr>
                <w:rFonts w:ascii="Futura Std Condensed Light" w:eastAsia="Calibri" w:hAnsi="Futura Std Condensed Light" w:cs="Calibri"/>
                <w:sz w:val="20"/>
                <w:szCs w:val="20"/>
              </w:rPr>
              <w:t>N/A</w:t>
            </w:r>
          </w:p>
        </w:tc>
      </w:tr>
      <w:tr w:rsidR="0021177B" w:rsidRPr="00D12127" w14:paraId="082D6CC2" w14:textId="77777777" w:rsidTr="009E3B2F">
        <w:trPr>
          <w:trHeight w:val="484"/>
        </w:trPr>
        <w:tc>
          <w:tcPr>
            <w:tcW w:w="5000" w:type="pct"/>
            <w:gridSpan w:val="12"/>
          </w:tcPr>
          <w:p w14:paraId="0459E832" w14:textId="77777777" w:rsidR="0021177B" w:rsidRPr="005F4C23" w:rsidRDefault="0021177B" w:rsidP="009E3B2F">
            <w:pPr>
              <w:spacing w:after="0" w:line="240" w:lineRule="auto"/>
              <w:jc w:val="center"/>
              <w:rPr>
                <w:rFonts w:ascii="Futura Std Condensed Light" w:eastAsia="Calibri" w:hAnsi="Futura Std Condensed Light" w:cs="Calibri"/>
                <w:b/>
                <w:sz w:val="20"/>
                <w:szCs w:val="20"/>
              </w:rPr>
            </w:pPr>
            <w:r w:rsidRPr="005F4C23">
              <w:rPr>
                <w:rFonts w:ascii="Futura Std Condensed Light" w:eastAsia="Calibri" w:hAnsi="Futura Std Condensed Light" w:cs="Calibri"/>
                <w:b/>
                <w:sz w:val="20"/>
                <w:szCs w:val="20"/>
              </w:rPr>
              <w:t>Meta Total:</w:t>
            </w:r>
          </w:p>
        </w:tc>
      </w:tr>
      <w:tr w:rsidR="0021177B" w:rsidRPr="00D12127" w14:paraId="35AC9516" w14:textId="77777777" w:rsidTr="009E3B2F">
        <w:trPr>
          <w:trHeight w:val="484"/>
        </w:trPr>
        <w:tc>
          <w:tcPr>
            <w:tcW w:w="780" w:type="pct"/>
          </w:tcPr>
          <w:p w14:paraId="51B1F07E" w14:textId="77777777" w:rsidR="0021177B" w:rsidRPr="005F4C23" w:rsidRDefault="0021177B" w:rsidP="009E3B2F">
            <w:pPr>
              <w:spacing w:after="0" w:line="240" w:lineRule="auto"/>
              <w:jc w:val="center"/>
              <w:rPr>
                <w:rFonts w:ascii="Futura Std Condensed Light" w:eastAsia="Calibri" w:hAnsi="Futura Std Condensed Light" w:cs="Calibri"/>
                <w:b/>
                <w:sz w:val="20"/>
                <w:szCs w:val="20"/>
              </w:rPr>
            </w:pPr>
            <w:r w:rsidRPr="005F4C23">
              <w:rPr>
                <w:rFonts w:ascii="Futura Std Condensed Light" w:eastAsia="Calibri" w:hAnsi="Futura Std Condensed Light" w:cs="Calibri"/>
                <w:b/>
                <w:sz w:val="20"/>
                <w:szCs w:val="20"/>
              </w:rPr>
              <w:t>2017</w:t>
            </w:r>
          </w:p>
        </w:tc>
        <w:tc>
          <w:tcPr>
            <w:tcW w:w="783" w:type="pct"/>
            <w:gridSpan w:val="2"/>
          </w:tcPr>
          <w:p w14:paraId="3263FD72" w14:textId="77777777" w:rsidR="0021177B" w:rsidRPr="005F4C23" w:rsidRDefault="0021177B" w:rsidP="009E3B2F">
            <w:pPr>
              <w:spacing w:after="0" w:line="240" w:lineRule="auto"/>
              <w:jc w:val="center"/>
              <w:rPr>
                <w:rFonts w:ascii="Futura Std Condensed Light" w:eastAsia="Calibri" w:hAnsi="Futura Std Condensed Light" w:cs="Calibri"/>
                <w:b/>
                <w:sz w:val="20"/>
                <w:szCs w:val="20"/>
              </w:rPr>
            </w:pPr>
            <w:r w:rsidRPr="005F4C23">
              <w:rPr>
                <w:rFonts w:ascii="Futura Std Condensed Light" w:eastAsia="Calibri" w:hAnsi="Futura Std Condensed Light" w:cs="Calibri"/>
                <w:b/>
                <w:sz w:val="20"/>
                <w:szCs w:val="20"/>
              </w:rPr>
              <w:t>2018</w:t>
            </w:r>
          </w:p>
        </w:tc>
        <w:tc>
          <w:tcPr>
            <w:tcW w:w="904" w:type="pct"/>
            <w:gridSpan w:val="3"/>
          </w:tcPr>
          <w:p w14:paraId="40FED8ED" w14:textId="77777777" w:rsidR="0021177B" w:rsidRPr="005F4C23" w:rsidRDefault="0021177B" w:rsidP="009E3B2F">
            <w:pPr>
              <w:spacing w:after="0" w:line="240" w:lineRule="auto"/>
              <w:jc w:val="center"/>
              <w:rPr>
                <w:rFonts w:ascii="Futura Std Condensed Light" w:eastAsia="Calibri" w:hAnsi="Futura Std Condensed Light" w:cs="Calibri"/>
                <w:b/>
                <w:sz w:val="20"/>
                <w:szCs w:val="20"/>
              </w:rPr>
            </w:pPr>
            <w:r w:rsidRPr="005F4C23">
              <w:rPr>
                <w:rFonts w:ascii="Futura Std Condensed Light" w:eastAsia="Calibri" w:hAnsi="Futura Std Condensed Light" w:cs="Calibri"/>
                <w:b/>
                <w:sz w:val="20"/>
                <w:szCs w:val="20"/>
              </w:rPr>
              <w:t>2019</w:t>
            </w:r>
          </w:p>
        </w:tc>
        <w:tc>
          <w:tcPr>
            <w:tcW w:w="723" w:type="pct"/>
            <w:gridSpan w:val="2"/>
          </w:tcPr>
          <w:p w14:paraId="0BD4E620" w14:textId="77777777" w:rsidR="0021177B" w:rsidRPr="005F4C23" w:rsidRDefault="0021177B" w:rsidP="009E3B2F">
            <w:pPr>
              <w:spacing w:after="0" w:line="240" w:lineRule="auto"/>
              <w:jc w:val="center"/>
              <w:rPr>
                <w:rFonts w:ascii="Futura Std Condensed Light" w:eastAsia="Calibri" w:hAnsi="Futura Std Condensed Light" w:cs="Calibri"/>
                <w:b/>
                <w:sz w:val="20"/>
                <w:szCs w:val="20"/>
              </w:rPr>
            </w:pPr>
            <w:r w:rsidRPr="005F4C23">
              <w:rPr>
                <w:rFonts w:ascii="Futura Std Condensed Light" w:eastAsia="Calibri" w:hAnsi="Futura Std Condensed Light" w:cs="Calibri"/>
                <w:b/>
                <w:sz w:val="20"/>
                <w:szCs w:val="20"/>
              </w:rPr>
              <w:t>2020</w:t>
            </w:r>
          </w:p>
        </w:tc>
        <w:tc>
          <w:tcPr>
            <w:tcW w:w="964" w:type="pct"/>
            <w:gridSpan w:val="3"/>
          </w:tcPr>
          <w:p w14:paraId="018D0DEE" w14:textId="77777777" w:rsidR="0021177B" w:rsidRPr="005F4C23" w:rsidRDefault="0021177B" w:rsidP="009E3B2F">
            <w:pPr>
              <w:spacing w:after="0" w:line="240" w:lineRule="auto"/>
              <w:jc w:val="center"/>
              <w:rPr>
                <w:rFonts w:ascii="Futura Std Condensed Light" w:eastAsia="Calibri" w:hAnsi="Futura Std Condensed Light" w:cs="Calibri"/>
                <w:b/>
                <w:sz w:val="20"/>
                <w:szCs w:val="20"/>
              </w:rPr>
            </w:pPr>
            <w:r w:rsidRPr="005F4C23">
              <w:rPr>
                <w:rFonts w:ascii="Futura Std Condensed Light" w:eastAsia="Calibri" w:hAnsi="Futura Std Condensed Light" w:cs="Calibri"/>
                <w:b/>
                <w:sz w:val="20"/>
                <w:szCs w:val="20"/>
              </w:rPr>
              <w:t>2021</w:t>
            </w:r>
          </w:p>
        </w:tc>
        <w:tc>
          <w:tcPr>
            <w:tcW w:w="846" w:type="pct"/>
          </w:tcPr>
          <w:p w14:paraId="1B5C0EB2" w14:textId="77777777" w:rsidR="0021177B" w:rsidRPr="005F4C23" w:rsidRDefault="0021177B" w:rsidP="009E3B2F">
            <w:pPr>
              <w:spacing w:after="0" w:line="240" w:lineRule="auto"/>
              <w:jc w:val="center"/>
              <w:rPr>
                <w:rFonts w:ascii="Futura Std Condensed Light" w:eastAsia="Calibri" w:hAnsi="Futura Std Condensed Light" w:cs="Calibri"/>
                <w:b/>
                <w:sz w:val="20"/>
                <w:szCs w:val="20"/>
              </w:rPr>
            </w:pPr>
            <w:r w:rsidRPr="005F4C23">
              <w:rPr>
                <w:rFonts w:ascii="Futura Std Condensed Light" w:eastAsia="Calibri" w:hAnsi="Futura Std Condensed Light" w:cs="Calibri"/>
                <w:b/>
                <w:sz w:val="20"/>
                <w:szCs w:val="20"/>
              </w:rPr>
              <w:t>2022</w:t>
            </w:r>
          </w:p>
        </w:tc>
      </w:tr>
      <w:tr w:rsidR="0021177B" w:rsidRPr="00D12127" w14:paraId="58F94CC3" w14:textId="77777777" w:rsidTr="009E3B2F">
        <w:trPr>
          <w:trHeight w:val="484"/>
        </w:trPr>
        <w:tc>
          <w:tcPr>
            <w:tcW w:w="780" w:type="pct"/>
          </w:tcPr>
          <w:p w14:paraId="38E04AD7" w14:textId="77777777" w:rsidR="0021177B" w:rsidRPr="00596515" w:rsidRDefault="0021177B" w:rsidP="009E3B2F">
            <w:pPr>
              <w:spacing w:after="0" w:line="240" w:lineRule="auto"/>
              <w:jc w:val="center"/>
              <w:rPr>
                <w:rFonts w:ascii="Futura Std Condensed Light" w:eastAsia="Calibri" w:hAnsi="Futura Std Condensed Light" w:cs="Calibri"/>
                <w:sz w:val="20"/>
                <w:szCs w:val="20"/>
              </w:rPr>
            </w:pPr>
            <w:r w:rsidRPr="00596515">
              <w:rPr>
                <w:rFonts w:ascii="Futura Std Condensed Light" w:eastAsia="Calibri" w:hAnsi="Futura Std Condensed Light" w:cs="Calibri"/>
                <w:sz w:val="20"/>
                <w:szCs w:val="20"/>
              </w:rPr>
              <w:t>158,085</w:t>
            </w:r>
          </w:p>
        </w:tc>
        <w:tc>
          <w:tcPr>
            <w:tcW w:w="783" w:type="pct"/>
            <w:gridSpan w:val="2"/>
          </w:tcPr>
          <w:p w14:paraId="0FA3F42C" w14:textId="77777777" w:rsidR="0021177B" w:rsidRPr="00596515" w:rsidRDefault="0021177B" w:rsidP="009E3B2F">
            <w:pPr>
              <w:spacing w:after="0" w:line="240" w:lineRule="auto"/>
              <w:jc w:val="center"/>
              <w:rPr>
                <w:rFonts w:ascii="Futura Std Condensed Light" w:eastAsia="Calibri" w:hAnsi="Futura Std Condensed Light" w:cs="Calibri"/>
                <w:sz w:val="20"/>
                <w:szCs w:val="20"/>
              </w:rPr>
            </w:pPr>
            <w:r w:rsidRPr="00596515">
              <w:rPr>
                <w:rFonts w:ascii="Futura Std Condensed Light" w:eastAsia="Calibri" w:hAnsi="Futura Std Condensed Light" w:cs="Calibri"/>
                <w:sz w:val="20"/>
                <w:szCs w:val="20"/>
              </w:rPr>
              <w:t>166,766</w:t>
            </w:r>
          </w:p>
        </w:tc>
        <w:tc>
          <w:tcPr>
            <w:tcW w:w="904" w:type="pct"/>
            <w:gridSpan w:val="3"/>
          </w:tcPr>
          <w:p w14:paraId="1FDAFC33" w14:textId="77777777" w:rsidR="0021177B" w:rsidRPr="00596515" w:rsidRDefault="0021177B" w:rsidP="009E3B2F">
            <w:pPr>
              <w:spacing w:after="0" w:line="240" w:lineRule="auto"/>
              <w:jc w:val="center"/>
              <w:rPr>
                <w:rFonts w:ascii="Futura Std Condensed Light" w:eastAsia="Calibri" w:hAnsi="Futura Std Condensed Light" w:cs="Calibri"/>
                <w:sz w:val="20"/>
                <w:szCs w:val="20"/>
              </w:rPr>
            </w:pPr>
            <w:r w:rsidRPr="00596515">
              <w:rPr>
                <w:rFonts w:ascii="Futura Std Condensed Light" w:eastAsia="Calibri" w:hAnsi="Futura Std Condensed Light" w:cs="Calibri"/>
                <w:sz w:val="20"/>
                <w:szCs w:val="20"/>
              </w:rPr>
              <w:t>173,119</w:t>
            </w:r>
          </w:p>
        </w:tc>
        <w:tc>
          <w:tcPr>
            <w:tcW w:w="723" w:type="pct"/>
            <w:gridSpan w:val="2"/>
          </w:tcPr>
          <w:p w14:paraId="2F09FD8E" w14:textId="66D578C9" w:rsidR="0021177B" w:rsidRPr="00596515" w:rsidRDefault="00B0526C" w:rsidP="009E3B2F">
            <w:pPr>
              <w:spacing w:after="0" w:line="240" w:lineRule="auto"/>
              <w:jc w:val="center"/>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176,483</w:t>
            </w:r>
          </w:p>
        </w:tc>
        <w:tc>
          <w:tcPr>
            <w:tcW w:w="964" w:type="pct"/>
            <w:gridSpan w:val="3"/>
          </w:tcPr>
          <w:p w14:paraId="2D50FFF0" w14:textId="236CFFC8" w:rsidR="0021177B" w:rsidRPr="00596515" w:rsidRDefault="00B0526C" w:rsidP="009E3B2F">
            <w:pPr>
              <w:spacing w:after="0" w:line="240" w:lineRule="auto"/>
              <w:jc w:val="center"/>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179,833</w:t>
            </w:r>
          </w:p>
        </w:tc>
        <w:tc>
          <w:tcPr>
            <w:tcW w:w="846" w:type="pct"/>
          </w:tcPr>
          <w:p w14:paraId="17775B61" w14:textId="2729CDE8" w:rsidR="0021177B" w:rsidRPr="00596515" w:rsidRDefault="009B399E" w:rsidP="009E3B2F">
            <w:pPr>
              <w:spacing w:after="0" w:line="240" w:lineRule="auto"/>
              <w:jc w:val="center"/>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183,183</w:t>
            </w:r>
          </w:p>
        </w:tc>
      </w:tr>
    </w:tbl>
    <w:p w14:paraId="5451A77D" w14:textId="58222F2C" w:rsidR="007F55A3" w:rsidRDefault="007F55A3" w:rsidP="0021177B"/>
    <w:p w14:paraId="455C213D" w14:textId="77777777" w:rsidR="00A26217" w:rsidRDefault="00A26217">
      <w:pPr>
        <w:spacing w:after="0" w:line="240" w:lineRule="auto"/>
        <w:jc w:val="left"/>
        <w:rPr>
          <w:rFonts w:eastAsia="Arial" w:cs="Times New Roman"/>
          <w:b/>
          <w:color w:val="4BACC6" w:themeColor="accent5"/>
        </w:rPr>
      </w:pPr>
      <w:r>
        <w:rPr>
          <w:rFonts w:eastAsia="Arial" w:cs="Times New Roman"/>
          <w:b/>
          <w:color w:val="4BACC6" w:themeColor="accent5"/>
        </w:rPr>
        <w:br w:type="page"/>
      </w:r>
    </w:p>
    <w:p w14:paraId="56D9E507" w14:textId="3CA29C8A" w:rsidR="0021177B" w:rsidRDefault="00FA0940" w:rsidP="0021177B">
      <w:pPr>
        <w:jc w:val="center"/>
      </w:pPr>
      <w:r>
        <w:rPr>
          <w:rFonts w:eastAsia="Arial" w:cs="Times New Roman"/>
          <w:b/>
          <w:color w:val="4BACC6" w:themeColor="accent5"/>
        </w:rPr>
        <w:lastRenderedPageBreak/>
        <w:t>Cuadro 28</w:t>
      </w:r>
      <w:r w:rsidR="0021177B">
        <w:rPr>
          <w:rFonts w:eastAsia="Arial" w:cs="Times New Roman"/>
          <w:b/>
          <w:color w:val="4BACC6" w:themeColor="accent5"/>
        </w:rPr>
        <w:t>. Entregable y meta de la línea de acción 3 del PED</w:t>
      </w:r>
    </w:p>
    <w:tbl>
      <w:tblPr>
        <w:tblStyle w:val="Tablaconcuadrcula"/>
        <w:tblW w:w="5000" w:type="pct"/>
        <w:tblLook w:val="04A0" w:firstRow="1" w:lastRow="0" w:firstColumn="1" w:lastColumn="0" w:noHBand="0" w:noVBand="1"/>
      </w:tblPr>
      <w:tblGrid>
        <w:gridCol w:w="1490"/>
        <w:gridCol w:w="814"/>
        <w:gridCol w:w="679"/>
        <w:gridCol w:w="462"/>
        <w:gridCol w:w="687"/>
        <w:gridCol w:w="576"/>
        <w:gridCol w:w="462"/>
        <w:gridCol w:w="917"/>
        <w:gridCol w:w="116"/>
        <w:gridCol w:w="1720"/>
        <w:gridCol w:w="1614"/>
      </w:tblGrid>
      <w:tr w:rsidR="0086391F" w:rsidRPr="008835BC" w14:paraId="21018402" w14:textId="77777777" w:rsidTr="000A6C6E">
        <w:trPr>
          <w:trHeight w:val="182"/>
        </w:trPr>
        <w:tc>
          <w:tcPr>
            <w:tcW w:w="1806" w:type="pct"/>
            <w:gridSpan w:val="4"/>
            <w:shd w:val="clear" w:color="auto" w:fill="A6A6A6" w:themeFill="background1" w:themeFillShade="A6"/>
          </w:tcPr>
          <w:p w14:paraId="00341118" w14:textId="77777777" w:rsidR="0021177B" w:rsidRPr="008835BC" w:rsidRDefault="0021177B" w:rsidP="009E3B2F">
            <w:pPr>
              <w:spacing w:after="0" w:line="240" w:lineRule="auto"/>
              <w:jc w:val="center"/>
              <w:rPr>
                <w:rFonts w:ascii="Futura Std Condensed Light" w:eastAsia="Calibri" w:hAnsi="Futura Std Condensed Light" w:cs="Calibri"/>
                <w:color w:val="auto"/>
                <w:sz w:val="20"/>
                <w:szCs w:val="20"/>
              </w:rPr>
            </w:pPr>
            <w:r w:rsidRPr="008835BC">
              <w:rPr>
                <w:rFonts w:ascii="Futura Std Condensed Light" w:eastAsia="Calibri" w:hAnsi="Futura Std Condensed Light" w:cs="Calibri"/>
                <w:color w:val="auto"/>
                <w:sz w:val="20"/>
                <w:szCs w:val="20"/>
              </w:rPr>
              <w:t>Programa PED</w:t>
            </w:r>
          </w:p>
        </w:tc>
        <w:tc>
          <w:tcPr>
            <w:tcW w:w="3194" w:type="pct"/>
            <w:gridSpan w:val="7"/>
            <w:shd w:val="clear" w:color="auto" w:fill="A6A6A6" w:themeFill="background1" w:themeFillShade="A6"/>
          </w:tcPr>
          <w:p w14:paraId="68806722" w14:textId="77777777" w:rsidR="0021177B" w:rsidRPr="008835BC" w:rsidRDefault="0021177B" w:rsidP="009E3B2F">
            <w:pPr>
              <w:spacing w:after="0" w:line="240" w:lineRule="auto"/>
              <w:jc w:val="center"/>
              <w:rPr>
                <w:rFonts w:ascii="Futura Std Condensed Light" w:eastAsia="Calibri" w:hAnsi="Futura Std Condensed Light" w:cs="Calibri"/>
                <w:color w:val="auto"/>
                <w:sz w:val="20"/>
                <w:szCs w:val="20"/>
              </w:rPr>
            </w:pPr>
            <w:r w:rsidRPr="008835BC">
              <w:rPr>
                <w:rFonts w:ascii="Futura Std Condensed Light" w:eastAsia="Calibri" w:hAnsi="Futura Std Condensed Light" w:cs="Calibri"/>
                <w:color w:val="auto"/>
                <w:sz w:val="20"/>
                <w:szCs w:val="20"/>
              </w:rPr>
              <w:t>Programa Sectorial Educación Pública de Calidad</w:t>
            </w:r>
          </w:p>
        </w:tc>
      </w:tr>
      <w:tr w:rsidR="0021177B" w:rsidRPr="00301B36" w14:paraId="089F099A" w14:textId="77777777" w:rsidTr="009E3B2F">
        <w:trPr>
          <w:trHeight w:val="469"/>
        </w:trPr>
        <w:tc>
          <w:tcPr>
            <w:tcW w:w="1806" w:type="pct"/>
            <w:gridSpan w:val="4"/>
          </w:tcPr>
          <w:p w14:paraId="5231FDDE" w14:textId="77777777" w:rsidR="0021177B" w:rsidRPr="00301B36" w:rsidRDefault="0021177B" w:rsidP="009E3B2F">
            <w:pPr>
              <w:spacing w:after="0" w:line="240" w:lineRule="auto"/>
              <w:jc w:val="center"/>
              <w:rPr>
                <w:rFonts w:ascii="Futura Std Condensed Light" w:eastAsia="Calibri" w:hAnsi="Futura Std Condensed Light" w:cs="Calibri"/>
                <w:b/>
                <w:sz w:val="20"/>
                <w:szCs w:val="20"/>
              </w:rPr>
            </w:pPr>
            <w:r w:rsidRPr="00301B36">
              <w:rPr>
                <w:rFonts w:ascii="Futura Std Condensed Light" w:eastAsia="Calibri" w:hAnsi="Futura Std Condensed Light" w:cs="Calibri"/>
                <w:b/>
                <w:sz w:val="20"/>
                <w:szCs w:val="20"/>
              </w:rPr>
              <w:t>Línea de acción:</w:t>
            </w:r>
          </w:p>
        </w:tc>
        <w:tc>
          <w:tcPr>
            <w:tcW w:w="3194" w:type="pct"/>
            <w:gridSpan w:val="7"/>
          </w:tcPr>
          <w:p w14:paraId="62E50FE1" w14:textId="77777777" w:rsidR="0021177B" w:rsidRPr="00301B36" w:rsidRDefault="0021177B" w:rsidP="009E3B2F">
            <w:pPr>
              <w:spacing w:after="0" w:line="240" w:lineRule="auto"/>
              <w:jc w:val="center"/>
              <w:rPr>
                <w:rFonts w:ascii="Futura Std Condensed Light" w:eastAsia="Calibri" w:hAnsi="Futura Std Condensed Light" w:cs="Calibri"/>
                <w:sz w:val="20"/>
                <w:szCs w:val="20"/>
              </w:rPr>
            </w:pPr>
            <w:r w:rsidRPr="00301B36">
              <w:rPr>
                <w:rFonts w:ascii="Futura Std Condensed Light" w:eastAsia="Calibri" w:hAnsi="Futura Std Condensed Light" w:cs="Calibri"/>
                <w:sz w:val="20"/>
                <w:szCs w:val="20"/>
              </w:rPr>
              <w:t>3.  Realizar, al interior de las escuelas públicas, uniformes escolares gratuitos a alumnos de nivel básico al inicio del ciclo escolar.</w:t>
            </w:r>
          </w:p>
        </w:tc>
      </w:tr>
      <w:tr w:rsidR="0021177B" w:rsidRPr="00301B36" w14:paraId="4FD0F013" w14:textId="77777777" w:rsidTr="009E3B2F">
        <w:trPr>
          <w:trHeight w:val="484"/>
        </w:trPr>
        <w:tc>
          <w:tcPr>
            <w:tcW w:w="1806" w:type="pct"/>
            <w:gridSpan w:val="4"/>
          </w:tcPr>
          <w:p w14:paraId="58400AC5" w14:textId="77777777" w:rsidR="0021177B" w:rsidRPr="00301B36" w:rsidRDefault="0021177B" w:rsidP="009E3B2F">
            <w:pPr>
              <w:spacing w:after="0" w:line="240" w:lineRule="auto"/>
              <w:jc w:val="center"/>
              <w:rPr>
                <w:rFonts w:ascii="Futura Std Condensed Light" w:eastAsia="Calibri" w:hAnsi="Futura Std Condensed Light" w:cs="Calibri"/>
                <w:b/>
                <w:sz w:val="20"/>
                <w:szCs w:val="20"/>
              </w:rPr>
            </w:pPr>
            <w:r w:rsidRPr="00301B36">
              <w:rPr>
                <w:rFonts w:ascii="Futura Std Condensed Light" w:eastAsia="Calibri" w:hAnsi="Futura Std Condensed Light" w:cs="Calibri"/>
                <w:b/>
                <w:sz w:val="20"/>
                <w:szCs w:val="20"/>
              </w:rPr>
              <w:t>Plan Estratégico Objetivo Especifico</w:t>
            </w:r>
          </w:p>
        </w:tc>
        <w:tc>
          <w:tcPr>
            <w:tcW w:w="3194" w:type="pct"/>
            <w:gridSpan w:val="7"/>
          </w:tcPr>
          <w:p w14:paraId="2BEA1FC1" w14:textId="77777777" w:rsidR="0021177B" w:rsidRPr="00301B36" w:rsidRDefault="0021177B" w:rsidP="009E3B2F">
            <w:pPr>
              <w:spacing w:after="0" w:line="240" w:lineRule="auto"/>
              <w:jc w:val="center"/>
              <w:rPr>
                <w:rFonts w:ascii="Futura Std Condensed Light" w:eastAsia="Calibri" w:hAnsi="Futura Std Condensed Light" w:cs="Calibri"/>
                <w:sz w:val="20"/>
                <w:szCs w:val="20"/>
              </w:rPr>
            </w:pPr>
            <w:r w:rsidRPr="00301B36">
              <w:rPr>
                <w:rFonts w:ascii="Futura Std Condensed Light" w:eastAsia="Calibri" w:hAnsi="Futura Std Condensed Light" w:cs="Calibri"/>
                <w:sz w:val="20"/>
                <w:szCs w:val="20"/>
              </w:rPr>
              <w:t>Disminuir la desigualdad en sus diversas formas </w:t>
            </w:r>
          </w:p>
        </w:tc>
      </w:tr>
      <w:tr w:rsidR="0021177B" w:rsidRPr="00301B36" w14:paraId="69ADA9F4" w14:textId="77777777" w:rsidTr="009E3B2F">
        <w:trPr>
          <w:trHeight w:val="484"/>
        </w:trPr>
        <w:tc>
          <w:tcPr>
            <w:tcW w:w="1208" w:type="pct"/>
            <w:gridSpan w:val="2"/>
          </w:tcPr>
          <w:p w14:paraId="1D96F540" w14:textId="77777777" w:rsidR="0021177B" w:rsidRPr="00301B36" w:rsidRDefault="0021177B" w:rsidP="009E3B2F">
            <w:pPr>
              <w:spacing w:after="0" w:line="240" w:lineRule="auto"/>
              <w:jc w:val="center"/>
              <w:rPr>
                <w:rFonts w:ascii="Futura Std Condensed Light" w:eastAsia="Calibri" w:hAnsi="Futura Std Condensed Light" w:cs="Calibri"/>
                <w:b/>
                <w:sz w:val="20"/>
                <w:szCs w:val="20"/>
              </w:rPr>
            </w:pPr>
            <w:r w:rsidRPr="00301B36">
              <w:rPr>
                <w:rFonts w:ascii="Futura Std Condensed Light" w:eastAsia="Calibri" w:hAnsi="Futura Std Condensed Light" w:cs="Calibri"/>
                <w:b/>
                <w:sz w:val="20"/>
                <w:szCs w:val="20"/>
              </w:rPr>
              <w:t>Entregable:</w:t>
            </w:r>
          </w:p>
        </w:tc>
        <w:tc>
          <w:tcPr>
            <w:tcW w:w="958" w:type="pct"/>
            <w:gridSpan w:val="3"/>
          </w:tcPr>
          <w:p w14:paraId="434B64C0" w14:textId="77777777" w:rsidR="0021177B" w:rsidRPr="00301B36" w:rsidRDefault="0021177B" w:rsidP="009E3B2F">
            <w:pPr>
              <w:spacing w:after="0" w:line="240" w:lineRule="auto"/>
              <w:jc w:val="center"/>
              <w:rPr>
                <w:rFonts w:ascii="Futura Std Condensed Light" w:eastAsia="Calibri" w:hAnsi="Futura Std Condensed Light" w:cs="Calibri"/>
                <w:sz w:val="20"/>
                <w:szCs w:val="20"/>
              </w:rPr>
            </w:pPr>
            <w:r w:rsidRPr="00301B36">
              <w:rPr>
                <w:rFonts w:ascii="Futura Std Condensed Light" w:eastAsia="Calibri" w:hAnsi="Futura Std Condensed Light" w:cs="Calibri"/>
                <w:sz w:val="20"/>
                <w:szCs w:val="20"/>
              </w:rPr>
              <w:t>Entrega de uniformes escolares</w:t>
            </w:r>
          </w:p>
        </w:tc>
        <w:tc>
          <w:tcPr>
            <w:tcW w:w="1085" w:type="pct"/>
            <w:gridSpan w:val="4"/>
          </w:tcPr>
          <w:p w14:paraId="3E65050C" w14:textId="77777777" w:rsidR="0021177B" w:rsidRPr="00301B36" w:rsidRDefault="0021177B" w:rsidP="009E3B2F">
            <w:pPr>
              <w:spacing w:after="0" w:line="240" w:lineRule="auto"/>
              <w:jc w:val="center"/>
              <w:rPr>
                <w:rFonts w:ascii="Futura Std Condensed Light" w:eastAsia="Calibri" w:hAnsi="Futura Std Condensed Light" w:cs="Calibri"/>
                <w:sz w:val="20"/>
                <w:szCs w:val="20"/>
              </w:rPr>
            </w:pPr>
            <w:r w:rsidRPr="00301B36">
              <w:rPr>
                <w:rFonts w:ascii="Futura Std Condensed Light" w:eastAsia="Calibri" w:hAnsi="Futura Std Condensed Light" w:cs="Calibri"/>
                <w:sz w:val="20"/>
                <w:szCs w:val="20"/>
              </w:rPr>
              <w:t>Unidad de Medida:</w:t>
            </w:r>
          </w:p>
        </w:tc>
        <w:tc>
          <w:tcPr>
            <w:tcW w:w="1749" w:type="pct"/>
            <w:gridSpan w:val="2"/>
          </w:tcPr>
          <w:p w14:paraId="447F7B65" w14:textId="77777777" w:rsidR="0021177B" w:rsidRPr="00301B36" w:rsidRDefault="0021177B" w:rsidP="009E3B2F">
            <w:pPr>
              <w:spacing w:after="0" w:line="240" w:lineRule="auto"/>
              <w:jc w:val="center"/>
              <w:rPr>
                <w:rFonts w:ascii="Futura Std Condensed Light" w:eastAsia="Calibri" w:hAnsi="Futura Std Condensed Light" w:cs="Calibri"/>
                <w:sz w:val="20"/>
                <w:szCs w:val="20"/>
              </w:rPr>
            </w:pPr>
            <w:r w:rsidRPr="00301B36">
              <w:rPr>
                <w:rFonts w:ascii="Futura Std Condensed Light" w:eastAsia="Calibri" w:hAnsi="Futura Std Condensed Light" w:cs="Calibri"/>
                <w:sz w:val="20"/>
                <w:szCs w:val="20"/>
              </w:rPr>
              <w:t>Alumnos beneficiados</w:t>
            </w:r>
          </w:p>
        </w:tc>
      </w:tr>
      <w:tr w:rsidR="0021177B" w:rsidRPr="00301B36" w14:paraId="10694100" w14:textId="77777777" w:rsidTr="009E3B2F">
        <w:trPr>
          <w:trHeight w:val="449"/>
        </w:trPr>
        <w:tc>
          <w:tcPr>
            <w:tcW w:w="1208" w:type="pct"/>
            <w:gridSpan w:val="2"/>
          </w:tcPr>
          <w:p w14:paraId="465DF4CB" w14:textId="77777777" w:rsidR="0021177B" w:rsidRPr="00301B36" w:rsidRDefault="0021177B" w:rsidP="009E3B2F">
            <w:pPr>
              <w:spacing w:after="0" w:line="240" w:lineRule="auto"/>
              <w:jc w:val="center"/>
              <w:rPr>
                <w:rFonts w:ascii="Futura Std Condensed Light" w:eastAsia="Calibri" w:hAnsi="Futura Std Condensed Light" w:cs="Calibri"/>
                <w:b/>
                <w:sz w:val="20"/>
                <w:szCs w:val="20"/>
              </w:rPr>
            </w:pPr>
            <w:r w:rsidRPr="00301B36">
              <w:rPr>
                <w:rFonts w:ascii="Futura Std Condensed Light" w:eastAsia="Calibri" w:hAnsi="Futura Std Condensed Light" w:cs="Calibri"/>
                <w:b/>
                <w:sz w:val="20"/>
                <w:szCs w:val="20"/>
              </w:rPr>
              <w:t>Descripción:</w:t>
            </w:r>
          </w:p>
        </w:tc>
        <w:tc>
          <w:tcPr>
            <w:tcW w:w="3792" w:type="pct"/>
            <w:gridSpan w:val="9"/>
          </w:tcPr>
          <w:p w14:paraId="1D84F2F4" w14:textId="77777777" w:rsidR="0021177B" w:rsidRPr="00301B36" w:rsidRDefault="0021177B" w:rsidP="009E3B2F">
            <w:pPr>
              <w:spacing w:after="0" w:line="240" w:lineRule="auto"/>
              <w:jc w:val="center"/>
              <w:rPr>
                <w:rFonts w:ascii="Futura Std Condensed Light" w:eastAsia="Calibri" w:hAnsi="Futura Std Condensed Light" w:cs="Calibri"/>
                <w:sz w:val="20"/>
                <w:szCs w:val="20"/>
              </w:rPr>
            </w:pPr>
            <w:r w:rsidRPr="00301B36">
              <w:rPr>
                <w:rFonts w:ascii="Futura Std Condensed Light" w:eastAsia="Calibri" w:hAnsi="Futura Std Condensed Light" w:cs="Calibri"/>
                <w:sz w:val="20"/>
                <w:szCs w:val="20"/>
              </w:rPr>
              <w:t>Es la entrega de uniformes escolares a alumnos de Educación Preescolar, Primaria y Telesecundaria, educación comunitaria del CONAFE, y alumnos del CEDAR-Chetumal.</w:t>
            </w:r>
          </w:p>
        </w:tc>
      </w:tr>
      <w:tr w:rsidR="0021177B" w:rsidRPr="00301B36" w14:paraId="7E1B8548" w14:textId="77777777" w:rsidTr="009E3B2F">
        <w:trPr>
          <w:trHeight w:val="484"/>
        </w:trPr>
        <w:tc>
          <w:tcPr>
            <w:tcW w:w="1806" w:type="pct"/>
            <w:gridSpan w:val="4"/>
          </w:tcPr>
          <w:p w14:paraId="30EF65FB" w14:textId="77777777" w:rsidR="0021177B" w:rsidRPr="00301B36" w:rsidRDefault="0021177B" w:rsidP="009E3B2F">
            <w:pPr>
              <w:spacing w:after="0" w:line="240" w:lineRule="auto"/>
              <w:jc w:val="center"/>
              <w:rPr>
                <w:rFonts w:ascii="Futura Std Condensed Light" w:eastAsia="Calibri" w:hAnsi="Futura Std Condensed Light" w:cs="Calibri"/>
                <w:b/>
                <w:sz w:val="20"/>
                <w:szCs w:val="20"/>
              </w:rPr>
            </w:pPr>
            <w:r w:rsidRPr="00301B36">
              <w:rPr>
                <w:rFonts w:ascii="Futura Std Condensed Light" w:eastAsia="Calibri" w:hAnsi="Futura Std Condensed Light" w:cs="Calibri"/>
                <w:b/>
                <w:sz w:val="20"/>
                <w:szCs w:val="20"/>
              </w:rPr>
              <w:t>Medio de verificación:</w:t>
            </w:r>
          </w:p>
        </w:tc>
        <w:tc>
          <w:tcPr>
            <w:tcW w:w="3194" w:type="pct"/>
            <w:gridSpan w:val="7"/>
          </w:tcPr>
          <w:p w14:paraId="6B2824E0" w14:textId="77777777" w:rsidR="0021177B" w:rsidRPr="00301B36" w:rsidRDefault="0021177B" w:rsidP="009E3B2F">
            <w:pPr>
              <w:spacing w:after="0" w:line="240" w:lineRule="auto"/>
              <w:jc w:val="center"/>
              <w:rPr>
                <w:rFonts w:ascii="Futura Std Condensed Light" w:eastAsia="Calibri" w:hAnsi="Futura Std Condensed Light" w:cs="Calibri"/>
                <w:sz w:val="20"/>
                <w:szCs w:val="20"/>
              </w:rPr>
            </w:pPr>
            <w:r w:rsidRPr="00301B36">
              <w:rPr>
                <w:rFonts w:ascii="Futura Std Condensed Light" w:eastAsia="Calibri" w:hAnsi="Futura Std Condensed Light" w:cs="Calibri"/>
                <w:sz w:val="20"/>
                <w:szCs w:val="20"/>
              </w:rPr>
              <w:t>Listado de alumnos beneficiados</w:t>
            </w:r>
          </w:p>
        </w:tc>
      </w:tr>
      <w:tr w:rsidR="0021177B" w:rsidRPr="00301B36" w14:paraId="29FFD6BC" w14:textId="77777777" w:rsidTr="009E3B2F">
        <w:trPr>
          <w:trHeight w:val="484"/>
        </w:trPr>
        <w:tc>
          <w:tcPr>
            <w:tcW w:w="1806" w:type="pct"/>
            <w:gridSpan w:val="4"/>
          </w:tcPr>
          <w:p w14:paraId="00D5082E" w14:textId="77777777" w:rsidR="0021177B" w:rsidRPr="00301B36" w:rsidRDefault="0021177B" w:rsidP="009E3B2F">
            <w:pPr>
              <w:spacing w:after="0" w:line="240" w:lineRule="auto"/>
              <w:jc w:val="center"/>
              <w:rPr>
                <w:rFonts w:ascii="Futura Std Condensed Light" w:eastAsia="Calibri" w:hAnsi="Futura Std Condensed Light" w:cs="Calibri"/>
                <w:b/>
                <w:sz w:val="20"/>
                <w:szCs w:val="20"/>
              </w:rPr>
            </w:pPr>
            <w:r w:rsidRPr="00301B36">
              <w:rPr>
                <w:rFonts w:ascii="Futura Std Condensed Light" w:eastAsia="Calibri" w:hAnsi="Futura Std Condensed Light" w:cs="Calibri"/>
                <w:b/>
                <w:sz w:val="20"/>
                <w:szCs w:val="20"/>
              </w:rPr>
              <w:t>Línea base:</w:t>
            </w:r>
          </w:p>
        </w:tc>
        <w:tc>
          <w:tcPr>
            <w:tcW w:w="904" w:type="pct"/>
            <w:gridSpan w:val="3"/>
          </w:tcPr>
          <w:p w14:paraId="07A78B48" w14:textId="77777777" w:rsidR="0021177B" w:rsidRPr="00301B36" w:rsidRDefault="0021177B" w:rsidP="009E3B2F">
            <w:pPr>
              <w:spacing w:after="0" w:line="240" w:lineRule="auto"/>
              <w:jc w:val="center"/>
              <w:rPr>
                <w:rFonts w:ascii="Futura Std Condensed Light" w:eastAsia="Calibri" w:hAnsi="Futura Std Condensed Light" w:cs="Calibri"/>
                <w:sz w:val="20"/>
                <w:szCs w:val="20"/>
              </w:rPr>
            </w:pPr>
            <w:r w:rsidRPr="00301B36">
              <w:rPr>
                <w:rFonts w:ascii="Futura Std Condensed Light" w:eastAsia="Calibri" w:hAnsi="Futura Std Condensed Light" w:cs="Calibri"/>
                <w:sz w:val="20"/>
                <w:szCs w:val="20"/>
              </w:rPr>
              <w:t>279,882</w:t>
            </w:r>
          </w:p>
        </w:tc>
        <w:tc>
          <w:tcPr>
            <w:tcW w:w="542" w:type="pct"/>
            <w:gridSpan w:val="2"/>
          </w:tcPr>
          <w:p w14:paraId="4196EFF8" w14:textId="77777777" w:rsidR="0021177B" w:rsidRPr="00301B36" w:rsidRDefault="0021177B" w:rsidP="009E3B2F">
            <w:pPr>
              <w:spacing w:after="0" w:line="240" w:lineRule="auto"/>
              <w:jc w:val="center"/>
              <w:rPr>
                <w:rFonts w:ascii="Futura Std Condensed Light" w:eastAsia="Calibri" w:hAnsi="Futura Std Condensed Light" w:cs="Calibri"/>
                <w:b/>
                <w:sz w:val="20"/>
                <w:szCs w:val="20"/>
              </w:rPr>
            </w:pPr>
            <w:r w:rsidRPr="00301B36">
              <w:rPr>
                <w:rFonts w:ascii="Futura Std Condensed Light" w:eastAsia="Calibri" w:hAnsi="Futura Std Condensed Light" w:cs="Calibri"/>
                <w:b/>
                <w:sz w:val="20"/>
                <w:szCs w:val="20"/>
              </w:rPr>
              <w:t>Año de línea base:</w:t>
            </w:r>
          </w:p>
        </w:tc>
        <w:tc>
          <w:tcPr>
            <w:tcW w:w="1749" w:type="pct"/>
            <w:gridSpan w:val="2"/>
          </w:tcPr>
          <w:p w14:paraId="5680E5E1" w14:textId="77777777" w:rsidR="0021177B" w:rsidRPr="00301B36" w:rsidRDefault="0021177B" w:rsidP="009E3B2F">
            <w:pPr>
              <w:spacing w:after="0" w:line="240" w:lineRule="auto"/>
              <w:jc w:val="center"/>
              <w:rPr>
                <w:rFonts w:ascii="Futura Std Condensed Light" w:eastAsia="Calibri" w:hAnsi="Futura Std Condensed Light" w:cs="Calibri"/>
                <w:sz w:val="20"/>
                <w:szCs w:val="20"/>
              </w:rPr>
            </w:pPr>
            <w:r w:rsidRPr="00301B36">
              <w:rPr>
                <w:rFonts w:ascii="Futura Std Condensed Light" w:eastAsia="Calibri" w:hAnsi="Futura Std Condensed Light" w:cs="Calibri"/>
                <w:sz w:val="20"/>
                <w:szCs w:val="20"/>
              </w:rPr>
              <w:t>2017</w:t>
            </w:r>
          </w:p>
        </w:tc>
      </w:tr>
      <w:tr w:rsidR="0021177B" w:rsidRPr="00301B36" w14:paraId="3F5BEF09" w14:textId="77777777" w:rsidTr="009E3B2F">
        <w:trPr>
          <w:trHeight w:val="484"/>
        </w:trPr>
        <w:tc>
          <w:tcPr>
            <w:tcW w:w="1806" w:type="pct"/>
            <w:gridSpan w:val="4"/>
          </w:tcPr>
          <w:p w14:paraId="56DDB6A6" w14:textId="77777777" w:rsidR="0021177B" w:rsidRPr="00301B36" w:rsidRDefault="0021177B" w:rsidP="009E3B2F">
            <w:pPr>
              <w:spacing w:after="0" w:line="240" w:lineRule="auto"/>
              <w:jc w:val="center"/>
              <w:rPr>
                <w:rFonts w:ascii="Futura Std Condensed Light" w:eastAsia="Calibri" w:hAnsi="Futura Std Condensed Light" w:cs="Calibri"/>
                <w:b/>
                <w:sz w:val="20"/>
                <w:szCs w:val="20"/>
              </w:rPr>
            </w:pPr>
            <w:r w:rsidRPr="00301B36">
              <w:rPr>
                <w:rFonts w:ascii="Futura Std Condensed Light" w:eastAsia="Calibri" w:hAnsi="Futura Std Condensed Light" w:cs="Calibri"/>
                <w:b/>
                <w:sz w:val="20"/>
                <w:szCs w:val="20"/>
              </w:rPr>
              <w:t>Contribución Directa al Objetivo de la Agenda 2030</w:t>
            </w:r>
          </w:p>
        </w:tc>
        <w:tc>
          <w:tcPr>
            <w:tcW w:w="3194" w:type="pct"/>
            <w:gridSpan w:val="7"/>
          </w:tcPr>
          <w:p w14:paraId="12B4DBAB" w14:textId="77777777" w:rsidR="0021177B" w:rsidRPr="00301B36" w:rsidRDefault="0021177B" w:rsidP="009E3B2F">
            <w:pPr>
              <w:spacing w:after="0" w:line="240" w:lineRule="auto"/>
              <w:jc w:val="center"/>
              <w:rPr>
                <w:rFonts w:ascii="Futura Std Condensed Light" w:eastAsia="Calibri" w:hAnsi="Futura Std Condensed Light" w:cs="Calibri"/>
                <w:sz w:val="20"/>
                <w:szCs w:val="20"/>
              </w:rPr>
            </w:pPr>
            <w:r w:rsidRPr="00301B36">
              <w:rPr>
                <w:rFonts w:ascii="Futura Std Condensed Light" w:eastAsia="Calibri" w:hAnsi="Futura Std Condensed Light" w:cs="Calibri"/>
                <w:sz w:val="20"/>
                <w:szCs w:val="20"/>
              </w:rPr>
              <w:t>Garantizar una educación inclusiva, equitativa y de calidad y promover oportunidades de aprendizaje durante toda la vida para todos</w:t>
            </w:r>
          </w:p>
        </w:tc>
      </w:tr>
      <w:tr w:rsidR="0021177B" w:rsidRPr="00301B36" w14:paraId="6F97323F" w14:textId="77777777" w:rsidTr="009E3B2F">
        <w:trPr>
          <w:trHeight w:val="484"/>
        </w:trPr>
        <w:tc>
          <w:tcPr>
            <w:tcW w:w="1806" w:type="pct"/>
            <w:gridSpan w:val="4"/>
          </w:tcPr>
          <w:p w14:paraId="44EE03C9" w14:textId="77777777" w:rsidR="0021177B" w:rsidRPr="00301B36" w:rsidRDefault="0021177B" w:rsidP="009E3B2F">
            <w:pPr>
              <w:spacing w:after="0" w:line="240" w:lineRule="auto"/>
              <w:jc w:val="center"/>
              <w:rPr>
                <w:rFonts w:ascii="Futura Std Condensed Light" w:eastAsia="Calibri" w:hAnsi="Futura Std Condensed Light" w:cs="Calibri"/>
                <w:b/>
                <w:sz w:val="20"/>
                <w:szCs w:val="20"/>
              </w:rPr>
            </w:pPr>
            <w:r w:rsidRPr="00301B36">
              <w:rPr>
                <w:rFonts w:ascii="Futura Std Condensed Light" w:eastAsia="Calibri" w:hAnsi="Futura Std Condensed Light" w:cs="Calibri"/>
                <w:b/>
                <w:sz w:val="20"/>
                <w:szCs w:val="20"/>
              </w:rPr>
              <w:t>Contribución Directa  a la Meta de la Agenda 2030</w:t>
            </w:r>
          </w:p>
        </w:tc>
        <w:tc>
          <w:tcPr>
            <w:tcW w:w="3194" w:type="pct"/>
            <w:gridSpan w:val="7"/>
          </w:tcPr>
          <w:p w14:paraId="7A1415D9" w14:textId="77777777" w:rsidR="0021177B" w:rsidRPr="00301B36" w:rsidRDefault="0021177B" w:rsidP="009E3B2F">
            <w:pPr>
              <w:spacing w:after="0" w:line="240" w:lineRule="auto"/>
              <w:jc w:val="center"/>
              <w:rPr>
                <w:rFonts w:ascii="Futura Std Condensed Light" w:eastAsia="Calibri" w:hAnsi="Futura Std Condensed Light" w:cs="Calibri"/>
                <w:sz w:val="20"/>
                <w:szCs w:val="20"/>
              </w:rPr>
            </w:pPr>
            <w:r w:rsidRPr="00301B36">
              <w:rPr>
                <w:rFonts w:ascii="Futura Std Condensed Light" w:eastAsia="Calibri" w:hAnsi="Futura Std Condensed Light" w:cs="Calibri"/>
                <w:sz w:val="20"/>
                <w:szCs w:val="20"/>
              </w:rPr>
              <w:t>De aquí a 2030, aumentar considerablemente a nivel mundial el número de becas disponibles para los países en desarrollo a fin de que sus estudiantes puedan matricularse en programas de enseñanza superior, incluidos programas de formación profesional y programas técnicos, científicos, de ingeniería y de tecnología de la información y las comunicaciones.</w:t>
            </w:r>
          </w:p>
        </w:tc>
      </w:tr>
      <w:tr w:rsidR="0021177B" w:rsidRPr="00301B36" w14:paraId="5569C67A" w14:textId="77777777" w:rsidTr="009E3B2F">
        <w:trPr>
          <w:trHeight w:val="484"/>
        </w:trPr>
        <w:tc>
          <w:tcPr>
            <w:tcW w:w="1806" w:type="pct"/>
            <w:gridSpan w:val="4"/>
          </w:tcPr>
          <w:p w14:paraId="166F8404" w14:textId="77777777" w:rsidR="0021177B" w:rsidRPr="00301B36" w:rsidRDefault="0021177B" w:rsidP="009E3B2F">
            <w:pPr>
              <w:spacing w:after="0" w:line="240" w:lineRule="auto"/>
              <w:jc w:val="center"/>
              <w:rPr>
                <w:rFonts w:ascii="Futura Std Condensed Light" w:eastAsia="Calibri" w:hAnsi="Futura Std Condensed Light" w:cs="Calibri"/>
                <w:b/>
                <w:sz w:val="20"/>
                <w:szCs w:val="20"/>
              </w:rPr>
            </w:pPr>
            <w:r w:rsidRPr="00301B36">
              <w:rPr>
                <w:rFonts w:ascii="Futura Std Condensed Light" w:eastAsia="Calibri" w:hAnsi="Futura Std Condensed Light" w:cs="Calibri"/>
                <w:b/>
                <w:sz w:val="20"/>
                <w:szCs w:val="20"/>
              </w:rPr>
              <w:t>Tema / Proyecto Prioritario de Quintana Roo</w:t>
            </w:r>
          </w:p>
        </w:tc>
        <w:tc>
          <w:tcPr>
            <w:tcW w:w="3194" w:type="pct"/>
            <w:gridSpan w:val="7"/>
          </w:tcPr>
          <w:p w14:paraId="4F283AEF" w14:textId="77777777" w:rsidR="0021177B" w:rsidRPr="00301B36" w:rsidRDefault="0021177B" w:rsidP="009E3B2F">
            <w:pPr>
              <w:spacing w:after="0" w:line="240" w:lineRule="auto"/>
              <w:jc w:val="center"/>
              <w:rPr>
                <w:rFonts w:ascii="Futura Std Condensed Light" w:eastAsia="Calibri" w:hAnsi="Futura Std Condensed Light" w:cs="Calibri"/>
                <w:sz w:val="20"/>
                <w:szCs w:val="20"/>
              </w:rPr>
            </w:pPr>
            <w:r w:rsidRPr="00301B36">
              <w:rPr>
                <w:rFonts w:ascii="Futura Std Condensed Light" w:eastAsia="Calibri" w:hAnsi="Futura Std Condensed Light" w:cs="Calibri"/>
                <w:sz w:val="20"/>
                <w:szCs w:val="20"/>
              </w:rPr>
              <w:t>24.1 Uniformes</w:t>
            </w:r>
          </w:p>
        </w:tc>
      </w:tr>
      <w:tr w:rsidR="0021177B" w:rsidRPr="00301B36" w14:paraId="44CDC57C" w14:textId="77777777" w:rsidTr="009E3B2F">
        <w:trPr>
          <w:trHeight w:val="484"/>
        </w:trPr>
        <w:tc>
          <w:tcPr>
            <w:tcW w:w="1806" w:type="pct"/>
            <w:gridSpan w:val="4"/>
          </w:tcPr>
          <w:p w14:paraId="55F0267D" w14:textId="77777777" w:rsidR="0021177B" w:rsidRPr="00301B36" w:rsidRDefault="0021177B" w:rsidP="009E3B2F">
            <w:pPr>
              <w:spacing w:after="0" w:line="240" w:lineRule="auto"/>
              <w:jc w:val="center"/>
              <w:rPr>
                <w:rFonts w:ascii="Futura Std Condensed Light" w:eastAsia="Calibri" w:hAnsi="Futura Std Condensed Light" w:cs="Calibri"/>
                <w:b/>
                <w:sz w:val="20"/>
                <w:szCs w:val="20"/>
              </w:rPr>
            </w:pPr>
            <w:r w:rsidRPr="00301B36">
              <w:rPr>
                <w:rFonts w:ascii="Futura Std Condensed Light" w:eastAsia="Calibri" w:hAnsi="Futura Std Condensed Light" w:cs="Calibri"/>
                <w:b/>
                <w:sz w:val="20"/>
                <w:szCs w:val="20"/>
              </w:rPr>
              <w:t>Subtema Prioritario de Quintana Roo</w:t>
            </w:r>
          </w:p>
        </w:tc>
        <w:tc>
          <w:tcPr>
            <w:tcW w:w="3194" w:type="pct"/>
            <w:gridSpan w:val="7"/>
          </w:tcPr>
          <w:p w14:paraId="79016006" w14:textId="77777777" w:rsidR="0021177B" w:rsidRPr="00301B36" w:rsidRDefault="0021177B" w:rsidP="009E3B2F">
            <w:pPr>
              <w:spacing w:after="0" w:line="240" w:lineRule="auto"/>
              <w:jc w:val="center"/>
              <w:rPr>
                <w:rFonts w:ascii="Futura Std Condensed Light" w:eastAsia="Calibri" w:hAnsi="Futura Std Condensed Light" w:cs="Calibri"/>
                <w:sz w:val="20"/>
                <w:szCs w:val="20"/>
              </w:rPr>
            </w:pPr>
            <w:r w:rsidRPr="00301B36">
              <w:rPr>
                <w:rFonts w:ascii="Futura Std Condensed Light" w:eastAsia="Calibri" w:hAnsi="Futura Std Condensed Light" w:cs="Calibri"/>
                <w:sz w:val="20"/>
                <w:szCs w:val="20"/>
              </w:rPr>
              <w:t>N/A</w:t>
            </w:r>
          </w:p>
        </w:tc>
      </w:tr>
      <w:tr w:rsidR="0021177B" w:rsidRPr="00301B36" w14:paraId="08AF9301" w14:textId="77777777" w:rsidTr="009E3B2F">
        <w:trPr>
          <w:trHeight w:val="484"/>
        </w:trPr>
        <w:tc>
          <w:tcPr>
            <w:tcW w:w="5000" w:type="pct"/>
            <w:gridSpan w:val="11"/>
          </w:tcPr>
          <w:p w14:paraId="251DF0E7" w14:textId="77777777" w:rsidR="0021177B" w:rsidRPr="00301B36" w:rsidRDefault="0021177B" w:rsidP="009E3B2F">
            <w:pPr>
              <w:spacing w:after="0" w:line="240" w:lineRule="auto"/>
              <w:jc w:val="center"/>
              <w:rPr>
                <w:rFonts w:ascii="Futura Std Condensed Light" w:eastAsia="Calibri" w:hAnsi="Futura Std Condensed Light" w:cs="Calibri"/>
                <w:b/>
                <w:sz w:val="20"/>
                <w:szCs w:val="20"/>
              </w:rPr>
            </w:pPr>
            <w:r w:rsidRPr="00301B36">
              <w:rPr>
                <w:rFonts w:ascii="Futura Std Condensed Light" w:eastAsia="Calibri" w:hAnsi="Futura Std Condensed Light" w:cs="Calibri"/>
                <w:b/>
                <w:sz w:val="20"/>
                <w:szCs w:val="20"/>
              </w:rPr>
              <w:t>Meta Total:</w:t>
            </w:r>
          </w:p>
        </w:tc>
      </w:tr>
      <w:tr w:rsidR="0021177B" w:rsidRPr="00301B36" w14:paraId="037402D4" w14:textId="77777777" w:rsidTr="009E3B2F">
        <w:trPr>
          <w:trHeight w:val="484"/>
        </w:trPr>
        <w:tc>
          <w:tcPr>
            <w:tcW w:w="781" w:type="pct"/>
          </w:tcPr>
          <w:p w14:paraId="52A752F9" w14:textId="77777777" w:rsidR="0021177B" w:rsidRPr="00301B36" w:rsidRDefault="0021177B" w:rsidP="009E3B2F">
            <w:pPr>
              <w:spacing w:after="0" w:line="240" w:lineRule="auto"/>
              <w:jc w:val="center"/>
              <w:rPr>
                <w:rFonts w:ascii="Futura Std Condensed Light" w:eastAsia="Calibri" w:hAnsi="Futura Std Condensed Light" w:cs="Calibri"/>
                <w:b/>
                <w:sz w:val="20"/>
                <w:szCs w:val="20"/>
              </w:rPr>
            </w:pPr>
            <w:r w:rsidRPr="00301B36">
              <w:rPr>
                <w:rFonts w:ascii="Futura Std Condensed Light" w:eastAsia="Calibri" w:hAnsi="Futura Std Condensed Light" w:cs="Calibri"/>
                <w:b/>
                <w:sz w:val="20"/>
                <w:szCs w:val="20"/>
              </w:rPr>
              <w:t>2017</w:t>
            </w:r>
          </w:p>
        </w:tc>
        <w:tc>
          <w:tcPr>
            <w:tcW w:w="783" w:type="pct"/>
            <w:gridSpan w:val="2"/>
          </w:tcPr>
          <w:p w14:paraId="7826EA7A" w14:textId="77777777" w:rsidR="0021177B" w:rsidRPr="00301B36" w:rsidRDefault="0021177B" w:rsidP="009E3B2F">
            <w:pPr>
              <w:spacing w:after="0" w:line="240" w:lineRule="auto"/>
              <w:jc w:val="center"/>
              <w:rPr>
                <w:rFonts w:ascii="Futura Std Condensed Light" w:eastAsia="Calibri" w:hAnsi="Futura Std Condensed Light" w:cs="Calibri"/>
                <w:b/>
                <w:sz w:val="20"/>
                <w:szCs w:val="20"/>
              </w:rPr>
            </w:pPr>
            <w:r w:rsidRPr="00301B36">
              <w:rPr>
                <w:rFonts w:ascii="Futura Std Condensed Light" w:eastAsia="Calibri" w:hAnsi="Futura Std Condensed Light" w:cs="Calibri"/>
                <w:b/>
                <w:sz w:val="20"/>
                <w:szCs w:val="20"/>
              </w:rPr>
              <w:t>2018</w:t>
            </w:r>
          </w:p>
        </w:tc>
        <w:tc>
          <w:tcPr>
            <w:tcW w:w="904" w:type="pct"/>
            <w:gridSpan w:val="3"/>
          </w:tcPr>
          <w:p w14:paraId="07FE4A3A" w14:textId="77777777" w:rsidR="0021177B" w:rsidRPr="00301B36" w:rsidRDefault="0021177B" w:rsidP="009E3B2F">
            <w:pPr>
              <w:spacing w:after="0" w:line="240" w:lineRule="auto"/>
              <w:jc w:val="center"/>
              <w:rPr>
                <w:rFonts w:ascii="Futura Std Condensed Light" w:eastAsia="Calibri" w:hAnsi="Futura Std Condensed Light" w:cs="Calibri"/>
                <w:b/>
                <w:sz w:val="20"/>
                <w:szCs w:val="20"/>
              </w:rPr>
            </w:pPr>
            <w:r w:rsidRPr="00301B36">
              <w:rPr>
                <w:rFonts w:ascii="Futura Std Condensed Light" w:eastAsia="Calibri" w:hAnsi="Futura Std Condensed Light" w:cs="Calibri"/>
                <w:b/>
                <w:sz w:val="20"/>
                <w:szCs w:val="20"/>
              </w:rPr>
              <w:t>2019</w:t>
            </w:r>
          </w:p>
        </w:tc>
        <w:tc>
          <w:tcPr>
            <w:tcW w:w="723" w:type="pct"/>
            <w:gridSpan w:val="2"/>
          </w:tcPr>
          <w:p w14:paraId="417248F2" w14:textId="77777777" w:rsidR="0021177B" w:rsidRPr="00301B36" w:rsidRDefault="0021177B" w:rsidP="009E3B2F">
            <w:pPr>
              <w:spacing w:after="0" w:line="240" w:lineRule="auto"/>
              <w:jc w:val="center"/>
              <w:rPr>
                <w:rFonts w:ascii="Futura Std Condensed Light" w:eastAsia="Calibri" w:hAnsi="Futura Std Condensed Light" w:cs="Calibri"/>
                <w:b/>
                <w:sz w:val="20"/>
                <w:szCs w:val="20"/>
              </w:rPr>
            </w:pPr>
            <w:r w:rsidRPr="00301B36">
              <w:rPr>
                <w:rFonts w:ascii="Futura Std Condensed Light" w:eastAsia="Calibri" w:hAnsi="Futura Std Condensed Light" w:cs="Calibri"/>
                <w:b/>
                <w:sz w:val="20"/>
                <w:szCs w:val="20"/>
              </w:rPr>
              <w:t>2020</w:t>
            </w:r>
          </w:p>
        </w:tc>
        <w:tc>
          <w:tcPr>
            <w:tcW w:w="963" w:type="pct"/>
            <w:gridSpan w:val="2"/>
          </w:tcPr>
          <w:p w14:paraId="58653664" w14:textId="77777777" w:rsidR="0021177B" w:rsidRPr="00301B36" w:rsidRDefault="0021177B" w:rsidP="009E3B2F">
            <w:pPr>
              <w:spacing w:after="0" w:line="240" w:lineRule="auto"/>
              <w:jc w:val="center"/>
              <w:rPr>
                <w:rFonts w:ascii="Futura Std Condensed Light" w:eastAsia="Calibri" w:hAnsi="Futura Std Condensed Light" w:cs="Calibri"/>
                <w:b/>
                <w:sz w:val="20"/>
                <w:szCs w:val="20"/>
              </w:rPr>
            </w:pPr>
            <w:r w:rsidRPr="00301B36">
              <w:rPr>
                <w:rFonts w:ascii="Futura Std Condensed Light" w:eastAsia="Calibri" w:hAnsi="Futura Std Condensed Light" w:cs="Calibri"/>
                <w:b/>
                <w:sz w:val="20"/>
                <w:szCs w:val="20"/>
              </w:rPr>
              <w:t>2021</w:t>
            </w:r>
          </w:p>
        </w:tc>
        <w:tc>
          <w:tcPr>
            <w:tcW w:w="846" w:type="pct"/>
          </w:tcPr>
          <w:p w14:paraId="3DE4894C" w14:textId="77777777" w:rsidR="0021177B" w:rsidRPr="00301B36" w:rsidRDefault="0021177B" w:rsidP="009E3B2F">
            <w:pPr>
              <w:spacing w:after="0" w:line="240" w:lineRule="auto"/>
              <w:jc w:val="center"/>
              <w:rPr>
                <w:rFonts w:ascii="Futura Std Condensed Light" w:eastAsia="Calibri" w:hAnsi="Futura Std Condensed Light" w:cs="Calibri"/>
                <w:b/>
                <w:sz w:val="20"/>
                <w:szCs w:val="20"/>
              </w:rPr>
            </w:pPr>
            <w:r w:rsidRPr="00301B36">
              <w:rPr>
                <w:rFonts w:ascii="Futura Std Condensed Light" w:eastAsia="Calibri" w:hAnsi="Futura Std Condensed Light" w:cs="Calibri"/>
                <w:b/>
                <w:sz w:val="20"/>
                <w:szCs w:val="20"/>
              </w:rPr>
              <w:t>2022</w:t>
            </w:r>
          </w:p>
        </w:tc>
      </w:tr>
      <w:tr w:rsidR="0021177B" w:rsidRPr="00301B36" w14:paraId="11C306F5" w14:textId="77777777" w:rsidTr="009E3B2F">
        <w:trPr>
          <w:trHeight w:val="484"/>
        </w:trPr>
        <w:tc>
          <w:tcPr>
            <w:tcW w:w="781" w:type="pct"/>
          </w:tcPr>
          <w:p w14:paraId="149D26CE" w14:textId="77777777" w:rsidR="0021177B" w:rsidRPr="00301B36" w:rsidRDefault="0021177B" w:rsidP="009E3B2F">
            <w:pPr>
              <w:spacing w:after="0" w:line="240" w:lineRule="auto"/>
              <w:jc w:val="center"/>
              <w:rPr>
                <w:rFonts w:ascii="Futura Std Condensed Light" w:eastAsia="Calibri" w:hAnsi="Futura Std Condensed Light" w:cs="Calibri"/>
                <w:sz w:val="20"/>
                <w:szCs w:val="20"/>
              </w:rPr>
            </w:pPr>
            <w:r w:rsidRPr="00301B36">
              <w:rPr>
                <w:rFonts w:ascii="Futura Std Condensed Light" w:eastAsia="Calibri" w:hAnsi="Futura Std Condensed Light" w:cs="Calibri"/>
                <w:sz w:val="20"/>
                <w:szCs w:val="20"/>
              </w:rPr>
              <w:t>279,882</w:t>
            </w:r>
          </w:p>
        </w:tc>
        <w:tc>
          <w:tcPr>
            <w:tcW w:w="783" w:type="pct"/>
            <w:gridSpan w:val="2"/>
          </w:tcPr>
          <w:p w14:paraId="6BE6719E" w14:textId="77777777" w:rsidR="0021177B" w:rsidRPr="00301B36" w:rsidRDefault="0021177B" w:rsidP="009E3B2F">
            <w:pPr>
              <w:spacing w:after="0" w:line="240" w:lineRule="auto"/>
              <w:jc w:val="center"/>
              <w:rPr>
                <w:rFonts w:ascii="Futura Std Condensed Light" w:eastAsia="Calibri" w:hAnsi="Futura Std Condensed Light" w:cs="Calibri"/>
                <w:sz w:val="20"/>
                <w:szCs w:val="20"/>
              </w:rPr>
            </w:pPr>
            <w:r w:rsidRPr="00301B36">
              <w:rPr>
                <w:rFonts w:ascii="Futura Std Condensed Light" w:eastAsia="Calibri" w:hAnsi="Futura Std Condensed Light" w:cs="Calibri"/>
                <w:sz w:val="20"/>
                <w:szCs w:val="20"/>
              </w:rPr>
              <w:t>222,602</w:t>
            </w:r>
          </w:p>
        </w:tc>
        <w:tc>
          <w:tcPr>
            <w:tcW w:w="904" w:type="pct"/>
            <w:gridSpan w:val="3"/>
          </w:tcPr>
          <w:p w14:paraId="02A1B0DD" w14:textId="77777777" w:rsidR="0021177B" w:rsidRPr="00301B36" w:rsidRDefault="0021177B" w:rsidP="009E3B2F">
            <w:pPr>
              <w:spacing w:after="0" w:line="240" w:lineRule="auto"/>
              <w:jc w:val="center"/>
              <w:rPr>
                <w:rFonts w:ascii="Futura Std Condensed Light" w:eastAsia="Calibri" w:hAnsi="Futura Std Condensed Light" w:cs="Calibri"/>
                <w:sz w:val="20"/>
                <w:szCs w:val="20"/>
              </w:rPr>
            </w:pPr>
            <w:r w:rsidRPr="00301B36">
              <w:rPr>
                <w:rFonts w:ascii="Futura Std Condensed Light" w:eastAsia="Calibri" w:hAnsi="Futura Std Condensed Light" w:cs="Calibri"/>
                <w:sz w:val="20"/>
                <w:szCs w:val="20"/>
              </w:rPr>
              <w:t>236,635</w:t>
            </w:r>
          </w:p>
        </w:tc>
        <w:tc>
          <w:tcPr>
            <w:tcW w:w="723" w:type="pct"/>
            <w:gridSpan w:val="2"/>
          </w:tcPr>
          <w:p w14:paraId="100AC882" w14:textId="41895354" w:rsidR="0021177B" w:rsidRPr="00301B36" w:rsidRDefault="00275965" w:rsidP="009E3B2F">
            <w:pPr>
              <w:spacing w:after="0" w:line="240" w:lineRule="auto"/>
              <w:jc w:val="center"/>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245,822</w:t>
            </w:r>
          </w:p>
        </w:tc>
        <w:tc>
          <w:tcPr>
            <w:tcW w:w="963" w:type="pct"/>
            <w:gridSpan w:val="2"/>
          </w:tcPr>
          <w:p w14:paraId="08BADBE1" w14:textId="4C2CC80C" w:rsidR="0021177B" w:rsidRPr="00301B36" w:rsidRDefault="00275965" w:rsidP="009E3B2F">
            <w:pPr>
              <w:spacing w:after="0" w:line="240" w:lineRule="auto"/>
              <w:jc w:val="center"/>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254,972</w:t>
            </w:r>
          </w:p>
        </w:tc>
        <w:tc>
          <w:tcPr>
            <w:tcW w:w="846" w:type="pct"/>
          </w:tcPr>
          <w:p w14:paraId="0391F725" w14:textId="325E3E39" w:rsidR="0021177B" w:rsidRPr="00301B36" w:rsidRDefault="00275965" w:rsidP="009E3B2F">
            <w:pPr>
              <w:spacing w:after="0" w:line="240" w:lineRule="auto"/>
              <w:jc w:val="center"/>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264,122</w:t>
            </w:r>
          </w:p>
        </w:tc>
      </w:tr>
    </w:tbl>
    <w:p w14:paraId="1411E010" w14:textId="16E85453" w:rsidR="007F55A3" w:rsidRDefault="007F55A3" w:rsidP="001A3495">
      <w:pPr>
        <w:spacing w:after="0" w:line="240" w:lineRule="auto"/>
        <w:rPr>
          <w:rFonts w:ascii="Futura Std Condensed Light" w:eastAsia="Calibri" w:hAnsi="Futura Std Condensed Light" w:cs="Calibri"/>
          <w:sz w:val="20"/>
          <w:szCs w:val="20"/>
        </w:rPr>
      </w:pPr>
    </w:p>
    <w:p w14:paraId="1A7A3CCE" w14:textId="1FBE33BB" w:rsidR="007F55A3" w:rsidRDefault="007F55A3" w:rsidP="0021177B">
      <w:pPr>
        <w:spacing w:after="0" w:line="240" w:lineRule="auto"/>
        <w:jc w:val="center"/>
        <w:rPr>
          <w:rFonts w:ascii="Futura Std Condensed Light" w:eastAsia="Calibri" w:hAnsi="Futura Std Condensed Light" w:cs="Calibri"/>
          <w:sz w:val="20"/>
          <w:szCs w:val="20"/>
        </w:rPr>
      </w:pPr>
    </w:p>
    <w:p w14:paraId="5ED33E29" w14:textId="4992C041" w:rsidR="00167212" w:rsidRDefault="00167212" w:rsidP="0021177B">
      <w:pPr>
        <w:spacing w:after="0" w:line="240" w:lineRule="auto"/>
        <w:jc w:val="center"/>
        <w:rPr>
          <w:rFonts w:ascii="Futura Std Condensed Light" w:eastAsia="Calibri" w:hAnsi="Futura Std Condensed Light" w:cs="Calibri"/>
          <w:sz w:val="20"/>
          <w:szCs w:val="20"/>
        </w:rPr>
      </w:pPr>
    </w:p>
    <w:p w14:paraId="3DF8D4E7" w14:textId="73C617D9" w:rsidR="00167212" w:rsidRPr="00301B36" w:rsidRDefault="00167212" w:rsidP="0021177B">
      <w:pPr>
        <w:spacing w:after="0" w:line="240" w:lineRule="auto"/>
        <w:jc w:val="center"/>
        <w:rPr>
          <w:rFonts w:ascii="Futura Std Condensed Light" w:eastAsia="Calibri" w:hAnsi="Futura Std Condensed Light" w:cs="Calibri"/>
          <w:sz w:val="20"/>
          <w:szCs w:val="20"/>
        </w:rPr>
      </w:pPr>
    </w:p>
    <w:p w14:paraId="509BC7B6" w14:textId="77777777" w:rsidR="00A26217" w:rsidRDefault="00A26217">
      <w:pPr>
        <w:spacing w:after="0" w:line="240" w:lineRule="auto"/>
        <w:jc w:val="left"/>
        <w:rPr>
          <w:rFonts w:eastAsia="Arial" w:cs="Times New Roman"/>
          <w:b/>
          <w:color w:val="4BACC6" w:themeColor="accent5"/>
        </w:rPr>
      </w:pPr>
      <w:r>
        <w:rPr>
          <w:rFonts w:eastAsia="Arial" w:cs="Times New Roman"/>
          <w:b/>
          <w:color w:val="4BACC6" w:themeColor="accent5"/>
        </w:rPr>
        <w:br w:type="page"/>
      </w:r>
    </w:p>
    <w:p w14:paraId="3B9E3E5D" w14:textId="7A740975" w:rsidR="0021177B" w:rsidRDefault="00FA0940" w:rsidP="0021177B">
      <w:pPr>
        <w:jc w:val="center"/>
      </w:pPr>
      <w:r>
        <w:rPr>
          <w:rFonts w:eastAsia="Arial" w:cs="Times New Roman"/>
          <w:b/>
          <w:color w:val="4BACC6" w:themeColor="accent5"/>
        </w:rPr>
        <w:lastRenderedPageBreak/>
        <w:t>Cuadro 29</w:t>
      </w:r>
      <w:r w:rsidR="0021177B">
        <w:rPr>
          <w:rFonts w:eastAsia="Arial" w:cs="Times New Roman"/>
          <w:b/>
          <w:color w:val="4BACC6" w:themeColor="accent5"/>
        </w:rPr>
        <w:t>. Entregable y meta de la línea de acción 4 del PED</w:t>
      </w:r>
    </w:p>
    <w:tbl>
      <w:tblPr>
        <w:tblStyle w:val="Tablaconcuadrcula"/>
        <w:tblW w:w="5000" w:type="pct"/>
        <w:tblLook w:val="04A0" w:firstRow="1" w:lastRow="0" w:firstColumn="1" w:lastColumn="0" w:noHBand="0" w:noVBand="1"/>
      </w:tblPr>
      <w:tblGrid>
        <w:gridCol w:w="1489"/>
        <w:gridCol w:w="813"/>
        <w:gridCol w:w="679"/>
        <w:gridCol w:w="462"/>
        <w:gridCol w:w="687"/>
        <w:gridCol w:w="576"/>
        <w:gridCol w:w="462"/>
        <w:gridCol w:w="917"/>
        <w:gridCol w:w="1205"/>
        <w:gridCol w:w="7"/>
        <w:gridCol w:w="626"/>
        <w:gridCol w:w="1614"/>
      </w:tblGrid>
      <w:tr w:rsidR="0086391F" w:rsidRPr="008835BC" w14:paraId="4013D995" w14:textId="77777777" w:rsidTr="008835BC">
        <w:trPr>
          <w:trHeight w:val="182"/>
        </w:trPr>
        <w:tc>
          <w:tcPr>
            <w:tcW w:w="1806" w:type="pct"/>
            <w:gridSpan w:val="4"/>
            <w:shd w:val="clear" w:color="auto" w:fill="A6A6A6" w:themeFill="background1" w:themeFillShade="A6"/>
          </w:tcPr>
          <w:p w14:paraId="40CB3879" w14:textId="77777777" w:rsidR="0021177B" w:rsidRPr="008835BC" w:rsidRDefault="0021177B" w:rsidP="009E3B2F">
            <w:pPr>
              <w:spacing w:after="0" w:line="240" w:lineRule="auto"/>
              <w:jc w:val="center"/>
              <w:rPr>
                <w:rFonts w:ascii="Futura Std Condensed Light" w:eastAsia="Calibri" w:hAnsi="Futura Std Condensed Light" w:cs="Calibri"/>
                <w:color w:val="auto"/>
                <w:sz w:val="20"/>
                <w:szCs w:val="20"/>
              </w:rPr>
            </w:pPr>
            <w:r w:rsidRPr="008835BC">
              <w:rPr>
                <w:rFonts w:ascii="Futura Std Condensed Light" w:eastAsia="Calibri" w:hAnsi="Futura Std Condensed Light" w:cs="Calibri"/>
                <w:color w:val="auto"/>
                <w:sz w:val="20"/>
                <w:szCs w:val="20"/>
              </w:rPr>
              <w:t>Programa PED</w:t>
            </w:r>
          </w:p>
        </w:tc>
        <w:tc>
          <w:tcPr>
            <w:tcW w:w="3194" w:type="pct"/>
            <w:gridSpan w:val="8"/>
            <w:shd w:val="clear" w:color="auto" w:fill="A6A6A6" w:themeFill="background1" w:themeFillShade="A6"/>
          </w:tcPr>
          <w:p w14:paraId="4F425DC3" w14:textId="77777777" w:rsidR="0021177B" w:rsidRPr="008835BC" w:rsidRDefault="0021177B" w:rsidP="009E3B2F">
            <w:pPr>
              <w:spacing w:after="0" w:line="240" w:lineRule="auto"/>
              <w:jc w:val="center"/>
              <w:rPr>
                <w:rFonts w:ascii="Futura Std Condensed Light" w:eastAsia="Calibri" w:hAnsi="Futura Std Condensed Light" w:cs="Calibri"/>
                <w:color w:val="auto"/>
                <w:sz w:val="20"/>
                <w:szCs w:val="20"/>
              </w:rPr>
            </w:pPr>
            <w:r w:rsidRPr="008835BC">
              <w:rPr>
                <w:rFonts w:ascii="Futura Std Condensed Light" w:eastAsia="Calibri" w:hAnsi="Futura Std Condensed Light" w:cs="Calibri"/>
                <w:color w:val="auto"/>
                <w:sz w:val="20"/>
                <w:szCs w:val="20"/>
              </w:rPr>
              <w:t>Programa Sectorial Educación Pública de Calidad</w:t>
            </w:r>
          </w:p>
        </w:tc>
      </w:tr>
      <w:tr w:rsidR="0021177B" w:rsidRPr="003A4D4C" w14:paraId="7641B051" w14:textId="77777777" w:rsidTr="009E3B2F">
        <w:trPr>
          <w:trHeight w:val="469"/>
        </w:trPr>
        <w:tc>
          <w:tcPr>
            <w:tcW w:w="1806" w:type="pct"/>
            <w:gridSpan w:val="4"/>
          </w:tcPr>
          <w:p w14:paraId="548EF781" w14:textId="77777777" w:rsidR="0021177B" w:rsidRPr="003A4D4C" w:rsidRDefault="0021177B" w:rsidP="009E3B2F">
            <w:pPr>
              <w:spacing w:after="0" w:line="240" w:lineRule="auto"/>
              <w:jc w:val="center"/>
              <w:rPr>
                <w:rFonts w:ascii="Futura Std Condensed Light" w:eastAsia="Calibri" w:hAnsi="Futura Std Condensed Light" w:cs="Calibri"/>
                <w:b/>
                <w:sz w:val="20"/>
                <w:szCs w:val="20"/>
              </w:rPr>
            </w:pPr>
            <w:r w:rsidRPr="003A4D4C">
              <w:rPr>
                <w:rFonts w:ascii="Futura Std Condensed Light" w:eastAsia="Calibri" w:hAnsi="Futura Std Condensed Light" w:cs="Calibri"/>
                <w:b/>
                <w:sz w:val="20"/>
                <w:szCs w:val="20"/>
              </w:rPr>
              <w:t>Línea de acción:</w:t>
            </w:r>
          </w:p>
        </w:tc>
        <w:tc>
          <w:tcPr>
            <w:tcW w:w="3194" w:type="pct"/>
            <w:gridSpan w:val="8"/>
          </w:tcPr>
          <w:p w14:paraId="0BB9E98E" w14:textId="77777777" w:rsidR="0021177B" w:rsidRPr="003A4D4C" w:rsidRDefault="0021177B" w:rsidP="009E3B2F">
            <w:pPr>
              <w:spacing w:after="0" w:line="240" w:lineRule="auto"/>
              <w:jc w:val="center"/>
              <w:rPr>
                <w:rFonts w:ascii="Futura Std Condensed Light" w:eastAsia="Calibri" w:hAnsi="Futura Std Condensed Light" w:cs="Calibri"/>
                <w:sz w:val="20"/>
                <w:szCs w:val="20"/>
              </w:rPr>
            </w:pPr>
            <w:r w:rsidRPr="003A4D4C">
              <w:rPr>
                <w:rFonts w:ascii="Futura Std Condensed Light" w:eastAsia="Calibri" w:hAnsi="Futura Std Condensed Light" w:cs="Calibri"/>
                <w:sz w:val="20"/>
                <w:szCs w:val="20"/>
              </w:rPr>
              <w:t>4.  Brindar seguro escolar en caso de accidentes a los alumnos de educación básica.</w:t>
            </w:r>
          </w:p>
        </w:tc>
      </w:tr>
      <w:tr w:rsidR="0021177B" w:rsidRPr="003A4D4C" w14:paraId="6364B7C8" w14:textId="77777777" w:rsidTr="009E3B2F">
        <w:trPr>
          <w:trHeight w:val="484"/>
        </w:trPr>
        <w:tc>
          <w:tcPr>
            <w:tcW w:w="1806" w:type="pct"/>
            <w:gridSpan w:val="4"/>
          </w:tcPr>
          <w:p w14:paraId="51161B6B" w14:textId="77777777" w:rsidR="0021177B" w:rsidRPr="003A4D4C" w:rsidRDefault="0021177B" w:rsidP="009E3B2F">
            <w:pPr>
              <w:spacing w:after="0" w:line="240" w:lineRule="auto"/>
              <w:jc w:val="center"/>
              <w:rPr>
                <w:rFonts w:ascii="Futura Std Condensed Light" w:eastAsia="Calibri" w:hAnsi="Futura Std Condensed Light" w:cs="Calibri"/>
                <w:b/>
                <w:sz w:val="20"/>
                <w:szCs w:val="20"/>
              </w:rPr>
            </w:pPr>
            <w:r w:rsidRPr="003A4D4C">
              <w:rPr>
                <w:rFonts w:ascii="Futura Std Condensed Light" w:eastAsia="Calibri" w:hAnsi="Futura Std Condensed Light" w:cs="Calibri"/>
                <w:b/>
                <w:sz w:val="20"/>
                <w:szCs w:val="20"/>
              </w:rPr>
              <w:t>Plan Estratégico Objetivo Especifico</w:t>
            </w:r>
          </w:p>
        </w:tc>
        <w:tc>
          <w:tcPr>
            <w:tcW w:w="3194" w:type="pct"/>
            <w:gridSpan w:val="8"/>
          </w:tcPr>
          <w:p w14:paraId="5826CBC9" w14:textId="77777777" w:rsidR="0021177B" w:rsidRPr="003A4D4C" w:rsidRDefault="0021177B" w:rsidP="009E3B2F">
            <w:pPr>
              <w:spacing w:after="0" w:line="240" w:lineRule="auto"/>
              <w:jc w:val="center"/>
              <w:rPr>
                <w:rFonts w:ascii="Futura Std Condensed Light" w:eastAsia="Calibri" w:hAnsi="Futura Std Condensed Light" w:cs="Calibri"/>
                <w:sz w:val="20"/>
                <w:szCs w:val="20"/>
              </w:rPr>
            </w:pPr>
            <w:r w:rsidRPr="003A4D4C">
              <w:rPr>
                <w:rFonts w:ascii="Futura Std Condensed Light" w:eastAsia="Calibri" w:hAnsi="Futura Std Condensed Light" w:cs="Calibri"/>
                <w:sz w:val="20"/>
                <w:szCs w:val="20"/>
              </w:rPr>
              <w:t>Disminuir la desigualdad en sus diversas formas </w:t>
            </w:r>
          </w:p>
        </w:tc>
      </w:tr>
      <w:tr w:rsidR="0021177B" w:rsidRPr="003A4D4C" w14:paraId="63C178C5" w14:textId="77777777" w:rsidTr="009E3B2F">
        <w:trPr>
          <w:trHeight w:val="484"/>
        </w:trPr>
        <w:tc>
          <w:tcPr>
            <w:tcW w:w="1208" w:type="pct"/>
            <w:gridSpan w:val="2"/>
          </w:tcPr>
          <w:p w14:paraId="29EB64BA" w14:textId="77777777" w:rsidR="0021177B" w:rsidRPr="003A4D4C" w:rsidRDefault="0021177B" w:rsidP="009E3B2F">
            <w:pPr>
              <w:spacing w:after="0" w:line="240" w:lineRule="auto"/>
              <w:jc w:val="center"/>
              <w:rPr>
                <w:rFonts w:ascii="Futura Std Condensed Light" w:eastAsia="Calibri" w:hAnsi="Futura Std Condensed Light" w:cs="Calibri"/>
                <w:b/>
                <w:sz w:val="20"/>
                <w:szCs w:val="20"/>
              </w:rPr>
            </w:pPr>
            <w:r w:rsidRPr="003A4D4C">
              <w:rPr>
                <w:rFonts w:ascii="Futura Std Condensed Light" w:eastAsia="Calibri" w:hAnsi="Futura Std Condensed Light" w:cs="Calibri"/>
                <w:b/>
                <w:sz w:val="20"/>
                <w:szCs w:val="20"/>
              </w:rPr>
              <w:t>Entregable:</w:t>
            </w:r>
          </w:p>
        </w:tc>
        <w:tc>
          <w:tcPr>
            <w:tcW w:w="958" w:type="pct"/>
            <w:gridSpan w:val="3"/>
          </w:tcPr>
          <w:p w14:paraId="4683EAB8" w14:textId="77777777" w:rsidR="0021177B" w:rsidRPr="003A4D4C" w:rsidRDefault="0021177B" w:rsidP="009E3B2F">
            <w:pPr>
              <w:spacing w:after="0" w:line="240" w:lineRule="auto"/>
              <w:jc w:val="center"/>
              <w:rPr>
                <w:rFonts w:ascii="Futura Std Condensed Light" w:eastAsia="Calibri" w:hAnsi="Futura Std Condensed Light" w:cs="Calibri"/>
                <w:sz w:val="20"/>
                <w:szCs w:val="20"/>
              </w:rPr>
            </w:pPr>
            <w:r w:rsidRPr="003A4D4C">
              <w:rPr>
                <w:rFonts w:ascii="Futura Std Condensed Light" w:eastAsia="Calibri" w:hAnsi="Futura Std Condensed Light" w:cs="Calibri"/>
                <w:sz w:val="20"/>
                <w:szCs w:val="20"/>
              </w:rPr>
              <w:t>Seguro escolar en caso de accidentes</w:t>
            </w:r>
          </w:p>
        </w:tc>
        <w:tc>
          <w:tcPr>
            <w:tcW w:w="1660" w:type="pct"/>
            <w:gridSpan w:val="5"/>
          </w:tcPr>
          <w:p w14:paraId="4DD062B2" w14:textId="77777777" w:rsidR="0021177B" w:rsidRPr="003A4D4C" w:rsidRDefault="0021177B" w:rsidP="009E3B2F">
            <w:pPr>
              <w:spacing w:after="0" w:line="240" w:lineRule="auto"/>
              <w:jc w:val="center"/>
              <w:rPr>
                <w:rFonts w:ascii="Futura Std Condensed Light" w:eastAsia="Calibri" w:hAnsi="Futura Std Condensed Light" w:cs="Calibri"/>
                <w:b/>
                <w:sz w:val="20"/>
                <w:szCs w:val="20"/>
              </w:rPr>
            </w:pPr>
            <w:r w:rsidRPr="003A4D4C">
              <w:rPr>
                <w:rFonts w:ascii="Futura Std Condensed Light" w:eastAsia="Calibri" w:hAnsi="Futura Std Condensed Light" w:cs="Calibri"/>
                <w:b/>
                <w:sz w:val="20"/>
                <w:szCs w:val="20"/>
              </w:rPr>
              <w:t>Unidad de Medida:</w:t>
            </w:r>
          </w:p>
        </w:tc>
        <w:tc>
          <w:tcPr>
            <w:tcW w:w="1173" w:type="pct"/>
            <w:gridSpan w:val="2"/>
          </w:tcPr>
          <w:p w14:paraId="4E6715F0" w14:textId="77777777" w:rsidR="0021177B" w:rsidRPr="003A4D4C" w:rsidRDefault="0021177B" w:rsidP="009E3B2F">
            <w:pPr>
              <w:spacing w:after="0" w:line="240" w:lineRule="auto"/>
              <w:jc w:val="center"/>
              <w:rPr>
                <w:rFonts w:ascii="Futura Std Condensed Light" w:eastAsia="Calibri" w:hAnsi="Futura Std Condensed Light" w:cs="Calibri"/>
                <w:sz w:val="20"/>
                <w:szCs w:val="20"/>
              </w:rPr>
            </w:pPr>
            <w:r w:rsidRPr="003A4D4C">
              <w:rPr>
                <w:rFonts w:ascii="Futura Std Condensed Light" w:eastAsia="Calibri" w:hAnsi="Futura Std Condensed Light" w:cs="Calibri"/>
                <w:sz w:val="20"/>
                <w:szCs w:val="20"/>
              </w:rPr>
              <w:t>alumnos beneficiados</w:t>
            </w:r>
          </w:p>
        </w:tc>
      </w:tr>
      <w:tr w:rsidR="0021177B" w:rsidRPr="003A4D4C" w14:paraId="62A31FFC" w14:textId="77777777" w:rsidTr="009E3B2F">
        <w:trPr>
          <w:trHeight w:val="449"/>
        </w:trPr>
        <w:tc>
          <w:tcPr>
            <w:tcW w:w="1208" w:type="pct"/>
            <w:gridSpan w:val="2"/>
          </w:tcPr>
          <w:p w14:paraId="1042FC94" w14:textId="77777777" w:rsidR="0021177B" w:rsidRPr="003A4D4C" w:rsidRDefault="0021177B" w:rsidP="009E3B2F">
            <w:pPr>
              <w:spacing w:after="0" w:line="240" w:lineRule="auto"/>
              <w:jc w:val="center"/>
              <w:rPr>
                <w:rFonts w:ascii="Futura Std Condensed Light" w:eastAsia="Calibri" w:hAnsi="Futura Std Condensed Light" w:cs="Calibri"/>
                <w:b/>
                <w:sz w:val="20"/>
                <w:szCs w:val="20"/>
              </w:rPr>
            </w:pPr>
            <w:r w:rsidRPr="003A4D4C">
              <w:rPr>
                <w:rFonts w:ascii="Futura Std Condensed Light" w:eastAsia="Calibri" w:hAnsi="Futura Std Condensed Light" w:cs="Calibri"/>
                <w:b/>
                <w:sz w:val="20"/>
                <w:szCs w:val="20"/>
              </w:rPr>
              <w:t>Descripción:</w:t>
            </w:r>
          </w:p>
        </w:tc>
        <w:tc>
          <w:tcPr>
            <w:tcW w:w="3792" w:type="pct"/>
            <w:gridSpan w:val="10"/>
          </w:tcPr>
          <w:p w14:paraId="74E07987" w14:textId="77777777" w:rsidR="0021177B" w:rsidRPr="003A4D4C" w:rsidRDefault="0021177B" w:rsidP="009E3B2F">
            <w:pPr>
              <w:spacing w:after="0" w:line="240" w:lineRule="auto"/>
              <w:jc w:val="center"/>
              <w:rPr>
                <w:rFonts w:ascii="Futura Std Condensed Light" w:eastAsia="Calibri" w:hAnsi="Futura Std Condensed Light" w:cs="Calibri"/>
                <w:sz w:val="20"/>
                <w:szCs w:val="20"/>
              </w:rPr>
            </w:pPr>
            <w:r w:rsidRPr="003A4D4C">
              <w:rPr>
                <w:rFonts w:ascii="Futura Std Condensed Light" w:eastAsia="Calibri" w:hAnsi="Futura Std Condensed Light" w:cs="Calibri"/>
                <w:sz w:val="20"/>
                <w:szCs w:val="20"/>
              </w:rPr>
              <w:t>El Seguro Escolar es una póliza de gastos médicos, solo para atender accidentes escolares, entendiéndose estos como toda lesión física involuntaria como fractura, quemadura, herida, esguince; considerando el trayecto casa-escuela y escuela-casa, el cual brinda una cobertura a la totalidad de alumnos de educación básica de escuelas públicas en el Estado durante el ciclo escolar vigente.</w:t>
            </w:r>
          </w:p>
        </w:tc>
      </w:tr>
      <w:tr w:rsidR="0021177B" w:rsidRPr="003A4D4C" w14:paraId="09D83C9E" w14:textId="77777777" w:rsidTr="009E3B2F">
        <w:trPr>
          <w:trHeight w:val="484"/>
        </w:trPr>
        <w:tc>
          <w:tcPr>
            <w:tcW w:w="1806" w:type="pct"/>
            <w:gridSpan w:val="4"/>
          </w:tcPr>
          <w:p w14:paraId="270EEEC6" w14:textId="77777777" w:rsidR="0021177B" w:rsidRPr="003A4D4C" w:rsidRDefault="0021177B" w:rsidP="009E3B2F">
            <w:pPr>
              <w:spacing w:after="0" w:line="240" w:lineRule="auto"/>
              <w:jc w:val="center"/>
              <w:rPr>
                <w:rFonts w:ascii="Futura Std Condensed Light" w:eastAsia="Calibri" w:hAnsi="Futura Std Condensed Light" w:cs="Calibri"/>
                <w:b/>
                <w:sz w:val="20"/>
                <w:szCs w:val="20"/>
              </w:rPr>
            </w:pPr>
            <w:r w:rsidRPr="003A4D4C">
              <w:rPr>
                <w:rFonts w:ascii="Futura Std Condensed Light" w:eastAsia="Calibri" w:hAnsi="Futura Std Condensed Light" w:cs="Calibri"/>
                <w:b/>
                <w:sz w:val="20"/>
                <w:szCs w:val="20"/>
              </w:rPr>
              <w:t>Medio de verificación:</w:t>
            </w:r>
          </w:p>
        </w:tc>
        <w:tc>
          <w:tcPr>
            <w:tcW w:w="3194" w:type="pct"/>
            <w:gridSpan w:val="8"/>
          </w:tcPr>
          <w:p w14:paraId="02EAEECF" w14:textId="77777777" w:rsidR="0021177B" w:rsidRPr="003A4D4C" w:rsidRDefault="0021177B" w:rsidP="009E3B2F">
            <w:pPr>
              <w:spacing w:after="0" w:line="240" w:lineRule="auto"/>
              <w:jc w:val="center"/>
              <w:rPr>
                <w:rFonts w:ascii="Futura Std Condensed Light" w:eastAsia="Calibri" w:hAnsi="Futura Std Condensed Light" w:cs="Calibri"/>
                <w:sz w:val="20"/>
                <w:szCs w:val="20"/>
              </w:rPr>
            </w:pPr>
            <w:r w:rsidRPr="003A4D4C">
              <w:rPr>
                <w:rFonts w:ascii="Futura Std Condensed Light" w:eastAsia="Calibri" w:hAnsi="Futura Std Condensed Light" w:cs="Calibri"/>
                <w:sz w:val="20"/>
                <w:szCs w:val="20"/>
              </w:rPr>
              <w:t>Matrícula de alumnos inscritos en escuelas públicas de educación básica.</w:t>
            </w:r>
          </w:p>
        </w:tc>
      </w:tr>
      <w:tr w:rsidR="0021177B" w:rsidRPr="003A4D4C" w14:paraId="786BF025" w14:textId="77777777" w:rsidTr="009E3B2F">
        <w:trPr>
          <w:trHeight w:val="484"/>
        </w:trPr>
        <w:tc>
          <w:tcPr>
            <w:tcW w:w="1806" w:type="pct"/>
            <w:gridSpan w:val="4"/>
          </w:tcPr>
          <w:p w14:paraId="479A1C78" w14:textId="77777777" w:rsidR="0021177B" w:rsidRPr="003A4D4C" w:rsidRDefault="0021177B" w:rsidP="009E3B2F">
            <w:pPr>
              <w:spacing w:after="0" w:line="240" w:lineRule="auto"/>
              <w:jc w:val="center"/>
              <w:rPr>
                <w:rFonts w:ascii="Futura Std Condensed Light" w:eastAsia="Calibri" w:hAnsi="Futura Std Condensed Light" w:cs="Calibri"/>
                <w:b/>
                <w:sz w:val="20"/>
                <w:szCs w:val="20"/>
              </w:rPr>
            </w:pPr>
            <w:r w:rsidRPr="003A4D4C">
              <w:rPr>
                <w:rFonts w:ascii="Futura Std Condensed Light" w:eastAsia="Calibri" w:hAnsi="Futura Std Condensed Light" w:cs="Calibri"/>
                <w:b/>
                <w:sz w:val="20"/>
                <w:szCs w:val="20"/>
              </w:rPr>
              <w:t>Línea base:</w:t>
            </w:r>
          </w:p>
        </w:tc>
        <w:tc>
          <w:tcPr>
            <w:tcW w:w="904" w:type="pct"/>
            <w:gridSpan w:val="3"/>
          </w:tcPr>
          <w:p w14:paraId="7E42F25C" w14:textId="77777777" w:rsidR="0021177B" w:rsidRPr="003A4D4C" w:rsidRDefault="0021177B" w:rsidP="009E3B2F">
            <w:pPr>
              <w:spacing w:after="0" w:line="240" w:lineRule="auto"/>
              <w:jc w:val="center"/>
              <w:rPr>
                <w:rFonts w:ascii="Futura Std Condensed Light" w:eastAsia="Calibri" w:hAnsi="Futura Std Condensed Light" w:cs="Calibri"/>
                <w:sz w:val="20"/>
                <w:szCs w:val="20"/>
              </w:rPr>
            </w:pPr>
            <w:r w:rsidRPr="003A4D4C">
              <w:rPr>
                <w:rFonts w:ascii="Futura Std Condensed Light" w:eastAsia="Calibri" w:hAnsi="Futura Std Condensed Light" w:cs="Calibri"/>
                <w:sz w:val="20"/>
                <w:szCs w:val="20"/>
              </w:rPr>
              <w:t>278,825</w:t>
            </w:r>
          </w:p>
        </w:tc>
        <w:tc>
          <w:tcPr>
            <w:tcW w:w="1113" w:type="pct"/>
            <w:gridSpan w:val="2"/>
          </w:tcPr>
          <w:p w14:paraId="6958AEFA" w14:textId="77777777" w:rsidR="0021177B" w:rsidRPr="003A4D4C" w:rsidRDefault="0021177B" w:rsidP="009E3B2F">
            <w:pPr>
              <w:spacing w:after="0" w:line="240" w:lineRule="auto"/>
              <w:jc w:val="center"/>
              <w:rPr>
                <w:rFonts w:ascii="Futura Std Condensed Light" w:eastAsia="Calibri" w:hAnsi="Futura Std Condensed Light" w:cs="Calibri"/>
                <w:b/>
                <w:sz w:val="20"/>
                <w:szCs w:val="20"/>
              </w:rPr>
            </w:pPr>
            <w:r w:rsidRPr="003A4D4C">
              <w:rPr>
                <w:rFonts w:ascii="Futura Std Condensed Light" w:eastAsia="Calibri" w:hAnsi="Futura Std Condensed Light" w:cs="Calibri"/>
                <w:b/>
                <w:sz w:val="20"/>
                <w:szCs w:val="20"/>
              </w:rPr>
              <w:t>Año de línea base:</w:t>
            </w:r>
          </w:p>
        </w:tc>
        <w:tc>
          <w:tcPr>
            <w:tcW w:w="1178" w:type="pct"/>
            <w:gridSpan w:val="3"/>
          </w:tcPr>
          <w:p w14:paraId="0A3D9AE5" w14:textId="77777777" w:rsidR="0021177B" w:rsidRPr="003A4D4C" w:rsidRDefault="0021177B" w:rsidP="009E3B2F">
            <w:pPr>
              <w:spacing w:after="0" w:line="240" w:lineRule="auto"/>
              <w:jc w:val="center"/>
              <w:rPr>
                <w:rFonts w:ascii="Futura Std Condensed Light" w:eastAsia="Calibri" w:hAnsi="Futura Std Condensed Light" w:cs="Calibri"/>
                <w:sz w:val="20"/>
                <w:szCs w:val="20"/>
              </w:rPr>
            </w:pPr>
            <w:r w:rsidRPr="003A4D4C">
              <w:rPr>
                <w:rFonts w:ascii="Futura Std Condensed Light" w:eastAsia="Calibri" w:hAnsi="Futura Std Condensed Light" w:cs="Calibri"/>
                <w:sz w:val="20"/>
                <w:szCs w:val="20"/>
              </w:rPr>
              <w:t>2016</w:t>
            </w:r>
          </w:p>
        </w:tc>
      </w:tr>
      <w:tr w:rsidR="0021177B" w:rsidRPr="003A4D4C" w14:paraId="3D03432C" w14:textId="77777777" w:rsidTr="009E3B2F">
        <w:trPr>
          <w:trHeight w:val="484"/>
        </w:trPr>
        <w:tc>
          <w:tcPr>
            <w:tcW w:w="1806" w:type="pct"/>
            <w:gridSpan w:val="4"/>
          </w:tcPr>
          <w:p w14:paraId="5FE8BB0B" w14:textId="77777777" w:rsidR="0021177B" w:rsidRPr="003A4D4C" w:rsidRDefault="0021177B" w:rsidP="009E3B2F">
            <w:pPr>
              <w:spacing w:after="0" w:line="240" w:lineRule="auto"/>
              <w:jc w:val="center"/>
              <w:rPr>
                <w:rFonts w:ascii="Futura Std Condensed Light" w:eastAsia="Calibri" w:hAnsi="Futura Std Condensed Light" w:cs="Calibri"/>
                <w:b/>
                <w:sz w:val="20"/>
                <w:szCs w:val="20"/>
              </w:rPr>
            </w:pPr>
            <w:r w:rsidRPr="003A4D4C">
              <w:rPr>
                <w:rFonts w:ascii="Futura Std Condensed Light" w:eastAsia="Calibri" w:hAnsi="Futura Std Condensed Light" w:cs="Calibri"/>
                <w:b/>
                <w:sz w:val="20"/>
                <w:szCs w:val="20"/>
              </w:rPr>
              <w:t>Contribución Directa al Objetivo de la Agenda 2030</w:t>
            </w:r>
          </w:p>
        </w:tc>
        <w:tc>
          <w:tcPr>
            <w:tcW w:w="3194" w:type="pct"/>
            <w:gridSpan w:val="8"/>
          </w:tcPr>
          <w:p w14:paraId="7E5C7BB8" w14:textId="77777777" w:rsidR="0021177B" w:rsidRPr="003A4D4C" w:rsidRDefault="0021177B" w:rsidP="009E3B2F">
            <w:pPr>
              <w:spacing w:after="0" w:line="240" w:lineRule="auto"/>
              <w:jc w:val="center"/>
              <w:rPr>
                <w:rFonts w:ascii="Futura Std Condensed Light" w:eastAsia="Calibri" w:hAnsi="Futura Std Condensed Light" w:cs="Calibri"/>
                <w:sz w:val="20"/>
                <w:szCs w:val="20"/>
              </w:rPr>
            </w:pPr>
            <w:r w:rsidRPr="003A4D4C">
              <w:rPr>
                <w:rFonts w:ascii="Futura Std Condensed Light" w:eastAsia="Calibri" w:hAnsi="Futura Std Condensed Light" w:cs="Calibri"/>
                <w:sz w:val="20"/>
                <w:szCs w:val="20"/>
              </w:rPr>
              <w:t>Garantizar una educación inclusiva, equitativa y de calidad y promover oportunidades de aprendizaje durante toda la vida para todos</w:t>
            </w:r>
          </w:p>
        </w:tc>
      </w:tr>
      <w:tr w:rsidR="0021177B" w:rsidRPr="003A4D4C" w14:paraId="20C06CA9" w14:textId="77777777" w:rsidTr="009E3B2F">
        <w:trPr>
          <w:trHeight w:val="484"/>
        </w:trPr>
        <w:tc>
          <w:tcPr>
            <w:tcW w:w="1806" w:type="pct"/>
            <w:gridSpan w:val="4"/>
          </w:tcPr>
          <w:p w14:paraId="4134B63E" w14:textId="77777777" w:rsidR="0021177B" w:rsidRPr="003A4D4C" w:rsidRDefault="0021177B" w:rsidP="009E3B2F">
            <w:pPr>
              <w:spacing w:after="0" w:line="240" w:lineRule="auto"/>
              <w:jc w:val="center"/>
              <w:rPr>
                <w:rFonts w:ascii="Futura Std Condensed Light" w:eastAsia="Calibri" w:hAnsi="Futura Std Condensed Light" w:cs="Calibri"/>
                <w:b/>
                <w:sz w:val="20"/>
                <w:szCs w:val="20"/>
              </w:rPr>
            </w:pPr>
            <w:r w:rsidRPr="003A4D4C">
              <w:rPr>
                <w:rFonts w:ascii="Futura Std Condensed Light" w:eastAsia="Calibri" w:hAnsi="Futura Std Condensed Light" w:cs="Calibri"/>
                <w:b/>
                <w:sz w:val="20"/>
                <w:szCs w:val="20"/>
              </w:rPr>
              <w:t>Contribución Directa  a la Meta de la Agenda 2030</w:t>
            </w:r>
          </w:p>
        </w:tc>
        <w:tc>
          <w:tcPr>
            <w:tcW w:w="3194" w:type="pct"/>
            <w:gridSpan w:val="8"/>
          </w:tcPr>
          <w:p w14:paraId="1E403866" w14:textId="5450F51F" w:rsidR="0021177B" w:rsidRPr="003A4D4C" w:rsidRDefault="00071A5D" w:rsidP="009E3B2F">
            <w:pPr>
              <w:spacing w:after="0" w:line="240" w:lineRule="auto"/>
              <w:jc w:val="center"/>
              <w:rPr>
                <w:rFonts w:ascii="Futura Std Condensed Light" w:eastAsia="Calibri" w:hAnsi="Futura Std Condensed Light" w:cs="Calibri"/>
                <w:sz w:val="20"/>
                <w:szCs w:val="20"/>
              </w:rPr>
            </w:pPr>
            <w:r w:rsidRPr="00596515">
              <w:rPr>
                <w:rFonts w:ascii="Futura Std Condensed Light" w:eastAsia="Calibri" w:hAnsi="Futura Std Condensed Light" w:cs="Calibri"/>
                <w:sz w:val="20"/>
                <w:szCs w:val="20"/>
              </w:rPr>
              <w:t>De aquí a 2030, aumentar considerablemente a nivel mundial el número de becas disponibles para los países en desarrollo a fin de que sus estudiantes puedan matricularse en programas de enseñanza superior, incluidos programas de formación profesional y programas técnicos, científicos, de ingeniería y de tecnología de la información y las comunicaciones.</w:t>
            </w:r>
          </w:p>
        </w:tc>
      </w:tr>
      <w:tr w:rsidR="0021177B" w:rsidRPr="003A4D4C" w14:paraId="6E0E038B" w14:textId="77777777" w:rsidTr="009E3B2F">
        <w:trPr>
          <w:trHeight w:val="484"/>
        </w:trPr>
        <w:tc>
          <w:tcPr>
            <w:tcW w:w="1806" w:type="pct"/>
            <w:gridSpan w:val="4"/>
          </w:tcPr>
          <w:p w14:paraId="11154D70" w14:textId="77777777" w:rsidR="0021177B" w:rsidRPr="003A4D4C" w:rsidRDefault="0021177B" w:rsidP="009E3B2F">
            <w:pPr>
              <w:spacing w:after="0" w:line="240" w:lineRule="auto"/>
              <w:jc w:val="center"/>
              <w:rPr>
                <w:rFonts w:ascii="Futura Std Condensed Light" w:eastAsia="Calibri" w:hAnsi="Futura Std Condensed Light" w:cs="Calibri"/>
                <w:b/>
                <w:sz w:val="20"/>
                <w:szCs w:val="20"/>
              </w:rPr>
            </w:pPr>
            <w:r w:rsidRPr="003A4D4C">
              <w:rPr>
                <w:rFonts w:ascii="Futura Std Condensed Light" w:eastAsia="Calibri" w:hAnsi="Futura Std Condensed Light" w:cs="Calibri"/>
                <w:b/>
                <w:sz w:val="20"/>
                <w:szCs w:val="20"/>
              </w:rPr>
              <w:t>Tema / Proyecto Prioritario de Quintana Roo</w:t>
            </w:r>
          </w:p>
        </w:tc>
        <w:tc>
          <w:tcPr>
            <w:tcW w:w="3194" w:type="pct"/>
            <w:gridSpan w:val="8"/>
          </w:tcPr>
          <w:p w14:paraId="79488472" w14:textId="77777777" w:rsidR="0021177B" w:rsidRPr="003A4D4C" w:rsidRDefault="0021177B" w:rsidP="009E3B2F">
            <w:pPr>
              <w:spacing w:after="0" w:line="240" w:lineRule="auto"/>
              <w:jc w:val="center"/>
              <w:rPr>
                <w:rFonts w:ascii="Futura Std Condensed Light" w:eastAsia="Calibri" w:hAnsi="Futura Std Condensed Light" w:cs="Calibri"/>
                <w:sz w:val="20"/>
                <w:szCs w:val="20"/>
              </w:rPr>
            </w:pPr>
            <w:r w:rsidRPr="003A4D4C">
              <w:rPr>
                <w:rFonts w:ascii="Futura Std Condensed Light" w:eastAsia="Calibri" w:hAnsi="Futura Std Condensed Light" w:cs="Calibri"/>
                <w:sz w:val="20"/>
                <w:szCs w:val="20"/>
              </w:rPr>
              <w:t>24.4 Seguro escolar para protección y atención médica</w:t>
            </w:r>
          </w:p>
        </w:tc>
      </w:tr>
      <w:tr w:rsidR="0021177B" w:rsidRPr="003A4D4C" w14:paraId="1A9B2EEB" w14:textId="77777777" w:rsidTr="009E3B2F">
        <w:trPr>
          <w:trHeight w:val="484"/>
        </w:trPr>
        <w:tc>
          <w:tcPr>
            <w:tcW w:w="1806" w:type="pct"/>
            <w:gridSpan w:val="4"/>
          </w:tcPr>
          <w:p w14:paraId="2AAAEEB2" w14:textId="77777777" w:rsidR="0021177B" w:rsidRPr="003A4D4C" w:rsidRDefault="0021177B" w:rsidP="009E3B2F">
            <w:pPr>
              <w:spacing w:after="0" w:line="240" w:lineRule="auto"/>
              <w:jc w:val="center"/>
              <w:rPr>
                <w:rFonts w:ascii="Futura Std Condensed Light" w:eastAsia="Calibri" w:hAnsi="Futura Std Condensed Light" w:cs="Calibri"/>
                <w:b/>
                <w:sz w:val="20"/>
                <w:szCs w:val="20"/>
              </w:rPr>
            </w:pPr>
            <w:r w:rsidRPr="003A4D4C">
              <w:rPr>
                <w:rFonts w:ascii="Futura Std Condensed Light" w:eastAsia="Calibri" w:hAnsi="Futura Std Condensed Light" w:cs="Calibri"/>
                <w:b/>
                <w:sz w:val="20"/>
                <w:szCs w:val="20"/>
              </w:rPr>
              <w:t>Subtema Prioritario de Quintana Roo</w:t>
            </w:r>
          </w:p>
        </w:tc>
        <w:tc>
          <w:tcPr>
            <w:tcW w:w="3194" w:type="pct"/>
            <w:gridSpan w:val="8"/>
          </w:tcPr>
          <w:p w14:paraId="7A93FE99" w14:textId="77777777" w:rsidR="0021177B" w:rsidRPr="003A4D4C" w:rsidRDefault="0021177B" w:rsidP="009E3B2F">
            <w:pPr>
              <w:spacing w:after="0" w:line="240" w:lineRule="auto"/>
              <w:jc w:val="center"/>
              <w:rPr>
                <w:rFonts w:ascii="Futura Std Condensed Light" w:eastAsia="Calibri" w:hAnsi="Futura Std Condensed Light" w:cs="Calibri"/>
                <w:sz w:val="20"/>
                <w:szCs w:val="20"/>
              </w:rPr>
            </w:pPr>
            <w:r w:rsidRPr="003A4D4C">
              <w:rPr>
                <w:rFonts w:ascii="Futura Std Condensed Light" w:eastAsia="Calibri" w:hAnsi="Futura Std Condensed Light" w:cs="Calibri"/>
                <w:sz w:val="20"/>
                <w:szCs w:val="20"/>
              </w:rPr>
              <w:t>N/A</w:t>
            </w:r>
          </w:p>
        </w:tc>
      </w:tr>
      <w:tr w:rsidR="0021177B" w:rsidRPr="003A4D4C" w14:paraId="5F077789" w14:textId="77777777" w:rsidTr="009E3B2F">
        <w:trPr>
          <w:trHeight w:val="484"/>
        </w:trPr>
        <w:tc>
          <w:tcPr>
            <w:tcW w:w="5000" w:type="pct"/>
            <w:gridSpan w:val="12"/>
          </w:tcPr>
          <w:p w14:paraId="4E63A03F" w14:textId="77777777" w:rsidR="0021177B" w:rsidRPr="003A4D4C" w:rsidRDefault="0021177B" w:rsidP="009E3B2F">
            <w:pPr>
              <w:spacing w:after="0" w:line="240" w:lineRule="auto"/>
              <w:jc w:val="center"/>
              <w:rPr>
                <w:rFonts w:ascii="Futura Std Condensed Light" w:eastAsia="Calibri" w:hAnsi="Futura Std Condensed Light" w:cs="Calibri"/>
                <w:b/>
                <w:sz w:val="20"/>
                <w:szCs w:val="20"/>
              </w:rPr>
            </w:pPr>
            <w:r w:rsidRPr="003A4D4C">
              <w:rPr>
                <w:rFonts w:ascii="Futura Std Condensed Light" w:eastAsia="Calibri" w:hAnsi="Futura Std Condensed Light" w:cs="Calibri"/>
                <w:b/>
                <w:sz w:val="20"/>
                <w:szCs w:val="20"/>
              </w:rPr>
              <w:t>Meta Total:</w:t>
            </w:r>
          </w:p>
        </w:tc>
      </w:tr>
      <w:tr w:rsidR="0021177B" w:rsidRPr="003A4D4C" w14:paraId="39F3D684" w14:textId="77777777" w:rsidTr="009E3B2F">
        <w:trPr>
          <w:trHeight w:val="484"/>
        </w:trPr>
        <w:tc>
          <w:tcPr>
            <w:tcW w:w="781" w:type="pct"/>
          </w:tcPr>
          <w:p w14:paraId="3C81BD21" w14:textId="77777777" w:rsidR="0021177B" w:rsidRPr="003A4D4C" w:rsidRDefault="0021177B" w:rsidP="009E3B2F">
            <w:pPr>
              <w:spacing w:after="0" w:line="240" w:lineRule="auto"/>
              <w:jc w:val="center"/>
              <w:rPr>
                <w:rFonts w:ascii="Futura Std Condensed Light" w:eastAsia="Calibri" w:hAnsi="Futura Std Condensed Light" w:cs="Calibri"/>
                <w:b/>
                <w:sz w:val="20"/>
                <w:szCs w:val="20"/>
              </w:rPr>
            </w:pPr>
            <w:r w:rsidRPr="003A4D4C">
              <w:rPr>
                <w:rFonts w:ascii="Futura Std Condensed Light" w:eastAsia="Calibri" w:hAnsi="Futura Std Condensed Light" w:cs="Calibri"/>
                <w:b/>
                <w:sz w:val="20"/>
                <w:szCs w:val="20"/>
              </w:rPr>
              <w:t>2017</w:t>
            </w:r>
          </w:p>
        </w:tc>
        <w:tc>
          <w:tcPr>
            <w:tcW w:w="783" w:type="pct"/>
            <w:gridSpan w:val="2"/>
          </w:tcPr>
          <w:p w14:paraId="58416637" w14:textId="77777777" w:rsidR="0021177B" w:rsidRPr="003A4D4C" w:rsidRDefault="0021177B" w:rsidP="009E3B2F">
            <w:pPr>
              <w:spacing w:after="0" w:line="240" w:lineRule="auto"/>
              <w:jc w:val="center"/>
              <w:rPr>
                <w:rFonts w:ascii="Futura Std Condensed Light" w:eastAsia="Calibri" w:hAnsi="Futura Std Condensed Light" w:cs="Calibri"/>
                <w:b/>
                <w:sz w:val="20"/>
                <w:szCs w:val="20"/>
              </w:rPr>
            </w:pPr>
            <w:r w:rsidRPr="003A4D4C">
              <w:rPr>
                <w:rFonts w:ascii="Futura Std Condensed Light" w:eastAsia="Calibri" w:hAnsi="Futura Std Condensed Light" w:cs="Calibri"/>
                <w:b/>
                <w:sz w:val="20"/>
                <w:szCs w:val="20"/>
              </w:rPr>
              <w:t>2018</w:t>
            </w:r>
          </w:p>
        </w:tc>
        <w:tc>
          <w:tcPr>
            <w:tcW w:w="904" w:type="pct"/>
            <w:gridSpan w:val="3"/>
          </w:tcPr>
          <w:p w14:paraId="5FFB33E8" w14:textId="77777777" w:rsidR="0021177B" w:rsidRPr="003A4D4C" w:rsidRDefault="0021177B" w:rsidP="009E3B2F">
            <w:pPr>
              <w:spacing w:after="0" w:line="240" w:lineRule="auto"/>
              <w:jc w:val="center"/>
              <w:rPr>
                <w:rFonts w:ascii="Futura Std Condensed Light" w:eastAsia="Calibri" w:hAnsi="Futura Std Condensed Light" w:cs="Calibri"/>
                <w:b/>
                <w:sz w:val="20"/>
                <w:szCs w:val="20"/>
              </w:rPr>
            </w:pPr>
            <w:r w:rsidRPr="003A4D4C">
              <w:rPr>
                <w:rFonts w:ascii="Futura Std Condensed Light" w:eastAsia="Calibri" w:hAnsi="Futura Std Condensed Light" w:cs="Calibri"/>
                <w:b/>
                <w:sz w:val="20"/>
                <w:szCs w:val="20"/>
              </w:rPr>
              <w:t>2019</w:t>
            </w:r>
          </w:p>
        </w:tc>
        <w:tc>
          <w:tcPr>
            <w:tcW w:w="723" w:type="pct"/>
            <w:gridSpan w:val="2"/>
          </w:tcPr>
          <w:p w14:paraId="430322A6" w14:textId="77777777" w:rsidR="0021177B" w:rsidRPr="003A4D4C" w:rsidRDefault="0021177B" w:rsidP="009E3B2F">
            <w:pPr>
              <w:spacing w:after="0" w:line="240" w:lineRule="auto"/>
              <w:jc w:val="center"/>
              <w:rPr>
                <w:rFonts w:ascii="Futura Std Condensed Light" w:eastAsia="Calibri" w:hAnsi="Futura Std Condensed Light" w:cs="Calibri"/>
                <w:b/>
                <w:sz w:val="20"/>
                <w:szCs w:val="20"/>
              </w:rPr>
            </w:pPr>
            <w:r w:rsidRPr="003A4D4C">
              <w:rPr>
                <w:rFonts w:ascii="Futura Std Condensed Light" w:eastAsia="Calibri" w:hAnsi="Futura Std Condensed Light" w:cs="Calibri"/>
                <w:b/>
                <w:sz w:val="20"/>
                <w:szCs w:val="20"/>
              </w:rPr>
              <w:t>2020</w:t>
            </w:r>
          </w:p>
        </w:tc>
        <w:tc>
          <w:tcPr>
            <w:tcW w:w="963" w:type="pct"/>
            <w:gridSpan w:val="3"/>
          </w:tcPr>
          <w:p w14:paraId="6A550C33" w14:textId="77777777" w:rsidR="0021177B" w:rsidRPr="003A4D4C" w:rsidRDefault="0021177B" w:rsidP="009E3B2F">
            <w:pPr>
              <w:spacing w:after="0" w:line="240" w:lineRule="auto"/>
              <w:jc w:val="center"/>
              <w:rPr>
                <w:rFonts w:ascii="Futura Std Condensed Light" w:eastAsia="Calibri" w:hAnsi="Futura Std Condensed Light" w:cs="Calibri"/>
                <w:b/>
                <w:sz w:val="20"/>
                <w:szCs w:val="20"/>
              </w:rPr>
            </w:pPr>
            <w:r w:rsidRPr="003A4D4C">
              <w:rPr>
                <w:rFonts w:ascii="Futura Std Condensed Light" w:eastAsia="Calibri" w:hAnsi="Futura Std Condensed Light" w:cs="Calibri"/>
                <w:b/>
                <w:sz w:val="20"/>
                <w:szCs w:val="20"/>
              </w:rPr>
              <w:t>2021</w:t>
            </w:r>
          </w:p>
        </w:tc>
        <w:tc>
          <w:tcPr>
            <w:tcW w:w="846" w:type="pct"/>
          </w:tcPr>
          <w:p w14:paraId="5BC1EED2" w14:textId="77777777" w:rsidR="0021177B" w:rsidRPr="003A4D4C" w:rsidRDefault="0021177B" w:rsidP="009E3B2F">
            <w:pPr>
              <w:spacing w:after="0" w:line="240" w:lineRule="auto"/>
              <w:jc w:val="center"/>
              <w:rPr>
                <w:rFonts w:ascii="Futura Std Condensed Light" w:eastAsia="Calibri" w:hAnsi="Futura Std Condensed Light" w:cs="Calibri"/>
                <w:b/>
                <w:sz w:val="20"/>
                <w:szCs w:val="20"/>
              </w:rPr>
            </w:pPr>
            <w:r w:rsidRPr="003A4D4C">
              <w:rPr>
                <w:rFonts w:ascii="Futura Std Condensed Light" w:eastAsia="Calibri" w:hAnsi="Futura Std Condensed Light" w:cs="Calibri"/>
                <w:b/>
                <w:sz w:val="20"/>
                <w:szCs w:val="20"/>
              </w:rPr>
              <w:t>2022</w:t>
            </w:r>
          </w:p>
        </w:tc>
      </w:tr>
      <w:tr w:rsidR="0021177B" w:rsidRPr="003A4D4C" w14:paraId="7AF37858" w14:textId="77777777" w:rsidTr="009E3B2F">
        <w:trPr>
          <w:trHeight w:val="484"/>
        </w:trPr>
        <w:tc>
          <w:tcPr>
            <w:tcW w:w="781" w:type="pct"/>
          </w:tcPr>
          <w:p w14:paraId="5A7952D4" w14:textId="77777777" w:rsidR="0021177B" w:rsidRPr="003A4D4C" w:rsidRDefault="0021177B" w:rsidP="009E3B2F">
            <w:pPr>
              <w:spacing w:after="0" w:line="240" w:lineRule="auto"/>
              <w:jc w:val="center"/>
              <w:rPr>
                <w:rFonts w:ascii="Futura Std Condensed Light" w:eastAsia="Calibri" w:hAnsi="Futura Std Condensed Light" w:cs="Calibri"/>
                <w:sz w:val="20"/>
                <w:szCs w:val="20"/>
              </w:rPr>
            </w:pPr>
            <w:r w:rsidRPr="003A4D4C">
              <w:rPr>
                <w:rFonts w:ascii="Futura Std Condensed Light" w:eastAsia="Calibri" w:hAnsi="Futura Std Condensed Light" w:cs="Calibri"/>
                <w:sz w:val="20"/>
                <w:szCs w:val="20"/>
              </w:rPr>
              <w:t>282,774</w:t>
            </w:r>
          </w:p>
        </w:tc>
        <w:tc>
          <w:tcPr>
            <w:tcW w:w="783" w:type="pct"/>
            <w:gridSpan w:val="2"/>
          </w:tcPr>
          <w:p w14:paraId="7B6B76CA" w14:textId="77777777" w:rsidR="0021177B" w:rsidRPr="003A4D4C" w:rsidRDefault="0021177B" w:rsidP="009E3B2F">
            <w:pPr>
              <w:spacing w:after="0" w:line="240" w:lineRule="auto"/>
              <w:jc w:val="center"/>
              <w:rPr>
                <w:rFonts w:ascii="Futura Std Condensed Light" w:eastAsia="Calibri" w:hAnsi="Futura Std Condensed Light" w:cs="Calibri"/>
                <w:sz w:val="20"/>
                <w:szCs w:val="20"/>
              </w:rPr>
            </w:pPr>
            <w:r w:rsidRPr="003A4D4C">
              <w:rPr>
                <w:rFonts w:ascii="Futura Std Condensed Light" w:eastAsia="Calibri" w:hAnsi="Futura Std Condensed Light" w:cs="Calibri"/>
                <w:sz w:val="20"/>
                <w:szCs w:val="20"/>
              </w:rPr>
              <w:t>285,668</w:t>
            </w:r>
          </w:p>
        </w:tc>
        <w:tc>
          <w:tcPr>
            <w:tcW w:w="904" w:type="pct"/>
            <w:gridSpan w:val="3"/>
          </w:tcPr>
          <w:p w14:paraId="64B9132D" w14:textId="77777777" w:rsidR="0021177B" w:rsidRPr="003A4D4C" w:rsidRDefault="0021177B" w:rsidP="009E3B2F">
            <w:pPr>
              <w:spacing w:after="0" w:line="240" w:lineRule="auto"/>
              <w:jc w:val="center"/>
              <w:rPr>
                <w:rFonts w:ascii="Futura Std Condensed Light" w:eastAsia="Calibri" w:hAnsi="Futura Std Condensed Light" w:cs="Calibri"/>
                <w:sz w:val="20"/>
                <w:szCs w:val="20"/>
              </w:rPr>
            </w:pPr>
            <w:r w:rsidRPr="003A4D4C">
              <w:rPr>
                <w:rFonts w:ascii="Futura Std Condensed Light" w:eastAsia="Calibri" w:hAnsi="Futura Std Condensed Light" w:cs="Calibri"/>
                <w:sz w:val="20"/>
                <w:szCs w:val="20"/>
              </w:rPr>
              <w:t>289,382</w:t>
            </w:r>
          </w:p>
        </w:tc>
        <w:tc>
          <w:tcPr>
            <w:tcW w:w="723" w:type="pct"/>
            <w:gridSpan w:val="2"/>
          </w:tcPr>
          <w:p w14:paraId="2B217F7D" w14:textId="77777777" w:rsidR="0021177B" w:rsidRPr="003A4D4C" w:rsidRDefault="0021177B" w:rsidP="009E3B2F">
            <w:pPr>
              <w:spacing w:after="0" w:line="240" w:lineRule="auto"/>
              <w:jc w:val="center"/>
              <w:rPr>
                <w:rFonts w:ascii="Futura Std Condensed Light" w:eastAsia="Calibri" w:hAnsi="Futura Std Condensed Light" w:cs="Calibri"/>
                <w:sz w:val="20"/>
                <w:szCs w:val="20"/>
              </w:rPr>
            </w:pPr>
            <w:r w:rsidRPr="003A4D4C">
              <w:rPr>
                <w:rFonts w:ascii="Futura Std Condensed Light" w:eastAsia="Calibri" w:hAnsi="Futura Std Condensed Light" w:cs="Calibri"/>
                <w:sz w:val="20"/>
                <w:szCs w:val="20"/>
              </w:rPr>
              <w:t>292,547</w:t>
            </w:r>
          </w:p>
        </w:tc>
        <w:tc>
          <w:tcPr>
            <w:tcW w:w="963" w:type="pct"/>
            <w:gridSpan w:val="3"/>
          </w:tcPr>
          <w:p w14:paraId="3F24A598" w14:textId="77777777" w:rsidR="0021177B" w:rsidRPr="003A4D4C" w:rsidRDefault="0021177B" w:rsidP="009E3B2F">
            <w:pPr>
              <w:spacing w:after="0" w:line="240" w:lineRule="auto"/>
              <w:jc w:val="center"/>
              <w:rPr>
                <w:rFonts w:ascii="Futura Std Condensed Light" w:eastAsia="Calibri" w:hAnsi="Futura Std Condensed Light" w:cs="Calibri"/>
                <w:sz w:val="20"/>
                <w:szCs w:val="20"/>
              </w:rPr>
            </w:pPr>
            <w:r w:rsidRPr="003A4D4C">
              <w:rPr>
                <w:rFonts w:ascii="Futura Std Condensed Light" w:eastAsia="Calibri" w:hAnsi="Futura Std Condensed Light" w:cs="Calibri"/>
                <w:sz w:val="20"/>
                <w:szCs w:val="20"/>
              </w:rPr>
              <w:t>295,846</w:t>
            </w:r>
          </w:p>
        </w:tc>
        <w:tc>
          <w:tcPr>
            <w:tcW w:w="846" w:type="pct"/>
          </w:tcPr>
          <w:p w14:paraId="7BF1811F" w14:textId="77777777" w:rsidR="0021177B" w:rsidRPr="003A4D4C" w:rsidRDefault="0021177B" w:rsidP="009E3B2F">
            <w:pPr>
              <w:spacing w:after="0" w:line="240" w:lineRule="auto"/>
              <w:jc w:val="center"/>
              <w:rPr>
                <w:rFonts w:ascii="Futura Std Condensed Light" w:eastAsia="Calibri" w:hAnsi="Futura Std Condensed Light" w:cs="Calibri"/>
                <w:sz w:val="20"/>
                <w:szCs w:val="20"/>
              </w:rPr>
            </w:pPr>
            <w:r w:rsidRPr="003A4D4C">
              <w:rPr>
                <w:rFonts w:ascii="Futura Std Condensed Light" w:eastAsia="Calibri" w:hAnsi="Futura Std Condensed Light" w:cs="Calibri"/>
                <w:sz w:val="20"/>
                <w:szCs w:val="20"/>
              </w:rPr>
              <w:t>299,145</w:t>
            </w:r>
          </w:p>
        </w:tc>
      </w:tr>
    </w:tbl>
    <w:p w14:paraId="695CD25C" w14:textId="08502CE9" w:rsidR="0021177B" w:rsidRDefault="0021177B" w:rsidP="0021177B">
      <w:pPr>
        <w:spacing w:after="0" w:line="240" w:lineRule="auto"/>
        <w:jc w:val="center"/>
        <w:rPr>
          <w:rFonts w:ascii="Futura Std Condensed Light" w:eastAsia="Calibri" w:hAnsi="Futura Std Condensed Light" w:cs="Calibri"/>
          <w:sz w:val="20"/>
          <w:szCs w:val="20"/>
        </w:rPr>
      </w:pPr>
    </w:p>
    <w:p w14:paraId="06D7946E" w14:textId="5F8E5D97" w:rsidR="007F55A3" w:rsidRDefault="007F55A3" w:rsidP="0021177B">
      <w:pPr>
        <w:spacing w:after="0" w:line="240" w:lineRule="auto"/>
        <w:jc w:val="center"/>
        <w:rPr>
          <w:rFonts w:ascii="Futura Std Condensed Light" w:eastAsia="Calibri" w:hAnsi="Futura Std Condensed Light" w:cs="Calibri"/>
          <w:sz w:val="20"/>
          <w:szCs w:val="20"/>
        </w:rPr>
      </w:pPr>
    </w:p>
    <w:p w14:paraId="3414799B" w14:textId="77777777" w:rsidR="00A26217" w:rsidRDefault="00A26217">
      <w:pPr>
        <w:spacing w:after="0" w:line="240" w:lineRule="auto"/>
        <w:jc w:val="left"/>
        <w:rPr>
          <w:rFonts w:eastAsia="Arial" w:cs="Times New Roman"/>
          <w:b/>
          <w:color w:val="4BACC6" w:themeColor="accent5"/>
        </w:rPr>
      </w:pPr>
      <w:r>
        <w:rPr>
          <w:rFonts w:eastAsia="Arial" w:cs="Times New Roman"/>
          <w:b/>
          <w:color w:val="4BACC6" w:themeColor="accent5"/>
        </w:rPr>
        <w:br w:type="page"/>
      </w:r>
    </w:p>
    <w:p w14:paraId="28FF0025" w14:textId="034974DA" w:rsidR="0021177B" w:rsidRDefault="00FA0940" w:rsidP="0021177B">
      <w:pPr>
        <w:jc w:val="center"/>
      </w:pPr>
      <w:r>
        <w:rPr>
          <w:rFonts w:eastAsia="Arial" w:cs="Times New Roman"/>
          <w:b/>
          <w:color w:val="4BACC6" w:themeColor="accent5"/>
        </w:rPr>
        <w:lastRenderedPageBreak/>
        <w:t>Cuadro 30</w:t>
      </w:r>
      <w:r w:rsidR="0021177B">
        <w:rPr>
          <w:rFonts w:eastAsia="Arial" w:cs="Times New Roman"/>
          <w:b/>
          <w:color w:val="4BACC6" w:themeColor="accent5"/>
        </w:rPr>
        <w:t>. Entregable y meta de la línea de acción 5 del PED</w:t>
      </w:r>
    </w:p>
    <w:tbl>
      <w:tblPr>
        <w:tblStyle w:val="Tablaconcuadrcula"/>
        <w:tblW w:w="5000" w:type="pct"/>
        <w:tblLook w:val="04A0" w:firstRow="1" w:lastRow="0" w:firstColumn="1" w:lastColumn="0" w:noHBand="0" w:noVBand="1"/>
      </w:tblPr>
      <w:tblGrid>
        <w:gridCol w:w="1489"/>
        <w:gridCol w:w="814"/>
        <w:gridCol w:w="679"/>
        <w:gridCol w:w="462"/>
        <w:gridCol w:w="687"/>
        <w:gridCol w:w="576"/>
        <w:gridCol w:w="462"/>
        <w:gridCol w:w="917"/>
        <w:gridCol w:w="233"/>
        <w:gridCol w:w="1604"/>
        <w:gridCol w:w="1614"/>
      </w:tblGrid>
      <w:tr w:rsidR="0086391F" w:rsidRPr="008835BC" w14:paraId="3DDC2902" w14:textId="77777777" w:rsidTr="008835BC">
        <w:trPr>
          <w:trHeight w:val="182"/>
        </w:trPr>
        <w:tc>
          <w:tcPr>
            <w:tcW w:w="1806" w:type="pct"/>
            <w:gridSpan w:val="4"/>
            <w:shd w:val="clear" w:color="auto" w:fill="A6A6A6" w:themeFill="background1" w:themeFillShade="A6"/>
          </w:tcPr>
          <w:p w14:paraId="59B5546C" w14:textId="77777777" w:rsidR="0021177B" w:rsidRPr="008835BC" w:rsidRDefault="0021177B" w:rsidP="009E3B2F">
            <w:pPr>
              <w:spacing w:after="0" w:line="240" w:lineRule="auto"/>
              <w:jc w:val="center"/>
              <w:rPr>
                <w:rFonts w:ascii="Futura Std Condensed Light" w:eastAsia="Calibri" w:hAnsi="Futura Std Condensed Light" w:cs="Calibri"/>
                <w:color w:val="auto"/>
                <w:sz w:val="20"/>
                <w:szCs w:val="20"/>
              </w:rPr>
            </w:pPr>
            <w:r w:rsidRPr="008835BC">
              <w:rPr>
                <w:rFonts w:ascii="Futura Std Condensed Light" w:eastAsia="Calibri" w:hAnsi="Futura Std Condensed Light" w:cs="Calibri"/>
                <w:color w:val="auto"/>
                <w:sz w:val="20"/>
                <w:szCs w:val="20"/>
              </w:rPr>
              <w:t>Programa PED</w:t>
            </w:r>
          </w:p>
        </w:tc>
        <w:tc>
          <w:tcPr>
            <w:tcW w:w="3194" w:type="pct"/>
            <w:gridSpan w:val="7"/>
            <w:shd w:val="clear" w:color="auto" w:fill="A6A6A6" w:themeFill="background1" w:themeFillShade="A6"/>
          </w:tcPr>
          <w:p w14:paraId="1C7489EE" w14:textId="77777777" w:rsidR="0021177B" w:rsidRPr="008835BC" w:rsidRDefault="0021177B" w:rsidP="009E3B2F">
            <w:pPr>
              <w:spacing w:after="0" w:line="240" w:lineRule="auto"/>
              <w:jc w:val="center"/>
              <w:rPr>
                <w:rFonts w:ascii="Futura Std Condensed Light" w:eastAsia="Calibri" w:hAnsi="Futura Std Condensed Light" w:cs="Calibri"/>
                <w:color w:val="auto"/>
                <w:sz w:val="20"/>
                <w:szCs w:val="20"/>
              </w:rPr>
            </w:pPr>
            <w:r w:rsidRPr="008835BC">
              <w:rPr>
                <w:rFonts w:ascii="Futura Std Condensed Light" w:eastAsia="Calibri" w:hAnsi="Futura Std Condensed Light" w:cs="Calibri"/>
                <w:color w:val="auto"/>
                <w:sz w:val="20"/>
                <w:szCs w:val="20"/>
              </w:rPr>
              <w:t>Programa Sectorial Educación Pública de Calidad</w:t>
            </w:r>
          </w:p>
        </w:tc>
      </w:tr>
      <w:tr w:rsidR="0021177B" w:rsidRPr="000223A8" w14:paraId="1DBACAB7" w14:textId="77777777" w:rsidTr="009E3B2F">
        <w:trPr>
          <w:trHeight w:val="469"/>
        </w:trPr>
        <w:tc>
          <w:tcPr>
            <w:tcW w:w="1806" w:type="pct"/>
            <w:gridSpan w:val="4"/>
          </w:tcPr>
          <w:p w14:paraId="421DF862" w14:textId="77777777" w:rsidR="0021177B" w:rsidRPr="000223A8" w:rsidRDefault="0021177B" w:rsidP="009E3B2F">
            <w:pPr>
              <w:spacing w:after="0" w:line="240" w:lineRule="auto"/>
              <w:jc w:val="center"/>
              <w:rPr>
                <w:rFonts w:ascii="Futura Std Condensed Light" w:eastAsia="Calibri" w:hAnsi="Futura Std Condensed Light" w:cs="Calibri"/>
                <w:b/>
                <w:sz w:val="20"/>
                <w:szCs w:val="20"/>
              </w:rPr>
            </w:pPr>
            <w:r w:rsidRPr="000223A8">
              <w:rPr>
                <w:rFonts w:ascii="Futura Std Condensed Light" w:eastAsia="Calibri" w:hAnsi="Futura Std Condensed Light" w:cs="Calibri"/>
                <w:b/>
                <w:sz w:val="20"/>
                <w:szCs w:val="20"/>
              </w:rPr>
              <w:t>Línea de acción:</w:t>
            </w:r>
          </w:p>
        </w:tc>
        <w:tc>
          <w:tcPr>
            <w:tcW w:w="3194" w:type="pct"/>
            <w:gridSpan w:val="7"/>
          </w:tcPr>
          <w:p w14:paraId="12CEAC75" w14:textId="77777777" w:rsidR="0021177B" w:rsidRPr="000223A8" w:rsidRDefault="0021177B" w:rsidP="009E3B2F">
            <w:pPr>
              <w:spacing w:after="0" w:line="240" w:lineRule="auto"/>
              <w:jc w:val="center"/>
              <w:rPr>
                <w:rFonts w:ascii="Futura Std Condensed Light" w:eastAsia="Calibri" w:hAnsi="Futura Std Condensed Light" w:cs="Calibri"/>
                <w:sz w:val="20"/>
                <w:szCs w:val="20"/>
              </w:rPr>
            </w:pPr>
            <w:r w:rsidRPr="000223A8">
              <w:rPr>
                <w:rFonts w:ascii="Futura Std Condensed Light" w:eastAsia="Calibri" w:hAnsi="Futura Std Condensed Light" w:cs="Calibri"/>
                <w:sz w:val="20"/>
                <w:szCs w:val="20"/>
              </w:rPr>
              <w:t>5.   Desarrollar una estrategia integral que permita ampliar la cobertura educativa de nivel medio superior en las instituciones públicas.</w:t>
            </w:r>
          </w:p>
        </w:tc>
      </w:tr>
      <w:tr w:rsidR="0021177B" w:rsidRPr="000223A8" w14:paraId="6AF63E31" w14:textId="77777777" w:rsidTr="009E3B2F">
        <w:trPr>
          <w:trHeight w:val="484"/>
        </w:trPr>
        <w:tc>
          <w:tcPr>
            <w:tcW w:w="1806" w:type="pct"/>
            <w:gridSpan w:val="4"/>
          </w:tcPr>
          <w:p w14:paraId="21FF8987" w14:textId="77777777" w:rsidR="0021177B" w:rsidRPr="000223A8" w:rsidRDefault="0021177B" w:rsidP="009E3B2F">
            <w:pPr>
              <w:spacing w:after="0" w:line="240" w:lineRule="auto"/>
              <w:jc w:val="center"/>
              <w:rPr>
                <w:rFonts w:ascii="Futura Std Condensed Light" w:eastAsia="Calibri" w:hAnsi="Futura Std Condensed Light" w:cs="Calibri"/>
                <w:b/>
                <w:sz w:val="20"/>
                <w:szCs w:val="20"/>
              </w:rPr>
            </w:pPr>
            <w:r w:rsidRPr="000223A8">
              <w:rPr>
                <w:rFonts w:ascii="Futura Std Condensed Light" w:eastAsia="Calibri" w:hAnsi="Futura Std Condensed Light" w:cs="Calibri"/>
                <w:b/>
                <w:sz w:val="20"/>
                <w:szCs w:val="20"/>
              </w:rPr>
              <w:t>Plan Estratégico Objetivo Especifico</w:t>
            </w:r>
          </w:p>
        </w:tc>
        <w:tc>
          <w:tcPr>
            <w:tcW w:w="3194" w:type="pct"/>
            <w:gridSpan w:val="7"/>
          </w:tcPr>
          <w:p w14:paraId="634BB89D" w14:textId="77777777" w:rsidR="0021177B" w:rsidRPr="000223A8" w:rsidRDefault="0021177B" w:rsidP="009E3B2F">
            <w:pPr>
              <w:spacing w:after="0" w:line="240" w:lineRule="auto"/>
              <w:jc w:val="center"/>
              <w:rPr>
                <w:rFonts w:ascii="Futura Std Condensed Light" w:eastAsia="Calibri" w:hAnsi="Futura Std Condensed Light" w:cs="Calibri"/>
                <w:sz w:val="20"/>
                <w:szCs w:val="20"/>
              </w:rPr>
            </w:pPr>
            <w:r w:rsidRPr="000223A8">
              <w:rPr>
                <w:rFonts w:ascii="Futura Std Condensed Light" w:eastAsia="Calibri" w:hAnsi="Futura Std Condensed Light" w:cs="Calibri"/>
                <w:sz w:val="20"/>
                <w:szCs w:val="20"/>
              </w:rPr>
              <w:t>Disminuir la desigualdad en sus diversas formas </w:t>
            </w:r>
          </w:p>
        </w:tc>
      </w:tr>
      <w:tr w:rsidR="0021177B" w:rsidRPr="000223A8" w14:paraId="54FBFAF0" w14:textId="77777777" w:rsidTr="009E3B2F">
        <w:trPr>
          <w:trHeight w:val="484"/>
        </w:trPr>
        <w:tc>
          <w:tcPr>
            <w:tcW w:w="1208" w:type="pct"/>
            <w:gridSpan w:val="2"/>
          </w:tcPr>
          <w:p w14:paraId="03BCD1DE" w14:textId="77777777" w:rsidR="0021177B" w:rsidRPr="000223A8" w:rsidRDefault="0021177B" w:rsidP="009E3B2F">
            <w:pPr>
              <w:spacing w:after="0" w:line="240" w:lineRule="auto"/>
              <w:jc w:val="center"/>
              <w:rPr>
                <w:rFonts w:ascii="Futura Std Condensed Light" w:eastAsia="Calibri" w:hAnsi="Futura Std Condensed Light" w:cs="Calibri"/>
                <w:sz w:val="20"/>
                <w:szCs w:val="20"/>
              </w:rPr>
            </w:pPr>
            <w:r w:rsidRPr="000223A8">
              <w:rPr>
                <w:rFonts w:ascii="Futura Std Condensed Light" w:eastAsia="Calibri" w:hAnsi="Futura Std Condensed Light" w:cs="Calibri"/>
                <w:b/>
                <w:sz w:val="20"/>
                <w:szCs w:val="20"/>
              </w:rPr>
              <w:t>Entregable</w:t>
            </w:r>
            <w:r w:rsidRPr="000223A8">
              <w:rPr>
                <w:rFonts w:ascii="Futura Std Condensed Light" w:eastAsia="Calibri" w:hAnsi="Futura Std Condensed Light" w:cs="Calibri"/>
                <w:sz w:val="20"/>
                <w:szCs w:val="20"/>
              </w:rPr>
              <w:t>:</w:t>
            </w:r>
          </w:p>
        </w:tc>
        <w:tc>
          <w:tcPr>
            <w:tcW w:w="958" w:type="pct"/>
            <w:gridSpan w:val="3"/>
          </w:tcPr>
          <w:p w14:paraId="7DCBF30F" w14:textId="77777777" w:rsidR="0021177B" w:rsidRPr="000223A8" w:rsidRDefault="0021177B" w:rsidP="009E3B2F">
            <w:pPr>
              <w:spacing w:after="0" w:line="240" w:lineRule="auto"/>
              <w:jc w:val="center"/>
              <w:rPr>
                <w:rFonts w:ascii="Futura Std Condensed Light" w:eastAsia="Calibri" w:hAnsi="Futura Std Condensed Light" w:cs="Calibri"/>
                <w:sz w:val="20"/>
                <w:szCs w:val="20"/>
              </w:rPr>
            </w:pPr>
            <w:r w:rsidRPr="000223A8">
              <w:rPr>
                <w:rFonts w:ascii="Futura Std Condensed Light" w:eastAsia="Calibri" w:hAnsi="Futura Std Condensed Light" w:cs="Calibri"/>
                <w:sz w:val="20"/>
                <w:szCs w:val="20"/>
              </w:rPr>
              <w:t>Estrategia que permita ampliar la cobertura en el nivel medio superior</w:t>
            </w:r>
          </w:p>
        </w:tc>
        <w:tc>
          <w:tcPr>
            <w:tcW w:w="1145" w:type="pct"/>
            <w:gridSpan w:val="4"/>
          </w:tcPr>
          <w:p w14:paraId="1438763F" w14:textId="77777777" w:rsidR="0021177B" w:rsidRPr="000223A8" w:rsidRDefault="0021177B" w:rsidP="009E3B2F">
            <w:pPr>
              <w:spacing w:after="0" w:line="240" w:lineRule="auto"/>
              <w:jc w:val="center"/>
              <w:rPr>
                <w:rFonts w:ascii="Futura Std Condensed Light" w:eastAsia="Calibri" w:hAnsi="Futura Std Condensed Light" w:cs="Calibri"/>
                <w:b/>
                <w:sz w:val="20"/>
                <w:szCs w:val="20"/>
              </w:rPr>
            </w:pPr>
            <w:r w:rsidRPr="000223A8">
              <w:rPr>
                <w:rFonts w:ascii="Futura Std Condensed Light" w:eastAsia="Calibri" w:hAnsi="Futura Std Condensed Light" w:cs="Calibri"/>
                <w:b/>
                <w:sz w:val="20"/>
                <w:szCs w:val="20"/>
              </w:rPr>
              <w:t>Unidad de Medida:</w:t>
            </w:r>
          </w:p>
        </w:tc>
        <w:tc>
          <w:tcPr>
            <w:tcW w:w="1688" w:type="pct"/>
            <w:gridSpan w:val="2"/>
          </w:tcPr>
          <w:p w14:paraId="551D02A9" w14:textId="77777777" w:rsidR="0021177B" w:rsidRPr="000223A8" w:rsidRDefault="0021177B" w:rsidP="009E3B2F">
            <w:pPr>
              <w:spacing w:after="0" w:line="240" w:lineRule="auto"/>
              <w:jc w:val="center"/>
              <w:rPr>
                <w:rFonts w:ascii="Futura Std Condensed Light" w:eastAsia="Calibri" w:hAnsi="Futura Std Condensed Light" w:cs="Calibri"/>
                <w:sz w:val="20"/>
                <w:szCs w:val="20"/>
              </w:rPr>
            </w:pPr>
            <w:r w:rsidRPr="000223A8">
              <w:rPr>
                <w:rFonts w:ascii="Futura Std Condensed Light" w:eastAsia="Calibri" w:hAnsi="Futura Std Condensed Light" w:cs="Calibri"/>
                <w:sz w:val="20"/>
                <w:szCs w:val="20"/>
              </w:rPr>
              <w:t>Cobertura de educación Media Superior</w:t>
            </w:r>
          </w:p>
        </w:tc>
      </w:tr>
      <w:tr w:rsidR="0021177B" w:rsidRPr="000223A8" w14:paraId="159A051A" w14:textId="77777777" w:rsidTr="009E3B2F">
        <w:trPr>
          <w:trHeight w:val="449"/>
        </w:trPr>
        <w:tc>
          <w:tcPr>
            <w:tcW w:w="1208" w:type="pct"/>
            <w:gridSpan w:val="2"/>
          </w:tcPr>
          <w:p w14:paraId="61D6B874" w14:textId="77777777" w:rsidR="0021177B" w:rsidRPr="000223A8" w:rsidRDefault="0021177B" w:rsidP="009E3B2F">
            <w:pPr>
              <w:spacing w:after="0" w:line="240" w:lineRule="auto"/>
              <w:jc w:val="center"/>
              <w:rPr>
                <w:rFonts w:ascii="Futura Std Condensed Light" w:eastAsia="Calibri" w:hAnsi="Futura Std Condensed Light" w:cs="Calibri"/>
                <w:b/>
                <w:sz w:val="20"/>
                <w:szCs w:val="20"/>
              </w:rPr>
            </w:pPr>
            <w:r w:rsidRPr="000223A8">
              <w:rPr>
                <w:rFonts w:ascii="Futura Std Condensed Light" w:eastAsia="Calibri" w:hAnsi="Futura Std Condensed Light" w:cs="Calibri"/>
                <w:b/>
                <w:sz w:val="20"/>
                <w:szCs w:val="20"/>
              </w:rPr>
              <w:t>Descripción:</w:t>
            </w:r>
          </w:p>
        </w:tc>
        <w:tc>
          <w:tcPr>
            <w:tcW w:w="3792" w:type="pct"/>
            <w:gridSpan w:val="9"/>
          </w:tcPr>
          <w:p w14:paraId="056F303B" w14:textId="77777777" w:rsidR="0021177B" w:rsidRPr="000223A8" w:rsidRDefault="0021177B" w:rsidP="009E3B2F">
            <w:pPr>
              <w:spacing w:after="0" w:line="240" w:lineRule="auto"/>
              <w:jc w:val="center"/>
              <w:rPr>
                <w:rFonts w:ascii="Futura Std Condensed Light" w:eastAsia="Calibri" w:hAnsi="Futura Std Condensed Light" w:cs="Calibri"/>
                <w:sz w:val="20"/>
                <w:szCs w:val="20"/>
              </w:rPr>
            </w:pPr>
            <w:r w:rsidRPr="000223A8">
              <w:rPr>
                <w:rFonts w:ascii="Futura Std Condensed Light" w:eastAsia="Calibri" w:hAnsi="Futura Std Condensed Light" w:cs="Calibri"/>
                <w:sz w:val="20"/>
                <w:szCs w:val="20"/>
              </w:rPr>
              <w:t>Aplicar estrategias que permitan incrementar la cantidad  de jóvenes en edad de 15 a 17 años de Educación Media Superior en el ciclo escolar vigente, en relación a la totalidad de jóvenes en este rango de edad que reside en Quintana Roo.</w:t>
            </w:r>
          </w:p>
        </w:tc>
      </w:tr>
      <w:tr w:rsidR="0021177B" w:rsidRPr="000223A8" w14:paraId="08CAC5BB" w14:textId="77777777" w:rsidTr="009E3B2F">
        <w:trPr>
          <w:trHeight w:val="484"/>
        </w:trPr>
        <w:tc>
          <w:tcPr>
            <w:tcW w:w="1806" w:type="pct"/>
            <w:gridSpan w:val="4"/>
          </w:tcPr>
          <w:p w14:paraId="50C27CBA" w14:textId="77777777" w:rsidR="0021177B" w:rsidRPr="000223A8" w:rsidRDefault="0021177B" w:rsidP="009E3B2F">
            <w:pPr>
              <w:spacing w:after="0" w:line="240" w:lineRule="auto"/>
              <w:jc w:val="center"/>
              <w:rPr>
                <w:rFonts w:ascii="Futura Std Condensed Light" w:eastAsia="Calibri" w:hAnsi="Futura Std Condensed Light" w:cs="Calibri"/>
                <w:b/>
                <w:sz w:val="20"/>
                <w:szCs w:val="20"/>
              </w:rPr>
            </w:pPr>
            <w:r w:rsidRPr="000223A8">
              <w:rPr>
                <w:rFonts w:ascii="Futura Std Condensed Light" w:eastAsia="Calibri" w:hAnsi="Futura Std Condensed Light" w:cs="Calibri"/>
                <w:b/>
                <w:sz w:val="20"/>
                <w:szCs w:val="20"/>
              </w:rPr>
              <w:t>Medio de verificación:</w:t>
            </w:r>
          </w:p>
        </w:tc>
        <w:tc>
          <w:tcPr>
            <w:tcW w:w="3194" w:type="pct"/>
            <w:gridSpan w:val="7"/>
          </w:tcPr>
          <w:p w14:paraId="5037D3F2" w14:textId="77777777" w:rsidR="0021177B" w:rsidRPr="000223A8" w:rsidRDefault="0021177B" w:rsidP="009E3B2F">
            <w:pPr>
              <w:spacing w:after="0" w:line="240" w:lineRule="auto"/>
              <w:jc w:val="center"/>
              <w:rPr>
                <w:rFonts w:ascii="Futura Std Condensed Light" w:eastAsia="Calibri" w:hAnsi="Futura Std Condensed Light" w:cs="Calibri"/>
                <w:sz w:val="20"/>
                <w:szCs w:val="20"/>
              </w:rPr>
            </w:pPr>
            <w:r w:rsidRPr="000223A8">
              <w:rPr>
                <w:rFonts w:ascii="Futura Std Condensed Light" w:eastAsia="Calibri" w:hAnsi="Futura Std Condensed Light" w:cs="Calibri"/>
                <w:sz w:val="20"/>
                <w:szCs w:val="20"/>
              </w:rPr>
              <w:t>Indicadores Educativos, Secretaría de Educación de Quintana Roo.</w:t>
            </w:r>
          </w:p>
        </w:tc>
      </w:tr>
      <w:tr w:rsidR="0021177B" w:rsidRPr="000223A8" w14:paraId="52F13D77" w14:textId="77777777" w:rsidTr="009E3B2F">
        <w:trPr>
          <w:trHeight w:val="484"/>
        </w:trPr>
        <w:tc>
          <w:tcPr>
            <w:tcW w:w="1806" w:type="pct"/>
            <w:gridSpan w:val="4"/>
          </w:tcPr>
          <w:p w14:paraId="6610501A" w14:textId="77777777" w:rsidR="0021177B" w:rsidRPr="000223A8" w:rsidRDefault="0021177B" w:rsidP="009E3B2F">
            <w:pPr>
              <w:spacing w:after="0" w:line="240" w:lineRule="auto"/>
              <w:jc w:val="center"/>
              <w:rPr>
                <w:rFonts w:ascii="Futura Std Condensed Light" w:eastAsia="Calibri" w:hAnsi="Futura Std Condensed Light" w:cs="Calibri"/>
                <w:b/>
                <w:sz w:val="20"/>
                <w:szCs w:val="20"/>
              </w:rPr>
            </w:pPr>
            <w:r w:rsidRPr="000223A8">
              <w:rPr>
                <w:rFonts w:ascii="Futura Std Condensed Light" w:eastAsia="Calibri" w:hAnsi="Futura Std Condensed Light" w:cs="Calibri"/>
                <w:b/>
                <w:sz w:val="20"/>
                <w:szCs w:val="20"/>
              </w:rPr>
              <w:t>Línea base:</w:t>
            </w:r>
          </w:p>
        </w:tc>
        <w:tc>
          <w:tcPr>
            <w:tcW w:w="904" w:type="pct"/>
            <w:gridSpan w:val="3"/>
          </w:tcPr>
          <w:p w14:paraId="1ADDE5FD" w14:textId="77777777" w:rsidR="0021177B" w:rsidRPr="000223A8" w:rsidRDefault="0021177B" w:rsidP="009E3B2F">
            <w:pPr>
              <w:spacing w:after="0" w:line="240" w:lineRule="auto"/>
              <w:jc w:val="center"/>
              <w:rPr>
                <w:rFonts w:ascii="Futura Std Condensed Light" w:eastAsia="Calibri" w:hAnsi="Futura Std Condensed Light" w:cs="Calibri"/>
                <w:sz w:val="20"/>
                <w:szCs w:val="20"/>
              </w:rPr>
            </w:pPr>
            <w:r w:rsidRPr="000223A8">
              <w:rPr>
                <w:rFonts w:ascii="Futura Std Condensed Light" w:eastAsia="Calibri" w:hAnsi="Futura Std Condensed Light" w:cs="Calibri"/>
                <w:sz w:val="20"/>
                <w:szCs w:val="20"/>
              </w:rPr>
              <w:t>73.35</w:t>
            </w:r>
          </w:p>
        </w:tc>
        <w:tc>
          <w:tcPr>
            <w:tcW w:w="603" w:type="pct"/>
            <w:gridSpan w:val="2"/>
          </w:tcPr>
          <w:p w14:paraId="4DCCEE01" w14:textId="77777777" w:rsidR="0021177B" w:rsidRPr="000223A8" w:rsidRDefault="0021177B" w:rsidP="009E3B2F">
            <w:pPr>
              <w:spacing w:after="0" w:line="240" w:lineRule="auto"/>
              <w:jc w:val="center"/>
              <w:rPr>
                <w:rFonts w:ascii="Futura Std Condensed Light" w:eastAsia="Calibri" w:hAnsi="Futura Std Condensed Light" w:cs="Calibri"/>
                <w:sz w:val="20"/>
                <w:szCs w:val="20"/>
              </w:rPr>
            </w:pPr>
            <w:r w:rsidRPr="000223A8">
              <w:rPr>
                <w:rFonts w:ascii="Futura Std Condensed Light" w:eastAsia="Calibri" w:hAnsi="Futura Std Condensed Light" w:cs="Calibri"/>
                <w:b/>
                <w:sz w:val="20"/>
                <w:szCs w:val="20"/>
              </w:rPr>
              <w:t>Año de línea base</w:t>
            </w:r>
            <w:r w:rsidRPr="000223A8">
              <w:rPr>
                <w:rFonts w:ascii="Futura Std Condensed Light" w:eastAsia="Calibri" w:hAnsi="Futura Std Condensed Light" w:cs="Calibri"/>
                <w:sz w:val="20"/>
                <w:szCs w:val="20"/>
              </w:rPr>
              <w:t>:</w:t>
            </w:r>
          </w:p>
        </w:tc>
        <w:tc>
          <w:tcPr>
            <w:tcW w:w="1688" w:type="pct"/>
            <w:gridSpan w:val="2"/>
          </w:tcPr>
          <w:p w14:paraId="49D38710" w14:textId="77777777" w:rsidR="0021177B" w:rsidRPr="000223A8" w:rsidRDefault="0021177B" w:rsidP="009E3B2F">
            <w:pPr>
              <w:spacing w:after="0" w:line="240" w:lineRule="auto"/>
              <w:jc w:val="center"/>
              <w:rPr>
                <w:rFonts w:ascii="Futura Std Condensed Light" w:eastAsia="Calibri" w:hAnsi="Futura Std Condensed Light" w:cs="Calibri"/>
                <w:sz w:val="20"/>
                <w:szCs w:val="20"/>
              </w:rPr>
            </w:pPr>
            <w:r w:rsidRPr="000223A8">
              <w:rPr>
                <w:rFonts w:ascii="Futura Std Condensed Light" w:eastAsia="Calibri" w:hAnsi="Futura Std Condensed Light" w:cs="Calibri"/>
                <w:sz w:val="20"/>
                <w:szCs w:val="20"/>
              </w:rPr>
              <w:t>2016</w:t>
            </w:r>
          </w:p>
        </w:tc>
      </w:tr>
      <w:tr w:rsidR="0021177B" w:rsidRPr="000223A8" w14:paraId="0E64052E" w14:textId="77777777" w:rsidTr="009E3B2F">
        <w:trPr>
          <w:trHeight w:val="484"/>
        </w:trPr>
        <w:tc>
          <w:tcPr>
            <w:tcW w:w="1806" w:type="pct"/>
            <w:gridSpan w:val="4"/>
          </w:tcPr>
          <w:p w14:paraId="0BCFD11B" w14:textId="77777777" w:rsidR="0021177B" w:rsidRPr="000223A8" w:rsidRDefault="0021177B" w:rsidP="009E3B2F">
            <w:pPr>
              <w:spacing w:after="0" w:line="240" w:lineRule="auto"/>
              <w:jc w:val="center"/>
              <w:rPr>
                <w:rFonts w:ascii="Futura Std Condensed Light" w:eastAsia="Calibri" w:hAnsi="Futura Std Condensed Light" w:cs="Calibri"/>
                <w:b/>
                <w:sz w:val="20"/>
                <w:szCs w:val="20"/>
              </w:rPr>
            </w:pPr>
            <w:r w:rsidRPr="000223A8">
              <w:rPr>
                <w:rFonts w:ascii="Futura Std Condensed Light" w:eastAsia="Calibri" w:hAnsi="Futura Std Condensed Light" w:cs="Calibri"/>
                <w:b/>
                <w:sz w:val="20"/>
                <w:szCs w:val="20"/>
              </w:rPr>
              <w:t>Contribución Directa al Objetivo de la Agenda 2030</w:t>
            </w:r>
          </w:p>
        </w:tc>
        <w:tc>
          <w:tcPr>
            <w:tcW w:w="3194" w:type="pct"/>
            <w:gridSpan w:val="7"/>
          </w:tcPr>
          <w:p w14:paraId="3E95A83D" w14:textId="77777777" w:rsidR="0021177B" w:rsidRPr="000223A8" w:rsidRDefault="0021177B" w:rsidP="009E3B2F">
            <w:pPr>
              <w:spacing w:after="0" w:line="240" w:lineRule="auto"/>
              <w:jc w:val="center"/>
              <w:rPr>
                <w:rFonts w:ascii="Futura Std Condensed Light" w:eastAsia="Calibri" w:hAnsi="Futura Std Condensed Light" w:cs="Calibri"/>
                <w:sz w:val="20"/>
                <w:szCs w:val="20"/>
              </w:rPr>
            </w:pPr>
            <w:r w:rsidRPr="000223A8">
              <w:rPr>
                <w:rFonts w:ascii="Futura Std Condensed Light" w:eastAsia="Calibri" w:hAnsi="Futura Std Condensed Light" w:cs="Calibri"/>
                <w:sz w:val="20"/>
                <w:szCs w:val="20"/>
              </w:rPr>
              <w:t>Garantizar una educación inclusiva, equitativa y de calidad y promover oportunidades de aprendizaje durante toda la vida para todos</w:t>
            </w:r>
          </w:p>
        </w:tc>
      </w:tr>
      <w:tr w:rsidR="0021177B" w:rsidRPr="000223A8" w14:paraId="1089E75F" w14:textId="77777777" w:rsidTr="009E3B2F">
        <w:trPr>
          <w:trHeight w:val="484"/>
        </w:trPr>
        <w:tc>
          <w:tcPr>
            <w:tcW w:w="1806" w:type="pct"/>
            <w:gridSpan w:val="4"/>
          </w:tcPr>
          <w:p w14:paraId="2E276119" w14:textId="77777777" w:rsidR="0021177B" w:rsidRPr="000223A8" w:rsidRDefault="0021177B" w:rsidP="009E3B2F">
            <w:pPr>
              <w:spacing w:after="0" w:line="240" w:lineRule="auto"/>
              <w:jc w:val="center"/>
              <w:rPr>
                <w:rFonts w:ascii="Futura Std Condensed Light" w:eastAsia="Calibri" w:hAnsi="Futura Std Condensed Light" w:cs="Calibri"/>
                <w:b/>
                <w:sz w:val="20"/>
                <w:szCs w:val="20"/>
              </w:rPr>
            </w:pPr>
            <w:r w:rsidRPr="000223A8">
              <w:rPr>
                <w:rFonts w:ascii="Futura Std Condensed Light" w:eastAsia="Calibri" w:hAnsi="Futura Std Condensed Light" w:cs="Calibri"/>
                <w:b/>
                <w:sz w:val="20"/>
                <w:szCs w:val="20"/>
              </w:rPr>
              <w:t>Contribución Directa  a la Meta de la Agenda 2030</w:t>
            </w:r>
          </w:p>
        </w:tc>
        <w:tc>
          <w:tcPr>
            <w:tcW w:w="3194" w:type="pct"/>
            <w:gridSpan w:val="7"/>
          </w:tcPr>
          <w:p w14:paraId="37C4B614" w14:textId="77777777" w:rsidR="0021177B" w:rsidRPr="000223A8" w:rsidRDefault="0021177B" w:rsidP="009E3B2F">
            <w:pPr>
              <w:spacing w:after="0" w:line="240" w:lineRule="auto"/>
              <w:jc w:val="center"/>
              <w:rPr>
                <w:rFonts w:ascii="Futura Std Condensed Light" w:eastAsia="Calibri" w:hAnsi="Futura Std Condensed Light" w:cs="Calibri"/>
                <w:sz w:val="20"/>
                <w:szCs w:val="20"/>
              </w:rPr>
            </w:pPr>
            <w:r w:rsidRPr="000223A8">
              <w:rPr>
                <w:rFonts w:ascii="Futura Std Condensed Light" w:eastAsia="Calibri" w:hAnsi="Futura Std Condensed Light" w:cs="Calibri"/>
                <w:sz w:val="20"/>
                <w:szCs w:val="20"/>
              </w:rPr>
              <w:t>De aquí a 2030, asegurar el acceso igualitario de todos los hombres y las mujeres a una formación técnica, profesional y superior de calidad, incluida la enseñanza universitaria.</w:t>
            </w:r>
          </w:p>
        </w:tc>
      </w:tr>
      <w:tr w:rsidR="0021177B" w:rsidRPr="000223A8" w14:paraId="2C935C8C" w14:textId="77777777" w:rsidTr="009E3B2F">
        <w:trPr>
          <w:trHeight w:val="484"/>
        </w:trPr>
        <w:tc>
          <w:tcPr>
            <w:tcW w:w="1806" w:type="pct"/>
            <w:gridSpan w:val="4"/>
          </w:tcPr>
          <w:p w14:paraId="157DF3A4" w14:textId="77777777" w:rsidR="0021177B" w:rsidRPr="000223A8" w:rsidRDefault="0021177B" w:rsidP="009E3B2F">
            <w:pPr>
              <w:spacing w:after="0" w:line="240" w:lineRule="auto"/>
              <w:jc w:val="center"/>
              <w:rPr>
                <w:rFonts w:ascii="Futura Std Condensed Light" w:eastAsia="Calibri" w:hAnsi="Futura Std Condensed Light" w:cs="Calibri"/>
                <w:b/>
                <w:sz w:val="20"/>
                <w:szCs w:val="20"/>
              </w:rPr>
            </w:pPr>
            <w:r w:rsidRPr="000223A8">
              <w:rPr>
                <w:rFonts w:ascii="Futura Std Condensed Light" w:eastAsia="Calibri" w:hAnsi="Futura Std Condensed Light" w:cs="Calibri"/>
                <w:b/>
                <w:sz w:val="20"/>
                <w:szCs w:val="20"/>
              </w:rPr>
              <w:t>Tema / Proyecto Prioritario de Quintana Roo</w:t>
            </w:r>
          </w:p>
        </w:tc>
        <w:tc>
          <w:tcPr>
            <w:tcW w:w="3194" w:type="pct"/>
            <w:gridSpan w:val="7"/>
          </w:tcPr>
          <w:p w14:paraId="1BF8A309" w14:textId="77777777" w:rsidR="0021177B" w:rsidRPr="000223A8" w:rsidRDefault="0021177B" w:rsidP="009E3B2F">
            <w:pPr>
              <w:spacing w:after="0" w:line="240" w:lineRule="auto"/>
              <w:jc w:val="center"/>
              <w:rPr>
                <w:rFonts w:ascii="Futura Std Condensed Light" w:eastAsia="Calibri" w:hAnsi="Futura Std Condensed Light" w:cs="Calibri"/>
                <w:sz w:val="20"/>
                <w:szCs w:val="20"/>
              </w:rPr>
            </w:pPr>
            <w:r w:rsidRPr="000223A8">
              <w:rPr>
                <w:rFonts w:ascii="Futura Std Condensed Light" w:eastAsia="Calibri" w:hAnsi="Futura Std Condensed Light" w:cs="Calibri"/>
                <w:sz w:val="20"/>
                <w:szCs w:val="20"/>
              </w:rPr>
              <w:t>24.5 Abatir el rezago educativo</w:t>
            </w:r>
          </w:p>
        </w:tc>
      </w:tr>
      <w:tr w:rsidR="0021177B" w:rsidRPr="000223A8" w14:paraId="6E7C72DC" w14:textId="77777777" w:rsidTr="009E3B2F">
        <w:trPr>
          <w:trHeight w:val="484"/>
        </w:trPr>
        <w:tc>
          <w:tcPr>
            <w:tcW w:w="1806" w:type="pct"/>
            <w:gridSpan w:val="4"/>
          </w:tcPr>
          <w:p w14:paraId="2C523D41" w14:textId="77777777" w:rsidR="0021177B" w:rsidRPr="000223A8" w:rsidRDefault="0021177B" w:rsidP="009E3B2F">
            <w:pPr>
              <w:spacing w:after="0" w:line="240" w:lineRule="auto"/>
              <w:jc w:val="center"/>
              <w:rPr>
                <w:rFonts w:ascii="Futura Std Condensed Light" w:eastAsia="Calibri" w:hAnsi="Futura Std Condensed Light" w:cs="Calibri"/>
                <w:b/>
                <w:sz w:val="20"/>
                <w:szCs w:val="20"/>
              </w:rPr>
            </w:pPr>
            <w:r w:rsidRPr="000223A8">
              <w:rPr>
                <w:rFonts w:ascii="Futura Std Condensed Light" w:eastAsia="Calibri" w:hAnsi="Futura Std Condensed Light" w:cs="Calibri"/>
                <w:b/>
                <w:sz w:val="20"/>
                <w:szCs w:val="20"/>
              </w:rPr>
              <w:t>Subtema Prioritario de Quintana Roo</w:t>
            </w:r>
          </w:p>
        </w:tc>
        <w:tc>
          <w:tcPr>
            <w:tcW w:w="3194" w:type="pct"/>
            <w:gridSpan w:val="7"/>
          </w:tcPr>
          <w:p w14:paraId="6A04AAA5" w14:textId="77777777" w:rsidR="0021177B" w:rsidRPr="000223A8" w:rsidRDefault="0021177B" w:rsidP="009E3B2F">
            <w:pPr>
              <w:spacing w:after="0" w:line="240" w:lineRule="auto"/>
              <w:jc w:val="center"/>
              <w:rPr>
                <w:rFonts w:ascii="Futura Std Condensed Light" w:eastAsia="Calibri" w:hAnsi="Futura Std Condensed Light" w:cs="Calibri"/>
                <w:sz w:val="20"/>
                <w:szCs w:val="20"/>
              </w:rPr>
            </w:pPr>
            <w:r w:rsidRPr="000223A8">
              <w:rPr>
                <w:rFonts w:ascii="Futura Std Condensed Light" w:eastAsia="Calibri" w:hAnsi="Futura Std Condensed Light" w:cs="Calibri"/>
                <w:sz w:val="20"/>
                <w:szCs w:val="20"/>
              </w:rPr>
              <w:t>24.5.1 Modelo semi escolarizado</w:t>
            </w:r>
          </w:p>
          <w:p w14:paraId="50137972" w14:textId="04638C74" w:rsidR="0021177B" w:rsidRPr="000223A8" w:rsidRDefault="0021177B" w:rsidP="009E3B2F">
            <w:pPr>
              <w:spacing w:after="0" w:line="240" w:lineRule="auto"/>
              <w:jc w:val="center"/>
              <w:rPr>
                <w:rFonts w:ascii="Futura Std Condensed Light" w:eastAsia="Calibri" w:hAnsi="Futura Std Condensed Light" w:cs="Calibri"/>
                <w:sz w:val="20"/>
                <w:szCs w:val="20"/>
              </w:rPr>
            </w:pPr>
            <w:r w:rsidRPr="000223A8">
              <w:rPr>
                <w:rFonts w:ascii="Futura Std Condensed Light" w:eastAsia="Calibri" w:hAnsi="Futura Std Condensed Light" w:cs="Calibri"/>
                <w:sz w:val="20"/>
                <w:szCs w:val="20"/>
              </w:rPr>
              <w:t>24.5.2 Prepa</w:t>
            </w:r>
            <w:r w:rsidR="00212F61">
              <w:rPr>
                <w:rFonts w:ascii="Futura Std Condensed Light" w:eastAsia="Calibri" w:hAnsi="Futura Std Condensed Light" w:cs="Calibri"/>
                <w:sz w:val="20"/>
                <w:szCs w:val="20"/>
              </w:rPr>
              <w:t>ratoria</w:t>
            </w:r>
            <w:r w:rsidRPr="000223A8">
              <w:rPr>
                <w:rFonts w:ascii="Futura Std Condensed Light" w:eastAsia="Calibri" w:hAnsi="Futura Std Condensed Light" w:cs="Calibri"/>
                <w:sz w:val="20"/>
                <w:szCs w:val="20"/>
              </w:rPr>
              <w:t xml:space="preserve"> abierta</w:t>
            </w:r>
          </w:p>
          <w:p w14:paraId="1626EDC6" w14:textId="77777777" w:rsidR="0021177B" w:rsidRPr="000223A8" w:rsidRDefault="0021177B" w:rsidP="009E3B2F">
            <w:pPr>
              <w:spacing w:after="0" w:line="240" w:lineRule="auto"/>
              <w:jc w:val="center"/>
              <w:rPr>
                <w:rFonts w:ascii="Futura Std Condensed Light" w:eastAsia="Calibri" w:hAnsi="Futura Std Condensed Light" w:cs="Calibri"/>
                <w:sz w:val="20"/>
                <w:szCs w:val="20"/>
              </w:rPr>
            </w:pPr>
            <w:r w:rsidRPr="000223A8">
              <w:rPr>
                <w:rFonts w:ascii="Futura Std Condensed Light" w:eastAsia="Calibri" w:hAnsi="Futura Std Condensed Light" w:cs="Calibri"/>
                <w:sz w:val="20"/>
                <w:szCs w:val="20"/>
              </w:rPr>
              <w:t>24.5.3 Prepa en línea</w:t>
            </w:r>
          </w:p>
        </w:tc>
      </w:tr>
      <w:tr w:rsidR="0021177B" w:rsidRPr="000223A8" w14:paraId="77B1429E" w14:textId="77777777" w:rsidTr="009E3B2F">
        <w:trPr>
          <w:trHeight w:val="484"/>
        </w:trPr>
        <w:tc>
          <w:tcPr>
            <w:tcW w:w="5000" w:type="pct"/>
            <w:gridSpan w:val="11"/>
          </w:tcPr>
          <w:p w14:paraId="374F4906" w14:textId="77777777" w:rsidR="0021177B" w:rsidRPr="000223A8" w:rsidRDefault="0021177B" w:rsidP="009E3B2F">
            <w:pPr>
              <w:spacing w:after="0" w:line="240" w:lineRule="auto"/>
              <w:jc w:val="center"/>
              <w:rPr>
                <w:rFonts w:ascii="Futura Std Condensed Light" w:eastAsia="Calibri" w:hAnsi="Futura Std Condensed Light" w:cs="Calibri"/>
                <w:b/>
                <w:sz w:val="20"/>
                <w:szCs w:val="20"/>
              </w:rPr>
            </w:pPr>
            <w:r w:rsidRPr="000223A8">
              <w:rPr>
                <w:rFonts w:ascii="Futura Std Condensed Light" w:eastAsia="Calibri" w:hAnsi="Futura Std Condensed Light" w:cs="Calibri"/>
                <w:b/>
                <w:sz w:val="20"/>
                <w:szCs w:val="20"/>
              </w:rPr>
              <w:t>Meta Total:</w:t>
            </w:r>
          </w:p>
        </w:tc>
      </w:tr>
      <w:tr w:rsidR="0021177B" w:rsidRPr="000223A8" w14:paraId="64B6EA7E" w14:textId="77777777" w:rsidTr="009E3B2F">
        <w:trPr>
          <w:trHeight w:val="484"/>
        </w:trPr>
        <w:tc>
          <w:tcPr>
            <w:tcW w:w="781" w:type="pct"/>
          </w:tcPr>
          <w:p w14:paraId="6655A6A0" w14:textId="77777777" w:rsidR="0021177B" w:rsidRPr="000223A8" w:rsidRDefault="0021177B" w:rsidP="009E3B2F">
            <w:pPr>
              <w:spacing w:after="0" w:line="240" w:lineRule="auto"/>
              <w:jc w:val="center"/>
              <w:rPr>
                <w:rFonts w:ascii="Futura Std Condensed Light" w:eastAsia="Calibri" w:hAnsi="Futura Std Condensed Light" w:cs="Calibri"/>
                <w:sz w:val="20"/>
                <w:szCs w:val="20"/>
              </w:rPr>
            </w:pPr>
            <w:r w:rsidRPr="000223A8">
              <w:rPr>
                <w:rFonts w:ascii="Futura Std Condensed Light" w:eastAsia="Calibri" w:hAnsi="Futura Std Condensed Light" w:cs="Calibri"/>
                <w:sz w:val="20"/>
                <w:szCs w:val="20"/>
              </w:rPr>
              <w:t>2017</w:t>
            </w:r>
          </w:p>
        </w:tc>
        <w:tc>
          <w:tcPr>
            <w:tcW w:w="783" w:type="pct"/>
            <w:gridSpan w:val="2"/>
          </w:tcPr>
          <w:p w14:paraId="7EE63272" w14:textId="77777777" w:rsidR="0021177B" w:rsidRPr="000223A8" w:rsidRDefault="0021177B" w:rsidP="009E3B2F">
            <w:pPr>
              <w:spacing w:after="0" w:line="240" w:lineRule="auto"/>
              <w:jc w:val="center"/>
              <w:rPr>
                <w:rFonts w:ascii="Futura Std Condensed Light" w:eastAsia="Calibri" w:hAnsi="Futura Std Condensed Light" w:cs="Calibri"/>
                <w:sz w:val="20"/>
                <w:szCs w:val="20"/>
              </w:rPr>
            </w:pPr>
            <w:r w:rsidRPr="000223A8">
              <w:rPr>
                <w:rFonts w:ascii="Futura Std Condensed Light" w:eastAsia="Calibri" w:hAnsi="Futura Std Condensed Light" w:cs="Calibri"/>
                <w:sz w:val="20"/>
                <w:szCs w:val="20"/>
              </w:rPr>
              <w:t>2018</w:t>
            </w:r>
          </w:p>
        </w:tc>
        <w:tc>
          <w:tcPr>
            <w:tcW w:w="904" w:type="pct"/>
            <w:gridSpan w:val="3"/>
          </w:tcPr>
          <w:p w14:paraId="602A35F3" w14:textId="77777777" w:rsidR="0021177B" w:rsidRPr="000223A8" w:rsidRDefault="0021177B" w:rsidP="009E3B2F">
            <w:pPr>
              <w:spacing w:after="0" w:line="240" w:lineRule="auto"/>
              <w:jc w:val="center"/>
              <w:rPr>
                <w:rFonts w:ascii="Futura Std Condensed Light" w:eastAsia="Calibri" w:hAnsi="Futura Std Condensed Light" w:cs="Calibri"/>
                <w:sz w:val="20"/>
                <w:szCs w:val="20"/>
              </w:rPr>
            </w:pPr>
            <w:r w:rsidRPr="000223A8">
              <w:rPr>
                <w:rFonts w:ascii="Futura Std Condensed Light" w:eastAsia="Calibri" w:hAnsi="Futura Std Condensed Light" w:cs="Calibri"/>
                <w:sz w:val="20"/>
                <w:szCs w:val="20"/>
              </w:rPr>
              <w:t>2019</w:t>
            </w:r>
          </w:p>
        </w:tc>
        <w:tc>
          <w:tcPr>
            <w:tcW w:w="723" w:type="pct"/>
            <w:gridSpan w:val="2"/>
          </w:tcPr>
          <w:p w14:paraId="4E6492E7" w14:textId="77777777" w:rsidR="0021177B" w:rsidRPr="000223A8" w:rsidRDefault="0021177B" w:rsidP="009E3B2F">
            <w:pPr>
              <w:spacing w:after="0" w:line="240" w:lineRule="auto"/>
              <w:jc w:val="center"/>
              <w:rPr>
                <w:rFonts w:ascii="Futura Std Condensed Light" w:eastAsia="Calibri" w:hAnsi="Futura Std Condensed Light" w:cs="Calibri"/>
                <w:sz w:val="20"/>
                <w:szCs w:val="20"/>
              </w:rPr>
            </w:pPr>
            <w:r w:rsidRPr="000223A8">
              <w:rPr>
                <w:rFonts w:ascii="Futura Std Condensed Light" w:eastAsia="Calibri" w:hAnsi="Futura Std Condensed Light" w:cs="Calibri"/>
                <w:sz w:val="20"/>
                <w:szCs w:val="20"/>
              </w:rPr>
              <w:t>2020</w:t>
            </w:r>
          </w:p>
        </w:tc>
        <w:tc>
          <w:tcPr>
            <w:tcW w:w="963" w:type="pct"/>
            <w:gridSpan w:val="2"/>
          </w:tcPr>
          <w:p w14:paraId="036489C7" w14:textId="77777777" w:rsidR="0021177B" w:rsidRPr="000223A8" w:rsidRDefault="0021177B" w:rsidP="009E3B2F">
            <w:pPr>
              <w:spacing w:after="0" w:line="240" w:lineRule="auto"/>
              <w:jc w:val="center"/>
              <w:rPr>
                <w:rFonts w:ascii="Futura Std Condensed Light" w:eastAsia="Calibri" w:hAnsi="Futura Std Condensed Light" w:cs="Calibri"/>
                <w:sz w:val="20"/>
                <w:szCs w:val="20"/>
              </w:rPr>
            </w:pPr>
            <w:r w:rsidRPr="000223A8">
              <w:rPr>
                <w:rFonts w:ascii="Futura Std Condensed Light" w:eastAsia="Calibri" w:hAnsi="Futura Std Condensed Light" w:cs="Calibri"/>
                <w:sz w:val="20"/>
                <w:szCs w:val="20"/>
              </w:rPr>
              <w:t>2021</w:t>
            </w:r>
          </w:p>
        </w:tc>
        <w:tc>
          <w:tcPr>
            <w:tcW w:w="846" w:type="pct"/>
          </w:tcPr>
          <w:p w14:paraId="43065350" w14:textId="77777777" w:rsidR="0021177B" w:rsidRPr="000223A8" w:rsidRDefault="0021177B" w:rsidP="009E3B2F">
            <w:pPr>
              <w:spacing w:after="0" w:line="240" w:lineRule="auto"/>
              <w:jc w:val="center"/>
              <w:rPr>
                <w:rFonts w:ascii="Futura Std Condensed Light" w:eastAsia="Calibri" w:hAnsi="Futura Std Condensed Light" w:cs="Calibri"/>
                <w:sz w:val="20"/>
                <w:szCs w:val="20"/>
              </w:rPr>
            </w:pPr>
            <w:r w:rsidRPr="000223A8">
              <w:rPr>
                <w:rFonts w:ascii="Futura Std Condensed Light" w:eastAsia="Calibri" w:hAnsi="Futura Std Condensed Light" w:cs="Calibri"/>
                <w:sz w:val="20"/>
                <w:szCs w:val="20"/>
              </w:rPr>
              <w:t>2022</w:t>
            </w:r>
          </w:p>
        </w:tc>
      </w:tr>
      <w:tr w:rsidR="0021177B" w:rsidRPr="000223A8" w14:paraId="16F1576D" w14:textId="77777777" w:rsidTr="009E3B2F">
        <w:trPr>
          <w:trHeight w:val="484"/>
        </w:trPr>
        <w:tc>
          <w:tcPr>
            <w:tcW w:w="781" w:type="pct"/>
          </w:tcPr>
          <w:p w14:paraId="584EDA16" w14:textId="77777777" w:rsidR="0021177B" w:rsidRPr="000223A8" w:rsidRDefault="0021177B" w:rsidP="009E3B2F">
            <w:pPr>
              <w:spacing w:after="0" w:line="240" w:lineRule="auto"/>
              <w:jc w:val="center"/>
              <w:rPr>
                <w:rFonts w:ascii="Futura Std Condensed Light" w:eastAsia="Calibri" w:hAnsi="Futura Std Condensed Light" w:cs="Calibri"/>
                <w:sz w:val="20"/>
                <w:szCs w:val="20"/>
              </w:rPr>
            </w:pPr>
            <w:r w:rsidRPr="000223A8">
              <w:rPr>
                <w:rFonts w:ascii="Futura Std Condensed Light" w:eastAsia="Calibri" w:hAnsi="Futura Std Condensed Light" w:cs="Calibri"/>
                <w:sz w:val="20"/>
                <w:szCs w:val="20"/>
              </w:rPr>
              <w:t>77.56</w:t>
            </w:r>
          </w:p>
        </w:tc>
        <w:tc>
          <w:tcPr>
            <w:tcW w:w="783" w:type="pct"/>
            <w:gridSpan w:val="2"/>
          </w:tcPr>
          <w:p w14:paraId="64115090" w14:textId="77777777" w:rsidR="0021177B" w:rsidRPr="000223A8" w:rsidRDefault="0021177B" w:rsidP="009E3B2F">
            <w:pPr>
              <w:spacing w:after="0" w:line="240" w:lineRule="auto"/>
              <w:jc w:val="center"/>
              <w:rPr>
                <w:rFonts w:ascii="Futura Std Condensed Light" w:eastAsia="Calibri" w:hAnsi="Futura Std Condensed Light" w:cs="Calibri"/>
                <w:sz w:val="20"/>
                <w:szCs w:val="20"/>
              </w:rPr>
            </w:pPr>
            <w:r w:rsidRPr="000223A8">
              <w:rPr>
                <w:rFonts w:ascii="Futura Std Condensed Light" w:eastAsia="Calibri" w:hAnsi="Futura Std Condensed Light" w:cs="Calibri"/>
                <w:sz w:val="20"/>
                <w:szCs w:val="20"/>
              </w:rPr>
              <w:t>81.15</w:t>
            </w:r>
          </w:p>
        </w:tc>
        <w:tc>
          <w:tcPr>
            <w:tcW w:w="904" w:type="pct"/>
            <w:gridSpan w:val="3"/>
          </w:tcPr>
          <w:p w14:paraId="074C8499" w14:textId="77777777" w:rsidR="0021177B" w:rsidRPr="000223A8" w:rsidRDefault="0021177B" w:rsidP="009E3B2F">
            <w:pPr>
              <w:spacing w:after="0" w:line="240" w:lineRule="auto"/>
              <w:jc w:val="center"/>
              <w:rPr>
                <w:rFonts w:ascii="Futura Std Condensed Light" w:eastAsia="Calibri" w:hAnsi="Futura Std Condensed Light" w:cs="Calibri"/>
                <w:sz w:val="20"/>
                <w:szCs w:val="20"/>
              </w:rPr>
            </w:pPr>
            <w:r w:rsidRPr="000223A8">
              <w:rPr>
                <w:rFonts w:ascii="Futura Std Condensed Light" w:eastAsia="Calibri" w:hAnsi="Futura Std Condensed Light" w:cs="Calibri"/>
                <w:sz w:val="20"/>
                <w:szCs w:val="20"/>
              </w:rPr>
              <w:t>80.59</w:t>
            </w:r>
          </w:p>
        </w:tc>
        <w:tc>
          <w:tcPr>
            <w:tcW w:w="723" w:type="pct"/>
            <w:gridSpan w:val="2"/>
          </w:tcPr>
          <w:p w14:paraId="1D87A4B8" w14:textId="77777777" w:rsidR="0021177B" w:rsidRPr="000223A8" w:rsidRDefault="0021177B" w:rsidP="009E3B2F">
            <w:pPr>
              <w:spacing w:after="0" w:line="240" w:lineRule="auto"/>
              <w:jc w:val="center"/>
              <w:rPr>
                <w:rFonts w:ascii="Futura Std Condensed Light" w:eastAsia="Calibri" w:hAnsi="Futura Std Condensed Light" w:cs="Calibri"/>
                <w:sz w:val="20"/>
                <w:szCs w:val="20"/>
              </w:rPr>
            </w:pPr>
            <w:r w:rsidRPr="000223A8">
              <w:rPr>
                <w:rFonts w:ascii="Futura Std Condensed Light" w:eastAsia="Calibri" w:hAnsi="Futura Std Condensed Light" w:cs="Calibri"/>
                <w:sz w:val="20"/>
                <w:szCs w:val="20"/>
              </w:rPr>
              <w:t>80.93</w:t>
            </w:r>
          </w:p>
        </w:tc>
        <w:tc>
          <w:tcPr>
            <w:tcW w:w="963" w:type="pct"/>
            <w:gridSpan w:val="2"/>
          </w:tcPr>
          <w:p w14:paraId="77C6F717" w14:textId="77777777" w:rsidR="0021177B" w:rsidRPr="000223A8" w:rsidRDefault="0021177B" w:rsidP="009E3B2F">
            <w:pPr>
              <w:spacing w:after="0" w:line="240" w:lineRule="auto"/>
              <w:jc w:val="center"/>
              <w:rPr>
                <w:rFonts w:ascii="Futura Std Condensed Light" w:eastAsia="Calibri" w:hAnsi="Futura Std Condensed Light" w:cs="Calibri"/>
                <w:sz w:val="20"/>
                <w:szCs w:val="20"/>
              </w:rPr>
            </w:pPr>
            <w:r w:rsidRPr="000223A8">
              <w:rPr>
                <w:rFonts w:ascii="Futura Std Condensed Light" w:eastAsia="Calibri" w:hAnsi="Futura Std Condensed Light" w:cs="Calibri"/>
                <w:sz w:val="20"/>
                <w:szCs w:val="20"/>
              </w:rPr>
              <w:t>81.45</w:t>
            </w:r>
          </w:p>
        </w:tc>
        <w:tc>
          <w:tcPr>
            <w:tcW w:w="846" w:type="pct"/>
          </w:tcPr>
          <w:p w14:paraId="27021BCD" w14:textId="77777777" w:rsidR="0021177B" w:rsidRPr="000223A8" w:rsidRDefault="0021177B" w:rsidP="009E3B2F">
            <w:pPr>
              <w:spacing w:after="0" w:line="240" w:lineRule="auto"/>
              <w:jc w:val="center"/>
              <w:rPr>
                <w:rFonts w:ascii="Futura Std Condensed Light" w:eastAsia="Calibri" w:hAnsi="Futura Std Condensed Light" w:cs="Calibri"/>
                <w:sz w:val="20"/>
                <w:szCs w:val="20"/>
              </w:rPr>
            </w:pPr>
            <w:r w:rsidRPr="000223A8">
              <w:rPr>
                <w:rFonts w:ascii="Futura Std Condensed Light" w:eastAsia="Calibri" w:hAnsi="Futura Std Condensed Light" w:cs="Calibri"/>
                <w:sz w:val="20"/>
                <w:szCs w:val="20"/>
              </w:rPr>
              <w:t>81.97</w:t>
            </w:r>
          </w:p>
        </w:tc>
      </w:tr>
    </w:tbl>
    <w:p w14:paraId="69805F2C" w14:textId="27BEC163" w:rsidR="00491C2C" w:rsidRPr="000223A8" w:rsidRDefault="00491C2C" w:rsidP="0021177B"/>
    <w:p w14:paraId="19742C28" w14:textId="77777777" w:rsidR="00A26217" w:rsidRDefault="00A26217">
      <w:pPr>
        <w:spacing w:after="0" w:line="240" w:lineRule="auto"/>
        <w:jc w:val="left"/>
        <w:rPr>
          <w:rFonts w:eastAsia="Arial" w:cs="Times New Roman"/>
          <w:b/>
          <w:color w:val="4BACC6" w:themeColor="accent5"/>
        </w:rPr>
      </w:pPr>
      <w:r>
        <w:rPr>
          <w:rFonts w:eastAsia="Arial" w:cs="Times New Roman"/>
          <w:b/>
          <w:color w:val="4BACC6" w:themeColor="accent5"/>
        </w:rPr>
        <w:br w:type="page"/>
      </w:r>
    </w:p>
    <w:p w14:paraId="5C936B1E" w14:textId="108A01CF" w:rsidR="0021177B" w:rsidRDefault="00FA0940" w:rsidP="0021177B">
      <w:pPr>
        <w:jc w:val="center"/>
      </w:pPr>
      <w:r>
        <w:rPr>
          <w:rFonts w:eastAsia="Arial" w:cs="Times New Roman"/>
          <w:b/>
          <w:color w:val="4BACC6" w:themeColor="accent5"/>
        </w:rPr>
        <w:lastRenderedPageBreak/>
        <w:t>Cuadro 31</w:t>
      </w:r>
      <w:r w:rsidR="0021177B">
        <w:rPr>
          <w:rFonts w:eastAsia="Arial" w:cs="Times New Roman"/>
          <w:b/>
          <w:color w:val="4BACC6" w:themeColor="accent5"/>
        </w:rPr>
        <w:t>. Entregable y meta de la línea de acción 5 del PED</w:t>
      </w:r>
    </w:p>
    <w:tbl>
      <w:tblPr>
        <w:tblStyle w:val="Tablaconcuadrcula"/>
        <w:tblW w:w="5000" w:type="pct"/>
        <w:tblLook w:val="04A0" w:firstRow="1" w:lastRow="0" w:firstColumn="1" w:lastColumn="0" w:noHBand="0" w:noVBand="1"/>
      </w:tblPr>
      <w:tblGrid>
        <w:gridCol w:w="1489"/>
        <w:gridCol w:w="814"/>
        <w:gridCol w:w="679"/>
        <w:gridCol w:w="462"/>
        <w:gridCol w:w="687"/>
        <w:gridCol w:w="576"/>
        <w:gridCol w:w="462"/>
        <w:gridCol w:w="917"/>
        <w:gridCol w:w="1205"/>
        <w:gridCol w:w="6"/>
        <w:gridCol w:w="626"/>
        <w:gridCol w:w="1614"/>
      </w:tblGrid>
      <w:tr w:rsidR="0086391F" w:rsidRPr="008835BC" w14:paraId="7DEF4C6A" w14:textId="77777777" w:rsidTr="008835BC">
        <w:trPr>
          <w:trHeight w:val="182"/>
        </w:trPr>
        <w:tc>
          <w:tcPr>
            <w:tcW w:w="1806" w:type="pct"/>
            <w:gridSpan w:val="4"/>
            <w:shd w:val="clear" w:color="auto" w:fill="A6A6A6" w:themeFill="background1" w:themeFillShade="A6"/>
          </w:tcPr>
          <w:p w14:paraId="1E814766" w14:textId="77777777" w:rsidR="0021177B" w:rsidRPr="008835BC" w:rsidRDefault="0021177B" w:rsidP="009E3B2F">
            <w:pPr>
              <w:spacing w:after="0" w:line="240" w:lineRule="auto"/>
              <w:jc w:val="center"/>
              <w:rPr>
                <w:rFonts w:ascii="Futura Std Condensed Light" w:eastAsia="Calibri" w:hAnsi="Futura Std Condensed Light" w:cs="Calibri"/>
                <w:color w:val="auto"/>
                <w:sz w:val="20"/>
                <w:szCs w:val="20"/>
              </w:rPr>
            </w:pPr>
            <w:r w:rsidRPr="008835BC">
              <w:rPr>
                <w:rFonts w:ascii="Futura Std Condensed Light" w:eastAsia="Calibri" w:hAnsi="Futura Std Condensed Light" w:cs="Calibri"/>
                <w:color w:val="auto"/>
                <w:sz w:val="20"/>
                <w:szCs w:val="20"/>
              </w:rPr>
              <w:t>Programa PED</w:t>
            </w:r>
          </w:p>
        </w:tc>
        <w:tc>
          <w:tcPr>
            <w:tcW w:w="3194" w:type="pct"/>
            <w:gridSpan w:val="8"/>
            <w:shd w:val="clear" w:color="auto" w:fill="A6A6A6" w:themeFill="background1" w:themeFillShade="A6"/>
          </w:tcPr>
          <w:p w14:paraId="609CE44D" w14:textId="77777777" w:rsidR="0021177B" w:rsidRPr="008835BC" w:rsidRDefault="0021177B" w:rsidP="009E3B2F">
            <w:pPr>
              <w:spacing w:after="0" w:line="240" w:lineRule="auto"/>
              <w:jc w:val="center"/>
              <w:rPr>
                <w:rFonts w:ascii="Futura Std Condensed Light" w:eastAsia="Calibri" w:hAnsi="Futura Std Condensed Light" w:cs="Calibri"/>
                <w:color w:val="auto"/>
                <w:sz w:val="20"/>
                <w:szCs w:val="20"/>
              </w:rPr>
            </w:pPr>
            <w:r w:rsidRPr="008835BC">
              <w:rPr>
                <w:rFonts w:ascii="Futura Std Condensed Light" w:eastAsia="Calibri" w:hAnsi="Futura Std Condensed Light" w:cs="Calibri"/>
                <w:color w:val="auto"/>
                <w:sz w:val="20"/>
                <w:szCs w:val="20"/>
              </w:rPr>
              <w:t>Programa Sectorial Educación Pública de Calidad</w:t>
            </w:r>
          </w:p>
        </w:tc>
      </w:tr>
      <w:tr w:rsidR="0021177B" w:rsidRPr="0067247A" w14:paraId="7AE0DA4A" w14:textId="77777777" w:rsidTr="009E3B2F">
        <w:trPr>
          <w:trHeight w:val="469"/>
        </w:trPr>
        <w:tc>
          <w:tcPr>
            <w:tcW w:w="1806" w:type="pct"/>
            <w:gridSpan w:val="4"/>
          </w:tcPr>
          <w:p w14:paraId="605374AB" w14:textId="77777777" w:rsidR="0021177B" w:rsidRPr="0067247A" w:rsidRDefault="0021177B" w:rsidP="009E3B2F">
            <w:pPr>
              <w:spacing w:after="0" w:line="240" w:lineRule="auto"/>
              <w:jc w:val="center"/>
              <w:rPr>
                <w:rFonts w:ascii="Futura Std Condensed Light" w:eastAsia="Calibri" w:hAnsi="Futura Std Condensed Light" w:cs="Calibri"/>
                <w:b/>
                <w:sz w:val="20"/>
                <w:szCs w:val="20"/>
              </w:rPr>
            </w:pPr>
            <w:r w:rsidRPr="0067247A">
              <w:rPr>
                <w:rFonts w:ascii="Futura Std Condensed Light" w:eastAsia="Calibri" w:hAnsi="Futura Std Condensed Light" w:cs="Calibri"/>
                <w:b/>
                <w:sz w:val="20"/>
                <w:szCs w:val="20"/>
              </w:rPr>
              <w:t>Línea de acción:</w:t>
            </w:r>
          </w:p>
        </w:tc>
        <w:tc>
          <w:tcPr>
            <w:tcW w:w="3194" w:type="pct"/>
            <w:gridSpan w:val="8"/>
          </w:tcPr>
          <w:p w14:paraId="7CAFAF31" w14:textId="77777777" w:rsidR="0021177B" w:rsidRPr="0067247A" w:rsidRDefault="0021177B" w:rsidP="009E3B2F">
            <w:pPr>
              <w:spacing w:after="0" w:line="240" w:lineRule="auto"/>
              <w:jc w:val="center"/>
              <w:rPr>
                <w:rFonts w:ascii="Futura Std Condensed Light" w:eastAsia="Calibri" w:hAnsi="Futura Std Condensed Light" w:cs="Calibri"/>
                <w:sz w:val="20"/>
                <w:szCs w:val="20"/>
              </w:rPr>
            </w:pPr>
            <w:r w:rsidRPr="0067247A">
              <w:rPr>
                <w:rFonts w:ascii="Futura Std Condensed Light" w:eastAsia="Calibri" w:hAnsi="Futura Std Condensed Light" w:cs="Calibri"/>
                <w:sz w:val="20"/>
                <w:szCs w:val="20"/>
              </w:rPr>
              <w:t>5.  Desarrollar una estrategia integral que permita ampliar la cobertura educativa de nivel superior en las instituciones públicas.</w:t>
            </w:r>
          </w:p>
        </w:tc>
      </w:tr>
      <w:tr w:rsidR="0021177B" w:rsidRPr="0067247A" w14:paraId="52869D46" w14:textId="77777777" w:rsidTr="009E3B2F">
        <w:trPr>
          <w:trHeight w:val="484"/>
        </w:trPr>
        <w:tc>
          <w:tcPr>
            <w:tcW w:w="1806" w:type="pct"/>
            <w:gridSpan w:val="4"/>
          </w:tcPr>
          <w:p w14:paraId="1F2353E1" w14:textId="77777777" w:rsidR="0021177B" w:rsidRPr="0067247A" w:rsidRDefault="0021177B" w:rsidP="009E3B2F">
            <w:pPr>
              <w:spacing w:after="0" w:line="240" w:lineRule="auto"/>
              <w:jc w:val="center"/>
              <w:rPr>
                <w:rFonts w:ascii="Futura Std Condensed Light" w:eastAsia="Calibri" w:hAnsi="Futura Std Condensed Light" w:cs="Calibri"/>
                <w:b/>
                <w:sz w:val="20"/>
                <w:szCs w:val="20"/>
              </w:rPr>
            </w:pPr>
            <w:r w:rsidRPr="0067247A">
              <w:rPr>
                <w:rFonts w:ascii="Futura Std Condensed Light" w:eastAsia="Calibri" w:hAnsi="Futura Std Condensed Light" w:cs="Calibri"/>
                <w:b/>
                <w:sz w:val="20"/>
                <w:szCs w:val="20"/>
              </w:rPr>
              <w:t>Plan Estratégico Objetivo Especifico</w:t>
            </w:r>
          </w:p>
        </w:tc>
        <w:tc>
          <w:tcPr>
            <w:tcW w:w="3194" w:type="pct"/>
            <w:gridSpan w:val="8"/>
          </w:tcPr>
          <w:p w14:paraId="2955901E" w14:textId="77777777" w:rsidR="0021177B" w:rsidRPr="0067247A" w:rsidRDefault="0021177B" w:rsidP="009E3B2F">
            <w:pPr>
              <w:spacing w:after="0" w:line="240" w:lineRule="auto"/>
              <w:jc w:val="center"/>
              <w:rPr>
                <w:rFonts w:ascii="Futura Std Condensed Light" w:eastAsia="Calibri" w:hAnsi="Futura Std Condensed Light" w:cs="Calibri"/>
                <w:sz w:val="20"/>
                <w:szCs w:val="20"/>
              </w:rPr>
            </w:pPr>
            <w:r w:rsidRPr="0067247A">
              <w:rPr>
                <w:rFonts w:ascii="Futura Std Condensed Light" w:eastAsia="Calibri" w:hAnsi="Futura Std Condensed Light" w:cs="Calibri"/>
                <w:sz w:val="20"/>
                <w:szCs w:val="20"/>
              </w:rPr>
              <w:t>Disminuir la desigualdad en sus diversas formas </w:t>
            </w:r>
          </w:p>
        </w:tc>
      </w:tr>
      <w:tr w:rsidR="0021177B" w:rsidRPr="0067247A" w14:paraId="1048FB4C" w14:textId="77777777" w:rsidTr="009E3B2F">
        <w:trPr>
          <w:trHeight w:val="484"/>
        </w:trPr>
        <w:tc>
          <w:tcPr>
            <w:tcW w:w="1208" w:type="pct"/>
            <w:gridSpan w:val="2"/>
          </w:tcPr>
          <w:p w14:paraId="114C601F" w14:textId="77777777" w:rsidR="0021177B" w:rsidRPr="0067247A" w:rsidRDefault="0021177B" w:rsidP="009E3B2F">
            <w:pPr>
              <w:spacing w:after="0" w:line="240" w:lineRule="auto"/>
              <w:jc w:val="center"/>
              <w:rPr>
                <w:rFonts w:ascii="Futura Std Condensed Light" w:eastAsia="Calibri" w:hAnsi="Futura Std Condensed Light" w:cs="Calibri"/>
                <w:b/>
                <w:sz w:val="20"/>
                <w:szCs w:val="20"/>
              </w:rPr>
            </w:pPr>
            <w:r w:rsidRPr="0067247A">
              <w:rPr>
                <w:rFonts w:ascii="Futura Std Condensed Light" w:eastAsia="Calibri" w:hAnsi="Futura Std Condensed Light" w:cs="Calibri"/>
                <w:b/>
                <w:sz w:val="20"/>
                <w:szCs w:val="20"/>
              </w:rPr>
              <w:t>Entregable:</w:t>
            </w:r>
          </w:p>
        </w:tc>
        <w:tc>
          <w:tcPr>
            <w:tcW w:w="958" w:type="pct"/>
            <w:gridSpan w:val="3"/>
          </w:tcPr>
          <w:p w14:paraId="3A1048FF" w14:textId="77777777" w:rsidR="0021177B" w:rsidRPr="0067247A" w:rsidRDefault="0021177B" w:rsidP="009E3B2F">
            <w:pPr>
              <w:spacing w:after="0" w:line="240" w:lineRule="auto"/>
              <w:jc w:val="center"/>
              <w:rPr>
                <w:rFonts w:ascii="Futura Std Condensed Light" w:eastAsia="Calibri" w:hAnsi="Futura Std Condensed Light" w:cs="Calibri"/>
                <w:sz w:val="20"/>
                <w:szCs w:val="20"/>
              </w:rPr>
            </w:pPr>
            <w:r w:rsidRPr="000223A8">
              <w:rPr>
                <w:rFonts w:ascii="Futura Std Condensed Light" w:eastAsia="Calibri" w:hAnsi="Futura Std Condensed Light" w:cs="Calibri"/>
                <w:sz w:val="20"/>
                <w:szCs w:val="20"/>
              </w:rPr>
              <w:t>Estrategia que permita ampliar la cober</w:t>
            </w:r>
            <w:r>
              <w:rPr>
                <w:rFonts w:ascii="Futura Std Condensed Light" w:eastAsia="Calibri" w:hAnsi="Futura Std Condensed Light" w:cs="Calibri"/>
                <w:sz w:val="20"/>
                <w:szCs w:val="20"/>
              </w:rPr>
              <w:t>tura en el nivel superior</w:t>
            </w:r>
          </w:p>
        </w:tc>
        <w:tc>
          <w:tcPr>
            <w:tcW w:w="1660" w:type="pct"/>
            <w:gridSpan w:val="5"/>
          </w:tcPr>
          <w:p w14:paraId="1DCD4045" w14:textId="77777777" w:rsidR="0021177B" w:rsidRPr="0067247A" w:rsidRDefault="0021177B" w:rsidP="009E3B2F">
            <w:pPr>
              <w:spacing w:after="0" w:line="240" w:lineRule="auto"/>
              <w:jc w:val="center"/>
              <w:rPr>
                <w:rFonts w:ascii="Futura Std Condensed Light" w:eastAsia="Calibri" w:hAnsi="Futura Std Condensed Light" w:cs="Calibri"/>
                <w:b/>
                <w:sz w:val="20"/>
                <w:szCs w:val="20"/>
              </w:rPr>
            </w:pPr>
            <w:r w:rsidRPr="0067247A">
              <w:rPr>
                <w:rFonts w:ascii="Futura Std Condensed Light" w:eastAsia="Calibri" w:hAnsi="Futura Std Condensed Light" w:cs="Calibri"/>
                <w:b/>
                <w:sz w:val="20"/>
                <w:szCs w:val="20"/>
              </w:rPr>
              <w:t>Unidad de Medida:</w:t>
            </w:r>
          </w:p>
        </w:tc>
        <w:tc>
          <w:tcPr>
            <w:tcW w:w="1173" w:type="pct"/>
            <w:gridSpan w:val="2"/>
          </w:tcPr>
          <w:p w14:paraId="6627648A" w14:textId="77777777" w:rsidR="0021177B" w:rsidRPr="0067247A" w:rsidRDefault="0021177B" w:rsidP="009E3B2F">
            <w:pPr>
              <w:spacing w:after="0" w:line="240" w:lineRule="auto"/>
              <w:jc w:val="center"/>
              <w:rPr>
                <w:rFonts w:ascii="Futura Std Condensed Light" w:eastAsia="Calibri" w:hAnsi="Futura Std Condensed Light" w:cs="Calibri"/>
                <w:sz w:val="20"/>
                <w:szCs w:val="20"/>
              </w:rPr>
            </w:pPr>
            <w:r w:rsidRPr="000223A8">
              <w:rPr>
                <w:rFonts w:ascii="Futura Std Condensed Light" w:eastAsia="Calibri" w:hAnsi="Futura Std Condensed Light" w:cs="Calibri"/>
                <w:sz w:val="20"/>
                <w:szCs w:val="20"/>
              </w:rPr>
              <w:t>Cober</w:t>
            </w:r>
            <w:r>
              <w:rPr>
                <w:rFonts w:ascii="Futura Std Condensed Light" w:eastAsia="Calibri" w:hAnsi="Futura Std Condensed Light" w:cs="Calibri"/>
                <w:sz w:val="20"/>
                <w:szCs w:val="20"/>
              </w:rPr>
              <w:t>tura de educación superior</w:t>
            </w:r>
          </w:p>
        </w:tc>
      </w:tr>
      <w:tr w:rsidR="0021177B" w:rsidRPr="0067247A" w14:paraId="704A0438" w14:textId="77777777" w:rsidTr="009E3B2F">
        <w:trPr>
          <w:trHeight w:val="449"/>
        </w:trPr>
        <w:tc>
          <w:tcPr>
            <w:tcW w:w="1208" w:type="pct"/>
            <w:gridSpan w:val="2"/>
          </w:tcPr>
          <w:p w14:paraId="5ADD3B12" w14:textId="77777777" w:rsidR="0021177B" w:rsidRPr="0067247A" w:rsidRDefault="0021177B" w:rsidP="009E3B2F">
            <w:pPr>
              <w:spacing w:after="0" w:line="240" w:lineRule="auto"/>
              <w:jc w:val="center"/>
              <w:rPr>
                <w:rFonts w:ascii="Futura Std Condensed Light" w:eastAsia="Calibri" w:hAnsi="Futura Std Condensed Light" w:cs="Calibri"/>
                <w:b/>
                <w:sz w:val="20"/>
                <w:szCs w:val="20"/>
              </w:rPr>
            </w:pPr>
            <w:r w:rsidRPr="0067247A">
              <w:rPr>
                <w:rFonts w:ascii="Futura Std Condensed Light" w:eastAsia="Calibri" w:hAnsi="Futura Std Condensed Light" w:cs="Calibri"/>
                <w:b/>
                <w:sz w:val="20"/>
                <w:szCs w:val="20"/>
              </w:rPr>
              <w:t>Descripción:</w:t>
            </w:r>
          </w:p>
        </w:tc>
        <w:tc>
          <w:tcPr>
            <w:tcW w:w="3792" w:type="pct"/>
            <w:gridSpan w:val="10"/>
          </w:tcPr>
          <w:p w14:paraId="742FFEAC" w14:textId="77777777" w:rsidR="0021177B" w:rsidRPr="0067247A" w:rsidRDefault="0021177B" w:rsidP="009E3B2F">
            <w:pPr>
              <w:spacing w:after="0" w:line="240" w:lineRule="auto"/>
              <w:jc w:val="center"/>
              <w:rPr>
                <w:rFonts w:ascii="Futura Std Condensed Light" w:eastAsia="Calibri" w:hAnsi="Futura Std Condensed Light" w:cs="Calibri"/>
                <w:sz w:val="20"/>
                <w:szCs w:val="20"/>
              </w:rPr>
            </w:pPr>
            <w:r w:rsidRPr="0067247A">
              <w:rPr>
                <w:rFonts w:ascii="Futura Std Condensed Light" w:eastAsia="Calibri" w:hAnsi="Futura Std Condensed Light" w:cs="Calibri"/>
                <w:sz w:val="20"/>
                <w:szCs w:val="20"/>
              </w:rPr>
              <w:t>Aplicar estrategias que permitan incrementar la cantidad  de jóvenes en edad de 18 a 22 años que se encuentran en la licenciatura y posgrado matriculados en las escuelas de educación superior en el ciclo escolar vigente, en relación a la totalidad de jóvenes en este rango de edad que reside en Quintana Roo.</w:t>
            </w:r>
          </w:p>
        </w:tc>
      </w:tr>
      <w:tr w:rsidR="0021177B" w:rsidRPr="0067247A" w14:paraId="7E7947C6" w14:textId="77777777" w:rsidTr="009E3B2F">
        <w:trPr>
          <w:trHeight w:val="484"/>
        </w:trPr>
        <w:tc>
          <w:tcPr>
            <w:tcW w:w="1806" w:type="pct"/>
            <w:gridSpan w:val="4"/>
          </w:tcPr>
          <w:p w14:paraId="6290BC5F" w14:textId="77777777" w:rsidR="0021177B" w:rsidRPr="0067247A" w:rsidRDefault="0021177B" w:rsidP="009E3B2F">
            <w:pPr>
              <w:spacing w:after="0" w:line="240" w:lineRule="auto"/>
              <w:jc w:val="center"/>
              <w:rPr>
                <w:rFonts w:ascii="Futura Std Condensed Light" w:eastAsia="Calibri" w:hAnsi="Futura Std Condensed Light" w:cs="Calibri"/>
                <w:b/>
                <w:sz w:val="20"/>
                <w:szCs w:val="20"/>
              </w:rPr>
            </w:pPr>
            <w:r w:rsidRPr="0067247A">
              <w:rPr>
                <w:rFonts w:ascii="Futura Std Condensed Light" w:eastAsia="Calibri" w:hAnsi="Futura Std Condensed Light" w:cs="Calibri"/>
                <w:b/>
                <w:sz w:val="20"/>
                <w:szCs w:val="20"/>
              </w:rPr>
              <w:t>Medio de verificación:</w:t>
            </w:r>
          </w:p>
        </w:tc>
        <w:tc>
          <w:tcPr>
            <w:tcW w:w="3194" w:type="pct"/>
            <w:gridSpan w:val="8"/>
          </w:tcPr>
          <w:p w14:paraId="6597753B" w14:textId="77777777" w:rsidR="0021177B" w:rsidRPr="0067247A" w:rsidRDefault="0021177B" w:rsidP="009E3B2F">
            <w:pPr>
              <w:spacing w:after="0" w:line="240" w:lineRule="auto"/>
              <w:jc w:val="center"/>
              <w:rPr>
                <w:rFonts w:ascii="Futura Std Condensed Light" w:eastAsia="Calibri" w:hAnsi="Futura Std Condensed Light" w:cs="Calibri"/>
                <w:sz w:val="20"/>
                <w:szCs w:val="20"/>
              </w:rPr>
            </w:pPr>
            <w:r w:rsidRPr="0067247A">
              <w:rPr>
                <w:rFonts w:ascii="Futura Std Condensed Light" w:eastAsia="Calibri" w:hAnsi="Futura Std Condensed Light" w:cs="Calibri"/>
                <w:sz w:val="20"/>
                <w:szCs w:val="20"/>
              </w:rPr>
              <w:t>Indicadores Educativos, Secretaría de Educación de Quintana Roo.</w:t>
            </w:r>
          </w:p>
        </w:tc>
      </w:tr>
      <w:tr w:rsidR="0021177B" w:rsidRPr="0067247A" w14:paraId="14003A2A" w14:textId="77777777" w:rsidTr="009E3B2F">
        <w:trPr>
          <w:trHeight w:val="484"/>
        </w:trPr>
        <w:tc>
          <w:tcPr>
            <w:tcW w:w="1806" w:type="pct"/>
            <w:gridSpan w:val="4"/>
          </w:tcPr>
          <w:p w14:paraId="0DC373FD" w14:textId="77777777" w:rsidR="0021177B" w:rsidRPr="0067247A" w:rsidRDefault="0021177B" w:rsidP="009E3B2F">
            <w:pPr>
              <w:spacing w:after="0" w:line="240" w:lineRule="auto"/>
              <w:jc w:val="center"/>
              <w:rPr>
                <w:rFonts w:ascii="Futura Std Condensed Light" w:eastAsia="Calibri" w:hAnsi="Futura Std Condensed Light" w:cs="Calibri"/>
                <w:b/>
                <w:sz w:val="20"/>
                <w:szCs w:val="20"/>
              </w:rPr>
            </w:pPr>
            <w:r w:rsidRPr="0067247A">
              <w:rPr>
                <w:rFonts w:ascii="Futura Std Condensed Light" w:eastAsia="Calibri" w:hAnsi="Futura Std Condensed Light" w:cs="Calibri"/>
                <w:b/>
                <w:sz w:val="20"/>
                <w:szCs w:val="20"/>
              </w:rPr>
              <w:t>Línea base:</w:t>
            </w:r>
          </w:p>
        </w:tc>
        <w:tc>
          <w:tcPr>
            <w:tcW w:w="904" w:type="pct"/>
            <w:gridSpan w:val="3"/>
          </w:tcPr>
          <w:p w14:paraId="1E456A88" w14:textId="77777777" w:rsidR="0021177B" w:rsidRPr="0067247A" w:rsidRDefault="0021177B" w:rsidP="009E3B2F">
            <w:pPr>
              <w:spacing w:after="0" w:line="240" w:lineRule="auto"/>
              <w:jc w:val="center"/>
              <w:rPr>
                <w:rFonts w:ascii="Futura Std Condensed Light" w:eastAsia="Calibri" w:hAnsi="Futura Std Condensed Light" w:cs="Calibri"/>
                <w:sz w:val="20"/>
                <w:szCs w:val="20"/>
              </w:rPr>
            </w:pPr>
            <w:r w:rsidRPr="0067247A">
              <w:rPr>
                <w:rFonts w:ascii="Futura Std Condensed Light" w:eastAsia="Calibri" w:hAnsi="Futura Std Condensed Light" w:cs="Calibri"/>
                <w:sz w:val="20"/>
                <w:szCs w:val="20"/>
              </w:rPr>
              <w:t>26.06</w:t>
            </w:r>
          </w:p>
        </w:tc>
        <w:tc>
          <w:tcPr>
            <w:tcW w:w="1113" w:type="pct"/>
            <w:gridSpan w:val="2"/>
          </w:tcPr>
          <w:p w14:paraId="6814B108" w14:textId="77777777" w:rsidR="0021177B" w:rsidRPr="0067247A" w:rsidRDefault="0021177B" w:rsidP="009E3B2F">
            <w:pPr>
              <w:spacing w:after="0" w:line="240" w:lineRule="auto"/>
              <w:jc w:val="center"/>
              <w:rPr>
                <w:rFonts w:ascii="Futura Std Condensed Light" w:eastAsia="Calibri" w:hAnsi="Futura Std Condensed Light" w:cs="Calibri"/>
                <w:b/>
                <w:sz w:val="20"/>
                <w:szCs w:val="20"/>
              </w:rPr>
            </w:pPr>
            <w:r w:rsidRPr="0067247A">
              <w:rPr>
                <w:rFonts w:ascii="Futura Std Condensed Light" w:eastAsia="Calibri" w:hAnsi="Futura Std Condensed Light" w:cs="Calibri"/>
                <w:b/>
                <w:sz w:val="20"/>
                <w:szCs w:val="20"/>
              </w:rPr>
              <w:t>Año de línea base:</w:t>
            </w:r>
          </w:p>
        </w:tc>
        <w:tc>
          <w:tcPr>
            <w:tcW w:w="1178" w:type="pct"/>
            <w:gridSpan w:val="3"/>
          </w:tcPr>
          <w:p w14:paraId="7CD860A3" w14:textId="77777777" w:rsidR="0021177B" w:rsidRPr="0067247A" w:rsidRDefault="0021177B" w:rsidP="009E3B2F">
            <w:pPr>
              <w:spacing w:after="0" w:line="240" w:lineRule="auto"/>
              <w:jc w:val="center"/>
              <w:rPr>
                <w:rFonts w:ascii="Futura Std Condensed Light" w:eastAsia="Calibri" w:hAnsi="Futura Std Condensed Light" w:cs="Calibri"/>
                <w:sz w:val="20"/>
                <w:szCs w:val="20"/>
              </w:rPr>
            </w:pPr>
            <w:r w:rsidRPr="0067247A">
              <w:rPr>
                <w:rFonts w:ascii="Futura Std Condensed Light" w:eastAsia="Calibri" w:hAnsi="Futura Std Condensed Light" w:cs="Calibri"/>
                <w:sz w:val="20"/>
                <w:szCs w:val="20"/>
              </w:rPr>
              <w:t>2016</w:t>
            </w:r>
          </w:p>
        </w:tc>
      </w:tr>
      <w:tr w:rsidR="0021177B" w:rsidRPr="0067247A" w14:paraId="56CBA65C" w14:textId="77777777" w:rsidTr="009E3B2F">
        <w:trPr>
          <w:trHeight w:val="484"/>
        </w:trPr>
        <w:tc>
          <w:tcPr>
            <w:tcW w:w="1806" w:type="pct"/>
            <w:gridSpan w:val="4"/>
          </w:tcPr>
          <w:p w14:paraId="67C414ED" w14:textId="77777777" w:rsidR="0021177B" w:rsidRPr="0067247A" w:rsidRDefault="0021177B" w:rsidP="009E3B2F">
            <w:pPr>
              <w:spacing w:after="0" w:line="240" w:lineRule="auto"/>
              <w:jc w:val="center"/>
              <w:rPr>
                <w:rFonts w:ascii="Futura Std Condensed Light" w:eastAsia="Calibri" w:hAnsi="Futura Std Condensed Light" w:cs="Calibri"/>
                <w:b/>
                <w:sz w:val="20"/>
                <w:szCs w:val="20"/>
              </w:rPr>
            </w:pPr>
            <w:r w:rsidRPr="0067247A">
              <w:rPr>
                <w:rFonts w:ascii="Futura Std Condensed Light" w:eastAsia="Calibri" w:hAnsi="Futura Std Condensed Light" w:cs="Calibri"/>
                <w:b/>
                <w:sz w:val="20"/>
                <w:szCs w:val="20"/>
              </w:rPr>
              <w:t>Contribución Directa al Objetivo de la Agenda 2030</w:t>
            </w:r>
          </w:p>
        </w:tc>
        <w:tc>
          <w:tcPr>
            <w:tcW w:w="3194" w:type="pct"/>
            <w:gridSpan w:val="8"/>
          </w:tcPr>
          <w:p w14:paraId="6863C6B9" w14:textId="77777777" w:rsidR="0021177B" w:rsidRPr="0067247A" w:rsidRDefault="0021177B" w:rsidP="009E3B2F">
            <w:pPr>
              <w:spacing w:after="0" w:line="240" w:lineRule="auto"/>
              <w:jc w:val="center"/>
              <w:rPr>
                <w:rFonts w:ascii="Futura Std Condensed Light" w:eastAsia="Calibri" w:hAnsi="Futura Std Condensed Light" w:cs="Calibri"/>
                <w:sz w:val="20"/>
                <w:szCs w:val="20"/>
              </w:rPr>
            </w:pPr>
            <w:r w:rsidRPr="0067247A">
              <w:rPr>
                <w:rFonts w:ascii="Futura Std Condensed Light" w:eastAsia="Calibri" w:hAnsi="Futura Std Condensed Light" w:cs="Calibri"/>
                <w:sz w:val="20"/>
                <w:szCs w:val="20"/>
              </w:rPr>
              <w:t>Garantizar una educación inclusiva, equitativa y de calidad y promover oportunidades de aprendizaje durante toda la vida para todos</w:t>
            </w:r>
          </w:p>
        </w:tc>
      </w:tr>
      <w:tr w:rsidR="0021177B" w:rsidRPr="0067247A" w14:paraId="5C5025D0" w14:textId="77777777" w:rsidTr="009E3B2F">
        <w:trPr>
          <w:trHeight w:val="484"/>
        </w:trPr>
        <w:tc>
          <w:tcPr>
            <w:tcW w:w="1806" w:type="pct"/>
            <w:gridSpan w:val="4"/>
          </w:tcPr>
          <w:p w14:paraId="5DB9FAA0" w14:textId="77777777" w:rsidR="0021177B" w:rsidRPr="0067247A" w:rsidRDefault="0021177B" w:rsidP="009E3B2F">
            <w:pPr>
              <w:spacing w:after="0" w:line="240" w:lineRule="auto"/>
              <w:jc w:val="center"/>
              <w:rPr>
                <w:rFonts w:ascii="Futura Std Condensed Light" w:eastAsia="Calibri" w:hAnsi="Futura Std Condensed Light" w:cs="Calibri"/>
                <w:b/>
                <w:sz w:val="20"/>
                <w:szCs w:val="20"/>
              </w:rPr>
            </w:pPr>
            <w:r w:rsidRPr="0067247A">
              <w:rPr>
                <w:rFonts w:ascii="Futura Std Condensed Light" w:eastAsia="Calibri" w:hAnsi="Futura Std Condensed Light" w:cs="Calibri"/>
                <w:b/>
                <w:sz w:val="20"/>
                <w:szCs w:val="20"/>
              </w:rPr>
              <w:t>Contribución Directa  a la Meta de la Agenda 2030</w:t>
            </w:r>
          </w:p>
        </w:tc>
        <w:tc>
          <w:tcPr>
            <w:tcW w:w="3194" w:type="pct"/>
            <w:gridSpan w:val="8"/>
          </w:tcPr>
          <w:p w14:paraId="42D0B8D9" w14:textId="77777777" w:rsidR="0021177B" w:rsidRPr="0067247A" w:rsidRDefault="0021177B" w:rsidP="009E3B2F">
            <w:pPr>
              <w:spacing w:after="0" w:line="240" w:lineRule="auto"/>
              <w:jc w:val="center"/>
              <w:rPr>
                <w:rFonts w:ascii="Futura Std Condensed Light" w:eastAsia="Calibri" w:hAnsi="Futura Std Condensed Light" w:cs="Calibri"/>
                <w:sz w:val="20"/>
                <w:szCs w:val="20"/>
              </w:rPr>
            </w:pPr>
            <w:r w:rsidRPr="0067247A">
              <w:rPr>
                <w:rFonts w:ascii="Futura Std Condensed Light" w:eastAsia="Calibri" w:hAnsi="Futura Std Condensed Light" w:cs="Calibri"/>
                <w:sz w:val="20"/>
                <w:szCs w:val="20"/>
              </w:rPr>
              <w:t>De aquí a 2030, asegurar el acceso igualitario de todos los hombres y las mujeres a una formación técnica, profesional y superior de calidad, incluida la enseñanza universitaria.</w:t>
            </w:r>
          </w:p>
        </w:tc>
      </w:tr>
      <w:tr w:rsidR="0021177B" w:rsidRPr="0067247A" w14:paraId="08262F57" w14:textId="77777777" w:rsidTr="009E3B2F">
        <w:trPr>
          <w:trHeight w:val="484"/>
        </w:trPr>
        <w:tc>
          <w:tcPr>
            <w:tcW w:w="1806" w:type="pct"/>
            <w:gridSpan w:val="4"/>
          </w:tcPr>
          <w:p w14:paraId="09C77342" w14:textId="77777777" w:rsidR="0021177B" w:rsidRPr="0067247A" w:rsidRDefault="0021177B" w:rsidP="009E3B2F">
            <w:pPr>
              <w:spacing w:after="0" w:line="240" w:lineRule="auto"/>
              <w:jc w:val="center"/>
              <w:rPr>
                <w:rFonts w:ascii="Futura Std Condensed Light" w:eastAsia="Calibri" w:hAnsi="Futura Std Condensed Light" w:cs="Calibri"/>
                <w:b/>
                <w:sz w:val="20"/>
                <w:szCs w:val="20"/>
              </w:rPr>
            </w:pPr>
            <w:r w:rsidRPr="0067247A">
              <w:rPr>
                <w:rFonts w:ascii="Futura Std Condensed Light" w:eastAsia="Calibri" w:hAnsi="Futura Std Condensed Light" w:cs="Calibri"/>
                <w:b/>
                <w:sz w:val="20"/>
                <w:szCs w:val="20"/>
              </w:rPr>
              <w:t>Tema / Proyecto Prioritario de Quintana Roo</w:t>
            </w:r>
          </w:p>
        </w:tc>
        <w:tc>
          <w:tcPr>
            <w:tcW w:w="3194" w:type="pct"/>
            <w:gridSpan w:val="8"/>
          </w:tcPr>
          <w:p w14:paraId="439D6486" w14:textId="77777777" w:rsidR="0021177B" w:rsidRPr="0067247A" w:rsidRDefault="0021177B" w:rsidP="009E3B2F">
            <w:pPr>
              <w:spacing w:after="0" w:line="240" w:lineRule="auto"/>
              <w:jc w:val="center"/>
              <w:rPr>
                <w:rFonts w:ascii="Futura Std Condensed Light" w:eastAsia="Calibri" w:hAnsi="Futura Std Condensed Light" w:cs="Calibri"/>
                <w:sz w:val="20"/>
                <w:szCs w:val="20"/>
              </w:rPr>
            </w:pPr>
            <w:r w:rsidRPr="0067247A">
              <w:rPr>
                <w:rFonts w:ascii="Futura Std Condensed Light" w:eastAsia="Calibri" w:hAnsi="Futura Std Condensed Light" w:cs="Calibri"/>
                <w:sz w:val="20"/>
                <w:szCs w:val="20"/>
              </w:rPr>
              <w:t>24.5 Abatir el rezago educativo</w:t>
            </w:r>
          </w:p>
        </w:tc>
      </w:tr>
      <w:tr w:rsidR="0021177B" w:rsidRPr="0067247A" w14:paraId="26333C4B" w14:textId="77777777" w:rsidTr="009E3B2F">
        <w:trPr>
          <w:trHeight w:val="484"/>
        </w:trPr>
        <w:tc>
          <w:tcPr>
            <w:tcW w:w="1806" w:type="pct"/>
            <w:gridSpan w:val="4"/>
          </w:tcPr>
          <w:p w14:paraId="3BF2DB19" w14:textId="77777777" w:rsidR="0021177B" w:rsidRPr="0067247A" w:rsidRDefault="0021177B" w:rsidP="009E3B2F">
            <w:pPr>
              <w:spacing w:after="0" w:line="240" w:lineRule="auto"/>
              <w:jc w:val="center"/>
              <w:rPr>
                <w:rFonts w:ascii="Futura Std Condensed Light" w:eastAsia="Calibri" w:hAnsi="Futura Std Condensed Light" w:cs="Calibri"/>
                <w:b/>
                <w:sz w:val="20"/>
                <w:szCs w:val="20"/>
              </w:rPr>
            </w:pPr>
            <w:r w:rsidRPr="0067247A">
              <w:rPr>
                <w:rFonts w:ascii="Futura Std Condensed Light" w:eastAsia="Calibri" w:hAnsi="Futura Std Condensed Light" w:cs="Calibri"/>
                <w:b/>
                <w:sz w:val="20"/>
                <w:szCs w:val="20"/>
              </w:rPr>
              <w:t>Subtema Prioritario de Quintana Roo</w:t>
            </w:r>
          </w:p>
        </w:tc>
        <w:tc>
          <w:tcPr>
            <w:tcW w:w="3194" w:type="pct"/>
            <w:gridSpan w:val="8"/>
          </w:tcPr>
          <w:p w14:paraId="6ECC144A" w14:textId="77777777" w:rsidR="0021177B" w:rsidRPr="0067247A" w:rsidRDefault="0021177B" w:rsidP="009E3B2F">
            <w:pPr>
              <w:spacing w:after="0" w:line="240" w:lineRule="auto"/>
              <w:jc w:val="center"/>
              <w:rPr>
                <w:rFonts w:ascii="Futura Std Condensed Light" w:eastAsia="Calibri" w:hAnsi="Futura Std Condensed Light" w:cs="Calibri"/>
                <w:sz w:val="20"/>
                <w:szCs w:val="20"/>
              </w:rPr>
            </w:pPr>
            <w:r w:rsidRPr="0067247A">
              <w:rPr>
                <w:rFonts w:ascii="Futura Std Condensed Light" w:eastAsia="Calibri" w:hAnsi="Futura Std Condensed Light" w:cs="Calibri"/>
                <w:sz w:val="20"/>
                <w:szCs w:val="20"/>
              </w:rPr>
              <w:t>N/A</w:t>
            </w:r>
          </w:p>
        </w:tc>
      </w:tr>
      <w:tr w:rsidR="0021177B" w:rsidRPr="0067247A" w14:paraId="16C44E16" w14:textId="77777777" w:rsidTr="009E3B2F">
        <w:trPr>
          <w:trHeight w:val="484"/>
        </w:trPr>
        <w:tc>
          <w:tcPr>
            <w:tcW w:w="5000" w:type="pct"/>
            <w:gridSpan w:val="12"/>
          </w:tcPr>
          <w:p w14:paraId="169CC1D2" w14:textId="77777777" w:rsidR="0021177B" w:rsidRPr="0067247A" w:rsidRDefault="0021177B" w:rsidP="009E3B2F">
            <w:pPr>
              <w:spacing w:after="0" w:line="240" w:lineRule="auto"/>
              <w:jc w:val="center"/>
              <w:rPr>
                <w:rFonts w:ascii="Futura Std Condensed Light" w:eastAsia="Calibri" w:hAnsi="Futura Std Condensed Light" w:cs="Calibri"/>
                <w:b/>
                <w:sz w:val="20"/>
                <w:szCs w:val="20"/>
              </w:rPr>
            </w:pPr>
            <w:r w:rsidRPr="0067247A">
              <w:rPr>
                <w:rFonts w:ascii="Futura Std Condensed Light" w:eastAsia="Calibri" w:hAnsi="Futura Std Condensed Light" w:cs="Calibri"/>
                <w:b/>
                <w:sz w:val="20"/>
                <w:szCs w:val="20"/>
              </w:rPr>
              <w:t>Meta Total:</w:t>
            </w:r>
          </w:p>
        </w:tc>
      </w:tr>
      <w:tr w:rsidR="0021177B" w:rsidRPr="0067247A" w14:paraId="61D79706" w14:textId="77777777" w:rsidTr="009E3B2F">
        <w:trPr>
          <w:trHeight w:val="484"/>
        </w:trPr>
        <w:tc>
          <w:tcPr>
            <w:tcW w:w="781" w:type="pct"/>
          </w:tcPr>
          <w:p w14:paraId="03F46FB2" w14:textId="77777777" w:rsidR="0021177B" w:rsidRPr="0067247A" w:rsidRDefault="0021177B" w:rsidP="009E3B2F">
            <w:pPr>
              <w:spacing w:after="0" w:line="240" w:lineRule="auto"/>
              <w:jc w:val="center"/>
              <w:rPr>
                <w:rFonts w:ascii="Futura Std Condensed Light" w:eastAsia="Calibri" w:hAnsi="Futura Std Condensed Light" w:cs="Calibri"/>
                <w:b/>
                <w:sz w:val="20"/>
                <w:szCs w:val="20"/>
              </w:rPr>
            </w:pPr>
            <w:r w:rsidRPr="0067247A">
              <w:rPr>
                <w:rFonts w:ascii="Futura Std Condensed Light" w:eastAsia="Calibri" w:hAnsi="Futura Std Condensed Light" w:cs="Calibri"/>
                <w:b/>
                <w:sz w:val="20"/>
                <w:szCs w:val="20"/>
              </w:rPr>
              <w:t>2017</w:t>
            </w:r>
          </w:p>
        </w:tc>
        <w:tc>
          <w:tcPr>
            <w:tcW w:w="783" w:type="pct"/>
            <w:gridSpan w:val="2"/>
          </w:tcPr>
          <w:p w14:paraId="536DC100" w14:textId="77777777" w:rsidR="0021177B" w:rsidRPr="0067247A" w:rsidRDefault="0021177B" w:rsidP="009E3B2F">
            <w:pPr>
              <w:spacing w:after="0" w:line="240" w:lineRule="auto"/>
              <w:jc w:val="center"/>
              <w:rPr>
                <w:rFonts w:ascii="Futura Std Condensed Light" w:eastAsia="Calibri" w:hAnsi="Futura Std Condensed Light" w:cs="Calibri"/>
                <w:b/>
                <w:sz w:val="20"/>
                <w:szCs w:val="20"/>
              </w:rPr>
            </w:pPr>
            <w:r w:rsidRPr="0067247A">
              <w:rPr>
                <w:rFonts w:ascii="Futura Std Condensed Light" w:eastAsia="Calibri" w:hAnsi="Futura Std Condensed Light" w:cs="Calibri"/>
                <w:b/>
                <w:sz w:val="20"/>
                <w:szCs w:val="20"/>
              </w:rPr>
              <w:t>2018</w:t>
            </w:r>
          </w:p>
        </w:tc>
        <w:tc>
          <w:tcPr>
            <w:tcW w:w="904" w:type="pct"/>
            <w:gridSpan w:val="3"/>
          </w:tcPr>
          <w:p w14:paraId="349205D3" w14:textId="77777777" w:rsidR="0021177B" w:rsidRPr="0067247A" w:rsidRDefault="0021177B" w:rsidP="009E3B2F">
            <w:pPr>
              <w:spacing w:after="0" w:line="240" w:lineRule="auto"/>
              <w:jc w:val="center"/>
              <w:rPr>
                <w:rFonts w:ascii="Futura Std Condensed Light" w:eastAsia="Calibri" w:hAnsi="Futura Std Condensed Light" w:cs="Calibri"/>
                <w:b/>
                <w:sz w:val="20"/>
                <w:szCs w:val="20"/>
              </w:rPr>
            </w:pPr>
            <w:r w:rsidRPr="0067247A">
              <w:rPr>
                <w:rFonts w:ascii="Futura Std Condensed Light" w:eastAsia="Calibri" w:hAnsi="Futura Std Condensed Light" w:cs="Calibri"/>
                <w:b/>
                <w:sz w:val="20"/>
                <w:szCs w:val="20"/>
              </w:rPr>
              <w:t>2019</w:t>
            </w:r>
          </w:p>
        </w:tc>
        <w:tc>
          <w:tcPr>
            <w:tcW w:w="723" w:type="pct"/>
            <w:gridSpan w:val="2"/>
          </w:tcPr>
          <w:p w14:paraId="60F64DE9" w14:textId="77777777" w:rsidR="0021177B" w:rsidRPr="0067247A" w:rsidRDefault="0021177B" w:rsidP="009E3B2F">
            <w:pPr>
              <w:spacing w:after="0" w:line="240" w:lineRule="auto"/>
              <w:jc w:val="center"/>
              <w:rPr>
                <w:rFonts w:ascii="Futura Std Condensed Light" w:eastAsia="Calibri" w:hAnsi="Futura Std Condensed Light" w:cs="Calibri"/>
                <w:b/>
                <w:sz w:val="20"/>
                <w:szCs w:val="20"/>
              </w:rPr>
            </w:pPr>
            <w:r w:rsidRPr="0067247A">
              <w:rPr>
                <w:rFonts w:ascii="Futura Std Condensed Light" w:eastAsia="Calibri" w:hAnsi="Futura Std Condensed Light" w:cs="Calibri"/>
                <w:b/>
                <w:sz w:val="20"/>
                <w:szCs w:val="20"/>
              </w:rPr>
              <w:t>2020</w:t>
            </w:r>
          </w:p>
        </w:tc>
        <w:tc>
          <w:tcPr>
            <w:tcW w:w="963" w:type="pct"/>
            <w:gridSpan w:val="3"/>
          </w:tcPr>
          <w:p w14:paraId="6417D0D0" w14:textId="77777777" w:rsidR="0021177B" w:rsidRPr="0067247A" w:rsidRDefault="0021177B" w:rsidP="009E3B2F">
            <w:pPr>
              <w:spacing w:after="0" w:line="240" w:lineRule="auto"/>
              <w:jc w:val="center"/>
              <w:rPr>
                <w:rFonts w:ascii="Futura Std Condensed Light" w:eastAsia="Calibri" w:hAnsi="Futura Std Condensed Light" w:cs="Calibri"/>
                <w:b/>
                <w:sz w:val="20"/>
                <w:szCs w:val="20"/>
              </w:rPr>
            </w:pPr>
            <w:r w:rsidRPr="0067247A">
              <w:rPr>
                <w:rFonts w:ascii="Futura Std Condensed Light" w:eastAsia="Calibri" w:hAnsi="Futura Std Condensed Light" w:cs="Calibri"/>
                <w:b/>
                <w:sz w:val="20"/>
                <w:szCs w:val="20"/>
              </w:rPr>
              <w:t>2021</w:t>
            </w:r>
          </w:p>
        </w:tc>
        <w:tc>
          <w:tcPr>
            <w:tcW w:w="846" w:type="pct"/>
          </w:tcPr>
          <w:p w14:paraId="00B2AE5B" w14:textId="77777777" w:rsidR="0021177B" w:rsidRPr="0067247A" w:rsidRDefault="0021177B" w:rsidP="009E3B2F">
            <w:pPr>
              <w:spacing w:after="0" w:line="240" w:lineRule="auto"/>
              <w:jc w:val="center"/>
              <w:rPr>
                <w:rFonts w:ascii="Futura Std Condensed Light" w:eastAsia="Calibri" w:hAnsi="Futura Std Condensed Light" w:cs="Calibri"/>
                <w:b/>
                <w:sz w:val="20"/>
                <w:szCs w:val="20"/>
              </w:rPr>
            </w:pPr>
            <w:r w:rsidRPr="0067247A">
              <w:rPr>
                <w:rFonts w:ascii="Futura Std Condensed Light" w:eastAsia="Calibri" w:hAnsi="Futura Std Condensed Light" w:cs="Calibri"/>
                <w:b/>
                <w:sz w:val="20"/>
                <w:szCs w:val="20"/>
              </w:rPr>
              <w:t>2022</w:t>
            </w:r>
          </w:p>
        </w:tc>
      </w:tr>
      <w:tr w:rsidR="0021177B" w:rsidRPr="0067247A" w14:paraId="6C30696F" w14:textId="77777777" w:rsidTr="009E3B2F">
        <w:trPr>
          <w:trHeight w:val="484"/>
        </w:trPr>
        <w:tc>
          <w:tcPr>
            <w:tcW w:w="781" w:type="pct"/>
          </w:tcPr>
          <w:p w14:paraId="26C9A357" w14:textId="77777777" w:rsidR="0021177B" w:rsidRPr="0067247A" w:rsidRDefault="0021177B" w:rsidP="009E3B2F">
            <w:pPr>
              <w:spacing w:after="0" w:line="240" w:lineRule="auto"/>
              <w:jc w:val="center"/>
              <w:rPr>
                <w:rFonts w:ascii="Futura Std Condensed Light" w:eastAsia="Calibri" w:hAnsi="Futura Std Condensed Light" w:cs="Calibri"/>
                <w:sz w:val="20"/>
                <w:szCs w:val="20"/>
              </w:rPr>
            </w:pPr>
            <w:r w:rsidRPr="0067247A">
              <w:rPr>
                <w:rFonts w:ascii="Futura Std Condensed Light" w:eastAsia="Calibri" w:hAnsi="Futura Std Condensed Light" w:cs="Calibri"/>
                <w:sz w:val="20"/>
                <w:szCs w:val="20"/>
              </w:rPr>
              <w:t>28.15</w:t>
            </w:r>
          </w:p>
        </w:tc>
        <w:tc>
          <w:tcPr>
            <w:tcW w:w="783" w:type="pct"/>
            <w:gridSpan w:val="2"/>
          </w:tcPr>
          <w:p w14:paraId="208BFD99" w14:textId="77777777" w:rsidR="0021177B" w:rsidRPr="0067247A" w:rsidRDefault="0021177B" w:rsidP="009E3B2F">
            <w:pPr>
              <w:spacing w:after="0" w:line="240" w:lineRule="auto"/>
              <w:jc w:val="center"/>
              <w:rPr>
                <w:rFonts w:ascii="Futura Std Condensed Light" w:eastAsia="Calibri" w:hAnsi="Futura Std Condensed Light" w:cs="Calibri"/>
                <w:sz w:val="20"/>
                <w:szCs w:val="20"/>
              </w:rPr>
            </w:pPr>
            <w:r w:rsidRPr="0067247A">
              <w:rPr>
                <w:rFonts w:ascii="Futura Std Condensed Light" w:eastAsia="Calibri" w:hAnsi="Futura Std Condensed Light" w:cs="Calibri"/>
                <w:sz w:val="20"/>
                <w:szCs w:val="20"/>
              </w:rPr>
              <w:t>29.52</w:t>
            </w:r>
          </w:p>
        </w:tc>
        <w:tc>
          <w:tcPr>
            <w:tcW w:w="904" w:type="pct"/>
            <w:gridSpan w:val="3"/>
          </w:tcPr>
          <w:p w14:paraId="358CAAE1" w14:textId="77777777" w:rsidR="0021177B" w:rsidRPr="0067247A" w:rsidRDefault="0021177B" w:rsidP="009E3B2F">
            <w:pPr>
              <w:spacing w:after="0" w:line="240" w:lineRule="auto"/>
              <w:jc w:val="center"/>
              <w:rPr>
                <w:rFonts w:ascii="Futura Std Condensed Light" w:eastAsia="Calibri" w:hAnsi="Futura Std Condensed Light" w:cs="Calibri"/>
                <w:sz w:val="20"/>
                <w:szCs w:val="20"/>
              </w:rPr>
            </w:pPr>
            <w:r w:rsidRPr="0067247A">
              <w:rPr>
                <w:rFonts w:ascii="Futura Std Condensed Light" w:eastAsia="Calibri" w:hAnsi="Futura Std Condensed Light" w:cs="Calibri"/>
                <w:sz w:val="20"/>
                <w:szCs w:val="20"/>
              </w:rPr>
              <w:t>31.83</w:t>
            </w:r>
          </w:p>
        </w:tc>
        <w:tc>
          <w:tcPr>
            <w:tcW w:w="723" w:type="pct"/>
            <w:gridSpan w:val="2"/>
          </w:tcPr>
          <w:p w14:paraId="70843A79" w14:textId="77777777" w:rsidR="0021177B" w:rsidRPr="0067247A" w:rsidRDefault="0021177B" w:rsidP="009E3B2F">
            <w:pPr>
              <w:spacing w:after="0" w:line="240" w:lineRule="auto"/>
              <w:jc w:val="center"/>
              <w:rPr>
                <w:rFonts w:ascii="Futura Std Condensed Light" w:eastAsia="Calibri" w:hAnsi="Futura Std Condensed Light" w:cs="Calibri"/>
                <w:sz w:val="20"/>
                <w:szCs w:val="20"/>
              </w:rPr>
            </w:pPr>
            <w:r w:rsidRPr="0067247A">
              <w:rPr>
                <w:rFonts w:ascii="Futura Std Condensed Light" w:eastAsia="Calibri" w:hAnsi="Futura Std Condensed Light" w:cs="Calibri"/>
                <w:sz w:val="20"/>
                <w:szCs w:val="20"/>
              </w:rPr>
              <w:t>32.57</w:t>
            </w:r>
          </w:p>
        </w:tc>
        <w:tc>
          <w:tcPr>
            <w:tcW w:w="963" w:type="pct"/>
            <w:gridSpan w:val="3"/>
          </w:tcPr>
          <w:p w14:paraId="1BC431C4" w14:textId="77777777" w:rsidR="0021177B" w:rsidRPr="0067247A" w:rsidRDefault="0021177B" w:rsidP="009E3B2F">
            <w:pPr>
              <w:spacing w:after="0" w:line="240" w:lineRule="auto"/>
              <w:jc w:val="center"/>
              <w:rPr>
                <w:rFonts w:ascii="Futura Std Condensed Light" w:eastAsia="Calibri" w:hAnsi="Futura Std Condensed Light" w:cs="Calibri"/>
                <w:sz w:val="20"/>
                <w:szCs w:val="20"/>
              </w:rPr>
            </w:pPr>
            <w:r w:rsidRPr="0067247A">
              <w:rPr>
                <w:rFonts w:ascii="Futura Std Condensed Light" w:eastAsia="Calibri" w:hAnsi="Futura Std Condensed Light" w:cs="Calibri"/>
                <w:sz w:val="20"/>
                <w:szCs w:val="20"/>
              </w:rPr>
              <w:t>33.93</w:t>
            </w:r>
          </w:p>
        </w:tc>
        <w:tc>
          <w:tcPr>
            <w:tcW w:w="846" w:type="pct"/>
          </w:tcPr>
          <w:p w14:paraId="50B5DEC7" w14:textId="77777777" w:rsidR="0021177B" w:rsidRPr="0067247A" w:rsidRDefault="0021177B" w:rsidP="009E3B2F">
            <w:pPr>
              <w:spacing w:after="0" w:line="240" w:lineRule="auto"/>
              <w:jc w:val="center"/>
              <w:rPr>
                <w:rFonts w:ascii="Futura Std Condensed Light" w:eastAsia="Calibri" w:hAnsi="Futura Std Condensed Light" w:cs="Calibri"/>
                <w:sz w:val="20"/>
                <w:szCs w:val="20"/>
              </w:rPr>
            </w:pPr>
            <w:r w:rsidRPr="0067247A">
              <w:rPr>
                <w:rFonts w:ascii="Futura Std Condensed Light" w:eastAsia="Calibri" w:hAnsi="Futura Std Condensed Light" w:cs="Calibri"/>
                <w:sz w:val="20"/>
                <w:szCs w:val="20"/>
              </w:rPr>
              <w:t>35.28</w:t>
            </w:r>
          </w:p>
        </w:tc>
      </w:tr>
    </w:tbl>
    <w:p w14:paraId="1849ABCE" w14:textId="2D7C8837" w:rsidR="0021177B" w:rsidRDefault="0021177B" w:rsidP="0021177B">
      <w:pPr>
        <w:spacing w:after="0" w:line="240" w:lineRule="auto"/>
        <w:jc w:val="center"/>
        <w:rPr>
          <w:rFonts w:ascii="Futura Std Condensed Light" w:eastAsia="Calibri" w:hAnsi="Futura Std Condensed Light" w:cs="Calibri"/>
          <w:sz w:val="20"/>
          <w:szCs w:val="20"/>
        </w:rPr>
      </w:pPr>
    </w:p>
    <w:p w14:paraId="0BE50AA6" w14:textId="2D205E5E" w:rsidR="007F55A3" w:rsidRPr="0067247A" w:rsidRDefault="007F55A3" w:rsidP="00FA0940">
      <w:pPr>
        <w:spacing w:after="0" w:line="240" w:lineRule="auto"/>
        <w:rPr>
          <w:rFonts w:ascii="Futura Std Condensed Light" w:eastAsia="Calibri" w:hAnsi="Futura Std Condensed Light" w:cs="Calibri"/>
          <w:sz w:val="20"/>
          <w:szCs w:val="20"/>
        </w:rPr>
      </w:pPr>
    </w:p>
    <w:p w14:paraId="17A4F886" w14:textId="77777777" w:rsidR="00E05363" w:rsidRDefault="00E05363">
      <w:pPr>
        <w:spacing w:after="0" w:line="240" w:lineRule="auto"/>
        <w:jc w:val="left"/>
        <w:rPr>
          <w:rFonts w:eastAsia="Arial" w:cs="Times New Roman"/>
          <w:b/>
          <w:color w:val="4BACC6" w:themeColor="accent5"/>
        </w:rPr>
      </w:pPr>
      <w:r>
        <w:rPr>
          <w:rFonts w:eastAsia="Arial" w:cs="Times New Roman"/>
          <w:b/>
          <w:color w:val="4BACC6" w:themeColor="accent5"/>
        </w:rPr>
        <w:br w:type="page"/>
      </w:r>
    </w:p>
    <w:p w14:paraId="5D50C7A4" w14:textId="3FA42825" w:rsidR="0021177B" w:rsidRDefault="00FA0940" w:rsidP="0021177B">
      <w:pPr>
        <w:jc w:val="center"/>
      </w:pPr>
      <w:r>
        <w:rPr>
          <w:rFonts w:eastAsia="Arial" w:cs="Times New Roman"/>
          <w:b/>
          <w:color w:val="4BACC6" w:themeColor="accent5"/>
        </w:rPr>
        <w:lastRenderedPageBreak/>
        <w:t>Cuadro 32</w:t>
      </w:r>
      <w:r w:rsidR="0021177B">
        <w:rPr>
          <w:rFonts w:eastAsia="Arial" w:cs="Times New Roman"/>
          <w:b/>
          <w:color w:val="4BACC6" w:themeColor="accent5"/>
        </w:rPr>
        <w:t>. Entregable y meta de la línea de acción 6 del PED</w:t>
      </w:r>
    </w:p>
    <w:tbl>
      <w:tblPr>
        <w:tblStyle w:val="Tablaconcuadrcula"/>
        <w:tblW w:w="5000" w:type="pct"/>
        <w:tblLook w:val="04A0" w:firstRow="1" w:lastRow="0" w:firstColumn="1" w:lastColumn="0" w:noHBand="0" w:noVBand="1"/>
      </w:tblPr>
      <w:tblGrid>
        <w:gridCol w:w="1489"/>
        <w:gridCol w:w="814"/>
        <w:gridCol w:w="679"/>
        <w:gridCol w:w="462"/>
        <w:gridCol w:w="687"/>
        <w:gridCol w:w="576"/>
        <w:gridCol w:w="462"/>
        <w:gridCol w:w="917"/>
        <w:gridCol w:w="576"/>
        <w:gridCol w:w="1261"/>
        <w:gridCol w:w="1614"/>
      </w:tblGrid>
      <w:tr w:rsidR="0086391F" w:rsidRPr="008835BC" w14:paraId="6F0C8EA9" w14:textId="77777777" w:rsidTr="008835BC">
        <w:trPr>
          <w:trHeight w:val="132"/>
        </w:trPr>
        <w:tc>
          <w:tcPr>
            <w:tcW w:w="1806" w:type="pct"/>
            <w:gridSpan w:val="4"/>
            <w:shd w:val="clear" w:color="auto" w:fill="A6A6A6" w:themeFill="background1" w:themeFillShade="A6"/>
          </w:tcPr>
          <w:p w14:paraId="7F07B531" w14:textId="77777777" w:rsidR="0021177B" w:rsidRPr="008835BC" w:rsidRDefault="0021177B" w:rsidP="009E3B2F">
            <w:pPr>
              <w:spacing w:after="0" w:line="240" w:lineRule="auto"/>
              <w:jc w:val="center"/>
              <w:rPr>
                <w:rFonts w:ascii="Futura Std Condensed Light" w:eastAsia="Calibri" w:hAnsi="Futura Std Condensed Light" w:cs="Calibri"/>
                <w:color w:val="auto"/>
                <w:sz w:val="20"/>
                <w:szCs w:val="20"/>
              </w:rPr>
            </w:pPr>
            <w:r w:rsidRPr="008835BC">
              <w:rPr>
                <w:rFonts w:ascii="Futura Std Condensed Light" w:eastAsia="Calibri" w:hAnsi="Futura Std Condensed Light" w:cs="Calibri"/>
                <w:color w:val="auto"/>
                <w:sz w:val="20"/>
                <w:szCs w:val="20"/>
              </w:rPr>
              <w:t>Programa PED</w:t>
            </w:r>
          </w:p>
        </w:tc>
        <w:tc>
          <w:tcPr>
            <w:tcW w:w="3194" w:type="pct"/>
            <w:gridSpan w:val="7"/>
            <w:shd w:val="clear" w:color="auto" w:fill="A6A6A6" w:themeFill="background1" w:themeFillShade="A6"/>
          </w:tcPr>
          <w:p w14:paraId="65BF181A" w14:textId="77777777" w:rsidR="0021177B" w:rsidRPr="008835BC" w:rsidRDefault="0021177B" w:rsidP="009E3B2F">
            <w:pPr>
              <w:spacing w:after="0" w:line="240" w:lineRule="auto"/>
              <w:jc w:val="center"/>
              <w:rPr>
                <w:rFonts w:ascii="Futura Std Condensed Light" w:eastAsia="Calibri" w:hAnsi="Futura Std Condensed Light" w:cs="Calibri"/>
                <w:color w:val="auto"/>
                <w:sz w:val="20"/>
                <w:szCs w:val="20"/>
              </w:rPr>
            </w:pPr>
            <w:r w:rsidRPr="008835BC">
              <w:rPr>
                <w:rFonts w:ascii="Futura Std Condensed Light" w:eastAsia="Calibri" w:hAnsi="Futura Std Condensed Light" w:cs="Calibri"/>
                <w:color w:val="auto"/>
                <w:sz w:val="20"/>
                <w:szCs w:val="20"/>
              </w:rPr>
              <w:t>Programa Sectorial Educación Pública de Calidad</w:t>
            </w:r>
          </w:p>
        </w:tc>
      </w:tr>
      <w:tr w:rsidR="0021177B" w:rsidRPr="00B55E18" w14:paraId="00CF1709" w14:textId="77777777" w:rsidTr="009E3B2F">
        <w:trPr>
          <w:trHeight w:val="469"/>
        </w:trPr>
        <w:tc>
          <w:tcPr>
            <w:tcW w:w="1806" w:type="pct"/>
            <w:gridSpan w:val="4"/>
          </w:tcPr>
          <w:p w14:paraId="4FC9D4D7" w14:textId="77777777" w:rsidR="0021177B" w:rsidRPr="00B55E18" w:rsidRDefault="0021177B" w:rsidP="009E3B2F">
            <w:pPr>
              <w:spacing w:after="0" w:line="240" w:lineRule="auto"/>
              <w:jc w:val="center"/>
              <w:rPr>
                <w:rFonts w:ascii="Futura Std Condensed Light" w:eastAsia="Calibri" w:hAnsi="Futura Std Condensed Light" w:cs="Calibri"/>
                <w:b/>
                <w:sz w:val="20"/>
                <w:szCs w:val="20"/>
              </w:rPr>
            </w:pPr>
            <w:r w:rsidRPr="00B55E18">
              <w:rPr>
                <w:rFonts w:ascii="Futura Std Condensed Light" w:eastAsia="Calibri" w:hAnsi="Futura Std Condensed Light" w:cs="Calibri"/>
                <w:b/>
                <w:sz w:val="20"/>
                <w:szCs w:val="20"/>
              </w:rPr>
              <w:t>Línea de acción:</w:t>
            </w:r>
          </w:p>
        </w:tc>
        <w:tc>
          <w:tcPr>
            <w:tcW w:w="3194" w:type="pct"/>
            <w:gridSpan w:val="7"/>
          </w:tcPr>
          <w:p w14:paraId="0CF7283B" w14:textId="77777777" w:rsidR="0021177B" w:rsidRPr="00B55E18" w:rsidRDefault="0021177B" w:rsidP="009E3B2F">
            <w:pPr>
              <w:spacing w:after="0" w:line="240" w:lineRule="auto"/>
              <w:jc w:val="center"/>
              <w:rPr>
                <w:rFonts w:ascii="Futura Std Condensed Light" w:eastAsia="Calibri" w:hAnsi="Futura Std Condensed Light" w:cs="Calibri"/>
                <w:sz w:val="20"/>
                <w:szCs w:val="20"/>
              </w:rPr>
            </w:pPr>
            <w:r w:rsidRPr="00B55E18">
              <w:rPr>
                <w:rFonts w:ascii="Futura Std Condensed Light" w:eastAsia="Calibri" w:hAnsi="Futura Std Condensed Light" w:cs="Calibri"/>
                <w:sz w:val="20"/>
                <w:szCs w:val="20"/>
              </w:rPr>
              <w:t>6. Implementar un programa para elevar la eficiencia terminal en la educación media superior.</w:t>
            </w:r>
          </w:p>
        </w:tc>
      </w:tr>
      <w:tr w:rsidR="0021177B" w:rsidRPr="00B55E18" w14:paraId="586EE8CE" w14:textId="77777777" w:rsidTr="009E3B2F">
        <w:trPr>
          <w:trHeight w:val="484"/>
        </w:trPr>
        <w:tc>
          <w:tcPr>
            <w:tcW w:w="1806" w:type="pct"/>
            <w:gridSpan w:val="4"/>
          </w:tcPr>
          <w:p w14:paraId="23B35F35" w14:textId="77777777" w:rsidR="0021177B" w:rsidRPr="00B55E18" w:rsidRDefault="0021177B" w:rsidP="009E3B2F">
            <w:pPr>
              <w:spacing w:after="0" w:line="240" w:lineRule="auto"/>
              <w:jc w:val="center"/>
              <w:rPr>
                <w:rFonts w:ascii="Futura Std Condensed Light" w:eastAsia="Calibri" w:hAnsi="Futura Std Condensed Light" w:cs="Calibri"/>
                <w:b/>
                <w:sz w:val="20"/>
                <w:szCs w:val="20"/>
              </w:rPr>
            </w:pPr>
            <w:r w:rsidRPr="00B55E18">
              <w:rPr>
                <w:rFonts w:ascii="Futura Std Condensed Light" w:eastAsia="Calibri" w:hAnsi="Futura Std Condensed Light" w:cs="Calibri"/>
                <w:b/>
                <w:sz w:val="20"/>
                <w:szCs w:val="20"/>
              </w:rPr>
              <w:t>Plan Estratégico Objetivo Especifico</w:t>
            </w:r>
          </w:p>
        </w:tc>
        <w:tc>
          <w:tcPr>
            <w:tcW w:w="3194" w:type="pct"/>
            <w:gridSpan w:val="7"/>
          </w:tcPr>
          <w:p w14:paraId="33582ACE" w14:textId="77777777" w:rsidR="0021177B" w:rsidRPr="00B55E18" w:rsidRDefault="0021177B" w:rsidP="009E3B2F">
            <w:pPr>
              <w:spacing w:after="0" w:line="240" w:lineRule="auto"/>
              <w:jc w:val="center"/>
              <w:rPr>
                <w:rFonts w:ascii="Futura Std Condensed Light" w:eastAsia="Calibri" w:hAnsi="Futura Std Condensed Light" w:cs="Calibri"/>
                <w:sz w:val="20"/>
                <w:szCs w:val="20"/>
              </w:rPr>
            </w:pPr>
            <w:r w:rsidRPr="00B55E18">
              <w:rPr>
                <w:rFonts w:ascii="Futura Std Condensed Light" w:eastAsia="Calibri" w:hAnsi="Futura Std Condensed Light" w:cs="Calibri"/>
                <w:sz w:val="20"/>
                <w:szCs w:val="20"/>
              </w:rPr>
              <w:t>Disminuir la desigualdad en sus diversas formas </w:t>
            </w:r>
          </w:p>
        </w:tc>
      </w:tr>
      <w:tr w:rsidR="0021177B" w:rsidRPr="00B55E18" w14:paraId="55DB95E0" w14:textId="77777777" w:rsidTr="009E3B2F">
        <w:trPr>
          <w:trHeight w:val="484"/>
        </w:trPr>
        <w:tc>
          <w:tcPr>
            <w:tcW w:w="1208" w:type="pct"/>
            <w:gridSpan w:val="2"/>
          </w:tcPr>
          <w:p w14:paraId="31E5FF5D" w14:textId="77777777" w:rsidR="0021177B" w:rsidRPr="00B55E18" w:rsidRDefault="0021177B" w:rsidP="009E3B2F">
            <w:pPr>
              <w:spacing w:after="0" w:line="240" w:lineRule="auto"/>
              <w:jc w:val="center"/>
              <w:rPr>
                <w:rFonts w:ascii="Futura Std Condensed Light" w:eastAsia="Calibri" w:hAnsi="Futura Std Condensed Light" w:cs="Calibri"/>
                <w:b/>
                <w:sz w:val="20"/>
                <w:szCs w:val="20"/>
              </w:rPr>
            </w:pPr>
            <w:r w:rsidRPr="00B55E18">
              <w:rPr>
                <w:rFonts w:ascii="Futura Std Condensed Light" w:eastAsia="Calibri" w:hAnsi="Futura Std Condensed Light" w:cs="Calibri"/>
                <w:b/>
                <w:sz w:val="20"/>
                <w:szCs w:val="20"/>
              </w:rPr>
              <w:t>Entregable:</w:t>
            </w:r>
          </w:p>
        </w:tc>
        <w:tc>
          <w:tcPr>
            <w:tcW w:w="958" w:type="pct"/>
            <w:gridSpan w:val="3"/>
          </w:tcPr>
          <w:p w14:paraId="5F8270BE" w14:textId="77777777" w:rsidR="0021177B" w:rsidRPr="00B55E18" w:rsidRDefault="0021177B" w:rsidP="009E3B2F">
            <w:pPr>
              <w:spacing w:after="0" w:line="240" w:lineRule="auto"/>
              <w:jc w:val="center"/>
              <w:rPr>
                <w:rFonts w:ascii="Futura Std Condensed Light" w:eastAsia="Calibri" w:hAnsi="Futura Std Condensed Light" w:cs="Calibri"/>
                <w:sz w:val="20"/>
                <w:szCs w:val="20"/>
              </w:rPr>
            </w:pPr>
            <w:r w:rsidRPr="00B55E18">
              <w:rPr>
                <w:rFonts w:ascii="Futura Std Condensed Light" w:eastAsia="Calibri" w:hAnsi="Futura Std Condensed Light" w:cs="Calibri"/>
                <w:sz w:val="20"/>
                <w:szCs w:val="20"/>
              </w:rPr>
              <w:t>Programa para elevar la eficiencia terminal</w:t>
            </w:r>
            <w:r>
              <w:rPr>
                <w:rFonts w:ascii="Futura Std Condensed Light" w:eastAsia="Calibri" w:hAnsi="Futura Std Condensed Light" w:cs="Calibri"/>
                <w:sz w:val="20"/>
                <w:szCs w:val="20"/>
              </w:rPr>
              <w:t xml:space="preserve"> en el nivel medio superior</w:t>
            </w:r>
          </w:p>
        </w:tc>
        <w:tc>
          <w:tcPr>
            <w:tcW w:w="1326" w:type="pct"/>
            <w:gridSpan w:val="4"/>
          </w:tcPr>
          <w:p w14:paraId="2A2C20B0" w14:textId="77777777" w:rsidR="0021177B" w:rsidRPr="00B55E18" w:rsidRDefault="0021177B" w:rsidP="009E3B2F">
            <w:pPr>
              <w:spacing w:after="0" w:line="240" w:lineRule="auto"/>
              <w:jc w:val="center"/>
              <w:rPr>
                <w:rFonts w:ascii="Futura Std Condensed Light" w:eastAsia="Calibri" w:hAnsi="Futura Std Condensed Light" w:cs="Calibri"/>
                <w:b/>
                <w:sz w:val="20"/>
                <w:szCs w:val="20"/>
              </w:rPr>
            </w:pPr>
            <w:r w:rsidRPr="00B55E18">
              <w:rPr>
                <w:rFonts w:ascii="Futura Std Condensed Light" w:eastAsia="Calibri" w:hAnsi="Futura Std Condensed Light" w:cs="Calibri"/>
                <w:b/>
                <w:sz w:val="20"/>
                <w:szCs w:val="20"/>
              </w:rPr>
              <w:t>Unidad de Medida:</w:t>
            </w:r>
          </w:p>
        </w:tc>
        <w:tc>
          <w:tcPr>
            <w:tcW w:w="1508" w:type="pct"/>
            <w:gridSpan w:val="2"/>
          </w:tcPr>
          <w:p w14:paraId="79EEB67B" w14:textId="77777777" w:rsidR="0021177B" w:rsidRPr="00B55E18" w:rsidRDefault="0021177B" w:rsidP="009E3B2F">
            <w:pPr>
              <w:spacing w:after="0" w:line="240" w:lineRule="auto"/>
              <w:jc w:val="center"/>
              <w:rPr>
                <w:rFonts w:ascii="Futura Std Condensed Light" w:eastAsia="Calibri" w:hAnsi="Futura Std Condensed Light" w:cs="Calibri"/>
                <w:sz w:val="20"/>
                <w:szCs w:val="20"/>
              </w:rPr>
            </w:pPr>
            <w:r w:rsidRPr="00B55E18">
              <w:rPr>
                <w:rFonts w:ascii="Futura Std Condensed Light" w:eastAsia="Calibri" w:hAnsi="Futura Std Condensed Light" w:cs="Calibri"/>
                <w:sz w:val="20"/>
                <w:szCs w:val="20"/>
              </w:rPr>
              <w:t>Eficiencia Terminal en educación Media Superior</w:t>
            </w:r>
          </w:p>
        </w:tc>
      </w:tr>
      <w:tr w:rsidR="0021177B" w:rsidRPr="00B55E18" w14:paraId="46AD5642" w14:textId="77777777" w:rsidTr="009E3B2F">
        <w:trPr>
          <w:trHeight w:val="449"/>
        </w:trPr>
        <w:tc>
          <w:tcPr>
            <w:tcW w:w="1208" w:type="pct"/>
            <w:gridSpan w:val="2"/>
          </w:tcPr>
          <w:p w14:paraId="6411A2B1" w14:textId="77777777" w:rsidR="0021177B" w:rsidRPr="00FE7376" w:rsidRDefault="0021177B" w:rsidP="009E3B2F">
            <w:pPr>
              <w:spacing w:after="0" w:line="240" w:lineRule="auto"/>
              <w:jc w:val="center"/>
              <w:rPr>
                <w:rFonts w:ascii="Futura Std Condensed Light" w:eastAsia="Calibri" w:hAnsi="Futura Std Condensed Light" w:cs="Calibri"/>
                <w:b/>
                <w:sz w:val="20"/>
                <w:szCs w:val="20"/>
              </w:rPr>
            </w:pPr>
            <w:r w:rsidRPr="00FE7376">
              <w:rPr>
                <w:rFonts w:ascii="Futura Std Condensed Light" w:eastAsia="Calibri" w:hAnsi="Futura Std Condensed Light" w:cs="Calibri"/>
                <w:b/>
                <w:sz w:val="20"/>
                <w:szCs w:val="20"/>
              </w:rPr>
              <w:t>Descripción:</w:t>
            </w:r>
          </w:p>
        </w:tc>
        <w:tc>
          <w:tcPr>
            <w:tcW w:w="3792" w:type="pct"/>
            <w:gridSpan w:val="9"/>
          </w:tcPr>
          <w:p w14:paraId="139B44DC" w14:textId="77777777" w:rsidR="0021177B" w:rsidRPr="00B55E18" w:rsidRDefault="0021177B" w:rsidP="009E3B2F">
            <w:pPr>
              <w:spacing w:after="0" w:line="240" w:lineRule="auto"/>
              <w:jc w:val="center"/>
              <w:rPr>
                <w:rFonts w:ascii="Futura Std Condensed Light" w:eastAsia="Calibri" w:hAnsi="Futura Std Condensed Light" w:cs="Calibri"/>
                <w:sz w:val="20"/>
                <w:szCs w:val="20"/>
              </w:rPr>
            </w:pPr>
            <w:r w:rsidRPr="00B55E18">
              <w:rPr>
                <w:rFonts w:ascii="Futura Std Condensed Light" w:eastAsia="Calibri" w:hAnsi="Futura Std Condensed Light" w:cs="Calibri"/>
                <w:sz w:val="20"/>
                <w:szCs w:val="20"/>
              </w:rPr>
              <w:t>Implementar programas con el propósito de mejorar la oferta educativa y servicios que ofrecen las escuelas de educación Media Superior.</w:t>
            </w:r>
          </w:p>
        </w:tc>
      </w:tr>
      <w:tr w:rsidR="0021177B" w:rsidRPr="00B55E18" w14:paraId="00CB8FDD" w14:textId="77777777" w:rsidTr="009E3B2F">
        <w:trPr>
          <w:trHeight w:val="484"/>
        </w:trPr>
        <w:tc>
          <w:tcPr>
            <w:tcW w:w="1806" w:type="pct"/>
            <w:gridSpan w:val="4"/>
          </w:tcPr>
          <w:p w14:paraId="02D2ED82" w14:textId="77777777" w:rsidR="0021177B" w:rsidRPr="00FE7376" w:rsidRDefault="0021177B" w:rsidP="009E3B2F">
            <w:pPr>
              <w:spacing w:after="0" w:line="240" w:lineRule="auto"/>
              <w:jc w:val="center"/>
              <w:rPr>
                <w:rFonts w:ascii="Futura Std Condensed Light" w:eastAsia="Calibri" w:hAnsi="Futura Std Condensed Light" w:cs="Calibri"/>
                <w:b/>
                <w:sz w:val="20"/>
                <w:szCs w:val="20"/>
              </w:rPr>
            </w:pPr>
            <w:r w:rsidRPr="00FE7376">
              <w:rPr>
                <w:rFonts w:ascii="Futura Std Condensed Light" w:eastAsia="Calibri" w:hAnsi="Futura Std Condensed Light" w:cs="Calibri"/>
                <w:b/>
                <w:sz w:val="20"/>
                <w:szCs w:val="20"/>
              </w:rPr>
              <w:t>Medio de verificación:</w:t>
            </w:r>
          </w:p>
        </w:tc>
        <w:tc>
          <w:tcPr>
            <w:tcW w:w="3194" w:type="pct"/>
            <w:gridSpan w:val="7"/>
          </w:tcPr>
          <w:p w14:paraId="70EE4B4C" w14:textId="77777777" w:rsidR="0021177B" w:rsidRPr="00B55E18" w:rsidRDefault="0021177B" w:rsidP="009E3B2F">
            <w:pPr>
              <w:spacing w:after="0" w:line="240" w:lineRule="auto"/>
              <w:jc w:val="center"/>
              <w:rPr>
                <w:rFonts w:ascii="Futura Std Condensed Light" w:eastAsia="Calibri" w:hAnsi="Futura Std Condensed Light" w:cs="Calibri"/>
                <w:sz w:val="20"/>
                <w:szCs w:val="20"/>
              </w:rPr>
            </w:pPr>
            <w:r w:rsidRPr="00B55E18">
              <w:rPr>
                <w:rFonts w:ascii="Futura Std Condensed Light" w:eastAsia="Calibri" w:hAnsi="Futura Std Condensed Light" w:cs="Calibri"/>
                <w:sz w:val="20"/>
                <w:szCs w:val="20"/>
              </w:rPr>
              <w:t>Indicadores Educativos, Secretaría de Educación de Quintana Roo.</w:t>
            </w:r>
          </w:p>
        </w:tc>
      </w:tr>
      <w:tr w:rsidR="0021177B" w:rsidRPr="00B55E18" w14:paraId="2A7F5C0B" w14:textId="77777777" w:rsidTr="009E3B2F">
        <w:trPr>
          <w:trHeight w:val="484"/>
        </w:trPr>
        <w:tc>
          <w:tcPr>
            <w:tcW w:w="1806" w:type="pct"/>
            <w:gridSpan w:val="4"/>
          </w:tcPr>
          <w:p w14:paraId="1C5AAF09" w14:textId="77777777" w:rsidR="0021177B" w:rsidRPr="00FE7376" w:rsidRDefault="0021177B" w:rsidP="009E3B2F">
            <w:pPr>
              <w:spacing w:after="0" w:line="240" w:lineRule="auto"/>
              <w:jc w:val="center"/>
              <w:rPr>
                <w:rFonts w:ascii="Futura Std Condensed Light" w:eastAsia="Calibri" w:hAnsi="Futura Std Condensed Light" w:cs="Calibri"/>
                <w:b/>
                <w:sz w:val="20"/>
                <w:szCs w:val="20"/>
              </w:rPr>
            </w:pPr>
            <w:r w:rsidRPr="00FE7376">
              <w:rPr>
                <w:rFonts w:ascii="Futura Std Condensed Light" w:eastAsia="Calibri" w:hAnsi="Futura Std Condensed Light" w:cs="Calibri"/>
                <w:b/>
                <w:sz w:val="20"/>
                <w:szCs w:val="20"/>
              </w:rPr>
              <w:t>Línea base:</w:t>
            </w:r>
          </w:p>
        </w:tc>
        <w:tc>
          <w:tcPr>
            <w:tcW w:w="904" w:type="pct"/>
            <w:gridSpan w:val="3"/>
          </w:tcPr>
          <w:p w14:paraId="5DF9A404" w14:textId="77777777" w:rsidR="0021177B" w:rsidRPr="00B55E18" w:rsidRDefault="0021177B" w:rsidP="009E3B2F">
            <w:pPr>
              <w:spacing w:after="0" w:line="240" w:lineRule="auto"/>
              <w:jc w:val="center"/>
              <w:rPr>
                <w:rFonts w:ascii="Futura Std Condensed Light" w:eastAsia="Calibri" w:hAnsi="Futura Std Condensed Light" w:cs="Calibri"/>
                <w:sz w:val="20"/>
                <w:szCs w:val="20"/>
              </w:rPr>
            </w:pPr>
            <w:r w:rsidRPr="00B55E18">
              <w:rPr>
                <w:rFonts w:ascii="Futura Std Condensed Light" w:eastAsia="Calibri" w:hAnsi="Futura Std Condensed Light" w:cs="Calibri"/>
                <w:sz w:val="20"/>
                <w:szCs w:val="20"/>
              </w:rPr>
              <w:t>71.27</w:t>
            </w:r>
          </w:p>
        </w:tc>
        <w:tc>
          <w:tcPr>
            <w:tcW w:w="783" w:type="pct"/>
            <w:gridSpan w:val="2"/>
          </w:tcPr>
          <w:p w14:paraId="4D161830" w14:textId="77777777" w:rsidR="0021177B" w:rsidRPr="00FE7376" w:rsidRDefault="0021177B" w:rsidP="009E3B2F">
            <w:pPr>
              <w:spacing w:after="0" w:line="240" w:lineRule="auto"/>
              <w:jc w:val="center"/>
              <w:rPr>
                <w:rFonts w:ascii="Futura Std Condensed Light" w:eastAsia="Calibri" w:hAnsi="Futura Std Condensed Light" w:cs="Calibri"/>
                <w:b/>
                <w:sz w:val="20"/>
                <w:szCs w:val="20"/>
              </w:rPr>
            </w:pPr>
            <w:r w:rsidRPr="00FE7376">
              <w:rPr>
                <w:rFonts w:ascii="Futura Std Condensed Light" w:eastAsia="Calibri" w:hAnsi="Futura Std Condensed Light" w:cs="Calibri"/>
                <w:b/>
                <w:sz w:val="20"/>
                <w:szCs w:val="20"/>
              </w:rPr>
              <w:t>Año de línea base:</w:t>
            </w:r>
          </w:p>
        </w:tc>
        <w:tc>
          <w:tcPr>
            <w:tcW w:w="1508" w:type="pct"/>
            <w:gridSpan w:val="2"/>
          </w:tcPr>
          <w:p w14:paraId="63AACCCA" w14:textId="77777777" w:rsidR="0021177B" w:rsidRPr="00B55E18" w:rsidRDefault="0021177B" w:rsidP="009E3B2F">
            <w:pPr>
              <w:spacing w:after="0" w:line="240" w:lineRule="auto"/>
              <w:jc w:val="center"/>
              <w:rPr>
                <w:rFonts w:ascii="Futura Std Condensed Light" w:eastAsia="Calibri" w:hAnsi="Futura Std Condensed Light" w:cs="Calibri"/>
                <w:sz w:val="20"/>
                <w:szCs w:val="20"/>
              </w:rPr>
            </w:pPr>
            <w:r w:rsidRPr="00B55E18">
              <w:rPr>
                <w:rFonts w:ascii="Futura Std Condensed Light" w:eastAsia="Calibri" w:hAnsi="Futura Std Condensed Light" w:cs="Calibri"/>
                <w:sz w:val="20"/>
                <w:szCs w:val="20"/>
              </w:rPr>
              <w:t>2016</w:t>
            </w:r>
          </w:p>
        </w:tc>
      </w:tr>
      <w:tr w:rsidR="0021177B" w:rsidRPr="00B55E18" w14:paraId="317A249A" w14:textId="77777777" w:rsidTr="009E3B2F">
        <w:trPr>
          <w:trHeight w:val="484"/>
        </w:trPr>
        <w:tc>
          <w:tcPr>
            <w:tcW w:w="1806" w:type="pct"/>
            <w:gridSpan w:val="4"/>
          </w:tcPr>
          <w:p w14:paraId="72FAD2BB" w14:textId="77777777" w:rsidR="0021177B" w:rsidRPr="00FE7376" w:rsidRDefault="0021177B" w:rsidP="009E3B2F">
            <w:pPr>
              <w:spacing w:after="0" w:line="240" w:lineRule="auto"/>
              <w:jc w:val="center"/>
              <w:rPr>
                <w:rFonts w:ascii="Futura Std Condensed Light" w:eastAsia="Calibri" w:hAnsi="Futura Std Condensed Light" w:cs="Calibri"/>
                <w:b/>
                <w:sz w:val="20"/>
                <w:szCs w:val="20"/>
              </w:rPr>
            </w:pPr>
            <w:r w:rsidRPr="00FE7376">
              <w:rPr>
                <w:rFonts w:ascii="Futura Std Condensed Light" w:eastAsia="Calibri" w:hAnsi="Futura Std Condensed Light" w:cs="Calibri"/>
                <w:b/>
                <w:sz w:val="20"/>
                <w:szCs w:val="20"/>
              </w:rPr>
              <w:t>Contribución Directa al Objetivo de la Agenda 2030</w:t>
            </w:r>
          </w:p>
        </w:tc>
        <w:tc>
          <w:tcPr>
            <w:tcW w:w="3194" w:type="pct"/>
            <w:gridSpan w:val="7"/>
          </w:tcPr>
          <w:p w14:paraId="1B734DBE" w14:textId="77777777" w:rsidR="0021177B" w:rsidRPr="00B55E18" w:rsidRDefault="0021177B" w:rsidP="009E3B2F">
            <w:pPr>
              <w:spacing w:after="0" w:line="240" w:lineRule="auto"/>
              <w:jc w:val="center"/>
              <w:rPr>
                <w:rFonts w:ascii="Futura Std Condensed Light" w:eastAsia="Calibri" w:hAnsi="Futura Std Condensed Light" w:cs="Calibri"/>
                <w:sz w:val="20"/>
                <w:szCs w:val="20"/>
              </w:rPr>
            </w:pPr>
            <w:r w:rsidRPr="00B55E18">
              <w:rPr>
                <w:rFonts w:ascii="Futura Std Condensed Light" w:eastAsia="Calibri" w:hAnsi="Futura Std Condensed Light" w:cs="Calibri"/>
                <w:sz w:val="20"/>
                <w:szCs w:val="20"/>
              </w:rPr>
              <w:t>Garantizar una educación inclusiva, equitativa y de calidad y promover oportunidades de aprendizaje durante toda la vida para todos</w:t>
            </w:r>
          </w:p>
        </w:tc>
      </w:tr>
      <w:tr w:rsidR="0021177B" w:rsidRPr="00B55E18" w14:paraId="7BC834AA" w14:textId="77777777" w:rsidTr="009E3B2F">
        <w:trPr>
          <w:trHeight w:val="484"/>
        </w:trPr>
        <w:tc>
          <w:tcPr>
            <w:tcW w:w="1806" w:type="pct"/>
            <w:gridSpan w:val="4"/>
          </w:tcPr>
          <w:p w14:paraId="35DAF2BA" w14:textId="77777777" w:rsidR="0021177B" w:rsidRPr="00FE7376" w:rsidRDefault="0021177B" w:rsidP="009E3B2F">
            <w:pPr>
              <w:spacing w:after="0" w:line="240" w:lineRule="auto"/>
              <w:jc w:val="center"/>
              <w:rPr>
                <w:rFonts w:ascii="Futura Std Condensed Light" w:eastAsia="Calibri" w:hAnsi="Futura Std Condensed Light" w:cs="Calibri"/>
                <w:b/>
                <w:sz w:val="20"/>
                <w:szCs w:val="20"/>
              </w:rPr>
            </w:pPr>
            <w:r w:rsidRPr="00FE7376">
              <w:rPr>
                <w:rFonts w:ascii="Futura Std Condensed Light" w:eastAsia="Calibri" w:hAnsi="Futura Std Condensed Light" w:cs="Calibri"/>
                <w:b/>
                <w:sz w:val="20"/>
                <w:szCs w:val="20"/>
              </w:rPr>
              <w:t>Contribución Directa  a la Meta de la Agenda 2030</w:t>
            </w:r>
          </w:p>
        </w:tc>
        <w:tc>
          <w:tcPr>
            <w:tcW w:w="3194" w:type="pct"/>
            <w:gridSpan w:val="7"/>
          </w:tcPr>
          <w:p w14:paraId="2B9E87B0" w14:textId="77777777" w:rsidR="0021177B" w:rsidRPr="00B55E18" w:rsidRDefault="0021177B" w:rsidP="009E3B2F">
            <w:pPr>
              <w:spacing w:after="0" w:line="240" w:lineRule="auto"/>
              <w:jc w:val="center"/>
              <w:rPr>
                <w:rFonts w:ascii="Futura Std Condensed Light" w:eastAsia="Calibri" w:hAnsi="Futura Std Condensed Light" w:cs="Calibri"/>
                <w:sz w:val="20"/>
                <w:szCs w:val="20"/>
              </w:rPr>
            </w:pPr>
            <w:r w:rsidRPr="00B55E18">
              <w:rPr>
                <w:rFonts w:ascii="Futura Std Condensed Light" w:eastAsia="Calibri" w:hAnsi="Futura Std Condensed Light" w:cs="Calibri"/>
                <w:sz w:val="20"/>
                <w:szCs w:val="20"/>
              </w:rPr>
              <w:t>De aquí a 2030, asegurar el acceso igualitario de todos los hombres y las mujeres a una formación técnica, profesional y superior de calidad, incluida la enseñanza universitaria.</w:t>
            </w:r>
          </w:p>
        </w:tc>
      </w:tr>
      <w:tr w:rsidR="0021177B" w:rsidRPr="00B55E18" w14:paraId="75C28FC3" w14:textId="77777777" w:rsidTr="009E3B2F">
        <w:trPr>
          <w:trHeight w:val="484"/>
        </w:trPr>
        <w:tc>
          <w:tcPr>
            <w:tcW w:w="1806" w:type="pct"/>
            <w:gridSpan w:val="4"/>
          </w:tcPr>
          <w:p w14:paraId="4A9953C5" w14:textId="77777777" w:rsidR="0021177B" w:rsidRPr="00FE7376" w:rsidRDefault="0021177B" w:rsidP="009E3B2F">
            <w:pPr>
              <w:spacing w:after="0" w:line="240" w:lineRule="auto"/>
              <w:jc w:val="center"/>
              <w:rPr>
                <w:rFonts w:ascii="Futura Std Condensed Light" w:eastAsia="Calibri" w:hAnsi="Futura Std Condensed Light" w:cs="Calibri"/>
                <w:b/>
                <w:sz w:val="20"/>
                <w:szCs w:val="20"/>
              </w:rPr>
            </w:pPr>
            <w:r w:rsidRPr="00FE7376">
              <w:rPr>
                <w:rFonts w:ascii="Futura Std Condensed Light" w:eastAsia="Calibri" w:hAnsi="Futura Std Condensed Light" w:cs="Calibri"/>
                <w:b/>
                <w:sz w:val="20"/>
                <w:szCs w:val="20"/>
              </w:rPr>
              <w:t>Tema / Proyecto Prioritario de Quintana Roo</w:t>
            </w:r>
          </w:p>
        </w:tc>
        <w:tc>
          <w:tcPr>
            <w:tcW w:w="3194" w:type="pct"/>
            <w:gridSpan w:val="7"/>
          </w:tcPr>
          <w:p w14:paraId="772F89B3" w14:textId="77777777" w:rsidR="0021177B" w:rsidRPr="00B55E18" w:rsidRDefault="0021177B" w:rsidP="009E3B2F">
            <w:pPr>
              <w:spacing w:after="0" w:line="240" w:lineRule="auto"/>
              <w:jc w:val="center"/>
              <w:rPr>
                <w:rFonts w:ascii="Futura Std Condensed Light" w:eastAsia="Calibri" w:hAnsi="Futura Std Condensed Light" w:cs="Calibri"/>
                <w:sz w:val="20"/>
                <w:szCs w:val="20"/>
              </w:rPr>
            </w:pPr>
            <w:r w:rsidRPr="00B55E18">
              <w:rPr>
                <w:rFonts w:ascii="Futura Std Condensed Light" w:eastAsia="Calibri" w:hAnsi="Futura Std Condensed Light" w:cs="Calibri"/>
                <w:sz w:val="20"/>
                <w:szCs w:val="20"/>
              </w:rPr>
              <w:t>24.5 Abatir el rezago educativo</w:t>
            </w:r>
          </w:p>
        </w:tc>
      </w:tr>
      <w:tr w:rsidR="0021177B" w:rsidRPr="00B55E18" w14:paraId="58D2AE23" w14:textId="77777777" w:rsidTr="009E3B2F">
        <w:trPr>
          <w:trHeight w:val="484"/>
        </w:trPr>
        <w:tc>
          <w:tcPr>
            <w:tcW w:w="1806" w:type="pct"/>
            <w:gridSpan w:val="4"/>
          </w:tcPr>
          <w:p w14:paraId="44120FDF" w14:textId="77777777" w:rsidR="0021177B" w:rsidRPr="00FE7376" w:rsidRDefault="0021177B" w:rsidP="009E3B2F">
            <w:pPr>
              <w:spacing w:after="0" w:line="240" w:lineRule="auto"/>
              <w:jc w:val="center"/>
              <w:rPr>
                <w:rFonts w:ascii="Futura Std Condensed Light" w:eastAsia="Calibri" w:hAnsi="Futura Std Condensed Light" w:cs="Calibri"/>
                <w:b/>
                <w:sz w:val="20"/>
                <w:szCs w:val="20"/>
              </w:rPr>
            </w:pPr>
            <w:r w:rsidRPr="00FE7376">
              <w:rPr>
                <w:rFonts w:ascii="Futura Std Condensed Light" w:eastAsia="Calibri" w:hAnsi="Futura Std Condensed Light" w:cs="Calibri"/>
                <w:b/>
                <w:sz w:val="20"/>
                <w:szCs w:val="20"/>
              </w:rPr>
              <w:t>Subtema Prioritario de Quintana Roo</w:t>
            </w:r>
          </w:p>
        </w:tc>
        <w:tc>
          <w:tcPr>
            <w:tcW w:w="3194" w:type="pct"/>
            <w:gridSpan w:val="7"/>
          </w:tcPr>
          <w:p w14:paraId="03F7A460" w14:textId="77777777" w:rsidR="0021177B" w:rsidRPr="00B55E18" w:rsidRDefault="0021177B" w:rsidP="009E3B2F">
            <w:pPr>
              <w:spacing w:after="0" w:line="240" w:lineRule="auto"/>
              <w:jc w:val="center"/>
              <w:rPr>
                <w:rFonts w:ascii="Futura Std Condensed Light" w:eastAsia="Calibri" w:hAnsi="Futura Std Condensed Light" w:cs="Calibri"/>
                <w:sz w:val="20"/>
                <w:szCs w:val="20"/>
              </w:rPr>
            </w:pPr>
            <w:r w:rsidRPr="00B55E18">
              <w:rPr>
                <w:rFonts w:ascii="Futura Std Condensed Light" w:eastAsia="Calibri" w:hAnsi="Futura Std Condensed Light" w:cs="Calibri"/>
                <w:sz w:val="20"/>
                <w:szCs w:val="20"/>
              </w:rPr>
              <w:t>24.5.1 Modelo semi escolarizado</w:t>
            </w:r>
          </w:p>
          <w:p w14:paraId="4E69997E" w14:textId="45BE6688" w:rsidR="0021177B" w:rsidRPr="00B55E18" w:rsidRDefault="0021177B" w:rsidP="009E3B2F">
            <w:pPr>
              <w:spacing w:after="0" w:line="240" w:lineRule="auto"/>
              <w:jc w:val="center"/>
              <w:rPr>
                <w:rFonts w:ascii="Futura Std Condensed Light" w:eastAsia="Calibri" w:hAnsi="Futura Std Condensed Light" w:cs="Calibri"/>
                <w:sz w:val="20"/>
                <w:szCs w:val="20"/>
              </w:rPr>
            </w:pPr>
            <w:r w:rsidRPr="00B55E18">
              <w:rPr>
                <w:rFonts w:ascii="Futura Std Condensed Light" w:eastAsia="Calibri" w:hAnsi="Futura Std Condensed Light" w:cs="Calibri"/>
                <w:sz w:val="20"/>
                <w:szCs w:val="20"/>
              </w:rPr>
              <w:t>24.5.2 Prepa</w:t>
            </w:r>
            <w:r w:rsidR="002B5FAF">
              <w:rPr>
                <w:rFonts w:ascii="Futura Std Condensed Light" w:eastAsia="Calibri" w:hAnsi="Futura Std Condensed Light" w:cs="Calibri"/>
                <w:sz w:val="20"/>
                <w:szCs w:val="20"/>
              </w:rPr>
              <w:t>ratoria</w:t>
            </w:r>
            <w:r w:rsidRPr="00B55E18">
              <w:rPr>
                <w:rFonts w:ascii="Futura Std Condensed Light" w:eastAsia="Calibri" w:hAnsi="Futura Std Condensed Light" w:cs="Calibri"/>
                <w:sz w:val="20"/>
                <w:szCs w:val="20"/>
              </w:rPr>
              <w:t xml:space="preserve"> abierta</w:t>
            </w:r>
          </w:p>
          <w:p w14:paraId="44324D77" w14:textId="77777777" w:rsidR="0021177B" w:rsidRPr="00B55E18" w:rsidRDefault="0021177B" w:rsidP="009E3B2F">
            <w:pPr>
              <w:spacing w:after="0" w:line="240" w:lineRule="auto"/>
              <w:jc w:val="center"/>
              <w:rPr>
                <w:rFonts w:ascii="Futura Std Condensed Light" w:eastAsia="Calibri" w:hAnsi="Futura Std Condensed Light" w:cs="Calibri"/>
                <w:sz w:val="20"/>
                <w:szCs w:val="20"/>
              </w:rPr>
            </w:pPr>
            <w:r w:rsidRPr="00B55E18">
              <w:rPr>
                <w:rFonts w:ascii="Futura Std Condensed Light" w:eastAsia="Calibri" w:hAnsi="Futura Std Condensed Light" w:cs="Calibri"/>
                <w:sz w:val="20"/>
                <w:szCs w:val="20"/>
              </w:rPr>
              <w:t>24.5.3 Prepa en línea</w:t>
            </w:r>
          </w:p>
        </w:tc>
      </w:tr>
      <w:tr w:rsidR="0021177B" w:rsidRPr="00B55E18" w14:paraId="3D054E27" w14:textId="77777777" w:rsidTr="009E3B2F">
        <w:trPr>
          <w:trHeight w:val="484"/>
        </w:trPr>
        <w:tc>
          <w:tcPr>
            <w:tcW w:w="5000" w:type="pct"/>
            <w:gridSpan w:val="11"/>
          </w:tcPr>
          <w:p w14:paraId="256F61BD" w14:textId="77777777" w:rsidR="0021177B" w:rsidRPr="00FE7376" w:rsidRDefault="0021177B" w:rsidP="009E3B2F">
            <w:pPr>
              <w:spacing w:after="0" w:line="240" w:lineRule="auto"/>
              <w:jc w:val="center"/>
              <w:rPr>
                <w:rFonts w:ascii="Futura Std Condensed Light" w:eastAsia="Calibri" w:hAnsi="Futura Std Condensed Light" w:cs="Calibri"/>
                <w:b/>
                <w:sz w:val="20"/>
                <w:szCs w:val="20"/>
              </w:rPr>
            </w:pPr>
            <w:r w:rsidRPr="00FE7376">
              <w:rPr>
                <w:rFonts w:ascii="Futura Std Condensed Light" w:eastAsia="Calibri" w:hAnsi="Futura Std Condensed Light" w:cs="Calibri"/>
                <w:b/>
                <w:sz w:val="20"/>
                <w:szCs w:val="20"/>
              </w:rPr>
              <w:t>Meta Total:</w:t>
            </w:r>
          </w:p>
        </w:tc>
      </w:tr>
      <w:tr w:rsidR="0021177B" w:rsidRPr="00B55E18" w14:paraId="45094045" w14:textId="77777777" w:rsidTr="009E3B2F">
        <w:trPr>
          <w:trHeight w:val="484"/>
        </w:trPr>
        <w:tc>
          <w:tcPr>
            <w:tcW w:w="781" w:type="pct"/>
          </w:tcPr>
          <w:p w14:paraId="0F93F461" w14:textId="77777777" w:rsidR="0021177B" w:rsidRPr="00FE7376" w:rsidRDefault="0021177B" w:rsidP="009E3B2F">
            <w:pPr>
              <w:spacing w:after="0" w:line="240" w:lineRule="auto"/>
              <w:jc w:val="center"/>
              <w:rPr>
                <w:rFonts w:ascii="Futura Std Condensed Light" w:eastAsia="Calibri" w:hAnsi="Futura Std Condensed Light" w:cs="Calibri"/>
                <w:b/>
                <w:sz w:val="20"/>
                <w:szCs w:val="20"/>
              </w:rPr>
            </w:pPr>
            <w:r w:rsidRPr="00FE7376">
              <w:rPr>
                <w:rFonts w:ascii="Futura Std Condensed Light" w:eastAsia="Calibri" w:hAnsi="Futura Std Condensed Light" w:cs="Calibri"/>
                <w:b/>
                <w:sz w:val="20"/>
                <w:szCs w:val="20"/>
              </w:rPr>
              <w:t>2017</w:t>
            </w:r>
          </w:p>
        </w:tc>
        <w:tc>
          <w:tcPr>
            <w:tcW w:w="783" w:type="pct"/>
            <w:gridSpan w:val="2"/>
          </w:tcPr>
          <w:p w14:paraId="3A12E848" w14:textId="77777777" w:rsidR="0021177B" w:rsidRPr="00FE7376" w:rsidRDefault="0021177B" w:rsidP="009E3B2F">
            <w:pPr>
              <w:spacing w:after="0" w:line="240" w:lineRule="auto"/>
              <w:jc w:val="center"/>
              <w:rPr>
                <w:rFonts w:ascii="Futura Std Condensed Light" w:eastAsia="Calibri" w:hAnsi="Futura Std Condensed Light" w:cs="Calibri"/>
                <w:b/>
                <w:sz w:val="20"/>
                <w:szCs w:val="20"/>
              </w:rPr>
            </w:pPr>
            <w:r w:rsidRPr="00FE7376">
              <w:rPr>
                <w:rFonts w:ascii="Futura Std Condensed Light" w:eastAsia="Calibri" w:hAnsi="Futura Std Condensed Light" w:cs="Calibri"/>
                <w:b/>
                <w:sz w:val="20"/>
                <w:szCs w:val="20"/>
              </w:rPr>
              <w:t>2018</w:t>
            </w:r>
          </w:p>
        </w:tc>
        <w:tc>
          <w:tcPr>
            <w:tcW w:w="904" w:type="pct"/>
            <w:gridSpan w:val="3"/>
          </w:tcPr>
          <w:p w14:paraId="0265F118" w14:textId="77777777" w:rsidR="0021177B" w:rsidRPr="00FE7376" w:rsidRDefault="0021177B" w:rsidP="009E3B2F">
            <w:pPr>
              <w:spacing w:after="0" w:line="240" w:lineRule="auto"/>
              <w:jc w:val="center"/>
              <w:rPr>
                <w:rFonts w:ascii="Futura Std Condensed Light" w:eastAsia="Calibri" w:hAnsi="Futura Std Condensed Light" w:cs="Calibri"/>
                <w:b/>
                <w:sz w:val="20"/>
                <w:szCs w:val="20"/>
              </w:rPr>
            </w:pPr>
            <w:r w:rsidRPr="00FE7376">
              <w:rPr>
                <w:rFonts w:ascii="Futura Std Condensed Light" w:eastAsia="Calibri" w:hAnsi="Futura Std Condensed Light" w:cs="Calibri"/>
                <w:b/>
                <w:sz w:val="20"/>
                <w:szCs w:val="20"/>
              </w:rPr>
              <w:t>2019</w:t>
            </w:r>
          </w:p>
        </w:tc>
        <w:tc>
          <w:tcPr>
            <w:tcW w:w="723" w:type="pct"/>
            <w:gridSpan w:val="2"/>
          </w:tcPr>
          <w:p w14:paraId="1BDEDE84" w14:textId="77777777" w:rsidR="0021177B" w:rsidRPr="00FE7376" w:rsidRDefault="0021177B" w:rsidP="009E3B2F">
            <w:pPr>
              <w:spacing w:after="0" w:line="240" w:lineRule="auto"/>
              <w:jc w:val="center"/>
              <w:rPr>
                <w:rFonts w:ascii="Futura Std Condensed Light" w:eastAsia="Calibri" w:hAnsi="Futura Std Condensed Light" w:cs="Calibri"/>
                <w:b/>
                <w:sz w:val="20"/>
                <w:szCs w:val="20"/>
              </w:rPr>
            </w:pPr>
            <w:r w:rsidRPr="00FE7376">
              <w:rPr>
                <w:rFonts w:ascii="Futura Std Condensed Light" w:eastAsia="Calibri" w:hAnsi="Futura Std Condensed Light" w:cs="Calibri"/>
                <w:b/>
                <w:sz w:val="20"/>
                <w:szCs w:val="20"/>
              </w:rPr>
              <w:t>2020</w:t>
            </w:r>
          </w:p>
        </w:tc>
        <w:tc>
          <w:tcPr>
            <w:tcW w:w="963" w:type="pct"/>
            <w:gridSpan w:val="2"/>
          </w:tcPr>
          <w:p w14:paraId="500B3BA8" w14:textId="77777777" w:rsidR="0021177B" w:rsidRPr="00FE7376" w:rsidRDefault="0021177B" w:rsidP="009E3B2F">
            <w:pPr>
              <w:spacing w:after="0" w:line="240" w:lineRule="auto"/>
              <w:jc w:val="center"/>
              <w:rPr>
                <w:rFonts w:ascii="Futura Std Condensed Light" w:eastAsia="Calibri" w:hAnsi="Futura Std Condensed Light" w:cs="Calibri"/>
                <w:b/>
                <w:sz w:val="20"/>
                <w:szCs w:val="20"/>
              </w:rPr>
            </w:pPr>
            <w:r w:rsidRPr="00FE7376">
              <w:rPr>
                <w:rFonts w:ascii="Futura Std Condensed Light" w:eastAsia="Calibri" w:hAnsi="Futura Std Condensed Light" w:cs="Calibri"/>
                <w:b/>
                <w:sz w:val="20"/>
                <w:szCs w:val="20"/>
              </w:rPr>
              <w:t>2021</w:t>
            </w:r>
          </w:p>
        </w:tc>
        <w:tc>
          <w:tcPr>
            <w:tcW w:w="846" w:type="pct"/>
          </w:tcPr>
          <w:p w14:paraId="59FC745F" w14:textId="77777777" w:rsidR="0021177B" w:rsidRPr="00FE7376" w:rsidRDefault="0021177B" w:rsidP="009E3B2F">
            <w:pPr>
              <w:spacing w:after="0" w:line="240" w:lineRule="auto"/>
              <w:jc w:val="center"/>
              <w:rPr>
                <w:rFonts w:ascii="Futura Std Condensed Light" w:eastAsia="Calibri" w:hAnsi="Futura Std Condensed Light" w:cs="Calibri"/>
                <w:b/>
                <w:sz w:val="20"/>
                <w:szCs w:val="20"/>
              </w:rPr>
            </w:pPr>
            <w:r w:rsidRPr="00FE7376">
              <w:rPr>
                <w:rFonts w:ascii="Futura Std Condensed Light" w:eastAsia="Calibri" w:hAnsi="Futura Std Condensed Light" w:cs="Calibri"/>
                <w:b/>
                <w:sz w:val="20"/>
                <w:szCs w:val="20"/>
              </w:rPr>
              <w:t>2022</w:t>
            </w:r>
          </w:p>
        </w:tc>
      </w:tr>
      <w:tr w:rsidR="0021177B" w:rsidRPr="00B55E18" w14:paraId="1D8A19B7" w14:textId="77777777" w:rsidTr="009E3B2F">
        <w:trPr>
          <w:trHeight w:val="484"/>
        </w:trPr>
        <w:tc>
          <w:tcPr>
            <w:tcW w:w="781" w:type="pct"/>
          </w:tcPr>
          <w:p w14:paraId="0EF37627" w14:textId="77777777" w:rsidR="0021177B" w:rsidRPr="00B55E18" w:rsidRDefault="0021177B" w:rsidP="009E3B2F">
            <w:pPr>
              <w:spacing w:after="0" w:line="240" w:lineRule="auto"/>
              <w:jc w:val="center"/>
              <w:rPr>
                <w:rFonts w:ascii="Futura Std Condensed Light" w:eastAsia="Calibri" w:hAnsi="Futura Std Condensed Light" w:cs="Calibri"/>
                <w:sz w:val="20"/>
                <w:szCs w:val="20"/>
              </w:rPr>
            </w:pPr>
            <w:r w:rsidRPr="00B55E18">
              <w:rPr>
                <w:rFonts w:ascii="Futura Std Condensed Light" w:eastAsia="Calibri" w:hAnsi="Futura Std Condensed Light" w:cs="Calibri"/>
                <w:sz w:val="20"/>
                <w:szCs w:val="20"/>
              </w:rPr>
              <w:t>67.88</w:t>
            </w:r>
          </w:p>
        </w:tc>
        <w:tc>
          <w:tcPr>
            <w:tcW w:w="783" w:type="pct"/>
            <w:gridSpan w:val="2"/>
          </w:tcPr>
          <w:p w14:paraId="2D087CE7" w14:textId="77777777" w:rsidR="0021177B" w:rsidRPr="00B55E18" w:rsidRDefault="0021177B" w:rsidP="009E3B2F">
            <w:pPr>
              <w:spacing w:after="0" w:line="240" w:lineRule="auto"/>
              <w:jc w:val="center"/>
              <w:rPr>
                <w:rFonts w:ascii="Futura Std Condensed Light" w:eastAsia="Calibri" w:hAnsi="Futura Std Condensed Light" w:cs="Calibri"/>
                <w:sz w:val="20"/>
                <w:szCs w:val="20"/>
              </w:rPr>
            </w:pPr>
            <w:r w:rsidRPr="00B55E18">
              <w:rPr>
                <w:rFonts w:ascii="Futura Std Condensed Light" w:eastAsia="Calibri" w:hAnsi="Futura Std Condensed Light" w:cs="Calibri"/>
                <w:sz w:val="20"/>
                <w:szCs w:val="20"/>
              </w:rPr>
              <w:t>72.13</w:t>
            </w:r>
          </w:p>
        </w:tc>
        <w:tc>
          <w:tcPr>
            <w:tcW w:w="904" w:type="pct"/>
            <w:gridSpan w:val="3"/>
          </w:tcPr>
          <w:p w14:paraId="39AC6F61" w14:textId="77777777" w:rsidR="0021177B" w:rsidRPr="00B55E18" w:rsidRDefault="0021177B" w:rsidP="009E3B2F">
            <w:pPr>
              <w:spacing w:after="0" w:line="240" w:lineRule="auto"/>
              <w:jc w:val="center"/>
              <w:rPr>
                <w:rFonts w:ascii="Futura Std Condensed Light" w:eastAsia="Calibri" w:hAnsi="Futura Std Condensed Light" w:cs="Calibri"/>
                <w:sz w:val="20"/>
                <w:szCs w:val="20"/>
              </w:rPr>
            </w:pPr>
            <w:r w:rsidRPr="00356976">
              <w:rPr>
                <w:rFonts w:ascii="Futura Std Condensed Light" w:eastAsia="Calibri" w:hAnsi="Futura Std Condensed Light" w:cs="Calibri"/>
                <w:sz w:val="20"/>
                <w:szCs w:val="20"/>
              </w:rPr>
              <w:t>70.23</w:t>
            </w:r>
          </w:p>
        </w:tc>
        <w:tc>
          <w:tcPr>
            <w:tcW w:w="723" w:type="pct"/>
            <w:gridSpan w:val="2"/>
          </w:tcPr>
          <w:p w14:paraId="27399E54" w14:textId="77777777" w:rsidR="0021177B" w:rsidRPr="00B55E18" w:rsidRDefault="0021177B" w:rsidP="009E3B2F">
            <w:pPr>
              <w:spacing w:after="0" w:line="240" w:lineRule="auto"/>
              <w:jc w:val="center"/>
              <w:rPr>
                <w:rFonts w:ascii="Futura Std Condensed Light" w:eastAsia="Calibri" w:hAnsi="Futura Std Condensed Light" w:cs="Calibri"/>
                <w:sz w:val="20"/>
                <w:szCs w:val="20"/>
              </w:rPr>
            </w:pPr>
            <w:r w:rsidRPr="00B55E18">
              <w:rPr>
                <w:rFonts w:ascii="Futura Std Condensed Light" w:eastAsia="Calibri" w:hAnsi="Futura Std Condensed Light" w:cs="Calibri"/>
                <w:sz w:val="20"/>
                <w:szCs w:val="20"/>
              </w:rPr>
              <w:t>70.90</w:t>
            </w:r>
          </w:p>
        </w:tc>
        <w:tc>
          <w:tcPr>
            <w:tcW w:w="963" w:type="pct"/>
            <w:gridSpan w:val="2"/>
          </w:tcPr>
          <w:p w14:paraId="687BB7EE" w14:textId="77777777" w:rsidR="0021177B" w:rsidRPr="00B55E18" w:rsidRDefault="0021177B" w:rsidP="009E3B2F">
            <w:pPr>
              <w:spacing w:after="0" w:line="240" w:lineRule="auto"/>
              <w:jc w:val="center"/>
              <w:rPr>
                <w:rFonts w:ascii="Futura Std Condensed Light" w:eastAsia="Calibri" w:hAnsi="Futura Std Condensed Light" w:cs="Calibri"/>
                <w:sz w:val="20"/>
                <w:szCs w:val="20"/>
              </w:rPr>
            </w:pPr>
            <w:r w:rsidRPr="00B55E18">
              <w:rPr>
                <w:rFonts w:ascii="Futura Std Condensed Light" w:eastAsia="Calibri" w:hAnsi="Futura Std Condensed Light" w:cs="Calibri"/>
                <w:sz w:val="20"/>
                <w:szCs w:val="20"/>
              </w:rPr>
              <w:t>71.53</w:t>
            </w:r>
          </w:p>
        </w:tc>
        <w:tc>
          <w:tcPr>
            <w:tcW w:w="846" w:type="pct"/>
          </w:tcPr>
          <w:p w14:paraId="6D4C273C" w14:textId="77777777" w:rsidR="0021177B" w:rsidRPr="00B55E18" w:rsidRDefault="0021177B" w:rsidP="009E3B2F">
            <w:pPr>
              <w:spacing w:after="0" w:line="240" w:lineRule="auto"/>
              <w:jc w:val="center"/>
              <w:rPr>
                <w:rFonts w:ascii="Futura Std Condensed Light" w:eastAsia="Calibri" w:hAnsi="Futura Std Condensed Light" w:cs="Calibri"/>
                <w:sz w:val="20"/>
                <w:szCs w:val="20"/>
              </w:rPr>
            </w:pPr>
            <w:r w:rsidRPr="00B55E18">
              <w:rPr>
                <w:rFonts w:ascii="Futura Std Condensed Light" w:eastAsia="Calibri" w:hAnsi="Futura Std Condensed Light" w:cs="Calibri"/>
                <w:sz w:val="20"/>
                <w:szCs w:val="20"/>
              </w:rPr>
              <w:t>72.15</w:t>
            </w:r>
          </w:p>
        </w:tc>
      </w:tr>
    </w:tbl>
    <w:p w14:paraId="1E39DE52" w14:textId="7A79DF79" w:rsidR="00913635" w:rsidRDefault="00913635" w:rsidP="00D23E28">
      <w:pPr>
        <w:spacing w:after="0" w:line="240" w:lineRule="auto"/>
        <w:rPr>
          <w:rFonts w:ascii="Futura Std Condensed Light" w:eastAsia="Calibri" w:hAnsi="Futura Std Condensed Light" w:cs="Calibri"/>
          <w:b/>
          <w:sz w:val="20"/>
          <w:szCs w:val="20"/>
        </w:rPr>
      </w:pPr>
    </w:p>
    <w:p w14:paraId="307F19C6" w14:textId="77777777" w:rsidR="00913635" w:rsidRDefault="00913635">
      <w:pPr>
        <w:spacing w:after="0" w:line="240" w:lineRule="auto"/>
        <w:jc w:val="left"/>
        <w:rPr>
          <w:rFonts w:ascii="Futura Std Condensed Light" w:eastAsia="Calibri" w:hAnsi="Futura Std Condensed Light" w:cs="Calibri"/>
          <w:b/>
          <w:sz w:val="20"/>
          <w:szCs w:val="20"/>
        </w:rPr>
      </w:pPr>
      <w:r>
        <w:rPr>
          <w:rFonts w:ascii="Futura Std Condensed Light" w:eastAsia="Calibri" w:hAnsi="Futura Std Condensed Light" w:cs="Calibri"/>
          <w:b/>
          <w:sz w:val="20"/>
          <w:szCs w:val="20"/>
        </w:rPr>
        <w:br w:type="page"/>
      </w:r>
    </w:p>
    <w:p w14:paraId="725E8920" w14:textId="5646B557" w:rsidR="0021177B" w:rsidRDefault="00FA0940" w:rsidP="0021177B">
      <w:pPr>
        <w:jc w:val="center"/>
      </w:pPr>
      <w:r>
        <w:rPr>
          <w:rFonts w:eastAsia="Arial" w:cs="Times New Roman"/>
          <w:b/>
          <w:color w:val="4BACC6" w:themeColor="accent5"/>
        </w:rPr>
        <w:lastRenderedPageBreak/>
        <w:t>Cuadro 33</w:t>
      </w:r>
      <w:r w:rsidR="0021177B">
        <w:rPr>
          <w:rFonts w:eastAsia="Arial" w:cs="Times New Roman"/>
          <w:b/>
          <w:color w:val="4BACC6" w:themeColor="accent5"/>
        </w:rPr>
        <w:t>. Entregable y meta de la línea de acción 6 del PED</w:t>
      </w:r>
    </w:p>
    <w:tbl>
      <w:tblPr>
        <w:tblStyle w:val="Tablaconcuadrcula"/>
        <w:tblW w:w="5000" w:type="pct"/>
        <w:tblLook w:val="04A0" w:firstRow="1" w:lastRow="0" w:firstColumn="1" w:lastColumn="0" w:noHBand="0" w:noVBand="1"/>
      </w:tblPr>
      <w:tblGrid>
        <w:gridCol w:w="1489"/>
        <w:gridCol w:w="814"/>
        <w:gridCol w:w="679"/>
        <w:gridCol w:w="462"/>
        <w:gridCol w:w="687"/>
        <w:gridCol w:w="576"/>
        <w:gridCol w:w="462"/>
        <w:gridCol w:w="917"/>
        <w:gridCol w:w="1205"/>
        <w:gridCol w:w="6"/>
        <w:gridCol w:w="626"/>
        <w:gridCol w:w="1614"/>
      </w:tblGrid>
      <w:tr w:rsidR="0086391F" w:rsidRPr="008835BC" w14:paraId="507E2CA4" w14:textId="77777777" w:rsidTr="008835BC">
        <w:trPr>
          <w:trHeight w:val="182"/>
        </w:trPr>
        <w:tc>
          <w:tcPr>
            <w:tcW w:w="1806" w:type="pct"/>
            <w:gridSpan w:val="4"/>
            <w:shd w:val="clear" w:color="auto" w:fill="A6A6A6" w:themeFill="background1" w:themeFillShade="A6"/>
          </w:tcPr>
          <w:p w14:paraId="2FBF78A0" w14:textId="77777777" w:rsidR="0021177B" w:rsidRPr="008835BC" w:rsidRDefault="0021177B" w:rsidP="009E3B2F">
            <w:pPr>
              <w:spacing w:after="0" w:line="240" w:lineRule="auto"/>
              <w:jc w:val="center"/>
              <w:rPr>
                <w:rFonts w:ascii="Futura Std Condensed Light" w:eastAsia="Calibri" w:hAnsi="Futura Std Condensed Light" w:cs="Calibri"/>
                <w:color w:val="auto"/>
                <w:sz w:val="20"/>
                <w:szCs w:val="20"/>
              </w:rPr>
            </w:pPr>
            <w:r w:rsidRPr="008835BC">
              <w:rPr>
                <w:rFonts w:ascii="Futura Std Condensed Light" w:eastAsia="Calibri" w:hAnsi="Futura Std Condensed Light" w:cs="Calibri"/>
                <w:color w:val="auto"/>
                <w:sz w:val="20"/>
                <w:szCs w:val="20"/>
              </w:rPr>
              <w:t>Programa PED</w:t>
            </w:r>
          </w:p>
        </w:tc>
        <w:tc>
          <w:tcPr>
            <w:tcW w:w="3194" w:type="pct"/>
            <w:gridSpan w:val="8"/>
            <w:shd w:val="clear" w:color="auto" w:fill="A6A6A6" w:themeFill="background1" w:themeFillShade="A6"/>
          </w:tcPr>
          <w:p w14:paraId="5F837075" w14:textId="77777777" w:rsidR="0021177B" w:rsidRPr="008835BC" w:rsidRDefault="0021177B" w:rsidP="009E3B2F">
            <w:pPr>
              <w:spacing w:after="0" w:line="240" w:lineRule="auto"/>
              <w:jc w:val="center"/>
              <w:rPr>
                <w:rFonts w:ascii="Futura Std Condensed Light" w:eastAsia="Calibri" w:hAnsi="Futura Std Condensed Light" w:cs="Calibri"/>
                <w:color w:val="auto"/>
                <w:sz w:val="20"/>
                <w:szCs w:val="20"/>
              </w:rPr>
            </w:pPr>
            <w:r w:rsidRPr="008835BC">
              <w:rPr>
                <w:rFonts w:ascii="Futura Std Condensed Light" w:eastAsia="Calibri" w:hAnsi="Futura Std Condensed Light" w:cs="Calibri"/>
                <w:color w:val="auto"/>
                <w:sz w:val="20"/>
                <w:szCs w:val="20"/>
              </w:rPr>
              <w:t>Programa Sectorial Educación Pública de Calidad</w:t>
            </w:r>
          </w:p>
        </w:tc>
      </w:tr>
      <w:tr w:rsidR="0021177B" w:rsidRPr="00FE7376" w14:paraId="2B224E7E" w14:textId="77777777" w:rsidTr="009E3B2F">
        <w:trPr>
          <w:trHeight w:val="469"/>
        </w:trPr>
        <w:tc>
          <w:tcPr>
            <w:tcW w:w="1806" w:type="pct"/>
            <w:gridSpan w:val="4"/>
          </w:tcPr>
          <w:p w14:paraId="13837E40" w14:textId="77777777" w:rsidR="0021177B" w:rsidRPr="00FE7376" w:rsidRDefault="0021177B" w:rsidP="009E3B2F">
            <w:pPr>
              <w:spacing w:after="0" w:line="240" w:lineRule="auto"/>
              <w:jc w:val="center"/>
              <w:rPr>
                <w:rFonts w:ascii="Futura Std Condensed Light" w:eastAsia="Calibri" w:hAnsi="Futura Std Condensed Light" w:cs="Calibri"/>
                <w:b/>
                <w:sz w:val="20"/>
                <w:szCs w:val="20"/>
              </w:rPr>
            </w:pPr>
            <w:r w:rsidRPr="00FE7376">
              <w:rPr>
                <w:rFonts w:ascii="Futura Std Condensed Light" w:eastAsia="Calibri" w:hAnsi="Futura Std Condensed Light" w:cs="Calibri"/>
                <w:b/>
                <w:sz w:val="20"/>
                <w:szCs w:val="20"/>
              </w:rPr>
              <w:t>Línea de acción:</w:t>
            </w:r>
          </w:p>
        </w:tc>
        <w:tc>
          <w:tcPr>
            <w:tcW w:w="3194" w:type="pct"/>
            <w:gridSpan w:val="8"/>
          </w:tcPr>
          <w:p w14:paraId="368F1B97" w14:textId="77777777" w:rsidR="0021177B" w:rsidRPr="00FE7376" w:rsidRDefault="0021177B" w:rsidP="009E3B2F">
            <w:pPr>
              <w:spacing w:after="0" w:line="240" w:lineRule="auto"/>
              <w:jc w:val="center"/>
              <w:rPr>
                <w:rFonts w:ascii="Futura Std Condensed Light" w:eastAsia="Calibri" w:hAnsi="Futura Std Condensed Light" w:cs="Calibri"/>
                <w:sz w:val="20"/>
                <w:szCs w:val="20"/>
              </w:rPr>
            </w:pPr>
            <w:r w:rsidRPr="00FE7376">
              <w:rPr>
                <w:rFonts w:ascii="Futura Std Condensed Light" w:eastAsia="Calibri" w:hAnsi="Futura Std Condensed Light" w:cs="Calibri"/>
                <w:sz w:val="20"/>
                <w:szCs w:val="20"/>
              </w:rPr>
              <w:t>6. Implementar un programa para elevar la eficiencia terminal en la educación superior.</w:t>
            </w:r>
          </w:p>
        </w:tc>
      </w:tr>
      <w:tr w:rsidR="0021177B" w:rsidRPr="00FE7376" w14:paraId="6035C90D" w14:textId="77777777" w:rsidTr="009E3B2F">
        <w:trPr>
          <w:trHeight w:val="484"/>
        </w:trPr>
        <w:tc>
          <w:tcPr>
            <w:tcW w:w="1806" w:type="pct"/>
            <w:gridSpan w:val="4"/>
          </w:tcPr>
          <w:p w14:paraId="5E29FB0F" w14:textId="77777777" w:rsidR="0021177B" w:rsidRPr="00FE7376" w:rsidRDefault="0021177B" w:rsidP="009E3B2F">
            <w:pPr>
              <w:spacing w:after="0" w:line="240" w:lineRule="auto"/>
              <w:jc w:val="center"/>
              <w:rPr>
                <w:rFonts w:ascii="Futura Std Condensed Light" w:eastAsia="Calibri" w:hAnsi="Futura Std Condensed Light" w:cs="Calibri"/>
                <w:b/>
                <w:sz w:val="20"/>
                <w:szCs w:val="20"/>
              </w:rPr>
            </w:pPr>
            <w:r w:rsidRPr="00FE7376">
              <w:rPr>
                <w:rFonts w:ascii="Futura Std Condensed Light" w:eastAsia="Calibri" w:hAnsi="Futura Std Condensed Light" w:cs="Calibri"/>
                <w:b/>
                <w:sz w:val="20"/>
                <w:szCs w:val="20"/>
              </w:rPr>
              <w:t>Plan Estratégico Objetivo Especifico</w:t>
            </w:r>
          </w:p>
        </w:tc>
        <w:tc>
          <w:tcPr>
            <w:tcW w:w="3194" w:type="pct"/>
            <w:gridSpan w:val="8"/>
          </w:tcPr>
          <w:p w14:paraId="0B914CA3" w14:textId="77777777" w:rsidR="0021177B" w:rsidRPr="00FE7376" w:rsidRDefault="0021177B" w:rsidP="009E3B2F">
            <w:pPr>
              <w:spacing w:after="0" w:line="240" w:lineRule="auto"/>
              <w:jc w:val="center"/>
              <w:rPr>
                <w:rFonts w:ascii="Futura Std Condensed Light" w:eastAsia="Calibri" w:hAnsi="Futura Std Condensed Light" w:cs="Calibri"/>
                <w:sz w:val="20"/>
                <w:szCs w:val="20"/>
              </w:rPr>
            </w:pPr>
            <w:r w:rsidRPr="00FE7376">
              <w:rPr>
                <w:rFonts w:ascii="Futura Std Condensed Light" w:eastAsia="Calibri" w:hAnsi="Futura Std Condensed Light" w:cs="Calibri"/>
                <w:sz w:val="20"/>
                <w:szCs w:val="20"/>
              </w:rPr>
              <w:t>Disminuir la desigualdad en sus diversas formas </w:t>
            </w:r>
          </w:p>
        </w:tc>
      </w:tr>
      <w:tr w:rsidR="0021177B" w:rsidRPr="00FE7376" w14:paraId="40E4C06E" w14:textId="77777777" w:rsidTr="009E3B2F">
        <w:trPr>
          <w:trHeight w:val="484"/>
        </w:trPr>
        <w:tc>
          <w:tcPr>
            <w:tcW w:w="1208" w:type="pct"/>
            <w:gridSpan w:val="2"/>
          </w:tcPr>
          <w:p w14:paraId="0A6EEEA3" w14:textId="77777777" w:rsidR="0021177B" w:rsidRPr="00FE7376" w:rsidRDefault="0021177B" w:rsidP="009E3B2F">
            <w:pPr>
              <w:spacing w:after="0" w:line="240" w:lineRule="auto"/>
              <w:jc w:val="center"/>
              <w:rPr>
                <w:rFonts w:ascii="Futura Std Condensed Light" w:eastAsia="Calibri" w:hAnsi="Futura Std Condensed Light" w:cs="Calibri"/>
                <w:b/>
                <w:sz w:val="20"/>
                <w:szCs w:val="20"/>
              </w:rPr>
            </w:pPr>
            <w:r w:rsidRPr="00FE7376">
              <w:rPr>
                <w:rFonts w:ascii="Futura Std Condensed Light" w:eastAsia="Calibri" w:hAnsi="Futura Std Condensed Light" w:cs="Calibri"/>
                <w:b/>
                <w:sz w:val="20"/>
                <w:szCs w:val="20"/>
              </w:rPr>
              <w:t>Entregable:</w:t>
            </w:r>
          </w:p>
        </w:tc>
        <w:tc>
          <w:tcPr>
            <w:tcW w:w="958" w:type="pct"/>
            <w:gridSpan w:val="3"/>
          </w:tcPr>
          <w:p w14:paraId="5CC5A0CE" w14:textId="77777777" w:rsidR="0021177B" w:rsidRPr="00FE7376" w:rsidRDefault="0021177B" w:rsidP="009E3B2F">
            <w:pPr>
              <w:spacing w:after="0" w:line="240" w:lineRule="auto"/>
              <w:jc w:val="center"/>
              <w:rPr>
                <w:rFonts w:ascii="Futura Std Condensed Light" w:eastAsia="Calibri" w:hAnsi="Futura Std Condensed Light" w:cs="Calibri"/>
                <w:sz w:val="20"/>
                <w:szCs w:val="20"/>
              </w:rPr>
            </w:pPr>
            <w:r w:rsidRPr="00FE7376">
              <w:rPr>
                <w:rFonts w:ascii="Futura Std Condensed Light" w:eastAsia="Calibri" w:hAnsi="Futura Std Condensed Light" w:cs="Calibri"/>
                <w:sz w:val="20"/>
                <w:szCs w:val="20"/>
              </w:rPr>
              <w:t>Programa pa</w:t>
            </w:r>
            <w:r>
              <w:rPr>
                <w:rFonts w:ascii="Futura Std Condensed Light" w:eastAsia="Calibri" w:hAnsi="Futura Std Condensed Light" w:cs="Calibri"/>
                <w:sz w:val="20"/>
                <w:szCs w:val="20"/>
              </w:rPr>
              <w:t>ra elevar la eficiencia termina en educación superior</w:t>
            </w:r>
          </w:p>
        </w:tc>
        <w:tc>
          <w:tcPr>
            <w:tcW w:w="1660" w:type="pct"/>
            <w:gridSpan w:val="5"/>
          </w:tcPr>
          <w:p w14:paraId="24B6E484" w14:textId="77777777" w:rsidR="0021177B" w:rsidRPr="00FE7376" w:rsidRDefault="0021177B" w:rsidP="009E3B2F">
            <w:pPr>
              <w:spacing w:after="0" w:line="240" w:lineRule="auto"/>
              <w:jc w:val="center"/>
              <w:rPr>
                <w:rFonts w:ascii="Futura Std Condensed Light" w:eastAsia="Calibri" w:hAnsi="Futura Std Condensed Light" w:cs="Calibri"/>
                <w:b/>
                <w:sz w:val="20"/>
                <w:szCs w:val="20"/>
              </w:rPr>
            </w:pPr>
            <w:r w:rsidRPr="00FE7376">
              <w:rPr>
                <w:rFonts w:ascii="Futura Std Condensed Light" w:eastAsia="Calibri" w:hAnsi="Futura Std Condensed Light" w:cs="Calibri"/>
                <w:b/>
                <w:sz w:val="20"/>
                <w:szCs w:val="20"/>
              </w:rPr>
              <w:t>Unidad de Medida:</w:t>
            </w:r>
          </w:p>
        </w:tc>
        <w:tc>
          <w:tcPr>
            <w:tcW w:w="1173" w:type="pct"/>
            <w:gridSpan w:val="2"/>
          </w:tcPr>
          <w:p w14:paraId="17696217" w14:textId="77777777" w:rsidR="0021177B" w:rsidRPr="00FE7376" w:rsidRDefault="0021177B" w:rsidP="009E3B2F">
            <w:pPr>
              <w:spacing w:after="0" w:line="240" w:lineRule="auto"/>
              <w:jc w:val="center"/>
              <w:rPr>
                <w:rFonts w:ascii="Futura Std Condensed Light" w:eastAsia="Calibri" w:hAnsi="Futura Std Condensed Light" w:cs="Calibri"/>
                <w:sz w:val="20"/>
                <w:szCs w:val="20"/>
              </w:rPr>
            </w:pPr>
            <w:r w:rsidRPr="00FE7376">
              <w:rPr>
                <w:rFonts w:ascii="Futura Std Condensed Light" w:eastAsia="Calibri" w:hAnsi="Futura Std Condensed Light" w:cs="Calibri"/>
                <w:sz w:val="20"/>
                <w:szCs w:val="20"/>
              </w:rPr>
              <w:t>Eficiencia Terminal en educación Superior</w:t>
            </w:r>
          </w:p>
        </w:tc>
      </w:tr>
      <w:tr w:rsidR="0021177B" w:rsidRPr="00FE7376" w14:paraId="0374E463" w14:textId="77777777" w:rsidTr="009E3B2F">
        <w:trPr>
          <w:trHeight w:val="449"/>
        </w:trPr>
        <w:tc>
          <w:tcPr>
            <w:tcW w:w="1208" w:type="pct"/>
            <w:gridSpan w:val="2"/>
          </w:tcPr>
          <w:p w14:paraId="22B71F05" w14:textId="77777777" w:rsidR="0021177B" w:rsidRPr="00FE7376" w:rsidRDefault="0021177B" w:rsidP="009E3B2F">
            <w:pPr>
              <w:spacing w:after="0" w:line="240" w:lineRule="auto"/>
              <w:jc w:val="center"/>
              <w:rPr>
                <w:rFonts w:ascii="Futura Std Condensed Light" w:eastAsia="Calibri" w:hAnsi="Futura Std Condensed Light" w:cs="Calibri"/>
                <w:b/>
                <w:sz w:val="20"/>
                <w:szCs w:val="20"/>
              </w:rPr>
            </w:pPr>
            <w:r w:rsidRPr="00FE7376">
              <w:rPr>
                <w:rFonts w:ascii="Futura Std Condensed Light" w:eastAsia="Calibri" w:hAnsi="Futura Std Condensed Light" w:cs="Calibri"/>
                <w:b/>
                <w:sz w:val="20"/>
                <w:szCs w:val="20"/>
              </w:rPr>
              <w:t>Descripción:</w:t>
            </w:r>
          </w:p>
        </w:tc>
        <w:tc>
          <w:tcPr>
            <w:tcW w:w="3792" w:type="pct"/>
            <w:gridSpan w:val="10"/>
          </w:tcPr>
          <w:p w14:paraId="662DBB3C" w14:textId="77777777" w:rsidR="0021177B" w:rsidRPr="00FE7376" w:rsidRDefault="0021177B" w:rsidP="009E3B2F">
            <w:pPr>
              <w:spacing w:after="0" w:line="240" w:lineRule="auto"/>
              <w:jc w:val="center"/>
              <w:rPr>
                <w:rFonts w:ascii="Futura Std Condensed Light" w:eastAsia="Calibri" w:hAnsi="Futura Std Condensed Light" w:cs="Calibri"/>
                <w:sz w:val="20"/>
                <w:szCs w:val="20"/>
              </w:rPr>
            </w:pPr>
            <w:r w:rsidRPr="00FE7376">
              <w:rPr>
                <w:rFonts w:ascii="Futura Std Condensed Light" w:eastAsia="Calibri" w:hAnsi="Futura Std Condensed Light" w:cs="Calibri"/>
                <w:sz w:val="20"/>
                <w:szCs w:val="20"/>
              </w:rPr>
              <w:t>Implementar programas con el propósito de mejorar la oferta educativa y servicios que ofrecen las Instituciones de Educación Superior Públicas.</w:t>
            </w:r>
          </w:p>
        </w:tc>
      </w:tr>
      <w:tr w:rsidR="0021177B" w:rsidRPr="00FE7376" w14:paraId="1C55D549" w14:textId="77777777" w:rsidTr="009E3B2F">
        <w:trPr>
          <w:trHeight w:val="484"/>
        </w:trPr>
        <w:tc>
          <w:tcPr>
            <w:tcW w:w="1806" w:type="pct"/>
            <w:gridSpan w:val="4"/>
          </w:tcPr>
          <w:p w14:paraId="366A598C" w14:textId="77777777" w:rsidR="0021177B" w:rsidRPr="00FE7376" w:rsidRDefault="0021177B" w:rsidP="009E3B2F">
            <w:pPr>
              <w:spacing w:after="0" w:line="240" w:lineRule="auto"/>
              <w:jc w:val="center"/>
              <w:rPr>
                <w:rFonts w:ascii="Futura Std Condensed Light" w:eastAsia="Calibri" w:hAnsi="Futura Std Condensed Light" w:cs="Calibri"/>
                <w:b/>
                <w:sz w:val="20"/>
                <w:szCs w:val="20"/>
              </w:rPr>
            </w:pPr>
            <w:r w:rsidRPr="00FE7376">
              <w:rPr>
                <w:rFonts w:ascii="Futura Std Condensed Light" w:eastAsia="Calibri" w:hAnsi="Futura Std Condensed Light" w:cs="Calibri"/>
                <w:b/>
                <w:sz w:val="20"/>
                <w:szCs w:val="20"/>
              </w:rPr>
              <w:t>Medio de verificación:</w:t>
            </w:r>
          </w:p>
        </w:tc>
        <w:tc>
          <w:tcPr>
            <w:tcW w:w="3194" w:type="pct"/>
            <w:gridSpan w:val="8"/>
          </w:tcPr>
          <w:p w14:paraId="28FA1073" w14:textId="77777777" w:rsidR="0021177B" w:rsidRPr="00FE7376" w:rsidRDefault="0021177B" w:rsidP="009E3B2F">
            <w:pPr>
              <w:spacing w:after="0" w:line="240" w:lineRule="auto"/>
              <w:jc w:val="center"/>
              <w:rPr>
                <w:rFonts w:ascii="Futura Std Condensed Light" w:eastAsia="Calibri" w:hAnsi="Futura Std Condensed Light" w:cs="Calibri"/>
                <w:sz w:val="20"/>
                <w:szCs w:val="20"/>
              </w:rPr>
            </w:pPr>
            <w:r w:rsidRPr="00FE7376">
              <w:rPr>
                <w:rFonts w:ascii="Futura Std Condensed Light" w:eastAsia="Calibri" w:hAnsi="Futura Std Condensed Light" w:cs="Calibri"/>
                <w:sz w:val="20"/>
                <w:szCs w:val="20"/>
              </w:rPr>
              <w:t>Indicadores Educativos, Secretaría de Educación de Quintana Roo.</w:t>
            </w:r>
          </w:p>
        </w:tc>
      </w:tr>
      <w:tr w:rsidR="0021177B" w:rsidRPr="00FE7376" w14:paraId="35D6566B" w14:textId="77777777" w:rsidTr="009E3B2F">
        <w:trPr>
          <w:trHeight w:val="484"/>
        </w:trPr>
        <w:tc>
          <w:tcPr>
            <w:tcW w:w="1806" w:type="pct"/>
            <w:gridSpan w:val="4"/>
          </w:tcPr>
          <w:p w14:paraId="23E40C44" w14:textId="77777777" w:rsidR="0021177B" w:rsidRPr="00FE7376" w:rsidRDefault="0021177B" w:rsidP="009E3B2F">
            <w:pPr>
              <w:spacing w:after="0" w:line="240" w:lineRule="auto"/>
              <w:jc w:val="center"/>
              <w:rPr>
                <w:rFonts w:ascii="Futura Std Condensed Light" w:eastAsia="Calibri" w:hAnsi="Futura Std Condensed Light" w:cs="Calibri"/>
                <w:b/>
                <w:sz w:val="20"/>
                <w:szCs w:val="20"/>
              </w:rPr>
            </w:pPr>
            <w:r w:rsidRPr="00FE7376">
              <w:rPr>
                <w:rFonts w:ascii="Futura Std Condensed Light" w:eastAsia="Calibri" w:hAnsi="Futura Std Condensed Light" w:cs="Calibri"/>
                <w:b/>
                <w:sz w:val="20"/>
                <w:szCs w:val="20"/>
              </w:rPr>
              <w:t>Línea base:</w:t>
            </w:r>
          </w:p>
        </w:tc>
        <w:tc>
          <w:tcPr>
            <w:tcW w:w="904" w:type="pct"/>
            <w:gridSpan w:val="3"/>
          </w:tcPr>
          <w:p w14:paraId="7EB74FC3" w14:textId="77777777" w:rsidR="0021177B" w:rsidRPr="00FE7376" w:rsidRDefault="0021177B" w:rsidP="009E3B2F">
            <w:pPr>
              <w:spacing w:after="0" w:line="240" w:lineRule="auto"/>
              <w:jc w:val="center"/>
              <w:rPr>
                <w:rFonts w:ascii="Futura Std Condensed Light" w:eastAsia="Calibri" w:hAnsi="Futura Std Condensed Light" w:cs="Calibri"/>
                <w:sz w:val="20"/>
                <w:szCs w:val="20"/>
              </w:rPr>
            </w:pPr>
            <w:r w:rsidRPr="00FE7376">
              <w:rPr>
                <w:rFonts w:ascii="Futura Std Condensed Light" w:eastAsia="Calibri" w:hAnsi="Futura Std Condensed Light" w:cs="Calibri"/>
                <w:sz w:val="20"/>
                <w:szCs w:val="20"/>
              </w:rPr>
              <w:t>65.70</w:t>
            </w:r>
          </w:p>
        </w:tc>
        <w:tc>
          <w:tcPr>
            <w:tcW w:w="1113" w:type="pct"/>
            <w:gridSpan w:val="2"/>
          </w:tcPr>
          <w:p w14:paraId="597BDB7B" w14:textId="77777777" w:rsidR="0021177B" w:rsidRPr="00FE7376" w:rsidRDefault="0021177B" w:rsidP="009E3B2F">
            <w:pPr>
              <w:spacing w:after="0" w:line="240" w:lineRule="auto"/>
              <w:jc w:val="center"/>
              <w:rPr>
                <w:rFonts w:ascii="Futura Std Condensed Light" w:eastAsia="Calibri" w:hAnsi="Futura Std Condensed Light" w:cs="Calibri"/>
                <w:b/>
                <w:sz w:val="20"/>
                <w:szCs w:val="20"/>
              </w:rPr>
            </w:pPr>
            <w:r w:rsidRPr="00FE7376">
              <w:rPr>
                <w:rFonts w:ascii="Futura Std Condensed Light" w:eastAsia="Calibri" w:hAnsi="Futura Std Condensed Light" w:cs="Calibri"/>
                <w:b/>
                <w:sz w:val="20"/>
                <w:szCs w:val="20"/>
              </w:rPr>
              <w:t>Año de línea base:</w:t>
            </w:r>
          </w:p>
        </w:tc>
        <w:tc>
          <w:tcPr>
            <w:tcW w:w="1178" w:type="pct"/>
            <w:gridSpan w:val="3"/>
          </w:tcPr>
          <w:p w14:paraId="7F9FF065" w14:textId="77777777" w:rsidR="0021177B" w:rsidRPr="00FE7376" w:rsidRDefault="0021177B" w:rsidP="009E3B2F">
            <w:pPr>
              <w:spacing w:after="0" w:line="240" w:lineRule="auto"/>
              <w:jc w:val="center"/>
              <w:rPr>
                <w:rFonts w:ascii="Futura Std Condensed Light" w:eastAsia="Calibri" w:hAnsi="Futura Std Condensed Light" w:cs="Calibri"/>
                <w:sz w:val="20"/>
                <w:szCs w:val="20"/>
              </w:rPr>
            </w:pPr>
            <w:r w:rsidRPr="00FE7376">
              <w:rPr>
                <w:rFonts w:ascii="Futura Std Condensed Light" w:eastAsia="Calibri" w:hAnsi="Futura Std Condensed Light" w:cs="Calibri"/>
                <w:sz w:val="20"/>
                <w:szCs w:val="20"/>
              </w:rPr>
              <w:t>2016</w:t>
            </w:r>
          </w:p>
        </w:tc>
      </w:tr>
      <w:tr w:rsidR="0021177B" w:rsidRPr="00FE7376" w14:paraId="5A6E4F88" w14:textId="77777777" w:rsidTr="009E3B2F">
        <w:trPr>
          <w:trHeight w:val="484"/>
        </w:trPr>
        <w:tc>
          <w:tcPr>
            <w:tcW w:w="1806" w:type="pct"/>
            <w:gridSpan w:val="4"/>
          </w:tcPr>
          <w:p w14:paraId="7ABE06EE" w14:textId="77777777" w:rsidR="0021177B" w:rsidRPr="00FE7376" w:rsidRDefault="0021177B" w:rsidP="009E3B2F">
            <w:pPr>
              <w:spacing w:after="0" w:line="240" w:lineRule="auto"/>
              <w:jc w:val="center"/>
              <w:rPr>
                <w:rFonts w:ascii="Futura Std Condensed Light" w:eastAsia="Calibri" w:hAnsi="Futura Std Condensed Light" w:cs="Calibri"/>
                <w:b/>
                <w:sz w:val="20"/>
                <w:szCs w:val="20"/>
              </w:rPr>
            </w:pPr>
            <w:r w:rsidRPr="00FE7376">
              <w:rPr>
                <w:rFonts w:ascii="Futura Std Condensed Light" w:eastAsia="Calibri" w:hAnsi="Futura Std Condensed Light" w:cs="Calibri"/>
                <w:b/>
                <w:sz w:val="20"/>
                <w:szCs w:val="20"/>
              </w:rPr>
              <w:t>Contribución Directa al Objetivo de la Agenda 2030</w:t>
            </w:r>
          </w:p>
        </w:tc>
        <w:tc>
          <w:tcPr>
            <w:tcW w:w="3194" w:type="pct"/>
            <w:gridSpan w:val="8"/>
          </w:tcPr>
          <w:p w14:paraId="671CE446" w14:textId="77777777" w:rsidR="0021177B" w:rsidRPr="00FE7376" w:rsidRDefault="0021177B" w:rsidP="009E3B2F">
            <w:pPr>
              <w:spacing w:after="0" w:line="240" w:lineRule="auto"/>
              <w:jc w:val="center"/>
              <w:rPr>
                <w:rFonts w:ascii="Futura Std Condensed Light" w:eastAsia="Calibri" w:hAnsi="Futura Std Condensed Light" w:cs="Calibri"/>
                <w:sz w:val="20"/>
                <w:szCs w:val="20"/>
              </w:rPr>
            </w:pPr>
            <w:r w:rsidRPr="00FE7376">
              <w:rPr>
                <w:rFonts w:ascii="Futura Std Condensed Light" w:eastAsia="Calibri" w:hAnsi="Futura Std Condensed Light" w:cs="Calibri"/>
                <w:sz w:val="20"/>
                <w:szCs w:val="20"/>
              </w:rPr>
              <w:t>Garantizar una educación inclusiva, equitativa y de calidad y promover oportunidades de aprendizaje durante toda la vida para todos</w:t>
            </w:r>
          </w:p>
        </w:tc>
      </w:tr>
      <w:tr w:rsidR="0021177B" w:rsidRPr="00FE7376" w14:paraId="4E489E16" w14:textId="77777777" w:rsidTr="009E3B2F">
        <w:trPr>
          <w:trHeight w:val="484"/>
        </w:trPr>
        <w:tc>
          <w:tcPr>
            <w:tcW w:w="1806" w:type="pct"/>
            <w:gridSpan w:val="4"/>
          </w:tcPr>
          <w:p w14:paraId="54EE0925" w14:textId="77777777" w:rsidR="0021177B" w:rsidRPr="00FE7376" w:rsidRDefault="0021177B" w:rsidP="009E3B2F">
            <w:pPr>
              <w:spacing w:after="0" w:line="240" w:lineRule="auto"/>
              <w:jc w:val="center"/>
              <w:rPr>
                <w:rFonts w:ascii="Futura Std Condensed Light" w:eastAsia="Calibri" w:hAnsi="Futura Std Condensed Light" w:cs="Calibri"/>
                <w:b/>
                <w:sz w:val="20"/>
                <w:szCs w:val="20"/>
              </w:rPr>
            </w:pPr>
            <w:r w:rsidRPr="00FE7376">
              <w:rPr>
                <w:rFonts w:ascii="Futura Std Condensed Light" w:eastAsia="Calibri" w:hAnsi="Futura Std Condensed Light" w:cs="Calibri"/>
                <w:b/>
                <w:sz w:val="20"/>
                <w:szCs w:val="20"/>
              </w:rPr>
              <w:t>Contribución Directa  a la Meta de la Agenda 2030</w:t>
            </w:r>
          </w:p>
        </w:tc>
        <w:tc>
          <w:tcPr>
            <w:tcW w:w="3194" w:type="pct"/>
            <w:gridSpan w:val="8"/>
          </w:tcPr>
          <w:p w14:paraId="4AE1AA21" w14:textId="77777777" w:rsidR="0021177B" w:rsidRPr="00FE7376" w:rsidRDefault="0021177B" w:rsidP="009E3B2F">
            <w:pPr>
              <w:spacing w:after="0" w:line="240" w:lineRule="auto"/>
              <w:jc w:val="center"/>
              <w:rPr>
                <w:rFonts w:ascii="Futura Std Condensed Light" w:eastAsia="Calibri" w:hAnsi="Futura Std Condensed Light" w:cs="Calibri"/>
                <w:sz w:val="20"/>
                <w:szCs w:val="20"/>
              </w:rPr>
            </w:pPr>
            <w:r w:rsidRPr="00FE7376">
              <w:rPr>
                <w:rFonts w:ascii="Futura Std Condensed Light" w:eastAsia="Calibri" w:hAnsi="Futura Std Condensed Light" w:cs="Calibri"/>
                <w:sz w:val="20"/>
                <w:szCs w:val="20"/>
              </w:rPr>
              <w:t>De aquí a 2030, asegurar el acceso igualitario de todos los hombres y las mujeres a una formación técnica, profesional y superior de calidad, incluida la enseñanza universitaria.</w:t>
            </w:r>
          </w:p>
        </w:tc>
      </w:tr>
      <w:tr w:rsidR="0021177B" w:rsidRPr="00FE7376" w14:paraId="2DD19CBE" w14:textId="77777777" w:rsidTr="009E3B2F">
        <w:trPr>
          <w:trHeight w:val="484"/>
        </w:trPr>
        <w:tc>
          <w:tcPr>
            <w:tcW w:w="1806" w:type="pct"/>
            <w:gridSpan w:val="4"/>
          </w:tcPr>
          <w:p w14:paraId="52E5939F" w14:textId="77777777" w:rsidR="0021177B" w:rsidRPr="00FE7376" w:rsidRDefault="0021177B" w:rsidP="009E3B2F">
            <w:pPr>
              <w:spacing w:after="0" w:line="240" w:lineRule="auto"/>
              <w:jc w:val="center"/>
              <w:rPr>
                <w:rFonts w:ascii="Futura Std Condensed Light" w:eastAsia="Calibri" w:hAnsi="Futura Std Condensed Light" w:cs="Calibri"/>
                <w:b/>
                <w:sz w:val="20"/>
                <w:szCs w:val="20"/>
              </w:rPr>
            </w:pPr>
            <w:r w:rsidRPr="00FE7376">
              <w:rPr>
                <w:rFonts w:ascii="Futura Std Condensed Light" w:eastAsia="Calibri" w:hAnsi="Futura Std Condensed Light" w:cs="Calibri"/>
                <w:b/>
                <w:sz w:val="20"/>
                <w:szCs w:val="20"/>
              </w:rPr>
              <w:t>Tema / Proyecto Prioritario de Quintana Roo</w:t>
            </w:r>
          </w:p>
        </w:tc>
        <w:tc>
          <w:tcPr>
            <w:tcW w:w="3194" w:type="pct"/>
            <w:gridSpan w:val="8"/>
          </w:tcPr>
          <w:p w14:paraId="4C5D2E9A" w14:textId="77777777" w:rsidR="0021177B" w:rsidRPr="00FE7376" w:rsidRDefault="0021177B" w:rsidP="009E3B2F">
            <w:pPr>
              <w:spacing w:after="0" w:line="240" w:lineRule="auto"/>
              <w:jc w:val="center"/>
              <w:rPr>
                <w:rFonts w:ascii="Futura Std Condensed Light" w:eastAsia="Calibri" w:hAnsi="Futura Std Condensed Light" w:cs="Calibri"/>
                <w:sz w:val="20"/>
                <w:szCs w:val="20"/>
              </w:rPr>
            </w:pPr>
            <w:r w:rsidRPr="00FE7376">
              <w:rPr>
                <w:rFonts w:ascii="Futura Std Condensed Light" w:eastAsia="Calibri" w:hAnsi="Futura Std Condensed Light" w:cs="Calibri"/>
                <w:sz w:val="20"/>
                <w:szCs w:val="20"/>
              </w:rPr>
              <w:t>24.5 Abatir el rezago educativo</w:t>
            </w:r>
          </w:p>
        </w:tc>
      </w:tr>
      <w:tr w:rsidR="0021177B" w:rsidRPr="00FE7376" w14:paraId="37E00377" w14:textId="77777777" w:rsidTr="009E3B2F">
        <w:trPr>
          <w:trHeight w:val="484"/>
        </w:trPr>
        <w:tc>
          <w:tcPr>
            <w:tcW w:w="1806" w:type="pct"/>
            <w:gridSpan w:val="4"/>
          </w:tcPr>
          <w:p w14:paraId="5D76F3D9" w14:textId="77777777" w:rsidR="0021177B" w:rsidRPr="00FE7376" w:rsidRDefault="0021177B" w:rsidP="009E3B2F">
            <w:pPr>
              <w:spacing w:after="0" w:line="240" w:lineRule="auto"/>
              <w:jc w:val="center"/>
              <w:rPr>
                <w:rFonts w:ascii="Futura Std Condensed Light" w:eastAsia="Calibri" w:hAnsi="Futura Std Condensed Light" w:cs="Calibri"/>
                <w:b/>
                <w:sz w:val="20"/>
                <w:szCs w:val="20"/>
              </w:rPr>
            </w:pPr>
            <w:r w:rsidRPr="00FE7376">
              <w:rPr>
                <w:rFonts w:ascii="Futura Std Condensed Light" w:eastAsia="Calibri" w:hAnsi="Futura Std Condensed Light" w:cs="Calibri"/>
                <w:b/>
                <w:sz w:val="20"/>
                <w:szCs w:val="20"/>
              </w:rPr>
              <w:t>Subtema Prioritario de Quintana Roo</w:t>
            </w:r>
          </w:p>
        </w:tc>
        <w:tc>
          <w:tcPr>
            <w:tcW w:w="3194" w:type="pct"/>
            <w:gridSpan w:val="8"/>
          </w:tcPr>
          <w:p w14:paraId="3775A8F8" w14:textId="77777777" w:rsidR="0021177B" w:rsidRPr="00FE7376" w:rsidRDefault="0021177B" w:rsidP="009E3B2F">
            <w:pPr>
              <w:spacing w:after="0" w:line="240" w:lineRule="auto"/>
              <w:jc w:val="center"/>
              <w:rPr>
                <w:rFonts w:ascii="Futura Std Condensed Light" w:eastAsia="Calibri" w:hAnsi="Futura Std Condensed Light" w:cs="Calibri"/>
                <w:sz w:val="20"/>
                <w:szCs w:val="20"/>
              </w:rPr>
            </w:pPr>
            <w:r w:rsidRPr="00FE7376">
              <w:rPr>
                <w:rFonts w:ascii="Futura Std Condensed Light" w:eastAsia="Calibri" w:hAnsi="Futura Std Condensed Light" w:cs="Calibri"/>
                <w:sz w:val="20"/>
                <w:szCs w:val="20"/>
              </w:rPr>
              <w:t>N/A</w:t>
            </w:r>
          </w:p>
        </w:tc>
      </w:tr>
      <w:tr w:rsidR="0021177B" w:rsidRPr="00FE7376" w14:paraId="02C9A0E3" w14:textId="77777777" w:rsidTr="009E3B2F">
        <w:trPr>
          <w:trHeight w:val="484"/>
        </w:trPr>
        <w:tc>
          <w:tcPr>
            <w:tcW w:w="5000" w:type="pct"/>
            <w:gridSpan w:val="12"/>
          </w:tcPr>
          <w:p w14:paraId="27F1D01D" w14:textId="77777777" w:rsidR="0021177B" w:rsidRPr="00FE7376" w:rsidRDefault="0021177B" w:rsidP="009E3B2F">
            <w:pPr>
              <w:spacing w:after="0" w:line="240" w:lineRule="auto"/>
              <w:jc w:val="center"/>
              <w:rPr>
                <w:rFonts w:ascii="Futura Std Condensed Light" w:eastAsia="Calibri" w:hAnsi="Futura Std Condensed Light" w:cs="Calibri"/>
                <w:b/>
                <w:sz w:val="20"/>
                <w:szCs w:val="20"/>
              </w:rPr>
            </w:pPr>
            <w:r w:rsidRPr="00FE7376">
              <w:rPr>
                <w:rFonts w:ascii="Futura Std Condensed Light" w:eastAsia="Calibri" w:hAnsi="Futura Std Condensed Light" w:cs="Calibri"/>
                <w:b/>
                <w:sz w:val="20"/>
                <w:szCs w:val="20"/>
              </w:rPr>
              <w:t>Meta Total:</w:t>
            </w:r>
          </w:p>
        </w:tc>
      </w:tr>
      <w:tr w:rsidR="0021177B" w:rsidRPr="00FE7376" w14:paraId="6631D14A" w14:textId="77777777" w:rsidTr="009E3B2F">
        <w:trPr>
          <w:trHeight w:val="484"/>
        </w:trPr>
        <w:tc>
          <w:tcPr>
            <w:tcW w:w="781" w:type="pct"/>
          </w:tcPr>
          <w:p w14:paraId="0C2DC85C" w14:textId="77777777" w:rsidR="0021177B" w:rsidRPr="00FE7376" w:rsidRDefault="0021177B" w:rsidP="009E3B2F">
            <w:pPr>
              <w:spacing w:after="0" w:line="240" w:lineRule="auto"/>
              <w:jc w:val="center"/>
              <w:rPr>
                <w:rFonts w:ascii="Futura Std Condensed Light" w:eastAsia="Calibri" w:hAnsi="Futura Std Condensed Light" w:cs="Calibri"/>
                <w:b/>
                <w:sz w:val="20"/>
                <w:szCs w:val="20"/>
              </w:rPr>
            </w:pPr>
            <w:r w:rsidRPr="00FE7376">
              <w:rPr>
                <w:rFonts w:ascii="Futura Std Condensed Light" w:eastAsia="Calibri" w:hAnsi="Futura Std Condensed Light" w:cs="Calibri"/>
                <w:b/>
                <w:sz w:val="20"/>
                <w:szCs w:val="20"/>
              </w:rPr>
              <w:t>2017</w:t>
            </w:r>
          </w:p>
        </w:tc>
        <w:tc>
          <w:tcPr>
            <w:tcW w:w="783" w:type="pct"/>
            <w:gridSpan w:val="2"/>
          </w:tcPr>
          <w:p w14:paraId="536C2520" w14:textId="77777777" w:rsidR="0021177B" w:rsidRPr="00FE7376" w:rsidRDefault="0021177B" w:rsidP="009E3B2F">
            <w:pPr>
              <w:spacing w:after="0" w:line="240" w:lineRule="auto"/>
              <w:jc w:val="center"/>
              <w:rPr>
                <w:rFonts w:ascii="Futura Std Condensed Light" w:eastAsia="Calibri" w:hAnsi="Futura Std Condensed Light" w:cs="Calibri"/>
                <w:b/>
                <w:sz w:val="20"/>
                <w:szCs w:val="20"/>
              </w:rPr>
            </w:pPr>
            <w:r w:rsidRPr="00FE7376">
              <w:rPr>
                <w:rFonts w:ascii="Futura Std Condensed Light" w:eastAsia="Calibri" w:hAnsi="Futura Std Condensed Light" w:cs="Calibri"/>
                <w:b/>
                <w:sz w:val="20"/>
                <w:szCs w:val="20"/>
              </w:rPr>
              <w:t>2018</w:t>
            </w:r>
          </w:p>
        </w:tc>
        <w:tc>
          <w:tcPr>
            <w:tcW w:w="904" w:type="pct"/>
            <w:gridSpan w:val="3"/>
          </w:tcPr>
          <w:p w14:paraId="76D913D4" w14:textId="77777777" w:rsidR="0021177B" w:rsidRPr="00FE7376" w:rsidRDefault="0021177B" w:rsidP="009E3B2F">
            <w:pPr>
              <w:spacing w:after="0" w:line="240" w:lineRule="auto"/>
              <w:jc w:val="center"/>
              <w:rPr>
                <w:rFonts w:ascii="Futura Std Condensed Light" w:eastAsia="Calibri" w:hAnsi="Futura Std Condensed Light" w:cs="Calibri"/>
                <w:b/>
                <w:sz w:val="20"/>
                <w:szCs w:val="20"/>
              </w:rPr>
            </w:pPr>
            <w:r w:rsidRPr="00FE7376">
              <w:rPr>
                <w:rFonts w:ascii="Futura Std Condensed Light" w:eastAsia="Calibri" w:hAnsi="Futura Std Condensed Light" w:cs="Calibri"/>
                <w:b/>
                <w:sz w:val="20"/>
                <w:szCs w:val="20"/>
              </w:rPr>
              <w:t>2019</w:t>
            </w:r>
          </w:p>
        </w:tc>
        <w:tc>
          <w:tcPr>
            <w:tcW w:w="723" w:type="pct"/>
            <w:gridSpan w:val="2"/>
          </w:tcPr>
          <w:p w14:paraId="00DAAD6C" w14:textId="77777777" w:rsidR="0021177B" w:rsidRPr="00FE7376" w:rsidRDefault="0021177B" w:rsidP="009E3B2F">
            <w:pPr>
              <w:spacing w:after="0" w:line="240" w:lineRule="auto"/>
              <w:jc w:val="center"/>
              <w:rPr>
                <w:rFonts w:ascii="Futura Std Condensed Light" w:eastAsia="Calibri" w:hAnsi="Futura Std Condensed Light" w:cs="Calibri"/>
                <w:b/>
                <w:sz w:val="20"/>
                <w:szCs w:val="20"/>
              </w:rPr>
            </w:pPr>
            <w:r w:rsidRPr="00FE7376">
              <w:rPr>
                <w:rFonts w:ascii="Futura Std Condensed Light" w:eastAsia="Calibri" w:hAnsi="Futura Std Condensed Light" w:cs="Calibri"/>
                <w:b/>
                <w:sz w:val="20"/>
                <w:szCs w:val="20"/>
              </w:rPr>
              <w:t>2020</w:t>
            </w:r>
          </w:p>
        </w:tc>
        <w:tc>
          <w:tcPr>
            <w:tcW w:w="963" w:type="pct"/>
            <w:gridSpan w:val="3"/>
          </w:tcPr>
          <w:p w14:paraId="603BB005" w14:textId="77777777" w:rsidR="0021177B" w:rsidRPr="00FE7376" w:rsidRDefault="0021177B" w:rsidP="009E3B2F">
            <w:pPr>
              <w:spacing w:after="0" w:line="240" w:lineRule="auto"/>
              <w:jc w:val="center"/>
              <w:rPr>
                <w:rFonts w:ascii="Futura Std Condensed Light" w:eastAsia="Calibri" w:hAnsi="Futura Std Condensed Light" w:cs="Calibri"/>
                <w:b/>
                <w:sz w:val="20"/>
                <w:szCs w:val="20"/>
              </w:rPr>
            </w:pPr>
            <w:r w:rsidRPr="00FE7376">
              <w:rPr>
                <w:rFonts w:ascii="Futura Std Condensed Light" w:eastAsia="Calibri" w:hAnsi="Futura Std Condensed Light" w:cs="Calibri"/>
                <w:b/>
                <w:sz w:val="20"/>
                <w:szCs w:val="20"/>
              </w:rPr>
              <w:t>2021</w:t>
            </w:r>
          </w:p>
        </w:tc>
        <w:tc>
          <w:tcPr>
            <w:tcW w:w="846" w:type="pct"/>
          </w:tcPr>
          <w:p w14:paraId="6CDC9AF6" w14:textId="77777777" w:rsidR="0021177B" w:rsidRPr="00FE7376" w:rsidRDefault="0021177B" w:rsidP="009E3B2F">
            <w:pPr>
              <w:spacing w:after="0" w:line="240" w:lineRule="auto"/>
              <w:jc w:val="center"/>
              <w:rPr>
                <w:rFonts w:ascii="Futura Std Condensed Light" w:eastAsia="Calibri" w:hAnsi="Futura Std Condensed Light" w:cs="Calibri"/>
                <w:b/>
                <w:sz w:val="20"/>
                <w:szCs w:val="20"/>
              </w:rPr>
            </w:pPr>
            <w:r w:rsidRPr="00FE7376">
              <w:rPr>
                <w:rFonts w:ascii="Futura Std Condensed Light" w:eastAsia="Calibri" w:hAnsi="Futura Std Condensed Light" w:cs="Calibri"/>
                <w:b/>
                <w:sz w:val="20"/>
                <w:szCs w:val="20"/>
              </w:rPr>
              <w:t>2022</w:t>
            </w:r>
          </w:p>
        </w:tc>
      </w:tr>
      <w:tr w:rsidR="0021177B" w:rsidRPr="00FE7376" w14:paraId="7DF29C1F" w14:textId="77777777" w:rsidTr="009E3B2F">
        <w:trPr>
          <w:trHeight w:val="484"/>
        </w:trPr>
        <w:tc>
          <w:tcPr>
            <w:tcW w:w="781" w:type="pct"/>
          </w:tcPr>
          <w:p w14:paraId="203702E3" w14:textId="77777777" w:rsidR="0021177B" w:rsidRPr="00FE7376" w:rsidRDefault="0021177B" w:rsidP="009E3B2F">
            <w:pPr>
              <w:spacing w:after="0" w:line="240" w:lineRule="auto"/>
              <w:jc w:val="center"/>
              <w:rPr>
                <w:rFonts w:ascii="Futura Std Condensed Light" w:eastAsia="Calibri" w:hAnsi="Futura Std Condensed Light" w:cs="Calibri"/>
                <w:sz w:val="20"/>
                <w:szCs w:val="20"/>
              </w:rPr>
            </w:pPr>
            <w:r w:rsidRPr="00FE7376">
              <w:rPr>
                <w:rFonts w:ascii="Futura Std Condensed Light" w:eastAsia="Calibri" w:hAnsi="Futura Std Condensed Light" w:cs="Calibri"/>
                <w:sz w:val="20"/>
                <w:szCs w:val="20"/>
              </w:rPr>
              <w:t>68.40</w:t>
            </w:r>
          </w:p>
        </w:tc>
        <w:tc>
          <w:tcPr>
            <w:tcW w:w="783" w:type="pct"/>
            <w:gridSpan w:val="2"/>
          </w:tcPr>
          <w:p w14:paraId="797693BB" w14:textId="77777777" w:rsidR="0021177B" w:rsidRPr="00FE7376" w:rsidRDefault="0021177B" w:rsidP="009E3B2F">
            <w:pPr>
              <w:spacing w:after="0" w:line="240" w:lineRule="auto"/>
              <w:jc w:val="center"/>
              <w:rPr>
                <w:rFonts w:ascii="Futura Std Condensed Light" w:eastAsia="Calibri" w:hAnsi="Futura Std Condensed Light" w:cs="Calibri"/>
                <w:sz w:val="20"/>
                <w:szCs w:val="20"/>
              </w:rPr>
            </w:pPr>
            <w:r w:rsidRPr="00FE7376">
              <w:rPr>
                <w:rFonts w:ascii="Futura Std Condensed Light" w:eastAsia="Calibri" w:hAnsi="Futura Std Condensed Light" w:cs="Calibri"/>
                <w:sz w:val="20"/>
                <w:szCs w:val="20"/>
              </w:rPr>
              <w:t>62.27</w:t>
            </w:r>
          </w:p>
        </w:tc>
        <w:tc>
          <w:tcPr>
            <w:tcW w:w="904" w:type="pct"/>
            <w:gridSpan w:val="3"/>
          </w:tcPr>
          <w:p w14:paraId="550E61E5" w14:textId="77777777" w:rsidR="0021177B" w:rsidRPr="00FE7376" w:rsidRDefault="0021177B" w:rsidP="009E3B2F">
            <w:pPr>
              <w:spacing w:after="0" w:line="240" w:lineRule="auto"/>
              <w:jc w:val="center"/>
              <w:rPr>
                <w:rFonts w:ascii="Futura Std Condensed Light" w:eastAsia="Calibri" w:hAnsi="Futura Std Condensed Light" w:cs="Calibri"/>
                <w:sz w:val="20"/>
                <w:szCs w:val="20"/>
              </w:rPr>
            </w:pPr>
            <w:r w:rsidRPr="00FE7376">
              <w:rPr>
                <w:rFonts w:ascii="Futura Std Condensed Light" w:eastAsia="Calibri" w:hAnsi="Futura Std Condensed Light" w:cs="Calibri"/>
                <w:sz w:val="20"/>
                <w:szCs w:val="20"/>
              </w:rPr>
              <w:t>69.56</w:t>
            </w:r>
          </w:p>
        </w:tc>
        <w:tc>
          <w:tcPr>
            <w:tcW w:w="723" w:type="pct"/>
            <w:gridSpan w:val="2"/>
          </w:tcPr>
          <w:p w14:paraId="23CE7CDD" w14:textId="77777777" w:rsidR="0021177B" w:rsidRPr="00FE7376" w:rsidRDefault="0021177B" w:rsidP="009E3B2F">
            <w:pPr>
              <w:spacing w:after="0" w:line="240" w:lineRule="auto"/>
              <w:jc w:val="center"/>
              <w:rPr>
                <w:rFonts w:ascii="Futura Std Condensed Light" w:eastAsia="Calibri" w:hAnsi="Futura Std Condensed Light" w:cs="Calibri"/>
                <w:sz w:val="20"/>
                <w:szCs w:val="20"/>
              </w:rPr>
            </w:pPr>
            <w:r w:rsidRPr="00FE7376">
              <w:rPr>
                <w:rFonts w:ascii="Futura Std Condensed Light" w:eastAsia="Calibri" w:hAnsi="Futura Std Condensed Light" w:cs="Calibri"/>
                <w:sz w:val="20"/>
                <w:szCs w:val="20"/>
              </w:rPr>
              <w:t>70.02</w:t>
            </w:r>
          </w:p>
        </w:tc>
        <w:tc>
          <w:tcPr>
            <w:tcW w:w="963" w:type="pct"/>
            <w:gridSpan w:val="3"/>
          </w:tcPr>
          <w:p w14:paraId="4398E8A0" w14:textId="77777777" w:rsidR="0021177B" w:rsidRPr="00FE7376" w:rsidRDefault="0021177B" w:rsidP="009E3B2F">
            <w:pPr>
              <w:spacing w:after="0" w:line="240" w:lineRule="auto"/>
              <w:jc w:val="center"/>
              <w:rPr>
                <w:rFonts w:ascii="Futura Std Condensed Light" w:eastAsia="Calibri" w:hAnsi="Futura Std Condensed Light" w:cs="Calibri"/>
                <w:sz w:val="20"/>
                <w:szCs w:val="20"/>
              </w:rPr>
            </w:pPr>
            <w:r w:rsidRPr="00FE7376">
              <w:rPr>
                <w:rFonts w:ascii="Futura Std Condensed Light" w:eastAsia="Calibri" w:hAnsi="Futura Std Condensed Light" w:cs="Calibri"/>
                <w:sz w:val="20"/>
                <w:szCs w:val="20"/>
              </w:rPr>
              <w:t>70.56</w:t>
            </w:r>
          </w:p>
        </w:tc>
        <w:tc>
          <w:tcPr>
            <w:tcW w:w="846" w:type="pct"/>
          </w:tcPr>
          <w:p w14:paraId="5C2120C2" w14:textId="77777777" w:rsidR="0021177B" w:rsidRPr="00FE7376" w:rsidRDefault="0021177B" w:rsidP="009E3B2F">
            <w:pPr>
              <w:spacing w:after="0" w:line="240" w:lineRule="auto"/>
              <w:jc w:val="center"/>
              <w:rPr>
                <w:rFonts w:ascii="Futura Std Condensed Light" w:eastAsia="Calibri" w:hAnsi="Futura Std Condensed Light" w:cs="Calibri"/>
                <w:sz w:val="20"/>
                <w:szCs w:val="20"/>
              </w:rPr>
            </w:pPr>
            <w:r w:rsidRPr="00FE7376">
              <w:rPr>
                <w:rFonts w:ascii="Futura Std Condensed Light" w:eastAsia="Calibri" w:hAnsi="Futura Std Condensed Light" w:cs="Calibri"/>
                <w:sz w:val="20"/>
                <w:szCs w:val="20"/>
              </w:rPr>
              <w:t>71.10</w:t>
            </w:r>
          </w:p>
        </w:tc>
      </w:tr>
    </w:tbl>
    <w:p w14:paraId="30E227F9" w14:textId="6D3F3686" w:rsidR="007F55A3" w:rsidRDefault="007F55A3" w:rsidP="00FA0940">
      <w:pPr>
        <w:spacing w:after="0" w:line="240" w:lineRule="auto"/>
        <w:rPr>
          <w:rFonts w:ascii="Futura Std Condensed Light" w:eastAsia="Calibri" w:hAnsi="Futura Std Condensed Light" w:cs="Calibri"/>
          <w:b/>
          <w:sz w:val="20"/>
          <w:szCs w:val="20"/>
        </w:rPr>
      </w:pPr>
    </w:p>
    <w:p w14:paraId="4BD59D5B" w14:textId="1C6AFE87" w:rsidR="003120E0" w:rsidRDefault="003120E0" w:rsidP="0021177B">
      <w:pPr>
        <w:spacing w:after="0" w:line="240" w:lineRule="auto"/>
        <w:jc w:val="center"/>
        <w:rPr>
          <w:rFonts w:ascii="Futura Std Condensed Light" w:eastAsia="Calibri" w:hAnsi="Futura Std Condensed Light" w:cs="Calibri"/>
          <w:b/>
          <w:sz w:val="20"/>
          <w:szCs w:val="20"/>
        </w:rPr>
      </w:pPr>
    </w:p>
    <w:p w14:paraId="4FB33471" w14:textId="77777777" w:rsidR="00167212" w:rsidRPr="00FE7376" w:rsidRDefault="00167212" w:rsidP="0021177B">
      <w:pPr>
        <w:spacing w:after="0" w:line="240" w:lineRule="auto"/>
        <w:jc w:val="center"/>
        <w:rPr>
          <w:rFonts w:ascii="Futura Std Condensed Light" w:eastAsia="Calibri" w:hAnsi="Futura Std Condensed Light" w:cs="Calibri"/>
          <w:b/>
          <w:sz w:val="20"/>
          <w:szCs w:val="20"/>
        </w:rPr>
      </w:pPr>
    </w:p>
    <w:p w14:paraId="377B0E01" w14:textId="77777777" w:rsidR="00E05363" w:rsidRDefault="00E05363">
      <w:pPr>
        <w:spacing w:after="0" w:line="240" w:lineRule="auto"/>
        <w:jc w:val="left"/>
        <w:rPr>
          <w:rFonts w:eastAsia="Arial" w:cs="Times New Roman"/>
          <w:b/>
          <w:color w:val="4BACC6" w:themeColor="accent5"/>
        </w:rPr>
      </w:pPr>
      <w:r>
        <w:rPr>
          <w:rFonts w:eastAsia="Arial" w:cs="Times New Roman"/>
          <w:b/>
          <w:color w:val="4BACC6" w:themeColor="accent5"/>
        </w:rPr>
        <w:br w:type="page"/>
      </w:r>
    </w:p>
    <w:p w14:paraId="74353BD5" w14:textId="2EDEE16E" w:rsidR="0021177B" w:rsidRDefault="0021177B" w:rsidP="0021177B">
      <w:pPr>
        <w:jc w:val="center"/>
      </w:pPr>
      <w:r>
        <w:rPr>
          <w:rFonts w:eastAsia="Arial" w:cs="Times New Roman"/>
          <w:b/>
          <w:color w:val="4BACC6" w:themeColor="accent5"/>
        </w:rPr>
        <w:lastRenderedPageBreak/>
        <w:t xml:space="preserve">Cuadro </w:t>
      </w:r>
      <w:r w:rsidR="00FA0940">
        <w:rPr>
          <w:rFonts w:eastAsia="Arial" w:cs="Times New Roman"/>
          <w:b/>
          <w:color w:val="4BACC6" w:themeColor="accent5"/>
        </w:rPr>
        <w:t>34</w:t>
      </w:r>
      <w:r>
        <w:rPr>
          <w:rFonts w:eastAsia="Arial" w:cs="Times New Roman"/>
          <w:b/>
          <w:color w:val="4BACC6" w:themeColor="accent5"/>
        </w:rPr>
        <w:t>. Entregable y meta de la línea de acción 7 del PED</w:t>
      </w:r>
    </w:p>
    <w:tbl>
      <w:tblPr>
        <w:tblStyle w:val="Tablaconcuadrcula"/>
        <w:tblW w:w="5000" w:type="pct"/>
        <w:tblLook w:val="04A0" w:firstRow="1" w:lastRow="0" w:firstColumn="1" w:lastColumn="0" w:noHBand="0" w:noVBand="1"/>
      </w:tblPr>
      <w:tblGrid>
        <w:gridCol w:w="1491"/>
        <w:gridCol w:w="116"/>
        <w:gridCol w:w="1377"/>
        <w:gridCol w:w="231"/>
        <w:gridCol w:w="919"/>
        <w:gridCol w:w="574"/>
        <w:gridCol w:w="460"/>
        <w:gridCol w:w="919"/>
        <w:gridCol w:w="345"/>
        <w:gridCol w:w="574"/>
        <w:gridCol w:w="917"/>
        <w:gridCol w:w="1614"/>
      </w:tblGrid>
      <w:tr w:rsidR="0086391F" w:rsidRPr="008835BC" w14:paraId="7557A3FC" w14:textId="77777777" w:rsidTr="008835BC">
        <w:trPr>
          <w:trHeight w:val="274"/>
        </w:trPr>
        <w:tc>
          <w:tcPr>
            <w:tcW w:w="1685" w:type="pct"/>
            <w:gridSpan w:val="4"/>
            <w:shd w:val="clear" w:color="auto" w:fill="A6A6A6" w:themeFill="background1" w:themeFillShade="A6"/>
          </w:tcPr>
          <w:p w14:paraId="39456094" w14:textId="77777777" w:rsidR="0021177B" w:rsidRPr="008835BC" w:rsidRDefault="0021177B" w:rsidP="009E3B2F">
            <w:pPr>
              <w:spacing w:after="0" w:line="240" w:lineRule="auto"/>
              <w:jc w:val="center"/>
              <w:rPr>
                <w:rFonts w:ascii="Futura Std Condensed Light" w:eastAsia="Calibri" w:hAnsi="Futura Std Condensed Light" w:cs="Calibri"/>
                <w:color w:val="auto"/>
                <w:sz w:val="20"/>
                <w:szCs w:val="20"/>
              </w:rPr>
            </w:pPr>
            <w:r w:rsidRPr="008835BC">
              <w:rPr>
                <w:rFonts w:ascii="Futura Std Condensed Light" w:eastAsia="Calibri" w:hAnsi="Futura Std Condensed Light" w:cs="Calibri"/>
                <w:color w:val="auto"/>
                <w:sz w:val="20"/>
                <w:szCs w:val="20"/>
              </w:rPr>
              <w:t>Programa PED</w:t>
            </w:r>
          </w:p>
        </w:tc>
        <w:tc>
          <w:tcPr>
            <w:tcW w:w="3315" w:type="pct"/>
            <w:gridSpan w:val="8"/>
            <w:shd w:val="clear" w:color="auto" w:fill="A6A6A6" w:themeFill="background1" w:themeFillShade="A6"/>
          </w:tcPr>
          <w:p w14:paraId="3596CD88" w14:textId="77777777" w:rsidR="0021177B" w:rsidRPr="008835BC" w:rsidRDefault="0021177B" w:rsidP="009E3B2F">
            <w:pPr>
              <w:spacing w:after="0" w:line="240" w:lineRule="auto"/>
              <w:jc w:val="center"/>
              <w:rPr>
                <w:rFonts w:ascii="Futura Std Condensed Light" w:eastAsia="Calibri" w:hAnsi="Futura Std Condensed Light" w:cs="Calibri"/>
                <w:color w:val="auto"/>
                <w:sz w:val="20"/>
                <w:szCs w:val="20"/>
              </w:rPr>
            </w:pPr>
            <w:r w:rsidRPr="008835BC">
              <w:rPr>
                <w:rFonts w:ascii="Futura Std Condensed Light" w:eastAsia="Calibri" w:hAnsi="Futura Std Condensed Light" w:cs="Calibri"/>
                <w:color w:val="auto"/>
                <w:sz w:val="20"/>
                <w:szCs w:val="20"/>
              </w:rPr>
              <w:t>Programa Sectorial Educación Pública de Calidad</w:t>
            </w:r>
          </w:p>
        </w:tc>
      </w:tr>
      <w:tr w:rsidR="0021177B" w:rsidRPr="00D12127" w14:paraId="5DF4DCB3" w14:textId="77777777" w:rsidTr="009E3B2F">
        <w:trPr>
          <w:trHeight w:val="469"/>
        </w:trPr>
        <w:tc>
          <w:tcPr>
            <w:tcW w:w="1685" w:type="pct"/>
            <w:gridSpan w:val="4"/>
          </w:tcPr>
          <w:p w14:paraId="3E3AE29F" w14:textId="77777777" w:rsidR="0021177B" w:rsidRPr="007D5ACF" w:rsidRDefault="0021177B" w:rsidP="009E3B2F">
            <w:pPr>
              <w:spacing w:after="0" w:line="240" w:lineRule="auto"/>
              <w:jc w:val="center"/>
              <w:rPr>
                <w:rFonts w:ascii="Futura Std Condensed Light" w:eastAsia="Calibri" w:hAnsi="Futura Std Condensed Light" w:cs="Calibri"/>
                <w:b/>
                <w:sz w:val="20"/>
                <w:szCs w:val="20"/>
              </w:rPr>
            </w:pPr>
            <w:r w:rsidRPr="007D5ACF">
              <w:rPr>
                <w:rFonts w:ascii="Futura Std Condensed Light" w:eastAsia="Calibri" w:hAnsi="Futura Std Condensed Light" w:cs="Calibri"/>
                <w:b/>
                <w:sz w:val="20"/>
                <w:szCs w:val="20"/>
              </w:rPr>
              <w:t>Línea de acción:</w:t>
            </w:r>
          </w:p>
        </w:tc>
        <w:tc>
          <w:tcPr>
            <w:tcW w:w="3315" w:type="pct"/>
            <w:gridSpan w:val="8"/>
          </w:tcPr>
          <w:p w14:paraId="7414D323" w14:textId="77777777" w:rsidR="0021177B" w:rsidRPr="007D5ACF" w:rsidRDefault="0021177B" w:rsidP="009E3B2F">
            <w:pPr>
              <w:spacing w:after="0" w:line="240" w:lineRule="auto"/>
              <w:jc w:val="center"/>
              <w:rPr>
                <w:rFonts w:ascii="Futura Std Condensed Light" w:eastAsia="Calibri" w:hAnsi="Futura Std Condensed Light" w:cs="Calibri"/>
                <w:sz w:val="20"/>
                <w:szCs w:val="20"/>
              </w:rPr>
            </w:pPr>
            <w:r w:rsidRPr="007D5ACF">
              <w:rPr>
                <w:rFonts w:ascii="Futura Std Condensed Light" w:eastAsia="Calibri" w:hAnsi="Futura Std Condensed Light" w:cs="Calibri"/>
                <w:sz w:val="20"/>
                <w:szCs w:val="20"/>
              </w:rPr>
              <w:t>7.  Impulsar un programa de desarrollo de competencias digitales para el aprendizaje.</w:t>
            </w:r>
          </w:p>
        </w:tc>
      </w:tr>
      <w:tr w:rsidR="0021177B" w:rsidRPr="00D12127" w14:paraId="6E9BC83F" w14:textId="77777777" w:rsidTr="009E3B2F">
        <w:trPr>
          <w:trHeight w:val="484"/>
        </w:trPr>
        <w:tc>
          <w:tcPr>
            <w:tcW w:w="1685" w:type="pct"/>
            <w:gridSpan w:val="4"/>
          </w:tcPr>
          <w:p w14:paraId="15C3A9F4" w14:textId="77777777" w:rsidR="0021177B" w:rsidRPr="007D5ACF" w:rsidRDefault="0021177B" w:rsidP="009E3B2F">
            <w:pPr>
              <w:spacing w:after="0" w:line="240" w:lineRule="auto"/>
              <w:jc w:val="center"/>
              <w:rPr>
                <w:rFonts w:ascii="Futura Std Condensed Light" w:eastAsia="Calibri" w:hAnsi="Futura Std Condensed Light" w:cs="Calibri"/>
                <w:b/>
                <w:sz w:val="20"/>
                <w:szCs w:val="20"/>
              </w:rPr>
            </w:pPr>
            <w:r w:rsidRPr="007D5ACF">
              <w:rPr>
                <w:rFonts w:ascii="Futura Std Condensed Light" w:eastAsia="Calibri" w:hAnsi="Futura Std Condensed Light" w:cs="Calibri"/>
                <w:b/>
                <w:sz w:val="20"/>
                <w:szCs w:val="20"/>
              </w:rPr>
              <w:t>Plan Estratégico Objetivo Especifico</w:t>
            </w:r>
          </w:p>
        </w:tc>
        <w:tc>
          <w:tcPr>
            <w:tcW w:w="3315" w:type="pct"/>
            <w:gridSpan w:val="8"/>
          </w:tcPr>
          <w:p w14:paraId="0E5BB0D6" w14:textId="77777777" w:rsidR="0021177B" w:rsidRPr="007D5ACF" w:rsidRDefault="0021177B" w:rsidP="009E3B2F">
            <w:pPr>
              <w:spacing w:after="0" w:line="240" w:lineRule="auto"/>
              <w:jc w:val="center"/>
              <w:rPr>
                <w:rFonts w:ascii="Futura Std Condensed Light" w:eastAsia="Calibri" w:hAnsi="Futura Std Condensed Light" w:cs="Calibri"/>
                <w:sz w:val="20"/>
                <w:szCs w:val="20"/>
              </w:rPr>
            </w:pPr>
            <w:r w:rsidRPr="007D5ACF">
              <w:rPr>
                <w:rFonts w:ascii="Futura Std Condensed Light" w:eastAsia="Calibri" w:hAnsi="Futura Std Condensed Light" w:cs="Calibri"/>
                <w:sz w:val="20"/>
                <w:szCs w:val="20"/>
              </w:rPr>
              <w:t>Disminuir la desigualdad en sus diversas formas </w:t>
            </w:r>
          </w:p>
        </w:tc>
      </w:tr>
      <w:tr w:rsidR="0021177B" w:rsidRPr="00D12127" w14:paraId="561E3C15" w14:textId="77777777" w:rsidTr="009E3B2F">
        <w:trPr>
          <w:trHeight w:val="484"/>
        </w:trPr>
        <w:tc>
          <w:tcPr>
            <w:tcW w:w="842" w:type="pct"/>
            <w:gridSpan w:val="2"/>
          </w:tcPr>
          <w:p w14:paraId="695E162A" w14:textId="77777777" w:rsidR="0021177B" w:rsidRPr="007D5ACF" w:rsidRDefault="0021177B" w:rsidP="009E3B2F">
            <w:pPr>
              <w:spacing w:after="0" w:line="240" w:lineRule="auto"/>
              <w:jc w:val="center"/>
              <w:rPr>
                <w:rFonts w:ascii="Futura Std Condensed Light" w:eastAsia="Calibri" w:hAnsi="Futura Std Condensed Light" w:cs="Calibri"/>
                <w:b/>
                <w:sz w:val="20"/>
                <w:szCs w:val="20"/>
              </w:rPr>
            </w:pPr>
            <w:r w:rsidRPr="007D5ACF">
              <w:rPr>
                <w:rFonts w:ascii="Futura Std Condensed Light" w:eastAsia="Calibri" w:hAnsi="Futura Std Condensed Light" w:cs="Calibri"/>
                <w:b/>
                <w:sz w:val="20"/>
                <w:szCs w:val="20"/>
              </w:rPr>
              <w:t>Entregable:</w:t>
            </w:r>
          </w:p>
        </w:tc>
        <w:tc>
          <w:tcPr>
            <w:tcW w:w="1325" w:type="pct"/>
            <w:gridSpan w:val="3"/>
          </w:tcPr>
          <w:p w14:paraId="59853E12" w14:textId="77777777" w:rsidR="0021177B" w:rsidRPr="007D5ACF" w:rsidRDefault="0021177B" w:rsidP="009E3B2F">
            <w:pPr>
              <w:spacing w:after="0" w:line="240" w:lineRule="auto"/>
              <w:jc w:val="center"/>
              <w:rPr>
                <w:rFonts w:ascii="Futura Std Condensed Light" w:eastAsia="Calibri" w:hAnsi="Futura Std Condensed Light" w:cs="Calibri"/>
                <w:sz w:val="20"/>
                <w:szCs w:val="20"/>
              </w:rPr>
            </w:pPr>
            <w:r w:rsidRPr="007D5ACF">
              <w:rPr>
                <w:rFonts w:ascii="Futura Std Condensed Light" w:eastAsia="Calibri" w:hAnsi="Futura Std Condensed Light" w:cs="Calibri"/>
                <w:sz w:val="20"/>
                <w:szCs w:val="20"/>
              </w:rPr>
              <w:t>Programa de desarrollo de competencias digitales para el aprendizaje</w:t>
            </w:r>
          </w:p>
        </w:tc>
        <w:tc>
          <w:tcPr>
            <w:tcW w:w="1205" w:type="pct"/>
            <w:gridSpan w:val="4"/>
          </w:tcPr>
          <w:p w14:paraId="67AB1932" w14:textId="77777777" w:rsidR="0021177B" w:rsidRPr="007D5ACF" w:rsidRDefault="0021177B" w:rsidP="009E3B2F">
            <w:pPr>
              <w:spacing w:after="0" w:line="240" w:lineRule="auto"/>
              <w:jc w:val="center"/>
              <w:rPr>
                <w:rFonts w:ascii="Futura Std Condensed Light" w:eastAsia="Calibri" w:hAnsi="Futura Std Condensed Light" w:cs="Calibri"/>
                <w:b/>
                <w:sz w:val="20"/>
                <w:szCs w:val="20"/>
              </w:rPr>
            </w:pPr>
            <w:r w:rsidRPr="007D5ACF">
              <w:rPr>
                <w:rFonts w:ascii="Futura Std Condensed Light" w:eastAsia="Calibri" w:hAnsi="Futura Std Condensed Light" w:cs="Calibri"/>
                <w:b/>
                <w:sz w:val="20"/>
                <w:szCs w:val="20"/>
              </w:rPr>
              <w:t>Unidad de Medida:</w:t>
            </w:r>
          </w:p>
        </w:tc>
        <w:tc>
          <w:tcPr>
            <w:tcW w:w="1628" w:type="pct"/>
            <w:gridSpan w:val="3"/>
          </w:tcPr>
          <w:p w14:paraId="29F27925" w14:textId="77777777" w:rsidR="0021177B" w:rsidRPr="007D5ACF" w:rsidRDefault="0021177B" w:rsidP="009E3B2F">
            <w:pPr>
              <w:spacing w:after="0" w:line="240" w:lineRule="auto"/>
              <w:jc w:val="center"/>
              <w:rPr>
                <w:rFonts w:ascii="Futura Std Condensed Light" w:eastAsia="Calibri" w:hAnsi="Futura Std Condensed Light" w:cs="Calibri"/>
                <w:sz w:val="20"/>
                <w:szCs w:val="20"/>
              </w:rPr>
            </w:pPr>
            <w:r w:rsidRPr="007D5ACF">
              <w:rPr>
                <w:rFonts w:ascii="Futura Std Condensed Light" w:eastAsia="Calibri" w:hAnsi="Futura Std Condensed Light" w:cs="Calibri"/>
                <w:sz w:val="20"/>
                <w:szCs w:val="20"/>
              </w:rPr>
              <w:t>Docentes capacitados</w:t>
            </w:r>
          </w:p>
        </w:tc>
      </w:tr>
      <w:tr w:rsidR="0021177B" w:rsidRPr="00D12127" w14:paraId="5382FD4A" w14:textId="77777777" w:rsidTr="009E3B2F">
        <w:trPr>
          <w:trHeight w:val="449"/>
        </w:trPr>
        <w:tc>
          <w:tcPr>
            <w:tcW w:w="842" w:type="pct"/>
            <w:gridSpan w:val="2"/>
          </w:tcPr>
          <w:p w14:paraId="60F3E1F2" w14:textId="77777777" w:rsidR="0021177B" w:rsidRPr="007D5ACF" w:rsidRDefault="0021177B" w:rsidP="009E3B2F">
            <w:pPr>
              <w:spacing w:after="0" w:line="240" w:lineRule="auto"/>
              <w:jc w:val="center"/>
              <w:rPr>
                <w:rFonts w:ascii="Futura Std Condensed Light" w:eastAsia="Calibri" w:hAnsi="Futura Std Condensed Light" w:cs="Calibri"/>
                <w:b/>
                <w:sz w:val="20"/>
                <w:szCs w:val="20"/>
              </w:rPr>
            </w:pPr>
            <w:r w:rsidRPr="007D5ACF">
              <w:rPr>
                <w:rFonts w:ascii="Futura Std Condensed Light" w:eastAsia="Calibri" w:hAnsi="Futura Std Condensed Light" w:cs="Calibri"/>
                <w:b/>
                <w:sz w:val="20"/>
                <w:szCs w:val="20"/>
              </w:rPr>
              <w:t>Descripción:</w:t>
            </w:r>
          </w:p>
        </w:tc>
        <w:tc>
          <w:tcPr>
            <w:tcW w:w="4158" w:type="pct"/>
            <w:gridSpan w:val="10"/>
          </w:tcPr>
          <w:p w14:paraId="072FE579" w14:textId="77777777" w:rsidR="0021177B" w:rsidRPr="007D5ACF" w:rsidRDefault="0021177B" w:rsidP="009E3B2F">
            <w:pPr>
              <w:spacing w:after="0" w:line="240" w:lineRule="auto"/>
              <w:jc w:val="center"/>
              <w:rPr>
                <w:rFonts w:ascii="Futura Std Condensed Light" w:eastAsia="Calibri" w:hAnsi="Futura Std Condensed Light" w:cs="Calibri"/>
                <w:sz w:val="20"/>
                <w:szCs w:val="20"/>
              </w:rPr>
            </w:pPr>
            <w:r w:rsidRPr="007D5ACF">
              <w:rPr>
                <w:rFonts w:ascii="Futura Std Condensed Light" w:eastAsia="Calibri" w:hAnsi="Futura Std Condensed Light" w:cs="Calibri"/>
                <w:sz w:val="20"/>
                <w:szCs w:val="20"/>
              </w:rPr>
              <w:t>Desarrollar en docentes, competencias digitales de acuerdo a los lineamientos del marco de referencia de la UNESCO, de docentes en TIC (Tecnologías de la Información y Comunicación) Nivel Uno, para el desarrollo de proyectos de aprendizaje usando TIC´s que contribuyan a la mejora educativa y la alfabetización digital de los ciudadanos quintanarroenses.</w:t>
            </w:r>
          </w:p>
        </w:tc>
      </w:tr>
      <w:tr w:rsidR="0021177B" w:rsidRPr="00D12127" w14:paraId="43E1DB08" w14:textId="77777777" w:rsidTr="009E3B2F">
        <w:trPr>
          <w:trHeight w:val="484"/>
        </w:trPr>
        <w:tc>
          <w:tcPr>
            <w:tcW w:w="1685" w:type="pct"/>
            <w:gridSpan w:val="4"/>
          </w:tcPr>
          <w:p w14:paraId="633BF1C6" w14:textId="77777777" w:rsidR="0021177B" w:rsidRPr="007D5ACF" w:rsidRDefault="0021177B" w:rsidP="009E3B2F">
            <w:pPr>
              <w:spacing w:after="0" w:line="240" w:lineRule="auto"/>
              <w:jc w:val="center"/>
              <w:rPr>
                <w:rFonts w:ascii="Futura Std Condensed Light" w:eastAsia="Calibri" w:hAnsi="Futura Std Condensed Light" w:cs="Calibri"/>
                <w:b/>
                <w:sz w:val="20"/>
                <w:szCs w:val="20"/>
              </w:rPr>
            </w:pPr>
            <w:r w:rsidRPr="007D5ACF">
              <w:rPr>
                <w:rFonts w:ascii="Futura Std Condensed Light" w:eastAsia="Calibri" w:hAnsi="Futura Std Condensed Light" w:cs="Calibri"/>
                <w:b/>
                <w:sz w:val="20"/>
                <w:szCs w:val="20"/>
              </w:rPr>
              <w:t>Medio de verificación:</w:t>
            </w:r>
          </w:p>
        </w:tc>
        <w:tc>
          <w:tcPr>
            <w:tcW w:w="3315" w:type="pct"/>
            <w:gridSpan w:val="8"/>
          </w:tcPr>
          <w:p w14:paraId="0DB7165E" w14:textId="77777777" w:rsidR="0021177B" w:rsidRPr="007D5ACF" w:rsidRDefault="0021177B" w:rsidP="009E3B2F">
            <w:pPr>
              <w:spacing w:after="0" w:line="240" w:lineRule="auto"/>
              <w:jc w:val="center"/>
              <w:rPr>
                <w:rFonts w:ascii="Futura Std Condensed Light" w:eastAsia="Calibri" w:hAnsi="Futura Std Condensed Light" w:cs="Calibri"/>
                <w:sz w:val="20"/>
                <w:szCs w:val="20"/>
              </w:rPr>
            </w:pPr>
            <w:r w:rsidRPr="007D5ACF">
              <w:rPr>
                <w:rFonts w:ascii="Futura Std Condensed Light" w:eastAsia="Calibri" w:hAnsi="Futura Std Condensed Light" w:cs="Calibri"/>
                <w:sz w:val="20"/>
                <w:szCs w:val="20"/>
              </w:rPr>
              <w:t>Informes trimestrales de los programas de desarrollo de competencias digitales.</w:t>
            </w:r>
          </w:p>
        </w:tc>
      </w:tr>
      <w:tr w:rsidR="0021177B" w:rsidRPr="00D12127" w14:paraId="1233D4D9" w14:textId="77777777" w:rsidTr="009E3B2F">
        <w:trPr>
          <w:trHeight w:val="484"/>
        </w:trPr>
        <w:tc>
          <w:tcPr>
            <w:tcW w:w="1685" w:type="pct"/>
            <w:gridSpan w:val="4"/>
          </w:tcPr>
          <w:p w14:paraId="4A9C954D" w14:textId="77777777" w:rsidR="0021177B" w:rsidRPr="007D5ACF" w:rsidRDefault="0021177B" w:rsidP="009E3B2F">
            <w:pPr>
              <w:spacing w:after="0" w:line="240" w:lineRule="auto"/>
              <w:jc w:val="center"/>
              <w:rPr>
                <w:rFonts w:ascii="Futura Std Condensed Light" w:eastAsia="Calibri" w:hAnsi="Futura Std Condensed Light" w:cs="Calibri"/>
                <w:b/>
                <w:sz w:val="20"/>
                <w:szCs w:val="20"/>
              </w:rPr>
            </w:pPr>
            <w:r w:rsidRPr="007D5ACF">
              <w:rPr>
                <w:rFonts w:ascii="Futura Std Condensed Light" w:eastAsia="Calibri" w:hAnsi="Futura Std Condensed Light" w:cs="Calibri"/>
                <w:b/>
                <w:sz w:val="20"/>
                <w:szCs w:val="20"/>
              </w:rPr>
              <w:t>Línea base:</w:t>
            </w:r>
          </w:p>
        </w:tc>
        <w:tc>
          <w:tcPr>
            <w:tcW w:w="1024" w:type="pct"/>
            <w:gridSpan w:val="3"/>
          </w:tcPr>
          <w:p w14:paraId="74188B2D" w14:textId="77777777" w:rsidR="0021177B" w:rsidRPr="007D5ACF" w:rsidRDefault="0021177B" w:rsidP="009E3B2F">
            <w:pPr>
              <w:spacing w:after="0" w:line="240" w:lineRule="auto"/>
              <w:jc w:val="center"/>
              <w:rPr>
                <w:rFonts w:ascii="Futura Std Condensed Light" w:eastAsia="Calibri" w:hAnsi="Futura Std Condensed Light" w:cs="Calibri"/>
                <w:sz w:val="20"/>
                <w:szCs w:val="20"/>
              </w:rPr>
            </w:pPr>
            <w:r w:rsidRPr="007D5ACF">
              <w:rPr>
                <w:rFonts w:ascii="Futura Std Condensed Light" w:eastAsia="Calibri" w:hAnsi="Futura Std Condensed Light" w:cs="Calibri"/>
                <w:sz w:val="20"/>
                <w:szCs w:val="20"/>
              </w:rPr>
              <w:t>0</w:t>
            </w:r>
          </w:p>
        </w:tc>
        <w:tc>
          <w:tcPr>
            <w:tcW w:w="964" w:type="pct"/>
            <w:gridSpan w:val="3"/>
          </w:tcPr>
          <w:p w14:paraId="6CA0463D" w14:textId="77777777" w:rsidR="0021177B" w:rsidRPr="007D5ACF" w:rsidRDefault="0021177B" w:rsidP="009E3B2F">
            <w:pPr>
              <w:spacing w:after="0" w:line="240" w:lineRule="auto"/>
              <w:jc w:val="center"/>
              <w:rPr>
                <w:rFonts w:ascii="Futura Std Condensed Light" w:eastAsia="Calibri" w:hAnsi="Futura Std Condensed Light" w:cs="Calibri"/>
                <w:b/>
                <w:sz w:val="20"/>
                <w:szCs w:val="20"/>
              </w:rPr>
            </w:pPr>
            <w:r w:rsidRPr="007D5ACF">
              <w:rPr>
                <w:rFonts w:ascii="Futura Std Condensed Light" w:eastAsia="Calibri" w:hAnsi="Futura Std Condensed Light" w:cs="Calibri"/>
                <w:b/>
                <w:sz w:val="20"/>
                <w:szCs w:val="20"/>
              </w:rPr>
              <w:t>Año de línea base:</w:t>
            </w:r>
          </w:p>
        </w:tc>
        <w:tc>
          <w:tcPr>
            <w:tcW w:w="1327" w:type="pct"/>
            <w:gridSpan w:val="2"/>
          </w:tcPr>
          <w:p w14:paraId="5BB38CF7" w14:textId="77777777" w:rsidR="0021177B" w:rsidRPr="007D5ACF" w:rsidRDefault="0021177B" w:rsidP="009E3B2F">
            <w:pPr>
              <w:spacing w:after="0" w:line="240" w:lineRule="auto"/>
              <w:jc w:val="center"/>
              <w:rPr>
                <w:rFonts w:ascii="Futura Std Condensed Light" w:eastAsia="Calibri" w:hAnsi="Futura Std Condensed Light" w:cs="Calibri"/>
                <w:sz w:val="20"/>
                <w:szCs w:val="20"/>
              </w:rPr>
            </w:pPr>
            <w:r w:rsidRPr="007D5ACF">
              <w:rPr>
                <w:rFonts w:ascii="Futura Std Condensed Light" w:eastAsia="Calibri" w:hAnsi="Futura Std Condensed Light" w:cs="Calibri"/>
                <w:sz w:val="20"/>
                <w:szCs w:val="20"/>
              </w:rPr>
              <w:t>2016</w:t>
            </w:r>
          </w:p>
        </w:tc>
      </w:tr>
      <w:tr w:rsidR="0021177B" w:rsidRPr="00D12127" w14:paraId="1601F543" w14:textId="77777777" w:rsidTr="009E3B2F">
        <w:trPr>
          <w:trHeight w:val="484"/>
        </w:trPr>
        <w:tc>
          <w:tcPr>
            <w:tcW w:w="1685" w:type="pct"/>
            <w:gridSpan w:val="4"/>
          </w:tcPr>
          <w:p w14:paraId="697938A2" w14:textId="77777777" w:rsidR="0021177B" w:rsidRPr="007D5ACF" w:rsidRDefault="0021177B" w:rsidP="009E3B2F">
            <w:pPr>
              <w:spacing w:after="0" w:line="240" w:lineRule="auto"/>
              <w:jc w:val="center"/>
              <w:rPr>
                <w:rFonts w:ascii="Futura Std Condensed Light" w:eastAsia="Calibri" w:hAnsi="Futura Std Condensed Light" w:cs="Calibri"/>
                <w:b/>
                <w:sz w:val="20"/>
                <w:szCs w:val="20"/>
              </w:rPr>
            </w:pPr>
            <w:r w:rsidRPr="007D5ACF">
              <w:rPr>
                <w:rFonts w:ascii="Futura Std Condensed Light" w:eastAsia="Calibri" w:hAnsi="Futura Std Condensed Light" w:cs="Calibri"/>
                <w:b/>
                <w:sz w:val="20"/>
                <w:szCs w:val="20"/>
              </w:rPr>
              <w:t>Contribución Directa al Objetivo de la Agenda 2030</w:t>
            </w:r>
          </w:p>
        </w:tc>
        <w:tc>
          <w:tcPr>
            <w:tcW w:w="3315" w:type="pct"/>
            <w:gridSpan w:val="8"/>
          </w:tcPr>
          <w:p w14:paraId="6A7E9AB5" w14:textId="77777777" w:rsidR="0021177B" w:rsidRPr="007D5ACF" w:rsidRDefault="0021177B" w:rsidP="009E3B2F">
            <w:pPr>
              <w:spacing w:after="0" w:line="240" w:lineRule="auto"/>
              <w:jc w:val="center"/>
              <w:rPr>
                <w:rFonts w:ascii="Futura Std Condensed Light" w:eastAsia="Calibri" w:hAnsi="Futura Std Condensed Light" w:cs="Calibri"/>
                <w:sz w:val="20"/>
                <w:szCs w:val="20"/>
              </w:rPr>
            </w:pPr>
            <w:r w:rsidRPr="007D5ACF">
              <w:rPr>
                <w:rFonts w:ascii="Futura Std Condensed Light" w:eastAsia="Calibri" w:hAnsi="Futura Std Condensed Light" w:cs="Calibri"/>
                <w:sz w:val="20"/>
                <w:szCs w:val="20"/>
              </w:rPr>
              <w:t>Garantizar una educación inclusiva, equitativa y de calidad y promover oportunidades de aprendizaje durante toda la vida para todos</w:t>
            </w:r>
          </w:p>
        </w:tc>
      </w:tr>
      <w:tr w:rsidR="0021177B" w:rsidRPr="00D12127" w14:paraId="3C01FFBA" w14:textId="77777777" w:rsidTr="009E3B2F">
        <w:trPr>
          <w:trHeight w:val="484"/>
        </w:trPr>
        <w:tc>
          <w:tcPr>
            <w:tcW w:w="1685" w:type="pct"/>
            <w:gridSpan w:val="4"/>
          </w:tcPr>
          <w:p w14:paraId="642AC735" w14:textId="77777777" w:rsidR="0021177B" w:rsidRPr="007D5ACF" w:rsidRDefault="0021177B" w:rsidP="009E3B2F">
            <w:pPr>
              <w:spacing w:after="0" w:line="240" w:lineRule="auto"/>
              <w:jc w:val="center"/>
              <w:rPr>
                <w:rFonts w:ascii="Futura Std Condensed Light" w:eastAsia="Calibri" w:hAnsi="Futura Std Condensed Light" w:cs="Calibri"/>
                <w:b/>
                <w:sz w:val="20"/>
                <w:szCs w:val="20"/>
              </w:rPr>
            </w:pPr>
            <w:r w:rsidRPr="007D5ACF">
              <w:rPr>
                <w:rFonts w:ascii="Futura Std Condensed Light" w:eastAsia="Calibri" w:hAnsi="Futura Std Condensed Light" w:cs="Calibri"/>
                <w:b/>
                <w:sz w:val="20"/>
                <w:szCs w:val="20"/>
              </w:rPr>
              <w:t>Contribución Directa  a la Meta de la Agenda 2030</w:t>
            </w:r>
          </w:p>
        </w:tc>
        <w:tc>
          <w:tcPr>
            <w:tcW w:w="3315" w:type="pct"/>
            <w:gridSpan w:val="8"/>
          </w:tcPr>
          <w:p w14:paraId="58291B1D" w14:textId="27674F95" w:rsidR="0021177B" w:rsidRPr="007D5ACF" w:rsidRDefault="00C046A8" w:rsidP="00C046A8">
            <w:pPr>
              <w:spacing w:after="0" w:line="240" w:lineRule="auto"/>
              <w:jc w:val="center"/>
              <w:rPr>
                <w:rFonts w:ascii="Futura Std Condensed Light" w:eastAsia="Calibri" w:hAnsi="Futura Std Condensed Light" w:cs="Calibri"/>
                <w:sz w:val="20"/>
                <w:szCs w:val="20"/>
              </w:rPr>
            </w:pPr>
            <w:r w:rsidRPr="00C046A8">
              <w:rPr>
                <w:rFonts w:ascii="Futura Std Condensed Light" w:eastAsia="Calibri" w:hAnsi="Futura Std Condensed Light" w:cs="Calibri"/>
                <w:sz w:val="20"/>
                <w:szCs w:val="20"/>
              </w:rPr>
              <w:t>De aquí a 2030, asegurar que todas las niñas y todos los niños terminen la enseñanza primaria y secundaria, que ha de ser gratuita, equitativa y de calidad y producir resultados de aprendizaje pertinentes y efectivos</w:t>
            </w:r>
          </w:p>
        </w:tc>
      </w:tr>
      <w:tr w:rsidR="0021177B" w:rsidRPr="00D12127" w14:paraId="6CDB5E03" w14:textId="77777777" w:rsidTr="009E3B2F">
        <w:trPr>
          <w:trHeight w:val="484"/>
        </w:trPr>
        <w:tc>
          <w:tcPr>
            <w:tcW w:w="1685" w:type="pct"/>
            <w:gridSpan w:val="4"/>
          </w:tcPr>
          <w:p w14:paraId="33BC5465" w14:textId="77777777" w:rsidR="0021177B" w:rsidRPr="007D5ACF" w:rsidRDefault="0021177B" w:rsidP="009E3B2F">
            <w:pPr>
              <w:spacing w:after="0" w:line="240" w:lineRule="auto"/>
              <w:jc w:val="center"/>
              <w:rPr>
                <w:rFonts w:ascii="Futura Std Condensed Light" w:eastAsia="Calibri" w:hAnsi="Futura Std Condensed Light" w:cs="Calibri"/>
                <w:b/>
                <w:sz w:val="20"/>
                <w:szCs w:val="20"/>
              </w:rPr>
            </w:pPr>
            <w:r w:rsidRPr="007D5ACF">
              <w:rPr>
                <w:rFonts w:ascii="Futura Std Condensed Light" w:eastAsia="Calibri" w:hAnsi="Futura Std Condensed Light" w:cs="Calibri"/>
                <w:b/>
                <w:sz w:val="20"/>
                <w:szCs w:val="20"/>
              </w:rPr>
              <w:t>Tema / Proyecto Prioritario de Quintana Roo</w:t>
            </w:r>
          </w:p>
        </w:tc>
        <w:tc>
          <w:tcPr>
            <w:tcW w:w="3315" w:type="pct"/>
            <w:gridSpan w:val="8"/>
          </w:tcPr>
          <w:p w14:paraId="5AFE67A7" w14:textId="77777777" w:rsidR="0021177B" w:rsidRPr="007D5ACF" w:rsidRDefault="0021177B" w:rsidP="009E3B2F">
            <w:pPr>
              <w:spacing w:after="0" w:line="240" w:lineRule="auto"/>
              <w:jc w:val="center"/>
              <w:rPr>
                <w:rFonts w:ascii="Futura Std Condensed Light" w:eastAsia="Calibri" w:hAnsi="Futura Std Condensed Light" w:cs="Calibri"/>
                <w:sz w:val="20"/>
                <w:szCs w:val="20"/>
              </w:rPr>
            </w:pPr>
            <w:r w:rsidRPr="007D5ACF">
              <w:rPr>
                <w:rFonts w:ascii="Futura Std Condensed Light" w:eastAsia="Calibri" w:hAnsi="Futura Std Condensed Light" w:cs="Calibri"/>
                <w:sz w:val="20"/>
                <w:szCs w:val="20"/>
              </w:rPr>
              <w:t>24.5 Abatir el rezago educativo</w:t>
            </w:r>
          </w:p>
        </w:tc>
      </w:tr>
      <w:tr w:rsidR="0021177B" w:rsidRPr="00D12127" w14:paraId="4C3D8718" w14:textId="77777777" w:rsidTr="009E3B2F">
        <w:trPr>
          <w:trHeight w:val="484"/>
        </w:trPr>
        <w:tc>
          <w:tcPr>
            <w:tcW w:w="1685" w:type="pct"/>
            <w:gridSpan w:val="4"/>
          </w:tcPr>
          <w:p w14:paraId="36B28BF5" w14:textId="77777777" w:rsidR="0021177B" w:rsidRPr="007D5ACF" w:rsidRDefault="0021177B" w:rsidP="009E3B2F">
            <w:pPr>
              <w:spacing w:after="0" w:line="240" w:lineRule="auto"/>
              <w:jc w:val="center"/>
              <w:rPr>
                <w:rFonts w:ascii="Futura Std Condensed Light" w:eastAsia="Calibri" w:hAnsi="Futura Std Condensed Light" w:cs="Calibri"/>
                <w:b/>
                <w:sz w:val="20"/>
                <w:szCs w:val="20"/>
              </w:rPr>
            </w:pPr>
            <w:r w:rsidRPr="007D5ACF">
              <w:rPr>
                <w:rFonts w:ascii="Futura Std Condensed Light" w:eastAsia="Calibri" w:hAnsi="Futura Std Condensed Light" w:cs="Calibri"/>
                <w:b/>
                <w:sz w:val="20"/>
                <w:szCs w:val="20"/>
              </w:rPr>
              <w:t>Subtema Prioritario de Quintana Roo</w:t>
            </w:r>
          </w:p>
        </w:tc>
        <w:tc>
          <w:tcPr>
            <w:tcW w:w="3315" w:type="pct"/>
            <w:gridSpan w:val="8"/>
          </w:tcPr>
          <w:p w14:paraId="7AAFFB02" w14:textId="77777777" w:rsidR="0021177B" w:rsidRPr="007D5ACF" w:rsidRDefault="0021177B" w:rsidP="009E3B2F">
            <w:pPr>
              <w:spacing w:after="0" w:line="240" w:lineRule="auto"/>
              <w:jc w:val="center"/>
              <w:rPr>
                <w:rFonts w:ascii="Futura Std Condensed Light" w:eastAsia="Calibri" w:hAnsi="Futura Std Condensed Light" w:cs="Calibri"/>
                <w:sz w:val="20"/>
                <w:szCs w:val="20"/>
              </w:rPr>
            </w:pPr>
            <w:r w:rsidRPr="007D5ACF">
              <w:rPr>
                <w:rFonts w:ascii="Futura Std Condensed Light" w:eastAsia="Calibri" w:hAnsi="Futura Std Condensed Light" w:cs="Calibri"/>
                <w:sz w:val="20"/>
                <w:szCs w:val="20"/>
              </w:rPr>
              <w:t>N/A</w:t>
            </w:r>
          </w:p>
        </w:tc>
      </w:tr>
      <w:tr w:rsidR="0021177B" w:rsidRPr="00D12127" w14:paraId="62273273" w14:textId="77777777" w:rsidTr="009E3B2F">
        <w:trPr>
          <w:trHeight w:val="484"/>
        </w:trPr>
        <w:tc>
          <w:tcPr>
            <w:tcW w:w="5000" w:type="pct"/>
            <w:gridSpan w:val="12"/>
          </w:tcPr>
          <w:p w14:paraId="6F7477DC" w14:textId="77777777" w:rsidR="0021177B" w:rsidRPr="007D5ACF" w:rsidRDefault="0021177B" w:rsidP="009E3B2F">
            <w:pPr>
              <w:spacing w:after="0" w:line="240" w:lineRule="auto"/>
              <w:jc w:val="center"/>
              <w:rPr>
                <w:rFonts w:ascii="Futura Std Condensed Light" w:eastAsia="Calibri" w:hAnsi="Futura Std Condensed Light" w:cs="Calibri"/>
                <w:b/>
                <w:sz w:val="20"/>
                <w:szCs w:val="20"/>
              </w:rPr>
            </w:pPr>
            <w:r w:rsidRPr="007D5ACF">
              <w:rPr>
                <w:rFonts w:ascii="Futura Std Condensed Light" w:eastAsia="Calibri" w:hAnsi="Futura Std Condensed Light" w:cs="Calibri"/>
                <w:b/>
                <w:sz w:val="20"/>
                <w:szCs w:val="20"/>
              </w:rPr>
              <w:t>Meta Total:</w:t>
            </w:r>
          </w:p>
        </w:tc>
      </w:tr>
      <w:tr w:rsidR="0021177B" w:rsidRPr="00D12127" w14:paraId="028AAB09" w14:textId="77777777" w:rsidTr="009E3B2F">
        <w:trPr>
          <w:trHeight w:val="484"/>
        </w:trPr>
        <w:tc>
          <w:tcPr>
            <w:tcW w:w="781" w:type="pct"/>
          </w:tcPr>
          <w:p w14:paraId="14C7459D" w14:textId="77777777" w:rsidR="0021177B" w:rsidRPr="007D5ACF" w:rsidRDefault="0021177B" w:rsidP="009E3B2F">
            <w:pPr>
              <w:spacing w:after="0" w:line="240" w:lineRule="auto"/>
              <w:jc w:val="center"/>
              <w:rPr>
                <w:rFonts w:ascii="Futura Std Condensed Light" w:eastAsia="Calibri" w:hAnsi="Futura Std Condensed Light" w:cs="Calibri"/>
                <w:b/>
                <w:sz w:val="20"/>
                <w:szCs w:val="20"/>
              </w:rPr>
            </w:pPr>
            <w:r w:rsidRPr="007D5ACF">
              <w:rPr>
                <w:rFonts w:ascii="Futura Std Condensed Light" w:eastAsia="Calibri" w:hAnsi="Futura Std Condensed Light" w:cs="Calibri"/>
                <w:b/>
                <w:sz w:val="20"/>
                <w:szCs w:val="20"/>
              </w:rPr>
              <w:t>2017</w:t>
            </w:r>
          </w:p>
        </w:tc>
        <w:tc>
          <w:tcPr>
            <w:tcW w:w="783" w:type="pct"/>
            <w:gridSpan w:val="2"/>
          </w:tcPr>
          <w:p w14:paraId="3BC657BA" w14:textId="77777777" w:rsidR="0021177B" w:rsidRPr="007D5ACF" w:rsidRDefault="0021177B" w:rsidP="009E3B2F">
            <w:pPr>
              <w:spacing w:after="0" w:line="240" w:lineRule="auto"/>
              <w:jc w:val="center"/>
              <w:rPr>
                <w:rFonts w:ascii="Futura Std Condensed Light" w:eastAsia="Calibri" w:hAnsi="Futura Std Condensed Light" w:cs="Calibri"/>
                <w:b/>
                <w:sz w:val="20"/>
                <w:szCs w:val="20"/>
              </w:rPr>
            </w:pPr>
            <w:r w:rsidRPr="007D5ACF">
              <w:rPr>
                <w:rFonts w:ascii="Futura Std Condensed Light" w:eastAsia="Calibri" w:hAnsi="Futura Std Condensed Light" w:cs="Calibri"/>
                <w:b/>
                <w:sz w:val="20"/>
                <w:szCs w:val="20"/>
              </w:rPr>
              <w:t>2018</w:t>
            </w:r>
          </w:p>
        </w:tc>
        <w:tc>
          <w:tcPr>
            <w:tcW w:w="904" w:type="pct"/>
            <w:gridSpan w:val="3"/>
          </w:tcPr>
          <w:p w14:paraId="43203D2F" w14:textId="77777777" w:rsidR="0021177B" w:rsidRPr="007D5ACF" w:rsidRDefault="0021177B" w:rsidP="009E3B2F">
            <w:pPr>
              <w:spacing w:after="0" w:line="240" w:lineRule="auto"/>
              <w:jc w:val="center"/>
              <w:rPr>
                <w:rFonts w:ascii="Futura Std Condensed Light" w:eastAsia="Calibri" w:hAnsi="Futura Std Condensed Light" w:cs="Calibri"/>
                <w:b/>
                <w:sz w:val="20"/>
                <w:szCs w:val="20"/>
              </w:rPr>
            </w:pPr>
            <w:r w:rsidRPr="007D5ACF">
              <w:rPr>
                <w:rFonts w:ascii="Futura Std Condensed Light" w:eastAsia="Calibri" w:hAnsi="Futura Std Condensed Light" w:cs="Calibri"/>
                <w:b/>
                <w:sz w:val="20"/>
                <w:szCs w:val="20"/>
              </w:rPr>
              <w:t>2019</w:t>
            </w:r>
          </w:p>
        </w:tc>
        <w:tc>
          <w:tcPr>
            <w:tcW w:w="723" w:type="pct"/>
            <w:gridSpan w:val="2"/>
          </w:tcPr>
          <w:p w14:paraId="46D7F9E8" w14:textId="77777777" w:rsidR="0021177B" w:rsidRPr="007D5ACF" w:rsidRDefault="0021177B" w:rsidP="009E3B2F">
            <w:pPr>
              <w:spacing w:after="0" w:line="240" w:lineRule="auto"/>
              <w:jc w:val="center"/>
              <w:rPr>
                <w:rFonts w:ascii="Futura Std Condensed Light" w:eastAsia="Calibri" w:hAnsi="Futura Std Condensed Light" w:cs="Calibri"/>
                <w:b/>
                <w:sz w:val="20"/>
                <w:szCs w:val="20"/>
              </w:rPr>
            </w:pPr>
            <w:r w:rsidRPr="007D5ACF">
              <w:rPr>
                <w:rFonts w:ascii="Futura Std Condensed Light" w:eastAsia="Calibri" w:hAnsi="Futura Std Condensed Light" w:cs="Calibri"/>
                <w:b/>
                <w:sz w:val="20"/>
                <w:szCs w:val="20"/>
              </w:rPr>
              <w:t>2020</w:t>
            </w:r>
          </w:p>
        </w:tc>
        <w:tc>
          <w:tcPr>
            <w:tcW w:w="963" w:type="pct"/>
            <w:gridSpan w:val="3"/>
          </w:tcPr>
          <w:p w14:paraId="669B1E35" w14:textId="77777777" w:rsidR="0021177B" w:rsidRPr="007D5ACF" w:rsidRDefault="0021177B" w:rsidP="009E3B2F">
            <w:pPr>
              <w:spacing w:after="0" w:line="240" w:lineRule="auto"/>
              <w:jc w:val="center"/>
              <w:rPr>
                <w:rFonts w:ascii="Futura Std Condensed Light" w:eastAsia="Calibri" w:hAnsi="Futura Std Condensed Light" w:cs="Calibri"/>
                <w:b/>
                <w:sz w:val="20"/>
                <w:szCs w:val="20"/>
              </w:rPr>
            </w:pPr>
            <w:r w:rsidRPr="007D5ACF">
              <w:rPr>
                <w:rFonts w:ascii="Futura Std Condensed Light" w:eastAsia="Calibri" w:hAnsi="Futura Std Condensed Light" w:cs="Calibri"/>
                <w:b/>
                <w:sz w:val="20"/>
                <w:szCs w:val="20"/>
              </w:rPr>
              <w:t>2021</w:t>
            </w:r>
          </w:p>
        </w:tc>
        <w:tc>
          <w:tcPr>
            <w:tcW w:w="846" w:type="pct"/>
          </w:tcPr>
          <w:p w14:paraId="67E2CACB" w14:textId="77777777" w:rsidR="0021177B" w:rsidRPr="007D5ACF" w:rsidRDefault="0021177B" w:rsidP="009E3B2F">
            <w:pPr>
              <w:spacing w:after="0" w:line="240" w:lineRule="auto"/>
              <w:jc w:val="center"/>
              <w:rPr>
                <w:rFonts w:ascii="Futura Std Condensed Light" w:eastAsia="Calibri" w:hAnsi="Futura Std Condensed Light" w:cs="Calibri"/>
                <w:b/>
                <w:sz w:val="20"/>
                <w:szCs w:val="20"/>
              </w:rPr>
            </w:pPr>
            <w:r w:rsidRPr="007D5ACF">
              <w:rPr>
                <w:rFonts w:ascii="Futura Std Condensed Light" w:eastAsia="Calibri" w:hAnsi="Futura Std Condensed Light" w:cs="Calibri"/>
                <w:b/>
                <w:sz w:val="20"/>
                <w:szCs w:val="20"/>
              </w:rPr>
              <w:t>2022</w:t>
            </w:r>
          </w:p>
        </w:tc>
      </w:tr>
      <w:tr w:rsidR="0021177B" w:rsidRPr="00D12127" w14:paraId="0B50296C" w14:textId="77777777" w:rsidTr="009E3B2F">
        <w:trPr>
          <w:trHeight w:val="484"/>
        </w:trPr>
        <w:tc>
          <w:tcPr>
            <w:tcW w:w="781" w:type="pct"/>
          </w:tcPr>
          <w:p w14:paraId="1CD03138" w14:textId="77777777" w:rsidR="0021177B" w:rsidRPr="007D5ACF" w:rsidRDefault="0021177B" w:rsidP="009E3B2F">
            <w:pPr>
              <w:spacing w:after="0" w:line="240" w:lineRule="auto"/>
              <w:jc w:val="center"/>
              <w:rPr>
                <w:rFonts w:ascii="Futura Std Condensed Light" w:eastAsia="Calibri" w:hAnsi="Futura Std Condensed Light" w:cs="Calibri"/>
                <w:sz w:val="20"/>
                <w:szCs w:val="20"/>
              </w:rPr>
            </w:pPr>
            <w:r w:rsidRPr="007D5ACF">
              <w:rPr>
                <w:rFonts w:ascii="Futura Std Condensed Light" w:eastAsia="Calibri" w:hAnsi="Futura Std Condensed Light" w:cs="Calibri"/>
                <w:sz w:val="20"/>
                <w:szCs w:val="20"/>
              </w:rPr>
              <w:t>1,500</w:t>
            </w:r>
          </w:p>
        </w:tc>
        <w:tc>
          <w:tcPr>
            <w:tcW w:w="783" w:type="pct"/>
            <w:gridSpan w:val="2"/>
          </w:tcPr>
          <w:p w14:paraId="79FCE69E" w14:textId="77777777" w:rsidR="0021177B" w:rsidRPr="007D5ACF" w:rsidRDefault="0021177B" w:rsidP="009E3B2F">
            <w:pPr>
              <w:spacing w:after="0" w:line="240" w:lineRule="auto"/>
              <w:jc w:val="center"/>
              <w:rPr>
                <w:rFonts w:ascii="Futura Std Condensed Light" w:eastAsia="Calibri" w:hAnsi="Futura Std Condensed Light" w:cs="Calibri"/>
                <w:sz w:val="20"/>
                <w:szCs w:val="20"/>
              </w:rPr>
            </w:pPr>
            <w:r w:rsidRPr="007D5ACF">
              <w:rPr>
                <w:rFonts w:ascii="Futura Std Condensed Light" w:eastAsia="Calibri" w:hAnsi="Futura Std Condensed Light" w:cs="Calibri"/>
                <w:sz w:val="20"/>
                <w:szCs w:val="20"/>
              </w:rPr>
              <w:t>3,500</w:t>
            </w:r>
          </w:p>
        </w:tc>
        <w:tc>
          <w:tcPr>
            <w:tcW w:w="904" w:type="pct"/>
            <w:gridSpan w:val="3"/>
          </w:tcPr>
          <w:p w14:paraId="762831DB" w14:textId="77777777" w:rsidR="0021177B" w:rsidRPr="007D5ACF" w:rsidRDefault="0021177B" w:rsidP="009E3B2F">
            <w:pPr>
              <w:spacing w:after="0" w:line="240" w:lineRule="auto"/>
              <w:jc w:val="center"/>
              <w:rPr>
                <w:rFonts w:ascii="Futura Std Condensed Light" w:eastAsia="Calibri" w:hAnsi="Futura Std Condensed Light" w:cs="Calibri"/>
                <w:sz w:val="20"/>
                <w:szCs w:val="20"/>
              </w:rPr>
            </w:pPr>
            <w:r w:rsidRPr="007D5ACF">
              <w:rPr>
                <w:rFonts w:ascii="Futura Std Condensed Light" w:eastAsia="Calibri" w:hAnsi="Futura Std Condensed Light" w:cs="Calibri"/>
                <w:sz w:val="20"/>
                <w:szCs w:val="20"/>
              </w:rPr>
              <w:t>3,500</w:t>
            </w:r>
          </w:p>
        </w:tc>
        <w:tc>
          <w:tcPr>
            <w:tcW w:w="723" w:type="pct"/>
            <w:gridSpan w:val="2"/>
          </w:tcPr>
          <w:p w14:paraId="7F0DA580" w14:textId="77777777" w:rsidR="0021177B" w:rsidRPr="007D5ACF" w:rsidRDefault="0021177B" w:rsidP="009E3B2F">
            <w:pPr>
              <w:spacing w:after="0" w:line="240" w:lineRule="auto"/>
              <w:jc w:val="center"/>
              <w:rPr>
                <w:rFonts w:ascii="Futura Std Condensed Light" w:eastAsia="Calibri" w:hAnsi="Futura Std Condensed Light" w:cs="Calibri"/>
                <w:sz w:val="20"/>
                <w:szCs w:val="20"/>
              </w:rPr>
            </w:pPr>
            <w:r w:rsidRPr="007D5ACF">
              <w:rPr>
                <w:rFonts w:ascii="Futura Std Condensed Light" w:eastAsia="Calibri" w:hAnsi="Futura Std Condensed Light" w:cs="Calibri"/>
                <w:sz w:val="20"/>
                <w:szCs w:val="20"/>
              </w:rPr>
              <w:t>3,500</w:t>
            </w:r>
          </w:p>
        </w:tc>
        <w:tc>
          <w:tcPr>
            <w:tcW w:w="963" w:type="pct"/>
            <w:gridSpan w:val="3"/>
          </w:tcPr>
          <w:p w14:paraId="499324F2" w14:textId="77777777" w:rsidR="0021177B" w:rsidRPr="007D5ACF" w:rsidRDefault="0021177B" w:rsidP="009E3B2F">
            <w:pPr>
              <w:spacing w:after="0" w:line="240" w:lineRule="auto"/>
              <w:jc w:val="center"/>
              <w:rPr>
                <w:rFonts w:ascii="Futura Std Condensed Light" w:eastAsia="Calibri" w:hAnsi="Futura Std Condensed Light" w:cs="Calibri"/>
                <w:sz w:val="20"/>
                <w:szCs w:val="20"/>
              </w:rPr>
            </w:pPr>
            <w:r w:rsidRPr="007D5ACF">
              <w:rPr>
                <w:rFonts w:ascii="Futura Std Condensed Light" w:eastAsia="Calibri" w:hAnsi="Futura Std Condensed Light" w:cs="Calibri"/>
                <w:sz w:val="20"/>
                <w:szCs w:val="20"/>
              </w:rPr>
              <w:t>1,000</w:t>
            </w:r>
          </w:p>
        </w:tc>
        <w:tc>
          <w:tcPr>
            <w:tcW w:w="846" w:type="pct"/>
          </w:tcPr>
          <w:p w14:paraId="2CFD4516" w14:textId="77777777" w:rsidR="0021177B" w:rsidRPr="007D5ACF" w:rsidRDefault="0021177B" w:rsidP="009E3B2F">
            <w:pPr>
              <w:spacing w:after="0" w:line="240" w:lineRule="auto"/>
              <w:jc w:val="center"/>
              <w:rPr>
                <w:rFonts w:ascii="Futura Std Condensed Light" w:eastAsia="Calibri" w:hAnsi="Futura Std Condensed Light" w:cs="Calibri"/>
                <w:sz w:val="20"/>
                <w:szCs w:val="20"/>
              </w:rPr>
            </w:pPr>
            <w:r w:rsidRPr="007D5ACF">
              <w:rPr>
                <w:rFonts w:ascii="Futura Std Condensed Light" w:eastAsia="Calibri" w:hAnsi="Futura Std Condensed Light" w:cs="Calibri"/>
                <w:sz w:val="20"/>
                <w:szCs w:val="20"/>
              </w:rPr>
              <w:t>1,000</w:t>
            </w:r>
          </w:p>
        </w:tc>
      </w:tr>
    </w:tbl>
    <w:p w14:paraId="3095A270" w14:textId="79D72850" w:rsidR="00FA0940" w:rsidRDefault="00FA0940" w:rsidP="0021177B"/>
    <w:p w14:paraId="38B02FD4" w14:textId="77777777" w:rsidR="00E05363" w:rsidRDefault="00E05363">
      <w:pPr>
        <w:spacing w:after="0" w:line="240" w:lineRule="auto"/>
        <w:jc w:val="left"/>
        <w:rPr>
          <w:rFonts w:eastAsia="Arial" w:cs="Times New Roman"/>
          <w:b/>
          <w:color w:val="4BACC6" w:themeColor="accent5"/>
        </w:rPr>
      </w:pPr>
      <w:r>
        <w:rPr>
          <w:rFonts w:eastAsia="Arial" w:cs="Times New Roman"/>
          <w:b/>
          <w:color w:val="4BACC6" w:themeColor="accent5"/>
        </w:rPr>
        <w:br w:type="page"/>
      </w:r>
    </w:p>
    <w:p w14:paraId="3D8A2E8B" w14:textId="06D51C6D" w:rsidR="0021177B" w:rsidRDefault="00FA0940" w:rsidP="0021177B">
      <w:pPr>
        <w:jc w:val="center"/>
      </w:pPr>
      <w:r>
        <w:rPr>
          <w:rFonts w:eastAsia="Arial" w:cs="Times New Roman"/>
          <w:b/>
          <w:color w:val="4BACC6" w:themeColor="accent5"/>
        </w:rPr>
        <w:lastRenderedPageBreak/>
        <w:t>Cuadro 35</w:t>
      </w:r>
      <w:r w:rsidR="0021177B">
        <w:rPr>
          <w:rFonts w:eastAsia="Arial" w:cs="Times New Roman"/>
          <w:b/>
          <w:color w:val="4BACC6" w:themeColor="accent5"/>
        </w:rPr>
        <w:t>. Entregable y meta de la línea de acción 8 del PED</w:t>
      </w:r>
    </w:p>
    <w:tbl>
      <w:tblPr>
        <w:tblStyle w:val="Tablaconcuadrcula"/>
        <w:tblW w:w="5000" w:type="pct"/>
        <w:tblLook w:val="04A0" w:firstRow="1" w:lastRow="0" w:firstColumn="1" w:lastColumn="0" w:noHBand="0" w:noVBand="1"/>
      </w:tblPr>
      <w:tblGrid>
        <w:gridCol w:w="1489"/>
        <w:gridCol w:w="814"/>
        <w:gridCol w:w="679"/>
        <w:gridCol w:w="462"/>
        <w:gridCol w:w="687"/>
        <w:gridCol w:w="576"/>
        <w:gridCol w:w="462"/>
        <w:gridCol w:w="917"/>
        <w:gridCol w:w="807"/>
        <w:gridCol w:w="1030"/>
        <w:gridCol w:w="1614"/>
      </w:tblGrid>
      <w:tr w:rsidR="0086391F" w:rsidRPr="008835BC" w14:paraId="13FA7ECC" w14:textId="77777777" w:rsidTr="008835BC">
        <w:trPr>
          <w:trHeight w:val="182"/>
        </w:trPr>
        <w:tc>
          <w:tcPr>
            <w:tcW w:w="1806" w:type="pct"/>
            <w:gridSpan w:val="4"/>
            <w:shd w:val="clear" w:color="auto" w:fill="A6A6A6" w:themeFill="background1" w:themeFillShade="A6"/>
          </w:tcPr>
          <w:p w14:paraId="79285BF1" w14:textId="77777777" w:rsidR="0021177B" w:rsidRPr="008835BC" w:rsidRDefault="0021177B" w:rsidP="009E3B2F">
            <w:pPr>
              <w:spacing w:after="0" w:line="240" w:lineRule="auto"/>
              <w:jc w:val="center"/>
              <w:rPr>
                <w:rFonts w:ascii="Futura Std Condensed Light" w:eastAsia="Calibri" w:hAnsi="Futura Std Condensed Light" w:cs="Calibri"/>
                <w:color w:val="auto"/>
                <w:sz w:val="20"/>
                <w:szCs w:val="20"/>
              </w:rPr>
            </w:pPr>
            <w:r w:rsidRPr="008835BC">
              <w:rPr>
                <w:rFonts w:ascii="Futura Std Condensed Light" w:eastAsia="Calibri" w:hAnsi="Futura Std Condensed Light" w:cs="Calibri"/>
                <w:color w:val="auto"/>
                <w:sz w:val="20"/>
                <w:szCs w:val="20"/>
              </w:rPr>
              <w:t>Programa PED</w:t>
            </w:r>
          </w:p>
        </w:tc>
        <w:tc>
          <w:tcPr>
            <w:tcW w:w="3194" w:type="pct"/>
            <w:gridSpan w:val="7"/>
            <w:shd w:val="clear" w:color="auto" w:fill="A6A6A6" w:themeFill="background1" w:themeFillShade="A6"/>
          </w:tcPr>
          <w:p w14:paraId="1C5C1767" w14:textId="77777777" w:rsidR="0021177B" w:rsidRPr="008835BC" w:rsidRDefault="0021177B" w:rsidP="009E3B2F">
            <w:pPr>
              <w:spacing w:after="0" w:line="240" w:lineRule="auto"/>
              <w:jc w:val="center"/>
              <w:rPr>
                <w:rFonts w:ascii="Futura Std Condensed Light" w:eastAsia="Calibri" w:hAnsi="Futura Std Condensed Light" w:cs="Calibri"/>
                <w:color w:val="auto"/>
                <w:sz w:val="20"/>
                <w:szCs w:val="20"/>
              </w:rPr>
            </w:pPr>
            <w:r w:rsidRPr="008835BC">
              <w:rPr>
                <w:rFonts w:ascii="Futura Std Condensed Light" w:eastAsia="Calibri" w:hAnsi="Futura Std Condensed Light" w:cs="Calibri"/>
                <w:color w:val="auto"/>
                <w:sz w:val="20"/>
                <w:szCs w:val="20"/>
              </w:rPr>
              <w:t>Programa Sectorial Educación Pública de Calidad</w:t>
            </w:r>
          </w:p>
        </w:tc>
      </w:tr>
      <w:tr w:rsidR="0021177B" w:rsidRPr="00C114C7" w14:paraId="13BF5B82" w14:textId="77777777" w:rsidTr="009E3B2F">
        <w:trPr>
          <w:trHeight w:val="469"/>
        </w:trPr>
        <w:tc>
          <w:tcPr>
            <w:tcW w:w="1806" w:type="pct"/>
            <w:gridSpan w:val="4"/>
          </w:tcPr>
          <w:p w14:paraId="0BDF0A51" w14:textId="77777777" w:rsidR="0021177B" w:rsidRPr="00C114C7" w:rsidRDefault="0021177B" w:rsidP="009E3B2F">
            <w:pPr>
              <w:spacing w:after="0" w:line="240" w:lineRule="auto"/>
              <w:jc w:val="center"/>
              <w:rPr>
                <w:rFonts w:ascii="Futura Std Condensed Light" w:eastAsia="Calibri" w:hAnsi="Futura Std Condensed Light" w:cs="Calibri"/>
                <w:b/>
                <w:sz w:val="20"/>
                <w:szCs w:val="20"/>
              </w:rPr>
            </w:pPr>
            <w:r w:rsidRPr="00C114C7">
              <w:rPr>
                <w:rFonts w:ascii="Futura Std Condensed Light" w:eastAsia="Calibri" w:hAnsi="Futura Std Condensed Light" w:cs="Calibri"/>
                <w:b/>
                <w:sz w:val="20"/>
                <w:szCs w:val="20"/>
              </w:rPr>
              <w:t>Línea de acción:</w:t>
            </w:r>
          </w:p>
        </w:tc>
        <w:tc>
          <w:tcPr>
            <w:tcW w:w="3194" w:type="pct"/>
            <w:gridSpan w:val="7"/>
          </w:tcPr>
          <w:p w14:paraId="069B6D5E" w14:textId="77777777" w:rsidR="0021177B" w:rsidRPr="00C114C7" w:rsidRDefault="0021177B" w:rsidP="009E3B2F">
            <w:pPr>
              <w:spacing w:after="0" w:line="240" w:lineRule="auto"/>
              <w:jc w:val="center"/>
              <w:rPr>
                <w:rFonts w:ascii="Futura Std Condensed Light" w:eastAsia="Calibri" w:hAnsi="Futura Std Condensed Light" w:cs="Calibri"/>
                <w:sz w:val="20"/>
                <w:szCs w:val="20"/>
              </w:rPr>
            </w:pPr>
            <w:r w:rsidRPr="00C114C7">
              <w:rPr>
                <w:rFonts w:ascii="Futura Std Condensed Light" w:eastAsia="Calibri" w:hAnsi="Futura Std Condensed Light" w:cs="Calibri"/>
                <w:sz w:val="20"/>
                <w:szCs w:val="20"/>
              </w:rPr>
              <w:t>8.  Coordinar el programa de alfabetización y educación básica dirigido a jóvenes, adultos y adultos mayores en rezago educativo por medio de Tecnologías de la Información y Comunicación (TIC´s) con organizaciones de la sociedad civil y el instituto Estatal para la Educación de Jóvenes y Adultos. (IEEA)</w:t>
            </w:r>
          </w:p>
        </w:tc>
      </w:tr>
      <w:tr w:rsidR="0021177B" w:rsidRPr="00C114C7" w14:paraId="4E856576" w14:textId="77777777" w:rsidTr="009E3B2F">
        <w:trPr>
          <w:trHeight w:val="484"/>
        </w:trPr>
        <w:tc>
          <w:tcPr>
            <w:tcW w:w="1806" w:type="pct"/>
            <w:gridSpan w:val="4"/>
          </w:tcPr>
          <w:p w14:paraId="2F265216" w14:textId="77777777" w:rsidR="0021177B" w:rsidRPr="00C114C7" w:rsidRDefault="0021177B" w:rsidP="009E3B2F">
            <w:pPr>
              <w:spacing w:after="0" w:line="240" w:lineRule="auto"/>
              <w:jc w:val="center"/>
              <w:rPr>
                <w:rFonts w:ascii="Futura Std Condensed Light" w:eastAsia="Calibri" w:hAnsi="Futura Std Condensed Light" w:cs="Calibri"/>
                <w:b/>
                <w:sz w:val="20"/>
                <w:szCs w:val="20"/>
              </w:rPr>
            </w:pPr>
            <w:r w:rsidRPr="00C114C7">
              <w:rPr>
                <w:rFonts w:ascii="Futura Std Condensed Light" w:eastAsia="Calibri" w:hAnsi="Futura Std Condensed Light" w:cs="Calibri"/>
                <w:b/>
                <w:sz w:val="20"/>
                <w:szCs w:val="20"/>
              </w:rPr>
              <w:t>Plan Estratégico Objetivo Especifico</w:t>
            </w:r>
          </w:p>
        </w:tc>
        <w:tc>
          <w:tcPr>
            <w:tcW w:w="3194" w:type="pct"/>
            <w:gridSpan w:val="7"/>
          </w:tcPr>
          <w:p w14:paraId="6C27D0E2" w14:textId="77777777" w:rsidR="0021177B" w:rsidRPr="00C114C7" w:rsidRDefault="0021177B" w:rsidP="009E3B2F">
            <w:pPr>
              <w:spacing w:after="0" w:line="240" w:lineRule="auto"/>
              <w:jc w:val="center"/>
              <w:rPr>
                <w:rFonts w:ascii="Futura Std Condensed Light" w:eastAsia="Calibri" w:hAnsi="Futura Std Condensed Light" w:cs="Calibri"/>
                <w:sz w:val="20"/>
                <w:szCs w:val="20"/>
              </w:rPr>
            </w:pPr>
            <w:r w:rsidRPr="00C114C7">
              <w:rPr>
                <w:rFonts w:ascii="Futura Std Condensed Light" w:eastAsia="Calibri" w:hAnsi="Futura Std Condensed Light" w:cs="Calibri"/>
                <w:sz w:val="20"/>
                <w:szCs w:val="20"/>
              </w:rPr>
              <w:t>Disminuir la desigualdad en sus diversas formas </w:t>
            </w:r>
          </w:p>
        </w:tc>
      </w:tr>
      <w:tr w:rsidR="0021177B" w:rsidRPr="00C114C7" w14:paraId="7A693B7E" w14:textId="77777777" w:rsidTr="009E3B2F">
        <w:trPr>
          <w:trHeight w:val="484"/>
        </w:trPr>
        <w:tc>
          <w:tcPr>
            <w:tcW w:w="1208" w:type="pct"/>
            <w:gridSpan w:val="2"/>
          </w:tcPr>
          <w:p w14:paraId="6E924757" w14:textId="77777777" w:rsidR="0021177B" w:rsidRPr="00C114C7" w:rsidRDefault="0021177B" w:rsidP="009E3B2F">
            <w:pPr>
              <w:spacing w:after="0" w:line="240" w:lineRule="auto"/>
              <w:jc w:val="center"/>
              <w:rPr>
                <w:rFonts w:ascii="Futura Std Condensed Light" w:eastAsia="Calibri" w:hAnsi="Futura Std Condensed Light" w:cs="Calibri"/>
                <w:b/>
                <w:sz w:val="20"/>
                <w:szCs w:val="20"/>
              </w:rPr>
            </w:pPr>
            <w:r w:rsidRPr="00C114C7">
              <w:rPr>
                <w:rFonts w:ascii="Futura Std Condensed Light" w:eastAsia="Calibri" w:hAnsi="Futura Std Condensed Light" w:cs="Calibri"/>
                <w:b/>
                <w:sz w:val="20"/>
                <w:szCs w:val="20"/>
              </w:rPr>
              <w:t>Entregable:</w:t>
            </w:r>
          </w:p>
        </w:tc>
        <w:tc>
          <w:tcPr>
            <w:tcW w:w="958" w:type="pct"/>
            <w:gridSpan w:val="3"/>
          </w:tcPr>
          <w:p w14:paraId="7CC7CEE3" w14:textId="77777777" w:rsidR="0021177B" w:rsidRPr="00C114C7" w:rsidRDefault="0021177B" w:rsidP="009E3B2F">
            <w:pPr>
              <w:spacing w:after="0" w:line="240" w:lineRule="auto"/>
              <w:jc w:val="center"/>
              <w:rPr>
                <w:rFonts w:ascii="Futura Std Condensed Light" w:eastAsia="Calibri" w:hAnsi="Futura Std Condensed Light" w:cs="Calibri"/>
                <w:sz w:val="20"/>
                <w:szCs w:val="20"/>
              </w:rPr>
            </w:pPr>
            <w:r w:rsidRPr="00C114C7">
              <w:rPr>
                <w:rFonts w:ascii="Futura Std Condensed Light" w:eastAsia="Calibri" w:hAnsi="Futura Std Condensed Light" w:cs="Calibri"/>
                <w:sz w:val="20"/>
                <w:szCs w:val="20"/>
              </w:rPr>
              <w:t>Personas atendidas en nivel inicial, intermedio y avanzado</w:t>
            </w:r>
          </w:p>
        </w:tc>
        <w:tc>
          <w:tcPr>
            <w:tcW w:w="1448" w:type="pct"/>
            <w:gridSpan w:val="4"/>
          </w:tcPr>
          <w:p w14:paraId="1858C517" w14:textId="77777777" w:rsidR="0021177B" w:rsidRPr="00C114C7" w:rsidRDefault="0021177B" w:rsidP="009E3B2F">
            <w:pPr>
              <w:spacing w:after="0" w:line="240" w:lineRule="auto"/>
              <w:jc w:val="center"/>
              <w:rPr>
                <w:rFonts w:ascii="Futura Std Condensed Light" w:eastAsia="Calibri" w:hAnsi="Futura Std Condensed Light" w:cs="Calibri"/>
                <w:b/>
                <w:sz w:val="20"/>
                <w:szCs w:val="20"/>
              </w:rPr>
            </w:pPr>
            <w:r w:rsidRPr="00C114C7">
              <w:rPr>
                <w:rFonts w:ascii="Futura Std Condensed Light" w:eastAsia="Calibri" w:hAnsi="Futura Std Condensed Light" w:cs="Calibri"/>
                <w:b/>
                <w:sz w:val="20"/>
                <w:szCs w:val="20"/>
              </w:rPr>
              <w:t>Unidad de Medida:</w:t>
            </w:r>
          </w:p>
        </w:tc>
        <w:tc>
          <w:tcPr>
            <w:tcW w:w="1386" w:type="pct"/>
            <w:gridSpan w:val="2"/>
          </w:tcPr>
          <w:p w14:paraId="208DC91E" w14:textId="77777777" w:rsidR="0021177B" w:rsidRPr="00C114C7" w:rsidRDefault="0021177B" w:rsidP="009E3B2F">
            <w:pPr>
              <w:spacing w:after="0" w:line="240" w:lineRule="auto"/>
              <w:jc w:val="center"/>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Personas atendidas</w:t>
            </w:r>
          </w:p>
        </w:tc>
      </w:tr>
      <w:tr w:rsidR="0021177B" w:rsidRPr="00C114C7" w14:paraId="47066B7F" w14:textId="77777777" w:rsidTr="009E3B2F">
        <w:trPr>
          <w:trHeight w:val="449"/>
        </w:trPr>
        <w:tc>
          <w:tcPr>
            <w:tcW w:w="1208" w:type="pct"/>
            <w:gridSpan w:val="2"/>
          </w:tcPr>
          <w:p w14:paraId="321C486F" w14:textId="77777777" w:rsidR="0021177B" w:rsidRPr="00C114C7" w:rsidRDefault="0021177B" w:rsidP="009E3B2F">
            <w:pPr>
              <w:spacing w:after="0" w:line="240" w:lineRule="auto"/>
              <w:jc w:val="center"/>
              <w:rPr>
                <w:rFonts w:ascii="Futura Std Condensed Light" w:eastAsia="Calibri" w:hAnsi="Futura Std Condensed Light" w:cs="Calibri"/>
                <w:b/>
                <w:sz w:val="20"/>
                <w:szCs w:val="20"/>
              </w:rPr>
            </w:pPr>
            <w:r w:rsidRPr="00C114C7">
              <w:rPr>
                <w:rFonts w:ascii="Futura Std Condensed Light" w:eastAsia="Calibri" w:hAnsi="Futura Std Condensed Light" w:cs="Calibri"/>
                <w:b/>
                <w:sz w:val="20"/>
                <w:szCs w:val="20"/>
              </w:rPr>
              <w:t>Descripción:</w:t>
            </w:r>
          </w:p>
        </w:tc>
        <w:tc>
          <w:tcPr>
            <w:tcW w:w="3792" w:type="pct"/>
            <w:gridSpan w:val="9"/>
          </w:tcPr>
          <w:p w14:paraId="0213A750" w14:textId="77777777" w:rsidR="0021177B" w:rsidRPr="00C114C7" w:rsidRDefault="0021177B" w:rsidP="009E3B2F">
            <w:pPr>
              <w:spacing w:after="0" w:line="240" w:lineRule="auto"/>
              <w:jc w:val="center"/>
              <w:rPr>
                <w:rFonts w:ascii="Futura Std Condensed Light" w:eastAsia="Calibri" w:hAnsi="Futura Std Condensed Light" w:cs="Calibri"/>
                <w:sz w:val="20"/>
                <w:szCs w:val="20"/>
              </w:rPr>
            </w:pPr>
            <w:r w:rsidRPr="00C114C7">
              <w:rPr>
                <w:rFonts w:ascii="Futura Std Condensed Light" w:eastAsia="Calibri" w:hAnsi="Futura Std Condensed Light" w:cs="Calibri"/>
                <w:sz w:val="20"/>
                <w:szCs w:val="20"/>
              </w:rPr>
              <w:t>Personas atendidas a través del sistema de educación del Instituto</w:t>
            </w:r>
          </w:p>
        </w:tc>
      </w:tr>
      <w:tr w:rsidR="0021177B" w:rsidRPr="00C114C7" w14:paraId="5D8008C8" w14:textId="77777777" w:rsidTr="009E3B2F">
        <w:trPr>
          <w:trHeight w:val="484"/>
        </w:trPr>
        <w:tc>
          <w:tcPr>
            <w:tcW w:w="1806" w:type="pct"/>
            <w:gridSpan w:val="4"/>
          </w:tcPr>
          <w:p w14:paraId="5C56D342" w14:textId="77777777" w:rsidR="0021177B" w:rsidRPr="00C114C7" w:rsidRDefault="0021177B" w:rsidP="009E3B2F">
            <w:pPr>
              <w:spacing w:after="0" w:line="240" w:lineRule="auto"/>
              <w:jc w:val="center"/>
              <w:rPr>
                <w:rFonts w:ascii="Futura Std Condensed Light" w:eastAsia="Calibri" w:hAnsi="Futura Std Condensed Light" w:cs="Calibri"/>
                <w:b/>
                <w:sz w:val="20"/>
                <w:szCs w:val="20"/>
              </w:rPr>
            </w:pPr>
            <w:r w:rsidRPr="00C114C7">
              <w:rPr>
                <w:rFonts w:ascii="Futura Std Condensed Light" w:eastAsia="Calibri" w:hAnsi="Futura Std Condensed Light" w:cs="Calibri"/>
                <w:b/>
                <w:sz w:val="20"/>
                <w:szCs w:val="20"/>
              </w:rPr>
              <w:t>Medio de verificación:</w:t>
            </w:r>
          </w:p>
        </w:tc>
        <w:tc>
          <w:tcPr>
            <w:tcW w:w="3194" w:type="pct"/>
            <w:gridSpan w:val="7"/>
          </w:tcPr>
          <w:p w14:paraId="09F37FF1" w14:textId="77777777" w:rsidR="0021177B" w:rsidRPr="00C114C7" w:rsidRDefault="0021177B" w:rsidP="009E3B2F">
            <w:pPr>
              <w:spacing w:after="0" w:line="240" w:lineRule="auto"/>
              <w:jc w:val="center"/>
              <w:rPr>
                <w:rFonts w:ascii="Futura Std Condensed Light" w:eastAsia="Calibri" w:hAnsi="Futura Std Condensed Light" w:cs="Calibri"/>
                <w:sz w:val="20"/>
                <w:szCs w:val="20"/>
              </w:rPr>
            </w:pPr>
            <w:r w:rsidRPr="00C114C7">
              <w:rPr>
                <w:rFonts w:ascii="Futura Std Condensed Light" w:eastAsia="Calibri" w:hAnsi="Futura Std Condensed Light" w:cs="Calibri"/>
                <w:sz w:val="20"/>
                <w:szCs w:val="20"/>
              </w:rPr>
              <w:t>INEA, http://200.77.230.29:8084/INEANumeros/</w:t>
            </w:r>
          </w:p>
        </w:tc>
      </w:tr>
      <w:tr w:rsidR="0021177B" w:rsidRPr="00C114C7" w14:paraId="5E6E6891" w14:textId="77777777" w:rsidTr="009E3B2F">
        <w:trPr>
          <w:trHeight w:val="484"/>
        </w:trPr>
        <w:tc>
          <w:tcPr>
            <w:tcW w:w="1806" w:type="pct"/>
            <w:gridSpan w:val="4"/>
          </w:tcPr>
          <w:p w14:paraId="13DDBE65" w14:textId="77777777" w:rsidR="0021177B" w:rsidRPr="00C114C7" w:rsidRDefault="0021177B" w:rsidP="009E3B2F">
            <w:pPr>
              <w:spacing w:after="0" w:line="240" w:lineRule="auto"/>
              <w:jc w:val="center"/>
              <w:rPr>
                <w:rFonts w:ascii="Futura Std Condensed Light" w:eastAsia="Calibri" w:hAnsi="Futura Std Condensed Light" w:cs="Calibri"/>
                <w:b/>
                <w:sz w:val="20"/>
                <w:szCs w:val="20"/>
              </w:rPr>
            </w:pPr>
            <w:r w:rsidRPr="00C114C7">
              <w:rPr>
                <w:rFonts w:ascii="Futura Std Condensed Light" w:eastAsia="Calibri" w:hAnsi="Futura Std Condensed Light" w:cs="Calibri"/>
                <w:b/>
                <w:sz w:val="20"/>
                <w:szCs w:val="20"/>
              </w:rPr>
              <w:t>Línea base:</w:t>
            </w:r>
          </w:p>
        </w:tc>
        <w:tc>
          <w:tcPr>
            <w:tcW w:w="904" w:type="pct"/>
            <w:gridSpan w:val="3"/>
          </w:tcPr>
          <w:p w14:paraId="3CDDE516" w14:textId="77777777" w:rsidR="0021177B" w:rsidRPr="00C114C7" w:rsidRDefault="0021177B" w:rsidP="009E3B2F">
            <w:pPr>
              <w:spacing w:after="0" w:line="240" w:lineRule="auto"/>
              <w:jc w:val="center"/>
              <w:rPr>
                <w:rFonts w:ascii="Futura Std Condensed Light" w:eastAsia="Calibri" w:hAnsi="Futura Std Condensed Light" w:cs="Calibri"/>
                <w:sz w:val="20"/>
                <w:szCs w:val="20"/>
              </w:rPr>
            </w:pPr>
            <w:r w:rsidRPr="00C114C7">
              <w:rPr>
                <w:rFonts w:ascii="Futura Std Condensed Light" w:eastAsia="Calibri" w:hAnsi="Futura Std Condensed Light" w:cs="Calibri"/>
                <w:sz w:val="20"/>
                <w:szCs w:val="20"/>
              </w:rPr>
              <w:t>21,513</w:t>
            </w:r>
          </w:p>
        </w:tc>
        <w:tc>
          <w:tcPr>
            <w:tcW w:w="904" w:type="pct"/>
            <w:gridSpan w:val="2"/>
          </w:tcPr>
          <w:p w14:paraId="27AA3FE8" w14:textId="77777777" w:rsidR="0021177B" w:rsidRPr="00C114C7" w:rsidRDefault="0021177B" w:rsidP="009E3B2F">
            <w:pPr>
              <w:spacing w:after="0" w:line="240" w:lineRule="auto"/>
              <w:jc w:val="center"/>
              <w:rPr>
                <w:rFonts w:ascii="Futura Std Condensed Light" w:eastAsia="Calibri" w:hAnsi="Futura Std Condensed Light" w:cs="Calibri"/>
                <w:sz w:val="20"/>
                <w:szCs w:val="20"/>
              </w:rPr>
            </w:pPr>
            <w:r w:rsidRPr="00C114C7">
              <w:rPr>
                <w:rFonts w:ascii="Futura Std Condensed Light" w:eastAsia="Calibri" w:hAnsi="Futura Std Condensed Light" w:cs="Calibri"/>
                <w:sz w:val="20"/>
                <w:szCs w:val="20"/>
              </w:rPr>
              <w:t>Año de línea base:</w:t>
            </w:r>
          </w:p>
        </w:tc>
        <w:tc>
          <w:tcPr>
            <w:tcW w:w="1386" w:type="pct"/>
            <w:gridSpan w:val="2"/>
          </w:tcPr>
          <w:p w14:paraId="496262A0" w14:textId="77777777" w:rsidR="0021177B" w:rsidRPr="00C114C7" w:rsidRDefault="0021177B" w:rsidP="009E3B2F">
            <w:pPr>
              <w:spacing w:after="0" w:line="240" w:lineRule="auto"/>
              <w:jc w:val="center"/>
              <w:rPr>
                <w:rFonts w:ascii="Futura Std Condensed Light" w:eastAsia="Calibri" w:hAnsi="Futura Std Condensed Light" w:cs="Calibri"/>
                <w:sz w:val="20"/>
                <w:szCs w:val="20"/>
              </w:rPr>
            </w:pPr>
            <w:r w:rsidRPr="00C114C7">
              <w:rPr>
                <w:rFonts w:ascii="Futura Std Condensed Light" w:eastAsia="Calibri" w:hAnsi="Futura Std Condensed Light" w:cs="Calibri"/>
                <w:sz w:val="20"/>
                <w:szCs w:val="20"/>
              </w:rPr>
              <w:t>2016</w:t>
            </w:r>
          </w:p>
        </w:tc>
      </w:tr>
      <w:tr w:rsidR="0021177B" w:rsidRPr="00C114C7" w14:paraId="3D5CCAD3" w14:textId="77777777" w:rsidTr="009E3B2F">
        <w:trPr>
          <w:trHeight w:val="484"/>
        </w:trPr>
        <w:tc>
          <w:tcPr>
            <w:tcW w:w="1806" w:type="pct"/>
            <w:gridSpan w:val="4"/>
          </w:tcPr>
          <w:p w14:paraId="4CAE77B7" w14:textId="77777777" w:rsidR="0021177B" w:rsidRPr="00C114C7" w:rsidRDefault="0021177B" w:rsidP="009E3B2F">
            <w:pPr>
              <w:spacing w:after="0" w:line="240" w:lineRule="auto"/>
              <w:jc w:val="center"/>
              <w:rPr>
                <w:rFonts w:ascii="Futura Std Condensed Light" w:eastAsia="Calibri" w:hAnsi="Futura Std Condensed Light" w:cs="Calibri"/>
                <w:b/>
                <w:sz w:val="20"/>
                <w:szCs w:val="20"/>
              </w:rPr>
            </w:pPr>
            <w:r w:rsidRPr="00C114C7">
              <w:rPr>
                <w:rFonts w:ascii="Futura Std Condensed Light" w:eastAsia="Calibri" w:hAnsi="Futura Std Condensed Light" w:cs="Calibri"/>
                <w:b/>
                <w:sz w:val="20"/>
                <w:szCs w:val="20"/>
              </w:rPr>
              <w:t>Contribución Directa al Objetivo de la Agenda 2030</w:t>
            </w:r>
          </w:p>
        </w:tc>
        <w:tc>
          <w:tcPr>
            <w:tcW w:w="3194" w:type="pct"/>
            <w:gridSpan w:val="7"/>
          </w:tcPr>
          <w:p w14:paraId="5C3376AE" w14:textId="77777777" w:rsidR="0021177B" w:rsidRPr="00C114C7" w:rsidRDefault="0021177B" w:rsidP="009E3B2F">
            <w:pPr>
              <w:spacing w:after="0" w:line="240" w:lineRule="auto"/>
              <w:jc w:val="center"/>
              <w:rPr>
                <w:rFonts w:ascii="Futura Std Condensed Light" w:eastAsia="Calibri" w:hAnsi="Futura Std Condensed Light" w:cs="Calibri"/>
                <w:sz w:val="20"/>
                <w:szCs w:val="20"/>
              </w:rPr>
            </w:pPr>
            <w:r w:rsidRPr="00C114C7">
              <w:rPr>
                <w:rFonts w:ascii="Futura Std Condensed Light" w:eastAsia="Calibri" w:hAnsi="Futura Std Condensed Light" w:cs="Calibri"/>
                <w:sz w:val="20"/>
                <w:szCs w:val="20"/>
              </w:rPr>
              <w:t>Garantizar una educación inclusiva, equitativa y de calidad y promover oportunidades de aprendizaje durante toda la vida para todos</w:t>
            </w:r>
          </w:p>
        </w:tc>
      </w:tr>
      <w:tr w:rsidR="0021177B" w:rsidRPr="00C114C7" w14:paraId="75716A3E" w14:textId="77777777" w:rsidTr="009E3B2F">
        <w:trPr>
          <w:trHeight w:val="484"/>
        </w:trPr>
        <w:tc>
          <w:tcPr>
            <w:tcW w:w="1806" w:type="pct"/>
            <w:gridSpan w:val="4"/>
          </w:tcPr>
          <w:p w14:paraId="2BDDE3C9" w14:textId="77777777" w:rsidR="0021177B" w:rsidRPr="00C114C7" w:rsidRDefault="0021177B" w:rsidP="009E3B2F">
            <w:pPr>
              <w:spacing w:after="0" w:line="240" w:lineRule="auto"/>
              <w:jc w:val="center"/>
              <w:rPr>
                <w:rFonts w:ascii="Futura Std Condensed Light" w:eastAsia="Calibri" w:hAnsi="Futura Std Condensed Light" w:cs="Calibri"/>
                <w:b/>
                <w:sz w:val="20"/>
                <w:szCs w:val="20"/>
              </w:rPr>
            </w:pPr>
            <w:r w:rsidRPr="00C114C7">
              <w:rPr>
                <w:rFonts w:ascii="Futura Std Condensed Light" w:eastAsia="Calibri" w:hAnsi="Futura Std Condensed Light" w:cs="Calibri"/>
                <w:b/>
                <w:sz w:val="20"/>
                <w:szCs w:val="20"/>
              </w:rPr>
              <w:t>Contribución Directa  a la Meta de la Agenda 2030</w:t>
            </w:r>
          </w:p>
        </w:tc>
        <w:tc>
          <w:tcPr>
            <w:tcW w:w="3194" w:type="pct"/>
            <w:gridSpan w:val="7"/>
          </w:tcPr>
          <w:p w14:paraId="7A785568" w14:textId="77777777" w:rsidR="0021177B" w:rsidRPr="00C114C7" w:rsidRDefault="0021177B" w:rsidP="009E3B2F">
            <w:pPr>
              <w:spacing w:after="0" w:line="240" w:lineRule="auto"/>
              <w:jc w:val="center"/>
              <w:rPr>
                <w:rFonts w:ascii="Futura Std Condensed Light" w:eastAsia="Calibri" w:hAnsi="Futura Std Condensed Light" w:cs="Calibri"/>
                <w:sz w:val="20"/>
                <w:szCs w:val="20"/>
              </w:rPr>
            </w:pPr>
            <w:r w:rsidRPr="00C114C7">
              <w:rPr>
                <w:rFonts w:ascii="Futura Std Condensed Light" w:eastAsia="Calibri" w:hAnsi="Futura Std Condensed Light" w:cs="Calibri"/>
                <w:sz w:val="20"/>
                <w:szCs w:val="20"/>
              </w:rPr>
              <w:t>De aquí a 2030, asegurar que todos los jóvenes y una proporción considerable de los adultos, tanto hombres como mujeres, estén alfabetizados y tengan nociones elementales de aritmética</w:t>
            </w:r>
          </w:p>
        </w:tc>
      </w:tr>
      <w:tr w:rsidR="0021177B" w:rsidRPr="00C114C7" w14:paraId="65A975D0" w14:textId="77777777" w:rsidTr="009E3B2F">
        <w:trPr>
          <w:trHeight w:val="484"/>
        </w:trPr>
        <w:tc>
          <w:tcPr>
            <w:tcW w:w="1806" w:type="pct"/>
            <w:gridSpan w:val="4"/>
          </w:tcPr>
          <w:p w14:paraId="1B05C948" w14:textId="77777777" w:rsidR="0021177B" w:rsidRPr="00C114C7" w:rsidRDefault="0021177B" w:rsidP="009E3B2F">
            <w:pPr>
              <w:spacing w:after="0" w:line="240" w:lineRule="auto"/>
              <w:jc w:val="center"/>
              <w:rPr>
                <w:rFonts w:ascii="Futura Std Condensed Light" w:eastAsia="Calibri" w:hAnsi="Futura Std Condensed Light" w:cs="Calibri"/>
                <w:b/>
                <w:sz w:val="20"/>
                <w:szCs w:val="20"/>
              </w:rPr>
            </w:pPr>
            <w:r w:rsidRPr="00C114C7">
              <w:rPr>
                <w:rFonts w:ascii="Futura Std Condensed Light" w:eastAsia="Calibri" w:hAnsi="Futura Std Condensed Light" w:cs="Calibri"/>
                <w:b/>
                <w:sz w:val="20"/>
                <w:szCs w:val="20"/>
              </w:rPr>
              <w:t>Tema / Proyecto Prioritario de Quintana Roo</w:t>
            </w:r>
          </w:p>
        </w:tc>
        <w:tc>
          <w:tcPr>
            <w:tcW w:w="3194" w:type="pct"/>
            <w:gridSpan w:val="7"/>
          </w:tcPr>
          <w:p w14:paraId="48079344" w14:textId="77777777" w:rsidR="0021177B" w:rsidRPr="00C114C7" w:rsidRDefault="0021177B" w:rsidP="009E3B2F">
            <w:pPr>
              <w:spacing w:after="0" w:line="240" w:lineRule="auto"/>
              <w:jc w:val="center"/>
              <w:rPr>
                <w:rFonts w:ascii="Futura Std Condensed Light" w:eastAsia="Calibri" w:hAnsi="Futura Std Condensed Light" w:cs="Calibri"/>
                <w:sz w:val="20"/>
                <w:szCs w:val="20"/>
              </w:rPr>
            </w:pPr>
            <w:r w:rsidRPr="00C114C7">
              <w:rPr>
                <w:rFonts w:ascii="Futura Std Condensed Light" w:eastAsia="Calibri" w:hAnsi="Futura Std Condensed Light" w:cs="Calibri"/>
                <w:sz w:val="20"/>
                <w:szCs w:val="20"/>
              </w:rPr>
              <w:t>24.5 Abatir el rezago educativo</w:t>
            </w:r>
          </w:p>
        </w:tc>
      </w:tr>
      <w:tr w:rsidR="0021177B" w:rsidRPr="00C114C7" w14:paraId="08BFE6E0" w14:textId="77777777" w:rsidTr="009E3B2F">
        <w:trPr>
          <w:trHeight w:val="484"/>
        </w:trPr>
        <w:tc>
          <w:tcPr>
            <w:tcW w:w="1806" w:type="pct"/>
            <w:gridSpan w:val="4"/>
          </w:tcPr>
          <w:p w14:paraId="31198BCC" w14:textId="77777777" w:rsidR="0021177B" w:rsidRPr="00C114C7" w:rsidRDefault="0021177B" w:rsidP="009E3B2F">
            <w:pPr>
              <w:spacing w:after="0" w:line="240" w:lineRule="auto"/>
              <w:jc w:val="center"/>
              <w:rPr>
                <w:rFonts w:ascii="Futura Std Condensed Light" w:eastAsia="Calibri" w:hAnsi="Futura Std Condensed Light" w:cs="Calibri"/>
                <w:b/>
                <w:sz w:val="20"/>
                <w:szCs w:val="20"/>
              </w:rPr>
            </w:pPr>
            <w:r w:rsidRPr="00C114C7">
              <w:rPr>
                <w:rFonts w:ascii="Futura Std Condensed Light" w:eastAsia="Calibri" w:hAnsi="Futura Std Condensed Light" w:cs="Calibri"/>
                <w:b/>
                <w:sz w:val="20"/>
                <w:szCs w:val="20"/>
              </w:rPr>
              <w:t>Subtema Prioritario de Quintana Roo</w:t>
            </w:r>
          </w:p>
        </w:tc>
        <w:tc>
          <w:tcPr>
            <w:tcW w:w="3194" w:type="pct"/>
            <w:gridSpan w:val="7"/>
          </w:tcPr>
          <w:p w14:paraId="3C14E5C7" w14:textId="77777777" w:rsidR="0021177B" w:rsidRPr="00C114C7" w:rsidRDefault="0021177B" w:rsidP="009E3B2F">
            <w:pPr>
              <w:spacing w:after="0" w:line="240" w:lineRule="auto"/>
              <w:jc w:val="center"/>
              <w:rPr>
                <w:rFonts w:ascii="Futura Std Condensed Light" w:eastAsia="Calibri" w:hAnsi="Futura Std Condensed Light" w:cs="Calibri"/>
                <w:sz w:val="20"/>
                <w:szCs w:val="20"/>
              </w:rPr>
            </w:pPr>
            <w:r w:rsidRPr="00C114C7">
              <w:rPr>
                <w:rFonts w:ascii="Futura Std Condensed Light" w:eastAsia="Calibri" w:hAnsi="Futura Std Condensed Light" w:cs="Calibri"/>
                <w:sz w:val="20"/>
                <w:szCs w:val="20"/>
              </w:rPr>
              <w:t>N/A</w:t>
            </w:r>
          </w:p>
        </w:tc>
      </w:tr>
      <w:tr w:rsidR="0021177B" w:rsidRPr="00C114C7" w14:paraId="00DB0C5C" w14:textId="77777777" w:rsidTr="009E3B2F">
        <w:trPr>
          <w:trHeight w:val="484"/>
        </w:trPr>
        <w:tc>
          <w:tcPr>
            <w:tcW w:w="5000" w:type="pct"/>
            <w:gridSpan w:val="11"/>
          </w:tcPr>
          <w:p w14:paraId="4508E236" w14:textId="77777777" w:rsidR="0021177B" w:rsidRPr="00C114C7" w:rsidRDefault="0021177B" w:rsidP="009E3B2F">
            <w:pPr>
              <w:spacing w:after="0" w:line="240" w:lineRule="auto"/>
              <w:jc w:val="center"/>
              <w:rPr>
                <w:rFonts w:ascii="Futura Std Condensed Light" w:eastAsia="Calibri" w:hAnsi="Futura Std Condensed Light" w:cs="Calibri"/>
                <w:b/>
                <w:sz w:val="20"/>
                <w:szCs w:val="20"/>
              </w:rPr>
            </w:pPr>
            <w:r w:rsidRPr="00C114C7">
              <w:rPr>
                <w:rFonts w:ascii="Futura Std Condensed Light" w:eastAsia="Calibri" w:hAnsi="Futura Std Condensed Light" w:cs="Calibri"/>
                <w:b/>
                <w:sz w:val="20"/>
                <w:szCs w:val="20"/>
              </w:rPr>
              <w:t>Meta Total:</w:t>
            </w:r>
          </w:p>
        </w:tc>
      </w:tr>
      <w:tr w:rsidR="0021177B" w:rsidRPr="00C114C7" w14:paraId="040FBA47" w14:textId="77777777" w:rsidTr="009E3B2F">
        <w:trPr>
          <w:trHeight w:val="484"/>
        </w:trPr>
        <w:tc>
          <w:tcPr>
            <w:tcW w:w="781" w:type="pct"/>
          </w:tcPr>
          <w:p w14:paraId="6E75D79F" w14:textId="77777777" w:rsidR="0021177B" w:rsidRPr="00C114C7" w:rsidRDefault="0021177B" w:rsidP="009E3B2F">
            <w:pPr>
              <w:spacing w:after="0" w:line="240" w:lineRule="auto"/>
              <w:jc w:val="center"/>
              <w:rPr>
                <w:rFonts w:ascii="Futura Std Condensed Light" w:eastAsia="Calibri" w:hAnsi="Futura Std Condensed Light" w:cs="Calibri"/>
                <w:b/>
                <w:sz w:val="20"/>
                <w:szCs w:val="20"/>
              </w:rPr>
            </w:pPr>
            <w:r w:rsidRPr="00C114C7">
              <w:rPr>
                <w:rFonts w:ascii="Futura Std Condensed Light" w:eastAsia="Calibri" w:hAnsi="Futura Std Condensed Light" w:cs="Calibri"/>
                <w:b/>
                <w:sz w:val="20"/>
                <w:szCs w:val="20"/>
              </w:rPr>
              <w:t>2017</w:t>
            </w:r>
          </w:p>
        </w:tc>
        <w:tc>
          <w:tcPr>
            <w:tcW w:w="783" w:type="pct"/>
            <w:gridSpan w:val="2"/>
          </w:tcPr>
          <w:p w14:paraId="39DDE36D" w14:textId="77777777" w:rsidR="0021177B" w:rsidRPr="00C114C7" w:rsidRDefault="0021177B" w:rsidP="009E3B2F">
            <w:pPr>
              <w:spacing w:after="0" w:line="240" w:lineRule="auto"/>
              <w:jc w:val="center"/>
              <w:rPr>
                <w:rFonts w:ascii="Futura Std Condensed Light" w:eastAsia="Calibri" w:hAnsi="Futura Std Condensed Light" w:cs="Calibri"/>
                <w:b/>
                <w:sz w:val="20"/>
                <w:szCs w:val="20"/>
              </w:rPr>
            </w:pPr>
            <w:r w:rsidRPr="00C114C7">
              <w:rPr>
                <w:rFonts w:ascii="Futura Std Condensed Light" w:eastAsia="Calibri" w:hAnsi="Futura Std Condensed Light" w:cs="Calibri"/>
                <w:b/>
                <w:sz w:val="20"/>
                <w:szCs w:val="20"/>
              </w:rPr>
              <w:t>2018</w:t>
            </w:r>
          </w:p>
        </w:tc>
        <w:tc>
          <w:tcPr>
            <w:tcW w:w="904" w:type="pct"/>
            <w:gridSpan w:val="3"/>
          </w:tcPr>
          <w:p w14:paraId="106AAAF0" w14:textId="77777777" w:rsidR="0021177B" w:rsidRPr="00C114C7" w:rsidRDefault="0021177B" w:rsidP="009E3B2F">
            <w:pPr>
              <w:spacing w:after="0" w:line="240" w:lineRule="auto"/>
              <w:jc w:val="center"/>
              <w:rPr>
                <w:rFonts w:ascii="Futura Std Condensed Light" w:eastAsia="Calibri" w:hAnsi="Futura Std Condensed Light" w:cs="Calibri"/>
                <w:b/>
                <w:sz w:val="20"/>
                <w:szCs w:val="20"/>
              </w:rPr>
            </w:pPr>
            <w:r w:rsidRPr="00C114C7">
              <w:rPr>
                <w:rFonts w:ascii="Futura Std Condensed Light" w:eastAsia="Calibri" w:hAnsi="Futura Std Condensed Light" w:cs="Calibri"/>
                <w:b/>
                <w:sz w:val="20"/>
                <w:szCs w:val="20"/>
              </w:rPr>
              <w:t>2019</w:t>
            </w:r>
          </w:p>
        </w:tc>
        <w:tc>
          <w:tcPr>
            <w:tcW w:w="723" w:type="pct"/>
            <w:gridSpan w:val="2"/>
          </w:tcPr>
          <w:p w14:paraId="672C6099" w14:textId="77777777" w:rsidR="0021177B" w:rsidRPr="00C114C7" w:rsidRDefault="0021177B" w:rsidP="009E3B2F">
            <w:pPr>
              <w:spacing w:after="0" w:line="240" w:lineRule="auto"/>
              <w:jc w:val="center"/>
              <w:rPr>
                <w:rFonts w:ascii="Futura Std Condensed Light" w:eastAsia="Calibri" w:hAnsi="Futura Std Condensed Light" w:cs="Calibri"/>
                <w:b/>
                <w:sz w:val="20"/>
                <w:szCs w:val="20"/>
              </w:rPr>
            </w:pPr>
            <w:r w:rsidRPr="00C114C7">
              <w:rPr>
                <w:rFonts w:ascii="Futura Std Condensed Light" w:eastAsia="Calibri" w:hAnsi="Futura Std Condensed Light" w:cs="Calibri"/>
                <w:b/>
                <w:sz w:val="20"/>
                <w:szCs w:val="20"/>
              </w:rPr>
              <w:t>2020</w:t>
            </w:r>
          </w:p>
        </w:tc>
        <w:tc>
          <w:tcPr>
            <w:tcW w:w="963" w:type="pct"/>
            <w:gridSpan w:val="2"/>
          </w:tcPr>
          <w:p w14:paraId="2C82BC41" w14:textId="77777777" w:rsidR="0021177B" w:rsidRPr="00C114C7" w:rsidRDefault="0021177B" w:rsidP="009E3B2F">
            <w:pPr>
              <w:spacing w:after="0" w:line="240" w:lineRule="auto"/>
              <w:jc w:val="center"/>
              <w:rPr>
                <w:rFonts w:ascii="Futura Std Condensed Light" w:eastAsia="Calibri" w:hAnsi="Futura Std Condensed Light" w:cs="Calibri"/>
                <w:b/>
                <w:sz w:val="20"/>
                <w:szCs w:val="20"/>
              </w:rPr>
            </w:pPr>
            <w:r w:rsidRPr="00C114C7">
              <w:rPr>
                <w:rFonts w:ascii="Futura Std Condensed Light" w:eastAsia="Calibri" w:hAnsi="Futura Std Condensed Light" w:cs="Calibri"/>
                <w:b/>
                <w:sz w:val="20"/>
                <w:szCs w:val="20"/>
              </w:rPr>
              <w:t>2021</w:t>
            </w:r>
          </w:p>
        </w:tc>
        <w:tc>
          <w:tcPr>
            <w:tcW w:w="846" w:type="pct"/>
          </w:tcPr>
          <w:p w14:paraId="2E7CC7F4" w14:textId="77777777" w:rsidR="0021177B" w:rsidRPr="00C114C7" w:rsidRDefault="0021177B" w:rsidP="009E3B2F">
            <w:pPr>
              <w:spacing w:after="0" w:line="240" w:lineRule="auto"/>
              <w:jc w:val="center"/>
              <w:rPr>
                <w:rFonts w:ascii="Futura Std Condensed Light" w:eastAsia="Calibri" w:hAnsi="Futura Std Condensed Light" w:cs="Calibri"/>
                <w:b/>
                <w:sz w:val="20"/>
                <w:szCs w:val="20"/>
              </w:rPr>
            </w:pPr>
            <w:r w:rsidRPr="00C114C7">
              <w:rPr>
                <w:rFonts w:ascii="Futura Std Condensed Light" w:eastAsia="Calibri" w:hAnsi="Futura Std Condensed Light" w:cs="Calibri"/>
                <w:b/>
                <w:sz w:val="20"/>
                <w:szCs w:val="20"/>
              </w:rPr>
              <w:t>2022</w:t>
            </w:r>
          </w:p>
        </w:tc>
      </w:tr>
      <w:tr w:rsidR="0021177B" w:rsidRPr="00C114C7" w14:paraId="3CA64093" w14:textId="77777777" w:rsidTr="009E3B2F">
        <w:trPr>
          <w:trHeight w:val="484"/>
        </w:trPr>
        <w:tc>
          <w:tcPr>
            <w:tcW w:w="781" w:type="pct"/>
          </w:tcPr>
          <w:p w14:paraId="6A69F914" w14:textId="77777777" w:rsidR="0021177B" w:rsidRPr="00C114C7" w:rsidRDefault="0021177B" w:rsidP="009E3B2F">
            <w:pPr>
              <w:spacing w:after="0" w:line="240" w:lineRule="auto"/>
              <w:jc w:val="center"/>
              <w:rPr>
                <w:rFonts w:ascii="Futura Std Condensed Light" w:eastAsia="Calibri" w:hAnsi="Futura Std Condensed Light" w:cs="Calibri"/>
                <w:sz w:val="20"/>
                <w:szCs w:val="20"/>
              </w:rPr>
            </w:pPr>
            <w:r w:rsidRPr="00C114C7">
              <w:rPr>
                <w:rFonts w:ascii="Futura Std Condensed Light" w:eastAsia="Calibri" w:hAnsi="Futura Std Condensed Light" w:cs="Calibri"/>
                <w:sz w:val="20"/>
                <w:szCs w:val="20"/>
              </w:rPr>
              <w:t>13,754</w:t>
            </w:r>
          </w:p>
        </w:tc>
        <w:tc>
          <w:tcPr>
            <w:tcW w:w="783" w:type="pct"/>
            <w:gridSpan w:val="2"/>
          </w:tcPr>
          <w:p w14:paraId="7E855272" w14:textId="77777777" w:rsidR="0021177B" w:rsidRPr="00C114C7" w:rsidRDefault="0021177B" w:rsidP="009E3B2F">
            <w:pPr>
              <w:spacing w:after="0" w:line="240" w:lineRule="auto"/>
              <w:jc w:val="center"/>
              <w:rPr>
                <w:rFonts w:ascii="Futura Std Condensed Light" w:eastAsia="Calibri" w:hAnsi="Futura Std Condensed Light" w:cs="Calibri"/>
                <w:sz w:val="20"/>
                <w:szCs w:val="20"/>
              </w:rPr>
            </w:pPr>
            <w:r w:rsidRPr="00C114C7">
              <w:rPr>
                <w:rFonts w:ascii="Futura Std Condensed Light" w:eastAsia="Calibri" w:hAnsi="Futura Std Condensed Light" w:cs="Calibri"/>
                <w:sz w:val="20"/>
                <w:szCs w:val="20"/>
              </w:rPr>
              <w:t>12,606</w:t>
            </w:r>
          </w:p>
        </w:tc>
        <w:tc>
          <w:tcPr>
            <w:tcW w:w="904" w:type="pct"/>
            <w:gridSpan w:val="3"/>
          </w:tcPr>
          <w:p w14:paraId="5BB8EBFA" w14:textId="77777777" w:rsidR="0021177B" w:rsidRPr="00C114C7" w:rsidRDefault="0021177B" w:rsidP="009E3B2F">
            <w:pPr>
              <w:spacing w:after="0" w:line="240" w:lineRule="auto"/>
              <w:jc w:val="center"/>
              <w:rPr>
                <w:rFonts w:ascii="Futura Std Condensed Light" w:eastAsia="Calibri" w:hAnsi="Futura Std Condensed Light" w:cs="Calibri"/>
                <w:sz w:val="20"/>
                <w:szCs w:val="20"/>
              </w:rPr>
            </w:pPr>
            <w:r w:rsidRPr="00C114C7">
              <w:rPr>
                <w:rFonts w:ascii="Futura Std Condensed Light" w:eastAsia="Calibri" w:hAnsi="Futura Std Condensed Light" w:cs="Calibri"/>
                <w:sz w:val="20"/>
                <w:szCs w:val="20"/>
              </w:rPr>
              <w:t>11,271</w:t>
            </w:r>
          </w:p>
        </w:tc>
        <w:tc>
          <w:tcPr>
            <w:tcW w:w="723" w:type="pct"/>
            <w:gridSpan w:val="2"/>
          </w:tcPr>
          <w:p w14:paraId="6041CCBB" w14:textId="77777777" w:rsidR="0021177B" w:rsidRPr="00C114C7" w:rsidRDefault="0021177B" w:rsidP="009E3B2F">
            <w:pPr>
              <w:spacing w:after="0" w:line="240" w:lineRule="auto"/>
              <w:jc w:val="center"/>
              <w:rPr>
                <w:rFonts w:ascii="Futura Std Condensed Light" w:eastAsia="Calibri" w:hAnsi="Futura Std Condensed Light" w:cs="Calibri"/>
                <w:sz w:val="20"/>
                <w:szCs w:val="20"/>
              </w:rPr>
            </w:pPr>
            <w:r w:rsidRPr="00C114C7">
              <w:rPr>
                <w:rFonts w:ascii="Futura Std Condensed Light" w:eastAsia="Calibri" w:hAnsi="Futura Std Condensed Light" w:cs="Calibri"/>
                <w:sz w:val="20"/>
                <w:szCs w:val="20"/>
              </w:rPr>
              <w:t>15,575</w:t>
            </w:r>
          </w:p>
        </w:tc>
        <w:tc>
          <w:tcPr>
            <w:tcW w:w="963" w:type="pct"/>
            <w:gridSpan w:val="2"/>
          </w:tcPr>
          <w:p w14:paraId="575805E3" w14:textId="77777777" w:rsidR="0021177B" w:rsidRPr="00C114C7" w:rsidRDefault="0021177B" w:rsidP="009E3B2F">
            <w:pPr>
              <w:spacing w:after="0" w:line="240" w:lineRule="auto"/>
              <w:jc w:val="center"/>
              <w:rPr>
                <w:rFonts w:ascii="Futura Std Condensed Light" w:eastAsia="Calibri" w:hAnsi="Futura Std Condensed Light" w:cs="Calibri"/>
                <w:sz w:val="20"/>
                <w:szCs w:val="20"/>
              </w:rPr>
            </w:pPr>
            <w:r w:rsidRPr="00C114C7">
              <w:rPr>
                <w:rFonts w:ascii="Futura Std Condensed Light" w:eastAsia="Calibri" w:hAnsi="Futura Std Condensed Light" w:cs="Calibri"/>
                <w:sz w:val="20"/>
                <w:szCs w:val="20"/>
              </w:rPr>
              <w:t>15,886</w:t>
            </w:r>
          </w:p>
        </w:tc>
        <w:tc>
          <w:tcPr>
            <w:tcW w:w="846" w:type="pct"/>
          </w:tcPr>
          <w:p w14:paraId="66E6BB24" w14:textId="77777777" w:rsidR="0021177B" w:rsidRPr="00C114C7" w:rsidRDefault="0021177B" w:rsidP="009E3B2F">
            <w:pPr>
              <w:spacing w:after="0" w:line="240" w:lineRule="auto"/>
              <w:jc w:val="center"/>
              <w:rPr>
                <w:rFonts w:ascii="Futura Std Condensed Light" w:eastAsia="Calibri" w:hAnsi="Futura Std Condensed Light" w:cs="Calibri"/>
                <w:sz w:val="20"/>
                <w:szCs w:val="20"/>
              </w:rPr>
            </w:pPr>
            <w:r w:rsidRPr="00C114C7">
              <w:rPr>
                <w:rFonts w:ascii="Futura Std Condensed Light" w:eastAsia="Calibri" w:hAnsi="Futura Std Condensed Light" w:cs="Calibri"/>
                <w:sz w:val="20"/>
                <w:szCs w:val="20"/>
              </w:rPr>
              <w:t>16,197</w:t>
            </w:r>
          </w:p>
        </w:tc>
      </w:tr>
    </w:tbl>
    <w:p w14:paraId="31B25C42" w14:textId="1DA4BD67" w:rsidR="00CD21A0" w:rsidRPr="00CD21A0" w:rsidRDefault="00CD21A0" w:rsidP="00AF46E9">
      <w:pPr>
        <w:rPr>
          <w:rFonts w:eastAsia="Arial" w:cs="Times New Roman"/>
          <w:b/>
          <w:color w:val="auto"/>
        </w:rPr>
      </w:pPr>
    </w:p>
    <w:p w14:paraId="40494B72" w14:textId="77777777" w:rsidR="00E05363" w:rsidRDefault="00E05363">
      <w:pPr>
        <w:spacing w:after="0" w:line="240" w:lineRule="auto"/>
        <w:jc w:val="left"/>
        <w:rPr>
          <w:rFonts w:eastAsia="Arial" w:cs="Times New Roman"/>
          <w:b/>
          <w:color w:val="4BACC6" w:themeColor="accent5"/>
        </w:rPr>
      </w:pPr>
      <w:r>
        <w:rPr>
          <w:rFonts w:eastAsia="Arial" w:cs="Times New Roman"/>
          <w:b/>
          <w:color w:val="4BACC6" w:themeColor="accent5"/>
        </w:rPr>
        <w:br w:type="page"/>
      </w:r>
    </w:p>
    <w:p w14:paraId="40071829" w14:textId="5A27B4A0" w:rsidR="0021177B" w:rsidRDefault="00FA0940" w:rsidP="0021177B">
      <w:pPr>
        <w:jc w:val="center"/>
      </w:pPr>
      <w:r>
        <w:rPr>
          <w:rFonts w:eastAsia="Arial" w:cs="Times New Roman"/>
          <w:b/>
          <w:color w:val="4BACC6" w:themeColor="accent5"/>
        </w:rPr>
        <w:lastRenderedPageBreak/>
        <w:t>Cuadro 36</w:t>
      </w:r>
      <w:r w:rsidR="0021177B">
        <w:rPr>
          <w:rFonts w:eastAsia="Arial" w:cs="Times New Roman"/>
          <w:b/>
          <w:color w:val="4BACC6" w:themeColor="accent5"/>
        </w:rPr>
        <w:t>. Entregable y meta de la línea de acción 9 del PED</w:t>
      </w:r>
    </w:p>
    <w:tbl>
      <w:tblPr>
        <w:tblStyle w:val="Tablaconcuadrcula"/>
        <w:tblW w:w="5000" w:type="pct"/>
        <w:tblLook w:val="04A0" w:firstRow="1" w:lastRow="0" w:firstColumn="1" w:lastColumn="0" w:noHBand="0" w:noVBand="1"/>
      </w:tblPr>
      <w:tblGrid>
        <w:gridCol w:w="1489"/>
        <w:gridCol w:w="813"/>
        <w:gridCol w:w="679"/>
        <w:gridCol w:w="462"/>
        <w:gridCol w:w="687"/>
        <w:gridCol w:w="576"/>
        <w:gridCol w:w="462"/>
        <w:gridCol w:w="917"/>
        <w:gridCol w:w="1205"/>
        <w:gridCol w:w="7"/>
        <w:gridCol w:w="626"/>
        <w:gridCol w:w="1614"/>
      </w:tblGrid>
      <w:tr w:rsidR="0086391F" w:rsidRPr="008835BC" w14:paraId="591E1F44" w14:textId="77777777" w:rsidTr="008835BC">
        <w:trPr>
          <w:trHeight w:val="182"/>
        </w:trPr>
        <w:tc>
          <w:tcPr>
            <w:tcW w:w="1806" w:type="pct"/>
            <w:gridSpan w:val="4"/>
            <w:shd w:val="clear" w:color="auto" w:fill="A6A6A6" w:themeFill="background1" w:themeFillShade="A6"/>
          </w:tcPr>
          <w:p w14:paraId="6B36BBAD" w14:textId="77777777" w:rsidR="0021177B" w:rsidRPr="008835BC" w:rsidRDefault="0021177B" w:rsidP="009E3B2F">
            <w:pPr>
              <w:spacing w:after="0" w:line="240" w:lineRule="auto"/>
              <w:jc w:val="center"/>
              <w:rPr>
                <w:rFonts w:ascii="Futura Std Condensed Light" w:eastAsia="Calibri" w:hAnsi="Futura Std Condensed Light" w:cs="Calibri"/>
                <w:color w:val="auto"/>
                <w:sz w:val="20"/>
                <w:szCs w:val="20"/>
              </w:rPr>
            </w:pPr>
            <w:r w:rsidRPr="008835BC">
              <w:rPr>
                <w:rFonts w:ascii="Futura Std Condensed Light" w:eastAsia="Calibri" w:hAnsi="Futura Std Condensed Light" w:cs="Calibri"/>
                <w:color w:val="auto"/>
                <w:sz w:val="20"/>
                <w:szCs w:val="20"/>
              </w:rPr>
              <w:t>Programa PED</w:t>
            </w:r>
          </w:p>
        </w:tc>
        <w:tc>
          <w:tcPr>
            <w:tcW w:w="3194" w:type="pct"/>
            <w:gridSpan w:val="8"/>
            <w:shd w:val="clear" w:color="auto" w:fill="A6A6A6" w:themeFill="background1" w:themeFillShade="A6"/>
          </w:tcPr>
          <w:p w14:paraId="2DCAD36F" w14:textId="77777777" w:rsidR="0021177B" w:rsidRPr="008835BC" w:rsidRDefault="0021177B" w:rsidP="009E3B2F">
            <w:pPr>
              <w:spacing w:after="0" w:line="240" w:lineRule="auto"/>
              <w:jc w:val="center"/>
              <w:rPr>
                <w:rFonts w:ascii="Futura Std Condensed Light" w:eastAsia="Calibri" w:hAnsi="Futura Std Condensed Light" w:cs="Calibri"/>
                <w:color w:val="auto"/>
                <w:sz w:val="20"/>
                <w:szCs w:val="20"/>
              </w:rPr>
            </w:pPr>
            <w:r w:rsidRPr="008835BC">
              <w:rPr>
                <w:rFonts w:ascii="Futura Std Condensed Light" w:eastAsia="Calibri" w:hAnsi="Futura Std Condensed Light" w:cs="Calibri"/>
                <w:color w:val="auto"/>
                <w:sz w:val="20"/>
                <w:szCs w:val="20"/>
              </w:rPr>
              <w:t>Programa Sectorial Educación Pública de Calidad</w:t>
            </w:r>
          </w:p>
        </w:tc>
      </w:tr>
      <w:tr w:rsidR="0021177B" w:rsidRPr="00C114C7" w14:paraId="675A70F3" w14:textId="77777777" w:rsidTr="009E3B2F">
        <w:trPr>
          <w:trHeight w:val="469"/>
        </w:trPr>
        <w:tc>
          <w:tcPr>
            <w:tcW w:w="1806" w:type="pct"/>
            <w:gridSpan w:val="4"/>
          </w:tcPr>
          <w:p w14:paraId="73A25AA7" w14:textId="77777777" w:rsidR="0021177B" w:rsidRPr="00C114C7" w:rsidRDefault="0021177B" w:rsidP="009E3B2F">
            <w:pPr>
              <w:spacing w:after="0" w:line="240" w:lineRule="auto"/>
              <w:jc w:val="center"/>
              <w:rPr>
                <w:rFonts w:ascii="Futura Std Condensed Light" w:eastAsia="Calibri" w:hAnsi="Futura Std Condensed Light" w:cs="Calibri"/>
                <w:b/>
                <w:sz w:val="20"/>
                <w:szCs w:val="20"/>
              </w:rPr>
            </w:pPr>
            <w:r w:rsidRPr="00C114C7">
              <w:rPr>
                <w:rFonts w:ascii="Futura Std Condensed Light" w:eastAsia="Calibri" w:hAnsi="Futura Std Condensed Light" w:cs="Calibri"/>
                <w:b/>
                <w:sz w:val="20"/>
                <w:szCs w:val="20"/>
              </w:rPr>
              <w:t>Línea de acción:</w:t>
            </w:r>
          </w:p>
        </w:tc>
        <w:tc>
          <w:tcPr>
            <w:tcW w:w="3194" w:type="pct"/>
            <w:gridSpan w:val="8"/>
          </w:tcPr>
          <w:p w14:paraId="367CA889" w14:textId="77777777" w:rsidR="0021177B" w:rsidRPr="00C114C7" w:rsidRDefault="0021177B" w:rsidP="009E3B2F">
            <w:pPr>
              <w:spacing w:after="0" w:line="240" w:lineRule="auto"/>
              <w:jc w:val="center"/>
              <w:rPr>
                <w:rFonts w:ascii="Futura Std Condensed Light" w:eastAsia="Calibri" w:hAnsi="Futura Std Condensed Light" w:cs="Calibri"/>
                <w:sz w:val="20"/>
                <w:szCs w:val="20"/>
              </w:rPr>
            </w:pPr>
            <w:r w:rsidRPr="00C114C7">
              <w:rPr>
                <w:rFonts w:ascii="Futura Std Condensed Light" w:eastAsia="Calibri" w:hAnsi="Futura Std Condensed Light" w:cs="Calibri"/>
                <w:sz w:val="20"/>
                <w:szCs w:val="20"/>
              </w:rPr>
              <w:t>9.  Elevar la capacitación y certificación en competencias laborales.</w:t>
            </w:r>
          </w:p>
        </w:tc>
      </w:tr>
      <w:tr w:rsidR="0021177B" w:rsidRPr="00C114C7" w14:paraId="1C3DDF85" w14:textId="77777777" w:rsidTr="009E3B2F">
        <w:trPr>
          <w:trHeight w:val="484"/>
        </w:trPr>
        <w:tc>
          <w:tcPr>
            <w:tcW w:w="1806" w:type="pct"/>
            <w:gridSpan w:val="4"/>
          </w:tcPr>
          <w:p w14:paraId="13AC0AAC" w14:textId="77777777" w:rsidR="0021177B" w:rsidRPr="00C114C7" w:rsidRDefault="0021177B" w:rsidP="009E3B2F">
            <w:pPr>
              <w:spacing w:after="0" w:line="240" w:lineRule="auto"/>
              <w:jc w:val="center"/>
              <w:rPr>
                <w:rFonts w:ascii="Futura Std Condensed Light" w:eastAsia="Calibri" w:hAnsi="Futura Std Condensed Light" w:cs="Calibri"/>
                <w:b/>
                <w:sz w:val="20"/>
                <w:szCs w:val="20"/>
              </w:rPr>
            </w:pPr>
            <w:r w:rsidRPr="00C114C7">
              <w:rPr>
                <w:rFonts w:ascii="Futura Std Condensed Light" w:eastAsia="Calibri" w:hAnsi="Futura Std Condensed Light" w:cs="Calibri"/>
                <w:b/>
                <w:sz w:val="20"/>
                <w:szCs w:val="20"/>
              </w:rPr>
              <w:t>Plan Estratégico Objetivo Especifico</w:t>
            </w:r>
          </w:p>
        </w:tc>
        <w:tc>
          <w:tcPr>
            <w:tcW w:w="3194" w:type="pct"/>
            <w:gridSpan w:val="8"/>
          </w:tcPr>
          <w:p w14:paraId="4A222DA5" w14:textId="77777777" w:rsidR="0021177B" w:rsidRPr="00C114C7" w:rsidRDefault="0021177B" w:rsidP="009E3B2F">
            <w:pPr>
              <w:spacing w:after="0" w:line="240" w:lineRule="auto"/>
              <w:jc w:val="center"/>
              <w:rPr>
                <w:rFonts w:ascii="Futura Std Condensed Light" w:eastAsia="Calibri" w:hAnsi="Futura Std Condensed Light" w:cs="Calibri"/>
                <w:sz w:val="20"/>
                <w:szCs w:val="20"/>
              </w:rPr>
            </w:pPr>
            <w:r w:rsidRPr="00C114C7">
              <w:rPr>
                <w:rFonts w:ascii="Futura Std Condensed Light" w:eastAsia="Calibri" w:hAnsi="Futura Std Condensed Light" w:cs="Calibri"/>
                <w:sz w:val="20"/>
                <w:szCs w:val="20"/>
              </w:rPr>
              <w:t>Disminuir la desigualdad en sus diversas formas </w:t>
            </w:r>
          </w:p>
        </w:tc>
      </w:tr>
      <w:tr w:rsidR="0021177B" w:rsidRPr="00C114C7" w14:paraId="25CEC7B9" w14:textId="77777777" w:rsidTr="009E3B2F">
        <w:trPr>
          <w:trHeight w:val="484"/>
        </w:trPr>
        <w:tc>
          <w:tcPr>
            <w:tcW w:w="1208" w:type="pct"/>
            <w:gridSpan w:val="2"/>
          </w:tcPr>
          <w:p w14:paraId="0CB4BD39" w14:textId="77777777" w:rsidR="0021177B" w:rsidRPr="00C114C7" w:rsidRDefault="0021177B" w:rsidP="009E3B2F">
            <w:pPr>
              <w:spacing w:after="0" w:line="240" w:lineRule="auto"/>
              <w:jc w:val="center"/>
              <w:rPr>
                <w:rFonts w:ascii="Futura Std Condensed Light" w:eastAsia="Calibri" w:hAnsi="Futura Std Condensed Light" w:cs="Calibri"/>
                <w:b/>
                <w:sz w:val="20"/>
                <w:szCs w:val="20"/>
              </w:rPr>
            </w:pPr>
            <w:r w:rsidRPr="00C114C7">
              <w:rPr>
                <w:rFonts w:ascii="Futura Std Condensed Light" w:eastAsia="Calibri" w:hAnsi="Futura Std Condensed Light" w:cs="Calibri"/>
                <w:b/>
                <w:sz w:val="20"/>
                <w:szCs w:val="20"/>
              </w:rPr>
              <w:t>Entregable:</w:t>
            </w:r>
          </w:p>
        </w:tc>
        <w:tc>
          <w:tcPr>
            <w:tcW w:w="958" w:type="pct"/>
            <w:gridSpan w:val="3"/>
          </w:tcPr>
          <w:p w14:paraId="0CCBE743" w14:textId="77777777" w:rsidR="0021177B" w:rsidRPr="00C114C7" w:rsidRDefault="0021177B" w:rsidP="009E3B2F">
            <w:pPr>
              <w:spacing w:after="0" w:line="240" w:lineRule="auto"/>
              <w:jc w:val="center"/>
              <w:rPr>
                <w:rFonts w:ascii="Futura Std Condensed Light" w:eastAsia="Calibri" w:hAnsi="Futura Std Condensed Light" w:cs="Calibri"/>
                <w:sz w:val="20"/>
                <w:szCs w:val="20"/>
              </w:rPr>
            </w:pPr>
            <w:r w:rsidRPr="00C114C7">
              <w:rPr>
                <w:rFonts w:ascii="Futura Std Condensed Light" w:eastAsia="Calibri" w:hAnsi="Futura Std Condensed Light" w:cs="Calibri"/>
                <w:sz w:val="20"/>
                <w:szCs w:val="20"/>
              </w:rPr>
              <w:t>Programas de capacitación y certificación laboral</w:t>
            </w:r>
          </w:p>
        </w:tc>
        <w:tc>
          <w:tcPr>
            <w:tcW w:w="1660" w:type="pct"/>
            <w:gridSpan w:val="5"/>
          </w:tcPr>
          <w:p w14:paraId="0573A79F" w14:textId="77777777" w:rsidR="0021177B" w:rsidRPr="00C114C7" w:rsidRDefault="0021177B" w:rsidP="009E3B2F">
            <w:pPr>
              <w:spacing w:after="0" w:line="240" w:lineRule="auto"/>
              <w:jc w:val="center"/>
              <w:rPr>
                <w:rFonts w:ascii="Futura Std Condensed Light" w:eastAsia="Calibri" w:hAnsi="Futura Std Condensed Light" w:cs="Calibri"/>
                <w:b/>
                <w:sz w:val="20"/>
                <w:szCs w:val="20"/>
              </w:rPr>
            </w:pPr>
            <w:r w:rsidRPr="00C114C7">
              <w:rPr>
                <w:rFonts w:ascii="Futura Std Condensed Light" w:eastAsia="Calibri" w:hAnsi="Futura Std Condensed Light" w:cs="Calibri"/>
                <w:b/>
                <w:sz w:val="20"/>
                <w:szCs w:val="20"/>
              </w:rPr>
              <w:t>Unidad de Medida:</w:t>
            </w:r>
          </w:p>
        </w:tc>
        <w:tc>
          <w:tcPr>
            <w:tcW w:w="1173" w:type="pct"/>
            <w:gridSpan w:val="2"/>
          </w:tcPr>
          <w:p w14:paraId="40F22DAB" w14:textId="77777777" w:rsidR="0021177B" w:rsidRPr="00C114C7" w:rsidRDefault="0021177B" w:rsidP="009E3B2F">
            <w:pPr>
              <w:spacing w:after="0" w:line="240" w:lineRule="auto"/>
              <w:jc w:val="center"/>
              <w:rPr>
                <w:rFonts w:ascii="Futura Std Condensed Light" w:eastAsia="Calibri" w:hAnsi="Futura Std Condensed Light" w:cs="Calibri"/>
                <w:sz w:val="20"/>
                <w:szCs w:val="20"/>
              </w:rPr>
            </w:pPr>
            <w:r w:rsidRPr="00C114C7">
              <w:rPr>
                <w:rFonts w:ascii="Futura Std Condensed Light" w:eastAsia="Calibri" w:hAnsi="Futura Std Condensed Light" w:cs="Calibri"/>
                <w:sz w:val="20"/>
                <w:szCs w:val="20"/>
              </w:rPr>
              <w:t>Personas inscritas</w:t>
            </w:r>
          </w:p>
        </w:tc>
      </w:tr>
      <w:tr w:rsidR="0021177B" w:rsidRPr="00C114C7" w14:paraId="22128BFE" w14:textId="77777777" w:rsidTr="009E3B2F">
        <w:trPr>
          <w:trHeight w:val="449"/>
        </w:trPr>
        <w:tc>
          <w:tcPr>
            <w:tcW w:w="1208" w:type="pct"/>
            <w:gridSpan w:val="2"/>
          </w:tcPr>
          <w:p w14:paraId="08D0CC71" w14:textId="77777777" w:rsidR="0021177B" w:rsidRPr="00C114C7" w:rsidRDefault="0021177B" w:rsidP="009E3B2F">
            <w:pPr>
              <w:spacing w:after="0" w:line="240" w:lineRule="auto"/>
              <w:jc w:val="center"/>
              <w:rPr>
                <w:rFonts w:ascii="Futura Std Condensed Light" w:eastAsia="Calibri" w:hAnsi="Futura Std Condensed Light" w:cs="Calibri"/>
                <w:b/>
                <w:sz w:val="20"/>
                <w:szCs w:val="20"/>
              </w:rPr>
            </w:pPr>
            <w:r w:rsidRPr="00C114C7">
              <w:rPr>
                <w:rFonts w:ascii="Futura Std Condensed Light" w:eastAsia="Calibri" w:hAnsi="Futura Std Condensed Light" w:cs="Calibri"/>
                <w:b/>
                <w:sz w:val="20"/>
                <w:szCs w:val="20"/>
              </w:rPr>
              <w:t>Descripción:</w:t>
            </w:r>
          </w:p>
        </w:tc>
        <w:tc>
          <w:tcPr>
            <w:tcW w:w="3792" w:type="pct"/>
            <w:gridSpan w:val="10"/>
          </w:tcPr>
          <w:p w14:paraId="4D3FC26C" w14:textId="77777777" w:rsidR="0021177B" w:rsidRPr="00C114C7" w:rsidRDefault="0021177B" w:rsidP="009E3B2F">
            <w:pPr>
              <w:spacing w:after="0" w:line="240" w:lineRule="auto"/>
              <w:jc w:val="center"/>
              <w:rPr>
                <w:rFonts w:ascii="Futura Std Condensed Light" w:eastAsia="Calibri" w:hAnsi="Futura Std Condensed Light" w:cs="Calibri"/>
                <w:sz w:val="20"/>
                <w:szCs w:val="20"/>
              </w:rPr>
            </w:pPr>
            <w:r w:rsidRPr="00C114C7">
              <w:rPr>
                <w:rFonts w:ascii="Futura Std Condensed Light" w:eastAsia="Calibri" w:hAnsi="Futura Std Condensed Light" w:cs="Calibri"/>
                <w:sz w:val="20"/>
                <w:szCs w:val="20"/>
              </w:rPr>
              <w:t>Este entregable refleja el porcentaje de personas inscritas en comparación con las personas programadas  en los programas de capacitación, evaluación y certificaciones.</w:t>
            </w:r>
          </w:p>
        </w:tc>
      </w:tr>
      <w:tr w:rsidR="0021177B" w:rsidRPr="00C114C7" w14:paraId="2CD2131F" w14:textId="77777777" w:rsidTr="009E3B2F">
        <w:trPr>
          <w:trHeight w:val="484"/>
        </w:trPr>
        <w:tc>
          <w:tcPr>
            <w:tcW w:w="1806" w:type="pct"/>
            <w:gridSpan w:val="4"/>
          </w:tcPr>
          <w:p w14:paraId="3C91522F" w14:textId="77777777" w:rsidR="0021177B" w:rsidRPr="00C114C7" w:rsidRDefault="0021177B" w:rsidP="009E3B2F">
            <w:pPr>
              <w:spacing w:after="0" w:line="240" w:lineRule="auto"/>
              <w:jc w:val="center"/>
              <w:rPr>
                <w:rFonts w:ascii="Futura Std Condensed Light" w:eastAsia="Calibri" w:hAnsi="Futura Std Condensed Light" w:cs="Calibri"/>
                <w:b/>
                <w:sz w:val="20"/>
                <w:szCs w:val="20"/>
              </w:rPr>
            </w:pPr>
            <w:r w:rsidRPr="00C114C7">
              <w:rPr>
                <w:rFonts w:ascii="Futura Std Condensed Light" w:eastAsia="Calibri" w:hAnsi="Futura Std Condensed Light" w:cs="Calibri"/>
                <w:b/>
                <w:sz w:val="20"/>
                <w:szCs w:val="20"/>
              </w:rPr>
              <w:t>Medio de verificación:</w:t>
            </w:r>
          </w:p>
        </w:tc>
        <w:tc>
          <w:tcPr>
            <w:tcW w:w="3194" w:type="pct"/>
            <w:gridSpan w:val="8"/>
          </w:tcPr>
          <w:p w14:paraId="2E0AB6C8" w14:textId="77777777" w:rsidR="0021177B" w:rsidRPr="00C114C7" w:rsidRDefault="0021177B" w:rsidP="009E3B2F">
            <w:pPr>
              <w:spacing w:after="0" w:line="240" w:lineRule="auto"/>
              <w:jc w:val="center"/>
              <w:rPr>
                <w:rFonts w:ascii="Futura Std Condensed Light" w:eastAsia="Calibri" w:hAnsi="Futura Std Condensed Light" w:cs="Calibri"/>
                <w:sz w:val="20"/>
                <w:szCs w:val="20"/>
              </w:rPr>
            </w:pPr>
            <w:r w:rsidRPr="00C114C7">
              <w:rPr>
                <w:rFonts w:ascii="Futura Std Condensed Light" w:eastAsia="Calibri" w:hAnsi="Futura Std Condensed Light" w:cs="Calibri"/>
                <w:sz w:val="20"/>
                <w:szCs w:val="20"/>
              </w:rPr>
              <w:t xml:space="preserve">Página oficial del Instituto </w:t>
            </w:r>
          </w:p>
          <w:p w14:paraId="6C12EB19" w14:textId="77777777" w:rsidR="0021177B" w:rsidRPr="00C114C7" w:rsidRDefault="005377D7" w:rsidP="009E3B2F">
            <w:pPr>
              <w:spacing w:after="0" w:line="240" w:lineRule="auto"/>
              <w:jc w:val="center"/>
              <w:rPr>
                <w:rFonts w:ascii="Futura Std Condensed Light" w:eastAsia="Calibri" w:hAnsi="Futura Std Condensed Light" w:cs="Calibri"/>
                <w:sz w:val="20"/>
                <w:szCs w:val="20"/>
              </w:rPr>
            </w:pPr>
            <w:hyperlink r:id="rId24" w:history="1">
              <w:r w:rsidR="0021177B" w:rsidRPr="00C114C7">
                <w:rPr>
                  <w:rFonts w:ascii="Futura Std Condensed Light" w:eastAsia="Calibri" w:hAnsi="Futura Std Condensed Light" w:cs="Calibri"/>
                  <w:sz w:val="20"/>
                  <w:szCs w:val="20"/>
                </w:rPr>
                <w:t>https://www.qroo.gob.mx/icatqr</w:t>
              </w:r>
            </w:hyperlink>
          </w:p>
        </w:tc>
      </w:tr>
      <w:tr w:rsidR="0021177B" w:rsidRPr="00C114C7" w14:paraId="327D3823" w14:textId="77777777" w:rsidTr="009E3B2F">
        <w:trPr>
          <w:trHeight w:val="484"/>
        </w:trPr>
        <w:tc>
          <w:tcPr>
            <w:tcW w:w="1806" w:type="pct"/>
            <w:gridSpan w:val="4"/>
          </w:tcPr>
          <w:p w14:paraId="12345B9D" w14:textId="77777777" w:rsidR="0021177B" w:rsidRPr="00C114C7" w:rsidRDefault="0021177B" w:rsidP="009E3B2F">
            <w:pPr>
              <w:spacing w:after="0" w:line="240" w:lineRule="auto"/>
              <w:jc w:val="center"/>
              <w:rPr>
                <w:rFonts w:ascii="Futura Std Condensed Light" w:eastAsia="Calibri" w:hAnsi="Futura Std Condensed Light" w:cs="Calibri"/>
                <w:b/>
                <w:sz w:val="20"/>
                <w:szCs w:val="20"/>
              </w:rPr>
            </w:pPr>
            <w:r w:rsidRPr="00C114C7">
              <w:rPr>
                <w:rFonts w:ascii="Futura Std Condensed Light" w:eastAsia="Calibri" w:hAnsi="Futura Std Condensed Light" w:cs="Calibri"/>
                <w:b/>
                <w:sz w:val="20"/>
                <w:szCs w:val="20"/>
              </w:rPr>
              <w:t>Línea base:</w:t>
            </w:r>
          </w:p>
        </w:tc>
        <w:tc>
          <w:tcPr>
            <w:tcW w:w="904" w:type="pct"/>
            <w:gridSpan w:val="3"/>
          </w:tcPr>
          <w:p w14:paraId="7DAB5738" w14:textId="77777777" w:rsidR="0021177B" w:rsidRPr="00C114C7" w:rsidRDefault="0021177B" w:rsidP="009E3B2F">
            <w:pPr>
              <w:spacing w:after="0" w:line="240" w:lineRule="auto"/>
              <w:jc w:val="center"/>
              <w:rPr>
                <w:rFonts w:ascii="Futura Std Condensed Light" w:eastAsia="Calibri" w:hAnsi="Futura Std Condensed Light" w:cs="Calibri"/>
                <w:sz w:val="20"/>
                <w:szCs w:val="20"/>
              </w:rPr>
            </w:pPr>
            <w:r w:rsidRPr="00C114C7">
              <w:rPr>
                <w:rFonts w:ascii="Futura Std Condensed Light" w:eastAsia="Calibri" w:hAnsi="Futura Std Condensed Light" w:cs="Calibri"/>
                <w:sz w:val="20"/>
                <w:szCs w:val="20"/>
              </w:rPr>
              <w:t>28,000</w:t>
            </w:r>
          </w:p>
        </w:tc>
        <w:tc>
          <w:tcPr>
            <w:tcW w:w="1113" w:type="pct"/>
            <w:gridSpan w:val="2"/>
          </w:tcPr>
          <w:p w14:paraId="313E0099" w14:textId="77777777" w:rsidR="0021177B" w:rsidRPr="00C114C7" w:rsidRDefault="0021177B" w:rsidP="009E3B2F">
            <w:pPr>
              <w:spacing w:after="0" w:line="240" w:lineRule="auto"/>
              <w:jc w:val="center"/>
              <w:rPr>
                <w:rFonts w:ascii="Futura Std Condensed Light" w:eastAsia="Calibri" w:hAnsi="Futura Std Condensed Light" w:cs="Calibri"/>
                <w:b/>
                <w:sz w:val="20"/>
                <w:szCs w:val="20"/>
              </w:rPr>
            </w:pPr>
            <w:r w:rsidRPr="00C114C7">
              <w:rPr>
                <w:rFonts w:ascii="Futura Std Condensed Light" w:eastAsia="Calibri" w:hAnsi="Futura Std Condensed Light" w:cs="Calibri"/>
                <w:b/>
                <w:sz w:val="20"/>
                <w:szCs w:val="20"/>
              </w:rPr>
              <w:t>Año de línea base:</w:t>
            </w:r>
          </w:p>
        </w:tc>
        <w:tc>
          <w:tcPr>
            <w:tcW w:w="1178" w:type="pct"/>
            <w:gridSpan w:val="3"/>
          </w:tcPr>
          <w:p w14:paraId="32A9ADCC" w14:textId="77777777" w:rsidR="0021177B" w:rsidRPr="00C114C7" w:rsidRDefault="0021177B" w:rsidP="009E3B2F">
            <w:pPr>
              <w:spacing w:after="0" w:line="240" w:lineRule="auto"/>
              <w:jc w:val="center"/>
              <w:rPr>
                <w:rFonts w:ascii="Futura Std Condensed Light" w:eastAsia="Calibri" w:hAnsi="Futura Std Condensed Light" w:cs="Calibri"/>
                <w:sz w:val="20"/>
                <w:szCs w:val="20"/>
              </w:rPr>
            </w:pPr>
            <w:r w:rsidRPr="00C114C7">
              <w:rPr>
                <w:rFonts w:ascii="Futura Std Condensed Light" w:eastAsia="Calibri" w:hAnsi="Futura Std Condensed Light" w:cs="Calibri"/>
                <w:sz w:val="20"/>
                <w:szCs w:val="20"/>
              </w:rPr>
              <w:t>2017</w:t>
            </w:r>
          </w:p>
        </w:tc>
      </w:tr>
      <w:tr w:rsidR="0021177B" w:rsidRPr="00C114C7" w14:paraId="34CCD9AD" w14:textId="77777777" w:rsidTr="009E3B2F">
        <w:trPr>
          <w:trHeight w:val="484"/>
        </w:trPr>
        <w:tc>
          <w:tcPr>
            <w:tcW w:w="1806" w:type="pct"/>
            <w:gridSpan w:val="4"/>
          </w:tcPr>
          <w:p w14:paraId="08DF6611" w14:textId="77777777" w:rsidR="0021177B" w:rsidRPr="00C114C7" w:rsidRDefault="0021177B" w:rsidP="009E3B2F">
            <w:pPr>
              <w:spacing w:after="0" w:line="240" w:lineRule="auto"/>
              <w:jc w:val="center"/>
              <w:rPr>
                <w:rFonts w:ascii="Futura Std Condensed Light" w:eastAsia="Calibri" w:hAnsi="Futura Std Condensed Light" w:cs="Calibri"/>
                <w:b/>
                <w:sz w:val="20"/>
                <w:szCs w:val="20"/>
              </w:rPr>
            </w:pPr>
            <w:r w:rsidRPr="00C114C7">
              <w:rPr>
                <w:rFonts w:ascii="Futura Std Condensed Light" w:eastAsia="Calibri" w:hAnsi="Futura Std Condensed Light" w:cs="Calibri"/>
                <w:b/>
                <w:sz w:val="20"/>
                <w:szCs w:val="20"/>
              </w:rPr>
              <w:t>Contribución Directa al Objetivo de la Agenda 2030</w:t>
            </w:r>
          </w:p>
        </w:tc>
        <w:tc>
          <w:tcPr>
            <w:tcW w:w="3194" w:type="pct"/>
            <w:gridSpan w:val="8"/>
          </w:tcPr>
          <w:p w14:paraId="7D5B5B5C" w14:textId="77777777" w:rsidR="0021177B" w:rsidRPr="00C114C7" w:rsidRDefault="0021177B" w:rsidP="009E3B2F">
            <w:pPr>
              <w:spacing w:after="0" w:line="240" w:lineRule="auto"/>
              <w:jc w:val="center"/>
              <w:rPr>
                <w:rFonts w:ascii="Futura Std Condensed Light" w:eastAsia="Calibri" w:hAnsi="Futura Std Condensed Light" w:cs="Calibri"/>
                <w:sz w:val="20"/>
                <w:szCs w:val="20"/>
              </w:rPr>
            </w:pPr>
            <w:r w:rsidRPr="00C114C7">
              <w:rPr>
                <w:rFonts w:ascii="Futura Std Condensed Light" w:eastAsia="Calibri" w:hAnsi="Futura Std Condensed Light" w:cs="Calibri"/>
                <w:sz w:val="20"/>
                <w:szCs w:val="20"/>
              </w:rPr>
              <w:t>Garantizar una educación inclusiva, equitativa y de calidad y promover oportunidades de aprendizaje durante toda la vida para todos</w:t>
            </w:r>
          </w:p>
        </w:tc>
      </w:tr>
      <w:tr w:rsidR="0021177B" w:rsidRPr="00C114C7" w14:paraId="0FBD4375" w14:textId="77777777" w:rsidTr="009E3B2F">
        <w:trPr>
          <w:trHeight w:val="484"/>
        </w:trPr>
        <w:tc>
          <w:tcPr>
            <w:tcW w:w="1806" w:type="pct"/>
            <w:gridSpan w:val="4"/>
          </w:tcPr>
          <w:p w14:paraId="31C78210" w14:textId="77777777" w:rsidR="0021177B" w:rsidRPr="00C114C7" w:rsidRDefault="0021177B" w:rsidP="009E3B2F">
            <w:pPr>
              <w:spacing w:after="0" w:line="240" w:lineRule="auto"/>
              <w:jc w:val="center"/>
              <w:rPr>
                <w:rFonts w:ascii="Futura Std Condensed Light" w:eastAsia="Calibri" w:hAnsi="Futura Std Condensed Light" w:cs="Calibri"/>
                <w:b/>
                <w:sz w:val="20"/>
                <w:szCs w:val="20"/>
              </w:rPr>
            </w:pPr>
            <w:r w:rsidRPr="00C114C7">
              <w:rPr>
                <w:rFonts w:ascii="Futura Std Condensed Light" w:eastAsia="Calibri" w:hAnsi="Futura Std Condensed Light" w:cs="Calibri"/>
                <w:b/>
                <w:sz w:val="20"/>
                <w:szCs w:val="20"/>
              </w:rPr>
              <w:t>Contribución Directa  a la Meta de la Agenda 2030</w:t>
            </w:r>
          </w:p>
        </w:tc>
        <w:tc>
          <w:tcPr>
            <w:tcW w:w="3194" w:type="pct"/>
            <w:gridSpan w:val="8"/>
          </w:tcPr>
          <w:p w14:paraId="4DD56CD7" w14:textId="77777777" w:rsidR="0021177B" w:rsidRPr="00C114C7" w:rsidRDefault="0021177B" w:rsidP="009E3B2F">
            <w:pPr>
              <w:spacing w:after="0" w:line="240" w:lineRule="auto"/>
              <w:jc w:val="center"/>
              <w:rPr>
                <w:rFonts w:ascii="Futura Std Condensed Light" w:eastAsia="Calibri" w:hAnsi="Futura Std Condensed Light" w:cs="Calibri"/>
                <w:sz w:val="20"/>
                <w:szCs w:val="20"/>
              </w:rPr>
            </w:pPr>
            <w:r w:rsidRPr="00C114C7">
              <w:rPr>
                <w:rFonts w:ascii="Futura Std Condensed Light" w:eastAsia="Calibri" w:hAnsi="Futura Std Condensed Light" w:cs="Calibri"/>
                <w:sz w:val="20"/>
                <w:szCs w:val="20"/>
              </w:rPr>
              <w:t>De aquí a 2030, aumentar considerablemente el número de jóvenes y adultos que tienen las competencias necesarias, en particular técnicas y profesionales, para acceder al empleo, el trabajo decente y el emprendimiento</w:t>
            </w:r>
          </w:p>
        </w:tc>
      </w:tr>
      <w:tr w:rsidR="0021177B" w:rsidRPr="00C114C7" w14:paraId="527EF503" w14:textId="77777777" w:rsidTr="009E3B2F">
        <w:trPr>
          <w:trHeight w:val="484"/>
        </w:trPr>
        <w:tc>
          <w:tcPr>
            <w:tcW w:w="1806" w:type="pct"/>
            <w:gridSpan w:val="4"/>
          </w:tcPr>
          <w:p w14:paraId="6AD1A0B0" w14:textId="77777777" w:rsidR="0021177B" w:rsidRPr="00C114C7" w:rsidRDefault="0021177B" w:rsidP="009E3B2F">
            <w:pPr>
              <w:spacing w:after="0" w:line="240" w:lineRule="auto"/>
              <w:jc w:val="center"/>
              <w:rPr>
                <w:rFonts w:ascii="Futura Std Condensed Light" w:eastAsia="Calibri" w:hAnsi="Futura Std Condensed Light" w:cs="Calibri"/>
                <w:b/>
                <w:sz w:val="20"/>
                <w:szCs w:val="20"/>
              </w:rPr>
            </w:pPr>
            <w:r w:rsidRPr="00C114C7">
              <w:rPr>
                <w:rFonts w:ascii="Futura Std Condensed Light" w:eastAsia="Calibri" w:hAnsi="Futura Std Condensed Light" w:cs="Calibri"/>
                <w:b/>
                <w:sz w:val="20"/>
                <w:szCs w:val="20"/>
              </w:rPr>
              <w:t>Tema / Proyecto Prioritario de Quintana Roo</w:t>
            </w:r>
          </w:p>
        </w:tc>
        <w:tc>
          <w:tcPr>
            <w:tcW w:w="3194" w:type="pct"/>
            <w:gridSpan w:val="8"/>
          </w:tcPr>
          <w:p w14:paraId="070E8131" w14:textId="77777777" w:rsidR="0021177B" w:rsidRPr="00C114C7" w:rsidRDefault="0021177B" w:rsidP="009E3B2F">
            <w:pPr>
              <w:spacing w:after="0" w:line="240" w:lineRule="auto"/>
              <w:jc w:val="center"/>
              <w:rPr>
                <w:rFonts w:ascii="Futura Std Condensed Light" w:eastAsia="Calibri" w:hAnsi="Futura Std Condensed Light" w:cs="Calibri"/>
                <w:sz w:val="20"/>
                <w:szCs w:val="20"/>
              </w:rPr>
            </w:pPr>
            <w:r w:rsidRPr="00C114C7">
              <w:rPr>
                <w:rFonts w:ascii="Futura Std Condensed Light" w:eastAsia="Calibri" w:hAnsi="Futura Std Condensed Light" w:cs="Calibri"/>
                <w:sz w:val="20"/>
                <w:szCs w:val="20"/>
              </w:rPr>
              <w:t>24.5 Abatir el rezago educativo</w:t>
            </w:r>
          </w:p>
        </w:tc>
      </w:tr>
      <w:tr w:rsidR="0021177B" w:rsidRPr="00C114C7" w14:paraId="0F517F89" w14:textId="77777777" w:rsidTr="009E3B2F">
        <w:trPr>
          <w:trHeight w:val="484"/>
        </w:trPr>
        <w:tc>
          <w:tcPr>
            <w:tcW w:w="1806" w:type="pct"/>
            <w:gridSpan w:val="4"/>
          </w:tcPr>
          <w:p w14:paraId="6B8A677A" w14:textId="77777777" w:rsidR="0021177B" w:rsidRPr="00C114C7" w:rsidRDefault="0021177B" w:rsidP="009E3B2F">
            <w:pPr>
              <w:spacing w:after="0" w:line="240" w:lineRule="auto"/>
              <w:jc w:val="center"/>
              <w:rPr>
                <w:rFonts w:ascii="Futura Std Condensed Light" w:eastAsia="Calibri" w:hAnsi="Futura Std Condensed Light" w:cs="Calibri"/>
                <w:b/>
                <w:sz w:val="20"/>
                <w:szCs w:val="20"/>
              </w:rPr>
            </w:pPr>
            <w:r w:rsidRPr="00C114C7">
              <w:rPr>
                <w:rFonts w:ascii="Futura Std Condensed Light" w:eastAsia="Calibri" w:hAnsi="Futura Std Condensed Light" w:cs="Calibri"/>
                <w:b/>
                <w:sz w:val="20"/>
                <w:szCs w:val="20"/>
              </w:rPr>
              <w:t>Subtema Prioritario de Quintana Roo</w:t>
            </w:r>
          </w:p>
        </w:tc>
        <w:tc>
          <w:tcPr>
            <w:tcW w:w="3194" w:type="pct"/>
            <w:gridSpan w:val="8"/>
          </w:tcPr>
          <w:p w14:paraId="37B0A909" w14:textId="77777777" w:rsidR="0021177B" w:rsidRPr="00C114C7" w:rsidRDefault="0021177B" w:rsidP="009E3B2F">
            <w:pPr>
              <w:spacing w:after="0" w:line="240" w:lineRule="auto"/>
              <w:jc w:val="center"/>
              <w:rPr>
                <w:rFonts w:ascii="Futura Std Condensed Light" w:eastAsia="Calibri" w:hAnsi="Futura Std Condensed Light" w:cs="Calibri"/>
                <w:sz w:val="20"/>
                <w:szCs w:val="20"/>
              </w:rPr>
            </w:pPr>
            <w:r w:rsidRPr="00C114C7">
              <w:rPr>
                <w:rFonts w:ascii="Futura Std Condensed Light" w:eastAsia="Calibri" w:hAnsi="Futura Std Condensed Light" w:cs="Calibri"/>
                <w:sz w:val="20"/>
                <w:szCs w:val="20"/>
              </w:rPr>
              <w:t>N/A</w:t>
            </w:r>
          </w:p>
        </w:tc>
      </w:tr>
      <w:tr w:rsidR="0021177B" w:rsidRPr="00C114C7" w14:paraId="58DDFAB8" w14:textId="77777777" w:rsidTr="009E3B2F">
        <w:trPr>
          <w:trHeight w:val="484"/>
        </w:trPr>
        <w:tc>
          <w:tcPr>
            <w:tcW w:w="5000" w:type="pct"/>
            <w:gridSpan w:val="12"/>
          </w:tcPr>
          <w:p w14:paraId="44966643" w14:textId="77777777" w:rsidR="0021177B" w:rsidRPr="00C114C7" w:rsidRDefault="0021177B" w:rsidP="009E3B2F">
            <w:pPr>
              <w:spacing w:after="0" w:line="240" w:lineRule="auto"/>
              <w:jc w:val="center"/>
              <w:rPr>
                <w:rFonts w:ascii="Futura Std Condensed Light" w:eastAsia="Calibri" w:hAnsi="Futura Std Condensed Light" w:cs="Calibri"/>
                <w:b/>
                <w:sz w:val="20"/>
                <w:szCs w:val="20"/>
              </w:rPr>
            </w:pPr>
            <w:r w:rsidRPr="00C114C7">
              <w:rPr>
                <w:rFonts w:ascii="Futura Std Condensed Light" w:eastAsia="Calibri" w:hAnsi="Futura Std Condensed Light" w:cs="Calibri"/>
                <w:b/>
                <w:sz w:val="20"/>
                <w:szCs w:val="20"/>
              </w:rPr>
              <w:t>Meta Total:</w:t>
            </w:r>
          </w:p>
        </w:tc>
      </w:tr>
      <w:tr w:rsidR="0021177B" w:rsidRPr="00C114C7" w14:paraId="03DC3E6B" w14:textId="77777777" w:rsidTr="009E3B2F">
        <w:trPr>
          <w:trHeight w:val="484"/>
        </w:trPr>
        <w:tc>
          <w:tcPr>
            <w:tcW w:w="781" w:type="pct"/>
          </w:tcPr>
          <w:p w14:paraId="56E851A3" w14:textId="77777777" w:rsidR="0021177B" w:rsidRPr="00C114C7" w:rsidRDefault="0021177B" w:rsidP="009E3B2F">
            <w:pPr>
              <w:spacing w:after="0" w:line="240" w:lineRule="auto"/>
              <w:jc w:val="center"/>
              <w:rPr>
                <w:rFonts w:ascii="Futura Std Condensed Light" w:eastAsia="Calibri" w:hAnsi="Futura Std Condensed Light" w:cs="Calibri"/>
                <w:b/>
                <w:sz w:val="20"/>
                <w:szCs w:val="20"/>
              </w:rPr>
            </w:pPr>
            <w:r w:rsidRPr="00C114C7">
              <w:rPr>
                <w:rFonts w:ascii="Futura Std Condensed Light" w:eastAsia="Calibri" w:hAnsi="Futura Std Condensed Light" w:cs="Calibri"/>
                <w:b/>
                <w:sz w:val="20"/>
                <w:szCs w:val="20"/>
              </w:rPr>
              <w:t>2017</w:t>
            </w:r>
          </w:p>
        </w:tc>
        <w:tc>
          <w:tcPr>
            <w:tcW w:w="783" w:type="pct"/>
            <w:gridSpan w:val="2"/>
          </w:tcPr>
          <w:p w14:paraId="2990D087" w14:textId="77777777" w:rsidR="0021177B" w:rsidRPr="00C114C7" w:rsidRDefault="0021177B" w:rsidP="009E3B2F">
            <w:pPr>
              <w:spacing w:after="0" w:line="240" w:lineRule="auto"/>
              <w:jc w:val="center"/>
              <w:rPr>
                <w:rFonts w:ascii="Futura Std Condensed Light" w:eastAsia="Calibri" w:hAnsi="Futura Std Condensed Light" w:cs="Calibri"/>
                <w:b/>
                <w:sz w:val="20"/>
                <w:szCs w:val="20"/>
              </w:rPr>
            </w:pPr>
            <w:r w:rsidRPr="00C114C7">
              <w:rPr>
                <w:rFonts w:ascii="Futura Std Condensed Light" w:eastAsia="Calibri" w:hAnsi="Futura Std Condensed Light" w:cs="Calibri"/>
                <w:b/>
                <w:sz w:val="20"/>
                <w:szCs w:val="20"/>
              </w:rPr>
              <w:t>2018</w:t>
            </w:r>
          </w:p>
        </w:tc>
        <w:tc>
          <w:tcPr>
            <w:tcW w:w="904" w:type="pct"/>
            <w:gridSpan w:val="3"/>
          </w:tcPr>
          <w:p w14:paraId="339C9D9D" w14:textId="77777777" w:rsidR="0021177B" w:rsidRPr="00C114C7" w:rsidRDefault="0021177B" w:rsidP="009E3B2F">
            <w:pPr>
              <w:spacing w:after="0" w:line="240" w:lineRule="auto"/>
              <w:jc w:val="center"/>
              <w:rPr>
                <w:rFonts w:ascii="Futura Std Condensed Light" w:eastAsia="Calibri" w:hAnsi="Futura Std Condensed Light" w:cs="Calibri"/>
                <w:b/>
                <w:sz w:val="20"/>
                <w:szCs w:val="20"/>
              </w:rPr>
            </w:pPr>
            <w:r w:rsidRPr="00C114C7">
              <w:rPr>
                <w:rFonts w:ascii="Futura Std Condensed Light" w:eastAsia="Calibri" w:hAnsi="Futura Std Condensed Light" w:cs="Calibri"/>
                <w:b/>
                <w:sz w:val="20"/>
                <w:szCs w:val="20"/>
              </w:rPr>
              <w:t>2019</w:t>
            </w:r>
          </w:p>
        </w:tc>
        <w:tc>
          <w:tcPr>
            <w:tcW w:w="723" w:type="pct"/>
            <w:gridSpan w:val="2"/>
          </w:tcPr>
          <w:p w14:paraId="1A577052" w14:textId="77777777" w:rsidR="0021177B" w:rsidRPr="00C114C7" w:rsidRDefault="0021177B" w:rsidP="009E3B2F">
            <w:pPr>
              <w:spacing w:after="0" w:line="240" w:lineRule="auto"/>
              <w:jc w:val="center"/>
              <w:rPr>
                <w:rFonts w:ascii="Futura Std Condensed Light" w:eastAsia="Calibri" w:hAnsi="Futura Std Condensed Light" w:cs="Calibri"/>
                <w:b/>
                <w:sz w:val="20"/>
                <w:szCs w:val="20"/>
              </w:rPr>
            </w:pPr>
            <w:r w:rsidRPr="00C114C7">
              <w:rPr>
                <w:rFonts w:ascii="Futura Std Condensed Light" w:eastAsia="Calibri" w:hAnsi="Futura Std Condensed Light" w:cs="Calibri"/>
                <w:b/>
                <w:sz w:val="20"/>
                <w:szCs w:val="20"/>
              </w:rPr>
              <w:t>2020</w:t>
            </w:r>
          </w:p>
        </w:tc>
        <w:tc>
          <w:tcPr>
            <w:tcW w:w="963" w:type="pct"/>
            <w:gridSpan w:val="3"/>
          </w:tcPr>
          <w:p w14:paraId="277CBCED" w14:textId="77777777" w:rsidR="0021177B" w:rsidRPr="00C114C7" w:rsidRDefault="0021177B" w:rsidP="009E3B2F">
            <w:pPr>
              <w:spacing w:after="0" w:line="240" w:lineRule="auto"/>
              <w:jc w:val="center"/>
              <w:rPr>
                <w:rFonts w:ascii="Futura Std Condensed Light" w:eastAsia="Calibri" w:hAnsi="Futura Std Condensed Light" w:cs="Calibri"/>
                <w:b/>
                <w:sz w:val="20"/>
                <w:szCs w:val="20"/>
              </w:rPr>
            </w:pPr>
            <w:r w:rsidRPr="00C114C7">
              <w:rPr>
                <w:rFonts w:ascii="Futura Std Condensed Light" w:eastAsia="Calibri" w:hAnsi="Futura Std Condensed Light" w:cs="Calibri"/>
                <w:b/>
                <w:sz w:val="20"/>
                <w:szCs w:val="20"/>
              </w:rPr>
              <w:t>2021</w:t>
            </w:r>
          </w:p>
        </w:tc>
        <w:tc>
          <w:tcPr>
            <w:tcW w:w="846" w:type="pct"/>
          </w:tcPr>
          <w:p w14:paraId="7768A058" w14:textId="77777777" w:rsidR="0021177B" w:rsidRPr="00C114C7" w:rsidRDefault="0021177B" w:rsidP="009E3B2F">
            <w:pPr>
              <w:spacing w:after="0" w:line="240" w:lineRule="auto"/>
              <w:jc w:val="center"/>
              <w:rPr>
                <w:rFonts w:ascii="Futura Std Condensed Light" w:eastAsia="Calibri" w:hAnsi="Futura Std Condensed Light" w:cs="Calibri"/>
                <w:b/>
                <w:sz w:val="20"/>
                <w:szCs w:val="20"/>
              </w:rPr>
            </w:pPr>
            <w:r w:rsidRPr="00C114C7">
              <w:rPr>
                <w:rFonts w:ascii="Futura Std Condensed Light" w:eastAsia="Calibri" w:hAnsi="Futura Std Condensed Light" w:cs="Calibri"/>
                <w:b/>
                <w:sz w:val="20"/>
                <w:szCs w:val="20"/>
              </w:rPr>
              <w:t>2022</w:t>
            </w:r>
          </w:p>
        </w:tc>
      </w:tr>
      <w:tr w:rsidR="0021177B" w:rsidRPr="00C114C7" w14:paraId="4266BEB3" w14:textId="77777777" w:rsidTr="009E3B2F">
        <w:trPr>
          <w:trHeight w:val="484"/>
        </w:trPr>
        <w:tc>
          <w:tcPr>
            <w:tcW w:w="781" w:type="pct"/>
          </w:tcPr>
          <w:p w14:paraId="33533875" w14:textId="77777777" w:rsidR="0021177B" w:rsidRPr="00C114C7" w:rsidRDefault="0021177B" w:rsidP="009E3B2F">
            <w:pPr>
              <w:spacing w:after="0" w:line="240" w:lineRule="auto"/>
              <w:jc w:val="center"/>
              <w:rPr>
                <w:rFonts w:ascii="Futura Std Condensed Light" w:eastAsia="Calibri" w:hAnsi="Futura Std Condensed Light" w:cs="Calibri"/>
                <w:sz w:val="20"/>
                <w:szCs w:val="20"/>
              </w:rPr>
            </w:pPr>
            <w:r w:rsidRPr="00C114C7">
              <w:rPr>
                <w:rFonts w:ascii="Futura Std Condensed Light" w:eastAsia="Calibri" w:hAnsi="Futura Std Condensed Light" w:cs="Calibri"/>
                <w:sz w:val="20"/>
                <w:szCs w:val="20"/>
              </w:rPr>
              <w:t>28,000</w:t>
            </w:r>
          </w:p>
        </w:tc>
        <w:tc>
          <w:tcPr>
            <w:tcW w:w="783" w:type="pct"/>
            <w:gridSpan w:val="2"/>
          </w:tcPr>
          <w:p w14:paraId="1AA9B314" w14:textId="77777777" w:rsidR="0021177B" w:rsidRPr="00C114C7" w:rsidRDefault="0021177B" w:rsidP="009E3B2F">
            <w:pPr>
              <w:spacing w:after="0" w:line="240" w:lineRule="auto"/>
              <w:jc w:val="center"/>
              <w:rPr>
                <w:rFonts w:ascii="Futura Std Condensed Light" w:eastAsia="Calibri" w:hAnsi="Futura Std Condensed Light" w:cs="Calibri"/>
                <w:sz w:val="20"/>
                <w:szCs w:val="20"/>
              </w:rPr>
            </w:pPr>
            <w:r w:rsidRPr="00C114C7">
              <w:rPr>
                <w:rFonts w:ascii="Futura Std Condensed Light" w:eastAsia="Calibri" w:hAnsi="Futura Std Condensed Light" w:cs="Calibri"/>
                <w:sz w:val="20"/>
                <w:szCs w:val="20"/>
              </w:rPr>
              <w:t>28,300</w:t>
            </w:r>
          </w:p>
        </w:tc>
        <w:tc>
          <w:tcPr>
            <w:tcW w:w="904" w:type="pct"/>
            <w:gridSpan w:val="3"/>
          </w:tcPr>
          <w:p w14:paraId="7B47C02F" w14:textId="77777777" w:rsidR="0021177B" w:rsidRPr="00C114C7" w:rsidRDefault="0021177B" w:rsidP="009E3B2F">
            <w:pPr>
              <w:spacing w:after="0" w:line="240" w:lineRule="auto"/>
              <w:jc w:val="center"/>
              <w:rPr>
                <w:rFonts w:ascii="Futura Std Condensed Light" w:eastAsia="Calibri" w:hAnsi="Futura Std Condensed Light" w:cs="Calibri"/>
                <w:sz w:val="20"/>
                <w:szCs w:val="20"/>
              </w:rPr>
            </w:pPr>
            <w:r w:rsidRPr="00C114C7">
              <w:rPr>
                <w:rFonts w:ascii="Futura Std Condensed Light" w:eastAsia="Calibri" w:hAnsi="Futura Std Condensed Light" w:cs="Calibri"/>
                <w:sz w:val="20"/>
                <w:szCs w:val="20"/>
              </w:rPr>
              <w:t>28,600</w:t>
            </w:r>
          </w:p>
        </w:tc>
        <w:tc>
          <w:tcPr>
            <w:tcW w:w="723" w:type="pct"/>
            <w:gridSpan w:val="2"/>
          </w:tcPr>
          <w:p w14:paraId="0AA4B494" w14:textId="344387C5" w:rsidR="0021177B" w:rsidRPr="00C114C7" w:rsidRDefault="00EF7C18" w:rsidP="009E3B2F">
            <w:pPr>
              <w:spacing w:after="0" w:line="240" w:lineRule="auto"/>
              <w:jc w:val="center"/>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28,600</w:t>
            </w:r>
          </w:p>
        </w:tc>
        <w:tc>
          <w:tcPr>
            <w:tcW w:w="963" w:type="pct"/>
            <w:gridSpan w:val="3"/>
          </w:tcPr>
          <w:p w14:paraId="6BB03BA6" w14:textId="5D22A074" w:rsidR="0021177B" w:rsidRPr="00C114C7" w:rsidRDefault="00EF7C18" w:rsidP="009E3B2F">
            <w:pPr>
              <w:spacing w:after="0" w:line="240" w:lineRule="auto"/>
              <w:jc w:val="center"/>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30,000</w:t>
            </w:r>
          </w:p>
        </w:tc>
        <w:tc>
          <w:tcPr>
            <w:tcW w:w="846" w:type="pct"/>
          </w:tcPr>
          <w:p w14:paraId="2272DAEC" w14:textId="77777777" w:rsidR="0021177B" w:rsidRDefault="00EF7C18" w:rsidP="009E3B2F">
            <w:pPr>
              <w:spacing w:after="0" w:line="240" w:lineRule="auto"/>
              <w:jc w:val="center"/>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33,000</w:t>
            </w:r>
          </w:p>
          <w:p w14:paraId="62ED3DBF" w14:textId="7434A38A" w:rsidR="00A554C1" w:rsidRPr="00C114C7" w:rsidRDefault="00A554C1" w:rsidP="009E3B2F">
            <w:pPr>
              <w:spacing w:after="0" w:line="240" w:lineRule="auto"/>
              <w:jc w:val="center"/>
              <w:rPr>
                <w:rFonts w:ascii="Futura Std Condensed Light" w:eastAsia="Calibri" w:hAnsi="Futura Std Condensed Light" w:cs="Calibri"/>
                <w:sz w:val="20"/>
                <w:szCs w:val="20"/>
              </w:rPr>
            </w:pPr>
          </w:p>
        </w:tc>
      </w:tr>
    </w:tbl>
    <w:p w14:paraId="716F6461" w14:textId="77777777" w:rsidR="00E05363" w:rsidRDefault="00E05363" w:rsidP="0021177B">
      <w:pPr>
        <w:jc w:val="center"/>
        <w:rPr>
          <w:rFonts w:eastAsia="Arial" w:cs="Times New Roman"/>
          <w:b/>
          <w:color w:val="4BACC6" w:themeColor="accent5"/>
        </w:rPr>
      </w:pPr>
    </w:p>
    <w:p w14:paraId="6F5A1C49" w14:textId="77777777" w:rsidR="00E05363" w:rsidRDefault="00E05363">
      <w:pPr>
        <w:spacing w:after="0" w:line="240" w:lineRule="auto"/>
        <w:jc w:val="left"/>
        <w:rPr>
          <w:rFonts w:eastAsia="Arial" w:cs="Times New Roman"/>
          <w:b/>
          <w:color w:val="4BACC6" w:themeColor="accent5"/>
        </w:rPr>
      </w:pPr>
      <w:r>
        <w:rPr>
          <w:rFonts w:eastAsia="Arial" w:cs="Times New Roman"/>
          <w:b/>
          <w:color w:val="4BACC6" w:themeColor="accent5"/>
        </w:rPr>
        <w:br w:type="page"/>
      </w:r>
    </w:p>
    <w:p w14:paraId="19F9ECDE" w14:textId="596AC024" w:rsidR="0021177B" w:rsidRDefault="00FA0940" w:rsidP="0021177B">
      <w:pPr>
        <w:jc w:val="center"/>
      </w:pPr>
      <w:r>
        <w:rPr>
          <w:rFonts w:eastAsia="Arial" w:cs="Times New Roman"/>
          <w:b/>
          <w:color w:val="4BACC6" w:themeColor="accent5"/>
        </w:rPr>
        <w:lastRenderedPageBreak/>
        <w:t>Cuadro 37</w:t>
      </w:r>
      <w:r w:rsidR="0021177B">
        <w:rPr>
          <w:rFonts w:eastAsia="Arial" w:cs="Times New Roman"/>
          <w:b/>
          <w:color w:val="4BACC6" w:themeColor="accent5"/>
        </w:rPr>
        <w:t>. Entregable y meta de la línea de acción 10 del PED</w:t>
      </w:r>
    </w:p>
    <w:tbl>
      <w:tblPr>
        <w:tblStyle w:val="Tablaconcuadrcula"/>
        <w:tblW w:w="5000" w:type="pct"/>
        <w:tblLook w:val="04A0" w:firstRow="1" w:lastRow="0" w:firstColumn="1" w:lastColumn="0" w:noHBand="0" w:noVBand="1"/>
      </w:tblPr>
      <w:tblGrid>
        <w:gridCol w:w="1490"/>
        <w:gridCol w:w="814"/>
        <w:gridCol w:w="679"/>
        <w:gridCol w:w="462"/>
        <w:gridCol w:w="687"/>
        <w:gridCol w:w="576"/>
        <w:gridCol w:w="462"/>
        <w:gridCol w:w="917"/>
        <w:gridCol w:w="692"/>
        <w:gridCol w:w="1144"/>
        <w:gridCol w:w="1614"/>
      </w:tblGrid>
      <w:tr w:rsidR="0086391F" w:rsidRPr="008835BC" w14:paraId="1900770A" w14:textId="77777777" w:rsidTr="008835BC">
        <w:trPr>
          <w:trHeight w:val="182"/>
        </w:trPr>
        <w:tc>
          <w:tcPr>
            <w:tcW w:w="1806" w:type="pct"/>
            <w:gridSpan w:val="4"/>
            <w:shd w:val="clear" w:color="auto" w:fill="A6A6A6" w:themeFill="background1" w:themeFillShade="A6"/>
          </w:tcPr>
          <w:p w14:paraId="2400C3DC" w14:textId="77777777" w:rsidR="0021177B" w:rsidRPr="008835BC" w:rsidRDefault="0021177B" w:rsidP="009E3B2F">
            <w:pPr>
              <w:spacing w:after="0" w:line="240" w:lineRule="auto"/>
              <w:jc w:val="center"/>
              <w:rPr>
                <w:rFonts w:ascii="Futura Std Condensed Light" w:eastAsia="Calibri" w:hAnsi="Futura Std Condensed Light" w:cs="Calibri"/>
                <w:color w:val="auto"/>
                <w:sz w:val="20"/>
                <w:szCs w:val="20"/>
              </w:rPr>
            </w:pPr>
            <w:r w:rsidRPr="008835BC">
              <w:rPr>
                <w:rFonts w:ascii="Futura Std Condensed Light" w:eastAsia="Calibri" w:hAnsi="Futura Std Condensed Light" w:cs="Calibri"/>
                <w:color w:val="auto"/>
                <w:sz w:val="20"/>
                <w:szCs w:val="20"/>
              </w:rPr>
              <w:t>Programa PED</w:t>
            </w:r>
          </w:p>
        </w:tc>
        <w:tc>
          <w:tcPr>
            <w:tcW w:w="3194" w:type="pct"/>
            <w:gridSpan w:val="7"/>
            <w:shd w:val="clear" w:color="auto" w:fill="A6A6A6" w:themeFill="background1" w:themeFillShade="A6"/>
          </w:tcPr>
          <w:p w14:paraId="4C66A623" w14:textId="77777777" w:rsidR="0021177B" w:rsidRPr="008835BC" w:rsidRDefault="0021177B" w:rsidP="009E3B2F">
            <w:pPr>
              <w:spacing w:after="0" w:line="240" w:lineRule="auto"/>
              <w:jc w:val="center"/>
              <w:rPr>
                <w:rFonts w:ascii="Futura Std Condensed Light" w:eastAsia="Calibri" w:hAnsi="Futura Std Condensed Light" w:cs="Calibri"/>
                <w:color w:val="auto"/>
                <w:sz w:val="20"/>
                <w:szCs w:val="20"/>
              </w:rPr>
            </w:pPr>
            <w:r w:rsidRPr="008835BC">
              <w:rPr>
                <w:rFonts w:ascii="Futura Std Condensed Light" w:eastAsia="Calibri" w:hAnsi="Futura Std Condensed Light" w:cs="Calibri"/>
                <w:color w:val="auto"/>
                <w:sz w:val="20"/>
                <w:szCs w:val="20"/>
              </w:rPr>
              <w:t>Programa Sectorial Educación Pública de Calidad</w:t>
            </w:r>
          </w:p>
        </w:tc>
      </w:tr>
      <w:tr w:rsidR="0021177B" w:rsidRPr="00D12127" w14:paraId="27ED18FC" w14:textId="77777777" w:rsidTr="009E3B2F">
        <w:trPr>
          <w:trHeight w:val="469"/>
        </w:trPr>
        <w:tc>
          <w:tcPr>
            <w:tcW w:w="1806" w:type="pct"/>
            <w:gridSpan w:val="4"/>
          </w:tcPr>
          <w:p w14:paraId="41E38ACE" w14:textId="77777777" w:rsidR="0021177B" w:rsidRPr="00825400" w:rsidRDefault="0021177B" w:rsidP="009E3B2F">
            <w:pPr>
              <w:spacing w:after="0" w:line="240" w:lineRule="auto"/>
              <w:jc w:val="center"/>
              <w:rPr>
                <w:rFonts w:ascii="Futura Std Condensed Light" w:eastAsia="Calibri" w:hAnsi="Futura Std Condensed Light" w:cs="Calibri"/>
                <w:b/>
                <w:sz w:val="20"/>
                <w:szCs w:val="20"/>
              </w:rPr>
            </w:pPr>
            <w:r w:rsidRPr="00825400">
              <w:rPr>
                <w:rFonts w:ascii="Futura Std Condensed Light" w:eastAsia="Calibri" w:hAnsi="Futura Std Condensed Light" w:cs="Calibri"/>
                <w:b/>
                <w:sz w:val="20"/>
                <w:szCs w:val="20"/>
              </w:rPr>
              <w:t>Línea de acción:</w:t>
            </w:r>
          </w:p>
        </w:tc>
        <w:tc>
          <w:tcPr>
            <w:tcW w:w="3194" w:type="pct"/>
            <w:gridSpan w:val="7"/>
          </w:tcPr>
          <w:p w14:paraId="5150E850" w14:textId="77777777" w:rsidR="0021177B" w:rsidRPr="00697C76" w:rsidRDefault="0021177B" w:rsidP="009E3B2F">
            <w:pPr>
              <w:spacing w:after="0" w:line="240" w:lineRule="auto"/>
              <w:jc w:val="center"/>
              <w:rPr>
                <w:rFonts w:ascii="Futura Std Condensed Light" w:eastAsia="Calibri" w:hAnsi="Futura Std Condensed Light" w:cs="Calibri"/>
                <w:sz w:val="20"/>
                <w:szCs w:val="20"/>
              </w:rPr>
            </w:pPr>
            <w:r w:rsidRPr="00697C76">
              <w:rPr>
                <w:rFonts w:ascii="Futura Std Condensed Light" w:eastAsia="Calibri" w:hAnsi="Futura Std Condensed Light" w:cs="Calibri"/>
                <w:sz w:val="20"/>
                <w:szCs w:val="20"/>
              </w:rPr>
              <w:t xml:space="preserve">10.  Implementar un programa de fortalecimiento de la cultura y lengua maya en las escuelas de todos los niveles educativos. </w:t>
            </w:r>
          </w:p>
        </w:tc>
      </w:tr>
      <w:tr w:rsidR="0021177B" w:rsidRPr="00D12127" w14:paraId="25CB8E18" w14:textId="77777777" w:rsidTr="009E3B2F">
        <w:trPr>
          <w:trHeight w:val="484"/>
        </w:trPr>
        <w:tc>
          <w:tcPr>
            <w:tcW w:w="1806" w:type="pct"/>
            <w:gridSpan w:val="4"/>
          </w:tcPr>
          <w:p w14:paraId="4DE43FCE" w14:textId="77777777" w:rsidR="0021177B" w:rsidRPr="00825400" w:rsidRDefault="0021177B" w:rsidP="009E3B2F">
            <w:pPr>
              <w:spacing w:after="0" w:line="240" w:lineRule="auto"/>
              <w:jc w:val="center"/>
              <w:rPr>
                <w:rFonts w:ascii="Futura Std Condensed Light" w:eastAsia="Calibri" w:hAnsi="Futura Std Condensed Light" w:cs="Calibri"/>
                <w:b/>
                <w:sz w:val="20"/>
                <w:szCs w:val="20"/>
              </w:rPr>
            </w:pPr>
            <w:r w:rsidRPr="00825400">
              <w:rPr>
                <w:rFonts w:ascii="Futura Std Condensed Light" w:eastAsia="Calibri" w:hAnsi="Futura Std Condensed Light" w:cs="Calibri"/>
                <w:b/>
                <w:sz w:val="20"/>
                <w:szCs w:val="20"/>
              </w:rPr>
              <w:t>Plan Estratégico Objetivo Especifico</w:t>
            </w:r>
          </w:p>
        </w:tc>
        <w:tc>
          <w:tcPr>
            <w:tcW w:w="3194" w:type="pct"/>
            <w:gridSpan w:val="7"/>
          </w:tcPr>
          <w:p w14:paraId="4870ADE2" w14:textId="77777777" w:rsidR="0021177B" w:rsidRPr="00697C76" w:rsidRDefault="0021177B" w:rsidP="009E3B2F">
            <w:pPr>
              <w:spacing w:after="0" w:line="240" w:lineRule="auto"/>
              <w:jc w:val="center"/>
              <w:rPr>
                <w:rFonts w:ascii="Futura Std Condensed Light" w:eastAsia="Calibri" w:hAnsi="Futura Std Condensed Light" w:cs="Calibri"/>
                <w:sz w:val="20"/>
                <w:szCs w:val="20"/>
              </w:rPr>
            </w:pPr>
            <w:r w:rsidRPr="00697C76">
              <w:rPr>
                <w:rFonts w:ascii="Futura Std Condensed Light" w:eastAsia="Calibri" w:hAnsi="Futura Std Condensed Light" w:cs="Calibri"/>
                <w:sz w:val="20"/>
                <w:szCs w:val="20"/>
              </w:rPr>
              <w:t>Disminuir la desigualdad en sus diversas formas </w:t>
            </w:r>
          </w:p>
        </w:tc>
      </w:tr>
      <w:tr w:rsidR="0021177B" w:rsidRPr="00D12127" w14:paraId="4EE231AC" w14:textId="77777777" w:rsidTr="009E3B2F">
        <w:trPr>
          <w:trHeight w:val="484"/>
        </w:trPr>
        <w:tc>
          <w:tcPr>
            <w:tcW w:w="1208" w:type="pct"/>
            <w:gridSpan w:val="2"/>
          </w:tcPr>
          <w:p w14:paraId="0D170424" w14:textId="77777777" w:rsidR="0021177B" w:rsidRPr="00825400" w:rsidRDefault="0021177B" w:rsidP="009E3B2F">
            <w:pPr>
              <w:spacing w:after="0" w:line="240" w:lineRule="auto"/>
              <w:jc w:val="center"/>
              <w:rPr>
                <w:rFonts w:ascii="Futura Std Condensed Light" w:eastAsia="Calibri" w:hAnsi="Futura Std Condensed Light" w:cs="Calibri"/>
                <w:b/>
                <w:sz w:val="20"/>
                <w:szCs w:val="20"/>
              </w:rPr>
            </w:pPr>
            <w:r w:rsidRPr="00825400">
              <w:rPr>
                <w:rFonts w:ascii="Futura Std Condensed Light" w:eastAsia="Calibri" w:hAnsi="Futura Std Condensed Light" w:cs="Calibri"/>
                <w:b/>
                <w:sz w:val="20"/>
                <w:szCs w:val="20"/>
              </w:rPr>
              <w:t>Entregable:</w:t>
            </w:r>
          </w:p>
        </w:tc>
        <w:tc>
          <w:tcPr>
            <w:tcW w:w="958" w:type="pct"/>
            <w:gridSpan w:val="3"/>
          </w:tcPr>
          <w:p w14:paraId="47068F40" w14:textId="77777777" w:rsidR="0021177B" w:rsidRPr="00697C76" w:rsidRDefault="0021177B" w:rsidP="009E3B2F">
            <w:pPr>
              <w:spacing w:after="0" w:line="240" w:lineRule="auto"/>
              <w:jc w:val="center"/>
              <w:rPr>
                <w:rFonts w:ascii="Futura Std Condensed Light" w:eastAsia="Calibri" w:hAnsi="Futura Std Condensed Light" w:cs="Calibri"/>
                <w:sz w:val="20"/>
                <w:szCs w:val="20"/>
              </w:rPr>
            </w:pPr>
            <w:r w:rsidRPr="00697C76">
              <w:rPr>
                <w:rFonts w:ascii="Futura Std Condensed Light" w:eastAsia="Calibri" w:hAnsi="Futura Std Condensed Light" w:cs="Calibri"/>
                <w:sz w:val="20"/>
                <w:szCs w:val="20"/>
              </w:rPr>
              <w:t>Programa para el fortalecimiento de la cultura y lengua maya.</w:t>
            </w:r>
          </w:p>
        </w:tc>
        <w:tc>
          <w:tcPr>
            <w:tcW w:w="1386" w:type="pct"/>
            <w:gridSpan w:val="4"/>
          </w:tcPr>
          <w:p w14:paraId="61B2709A" w14:textId="77777777" w:rsidR="0021177B" w:rsidRPr="00825400" w:rsidRDefault="0021177B" w:rsidP="009E3B2F">
            <w:pPr>
              <w:spacing w:after="0" w:line="240" w:lineRule="auto"/>
              <w:jc w:val="center"/>
              <w:rPr>
                <w:rFonts w:ascii="Futura Std Condensed Light" w:eastAsia="Calibri" w:hAnsi="Futura Std Condensed Light" w:cs="Calibri"/>
                <w:b/>
                <w:sz w:val="20"/>
                <w:szCs w:val="20"/>
              </w:rPr>
            </w:pPr>
            <w:r w:rsidRPr="00825400">
              <w:rPr>
                <w:rFonts w:ascii="Futura Std Condensed Light" w:eastAsia="Calibri" w:hAnsi="Futura Std Condensed Light" w:cs="Calibri"/>
                <w:b/>
                <w:sz w:val="20"/>
                <w:szCs w:val="20"/>
              </w:rPr>
              <w:t>Unidad de Medida:</w:t>
            </w:r>
          </w:p>
        </w:tc>
        <w:tc>
          <w:tcPr>
            <w:tcW w:w="1447" w:type="pct"/>
            <w:gridSpan w:val="2"/>
          </w:tcPr>
          <w:p w14:paraId="1596A26F" w14:textId="77777777" w:rsidR="0021177B" w:rsidRPr="00697C76" w:rsidRDefault="0021177B" w:rsidP="009E3B2F">
            <w:pPr>
              <w:spacing w:after="0" w:line="240" w:lineRule="auto"/>
              <w:jc w:val="center"/>
              <w:rPr>
                <w:rFonts w:ascii="Futura Std Condensed Light" w:eastAsia="Calibri" w:hAnsi="Futura Std Condensed Light" w:cs="Calibri"/>
                <w:sz w:val="20"/>
                <w:szCs w:val="20"/>
              </w:rPr>
            </w:pPr>
            <w:r w:rsidRPr="00697C76">
              <w:rPr>
                <w:rFonts w:ascii="Futura Std Condensed Light" w:eastAsia="Calibri" w:hAnsi="Futura Std Condensed Light" w:cs="Calibri"/>
                <w:sz w:val="20"/>
                <w:szCs w:val="20"/>
              </w:rPr>
              <w:t>Matrícula  de Alumnos atendidos en escuelas de educación indígena.</w:t>
            </w:r>
          </w:p>
        </w:tc>
      </w:tr>
      <w:tr w:rsidR="0021177B" w:rsidRPr="00D12127" w14:paraId="6A5B27AC" w14:textId="77777777" w:rsidTr="009E3B2F">
        <w:trPr>
          <w:trHeight w:val="449"/>
        </w:trPr>
        <w:tc>
          <w:tcPr>
            <w:tcW w:w="1208" w:type="pct"/>
            <w:gridSpan w:val="2"/>
          </w:tcPr>
          <w:p w14:paraId="569879E9" w14:textId="77777777" w:rsidR="0021177B" w:rsidRPr="00825400" w:rsidRDefault="0021177B" w:rsidP="009E3B2F">
            <w:pPr>
              <w:spacing w:after="0" w:line="240" w:lineRule="auto"/>
              <w:jc w:val="center"/>
              <w:rPr>
                <w:rFonts w:ascii="Futura Std Condensed Light" w:eastAsia="Calibri" w:hAnsi="Futura Std Condensed Light" w:cs="Calibri"/>
                <w:b/>
                <w:sz w:val="20"/>
                <w:szCs w:val="20"/>
              </w:rPr>
            </w:pPr>
            <w:r w:rsidRPr="00825400">
              <w:rPr>
                <w:rFonts w:ascii="Futura Std Condensed Light" w:eastAsia="Calibri" w:hAnsi="Futura Std Condensed Light" w:cs="Calibri"/>
                <w:b/>
                <w:sz w:val="20"/>
                <w:szCs w:val="20"/>
              </w:rPr>
              <w:t>Descripción:</w:t>
            </w:r>
          </w:p>
        </w:tc>
        <w:tc>
          <w:tcPr>
            <w:tcW w:w="3792" w:type="pct"/>
            <w:gridSpan w:val="9"/>
          </w:tcPr>
          <w:p w14:paraId="3289C519" w14:textId="77777777" w:rsidR="0021177B" w:rsidRPr="00697C76" w:rsidRDefault="0021177B" w:rsidP="009E3B2F">
            <w:pPr>
              <w:spacing w:after="0" w:line="240" w:lineRule="auto"/>
              <w:jc w:val="center"/>
              <w:rPr>
                <w:rFonts w:ascii="Futura Std Condensed Light" w:eastAsia="Calibri" w:hAnsi="Futura Std Condensed Light" w:cs="Calibri"/>
                <w:sz w:val="20"/>
                <w:szCs w:val="20"/>
              </w:rPr>
            </w:pPr>
            <w:r w:rsidRPr="00697C76">
              <w:rPr>
                <w:rFonts w:ascii="Futura Std Condensed Light" w:eastAsia="Calibri" w:hAnsi="Futura Std Condensed Light" w:cs="Calibri"/>
                <w:sz w:val="20"/>
                <w:szCs w:val="20"/>
              </w:rPr>
              <w:t>Promover un programa educativo donde el  alumnado inscrito en las escuelas primaria y preescolar bilingüe del estado, reciban educación de acuerdo a su contexto social, lingüístico y cultural en las comunidades de la zona maya.</w:t>
            </w:r>
          </w:p>
        </w:tc>
      </w:tr>
      <w:tr w:rsidR="0021177B" w:rsidRPr="00D12127" w14:paraId="5D480720" w14:textId="77777777" w:rsidTr="009E3B2F">
        <w:trPr>
          <w:trHeight w:val="484"/>
        </w:trPr>
        <w:tc>
          <w:tcPr>
            <w:tcW w:w="1806" w:type="pct"/>
            <w:gridSpan w:val="4"/>
          </w:tcPr>
          <w:p w14:paraId="460DD849" w14:textId="77777777" w:rsidR="0021177B" w:rsidRPr="00825400" w:rsidRDefault="0021177B" w:rsidP="009E3B2F">
            <w:pPr>
              <w:spacing w:after="0" w:line="240" w:lineRule="auto"/>
              <w:jc w:val="center"/>
              <w:rPr>
                <w:rFonts w:ascii="Futura Std Condensed Light" w:eastAsia="Calibri" w:hAnsi="Futura Std Condensed Light" w:cs="Calibri"/>
                <w:b/>
                <w:sz w:val="20"/>
                <w:szCs w:val="20"/>
              </w:rPr>
            </w:pPr>
            <w:r w:rsidRPr="00825400">
              <w:rPr>
                <w:rFonts w:ascii="Futura Std Condensed Light" w:eastAsia="Calibri" w:hAnsi="Futura Std Condensed Light" w:cs="Calibri"/>
                <w:b/>
                <w:sz w:val="20"/>
                <w:szCs w:val="20"/>
              </w:rPr>
              <w:t>Medio de verificación:</w:t>
            </w:r>
          </w:p>
        </w:tc>
        <w:tc>
          <w:tcPr>
            <w:tcW w:w="3194" w:type="pct"/>
            <w:gridSpan w:val="7"/>
          </w:tcPr>
          <w:p w14:paraId="1C2F4A74" w14:textId="77777777" w:rsidR="0021177B" w:rsidRPr="00825400" w:rsidRDefault="0021177B" w:rsidP="009E3B2F">
            <w:pPr>
              <w:spacing w:after="0" w:line="240" w:lineRule="auto"/>
              <w:jc w:val="center"/>
              <w:rPr>
                <w:rFonts w:ascii="Futura Std Condensed Light" w:eastAsia="Calibri" w:hAnsi="Futura Std Condensed Light" w:cs="Calibri"/>
                <w:sz w:val="20"/>
                <w:szCs w:val="20"/>
              </w:rPr>
            </w:pPr>
            <w:r w:rsidRPr="00825400">
              <w:rPr>
                <w:rFonts w:ascii="Futura Std Condensed Light" w:eastAsia="Calibri" w:hAnsi="Futura Std Condensed Light" w:cs="Calibri"/>
                <w:sz w:val="20"/>
                <w:szCs w:val="20"/>
              </w:rPr>
              <w:t>Estadísticas 911, Dirección de Planeación</w:t>
            </w:r>
          </w:p>
        </w:tc>
      </w:tr>
      <w:tr w:rsidR="0021177B" w:rsidRPr="00D12127" w14:paraId="08E853EA" w14:textId="77777777" w:rsidTr="009E3B2F">
        <w:trPr>
          <w:trHeight w:val="484"/>
        </w:trPr>
        <w:tc>
          <w:tcPr>
            <w:tcW w:w="1806" w:type="pct"/>
            <w:gridSpan w:val="4"/>
          </w:tcPr>
          <w:p w14:paraId="2F463F4D" w14:textId="77777777" w:rsidR="0021177B" w:rsidRPr="00825400" w:rsidRDefault="0021177B" w:rsidP="009E3B2F">
            <w:pPr>
              <w:spacing w:after="0" w:line="240" w:lineRule="auto"/>
              <w:jc w:val="center"/>
              <w:rPr>
                <w:rFonts w:ascii="Futura Std Condensed Light" w:eastAsia="Calibri" w:hAnsi="Futura Std Condensed Light" w:cs="Calibri"/>
                <w:b/>
                <w:sz w:val="20"/>
                <w:szCs w:val="20"/>
              </w:rPr>
            </w:pPr>
            <w:r w:rsidRPr="00825400">
              <w:rPr>
                <w:rFonts w:ascii="Futura Std Condensed Light" w:eastAsia="Calibri" w:hAnsi="Futura Std Condensed Light" w:cs="Calibri"/>
                <w:b/>
                <w:sz w:val="20"/>
                <w:szCs w:val="20"/>
              </w:rPr>
              <w:t>Línea base:</w:t>
            </w:r>
          </w:p>
        </w:tc>
        <w:tc>
          <w:tcPr>
            <w:tcW w:w="904" w:type="pct"/>
            <w:gridSpan w:val="3"/>
          </w:tcPr>
          <w:p w14:paraId="34F73D4C" w14:textId="77777777" w:rsidR="0021177B" w:rsidRPr="00697C76" w:rsidRDefault="0021177B" w:rsidP="009E3B2F">
            <w:pPr>
              <w:spacing w:after="0" w:line="240" w:lineRule="auto"/>
              <w:jc w:val="center"/>
              <w:rPr>
                <w:rFonts w:ascii="Futura Std Condensed Light" w:eastAsia="Calibri" w:hAnsi="Futura Std Condensed Light" w:cs="Calibri"/>
                <w:sz w:val="20"/>
                <w:szCs w:val="20"/>
              </w:rPr>
            </w:pPr>
            <w:r w:rsidRPr="00697C76">
              <w:rPr>
                <w:rFonts w:ascii="Futura Std Condensed Light" w:eastAsia="Calibri" w:hAnsi="Futura Std Condensed Light" w:cs="Calibri"/>
                <w:sz w:val="20"/>
                <w:szCs w:val="20"/>
              </w:rPr>
              <w:t>7,948</w:t>
            </w:r>
          </w:p>
        </w:tc>
        <w:tc>
          <w:tcPr>
            <w:tcW w:w="844" w:type="pct"/>
            <w:gridSpan w:val="2"/>
          </w:tcPr>
          <w:p w14:paraId="0BF75BAA" w14:textId="77777777" w:rsidR="0021177B" w:rsidRPr="00825400" w:rsidRDefault="0021177B" w:rsidP="009E3B2F">
            <w:pPr>
              <w:spacing w:after="0" w:line="240" w:lineRule="auto"/>
              <w:jc w:val="center"/>
              <w:rPr>
                <w:rFonts w:ascii="Futura Std Condensed Light" w:eastAsia="Calibri" w:hAnsi="Futura Std Condensed Light" w:cs="Calibri"/>
                <w:b/>
                <w:sz w:val="20"/>
                <w:szCs w:val="20"/>
              </w:rPr>
            </w:pPr>
            <w:r w:rsidRPr="00825400">
              <w:rPr>
                <w:rFonts w:ascii="Futura Std Condensed Light" w:eastAsia="Calibri" w:hAnsi="Futura Std Condensed Light" w:cs="Calibri"/>
                <w:b/>
                <w:sz w:val="20"/>
                <w:szCs w:val="20"/>
              </w:rPr>
              <w:t>Año de línea base:</w:t>
            </w:r>
          </w:p>
        </w:tc>
        <w:tc>
          <w:tcPr>
            <w:tcW w:w="1447" w:type="pct"/>
            <w:gridSpan w:val="2"/>
          </w:tcPr>
          <w:p w14:paraId="2B842E13" w14:textId="77777777" w:rsidR="0021177B" w:rsidRPr="00697C76" w:rsidRDefault="0021177B" w:rsidP="009E3B2F">
            <w:pPr>
              <w:spacing w:after="0" w:line="240" w:lineRule="auto"/>
              <w:jc w:val="center"/>
              <w:rPr>
                <w:rFonts w:ascii="Futura Std Condensed Light" w:eastAsia="Calibri" w:hAnsi="Futura Std Condensed Light" w:cs="Calibri"/>
                <w:sz w:val="20"/>
                <w:szCs w:val="20"/>
              </w:rPr>
            </w:pPr>
            <w:r w:rsidRPr="00697C76">
              <w:rPr>
                <w:rFonts w:ascii="Futura Std Condensed Light" w:eastAsia="Calibri" w:hAnsi="Futura Std Condensed Light" w:cs="Calibri"/>
                <w:sz w:val="20"/>
                <w:szCs w:val="20"/>
              </w:rPr>
              <w:t>2016</w:t>
            </w:r>
          </w:p>
        </w:tc>
      </w:tr>
      <w:tr w:rsidR="0021177B" w:rsidRPr="00D12127" w14:paraId="3C469EF1" w14:textId="77777777" w:rsidTr="009E3B2F">
        <w:trPr>
          <w:trHeight w:val="484"/>
        </w:trPr>
        <w:tc>
          <w:tcPr>
            <w:tcW w:w="1806" w:type="pct"/>
            <w:gridSpan w:val="4"/>
          </w:tcPr>
          <w:p w14:paraId="53E7F6A6" w14:textId="77777777" w:rsidR="0021177B" w:rsidRPr="00825400" w:rsidRDefault="0021177B" w:rsidP="009E3B2F">
            <w:pPr>
              <w:spacing w:after="0" w:line="240" w:lineRule="auto"/>
              <w:jc w:val="center"/>
              <w:rPr>
                <w:rFonts w:ascii="Futura Std Condensed Light" w:eastAsia="Calibri" w:hAnsi="Futura Std Condensed Light" w:cs="Calibri"/>
                <w:b/>
                <w:sz w:val="20"/>
                <w:szCs w:val="20"/>
              </w:rPr>
            </w:pPr>
            <w:r w:rsidRPr="00825400">
              <w:rPr>
                <w:rFonts w:ascii="Futura Std Condensed Light" w:eastAsia="Calibri" w:hAnsi="Futura Std Condensed Light" w:cs="Calibri"/>
                <w:b/>
                <w:sz w:val="20"/>
                <w:szCs w:val="20"/>
              </w:rPr>
              <w:t>Contribución Directa al Objetivo de la Agenda 2030</w:t>
            </w:r>
          </w:p>
        </w:tc>
        <w:tc>
          <w:tcPr>
            <w:tcW w:w="3194" w:type="pct"/>
            <w:gridSpan w:val="7"/>
          </w:tcPr>
          <w:p w14:paraId="04EE1274" w14:textId="77777777" w:rsidR="0021177B" w:rsidRPr="00697C76" w:rsidRDefault="0021177B" w:rsidP="009E3B2F">
            <w:pPr>
              <w:spacing w:after="0" w:line="240" w:lineRule="auto"/>
              <w:jc w:val="center"/>
              <w:rPr>
                <w:rFonts w:ascii="Futura Std Condensed Light" w:eastAsia="Calibri" w:hAnsi="Futura Std Condensed Light" w:cs="Calibri"/>
                <w:sz w:val="20"/>
                <w:szCs w:val="20"/>
              </w:rPr>
            </w:pPr>
            <w:r w:rsidRPr="00697C76">
              <w:rPr>
                <w:rFonts w:ascii="Futura Std Condensed Light" w:eastAsia="Calibri" w:hAnsi="Futura Std Condensed Light" w:cs="Calibri"/>
                <w:sz w:val="20"/>
                <w:szCs w:val="20"/>
              </w:rPr>
              <w:t>Garantizar una educación inclusiva, equitativa y de calidad y promover oportunidades de aprendizaje durante toda la vida para todos</w:t>
            </w:r>
          </w:p>
        </w:tc>
      </w:tr>
      <w:tr w:rsidR="0021177B" w:rsidRPr="00D12127" w14:paraId="09CCF7DD" w14:textId="77777777" w:rsidTr="009E3B2F">
        <w:trPr>
          <w:trHeight w:val="484"/>
        </w:trPr>
        <w:tc>
          <w:tcPr>
            <w:tcW w:w="1806" w:type="pct"/>
            <w:gridSpan w:val="4"/>
          </w:tcPr>
          <w:p w14:paraId="7C4C633B" w14:textId="77777777" w:rsidR="0021177B" w:rsidRPr="00825400" w:rsidRDefault="0021177B" w:rsidP="009E3B2F">
            <w:pPr>
              <w:spacing w:after="0" w:line="240" w:lineRule="auto"/>
              <w:jc w:val="center"/>
              <w:rPr>
                <w:rFonts w:ascii="Futura Std Condensed Light" w:eastAsia="Calibri" w:hAnsi="Futura Std Condensed Light" w:cs="Calibri"/>
                <w:b/>
                <w:sz w:val="20"/>
                <w:szCs w:val="20"/>
              </w:rPr>
            </w:pPr>
            <w:r w:rsidRPr="00825400">
              <w:rPr>
                <w:rFonts w:ascii="Futura Std Condensed Light" w:eastAsia="Calibri" w:hAnsi="Futura Std Condensed Light" w:cs="Calibri"/>
                <w:b/>
                <w:sz w:val="20"/>
                <w:szCs w:val="20"/>
              </w:rPr>
              <w:t>Contribución Directa  a la Meta de la Agenda 2030</w:t>
            </w:r>
          </w:p>
        </w:tc>
        <w:tc>
          <w:tcPr>
            <w:tcW w:w="3194" w:type="pct"/>
            <w:gridSpan w:val="7"/>
          </w:tcPr>
          <w:p w14:paraId="1987CCEA" w14:textId="77777777" w:rsidR="0021177B" w:rsidRPr="00697C76" w:rsidRDefault="0021177B" w:rsidP="009E3B2F">
            <w:pPr>
              <w:spacing w:after="0" w:line="240" w:lineRule="auto"/>
              <w:jc w:val="center"/>
              <w:rPr>
                <w:rFonts w:ascii="Futura Std Condensed Light" w:eastAsia="Calibri" w:hAnsi="Futura Std Condensed Light" w:cs="Calibri"/>
                <w:sz w:val="20"/>
                <w:szCs w:val="20"/>
              </w:rPr>
            </w:pPr>
            <w:r w:rsidRPr="00697C76">
              <w:rPr>
                <w:rFonts w:ascii="Futura Std Condensed Light" w:eastAsia="Calibri" w:hAnsi="Futura Std Condensed Light" w:cs="Calibri"/>
                <w:sz w:val="20"/>
                <w:szCs w:val="20"/>
              </w:rPr>
              <w:t>De aquí a 2030, eliminar las disparidades de género en la educación y asegurar el acceso igualitario a todos los niveles de la enseñanza y la formación profesional para las personas vulnerables, incluidas las personas con discapacidad, los pueblos indígenas y los niños en situaciones de vulnerabilidad.</w:t>
            </w:r>
          </w:p>
        </w:tc>
      </w:tr>
      <w:tr w:rsidR="0021177B" w:rsidRPr="00D12127" w14:paraId="71C43D48" w14:textId="77777777" w:rsidTr="009E3B2F">
        <w:trPr>
          <w:trHeight w:val="484"/>
        </w:trPr>
        <w:tc>
          <w:tcPr>
            <w:tcW w:w="1806" w:type="pct"/>
            <w:gridSpan w:val="4"/>
          </w:tcPr>
          <w:p w14:paraId="174D9E5F" w14:textId="77777777" w:rsidR="0021177B" w:rsidRPr="00825400" w:rsidRDefault="0021177B" w:rsidP="009E3B2F">
            <w:pPr>
              <w:spacing w:after="0" w:line="240" w:lineRule="auto"/>
              <w:jc w:val="center"/>
              <w:rPr>
                <w:rFonts w:ascii="Futura Std Condensed Light" w:eastAsia="Calibri" w:hAnsi="Futura Std Condensed Light" w:cs="Calibri"/>
                <w:b/>
                <w:sz w:val="20"/>
                <w:szCs w:val="20"/>
              </w:rPr>
            </w:pPr>
            <w:r w:rsidRPr="00825400">
              <w:rPr>
                <w:rFonts w:ascii="Futura Std Condensed Light" w:eastAsia="Calibri" w:hAnsi="Futura Std Condensed Light" w:cs="Calibri"/>
                <w:b/>
                <w:sz w:val="20"/>
                <w:szCs w:val="20"/>
              </w:rPr>
              <w:t>Tema / Proyecto Prioritario de Quintana Roo</w:t>
            </w:r>
          </w:p>
        </w:tc>
        <w:tc>
          <w:tcPr>
            <w:tcW w:w="3194" w:type="pct"/>
            <w:gridSpan w:val="7"/>
          </w:tcPr>
          <w:p w14:paraId="17C1681F" w14:textId="77777777" w:rsidR="0021177B" w:rsidRPr="00697C76" w:rsidRDefault="0021177B" w:rsidP="009E3B2F">
            <w:pPr>
              <w:spacing w:after="0" w:line="240" w:lineRule="auto"/>
              <w:jc w:val="center"/>
              <w:rPr>
                <w:rFonts w:ascii="Futura Std Condensed Light" w:eastAsia="Calibri" w:hAnsi="Futura Std Condensed Light" w:cs="Calibri"/>
                <w:sz w:val="20"/>
                <w:szCs w:val="20"/>
              </w:rPr>
            </w:pPr>
            <w:r w:rsidRPr="00697C76">
              <w:rPr>
                <w:rFonts w:ascii="Futura Std Condensed Light" w:eastAsia="Calibri" w:hAnsi="Futura Std Condensed Light" w:cs="Calibri"/>
                <w:sz w:val="20"/>
                <w:szCs w:val="20"/>
              </w:rPr>
              <w:t>24.5 Abatir el rezago educativo</w:t>
            </w:r>
          </w:p>
        </w:tc>
      </w:tr>
      <w:tr w:rsidR="0021177B" w:rsidRPr="00D12127" w14:paraId="08F2C46B" w14:textId="77777777" w:rsidTr="009E3B2F">
        <w:trPr>
          <w:trHeight w:val="484"/>
        </w:trPr>
        <w:tc>
          <w:tcPr>
            <w:tcW w:w="1806" w:type="pct"/>
            <w:gridSpan w:val="4"/>
          </w:tcPr>
          <w:p w14:paraId="106FF310" w14:textId="77777777" w:rsidR="0021177B" w:rsidRPr="00825400" w:rsidRDefault="0021177B" w:rsidP="009E3B2F">
            <w:pPr>
              <w:spacing w:after="0" w:line="240" w:lineRule="auto"/>
              <w:jc w:val="center"/>
              <w:rPr>
                <w:rFonts w:ascii="Futura Std Condensed Light" w:eastAsia="Calibri" w:hAnsi="Futura Std Condensed Light" w:cs="Calibri"/>
                <w:b/>
                <w:sz w:val="20"/>
                <w:szCs w:val="20"/>
              </w:rPr>
            </w:pPr>
            <w:r w:rsidRPr="00825400">
              <w:rPr>
                <w:rFonts w:ascii="Futura Std Condensed Light" w:eastAsia="Calibri" w:hAnsi="Futura Std Condensed Light" w:cs="Calibri"/>
                <w:b/>
                <w:sz w:val="20"/>
                <w:szCs w:val="20"/>
              </w:rPr>
              <w:t>Subtema Prioritario de Quintana Roo</w:t>
            </w:r>
          </w:p>
        </w:tc>
        <w:tc>
          <w:tcPr>
            <w:tcW w:w="3194" w:type="pct"/>
            <w:gridSpan w:val="7"/>
          </w:tcPr>
          <w:p w14:paraId="31CC62B0" w14:textId="77777777" w:rsidR="0021177B" w:rsidRPr="00697C76" w:rsidRDefault="0021177B" w:rsidP="009E3B2F">
            <w:pPr>
              <w:spacing w:after="0" w:line="240" w:lineRule="auto"/>
              <w:jc w:val="center"/>
              <w:rPr>
                <w:rFonts w:ascii="Futura Std Condensed Light" w:eastAsia="Calibri" w:hAnsi="Futura Std Condensed Light" w:cs="Calibri"/>
                <w:sz w:val="20"/>
                <w:szCs w:val="20"/>
              </w:rPr>
            </w:pPr>
            <w:r w:rsidRPr="00697C76">
              <w:rPr>
                <w:rFonts w:ascii="Futura Std Condensed Light" w:eastAsia="Calibri" w:hAnsi="Futura Std Condensed Light" w:cs="Calibri"/>
                <w:sz w:val="20"/>
                <w:szCs w:val="20"/>
              </w:rPr>
              <w:t>N/A</w:t>
            </w:r>
          </w:p>
        </w:tc>
      </w:tr>
      <w:tr w:rsidR="0021177B" w:rsidRPr="00D12127" w14:paraId="38ECF389" w14:textId="77777777" w:rsidTr="009E3B2F">
        <w:trPr>
          <w:trHeight w:val="484"/>
        </w:trPr>
        <w:tc>
          <w:tcPr>
            <w:tcW w:w="5000" w:type="pct"/>
            <w:gridSpan w:val="11"/>
          </w:tcPr>
          <w:p w14:paraId="6466057A" w14:textId="77777777" w:rsidR="0021177B" w:rsidRPr="00825400" w:rsidRDefault="0021177B" w:rsidP="009E3B2F">
            <w:pPr>
              <w:spacing w:after="0" w:line="240" w:lineRule="auto"/>
              <w:jc w:val="center"/>
              <w:rPr>
                <w:rFonts w:ascii="Futura Std Condensed Light" w:eastAsia="Calibri" w:hAnsi="Futura Std Condensed Light" w:cs="Calibri"/>
                <w:b/>
                <w:sz w:val="20"/>
                <w:szCs w:val="20"/>
              </w:rPr>
            </w:pPr>
            <w:r w:rsidRPr="00825400">
              <w:rPr>
                <w:rFonts w:ascii="Futura Std Condensed Light" w:eastAsia="Calibri" w:hAnsi="Futura Std Condensed Light" w:cs="Calibri"/>
                <w:b/>
                <w:sz w:val="20"/>
                <w:szCs w:val="20"/>
              </w:rPr>
              <w:t>Meta Total:</w:t>
            </w:r>
          </w:p>
        </w:tc>
      </w:tr>
      <w:tr w:rsidR="0021177B" w:rsidRPr="00D12127" w14:paraId="2B06A9E8" w14:textId="77777777" w:rsidTr="009E3B2F">
        <w:trPr>
          <w:trHeight w:val="484"/>
        </w:trPr>
        <w:tc>
          <w:tcPr>
            <w:tcW w:w="781" w:type="pct"/>
          </w:tcPr>
          <w:p w14:paraId="75479CEB" w14:textId="77777777" w:rsidR="0021177B" w:rsidRPr="00825400" w:rsidRDefault="0021177B" w:rsidP="009E3B2F">
            <w:pPr>
              <w:spacing w:after="0" w:line="240" w:lineRule="auto"/>
              <w:jc w:val="center"/>
              <w:rPr>
                <w:rFonts w:ascii="Futura Std Condensed Light" w:eastAsia="Calibri" w:hAnsi="Futura Std Condensed Light" w:cs="Calibri"/>
                <w:b/>
                <w:sz w:val="20"/>
                <w:szCs w:val="20"/>
              </w:rPr>
            </w:pPr>
            <w:r w:rsidRPr="00825400">
              <w:rPr>
                <w:rFonts w:ascii="Futura Std Condensed Light" w:eastAsia="Calibri" w:hAnsi="Futura Std Condensed Light" w:cs="Calibri"/>
                <w:b/>
                <w:sz w:val="20"/>
                <w:szCs w:val="20"/>
              </w:rPr>
              <w:t>2017</w:t>
            </w:r>
          </w:p>
        </w:tc>
        <w:tc>
          <w:tcPr>
            <w:tcW w:w="783" w:type="pct"/>
            <w:gridSpan w:val="2"/>
          </w:tcPr>
          <w:p w14:paraId="575BCE84" w14:textId="77777777" w:rsidR="0021177B" w:rsidRPr="00825400" w:rsidRDefault="0021177B" w:rsidP="009E3B2F">
            <w:pPr>
              <w:spacing w:after="0" w:line="240" w:lineRule="auto"/>
              <w:jc w:val="center"/>
              <w:rPr>
                <w:rFonts w:ascii="Futura Std Condensed Light" w:eastAsia="Calibri" w:hAnsi="Futura Std Condensed Light" w:cs="Calibri"/>
                <w:b/>
                <w:sz w:val="20"/>
                <w:szCs w:val="20"/>
              </w:rPr>
            </w:pPr>
            <w:r w:rsidRPr="00825400">
              <w:rPr>
                <w:rFonts w:ascii="Futura Std Condensed Light" w:eastAsia="Calibri" w:hAnsi="Futura Std Condensed Light" w:cs="Calibri"/>
                <w:b/>
                <w:sz w:val="20"/>
                <w:szCs w:val="20"/>
              </w:rPr>
              <w:t>2018</w:t>
            </w:r>
          </w:p>
        </w:tc>
        <w:tc>
          <w:tcPr>
            <w:tcW w:w="904" w:type="pct"/>
            <w:gridSpan w:val="3"/>
          </w:tcPr>
          <w:p w14:paraId="780E9490" w14:textId="77777777" w:rsidR="0021177B" w:rsidRPr="00825400" w:rsidRDefault="0021177B" w:rsidP="009E3B2F">
            <w:pPr>
              <w:spacing w:after="0" w:line="240" w:lineRule="auto"/>
              <w:jc w:val="center"/>
              <w:rPr>
                <w:rFonts w:ascii="Futura Std Condensed Light" w:eastAsia="Calibri" w:hAnsi="Futura Std Condensed Light" w:cs="Calibri"/>
                <w:b/>
                <w:sz w:val="20"/>
                <w:szCs w:val="20"/>
              </w:rPr>
            </w:pPr>
            <w:r w:rsidRPr="00825400">
              <w:rPr>
                <w:rFonts w:ascii="Futura Std Condensed Light" w:eastAsia="Calibri" w:hAnsi="Futura Std Condensed Light" w:cs="Calibri"/>
                <w:b/>
                <w:sz w:val="20"/>
                <w:szCs w:val="20"/>
              </w:rPr>
              <w:t>2019</w:t>
            </w:r>
          </w:p>
        </w:tc>
        <w:tc>
          <w:tcPr>
            <w:tcW w:w="723" w:type="pct"/>
            <w:gridSpan w:val="2"/>
          </w:tcPr>
          <w:p w14:paraId="626646C1" w14:textId="77777777" w:rsidR="0021177B" w:rsidRPr="00825400" w:rsidRDefault="0021177B" w:rsidP="009E3B2F">
            <w:pPr>
              <w:spacing w:after="0" w:line="240" w:lineRule="auto"/>
              <w:jc w:val="center"/>
              <w:rPr>
                <w:rFonts w:ascii="Futura Std Condensed Light" w:eastAsia="Calibri" w:hAnsi="Futura Std Condensed Light" w:cs="Calibri"/>
                <w:b/>
                <w:sz w:val="20"/>
                <w:szCs w:val="20"/>
              </w:rPr>
            </w:pPr>
            <w:r w:rsidRPr="00825400">
              <w:rPr>
                <w:rFonts w:ascii="Futura Std Condensed Light" w:eastAsia="Calibri" w:hAnsi="Futura Std Condensed Light" w:cs="Calibri"/>
                <w:b/>
                <w:sz w:val="20"/>
                <w:szCs w:val="20"/>
              </w:rPr>
              <w:t>2020</w:t>
            </w:r>
          </w:p>
        </w:tc>
        <w:tc>
          <w:tcPr>
            <w:tcW w:w="963" w:type="pct"/>
            <w:gridSpan w:val="2"/>
          </w:tcPr>
          <w:p w14:paraId="08B5506E" w14:textId="77777777" w:rsidR="0021177B" w:rsidRPr="00825400" w:rsidRDefault="0021177B" w:rsidP="009E3B2F">
            <w:pPr>
              <w:spacing w:after="0" w:line="240" w:lineRule="auto"/>
              <w:jc w:val="center"/>
              <w:rPr>
                <w:rFonts w:ascii="Futura Std Condensed Light" w:eastAsia="Calibri" w:hAnsi="Futura Std Condensed Light" w:cs="Calibri"/>
                <w:b/>
                <w:sz w:val="20"/>
                <w:szCs w:val="20"/>
              </w:rPr>
            </w:pPr>
            <w:r w:rsidRPr="00825400">
              <w:rPr>
                <w:rFonts w:ascii="Futura Std Condensed Light" w:eastAsia="Calibri" w:hAnsi="Futura Std Condensed Light" w:cs="Calibri"/>
                <w:b/>
                <w:sz w:val="20"/>
                <w:szCs w:val="20"/>
              </w:rPr>
              <w:t>2021</w:t>
            </w:r>
          </w:p>
        </w:tc>
        <w:tc>
          <w:tcPr>
            <w:tcW w:w="846" w:type="pct"/>
          </w:tcPr>
          <w:p w14:paraId="2EDB382C" w14:textId="77777777" w:rsidR="0021177B" w:rsidRPr="00825400" w:rsidRDefault="0021177B" w:rsidP="009E3B2F">
            <w:pPr>
              <w:spacing w:after="0" w:line="240" w:lineRule="auto"/>
              <w:jc w:val="center"/>
              <w:rPr>
                <w:rFonts w:ascii="Futura Std Condensed Light" w:eastAsia="Calibri" w:hAnsi="Futura Std Condensed Light" w:cs="Calibri"/>
                <w:b/>
                <w:sz w:val="20"/>
                <w:szCs w:val="20"/>
              </w:rPr>
            </w:pPr>
            <w:r w:rsidRPr="00825400">
              <w:rPr>
                <w:rFonts w:ascii="Futura Std Condensed Light" w:eastAsia="Calibri" w:hAnsi="Futura Std Condensed Light" w:cs="Calibri"/>
                <w:b/>
                <w:sz w:val="20"/>
                <w:szCs w:val="20"/>
              </w:rPr>
              <w:t>2022</w:t>
            </w:r>
          </w:p>
        </w:tc>
      </w:tr>
      <w:tr w:rsidR="0021177B" w:rsidRPr="00D12127" w14:paraId="4631178C" w14:textId="77777777" w:rsidTr="009E3B2F">
        <w:trPr>
          <w:trHeight w:val="484"/>
        </w:trPr>
        <w:tc>
          <w:tcPr>
            <w:tcW w:w="781" w:type="pct"/>
          </w:tcPr>
          <w:p w14:paraId="39B0EC6B" w14:textId="77777777" w:rsidR="0021177B" w:rsidRPr="00697C76" w:rsidRDefault="0021177B" w:rsidP="009E3B2F">
            <w:pPr>
              <w:spacing w:after="0" w:line="240" w:lineRule="auto"/>
              <w:jc w:val="center"/>
              <w:rPr>
                <w:rFonts w:ascii="Futura Std Condensed Light" w:eastAsia="Calibri" w:hAnsi="Futura Std Condensed Light" w:cs="Calibri"/>
                <w:sz w:val="20"/>
                <w:szCs w:val="20"/>
              </w:rPr>
            </w:pPr>
            <w:r w:rsidRPr="00697C76">
              <w:rPr>
                <w:rFonts w:ascii="Futura Std Condensed Light" w:eastAsia="Calibri" w:hAnsi="Futura Std Condensed Light" w:cs="Calibri"/>
                <w:sz w:val="20"/>
                <w:szCs w:val="20"/>
              </w:rPr>
              <w:t>8,062</w:t>
            </w:r>
          </w:p>
        </w:tc>
        <w:tc>
          <w:tcPr>
            <w:tcW w:w="783" w:type="pct"/>
            <w:gridSpan w:val="2"/>
          </w:tcPr>
          <w:p w14:paraId="536A951E" w14:textId="77777777" w:rsidR="0021177B" w:rsidRPr="00697C76" w:rsidRDefault="0021177B" w:rsidP="009E3B2F">
            <w:pPr>
              <w:spacing w:after="0" w:line="240" w:lineRule="auto"/>
              <w:jc w:val="center"/>
              <w:rPr>
                <w:rFonts w:ascii="Futura Std Condensed Light" w:eastAsia="Calibri" w:hAnsi="Futura Std Condensed Light" w:cs="Calibri"/>
                <w:sz w:val="20"/>
                <w:szCs w:val="20"/>
              </w:rPr>
            </w:pPr>
            <w:r w:rsidRPr="00697C76">
              <w:rPr>
                <w:rFonts w:ascii="Futura Std Condensed Light" w:eastAsia="Calibri" w:hAnsi="Futura Std Condensed Light" w:cs="Calibri"/>
                <w:sz w:val="20"/>
                <w:szCs w:val="20"/>
              </w:rPr>
              <w:t>8,083</w:t>
            </w:r>
          </w:p>
        </w:tc>
        <w:tc>
          <w:tcPr>
            <w:tcW w:w="904" w:type="pct"/>
            <w:gridSpan w:val="3"/>
          </w:tcPr>
          <w:p w14:paraId="3AE78E58" w14:textId="77777777" w:rsidR="0021177B" w:rsidRPr="00697C76" w:rsidRDefault="0021177B" w:rsidP="009E3B2F">
            <w:pPr>
              <w:spacing w:after="0" w:line="240" w:lineRule="auto"/>
              <w:jc w:val="center"/>
              <w:rPr>
                <w:rFonts w:ascii="Futura Std Condensed Light" w:eastAsia="Calibri" w:hAnsi="Futura Std Condensed Light" w:cs="Calibri"/>
                <w:sz w:val="20"/>
                <w:szCs w:val="20"/>
              </w:rPr>
            </w:pPr>
            <w:r w:rsidRPr="00697C76">
              <w:rPr>
                <w:rFonts w:ascii="Futura Std Condensed Light" w:eastAsia="Calibri" w:hAnsi="Futura Std Condensed Light" w:cs="Calibri"/>
                <w:sz w:val="20"/>
                <w:szCs w:val="20"/>
              </w:rPr>
              <w:t>8,149</w:t>
            </w:r>
          </w:p>
        </w:tc>
        <w:tc>
          <w:tcPr>
            <w:tcW w:w="723" w:type="pct"/>
            <w:gridSpan w:val="2"/>
          </w:tcPr>
          <w:p w14:paraId="604C95C4" w14:textId="77777777" w:rsidR="0021177B" w:rsidRPr="00697C76" w:rsidRDefault="0021177B" w:rsidP="009E3B2F">
            <w:pPr>
              <w:spacing w:after="0" w:line="240" w:lineRule="auto"/>
              <w:jc w:val="center"/>
              <w:rPr>
                <w:rFonts w:ascii="Futura Std Condensed Light" w:eastAsia="Calibri" w:hAnsi="Futura Std Condensed Light" w:cs="Calibri"/>
                <w:sz w:val="20"/>
                <w:szCs w:val="20"/>
              </w:rPr>
            </w:pPr>
            <w:r w:rsidRPr="00697C76">
              <w:rPr>
                <w:rFonts w:ascii="Futura Std Condensed Light" w:eastAsia="Calibri" w:hAnsi="Futura Std Condensed Light" w:cs="Calibri"/>
                <w:sz w:val="20"/>
                <w:szCs w:val="20"/>
              </w:rPr>
              <w:t>8,230</w:t>
            </w:r>
          </w:p>
        </w:tc>
        <w:tc>
          <w:tcPr>
            <w:tcW w:w="963" w:type="pct"/>
            <w:gridSpan w:val="2"/>
          </w:tcPr>
          <w:p w14:paraId="751A6B33" w14:textId="77777777" w:rsidR="0021177B" w:rsidRPr="00697C76" w:rsidRDefault="0021177B" w:rsidP="009E3B2F">
            <w:pPr>
              <w:spacing w:after="0" w:line="240" w:lineRule="auto"/>
              <w:jc w:val="center"/>
              <w:rPr>
                <w:rFonts w:ascii="Futura Std Condensed Light" w:eastAsia="Calibri" w:hAnsi="Futura Std Condensed Light" w:cs="Calibri"/>
                <w:sz w:val="20"/>
                <w:szCs w:val="20"/>
              </w:rPr>
            </w:pPr>
            <w:r w:rsidRPr="00697C76">
              <w:rPr>
                <w:rFonts w:ascii="Futura Std Condensed Light" w:eastAsia="Calibri" w:hAnsi="Futura Std Condensed Light" w:cs="Calibri"/>
                <w:sz w:val="20"/>
                <w:szCs w:val="20"/>
              </w:rPr>
              <w:t>8,260</w:t>
            </w:r>
          </w:p>
        </w:tc>
        <w:tc>
          <w:tcPr>
            <w:tcW w:w="846" w:type="pct"/>
          </w:tcPr>
          <w:p w14:paraId="118F6C0E" w14:textId="77777777" w:rsidR="0021177B" w:rsidRPr="00697C76" w:rsidRDefault="0021177B" w:rsidP="009E3B2F">
            <w:pPr>
              <w:spacing w:after="0" w:line="240" w:lineRule="auto"/>
              <w:jc w:val="center"/>
              <w:rPr>
                <w:rFonts w:ascii="Futura Std Condensed Light" w:eastAsia="Calibri" w:hAnsi="Futura Std Condensed Light" w:cs="Calibri"/>
                <w:sz w:val="20"/>
                <w:szCs w:val="20"/>
              </w:rPr>
            </w:pPr>
            <w:r w:rsidRPr="00697C76">
              <w:rPr>
                <w:rFonts w:ascii="Futura Std Condensed Light" w:eastAsia="Calibri" w:hAnsi="Futura Std Condensed Light" w:cs="Calibri"/>
                <w:sz w:val="20"/>
                <w:szCs w:val="20"/>
              </w:rPr>
              <w:t>8,320</w:t>
            </w:r>
          </w:p>
        </w:tc>
      </w:tr>
    </w:tbl>
    <w:p w14:paraId="51AEA216" w14:textId="7BFFB413" w:rsidR="00A24FEB" w:rsidRDefault="00A24FEB" w:rsidP="0021177B"/>
    <w:p w14:paraId="58D857AD" w14:textId="77777777" w:rsidR="00E05363" w:rsidRDefault="00E05363">
      <w:pPr>
        <w:spacing w:after="0" w:line="240" w:lineRule="auto"/>
        <w:jc w:val="left"/>
        <w:rPr>
          <w:rFonts w:eastAsia="Arial" w:cs="Times New Roman"/>
          <w:b/>
          <w:color w:val="4BACC6" w:themeColor="accent5"/>
        </w:rPr>
      </w:pPr>
      <w:r>
        <w:rPr>
          <w:rFonts w:eastAsia="Arial" w:cs="Times New Roman"/>
          <w:b/>
          <w:color w:val="4BACC6" w:themeColor="accent5"/>
        </w:rPr>
        <w:br w:type="page"/>
      </w:r>
    </w:p>
    <w:p w14:paraId="00195013" w14:textId="6EFC1C58" w:rsidR="0021177B" w:rsidRPr="00F03BA5" w:rsidRDefault="0021177B" w:rsidP="0021177B">
      <w:pPr>
        <w:jc w:val="center"/>
      </w:pPr>
      <w:r>
        <w:rPr>
          <w:rFonts w:eastAsia="Arial" w:cs="Times New Roman"/>
          <w:b/>
          <w:color w:val="4BACC6" w:themeColor="accent5"/>
        </w:rPr>
        <w:lastRenderedPageBreak/>
        <w:t>Cuadro</w:t>
      </w:r>
      <w:r w:rsidR="00FA0940">
        <w:rPr>
          <w:rFonts w:eastAsia="Arial" w:cs="Times New Roman"/>
          <w:b/>
          <w:color w:val="4BACC6" w:themeColor="accent5"/>
        </w:rPr>
        <w:t xml:space="preserve"> 38</w:t>
      </w:r>
      <w:r>
        <w:rPr>
          <w:rFonts w:eastAsia="Arial" w:cs="Times New Roman"/>
          <w:b/>
          <w:color w:val="4BACC6" w:themeColor="accent5"/>
        </w:rPr>
        <w:t>. Entregable y meta de la línea de acción 11 del PED</w:t>
      </w:r>
    </w:p>
    <w:tbl>
      <w:tblPr>
        <w:tblStyle w:val="Tablaconcuadrcula"/>
        <w:tblW w:w="5000" w:type="pct"/>
        <w:tblLook w:val="04A0" w:firstRow="1" w:lastRow="0" w:firstColumn="1" w:lastColumn="0" w:noHBand="0" w:noVBand="1"/>
      </w:tblPr>
      <w:tblGrid>
        <w:gridCol w:w="1489"/>
        <w:gridCol w:w="814"/>
        <w:gridCol w:w="679"/>
        <w:gridCol w:w="462"/>
        <w:gridCol w:w="687"/>
        <w:gridCol w:w="576"/>
        <w:gridCol w:w="462"/>
        <w:gridCol w:w="917"/>
        <w:gridCol w:w="1205"/>
        <w:gridCol w:w="6"/>
        <w:gridCol w:w="626"/>
        <w:gridCol w:w="1614"/>
      </w:tblGrid>
      <w:tr w:rsidR="0086391F" w:rsidRPr="00060E8E" w14:paraId="4CCEF53E" w14:textId="77777777" w:rsidTr="00060E8E">
        <w:trPr>
          <w:trHeight w:val="182"/>
        </w:trPr>
        <w:tc>
          <w:tcPr>
            <w:tcW w:w="1806" w:type="pct"/>
            <w:gridSpan w:val="4"/>
            <w:shd w:val="clear" w:color="auto" w:fill="A6A6A6" w:themeFill="background1" w:themeFillShade="A6"/>
          </w:tcPr>
          <w:p w14:paraId="66218EF7" w14:textId="77777777" w:rsidR="0021177B" w:rsidRPr="00060E8E" w:rsidRDefault="0021177B" w:rsidP="009E3B2F">
            <w:pPr>
              <w:spacing w:after="0" w:line="240" w:lineRule="auto"/>
              <w:jc w:val="center"/>
              <w:rPr>
                <w:rFonts w:ascii="Futura Std Condensed Light" w:eastAsia="Calibri" w:hAnsi="Futura Std Condensed Light" w:cs="Calibri"/>
                <w:color w:val="auto"/>
                <w:sz w:val="20"/>
                <w:szCs w:val="20"/>
              </w:rPr>
            </w:pPr>
            <w:r w:rsidRPr="00060E8E">
              <w:rPr>
                <w:rFonts w:ascii="Futura Std Condensed Light" w:eastAsia="Calibri" w:hAnsi="Futura Std Condensed Light" w:cs="Calibri"/>
                <w:color w:val="auto"/>
                <w:sz w:val="20"/>
                <w:szCs w:val="20"/>
              </w:rPr>
              <w:t>Programa PED</w:t>
            </w:r>
          </w:p>
        </w:tc>
        <w:tc>
          <w:tcPr>
            <w:tcW w:w="3194" w:type="pct"/>
            <w:gridSpan w:val="8"/>
            <w:shd w:val="clear" w:color="auto" w:fill="A6A6A6" w:themeFill="background1" w:themeFillShade="A6"/>
          </w:tcPr>
          <w:p w14:paraId="30767E10" w14:textId="77777777" w:rsidR="0021177B" w:rsidRPr="00060E8E" w:rsidRDefault="0021177B" w:rsidP="009E3B2F">
            <w:pPr>
              <w:spacing w:after="0" w:line="240" w:lineRule="auto"/>
              <w:jc w:val="center"/>
              <w:rPr>
                <w:rFonts w:ascii="Futura Std Condensed Light" w:eastAsia="Calibri" w:hAnsi="Futura Std Condensed Light" w:cs="Calibri"/>
                <w:color w:val="auto"/>
                <w:sz w:val="20"/>
                <w:szCs w:val="20"/>
              </w:rPr>
            </w:pPr>
            <w:r w:rsidRPr="00060E8E">
              <w:rPr>
                <w:rFonts w:ascii="Futura Std Condensed Light" w:eastAsia="Calibri" w:hAnsi="Futura Std Condensed Light" w:cs="Calibri"/>
                <w:color w:val="auto"/>
                <w:sz w:val="20"/>
                <w:szCs w:val="20"/>
              </w:rPr>
              <w:t>Programa Sectorial Educación Pública de Calidad</w:t>
            </w:r>
          </w:p>
        </w:tc>
      </w:tr>
      <w:tr w:rsidR="0021177B" w:rsidRPr="00F03BA5" w14:paraId="3CFF3375" w14:textId="77777777" w:rsidTr="009E3B2F">
        <w:trPr>
          <w:trHeight w:val="469"/>
        </w:trPr>
        <w:tc>
          <w:tcPr>
            <w:tcW w:w="1806" w:type="pct"/>
            <w:gridSpan w:val="4"/>
          </w:tcPr>
          <w:p w14:paraId="3AA325AA" w14:textId="77777777" w:rsidR="0021177B" w:rsidRPr="00F03BA5" w:rsidRDefault="0021177B" w:rsidP="009E3B2F">
            <w:pPr>
              <w:spacing w:after="0" w:line="240" w:lineRule="auto"/>
              <w:jc w:val="center"/>
              <w:rPr>
                <w:rFonts w:ascii="Futura Std Condensed Light" w:eastAsia="Calibri" w:hAnsi="Futura Std Condensed Light" w:cs="Calibri"/>
                <w:b/>
                <w:sz w:val="20"/>
                <w:szCs w:val="20"/>
              </w:rPr>
            </w:pPr>
            <w:r w:rsidRPr="00F03BA5">
              <w:rPr>
                <w:rFonts w:ascii="Futura Std Condensed Light" w:eastAsia="Calibri" w:hAnsi="Futura Std Condensed Light" w:cs="Calibri"/>
                <w:b/>
                <w:sz w:val="20"/>
                <w:szCs w:val="20"/>
              </w:rPr>
              <w:t>Línea de acción:</w:t>
            </w:r>
          </w:p>
        </w:tc>
        <w:tc>
          <w:tcPr>
            <w:tcW w:w="3194" w:type="pct"/>
            <w:gridSpan w:val="8"/>
          </w:tcPr>
          <w:p w14:paraId="1FE8B1F1" w14:textId="77777777" w:rsidR="0021177B" w:rsidRPr="00F03BA5" w:rsidRDefault="0021177B" w:rsidP="009E3B2F">
            <w:pPr>
              <w:spacing w:after="0" w:line="240" w:lineRule="auto"/>
              <w:jc w:val="center"/>
              <w:rPr>
                <w:rFonts w:ascii="Futura Std Condensed Light" w:eastAsia="Calibri" w:hAnsi="Futura Std Condensed Light" w:cs="Calibri"/>
                <w:sz w:val="20"/>
                <w:szCs w:val="20"/>
              </w:rPr>
            </w:pPr>
            <w:r w:rsidRPr="00F03BA5">
              <w:rPr>
                <w:rFonts w:ascii="Futura Std Condensed Light" w:eastAsia="Calibri" w:hAnsi="Futura Std Condensed Light" w:cs="Calibri"/>
                <w:sz w:val="20"/>
                <w:szCs w:val="20"/>
              </w:rPr>
              <w:t xml:space="preserve">11.  Impulsar la participación de los padres de familia en la formación integral de los alumnos.  </w:t>
            </w:r>
          </w:p>
        </w:tc>
      </w:tr>
      <w:tr w:rsidR="0021177B" w:rsidRPr="00F03BA5" w14:paraId="19A4E3BB" w14:textId="77777777" w:rsidTr="009E3B2F">
        <w:trPr>
          <w:trHeight w:val="484"/>
        </w:trPr>
        <w:tc>
          <w:tcPr>
            <w:tcW w:w="1806" w:type="pct"/>
            <w:gridSpan w:val="4"/>
          </w:tcPr>
          <w:p w14:paraId="2565DF3B" w14:textId="77777777" w:rsidR="0021177B" w:rsidRPr="00F03BA5" w:rsidRDefault="0021177B" w:rsidP="009E3B2F">
            <w:pPr>
              <w:spacing w:after="0" w:line="240" w:lineRule="auto"/>
              <w:jc w:val="center"/>
              <w:rPr>
                <w:rFonts w:ascii="Futura Std Condensed Light" w:eastAsia="Calibri" w:hAnsi="Futura Std Condensed Light" w:cs="Calibri"/>
                <w:b/>
                <w:sz w:val="20"/>
                <w:szCs w:val="20"/>
              </w:rPr>
            </w:pPr>
            <w:r w:rsidRPr="00F03BA5">
              <w:rPr>
                <w:rFonts w:ascii="Futura Std Condensed Light" w:eastAsia="Calibri" w:hAnsi="Futura Std Condensed Light" w:cs="Calibri"/>
                <w:b/>
                <w:sz w:val="20"/>
                <w:szCs w:val="20"/>
              </w:rPr>
              <w:t>Plan Estratégico Objetivo Especifico</w:t>
            </w:r>
          </w:p>
        </w:tc>
        <w:tc>
          <w:tcPr>
            <w:tcW w:w="3194" w:type="pct"/>
            <w:gridSpan w:val="8"/>
          </w:tcPr>
          <w:p w14:paraId="50319819" w14:textId="77777777" w:rsidR="0021177B" w:rsidRPr="00F03BA5" w:rsidRDefault="0021177B" w:rsidP="009E3B2F">
            <w:pPr>
              <w:spacing w:after="0" w:line="240" w:lineRule="auto"/>
              <w:jc w:val="center"/>
              <w:rPr>
                <w:rFonts w:ascii="Futura Std Condensed Light" w:eastAsia="Calibri" w:hAnsi="Futura Std Condensed Light" w:cs="Calibri"/>
                <w:sz w:val="20"/>
                <w:szCs w:val="20"/>
              </w:rPr>
            </w:pPr>
            <w:r w:rsidRPr="00F03BA5">
              <w:rPr>
                <w:rFonts w:ascii="Futura Std Condensed Light" w:eastAsia="Calibri" w:hAnsi="Futura Std Condensed Light" w:cs="Calibri"/>
                <w:sz w:val="20"/>
                <w:szCs w:val="20"/>
              </w:rPr>
              <w:t>Disminuir la desigualdad en sus diversas formas </w:t>
            </w:r>
          </w:p>
        </w:tc>
      </w:tr>
      <w:tr w:rsidR="0021177B" w:rsidRPr="00F03BA5" w14:paraId="0D0A4902" w14:textId="77777777" w:rsidTr="009E3B2F">
        <w:trPr>
          <w:trHeight w:val="484"/>
        </w:trPr>
        <w:tc>
          <w:tcPr>
            <w:tcW w:w="1208" w:type="pct"/>
            <w:gridSpan w:val="2"/>
          </w:tcPr>
          <w:p w14:paraId="65C13EF2" w14:textId="77777777" w:rsidR="0021177B" w:rsidRPr="00F03BA5" w:rsidRDefault="0021177B" w:rsidP="009E3B2F">
            <w:pPr>
              <w:spacing w:after="0" w:line="240" w:lineRule="auto"/>
              <w:jc w:val="center"/>
              <w:rPr>
                <w:rFonts w:ascii="Futura Std Condensed Light" w:eastAsia="Calibri" w:hAnsi="Futura Std Condensed Light" w:cs="Calibri"/>
                <w:b/>
                <w:sz w:val="20"/>
                <w:szCs w:val="20"/>
              </w:rPr>
            </w:pPr>
            <w:r w:rsidRPr="00F03BA5">
              <w:rPr>
                <w:rFonts w:ascii="Futura Std Condensed Light" w:eastAsia="Calibri" w:hAnsi="Futura Std Condensed Light" w:cs="Calibri"/>
                <w:b/>
                <w:sz w:val="20"/>
                <w:szCs w:val="20"/>
              </w:rPr>
              <w:t>Entregable:</w:t>
            </w:r>
          </w:p>
        </w:tc>
        <w:tc>
          <w:tcPr>
            <w:tcW w:w="958" w:type="pct"/>
            <w:gridSpan w:val="3"/>
          </w:tcPr>
          <w:p w14:paraId="4198A4BA" w14:textId="77777777" w:rsidR="0021177B" w:rsidRPr="00F03BA5" w:rsidRDefault="0021177B" w:rsidP="009E3B2F">
            <w:pPr>
              <w:spacing w:after="0" w:line="240" w:lineRule="auto"/>
              <w:jc w:val="center"/>
              <w:rPr>
                <w:rFonts w:ascii="Futura Std Condensed Light" w:eastAsia="Calibri" w:hAnsi="Futura Std Condensed Light" w:cs="Calibri"/>
                <w:sz w:val="20"/>
                <w:szCs w:val="20"/>
              </w:rPr>
            </w:pPr>
            <w:r w:rsidRPr="00F03BA5">
              <w:rPr>
                <w:rFonts w:ascii="Futura Std Condensed Light" w:eastAsia="Calibri" w:hAnsi="Futura Std Condensed Light" w:cs="Calibri"/>
                <w:sz w:val="20"/>
                <w:szCs w:val="20"/>
              </w:rPr>
              <w:t>Órgano de Participación social</w:t>
            </w:r>
          </w:p>
        </w:tc>
        <w:tc>
          <w:tcPr>
            <w:tcW w:w="1660" w:type="pct"/>
            <w:gridSpan w:val="5"/>
          </w:tcPr>
          <w:p w14:paraId="17F4531B" w14:textId="77777777" w:rsidR="0021177B" w:rsidRPr="00F03BA5" w:rsidRDefault="0021177B" w:rsidP="009E3B2F">
            <w:pPr>
              <w:spacing w:after="0" w:line="240" w:lineRule="auto"/>
              <w:jc w:val="center"/>
              <w:rPr>
                <w:rFonts w:ascii="Futura Std Condensed Light" w:eastAsia="Calibri" w:hAnsi="Futura Std Condensed Light" w:cs="Calibri"/>
                <w:sz w:val="20"/>
                <w:szCs w:val="20"/>
              </w:rPr>
            </w:pPr>
            <w:r w:rsidRPr="00F03BA5">
              <w:rPr>
                <w:rFonts w:ascii="Futura Std Condensed Light" w:eastAsia="Calibri" w:hAnsi="Futura Std Condensed Light" w:cs="Calibri"/>
                <w:b/>
                <w:sz w:val="20"/>
                <w:szCs w:val="20"/>
              </w:rPr>
              <w:t>Unidad de Medida</w:t>
            </w:r>
            <w:r w:rsidRPr="00F03BA5">
              <w:rPr>
                <w:rFonts w:ascii="Futura Std Condensed Light" w:eastAsia="Calibri" w:hAnsi="Futura Std Condensed Light" w:cs="Calibri"/>
                <w:sz w:val="20"/>
                <w:szCs w:val="20"/>
              </w:rPr>
              <w:t>:</w:t>
            </w:r>
          </w:p>
        </w:tc>
        <w:tc>
          <w:tcPr>
            <w:tcW w:w="1173" w:type="pct"/>
            <w:gridSpan w:val="2"/>
          </w:tcPr>
          <w:p w14:paraId="1324FCFE" w14:textId="77777777" w:rsidR="0021177B" w:rsidRPr="00F03BA5" w:rsidRDefault="0021177B" w:rsidP="009E3B2F">
            <w:pPr>
              <w:spacing w:after="0" w:line="240" w:lineRule="auto"/>
              <w:jc w:val="center"/>
              <w:rPr>
                <w:rFonts w:ascii="Futura Std Condensed Light" w:eastAsia="Calibri" w:hAnsi="Futura Std Condensed Light" w:cs="Calibri"/>
                <w:sz w:val="20"/>
                <w:szCs w:val="20"/>
              </w:rPr>
            </w:pPr>
            <w:r w:rsidRPr="00F03BA5">
              <w:rPr>
                <w:rFonts w:ascii="Futura Std Condensed Light" w:eastAsia="Calibri" w:hAnsi="Futura Std Condensed Light" w:cs="Calibri"/>
                <w:sz w:val="20"/>
                <w:szCs w:val="20"/>
              </w:rPr>
              <w:t>Órgano de Participación social</w:t>
            </w:r>
          </w:p>
        </w:tc>
      </w:tr>
      <w:tr w:rsidR="0021177B" w:rsidRPr="00F03BA5" w14:paraId="381A981A" w14:textId="77777777" w:rsidTr="009E3B2F">
        <w:trPr>
          <w:trHeight w:val="449"/>
        </w:trPr>
        <w:tc>
          <w:tcPr>
            <w:tcW w:w="1208" w:type="pct"/>
            <w:gridSpan w:val="2"/>
          </w:tcPr>
          <w:p w14:paraId="5E9F960F" w14:textId="77777777" w:rsidR="0021177B" w:rsidRPr="00F03BA5" w:rsidRDefault="0021177B" w:rsidP="009E3B2F">
            <w:pPr>
              <w:spacing w:after="0" w:line="240" w:lineRule="auto"/>
              <w:jc w:val="center"/>
              <w:rPr>
                <w:rFonts w:ascii="Futura Std Condensed Light" w:eastAsia="Calibri" w:hAnsi="Futura Std Condensed Light" w:cs="Calibri"/>
                <w:b/>
                <w:sz w:val="20"/>
                <w:szCs w:val="20"/>
              </w:rPr>
            </w:pPr>
            <w:r w:rsidRPr="00F03BA5">
              <w:rPr>
                <w:rFonts w:ascii="Futura Std Condensed Light" w:eastAsia="Calibri" w:hAnsi="Futura Std Condensed Light" w:cs="Calibri"/>
                <w:b/>
                <w:sz w:val="20"/>
                <w:szCs w:val="20"/>
              </w:rPr>
              <w:t>Descripción:</w:t>
            </w:r>
          </w:p>
        </w:tc>
        <w:tc>
          <w:tcPr>
            <w:tcW w:w="3792" w:type="pct"/>
            <w:gridSpan w:val="10"/>
          </w:tcPr>
          <w:p w14:paraId="2B4CB077" w14:textId="77777777" w:rsidR="0021177B" w:rsidRPr="00F03BA5" w:rsidRDefault="0021177B" w:rsidP="009E3B2F">
            <w:pPr>
              <w:spacing w:after="0" w:line="240" w:lineRule="auto"/>
              <w:jc w:val="center"/>
              <w:rPr>
                <w:rFonts w:ascii="Futura Std Condensed Light" w:eastAsia="Calibri" w:hAnsi="Futura Std Condensed Light" w:cs="Calibri"/>
                <w:sz w:val="20"/>
                <w:szCs w:val="20"/>
              </w:rPr>
            </w:pPr>
            <w:r w:rsidRPr="00F03BA5">
              <w:rPr>
                <w:rFonts w:ascii="Futura Std Condensed Light" w:eastAsia="Calibri" w:hAnsi="Futura Std Condensed Light" w:cs="Calibri"/>
                <w:sz w:val="20"/>
                <w:szCs w:val="20"/>
              </w:rPr>
              <w:t>Este indicador muestra el promedio de órganos de participación social(consejos escolares, asociación de padres, comités de contraloría social, tiendas escolares) que participan en la mejora de la calidad educativa mediante la colaboración de los padres y madres de familia de las escuelas de educación básica.</w:t>
            </w:r>
          </w:p>
        </w:tc>
      </w:tr>
      <w:tr w:rsidR="0021177B" w:rsidRPr="00F03BA5" w14:paraId="7C154417" w14:textId="77777777" w:rsidTr="009E3B2F">
        <w:trPr>
          <w:trHeight w:val="484"/>
        </w:trPr>
        <w:tc>
          <w:tcPr>
            <w:tcW w:w="1806" w:type="pct"/>
            <w:gridSpan w:val="4"/>
          </w:tcPr>
          <w:p w14:paraId="6F49F33C" w14:textId="77777777" w:rsidR="0021177B" w:rsidRPr="00F03BA5" w:rsidRDefault="0021177B" w:rsidP="009E3B2F">
            <w:pPr>
              <w:spacing w:after="0" w:line="240" w:lineRule="auto"/>
              <w:jc w:val="center"/>
              <w:rPr>
                <w:rFonts w:ascii="Futura Std Condensed Light" w:eastAsia="Calibri" w:hAnsi="Futura Std Condensed Light" w:cs="Calibri"/>
                <w:b/>
                <w:sz w:val="20"/>
                <w:szCs w:val="20"/>
              </w:rPr>
            </w:pPr>
            <w:r w:rsidRPr="00F03BA5">
              <w:rPr>
                <w:rFonts w:ascii="Futura Std Condensed Light" w:eastAsia="Calibri" w:hAnsi="Futura Std Condensed Light" w:cs="Calibri"/>
                <w:b/>
                <w:sz w:val="20"/>
                <w:szCs w:val="20"/>
              </w:rPr>
              <w:t>Medio de verificación:</w:t>
            </w:r>
          </w:p>
        </w:tc>
        <w:tc>
          <w:tcPr>
            <w:tcW w:w="3194" w:type="pct"/>
            <w:gridSpan w:val="8"/>
          </w:tcPr>
          <w:p w14:paraId="0305442E" w14:textId="77777777" w:rsidR="0021177B" w:rsidRPr="00F03BA5" w:rsidRDefault="0021177B" w:rsidP="009E3B2F">
            <w:pPr>
              <w:spacing w:after="0" w:line="240" w:lineRule="auto"/>
              <w:jc w:val="center"/>
              <w:rPr>
                <w:rFonts w:ascii="Futura Std Condensed Light" w:eastAsia="Calibri" w:hAnsi="Futura Std Condensed Light" w:cs="Calibri"/>
                <w:sz w:val="20"/>
                <w:szCs w:val="20"/>
              </w:rPr>
            </w:pPr>
            <w:r w:rsidRPr="00F03BA5">
              <w:rPr>
                <w:rFonts w:ascii="Futura Std Condensed Light" w:eastAsia="Calibri" w:hAnsi="Futura Std Condensed Light" w:cs="Calibri"/>
                <w:sz w:val="20"/>
                <w:szCs w:val="20"/>
              </w:rPr>
              <w:t>Reporte de comunidades escolares que promueven la participación de los padres y madres de familia en las escuelas de educación básica, dirección de participación social.</w:t>
            </w:r>
          </w:p>
        </w:tc>
      </w:tr>
      <w:tr w:rsidR="0021177B" w:rsidRPr="00F03BA5" w14:paraId="46530200" w14:textId="77777777" w:rsidTr="009E3B2F">
        <w:trPr>
          <w:trHeight w:val="484"/>
        </w:trPr>
        <w:tc>
          <w:tcPr>
            <w:tcW w:w="1806" w:type="pct"/>
            <w:gridSpan w:val="4"/>
          </w:tcPr>
          <w:p w14:paraId="56E22D14" w14:textId="77777777" w:rsidR="0021177B" w:rsidRPr="00F03BA5" w:rsidRDefault="0021177B" w:rsidP="009E3B2F">
            <w:pPr>
              <w:spacing w:after="0" w:line="240" w:lineRule="auto"/>
              <w:jc w:val="center"/>
              <w:rPr>
                <w:rFonts w:ascii="Futura Std Condensed Light" w:eastAsia="Calibri" w:hAnsi="Futura Std Condensed Light" w:cs="Calibri"/>
                <w:b/>
                <w:sz w:val="20"/>
                <w:szCs w:val="20"/>
              </w:rPr>
            </w:pPr>
            <w:r w:rsidRPr="00F03BA5">
              <w:rPr>
                <w:rFonts w:ascii="Futura Std Condensed Light" w:eastAsia="Calibri" w:hAnsi="Futura Std Condensed Light" w:cs="Calibri"/>
                <w:b/>
                <w:sz w:val="20"/>
                <w:szCs w:val="20"/>
              </w:rPr>
              <w:t>Línea base:</w:t>
            </w:r>
          </w:p>
        </w:tc>
        <w:tc>
          <w:tcPr>
            <w:tcW w:w="904" w:type="pct"/>
            <w:gridSpan w:val="3"/>
          </w:tcPr>
          <w:p w14:paraId="3DE83973" w14:textId="77777777" w:rsidR="0021177B" w:rsidRPr="00F03BA5" w:rsidRDefault="0021177B" w:rsidP="009E3B2F">
            <w:pPr>
              <w:spacing w:after="0" w:line="240" w:lineRule="auto"/>
              <w:jc w:val="center"/>
              <w:rPr>
                <w:rFonts w:ascii="Futura Std Condensed Light" w:eastAsia="Calibri" w:hAnsi="Futura Std Condensed Light" w:cs="Calibri"/>
                <w:sz w:val="20"/>
                <w:szCs w:val="20"/>
              </w:rPr>
            </w:pPr>
            <w:r w:rsidRPr="00F03BA5">
              <w:rPr>
                <w:rFonts w:ascii="Futura Std Condensed Light" w:eastAsia="Calibri" w:hAnsi="Futura Std Condensed Light" w:cs="Calibri"/>
                <w:sz w:val="20"/>
                <w:szCs w:val="20"/>
              </w:rPr>
              <w:t>1,800</w:t>
            </w:r>
          </w:p>
        </w:tc>
        <w:tc>
          <w:tcPr>
            <w:tcW w:w="1113" w:type="pct"/>
            <w:gridSpan w:val="2"/>
          </w:tcPr>
          <w:p w14:paraId="10F0BACF" w14:textId="77777777" w:rsidR="0021177B" w:rsidRPr="00F03BA5" w:rsidRDefault="0021177B" w:rsidP="009E3B2F">
            <w:pPr>
              <w:spacing w:after="0" w:line="240" w:lineRule="auto"/>
              <w:jc w:val="center"/>
              <w:rPr>
                <w:rFonts w:ascii="Futura Std Condensed Light" w:eastAsia="Calibri" w:hAnsi="Futura Std Condensed Light" w:cs="Calibri"/>
                <w:b/>
                <w:sz w:val="20"/>
                <w:szCs w:val="20"/>
              </w:rPr>
            </w:pPr>
            <w:r w:rsidRPr="00F03BA5">
              <w:rPr>
                <w:rFonts w:ascii="Futura Std Condensed Light" w:eastAsia="Calibri" w:hAnsi="Futura Std Condensed Light" w:cs="Calibri"/>
                <w:b/>
                <w:sz w:val="20"/>
                <w:szCs w:val="20"/>
              </w:rPr>
              <w:t>Año de línea base:</w:t>
            </w:r>
          </w:p>
        </w:tc>
        <w:tc>
          <w:tcPr>
            <w:tcW w:w="1178" w:type="pct"/>
            <w:gridSpan w:val="3"/>
          </w:tcPr>
          <w:p w14:paraId="7E3B5C5B" w14:textId="77777777" w:rsidR="0021177B" w:rsidRPr="00F03BA5" w:rsidRDefault="0021177B" w:rsidP="009E3B2F">
            <w:pPr>
              <w:spacing w:after="0" w:line="240" w:lineRule="auto"/>
              <w:jc w:val="center"/>
              <w:rPr>
                <w:rFonts w:ascii="Futura Std Condensed Light" w:eastAsia="Calibri" w:hAnsi="Futura Std Condensed Light" w:cs="Calibri"/>
                <w:sz w:val="20"/>
                <w:szCs w:val="20"/>
              </w:rPr>
            </w:pPr>
            <w:r w:rsidRPr="00F03BA5">
              <w:rPr>
                <w:rFonts w:ascii="Futura Std Condensed Light" w:eastAsia="Calibri" w:hAnsi="Futura Std Condensed Light" w:cs="Calibri"/>
                <w:sz w:val="20"/>
                <w:szCs w:val="20"/>
              </w:rPr>
              <w:t>2017</w:t>
            </w:r>
          </w:p>
        </w:tc>
      </w:tr>
      <w:tr w:rsidR="0021177B" w:rsidRPr="00F03BA5" w14:paraId="66BB3FF3" w14:textId="77777777" w:rsidTr="009E3B2F">
        <w:trPr>
          <w:trHeight w:val="484"/>
        </w:trPr>
        <w:tc>
          <w:tcPr>
            <w:tcW w:w="1806" w:type="pct"/>
            <w:gridSpan w:val="4"/>
          </w:tcPr>
          <w:p w14:paraId="7980860D" w14:textId="77777777" w:rsidR="0021177B" w:rsidRPr="00F03BA5" w:rsidRDefault="0021177B" w:rsidP="009E3B2F">
            <w:pPr>
              <w:spacing w:after="0" w:line="240" w:lineRule="auto"/>
              <w:jc w:val="center"/>
              <w:rPr>
                <w:rFonts w:ascii="Futura Std Condensed Light" w:eastAsia="Calibri" w:hAnsi="Futura Std Condensed Light" w:cs="Calibri"/>
                <w:b/>
                <w:sz w:val="20"/>
                <w:szCs w:val="20"/>
              </w:rPr>
            </w:pPr>
            <w:r w:rsidRPr="00F03BA5">
              <w:rPr>
                <w:rFonts w:ascii="Futura Std Condensed Light" w:eastAsia="Calibri" w:hAnsi="Futura Std Condensed Light" w:cs="Calibri"/>
                <w:b/>
                <w:sz w:val="20"/>
                <w:szCs w:val="20"/>
              </w:rPr>
              <w:t>Contribución Directa al Objetivo de la Agenda 2030</w:t>
            </w:r>
          </w:p>
        </w:tc>
        <w:tc>
          <w:tcPr>
            <w:tcW w:w="3194" w:type="pct"/>
            <w:gridSpan w:val="8"/>
          </w:tcPr>
          <w:p w14:paraId="52A38893" w14:textId="77777777" w:rsidR="0021177B" w:rsidRPr="00F03BA5" w:rsidRDefault="0021177B" w:rsidP="009E3B2F">
            <w:pPr>
              <w:spacing w:after="0" w:line="240" w:lineRule="auto"/>
              <w:jc w:val="center"/>
              <w:rPr>
                <w:rFonts w:ascii="Futura Std Condensed Light" w:eastAsia="Calibri" w:hAnsi="Futura Std Condensed Light" w:cs="Calibri"/>
                <w:sz w:val="20"/>
                <w:szCs w:val="20"/>
              </w:rPr>
            </w:pPr>
            <w:r w:rsidRPr="00F03BA5">
              <w:rPr>
                <w:rFonts w:ascii="Futura Std Condensed Light" w:eastAsia="Calibri" w:hAnsi="Futura Std Condensed Light" w:cs="Calibri"/>
                <w:sz w:val="20"/>
                <w:szCs w:val="20"/>
              </w:rPr>
              <w:t>Garantizar una educación inclusiva, equitativa y de calidad y promover oportunidades de aprendizaje durante toda la vida para todos</w:t>
            </w:r>
          </w:p>
        </w:tc>
      </w:tr>
      <w:tr w:rsidR="0021177B" w:rsidRPr="00F03BA5" w14:paraId="563140AB" w14:textId="77777777" w:rsidTr="009E3B2F">
        <w:trPr>
          <w:trHeight w:val="484"/>
        </w:trPr>
        <w:tc>
          <w:tcPr>
            <w:tcW w:w="1806" w:type="pct"/>
            <w:gridSpan w:val="4"/>
          </w:tcPr>
          <w:p w14:paraId="3891313C" w14:textId="77777777" w:rsidR="0021177B" w:rsidRPr="00F03BA5" w:rsidRDefault="0021177B" w:rsidP="009E3B2F">
            <w:pPr>
              <w:spacing w:after="0" w:line="240" w:lineRule="auto"/>
              <w:jc w:val="center"/>
              <w:rPr>
                <w:rFonts w:ascii="Futura Std Condensed Light" w:eastAsia="Calibri" w:hAnsi="Futura Std Condensed Light" w:cs="Calibri"/>
                <w:b/>
                <w:sz w:val="20"/>
                <w:szCs w:val="20"/>
              </w:rPr>
            </w:pPr>
            <w:r w:rsidRPr="00F03BA5">
              <w:rPr>
                <w:rFonts w:ascii="Futura Std Condensed Light" w:eastAsia="Calibri" w:hAnsi="Futura Std Condensed Light" w:cs="Calibri"/>
                <w:b/>
                <w:sz w:val="20"/>
                <w:szCs w:val="20"/>
              </w:rPr>
              <w:t>Contribución Directa  a la Meta de la Agenda 2030</w:t>
            </w:r>
          </w:p>
        </w:tc>
        <w:tc>
          <w:tcPr>
            <w:tcW w:w="3194" w:type="pct"/>
            <w:gridSpan w:val="8"/>
          </w:tcPr>
          <w:p w14:paraId="351A8A1D" w14:textId="66E599FD" w:rsidR="0021177B" w:rsidRPr="00F03BA5" w:rsidRDefault="00C046A8" w:rsidP="00C046A8">
            <w:pPr>
              <w:spacing w:after="0" w:line="240" w:lineRule="auto"/>
              <w:rPr>
                <w:rFonts w:ascii="Futura Std Condensed Light" w:eastAsia="Calibri" w:hAnsi="Futura Std Condensed Light" w:cs="Calibri"/>
                <w:sz w:val="20"/>
                <w:szCs w:val="20"/>
              </w:rPr>
            </w:pPr>
            <w:r w:rsidRPr="00C046A8">
              <w:rPr>
                <w:rFonts w:ascii="Futura Std Condensed Light" w:eastAsia="Calibri" w:hAnsi="Futura Std Condensed Light" w:cs="Calibri"/>
                <w:sz w:val="20"/>
                <w:szCs w:val="20"/>
              </w:rPr>
              <w:t>De aquí a 2030, asegurar que todas las niñas y todos los niños terminen la enseñanza primaria y secundaria, que ha de ser gratuita, equitativa y de calidad y producir resultados de aprendizaje pertinentes y efectivos</w:t>
            </w:r>
          </w:p>
        </w:tc>
      </w:tr>
      <w:tr w:rsidR="0021177B" w:rsidRPr="00F03BA5" w14:paraId="36C87C26" w14:textId="77777777" w:rsidTr="009E3B2F">
        <w:trPr>
          <w:trHeight w:val="484"/>
        </w:trPr>
        <w:tc>
          <w:tcPr>
            <w:tcW w:w="1806" w:type="pct"/>
            <w:gridSpan w:val="4"/>
          </w:tcPr>
          <w:p w14:paraId="3A8ABA8F" w14:textId="77777777" w:rsidR="0021177B" w:rsidRPr="00F03BA5" w:rsidRDefault="0021177B" w:rsidP="009E3B2F">
            <w:pPr>
              <w:spacing w:after="0" w:line="240" w:lineRule="auto"/>
              <w:jc w:val="center"/>
              <w:rPr>
                <w:rFonts w:ascii="Futura Std Condensed Light" w:eastAsia="Calibri" w:hAnsi="Futura Std Condensed Light" w:cs="Calibri"/>
                <w:b/>
                <w:sz w:val="20"/>
                <w:szCs w:val="20"/>
              </w:rPr>
            </w:pPr>
            <w:r w:rsidRPr="00F03BA5">
              <w:rPr>
                <w:rFonts w:ascii="Futura Std Condensed Light" w:eastAsia="Calibri" w:hAnsi="Futura Std Condensed Light" w:cs="Calibri"/>
                <w:b/>
                <w:sz w:val="20"/>
                <w:szCs w:val="20"/>
              </w:rPr>
              <w:t>Tema / Proyecto Prioritario de Quintana Roo</w:t>
            </w:r>
          </w:p>
        </w:tc>
        <w:tc>
          <w:tcPr>
            <w:tcW w:w="3194" w:type="pct"/>
            <w:gridSpan w:val="8"/>
          </w:tcPr>
          <w:p w14:paraId="7723E300" w14:textId="77777777" w:rsidR="0021177B" w:rsidRPr="00F03BA5" w:rsidRDefault="0021177B" w:rsidP="009E3B2F">
            <w:pPr>
              <w:spacing w:after="0" w:line="240" w:lineRule="auto"/>
              <w:jc w:val="center"/>
              <w:rPr>
                <w:rFonts w:ascii="Futura Std Condensed Light" w:eastAsia="Calibri" w:hAnsi="Futura Std Condensed Light" w:cs="Calibri"/>
                <w:sz w:val="20"/>
                <w:szCs w:val="20"/>
              </w:rPr>
            </w:pPr>
            <w:r w:rsidRPr="00F03BA5">
              <w:rPr>
                <w:rFonts w:ascii="Futura Std Condensed Light" w:eastAsia="Calibri" w:hAnsi="Futura Std Condensed Light" w:cs="Calibri"/>
                <w:sz w:val="20"/>
                <w:szCs w:val="20"/>
              </w:rPr>
              <w:t>24.5 Abatir el rezago educativo</w:t>
            </w:r>
          </w:p>
        </w:tc>
      </w:tr>
      <w:tr w:rsidR="0021177B" w:rsidRPr="00F03BA5" w14:paraId="7D0746E3" w14:textId="77777777" w:rsidTr="009E3B2F">
        <w:trPr>
          <w:trHeight w:val="484"/>
        </w:trPr>
        <w:tc>
          <w:tcPr>
            <w:tcW w:w="1806" w:type="pct"/>
            <w:gridSpan w:val="4"/>
          </w:tcPr>
          <w:p w14:paraId="444F8F1A" w14:textId="77777777" w:rsidR="0021177B" w:rsidRPr="00F03BA5" w:rsidRDefault="0021177B" w:rsidP="009E3B2F">
            <w:pPr>
              <w:spacing w:after="0" w:line="240" w:lineRule="auto"/>
              <w:jc w:val="center"/>
              <w:rPr>
                <w:rFonts w:ascii="Futura Std Condensed Light" w:eastAsia="Calibri" w:hAnsi="Futura Std Condensed Light" w:cs="Calibri"/>
                <w:b/>
                <w:sz w:val="20"/>
                <w:szCs w:val="20"/>
              </w:rPr>
            </w:pPr>
            <w:r w:rsidRPr="00F03BA5">
              <w:rPr>
                <w:rFonts w:ascii="Futura Std Condensed Light" w:eastAsia="Calibri" w:hAnsi="Futura Std Condensed Light" w:cs="Calibri"/>
                <w:b/>
                <w:sz w:val="20"/>
                <w:szCs w:val="20"/>
              </w:rPr>
              <w:t>Subtema Prioritario de Quintana Roo</w:t>
            </w:r>
          </w:p>
        </w:tc>
        <w:tc>
          <w:tcPr>
            <w:tcW w:w="3194" w:type="pct"/>
            <w:gridSpan w:val="8"/>
          </w:tcPr>
          <w:p w14:paraId="3B31B55B" w14:textId="77777777" w:rsidR="0021177B" w:rsidRPr="00F03BA5" w:rsidRDefault="0021177B" w:rsidP="009E3B2F">
            <w:pPr>
              <w:spacing w:after="0" w:line="240" w:lineRule="auto"/>
              <w:jc w:val="center"/>
              <w:rPr>
                <w:rFonts w:ascii="Futura Std Condensed Light" w:eastAsia="Calibri" w:hAnsi="Futura Std Condensed Light" w:cs="Calibri"/>
                <w:sz w:val="20"/>
                <w:szCs w:val="20"/>
              </w:rPr>
            </w:pPr>
            <w:r w:rsidRPr="00F03BA5">
              <w:rPr>
                <w:rFonts w:ascii="Futura Std Condensed Light" w:eastAsia="Calibri" w:hAnsi="Futura Std Condensed Light" w:cs="Calibri"/>
                <w:sz w:val="20"/>
                <w:szCs w:val="20"/>
              </w:rPr>
              <w:t>N/A</w:t>
            </w:r>
          </w:p>
        </w:tc>
      </w:tr>
      <w:tr w:rsidR="0021177B" w:rsidRPr="00F03BA5" w14:paraId="36D2977D" w14:textId="77777777" w:rsidTr="009E3B2F">
        <w:trPr>
          <w:trHeight w:val="484"/>
        </w:trPr>
        <w:tc>
          <w:tcPr>
            <w:tcW w:w="5000" w:type="pct"/>
            <w:gridSpan w:val="12"/>
          </w:tcPr>
          <w:p w14:paraId="1B3762B6" w14:textId="77777777" w:rsidR="0021177B" w:rsidRPr="00F03BA5" w:rsidRDefault="0021177B" w:rsidP="009E3B2F">
            <w:pPr>
              <w:spacing w:after="0" w:line="240" w:lineRule="auto"/>
              <w:jc w:val="center"/>
              <w:rPr>
                <w:rFonts w:ascii="Futura Std Condensed Light" w:eastAsia="Calibri" w:hAnsi="Futura Std Condensed Light" w:cs="Calibri"/>
                <w:b/>
                <w:sz w:val="20"/>
                <w:szCs w:val="20"/>
              </w:rPr>
            </w:pPr>
            <w:r w:rsidRPr="00F03BA5">
              <w:rPr>
                <w:rFonts w:ascii="Futura Std Condensed Light" w:eastAsia="Calibri" w:hAnsi="Futura Std Condensed Light" w:cs="Calibri"/>
                <w:b/>
                <w:sz w:val="20"/>
                <w:szCs w:val="20"/>
              </w:rPr>
              <w:t>Meta Total:</w:t>
            </w:r>
          </w:p>
        </w:tc>
      </w:tr>
      <w:tr w:rsidR="0021177B" w:rsidRPr="00F03BA5" w14:paraId="37F7109E" w14:textId="77777777" w:rsidTr="009E3B2F">
        <w:trPr>
          <w:trHeight w:val="484"/>
        </w:trPr>
        <w:tc>
          <w:tcPr>
            <w:tcW w:w="781" w:type="pct"/>
          </w:tcPr>
          <w:p w14:paraId="480A792A" w14:textId="77777777" w:rsidR="0021177B" w:rsidRPr="00F03BA5" w:rsidRDefault="0021177B" w:rsidP="009E3B2F">
            <w:pPr>
              <w:spacing w:after="0" w:line="240" w:lineRule="auto"/>
              <w:jc w:val="center"/>
              <w:rPr>
                <w:rFonts w:ascii="Futura Std Condensed Light" w:eastAsia="Calibri" w:hAnsi="Futura Std Condensed Light" w:cs="Calibri"/>
                <w:b/>
                <w:sz w:val="20"/>
                <w:szCs w:val="20"/>
              </w:rPr>
            </w:pPr>
            <w:r w:rsidRPr="00F03BA5">
              <w:rPr>
                <w:rFonts w:ascii="Futura Std Condensed Light" w:eastAsia="Calibri" w:hAnsi="Futura Std Condensed Light" w:cs="Calibri"/>
                <w:b/>
                <w:sz w:val="20"/>
                <w:szCs w:val="20"/>
              </w:rPr>
              <w:t>2017</w:t>
            </w:r>
          </w:p>
        </w:tc>
        <w:tc>
          <w:tcPr>
            <w:tcW w:w="783" w:type="pct"/>
            <w:gridSpan w:val="2"/>
          </w:tcPr>
          <w:p w14:paraId="54D72988" w14:textId="77777777" w:rsidR="0021177B" w:rsidRPr="00F03BA5" w:rsidRDefault="0021177B" w:rsidP="009E3B2F">
            <w:pPr>
              <w:spacing w:after="0" w:line="240" w:lineRule="auto"/>
              <w:jc w:val="center"/>
              <w:rPr>
                <w:rFonts w:ascii="Futura Std Condensed Light" w:eastAsia="Calibri" w:hAnsi="Futura Std Condensed Light" w:cs="Calibri"/>
                <w:b/>
                <w:sz w:val="20"/>
                <w:szCs w:val="20"/>
              </w:rPr>
            </w:pPr>
            <w:r w:rsidRPr="00F03BA5">
              <w:rPr>
                <w:rFonts w:ascii="Futura Std Condensed Light" w:eastAsia="Calibri" w:hAnsi="Futura Std Condensed Light" w:cs="Calibri"/>
                <w:b/>
                <w:sz w:val="20"/>
                <w:szCs w:val="20"/>
              </w:rPr>
              <w:t>2018</w:t>
            </w:r>
          </w:p>
        </w:tc>
        <w:tc>
          <w:tcPr>
            <w:tcW w:w="904" w:type="pct"/>
            <w:gridSpan w:val="3"/>
          </w:tcPr>
          <w:p w14:paraId="5D61281C" w14:textId="77777777" w:rsidR="0021177B" w:rsidRPr="00F03BA5" w:rsidRDefault="0021177B" w:rsidP="009E3B2F">
            <w:pPr>
              <w:spacing w:after="0" w:line="240" w:lineRule="auto"/>
              <w:jc w:val="center"/>
              <w:rPr>
                <w:rFonts w:ascii="Futura Std Condensed Light" w:eastAsia="Calibri" w:hAnsi="Futura Std Condensed Light" w:cs="Calibri"/>
                <w:b/>
                <w:sz w:val="20"/>
                <w:szCs w:val="20"/>
              </w:rPr>
            </w:pPr>
            <w:r w:rsidRPr="00F03BA5">
              <w:rPr>
                <w:rFonts w:ascii="Futura Std Condensed Light" w:eastAsia="Calibri" w:hAnsi="Futura Std Condensed Light" w:cs="Calibri"/>
                <w:b/>
                <w:sz w:val="20"/>
                <w:szCs w:val="20"/>
              </w:rPr>
              <w:t>2019</w:t>
            </w:r>
          </w:p>
        </w:tc>
        <w:tc>
          <w:tcPr>
            <w:tcW w:w="723" w:type="pct"/>
            <w:gridSpan w:val="2"/>
          </w:tcPr>
          <w:p w14:paraId="734CB4FA" w14:textId="77777777" w:rsidR="0021177B" w:rsidRPr="00F03BA5" w:rsidRDefault="0021177B" w:rsidP="009E3B2F">
            <w:pPr>
              <w:spacing w:after="0" w:line="240" w:lineRule="auto"/>
              <w:jc w:val="center"/>
              <w:rPr>
                <w:rFonts w:ascii="Futura Std Condensed Light" w:eastAsia="Calibri" w:hAnsi="Futura Std Condensed Light" w:cs="Calibri"/>
                <w:b/>
                <w:sz w:val="20"/>
                <w:szCs w:val="20"/>
              </w:rPr>
            </w:pPr>
            <w:r w:rsidRPr="00F03BA5">
              <w:rPr>
                <w:rFonts w:ascii="Futura Std Condensed Light" w:eastAsia="Calibri" w:hAnsi="Futura Std Condensed Light" w:cs="Calibri"/>
                <w:b/>
                <w:sz w:val="20"/>
                <w:szCs w:val="20"/>
              </w:rPr>
              <w:t>2020</w:t>
            </w:r>
          </w:p>
        </w:tc>
        <w:tc>
          <w:tcPr>
            <w:tcW w:w="963" w:type="pct"/>
            <w:gridSpan w:val="3"/>
          </w:tcPr>
          <w:p w14:paraId="60C7CFDB" w14:textId="77777777" w:rsidR="0021177B" w:rsidRPr="00F03BA5" w:rsidRDefault="0021177B" w:rsidP="009E3B2F">
            <w:pPr>
              <w:spacing w:after="0" w:line="240" w:lineRule="auto"/>
              <w:jc w:val="center"/>
              <w:rPr>
                <w:rFonts w:ascii="Futura Std Condensed Light" w:eastAsia="Calibri" w:hAnsi="Futura Std Condensed Light" w:cs="Calibri"/>
                <w:b/>
                <w:sz w:val="20"/>
                <w:szCs w:val="20"/>
              </w:rPr>
            </w:pPr>
            <w:r w:rsidRPr="00F03BA5">
              <w:rPr>
                <w:rFonts w:ascii="Futura Std Condensed Light" w:eastAsia="Calibri" w:hAnsi="Futura Std Condensed Light" w:cs="Calibri"/>
                <w:b/>
                <w:sz w:val="20"/>
                <w:szCs w:val="20"/>
              </w:rPr>
              <w:t>2021</w:t>
            </w:r>
          </w:p>
        </w:tc>
        <w:tc>
          <w:tcPr>
            <w:tcW w:w="846" w:type="pct"/>
          </w:tcPr>
          <w:p w14:paraId="6C7DFA45" w14:textId="77777777" w:rsidR="0021177B" w:rsidRPr="00F03BA5" w:rsidRDefault="0021177B" w:rsidP="009E3B2F">
            <w:pPr>
              <w:spacing w:after="0" w:line="240" w:lineRule="auto"/>
              <w:jc w:val="center"/>
              <w:rPr>
                <w:rFonts w:ascii="Futura Std Condensed Light" w:eastAsia="Calibri" w:hAnsi="Futura Std Condensed Light" w:cs="Calibri"/>
                <w:b/>
                <w:sz w:val="20"/>
                <w:szCs w:val="20"/>
              </w:rPr>
            </w:pPr>
            <w:r w:rsidRPr="00F03BA5">
              <w:rPr>
                <w:rFonts w:ascii="Futura Std Condensed Light" w:eastAsia="Calibri" w:hAnsi="Futura Std Condensed Light" w:cs="Calibri"/>
                <w:b/>
                <w:sz w:val="20"/>
                <w:szCs w:val="20"/>
              </w:rPr>
              <w:t>2022</w:t>
            </w:r>
          </w:p>
        </w:tc>
      </w:tr>
      <w:tr w:rsidR="0021177B" w:rsidRPr="00F03BA5" w14:paraId="65771FAC" w14:textId="77777777" w:rsidTr="009E3B2F">
        <w:trPr>
          <w:trHeight w:val="484"/>
        </w:trPr>
        <w:tc>
          <w:tcPr>
            <w:tcW w:w="781" w:type="pct"/>
          </w:tcPr>
          <w:p w14:paraId="1C455870" w14:textId="77777777" w:rsidR="0021177B" w:rsidRPr="00F03BA5" w:rsidRDefault="0021177B" w:rsidP="009E3B2F">
            <w:pPr>
              <w:spacing w:after="0" w:line="240" w:lineRule="auto"/>
              <w:jc w:val="center"/>
              <w:rPr>
                <w:rFonts w:ascii="Futura Std Condensed Light" w:eastAsia="Calibri" w:hAnsi="Futura Std Condensed Light" w:cs="Calibri"/>
                <w:sz w:val="20"/>
                <w:szCs w:val="20"/>
              </w:rPr>
            </w:pPr>
            <w:r w:rsidRPr="00F03BA5">
              <w:rPr>
                <w:rFonts w:ascii="Futura Std Condensed Light" w:eastAsia="Calibri" w:hAnsi="Futura Std Condensed Light" w:cs="Calibri"/>
                <w:sz w:val="20"/>
                <w:szCs w:val="20"/>
              </w:rPr>
              <w:t>1,800</w:t>
            </w:r>
          </w:p>
        </w:tc>
        <w:tc>
          <w:tcPr>
            <w:tcW w:w="783" w:type="pct"/>
            <w:gridSpan w:val="2"/>
          </w:tcPr>
          <w:p w14:paraId="2B5E8EC4" w14:textId="77777777" w:rsidR="0021177B" w:rsidRPr="00F03BA5" w:rsidRDefault="0021177B" w:rsidP="009E3B2F">
            <w:pPr>
              <w:spacing w:after="0" w:line="240" w:lineRule="auto"/>
              <w:jc w:val="center"/>
              <w:rPr>
                <w:rFonts w:ascii="Futura Std Condensed Light" w:eastAsia="Calibri" w:hAnsi="Futura Std Condensed Light" w:cs="Calibri"/>
                <w:sz w:val="20"/>
                <w:szCs w:val="20"/>
              </w:rPr>
            </w:pPr>
            <w:r w:rsidRPr="00F03BA5">
              <w:rPr>
                <w:rFonts w:ascii="Futura Std Condensed Light" w:eastAsia="Calibri" w:hAnsi="Futura Std Condensed Light" w:cs="Calibri"/>
                <w:sz w:val="20"/>
                <w:szCs w:val="20"/>
              </w:rPr>
              <w:t>1,860</w:t>
            </w:r>
          </w:p>
        </w:tc>
        <w:tc>
          <w:tcPr>
            <w:tcW w:w="904" w:type="pct"/>
            <w:gridSpan w:val="3"/>
          </w:tcPr>
          <w:p w14:paraId="6597B304" w14:textId="77777777" w:rsidR="0021177B" w:rsidRPr="00F03BA5" w:rsidRDefault="0021177B" w:rsidP="009E3B2F">
            <w:pPr>
              <w:spacing w:after="0" w:line="240" w:lineRule="auto"/>
              <w:jc w:val="center"/>
              <w:rPr>
                <w:rFonts w:ascii="Futura Std Condensed Light" w:eastAsia="Calibri" w:hAnsi="Futura Std Condensed Light" w:cs="Calibri"/>
                <w:sz w:val="20"/>
                <w:szCs w:val="20"/>
              </w:rPr>
            </w:pPr>
            <w:r w:rsidRPr="00F03BA5">
              <w:rPr>
                <w:rFonts w:ascii="Futura Std Condensed Light" w:eastAsia="Calibri" w:hAnsi="Futura Std Condensed Light" w:cs="Calibri"/>
                <w:sz w:val="20"/>
                <w:szCs w:val="20"/>
              </w:rPr>
              <w:t>1,868</w:t>
            </w:r>
          </w:p>
        </w:tc>
        <w:tc>
          <w:tcPr>
            <w:tcW w:w="723" w:type="pct"/>
            <w:gridSpan w:val="2"/>
          </w:tcPr>
          <w:p w14:paraId="07BB9B0A" w14:textId="77777777" w:rsidR="0021177B" w:rsidRPr="00F03BA5" w:rsidRDefault="0021177B" w:rsidP="009E3B2F">
            <w:pPr>
              <w:spacing w:after="0" w:line="240" w:lineRule="auto"/>
              <w:jc w:val="center"/>
              <w:rPr>
                <w:rFonts w:ascii="Futura Std Condensed Light" w:eastAsia="Calibri" w:hAnsi="Futura Std Condensed Light" w:cs="Calibri"/>
                <w:sz w:val="20"/>
                <w:szCs w:val="20"/>
              </w:rPr>
            </w:pPr>
            <w:r w:rsidRPr="00F03BA5">
              <w:rPr>
                <w:rFonts w:ascii="Futura Std Condensed Light" w:eastAsia="Calibri" w:hAnsi="Futura Std Condensed Light" w:cs="Calibri"/>
                <w:sz w:val="20"/>
                <w:szCs w:val="20"/>
              </w:rPr>
              <w:t>1,870</w:t>
            </w:r>
          </w:p>
        </w:tc>
        <w:tc>
          <w:tcPr>
            <w:tcW w:w="963" w:type="pct"/>
            <w:gridSpan w:val="3"/>
          </w:tcPr>
          <w:p w14:paraId="43378867" w14:textId="77777777" w:rsidR="0021177B" w:rsidRPr="00F03BA5" w:rsidRDefault="0021177B" w:rsidP="009E3B2F">
            <w:pPr>
              <w:spacing w:after="0" w:line="240" w:lineRule="auto"/>
              <w:jc w:val="center"/>
              <w:rPr>
                <w:rFonts w:ascii="Futura Std Condensed Light" w:eastAsia="Calibri" w:hAnsi="Futura Std Condensed Light" w:cs="Calibri"/>
                <w:sz w:val="20"/>
                <w:szCs w:val="20"/>
              </w:rPr>
            </w:pPr>
            <w:r w:rsidRPr="00F03BA5">
              <w:rPr>
                <w:rFonts w:ascii="Futura Std Condensed Light" w:eastAsia="Calibri" w:hAnsi="Futura Std Condensed Light" w:cs="Calibri"/>
                <w:sz w:val="20"/>
                <w:szCs w:val="20"/>
              </w:rPr>
              <w:t>1,875</w:t>
            </w:r>
          </w:p>
        </w:tc>
        <w:tc>
          <w:tcPr>
            <w:tcW w:w="846" w:type="pct"/>
          </w:tcPr>
          <w:p w14:paraId="4478B2FB" w14:textId="77777777" w:rsidR="0021177B" w:rsidRPr="00F03BA5" w:rsidRDefault="0021177B" w:rsidP="009E3B2F">
            <w:pPr>
              <w:spacing w:after="0" w:line="240" w:lineRule="auto"/>
              <w:jc w:val="center"/>
              <w:rPr>
                <w:rFonts w:ascii="Futura Std Condensed Light" w:eastAsia="Calibri" w:hAnsi="Futura Std Condensed Light" w:cs="Calibri"/>
                <w:sz w:val="20"/>
                <w:szCs w:val="20"/>
              </w:rPr>
            </w:pPr>
            <w:r w:rsidRPr="00F03BA5">
              <w:rPr>
                <w:rFonts w:ascii="Futura Std Condensed Light" w:eastAsia="Calibri" w:hAnsi="Futura Std Condensed Light" w:cs="Calibri"/>
                <w:sz w:val="20"/>
                <w:szCs w:val="20"/>
              </w:rPr>
              <w:t>1,880</w:t>
            </w:r>
          </w:p>
        </w:tc>
      </w:tr>
    </w:tbl>
    <w:p w14:paraId="64574D2B" w14:textId="795C693A" w:rsidR="00DA127F" w:rsidRDefault="00DA127F" w:rsidP="00A24FEB">
      <w:pPr>
        <w:spacing w:after="0" w:line="240" w:lineRule="auto"/>
        <w:rPr>
          <w:rFonts w:ascii="Futura Std Condensed Light" w:eastAsia="Calibri" w:hAnsi="Futura Std Condensed Light" w:cs="Calibri"/>
          <w:sz w:val="20"/>
          <w:szCs w:val="20"/>
        </w:rPr>
      </w:pPr>
    </w:p>
    <w:p w14:paraId="70DB5C14" w14:textId="77777777" w:rsidR="00DA127F" w:rsidRDefault="00DA127F" w:rsidP="0021177B">
      <w:pPr>
        <w:spacing w:after="0" w:line="240" w:lineRule="auto"/>
        <w:jc w:val="center"/>
        <w:rPr>
          <w:rFonts w:ascii="Futura Std Condensed Light" w:eastAsia="Calibri" w:hAnsi="Futura Std Condensed Light" w:cs="Calibri"/>
          <w:sz w:val="20"/>
          <w:szCs w:val="20"/>
        </w:rPr>
      </w:pPr>
    </w:p>
    <w:p w14:paraId="1C1775DB" w14:textId="77777777" w:rsidR="00E05363" w:rsidRDefault="00E05363">
      <w:pPr>
        <w:spacing w:after="0" w:line="240" w:lineRule="auto"/>
        <w:jc w:val="left"/>
        <w:rPr>
          <w:rFonts w:eastAsia="Arial" w:cs="Times New Roman"/>
          <w:b/>
          <w:color w:val="4BACC6" w:themeColor="accent5"/>
        </w:rPr>
      </w:pPr>
      <w:r>
        <w:rPr>
          <w:rFonts w:eastAsia="Arial" w:cs="Times New Roman"/>
          <w:b/>
          <w:color w:val="4BACC6" w:themeColor="accent5"/>
        </w:rPr>
        <w:br w:type="page"/>
      </w:r>
    </w:p>
    <w:p w14:paraId="29CEFAFD" w14:textId="7EA85D7D" w:rsidR="0021177B" w:rsidRDefault="00FA0940" w:rsidP="0021177B">
      <w:pPr>
        <w:jc w:val="center"/>
      </w:pPr>
      <w:r>
        <w:rPr>
          <w:rFonts w:eastAsia="Arial" w:cs="Times New Roman"/>
          <w:b/>
          <w:color w:val="4BACC6" w:themeColor="accent5"/>
        </w:rPr>
        <w:lastRenderedPageBreak/>
        <w:t>Cuadro 39</w:t>
      </w:r>
      <w:r w:rsidR="0021177B">
        <w:rPr>
          <w:rFonts w:eastAsia="Arial" w:cs="Times New Roman"/>
          <w:b/>
          <w:color w:val="4BACC6" w:themeColor="accent5"/>
        </w:rPr>
        <w:t>. Entregable y meta de la línea de acción 12 del PED</w:t>
      </w:r>
    </w:p>
    <w:tbl>
      <w:tblPr>
        <w:tblStyle w:val="Tablaconcuadrcula"/>
        <w:tblW w:w="5000" w:type="pct"/>
        <w:tblLook w:val="04A0" w:firstRow="1" w:lastRow="0" w:firstColumn="1" w:lastColumn="0" w:noHBand="0" w:noVBand="1"/>
      </w:tblPr>
      <w:tblGrid>
        <w:gridCol w:w="1489"/>
        <w:gridCol w:w="230"/>
        <w:gridCol w:w="1263"/>
        <w:gridCol w:w="462"/>
        <w:gridCol w:w="689"/>
        <w:gridCol w:w="574"/>
        <w:gridCol w:w="462"/>
        <w:gridCol w:w="919"/>
        <w:gridCol w:w="1837"/>
        <w:gridCol w:w="1612"/>
      </w:tblGrid>
      <w:tr w:rsidR="0086391F" w:rsidRPr="00060E8E" w14:paraId="4DA31F93" w14:textId="77777777" w:rsidTr="00060E8E">
        <w:trPr>
          <w:trHeight w:val="182"/>
        </w:trPr>
        <w:tc>
          <w:tcPr>
            <w:tcW w:w="1806" w:type="pct"/>
            <w:gridSpan w:val="4"/>
            <w:shd w:val="clear" w:color="auto" w:fill="A6A6A6" w:themeFill="background1" w:themeFillShade="A6"/>
          </w:tcPr>
          <w:p w14:paraId="047F72D6" w14:textId="77777777" w:rsidR="0021177B" w:rsidRPr="00060E8E" w:rsidRDefault="0021177B" w:rsidP="009E3B2F">
            <w:pPr>
              <w:spacing w:after="0" w:line="240" w:lineRule="auto"/>
              <w:jc w:val="center"/>
              <w:rPr>
                <w:rFonts w:ascii="Futura Std Condensed Light" w:eastAsia="Calibri" w:hAnsi="Futura Std Condensed Light" w:cs="Calibri"/>
                <w:color w:val="auto"/>
                <w:sz w:val="20"/>
                <w:szCs w:val="20"/>
              </w:rPr>
            </w:pPr>
            <w:r w:rsidRPr="00060E8E">
              <w:rPr>
                <w:rFonts w:ascii="Futura Std Condensed Light" w:eastAsia="Calibri" w:hAnsi="Futura Std Condensed Light" w:cs="Calibri"/>
                <w:color w:val="auto"/>
                <w:sz w:val="20"/>
                <w:szCs w:val="20"/>
              </w:rPr>
              <w:t>Programa PED</w:t>
            </w:r>
          </w:p>
        </w:tc>
        <w:tc>
          <w:tcPr>
            <w:tcW w:w="3194" w:type="pct"/>
            <w:gridSpan w:val="6"/>
            <w:shd w:val="clear" w:color="auto" w:fill="A6A6A6" w:themeFill="background1" w:themeFillShade="A6"/>
          </w:tcPr>
          <w:p w14:paraId="286534B1" w14:textId="77777777" w:rsidR="0021177B" w:rsidRPr="00060E8E" w:rsidRDefault="0021177B" w:rsidP="009E3B2F">
            <w:pPr>
              <w:spacing w:after="0" w:line="240" w:lineRule="auto"/>
              <w:jc w:val="center"/>
              <w:rPr>
                <w:rFonts w:ascii="Futura Std Condensed Light" w:eastAsia="Calibri" w:hAnsi="Futura Std Condensed Light" w:cs="Calibri"/>
                <w:color w:val="auto"/>
                <w:sz w:val="20"/>
                <w:szCs w:val="20"/>
              </w:rPr>
            </w:pPr>
            <w:r w:rsidRPr="00060E8E">
              <w:rPr>
                <w:rFonts w:ascii="Futura Std Condensed Light" w:eastAsia="Calibri" w:hAnsi="Futura Std Condensed Light" w:cs="Calibri"/>
                <w:color w:val="auto"/>
                <w:sz w:val="20"/>
                <w:szCs w:val="20"/>
              </w:rPr>
              <w:t>Programa Sectorial Educación Pública de Calidad</w:t>
            </w:r>
          </w:p>
        </w:tc>
      </w:tr>
      <w:tr w:rsidR="0021177B" w:rsidRPr="00AA4D97" w14:paraId="77CCCD5A" w14:textId="77777777" w:rsidTr="009E3B2F">
        <w:trPr>
          <w:trHeight w:val="469"/>
        </w:trPr>
        <w:tc>
          <w:tcPr>
            <w:tcW w:w="1806" w:type="pct"/>
            <w:gridSpan w:val="4"/>
          </w:tcPr>
          <w:p w14:paraId="05FF29DD" w14:textId="77777777" w:rsidR="0021177B" w:rsidRPr="00AA4D97" w:rsidRDefault="0021177B" w:rsidP="009E3B2F">
            <w:pPr>
              <w:spacing w:after="0" w:line="240" w:lineRule="auto"/>
              <w:jc w:val="center"/>
              <w:rPr>
                <w:rFonts w:ascii="Futura Std Condensed Light" w:eastAsia="Calibri" w:hAnsi="Futura Std Condensed Light" w:cs="Calibri"/>
                <w:b/>
                <w:sz w:val="20"/>
                <w:szCs w:val="20"/>
              </w:rPr>
            </w:pPr>
            <w:r w:rsidRPr="00AA4D97">
              <w:rPr>
                <w:rFonts w:ascii="Futura Std Condensed Light" w:eastAsia="Calibri" w:hAnsi="Futura Std Condensed Light" w:cs="Calibri"/>
                <w:b/>
                <w:sz w:val="20"/>
                <w:szCs w:val="20"/>
              </w:rPr>
              <w:t>Línea de acción:</w:t>
            </w:r>
          </w:p>
        </w:tc>
        <w:tc>
          <w:tcPr>
            <w:tcW w:w="3194" w:type="pct"/>
            <w:gridSpan w:val="6"/>
          </w:tcPr>
          <w:p w14:paraId="28F5C67F" w14:textId="77777777" w:rsidR="0021177B" w:rsidRPr="00AA4D97" w:rsidRDefault="0021177B" w:rsidP="009E3B2F">
            <w:pPr>
              <w:spacing w:after="0" w:line="240" w:lineRule="auto"/>
              <w:jc w:val="center"/>
              <w:rPr>
                <w:rFonts w:ascii="Futura Std Condensed Light" w:eastAsia="Calibri" w:hAnsi="Futura Std Condensed Light" w:cs="Calibri"/>
                <w:sz w:val="20"/>
                <w:szCs w:val="20"/>
              </w:rPr>
            </w:pPr>
            <w:r w:rsidRPr="00AA4D97">
              <w:rPr>
                <w:rFonts w:ascii="Futura Std Condensed Light" w:eastAsia="Calibri" w:hAnsi="Futura Std Condensed Light" w:cs="Calibri"/>
                <w:sz w:val="20"/>
                <w:szCs w:val="20"/>
              </w:rPr>
              <w:t>12.   Impulsar un programa para fortalecer la comprensión de lectura, escritura y pensamiento lógico matemático en escuelas de todos los niveles.</w:t>
            </w:r>
          </w:p>
        </w:tc>
      </w:tr>
      <w:tr w:rsidR="0021177B" w:rsidRPr="00AA4D97" w14:paraId="5F4A8441" w14:textId="77777777" w:rsidTr="009E3B2F">
        <w:trPr>
          <w:trHeight w:val="484"/>
        </w:trPr>
        <w:tc>
          <w:tcPr>
            <w:tcW w:w="1806" w:type="pct"/>
            <w:gridSpan w:val="4"/>
          </w:tcPr>
          <w:p w14:paraId="06EEE006" w14:textId="77777777" w:rsidR="0021177B" w:rsidRPr="00AA4D97" w:rsidRDefault="0021177B" w:rsidP="009E3B2F">
            <w:pPr>
              <w:spacing w:after="0" w:line="240" w:lineRule="auto"/>
              <w:jc w:val="center"/>
              <w:rPr>
                <w:rFonts w:ascii="Futura Std Condensed Light" w:eastAsia="Calibri" w:hAnsi="Futura Std Condensed Light" w:cs="Calibri"/>
                <w:b/>
                <w:sz w:val="20"/>
                <w:szCs w:val="20"/>
              </w:rPr>
            </w:pPr>
            <w:r w:rsidRPr="00AA4D97">
              <w:rPr>
                <w:rFonts w:ascii="Futura Std Condensed Light" w:eastAsia="Calibri" w:hAnsi="Futura Std Condensed Light" w:cs="Calibri"/>
                <w:b/>
                <w:sz w:val="20"/>
                <w:szCs w:val="20"/>
              </w:rPr>
              <w:t>Plan Estratégico Objetivo Especifico</w:t>
            </w:r>
          </w:p>
        </w:tc>
        <w:tc>
          <w:tcPr>
            <w:tcW w:w="3194" w:type="pct"/>
            <w:gridSpan w:val="6"/>
          </w:tcPr>
          <w:p w14:paraId="1514F011" w14:textId="77777777" w:rsidR="0021177B" w:rsidRPr="00AA4D97" w:rsidRDefault="0021177B" w:rsidP="009E3B2F">
            <w:pPr>
              <w:spacing w:after="0" w:line="240" w:lineRule="auto"/>
              <w:jc w:val="center"/>
              <w:rPr>
                <w:rFonts w:ascii="Futura Std Condensed Light" w:eastAsia="Calibri" w:hAnsi="Futura Std Condensed Light" w:cs="Calibri"/>
                <w:sz w:val="20"/>
                <w:szCs w:val="20"/>
              </w:rPr>
            </w:pPr>
            <w:r w:rsidRPr="00AA4D97">
              <w:rPr>
                <w:rFonts w:ascii="Futura Std Condensed Light" w:eastAsia="Calibri" w:hAnsi="Futura Std Condensed Light" w:cs="Calibri"/>
                <w:sz w:val="20"/>
                <w:szCs w:val="20"/>
              </w:rPr>
              <w:t>Disminuir la desigualdad en sus diversas formas </w:t>
            </w:r>
          </w:p>
        </w:tc>
      </w:tr>
      <w:tr w:rsidR="0021177B" w:rsidRPr="00AA4D97" w14:paraId="4F9FD5E1" w14:textId="77777777" w:rsidTr="009E3B2F">
        <w:trPr>
          <w:trHeight w:val="484"/>
        </w:trPr>
        <w:tc>
          <w:tcPr>
            <w:tcW w:w="902" w:type="pct"/>
            <w:gridSpan w:val="2"/>
          </w:tcPr>
          <w:p w14:paraId="48C0A7C6" w14:textId="77777777" w:rsidR="0021177B" w:rsidRPr="00AA4D97" w:rsidRDefault="0021177B" w:rsidP="009E3B2F">
            <w:pPr>
              <w:spacing w:after="0" w:line="240" w:lineRule="auto"/>
              <w:jc w:val="center"/>
              <w:rPr>
                <w:rFonts w:ascii="Futura Std Condensed Light" w:eastAsia="Calibri" w:hAnsi="Futura Std Condensed Light" w:cs="Calibri"/>
                <w:b/>
                <w:sz w:val="20"/>
                <w:szCs w:val="20"/>
              </w:rPr>
            </w:pPr>
            <w:r w:rsidRPr="00AA4D97">
              <w:rPr>
                <w:rFonts w:ascii="Futura Std Condensed Light" w:eastAsia="Calibri" w:hAnsi="Futura Std Condensed Light" w:cs="Calibri"/>
                <w:b/>
                <w:sz w:val="20"/>
                <w:szCs w:val="20"/>
              </w:rPr>
              <w:t>Entregable:</w:t>
            </w:r>
          </w:p>
        </w:tc>
        <w:tc>
          <w:tcPr>
            <w:tcW w:w="1265" w:type="pct"/>
            <w:gridSpan w:val="3"/>
          </w:tcPr>
          <w:p w14:paraId="21F141EE" w14:textId="77777777" w:rsidR="0021177B" w:rsidRPr="00AA4D97" w:rsidRDefault="0021177B" w:rsidP="009E3B2F">
            <w:pPr>
              <w:spacing w:after="0" w:line="240" w:lineRule="auto"/>
              <w:jc w:val="center"/>
              <w:rPr>
                <w:rFonts w:ascii="Futura Std Condensed Light" w:eastAsia="Calibri" w:hAnsi="Futura Std Condensed Light" w:cs="Calibri"/>
                <w:sz w:val="20"/>
                <w:szCs w:val="20"/>
              </w:rPr>
            </w:pPr>
            <w:r w:rsidRPr="00AA4D97">
              <w:rPr>
                <w:rFonts w:ascii="Futura Std Condensed Light" w:eastAsia="Calibri" w:hAnsi="Futura Std Condensed Light" w:cs="Calibri"/>
                <w:sz w:val="20"/>
                <w:szCs w:val="20"/>
              </w:rPr>
              <w:t>Programa para fortalecer la comprensión de lectura, escritura y pensamiento lógico matemático.</w:t>
            </w:r>
          </w:p>
        </w:tc>
        <w:tc>
          <w:tcPr>
            <w:tcW w:w="1024" w:type="pct"/>
            <w:gridSpan w:val="3"/>
          </w:tcPr>
          <w:p w14:paraId="3F7B099F" w14:textId="77777777" w:rsidR="0021177B" w:rsidRPr="00AA4D97" w:rsidRDefault="0021177B" w:rsidP="009E3B2F">
            <w:pPr>
              <w:spacing w:after="0" w:line="240" w:lineRule="auto"/>
              <w:jc w:val="center"/>
              <w:rPr>
                <w:rFonts w:ascii="Futura Std Condensed Light" w:eastAsia="Calibri" w:hAnsi="Futura Std Condensed Light" w:cs="Calibri"/>
                <w:b/>
                <w:sz w:val="20"/>
                <w:szCs w:val="20"/>
              </w:rPr>
            </w:pPr>
            <w:r w:rsidRPr="00AA4D97">
              <w:rPr>
                <w:rFonts w:ascii="Futura Std Condensed Light" w:eastAsia="Calibri" w:hAnsi="Futura Std Condensed Light" w:cs="Calibri"/>
                <w:b/>
                <w:sz w:val="20"/>
                <w:szCs w:val="20"/>
              </w:rPr>
              <w:t>Unidad de Medida:</w:t>
            </w:r>
          </w:p>
        </w:tc>
        <w:tc>
          <w:tcPr>
            <w:tcW w:w="1809" w:type="pct"/>
            <w:gridSpan w:val="2"/>
          </w:tcPr>
          <w:p w14:paraId="6E2D0182" w14:textId="77777777" w:rsidR="0021177B" w:rsidRPr="00AA4D97" w:rsidRDefault="0021177B" w:rsidP="009E3B2F">
            <w:pPr>
              <w:spacing w:after="0" w:line="240" w:lineRule="auto"/>
              <w:jc w:val="center"/>
              <w:rPr>
                <w:rFonts w:ascii="Futura Std Condensed Light" w:eastAsia="Calibri" w:hAnsi="Futura Std Condensed Light" w:cs="Calibri"/>
                <w:sz w:val="20"/>
                <w:szCs w:val="20"/>
              </w:rPr>
            </w:pPr>
            <w:r w:rsidRPr="00AA4D97">
              <w:rPr>
                <w:rFonts w:ascii="Futura Std Condensed Light" w:eastAsia="Calibri" w:hAnsi="Futura Std Condensed Light" w:cs="Calibri"/>
                <w:sz w:val="20"/>
                <w:szCs w:val="20"/>
              </w:rPr>
              <w:t>Docente formado</w:t>
            </w:r>
          </w:p>
        </w:tc>
      </w:tr>
      <w:tr w:rsidR="0021177B" w:rsidRPr="00AA4D97" w14:paraId="4E3028BF" w14:textId="77777777" w:rsidTr="009E3B2F">
        <w:trPr>
          <w:trHeight w:val="449"/>
        </w:trPr>
        <w:tc>
          <w:tcPr>
            <w:tcW w:w="902" w:type="pct"/>
            <w:gridSpan w:val="2"/>
          </w:tcPr>
          <w:p w14:paraId="41DD0A1B" w14:textId="77777777" w:rsidR="0021177B" w:rsidRPr="00AA4D97" w:rsidRDefault="0021177B" w:rsidP="009E3B2F">
            <w:pPr>
              <w:spacing w:after="0" w:line="240" w:lineRule="auto"/>
              <w:jc w:val="center"/>
              <w:rPr>
                <w:rFonts w:ascii="Futura Std Condensed Light" w:eastAsia="Calibri" w:hAnsi="Futura Std Condensed Light" w:cs="Calibri"/>
                <w:b/>
                <w:sz w:val="20"/>
                <w:szCs w:val="20"/>
              </w:rPr>
            </w:pPr>
            <w:r w:rsidRPr="00AA4D97">
              <w:rPr>
                <w:rFonts w:ascii="Futura Std Condensed Light" w:eastAsia="Calibri" w:hAnsi="Futura Std Condensed Light" w:cs="Calibri"/>
                <w:b/>
                <w:sz w:val="20"/>
                <w:szCs w:val="20"/>
              </w:rPr>
              <w:t>Descripción:</w:t>
            </w:r>
          </w:p>
        </w:tc>
        <w:tc>
          <w:tcPr>
            <w:tcW w:w="4098" w:type="pct"/>
            <w:gridSpan w:val="8"/>
          </w:tcPr>
          <w:p w14:paraId="57D980D4" w14:textId="77777777" w:rsidR="0021177B" w:rsidRPr="00AA4D97" w:rsidRDefault="0021177B" w:rsidP="009E3B2F">
            <w:pPr>
              <w:spacing w:after="0" w:line="240" w:lineRule="auto"/>
              <w:jc w:val="center"/>
              <w:rPr>
                <w:rFonts w:ascii="Futura Std Condensed Light" w:eastAsia="Calibri" w:hAnsi="Futura Std Condensed Light" w:cs="Calibri"/>
                <w:sz w:val="20"/>
                <w:szCs w:val="20"/>
              </w:rPr>
            </w:pPr>
            <w:r w:rsidRPr="00AA4D97">
              <w:rPr>
                <w:rFonts w:ascii="Futura Std Condensed Light" w:eastAsia="Calibri" w:hAnsi="Futura Std Condensed Light" w:cs="Calibri"/>
                <w:sz w:val="20"/>
                <w:szCs w:val="20"/>
              </w:rPr>
              <w:t xml:space="preserve">A través del programa desarrollo de aprendizajes significativos de educación básica, se fortalecerá a docente de las escuelas públicas beneficiadas que presentan los niveles más bajos con base a las pruebas planea 2018 (primaria) y 2017 (secundaria), que se encuentren dentro de los polígonos de alta violencia y zonas de alta marginación y extrema pobreza, en los niveles de preescolar general, primaria general, centro de atención múltiple secundaria y secundaria en sus tres modalidades, sin CONAFE. </w:t>
            </w:r>
          </w:p>
        </w:tc>
      </w:tr>
      <w:tr w:rsidR="0021177B" w:rsidRPr="00AA4D97" w14:paraId="5B1348A4" w14:textId="77777777" w:rsidTr="009E3B2F">
        <w:trPr>
          <w:trHeight w:val="484"/>
        </w:trPr>
        <w:tc>
          <w:tcPr>
            <w:tcW w:w="1806" w:type="pct"/>
            <w:gridSpan w:val="4"/>
          </w:tcPr>
          <w:p w14:paraId="2897F829" w14:textId="77777777" w:rsidR="0021177B" w:rsidRPr="00AA4D97" w:rsidRDefault="0021177B" w:rsidP="009E3B2F">
            <w:pPr>
              <w:spacing w:after="0" w:line="240" w:lineRule="auto"/>
              <w:jc w:val="center"/>
              <w:rPr>
                <w:rFonts w:ascii="Futura Std Condensed Light" w:eastAsia="Calibri" w:hAnsi="Futura Std Condensed Light" w:cs="Calibri"/>
                <w:b/>
                <w:sz w:val="20"/>
                <w:szCs w:val="20"/>
              </w:rPr>
            </w:pPr>
            <w:r w:rsidRPr="00AA4D97">
              <w:rPr>
                <w:rFonts w:ascii="Futura Std Condensed Light" w:eastAsia="Calibri" w:hAnsi="Futura Std Condensed Light" w:cs="Calibri"/>
                <w:b/>
                <w:sz w:val="20"/>
                <w:szCs w:val="20"/>
              </w:rPr>
              <w:t>Medio de verificación:</w:t>
            </w:r>
          </w:p>
        </w:tc>
        <w:tc>
          <w:tcPr>
            <w:tcW w:w="3194" w:type="pct"/>
            <w:gridSpan w:val="6"/>
          </w:tcPr>
          <w:p w14:paraId="69180F63" w14:textId="77777777" w:rsidR="0021177B" w:rsidRPr="00AA4D97" w:rsidRDefault="0021177B" w:rsidP="009E3B2F">
            <w:pPr>
              <w:spacing w:after="0" w:line="240" w:lineRule="auto"/>
              <w:jc w:val="center"/>
              <w:rPr>
                <w:rFonts w:ascii="Futura Std Condensed Light" w:eastAsia="Calibri" w:hAnsi="Futura Std Condensed Light" w:cs="Calibri"/>
                <w:sz w:val="20"/>
                <w:szCs w:val="20"/>
              </w:rPr>
            </w:pPr>
            <w:r w:rsidRPr="00AA4D97">
              <w:rPr>
                <w:rFonts w:ascii="Futura Std Condensed Light" w:eastAsia="Calibri" w:hAnsi="Futura Std Condensed Light" w:cs="Calibri"/>
                <w:sz w:val="20"/>
                <w:szCs w:val="20"/>
              </w:rPr>
              <w:t>Lista de docentes de las escuelas beneficiadas.</w:t>
            </w:r>
          </w:p>
        </w:tc>
      </w:tr>
      <w:tr w:rsidR="0021177B" w:rsidRPr="00AA4D97" w14:paraId="03635158" w14:textId="77777777" w:rsidTr="009E3B2F">
        <w:trPr>
          <w:trHeight w:val="484"/>
        </w:trPr>
        <w:tc>
          <w:tcPr>
            <w:tcW w:w="1806" w:type="pct"/>
            <w:gridSpan w:val="4"/>
          </w:tcPr>
          <w:p w14:paraId="0DD6A934" w14:textId="77777777" w:rsidR="0021177B" w:rsidRPr="00AA4D97" w:rsidRDefault="0021177B" w:rsidP="009E3B2F">
            <w:pPr>
              <w:spacing w:after="0" w:line="240" w:lineRule="auto"/>
              <w:jc w:val="center"/>
              <w:rPr>
                <w:rFonts w:ascii="Futura Std Condensed Light" w:eastAsia="Calibri" w:hAnsi="Futura Std Condensed Light" w:cs="Calibri"/>
                <w:b/>
                <w:sz w:val="20"/>
                <w:szCs w:val="20"/>
              </w:rPr>
            </w:pPr>
            <w:r w:rsidRPr="00AA4D97">
              <w:rPr>
                <w:rFonts w:ascii="Futura Std Condensed Light" w:eastAsia="Calibri" w:hAnsi="Futura Std Condensed Light" w:cs="Calibri"/>
                <w:b/>
                <w:sz w:val="20"/>
                <w:szCs w:val="20"/>
              </w:rPr>
              <w:t>Línea base:</w:t>
            </w:r>
          </w:p>
        </w:tc>
        <w:tc>
          <w:tcPr>
            <w:tcW w:w="904" w:type="pct"/>
            <w:gridSpan w:val="3"/>
          </w:tcPr>
          <w:p w14:paraId="7F25D966" w14:textId="77777777" w:rsidR="0021177B" w:rsidRPr="00AA4D97" w:rsidRDefault="0021177B" w:rsidP="009E3B2F">
            <w:pPr>
              <w:spacing w:after="0" w:line="240" w:lineRule="auto"/>
              <w:jc w:val="center"/>
              <w:rPr>
                <w:rFonts w:ascii="Futura Std Condensed Light" w:eastAsia="Calibri" w:hAnsi="Futura Std Condensed Light" w:cs="Calibri"/>
                <w:sz w:val="20"/>
                <w:szCs w:val="20"/>
              </w:rPr>
            </w:pPr>
            <w:r w:rsidRPr="00AA4D97">
              <w:rPr>
                <w:rFonts w:ascii="Futura Std Condensed Light" w:eastAsia="Calibri" w:hAnsi="Futura Std Condensed Light" w:cs="Calibri"/>
                <w:sz w:val="20"/>
                <w:szCs w:val="20"/>
              </w:rPr>
              <w:t>0</w:t>
            </w:r>
          </w:p>
        </w:tc>
        <w:tc>
          <w:tcPr>
            <w:tcW w:w="482" w:type="pct"/>
          </w:tcPr>
          <w:p w14:paraId="6A121005" w14:textId="77777777" w:rsidR="0021177B" w:rsidRPr="00AA4D97" w:rsidRDefault="0021177B" w:rsidP="009E3B2F">
            <w:pPr>
              <w:spacing w:after="0" w:line="240" w:lineRule="auto"/>
              <w:jc w:val="center"/>
              <w:rPr>
                <w:rFonts w:ascii="Futura Std Condensed Light" w:eastAsia="Calibri" w:hAnsi="Futura Std Condensed Light" w:cs="Calibri"/>
                <w:b/>
                <w:sz w:val="20"/>
                <w:szCs w:val="20"/>
              </w:rPr>
            </w:pPr>
            <w:r w:rsidRPr="00AA4D97">
              <w:rPr>
                <w:rFonts w:ascii="Futura Std Condensed Light" w:eastAsia="Calibri" w:hAnsi="Futura Std Condensed Light" w:cs="Calibri"/>
                <w:b/>
                <w:sz w:val="20"/>
                <w:szCs w:val="20"/>
              </w:rPr>
              <w:t>Año de línea base:</w:t>
            </w:r>
          </w:p>
        </w:tc>
        <w:tc>
          <w:tcPr>
            <w:tcW w:w="1809" w:type="pct"/>
            <w:gridSpan w:val="2"/>
          </w:tcPr>
          <w:p w14:paraId="51FD744B" w14:textId="77777777" w:rsidR="0021177B" w:rsidRPr="00AA4D97" w:rsidRDefault="0021177B" w:rsidP="009E3B2F">
            <w:pPr>
              <w:spacing w:after="0" w:line="240" w:lineRule="auto"/>
              <w:jc w:val="center"/>
              <w:rPr>
                <w:rFonts w:ascii="Futura Std Condensed Light" w:eastAsia="Calibri" w:hAnsi="Futura Std Condensed Light" w:cs="Calibri"/>
                <w:sz w:val="20"/>
                <w:szCs w:val="20"/>
              </w:rPr>
            </w:pPr>
            <w:r w:rsidRPr="00AA4D97">
              <w:rPr>
                <w:rFonts w:ascii="Futura Std Condensed Light" w:eastAsia="Calibri" w:hAnsi="Futura Std Condensed Light" w:cs="Calibri"/>
                <w:sz w:val="20"/>
                <w:szCs w:val="20"/>
              </w:rPr>
              <w:t>2016</w:t>
            </w:r>
          </w:p>
        </w:tc>
      </w:tr>
      <w:tr w:rsidR="0021177B" w:rsidRPr="00AA4D97" w14:paraId="7BF19F40" w14:textId="77777777" w:rsidTr="009E3B2F">
        <w:trPr>
          <w:trHeight w:val="484"/>
        </w:trPr>
        <w:tc>
          <w:tcPr>
            <w:tcW w:w="1806" w:type="pct"/>
            <w:gridSpan w:val="4"/>
          </w:tcPr>
          <w:p w14:paraId="14344642" w14:textId="77777777" w:rsidR="0021177B" w:rsidRPr="00AA4D97" w:rsidRDefault="0021177B" w:rsidP="009E3B2F">
            <w:pPr>
              <w:spacing w:after="0" w:line="240" w:lineRule="auto"/>
              <w:jc w:val="center"/>
              <w:rPr>
                <w:rFonts w:ascii="Futura Std Condensed Light" w:eastAsia="Calibri" w:hAnsi="Futura Std Condensed Light" w:cs="Calibri"/>
                <w:b/>
                <w:sz w:val="20"/>
                <w:szCs w:val="20"/>
              </w:rPr>
            </w:pPr>
            <w:r w:rsidRPr="00AA4D97">
              <w:rPr>
                <w:rFonts w:ascii="Futura Std Condensed Light" w:eastAsia="Calibri" w:hAnsi="Futura Std Condensed Light" w:cs="Calibri"/>
                <w:b/>
                <w:sz w:val="20"/>
                <w:szCs w:val="20"/>
              </w:rPr>
              <w:t>Contribución Directa al Objetivo de la Agenda 2030</w:t>
            </w:r>
          </w:p>
        </w:tc>
        <w:tc>
          <w:tcPr>
            <w:tcW w:w="3194" w:type="pct"/>
            <w:gridSpan w:val="6"/>
          </w:tcPr>
          <w:p w14:paraId="347808AD" w14:textId="77777777" w:rsidR="0021177B" w:rsidRPr="00AA4D97" w:rsidRDefault="0021177B" w:rsidP="009E3B2F">
            <w:pPr>
              <w:spacing w:after="0" w:line="240" w:lineRule="auto"/>
              <w:jc w:val="center"/>
              <w:rPr>
                <w:rFonts w:ascii="Futura Std Condensed Light" w:eastAsia="Calibri" w:hAnsi="Futura Std Condensed Light" w:cs="Calibri"/>
                <w:sz w:val="20"/>
                <w:szCs w:val="20"/>
              </w:rPr>
            </w:pPr>
            <w:r w:rsidRPr="00AA4D97">
              <w:rPr>
                <w:rFonts w:ascii="Futura Std Condensed Light" w:eastAsia="Calibri" w:hAnsi="Futura Std Condensed Light" w:cs="Calibri"/>
                <w:sz w:val="20"/>
                <w:szCs w:val="20"/>
              </w:rPr>
              <w:t>Garantizar una educación inclusiva, equitativa y de calidad y promover oportunidades de aprendizaje durante toda la vida para todos</w:t>
            </w:r>
          </w:p>
        </w:tc>
      </w:tr>
      <w:tr w:rsidR="0021177B" w:rsidRPr="00AA4D97" w14:paraId="26069B58" w14:textId="77777777" w:rsidTr="009E3B2F">
        <w:trPr>
          <w:trHeight w:val="484"/>
        </w:trPr>
        <w:tc>
          <w:tcPr>
            <w:tcW w:w="1806" w:type="pct"/>
            <w:gridSpan w:val="4"/>
          </w:tcPr>
          <w:p w14:paraId="7F77423F" w14:textId="77777777" w:rsidR="0021177B" w:rsidRPr="00AA4D97" w:rsidRDefault="0021177B" w:rsidP="009E3B2F">
            <w:pPr>
              <w:spacing w:after="0" w:line="240" w:lineRule="auto"/>
              <w:jc w:val="center"/>
              <w:rPr>
                <w:rFonts w:ascii="Futura Std Condensed Light" w:eastAsia="Calibri" w:hAnsi="Futura Std Condensed Light" w:cs="Calibri"/>
                <w:b/>
                <w:sz w:val="20"/>
                <w:szCs w:val="20"/>
              </w:rPr>
            </w:pPr>
            <w:r w:rsidRPr="00AA4D97">
              <w:rPr>
                <w:rFonts w:ascii="Futura Std Condensed Light" w:eastAsia="Calibri" w:hAnsi="Futura Std Condensed Light" w:cs="Calibri"/>
                <w:b/>
                <w:sz w:val="20"/>
                <w:szCs w:val="20"/>
              </w:rPr>
              <w:t>Contribución Directa  a la Meta de la Agenda 2030</w:t>
            </w:r>
          </w:p>
        </w:tc>
        <w:tc>
          <w:tcPr>
            <w:tcW w:w="3194" w:type="pct"/>
            <w:gridSpan w:val="6"/>
          </w:tcPr>
          <w:p w14:paraId="1D356F96" w14:textId="55F8B61F" w:rsidR="0021177B" w:rsidRPr="00AA4D97" w:rsidRDefault="00C046A8" w:rsidP="009E3B2F">
            <w:pPr>
              <w:spacing w:after="0" w:line="240" w:lineRule="auto"/>
              <w:jc w:val="center"/>
              <w:rPr>
                <w:rFonts w:ascii="Futura Std Condensed Light" w:eastAsia="Calibri" w:hAnsi="Futura Std Condensed Light" w:cs="Calibri"/>
                <w:sz w:val="20"/>
                <w:szCs w:val="20"/>
              </w:rPr>
            </w:pPr>
            <w:r w:rsidRPr="00C046A8">
              <w:rPr>
                <w:rFonts w:ascii="Futura Std Condensed Light" w:eastAsia="Calibri" w:hAnsi="Futura Std Condensed Light" w:cs="Calibri"/>
                <w:sz w:val="20"/>
                <w:szCs w:val="20"/>
              </w:rPr>
              <w:t>De aquí a 2030, asegurar que todas las niñas y todos los niños terminen la enseñanza primaria y secundaria, que ha de ser gratuita, equitativa y de calidad y producir resultados de aprendizaje pertinentes y efectivos</w:t>
            </w:r>
          </w:p>
        </w:tc>
      </w:tr>
      <w:tr w:rsidR="0021177B" w:rsidRPr="00AA4D97" w14:paraId="1E65C7D2" w14:textId="77777777" w:rsidTr="009E3B2F">
        <w:trPr>
          <w:trHeight w:val="484"/>
        </w:trPr>
        <w:tc>
          <w:tcPr>
            <w:tcW w:w="1806" w:type="pct"/>
            <w:gridSpan w:val="4"/>
          </w:tcPr>
          <w:p w14:paraId="66824E3E" w14:textId="77777777" w:rsidR="0021177B" w:rsidRPr="00AA4D97" w:rsidRDefault="0021177B" w:rsidP="009E3B2F">
            <w:pPr>
              <w:spacing w:after="0" w:line="240" w:lineRule="auto"/>
              <w:jc w:val="center"/>
              <w:rPr>
                <w:rFonts w:ascii="Futura Std Condensed Light" w:eastAsia="Calibri" w:hAnsi="Futura Std Condensed Light" w:cs="Calibri"/>
                <w:b/>
                <w:sz w:val="20"/>
                <w:szCs w:val="20"/>
              </w:rPr>
            </w:pPr>
            <w:r w:rsidRPr="00AA4D97">
              <w:rPr>
                <w:rFonts w:ascii="Futura Std Condensed Light" w:eastAsia="Calibri" w:hAnsi="Futura Std Condensed Light" w:cs="Calibri"/>
                <w:b/>
                <w:sz w:val="20"/>
                <w:szCs w:val="20"/>
              </w:rPr>
              <w:t>Tema / Proyecto Prioritario de Quintana Roo</w:t>
            </w:r>
          </w:p>
        </w:tc>
        <w:tc>
          <w:tcPr>
            <w:tcW w:w="3194" w:type="pct"/>
            <w:gridSpan w:val="6"/>
          </w:tcPr>
          <w:p w14:paraId="3000811B" w14:textId="77777777" w:rsidR="0021177B" w:rsidRPr="00AA4D97" w:rsidRDefault="0021177B" w:rsidP="009E3B2F">
            <w:pPr>
              <w:spacing w:after="0" w:line="240" w:lineRule="auto"/>
              <w:jc w:val="center"/>
              <w:rPr>
                <w:rFonts w:ascii="Futura Std Condensed Light" w:eastAsia="Calibri" w:hAnsi="Futura Std Condensed Light" w:cs="Calibri"/>
                <w:sz w:val="20"/>
                <w:szCs w:val="20"/>
              </w:rPr>
            </w:pPr>
            <w:r w:rsidRPr="00AA4D97">
              <w:rPr>
                <w:rFonts w:ascii="Futura Std Condensed Light" w:eastAsia="Calibri" w:hAnsi="Futura Std Condensed Light" w:cs="Calibri"/>
                <w:sz w:val="20"/>
                <w:szCs w:val="20"/>
              </w:rPr>
              <w:t>24.5 Abatir el rezago educativo</w:t>
            </w:r>
          </w:p>
        </w:tc>
      </w:tr>
      <w:tr w:rsidR="0021177B" w:rsidRPr="00AA4D97" w14:paraId="089F56D6" w14:textId="77777777" w:rsidTr="009E3B2F">
        <w:trPr>
          <w:trHeight w:val="484"/>
        </w:trPr>
        <w:tc>
          <w:tcPr>
            <w:tcW w:w="1806" w:type="pct"/>
            <w:gridSpan w:val="4"/>
          </w:tcPr>
          <w:p w14:paraId="41AF830E" w14:textId="77777777" w:rsidR="0021177B" w:rsidRPr="00AA4D97" w:rsidRDefault="0021177B" w:rsidP="009E3B2F">
            <w:pPr>
              <w:spacing w:after="0" w:line="240" w:lineRule="auto"/>
              <w:jc w:val="center"/>
              <w:rPr>
                <w:rFonts w:ascii="Futura Std Condensed Light" w:eastAsia="Calibri" w:hAnsi="Futura Std Condensed Light" w:cs="Calibri"/>
                <w:b/>
                <w:sz w:val="20"/>
                <w:szCs w:val="20"/>
              </w:rPr>
            </w:pPr>
            <w:r w:rsidRPr="00AA4D97">
              <w:rPr>
                <w:rFonts w:ascii="Futura Std Condensed Light" w:eastAsia="Calibri" w:hAnsi="Futura Std Condensed Light" w:cs="Calibri"/>
                <w:b/>
                <w:sz w:val="20"/>
                <w:szCs w:val="20"/>
              </w:rPr>
              <w:t>Subtema Prioritario de Quintana Roo</w:t>
            </w:r>
          </w:p>
        </w:tc>
        <w:tc>
          <w:tcPr>
            <w:tcW w:w="3194" w:type="pct"/>
            <w:gridSpan w:val="6"/>
          </w:tcPr>
          <w:p w14:paraId="054379AB" w14:textId="77777777" w:rsidR="0021177B" w:rsidRPr="00AA4D97" w:rsidRDefault="0021177B" w:rsidP="009E3B2F">
            <w:pPr>
              <w:spacing w:after="0" w:line="240" w:lineRule="auto"/>
              <w:jc w:val="center"/>
              <w:rPr>
                <w:rFonts w:ascii="Futura Std Condensed Light" w:eastAsia="Calibri" w:hAnsi="Futura Std Condensed Light" w:cs="Calibri"/>
                <w:sz w:val="20"/>
                <w:szCs w:val="20"/>
              </w:rPr>
            </w:pPr>
            <w:r w:rsidRPr="00AA4D97">
              <w:rPr>
                <w:rFonts w:ascii="Futura Std Condensed Light" w:eastAsia="Calibri" w:hAnsi="Futura Std Condensed Light" w:cs="Calibri"/>
                <w:sz w:val="20"/>
                <w:szCs w:val="20"/>
              </w:rPr>
              <w:t>N/A</w:t>
            </w:r>
          </w:p>
        </w:tc>
      </w:tr>
      <w:tr w:rsidR="0021177B" w:rsidRPr="00AA4D97" w14:paraId="32E7193B" w14:textId="77777777" w:rsidTr="009E3B2F">
        <w:trPr>
          <w:trHeight w:val="484"/>
        </w:trPr>
        <w:tc>
          <w:tcPr>
            <w:tcW w:w="5000" w:type="pct"/>
            <w:gridSpan w:val="10"/>
          </w:tcPr>
          <w:p w14:paraId="63D30EAE" w14:textId="77777777" w:rsidR="0021177B" w:rsidRPr="00AA4D97" w:rsidRDefault="0021177B" w:rsidP="009E3B2F">
            <w:pPr>
              <w:spacing w:after="0" w:line="240" w:lineRule="auto"/>
              <w:jc w:val="center"/>
              <w:rPr>
                <w:rFonts w:ascii="Futura Std Condensed Light" w:eastAsia="Calibri" w:hAnsi="Futura Std Condensed Light" w:cs="Calibri"/>
                <w:b/>
                <w:sz w:val="20"/>
                <w:szCs w:val="20"/>
              </w:rPr>
            </w:pPr>
            <w:r w:rsidRPr="00AA4D97">
              <w:rPr>
                <w:rFonts w:ascii="Futura Std Condensed Light" w:eastAsia="Calibri" w:hAnsi="Futura Std Condensed Light" w:cs="Calibri"/>
                <w:b/>
                <w:sz w:val="20"/>
                <w:szCs w:val="20"/>
              </w:rPr>
              <w:t>Meta Total:</w:t>
            </w:r>
          </w:p>
        </w:tc>
      </w:tr>
      <w:tr w:rsidR="0021177B" w:rsidRPr="00AA4D97" w14:paraId="367A2174" w14:textId="77777777" w:rsidTr="009E3B2F">
        <w:trPr>
          <w:trHeight w:val="484"/>
        </w:trPr>
        <w:tc>
          <w:tcPr>
            <w:tcW w:w="781" w:type="pct"/>
          </w:tcPr>
          <w:p w14:paraId="66BFB51D" w14:textId="77777777" w:rsidR="0021177B" w:rsidRPr="00AA4D97" w:rsidRDefault="0021177B" w:rsidP="009E3B2F">
            <w:pPr>
              <w:spacing w:after="0" w:line="240" w:lineRule="auto"/>
              <w:jc w:val="center"/>
              <w:rPr>
                <w:rFonts w:ascii="Futura Std Condensed Light" w:eastAsia="Calibri" w:hAnsi="Futura Std Condensed Light" w:cs="Calibri"/>
                <w:b/>
                <w:sz w:val="20"/>
                <w:szCs w:val="20"/>
              </w:rPr>
            </w:pPr>
            <w:r w:rsidRPr="00AA4D97">
              <w:rPr>
                <w:rFonts w:ascii="Futura Std Condensed Light" w:eastAsia="Calibri" w:hAnsi="Futura Std Condensed Light" w:cs="Calibri"/>
                <w:b/>
                <w:sz w:val="20"/>
                <w:szCs w:val="20"/>
              </w:rPr>
              <w:t>2017</w:t>
            </w:r>
          </w:p>
        </w:tc>
        <w:tc>
          <w:tcPr>
            <w:tcW w:w="783" w:type="pct"/>
            <w:gridSpan w:val="2"/>
          </w:tcPr>
          <w:p w14:paraId="6393FAB7" w14:textId="77777777" w:rsidR="0021177B" w:rsidRPr="00AA4D97" w:rsidRDefault="0021177B" w:rsidP="009E3B2F">
            <w:pPr>
              <w:spacing w:after="0" w:line="240" w:lineRule="auto"/>
              <w:jc w:val="center"/>
              <w:rPr>
                <w:rFonts w:ascii="Futura Std Condensed Light" w:eastAsia="Calibri" w:hAnsi="Futura Std Condensed Light" w:cs="Calibri"/>
                <w:b/>
                <w:sz w:val="20"/>
                <w:szCs w:val="20"/>
              </w:rPr>
            </w:pPr>
            <w:r w:rsidRPr="00AA4D97">
              <w:rPr>
                <w:rFonts w:ascii="Futura Std Condensed Light" w:eastAsia="Calibri" w:hAnsi="Futura Std Condensed Light" w:cs="Calibri"/>
                <w:b/>
                <w:sz w:val="20"/>
                <w:szCs w:val="20"/>
              </w:rPr>
              <w:t>2018</w:t>
            </w:r>
          </w:p>
        </w:tc>
        <w:tc>
          <w:tcPr>
            <w:tcW w:w="904" w:type="pct"/>
            <w:gridSpan w:val="3"/>
          </w:tcPr>
          <w:p w14:paraId="3F062EE0" w14:textId="77777777" w:rsidR="0021177B" w:rsidRPr="00AA4D97" w:rsidRDefault="0021177B" w:rsidP="009E3B2F">
            <w:pPr>
              <w:spacing w:after="0" w:line="240" w:lineRule="auto"/>
              <w:jc w:val="center"/>
              <w:rPr>
                <w:rFonts w:ascii="Futura Std Condensed Light" w:eastAsia="Calibri" w:hAnsi="Futura Std Condensed Light" w:cs="Calibri"/>
                <w:b/>
                <w:sz w:val="20"/>
                <w:szCs w:val="20"/>
              </w:rPr>
            </w:pPr>
            <w:r w:rsidRPr="00AA4D97">
              <w:rPr>
                <w:rFonts w:ascii="Futura Std Condensed Light" w:eastAsia="Calibri" w:hAnsi="Futura Std Condensed Light" w:cs="Calibri"/>
                <w:b/>
                <w:sz w:val="20"/>
                <w:szCs w:val="20"/>
              </w:rPr>
              <w:t>2019</w:t>
            </w:r>
          </w:p>
        </w:tc>
        <w:tc>
          <w:tcPr>
            <w:tcW w:w="723" w:type="pct"/>
            <w:gridSpan w:val="2"/>
          </w:tcPr>
          <w:p w14:paraId="6B410C88" w14:textId="77777777" w:rsidR="0021177B" w:rsidRPr="00AA4D97" w:rsidRDefault="0021177B" w:rsidP="009E3B2F">
            <w:pPr>
              <w:spacing w:after="0" w:line="240" w:lineRule="auto"/>
              <w:jc w:val="center"/>
              <w:rPr>
                <w:rFonts w:ascii="Futura Std Condensed Light" w:eastAsia="Calibri" w:hAnsi="Futura Std Condensed Light" w:cs="Calibri"/>
                <w:b/>
                <w:sz w:val="20"/>
                <w:szCs w:val="20"/>
              </w:rPr>
            </w:pPr>
            <w:r w:rsidRPr="00AA4D97">
              <w:rPr>
                <w:rFonts w:ascii="Futura Std Condensed Light" w:eastAsia="Calibri" w:hAnsi="Futura Std Condensed Light" w:cs="Calibri"/>
                <w:b/>
                <w:sz w:val="20"/>
                <w:szCs w:val="20"/>
              </w:rPr>
              <w:t>2020</w:t>
            </w:r>
          </w:p>
        </w:tc>
        <w:tc>
          <w:tcPr>
            <w:tcW w:w="963" w:type="pct"/>
          </w:tcPr>
          <w:p w14:paraId="398AB059" w14:textId="77777777" w:rsidR="0021177B" w:rsidRPr="00AA4D97" w:rsidRDefault="0021177B" w:rsidP="009E3B2F">
            <w:pPr>
              <w:spacing w:after="0" w:line="240" w:lineRule="auto"/>
              <w:jc w:val="center"/>
              <w:rPr>
                <w:rFonts w:ascii="Futura Std Condensed Light" w:eastAsia="Calibri" w:hAnsi="Futura Std Condensed Light" w:cs="Calibri"/>
                <w:b/>
                <w:sz w:val="20"/>
                <w:szCs w:val="20"/>
              </w:rPr>
            </w:pPr>
            <w:r w:rsidRPr="00AA4D97">
              <w:rPr>
                <w:rFonts w:ascii="Futura Std Condensed Light" w:eastAsia="Calibri" w:hAnsi="Futura Std Condensed Light" w:cs="Calibri"/>
                <w:b/>
                <w:sz w:val="20"/>
                <w:szCs w:val="20"/>
              </w:rPr>
              <w:t>2021</w:t>
            </w:r>
          </w:p>
        </w:tc>
        <w:tc>
          <w:tcPr>
            <w:tcW w:w="846" w:type="pct"/>
          </w:tcPr>
          <w:p w14:paraId="189C1263" w14:textId="77777777" w:rsidR="0021177B" w:rsidRPr="00AA4D97" w:rsidRDefault="0021177B" w:rsidP="009E3B2F">
            <w:pPr>
              <w:spacing w:after="0" w:line="240" w:lineRule="auto"/>
              <w:jc w:val="center"/>
              <w:rPr>
                <w:rFonts w:ascii="Futura Std Condensed Light" w:eastAsia="Calibri" w:hAnsi="Futura Std Condensed Light" w:cs="Calibri"/>
                <w:b/>
                <w:sz w:val="20"/>
                <w:szCs w:val="20"/>
              </w:rPr>
            </w:pPr>
            <w:r w:rsidRPr="00AA4D97">
              <w:rPr>
                <w:rFonts w:ascii="Futura Std Condensed Light" w:eastAsia="Calibri" w:hAnsi="Futura Std Condensed Light" w:cs="Calibri"/>
                <w:b/>
                <w:sz w:val="20"/>
                <w:szCs w:val="20"/>
              </w:rPr>
              <w:t>2022</w:t>
            </w:r>
          </w:p>
        </w:tc>
      </w:tr>
      <w:tr w:rsidR="0021177B" w:rsidRPr="00AA4D97" w14:paraId="28EB11B7" w14:textId="77777777" w:rsidTr="009E3B2F">
        <w:trPr>
          <w:trHeight w:val="484"/>
        </w:trPr>
        <w:tc>
          <w:tcPr>
            <w:tcW w:w="781" w:type="pct"/>
          </w:tcPr>
          <w:p w14:paraId="06622F8B" w14:textId="77777777" w:rsidR="0021177B" w:rsidRPr="00AA4D97" w:rsidRDefault="0021177B" w:rsidP="009E3B2F">
            <w:pPr>
              <w:spacing w:after="0" w:line="240" w:lineRule="auto"/>
              <w:jc w:val="center"/>
              <w:rPr>
                <w:rFonts w:ascii="Futura Std Condensed Light" w:eastAsia="Calibri" w:hAnsi="Futura Std Condensed Light" w:cs="Calibri"/>
                <w:sz w:val="20"/>
                <w:szCs w:val="20"/>
              </w:rPr>
            </w:pPr>
            <w:r w:rsidRPr="00AA4D97">
              <w:rPr>
                <w:rFonts w:ascii="Futura Std Condensed Light" w:eastAsia="Calibri" w:hAnsi="Futura Std Condensed Light" w:cs="Calibri"/>
                <w:sz w:val="20"/>
                <w:szCs w:val="20"/>
              </w:rPr>
              <w:t>0</w:t>
            </w:r>
          </w:p>
        </w:tc>
        <w:tc>
          <w:tcPr>
            <w:tcW w:w="783" w:type="pct"/>
            <w:gridSpan w:val="2"/>
          </w:tcPr>
          <w:p w14:paraId="7FC69726" w14:textId="77777777" w:rsidR="0021177B" w:rsidRPr="00AA4D97" w:rsidRDefault="0021177B" w:rsidP="009E3B2F">
            <w:pPr>
              <w:spacing w:after="0" w:line="240" w:lineRule="auto"/>
              <w:jc w:val="center"/>
              <w:rPr>
                <w:rFonts w:ascii="Futura Std Condensed Light" w:eastAsia="Calibri" w:hAnsi="Futura Std Condensed Light" w:cs="Calibri"/>
                <w:sz w:val="20"/>
                <w:szCs w:val="20"/>
              </w:rPr>
            </w:pPr>
            <w:r w:rsidRPr="00AA4D97">
              <w:rPr>
                <w:rFonts w:ascii="Futura Std Condensed Light" w:eastAsia="Calibri" w:hAnsi="Futura Std Condensed Light" w:cs="Calibri"/>
                <w:sz w:val="20"/>
                <w:szCs w:val="20"/>
              </w:rPr>
              <w:t>0</w:t>
            </w:r>
          </w:p>
        </w:tc>
        <w:tc>
          <w:tcPr>
            <w:tcW w:w="904" w:type="pct"/>
            <w:gridSpan w:val="3"/>
          </w:tcPr>
          <w:p w14:paraId="00A17ABB" w14:textId="77777777" w:rsidR="0021177B" w:rsidRPr="00AA4D97" w:rsidRDefault="0021177B" w:rsidP="009E3B2F">
            <w:pPr>
              <w:spacing w:after="0" w:line="240" w:lineRule="auto"/>
              <w:jc w:val="center"/>
              <w:rPr>
                <w:rFonts w:ascii="Futura Std Condensed Light" w:eastAsia="Calibri" w:hAnsi="Futura Std Condensed Light" w:cs="Calibri"/>
                <w:sz w:val="20"/>
                <w:szCs w:val="20"/>
              </w:rPr>
            </w:pPr>
            <w:r w:rsidRPr="00AA4D97">
              <w:rPr>
                <w:rFonts w:ascii="Futura Std Condensed Light" w:eastAsia="Calibri" w:hAnsi="Futura Std Condensed Light" w:cs="Calibri"/>
                <w:sz w:val="20"/>
                <w:szCs w:val="20"/>
              </w:rPr>
              <w:t>19</w:t>
            </w:r>
          </w:p>
        </w:tc>
        <w:tc>
          <w:tcPr>
            <w:tcW w:w="723" w:type="pct"/>
            <w:gridSpan w:val="2"/>
          </w:tcPr>
          <w:p w14:paraId="4DEDF707" w14:textId="77777777" w:rsidR="0021177B" w:rsidRPr="00AA4D97" w:rsidRDefault="0021177B" w:rsidP="009E3B2F">
            <w:pPr>
              <w:spacing w:after="0" w:line="240" w:lineRule="auto"/>
              <w:jc w:val="center"/>
              <w:rPr>
                <w:rFonts w:ascii="Futura Std Condensed Light" w:eastAsia="Calibri" w:hAnsi="Futura Std Condensed Light" w:cs="Calibri"/>
                <w:sz w:val="20"/>
                <w:szCs w:val="20"/>
              </w:rPr>
            </w:pPr>
            <w:r w:rsidRPr="00AA4D97">
              <w:rPr>
                <w:rFonts w:ascii="Futura Std Condensed Light" w:eastAsia="Calibri" w:hAnsi="Futura Std Condensed Light" w:cs="Calibri"/>
                <w:sz w:val="20"/>
                <w:szCs w:val="20"/>
              </w:rPr>
              <w:t>19</w:t>
            </w:r>
          </w:p>
        </w:tc>
        <w:tc>
          <w:tcPr>
            <w:tcW w:w="963" w:type="pct"/>
          </w:tcPr>
          <w:p w14:paraId="3D2AAFFF" w14:textId="77777777" w:rsidR="0021177B" w:rsidRPr="00AA4D97" w:rsidRDefault="0021177B" w:rsidP="009E3B2F">
            <w:pPr>
              <w:spacing w:after="0" w:line="240" w:lineRule="auto"/>
              <w:jc w:val="center"/>
              <w:rPr>
                <w:rFonts w:ascii="Futura Std Condensed Light" w:eastAsia="Calibri" w:hAnsi="Futura Std Condensed Light" w:cs="Calibri"/>
                <w:sz w:val="20"/>
                <w:szCs w:val="20"/>
              </w:rPr>
            </w:pPr>
            <w:r w:rsidRPr="00AA4D97">
              <w:rPr>
                <w:rFonts w:ascii="Futura Std Condensed Light" w:eastAsia="Calibri" w:hAnsi="Futura Std Condensed Light" w:cs="Calibri"/>
                <w:sz w:val="20"/>
                <w:szCs w:val="20"/>
              </w:rPr>
              <w:t>19</w:t>
            </w:r>
          </w:p>
        </w:tc>
        <w:tc>
          <w:tcPr>
            <w:tcW w:w="846" w:type="pct"/>
          </w:tcPr>
          <w:p w14:paraId="29AE9085" w14:textId="77777777" w:rsidR="0021177B" w:rsidRPr="00AA4D97" w:rsidRDefault="0021177B" w:rsidP="009E3B2F">
            <w:pPr>
              <w:spacing w:after="0" w:line="240" w:lineRule="auto"/>
              <w:jc w:val="center"/>
              <w:rPr>
                <w:rFonts w:ascii="Futura Std Condensed Light" w:eastAsia="Calibri" w:hAnsi="Futura Std Condensed Light" w:cs="Calibri"/>
                <w:sz w:val="20"/>
                <w:szCs w:val="20"/>
              </w:rPr>
            </w:pPr>
            <w:r w:rsidRPr="00AA4D97">
              <w:rPr>
                <w:rFonts w:ascii="Futura Std Condensed Light" w:eastAsia="Calibri" w:hAnsi="Futura Std Condensed Light" w:cs="Calibri"/>
                <w:sz w:val="20"/>
                <w:szCs w:val="20"/>
              </w:rPr>
              <w:t>19</w:t>
            </w:r>
          </w:p>
        </w:tc>
      </w:tr>
    </w:tbl>
    <w:p w14:paraId="497079AF" w14:textId="5C30ACA4" w:rsidR="0021177B" w:rsidRDefault="00FA0940" w:rsidP="0021177B">
      <w:pPr>
        <w:jc w:val="center"/>
      </w:pPr>
      <w:r>
        <w:rPr>
          <w:rFonts w:eastAsia="Arial" w:cs="Times New Roman"/>
          <w:b/>
          <w:color w:val="4BACC6" w:themeColor="accent5"/>
        </w:rPr>
        <w:lastRenderedPageBreak/>
        <w:t>Cuadro 40</w:t>
      </w:r>
      <w:r w:rsidR="0021177B">
        <w:rPr>
          <w:rFonts w:eastAsia="Arial" w:cs="Times New Roman"/>
          <w:b/>
          <w:color w:val="4BACC6" w:themeColor="accent5"/>
        </w:rPr>
        <w:t>. Entregable y meta de la línea de acción 13 del PED</w:t>
      </w:r>
    </w:p>
    <w:tbl>
      <w:tblPr>
        <w:tblStyle w:val="Tablaconcuadrcula"/>
        <w:tblW w:w="5000" w:type="pct"/>
        <w:tblLook w:val="04A0" w:firstRow="1" w:lastRow="0" w:firstColumn="1" w:lastColumn="0" w:noHBand="0" w:noVBand="1"/>
      </w:tblPr>
      <w:tblGrid>
        <w:gridCol w:w="1489"/>
        <w:gridCol w:w="814"/>
        <w:gridCol w:w="679"/>
        <w:gridCol w:w="462"/>
        <w:gridCol w:w="687"/>
        <w:gridCol w:w="576"/>
        <w:gridCol w:w="462"/>
        <w:gridCol w:w="917"/>
        <w:gridCol w:w="347"/>
        <w:gridCol w:w="1490"/>
        <w:gridCol w:w="1614"/>
      </w:tblGrid>
      <w:tr w:rsidR="0086391F" w:rsidRPr="00060E8E" w14:paraId="25943829" w14:textId="77777777" w:rsidTr="00060E8E">
        <w:trPr>
          <w:trHeight w:val="182"/>
        </w:trPr>
        <w:tc>
          <w:tcPr>
            <w:tcW w:w="1806" w:type="pct"/>
            <w:gridSpan w:val="4"/>
            <w:shd w:val="clear" w:color="auto" w:fill="A6A6A6" w:themeFill="background1" w:themeFillShade="A6"/>
          </w:tcPr>
          <w:p w14:paraId="7AF902F1" w14:textId="77777777" w:rsidR="0021177B" w:rsidRPr="00060E8E" w:rsidRDefault="0021177B" w:rsidP="009E3B2F">
            <w:pPr>
              <w:spacing w:after="0" w:line="240" w:lineRule="auto"/>
              <w:jc w:val="center"/>
              <w:rPr>
                <w:rFonts w:ascii="Futura Std Condensed Light" w:eastAsia="Calibri" w:hAnsi="Futura Std Condensed Light" w:cs="Calibri"/>
                <w:color w:val="auto"/>
                <w:sz w:val="20"/>
                <w:szCs w:val="20"/>
              </w:rPr>
            </w:pPr>
            <w:r w:rsidRPr="00060E8E">
              <w:rPr>
                <w:rFonts w:ascii="Futura Std Condensed Light" w:eastAsia="Calibri" w:hAnsi="Futura Std Condensed Light" w:cs="Calibri"/>
                <w:color w:val="auto"/>
                <w:sz w:val="20"/>
                <w:szCs w:val="20"/>
              </w:rPr>
              <w:t>Programa PED</w:t>
            </w:r>
          </w:p>
        </w:tc>
        <w:tc>
          <w:tcPr>
            <w:tcW w:w="3194" w:type="pct"/>
            <w:gridSpan w:val="7"/>
            <w:shd w:val="clear" w:color="auto" w:fill="A6A6A6" w:themeFill="background1" w:themeFillShade="A6"/>
          </w:tcPr>
          <w:p w14:paraId="3DF2C59F" w14:textId="77777777" w:rsidR="0021177B" w:rsidRPr="00060E8E" w:rsidRDefault="0021177B" w:rsidP="009E3B2F">
            <w:pPr>
              <w:spacing w:after="0" w:line="240" w:lineRule="auto"/>
              <w:jc w:val="center"/>
              <w:rPr>
                <w:rFonts w:ascii="Futura Std Condensed Light" w:eastAsia="Calibri" w:hAnsi="Futura Std Condensed Light" w:cs="Calibri"/>
                <w:color w:val="auto"/>
                <w:sz w:val="20"/>
                <w:szCs w:val="20"/>
              </w:rPr>
            </w:pPr>
            <w:r w:rsidRPr="00060E8E">
              <w:rPr>
                <w:rFonts w:ascii="Futura Std Condensed Light" w:eastAsia="Calibri" w:hAnsi="Futura Std Condensed Light" w:cs="Calibri"/>
                <w:color w:val="auto"/>
                <w:sz w:val="20"/>
                <w:szCs w:val="20"/>
              </w:rPr>
              <w:t>Programa Sectorial Educación Pública de Calidad</w:t>
            </w:r>
          </w:p>
        </w:tc>
      </w:tr>
      <w:tr w:rsidR="0021177B" w:rsidRPr="00D12127" w14:paraId="1845D32C" w14:textId="77777777" w:rsidTr="009E3B2F">
        <w:trPr>
          <w:trHeight w:val="469"/>
        </w:trPr>
        <w:tc>
          <w:tcPr>
            <w:tcW w:w="1806" w:type="pct"/>
            <w:gridSpan w:val="4"/>
            <w:shd w:val="clear" w:color="auto" w:fill="FFFFFF" w:themeFill="background1"/>
          </w:tcPr>
          <w:p w14:paraId="423B36BD" w14:textId="77777777" w:rsidR="0021177B" w:rsidRPr="00AA4D97" w:rsidRDefault="0021177B" w:rsidP="009E3B2F">
            <w:pPr>
              <w:spacing w:after="0" w:line="240" w:lineRule="auto"/>
              <w:jc w:val="center"/>
              <w:rPr>
                <w:rFonts w:ascii="Futura Std Condensed Light" w:eastAsia="Calibri" w:hAnsi="Futura Std Condensed Light" w:cs="Calibri"/>
                <w:sz w:val="20"/>
                <w:szCs w:val="20"/>
              </w:rPr>
            </w:pPr>
            <w:r w:rsidRPr="00AA4D97">
              <w:rPr>
                <w:rFonts w:ascii="Futura Std Condensed Light" w:eastAsia="Calibri" w:hAnsi="Futura Std Condensed Light" w:cs="Calibri"/>
                <w:sz w:val="20"/>
                <w:szCs w:val="20"/>
              </w:rPr>
              <w:t>Línea de acción:</w:t>
            </w:r>
          </w:p>
        </w:tc>
        <w:tc>
          <w:tcPr>
            <w:tcW w:w="3194" w:type="pct"/>
            <w:gridSpan w:val="7"/>
            <w:shd w:val="clear" w:color="auto" w:fill="FFFFFF" w:themeFill="background1"/>
          </w:tcPr>
          <w:p w14:paraId="74AFD330" w14:textId="77777777" w:rsidR="0021177B" w:rsidRPr="00AA4D97" w:rsidRDefault="0021177B" w:rsidP="009E3B2F">
            <w:pPr>
              <w:spacing w:after="0" w:line="240" w:lineRule="auto"/>
              <w:jc w:val="center"/>
              <w:rPr>
                <w:rFonts w:ascii="Futura Std Condensed Light" w:eastAsia="Calibri" w:hAnsi="Futura Std Condensed Light" w:cs="Calibri"/>
                <w:sz w:val="20"/>
                <w:szCs w:val="20"/>
              </w:rPr>
            </w:pPr>
            <w:r w:rsidRPr="00AA4D97">
              <w:rPr>
                <w:rFonts w:ascii="Futura Std Condensed Light" w:eastAsia="Calibri" w:hAnsi="Futura Std Condensed Light" w:cs="Calibri"/>
                <w:sz w:val="20"/>
                <w:szCs w:val="20"/>
              </w:rPr>
              <w:t>13.   Asegurar que la oferta educativa de las instituciones de educación superior responda a las nuevas áreas de oportunidad en la entidad.</w:t>
            </w:r>
          </w:p>
        </w:tc>
      </w:tr>
      <w:tr w:rsidR="0021177B" w:rsidRPr="00D12127" w14:paraId="0BC08BC9" w14:textId="77777777" w:rsidTr="009E3B2F">
        <w:trPr>
          <w:trHeight w:val="484"/>
        </w:trPr>
        <w:tc>
          <w:tcPr>
            <w:tcW w:w="1806" w:type="pct"/>
            <w:gridSpan w:val="4"/>
          </w:tcPr>
          <w:p w14:paraId="49C306D7" w14:textId="77777777" w:rsidR="0021177B" w:rsidRPr="00AA4D97" w:rsidRDefault="0021177B" w:rsidP="009E3B2F">
            <w:pPr>
              <w:spacing w:after="0" w:line="240" w:lineRule="auto"/>
              <w:jc w:val="center"/>
              <w:rPr>
                <w:rFonts w:ascii="Futura Std Condensed Light" w:eastAsia="Calibri" w:hAnsi="Futura Std Condensed Light" w:cs="Calibri"/>
                <w:b/>
                <w:sz w:val="20"/>
                <w:szCs w:val="20"/>
              </w:rPr>
            </w:pPr>
            <w:r w:rsidRPr="00AA4D97">
              <w:rPr>
                <w:rFonts w:ascii="Futura Std Condensed Light" w:eastAsia="Calibri" w:hAnsi="Futura Std Condensed Light" w:cs="Calibri"/>
                <w:b/>
                <w:sz w:val="20"/>
                <w:szCs w:val="20"/>
              </w:rPr>
              <w:t>Plan Estratégico Objetivo Especifico</w:t>
            </w:r>
          </w:p>
        </w:tc>
        <w:tc>
          <w:tcPr>
            <w:tcW w:w="3194" w:type="pct"/>
            <w:gridSpan w:val="7"/>
          </w:tcPr>
          <w:p w14:paraId="59EA475C" w14:textId="77777777" w:rsidR="0021177B" w:rsidRPr="00AA4D97" w:rsidRDefault="0021177B" w:rsidP="009E3B2F">
            <w:pPr>
              <w:spacing w:after="0" w:line="240" w:lineRule="auto"/>
              <w:jc w:val="center"/>
              <w:rPr>
                <w:rFonts w:ascii="Futura Std Condensed Light" w:eastAsia="Calibri" w:hAnsi="Futura Std Condensed Light" w:cs="Calibri"/>
                <w:sz w:val="20"/>
                <w:szCs w:val="20"/>
              </w:rPr>
            </w:pPr>
            <w:r w:rsidRPr="00AA4D97">
              <w:rPr>
                <w:rFonts w:ascii="Futura Std Condensed Light" w:eastAsia="Calibri" w:hAnsi="Futura Std Condensed Light" w:cs="Calibri"/>
                <w:sz w:val="20"/>
                <w:szCs w:val="20"/>
              </w:rPr>
              <w:t>Disminuir la desigualdad en sus diversas formas </w:t>
            </w:r>
          </w:p>
        </w:tc>
      </w:tr>
      <w:tr w:rsidR="0021177B" w:rsidRPr="00D12127" w14:paraId="5FB18001" w14:textId="77777777" w:rsidTr="009E3B2F">
        <w:trPr>
          <w:trHeight w:val="484"/>
        </w:trPr>
        <w:tc>
          <w:tcPr>
            <w:tcW w:w="1208" w:type="pct"/>
            <w:gridSpan w:val="2"/>
          </w:tcPr>
          <w:p w14:paraId="74BF5F0E" w14:textId="77777777" w:rsidR="0021177B" w:rsidRPr="00AA4D97" w:rsidRDefault="0021177B" w:rsidP="009E3B2F">
            <w:pPr>
              <w:spacing w:after="0" w:line="240" w:lineRule="auto"/>
              <w:jc w:val="center"/>
              <w:rPr>
                <w:rFonts w:ascii="Futura Std Condensed Light" w:eastAsia="Calibri" w:hAnsi="Futura Std Condensed Light" w:cs="Calibri"/>
                <w:b/>
                <w:sz w:val="20"/>
                <w:szCs w:val="20"/>
              </w:rPr>
            </w:pPr>
            <w:r w:rsidRPr="00AA4D97">
              <w:rPr>
                <w:rFonts w:ascii="Futura Std Condensed Light" w:eastAsia="Calibri" w:hAnsi="Futura Std Condensed Light" w:cs="Calibri"/>
                <w:b/>
                <w:sz w:val="20"/>
                <w:szCs w:val="20"/>
              </w:rPr>
              <w:t>Entregable:</w:t>
            </w:r>
          </w:p>
        </w:tc>
        <w:tc>
          <w:tcPr>
            <w:tcW w:w="958" w:type="pct"/>
            <w:gridSpan w:val="3"/>
          </w:tcPr>
          <w:p w14:paraId="6CAE8F66" w14:textId="77777777" w:rsidR="0021177B" w:rsidRPr="00AA4D97" w:rsidRDefault="0021177B" w:rsidP="009E3B2F">
            <w:pPr>
              <w:spacing w:after="0" w:line="240" w:lineRule="auto"/>
              <w:jc w:val="center"/>
              <w:rPr>
                <w:rFonts w:ascii="Futura Std Condensed Light" w:eastAsia="Calibri" w:hAnsi="Futura Std Condensed Light" w:cs="Calibri"/>
                <w:sz w:val="20"/>
                <w:szCs w:val="20"/>
              </w:rPr>
            </w:pPr>
            <w:r w:rsidRPr="00AA4D97">
              <w:rPr>
                <w:rFonts w:ascii="Futura Std Condensed Light" w:eastAsia="Calibri" w:hAnsi="Futura Std Condensed Light" w:cs="Calibri"/>
                <w:sz w:val="20"/>
                <w:szCs w:val="20"/>
              </w:rPr>
              <w:t>Feria de orientación educativa de nivel superior</w:t>
            </w:r>
          </w:p>
        </w:tc>
        <w:tc>
          <w:tcPr>
            <w:tcW w:w="1205" w:type="pct"/>
            <w:gridSpan w:val="4"/>
          </w:tcPr>
          <w:p w14:paraId="7FC02ADF" w14:textId="77777777" w:rsidR="0021177B" w:rsidRPr="00AA4D97" w:rsidRDefault="0021177B" w:rsidP="009E3B2F">
            <w:pPr>
              <w:spacing w:after="0" w:line="240" w:lineRule="auto"/>
              <w:jc w:val="center"/>
              <w:rPr>
                <w:rFonts w:ascii="Futura Std Condensed Light" w:eastAsia="Calibri" w:hAnsi="Futura Std Condensed Light" w:cs="Calibri"/>
                <w:b/>
                <w:sz w:val="20"/>
                <w:szCs w:val="20"/>
              </w:rPr>
            </w:pPr>
            <w:r w:rsidRPr="00AA4D97">
              <w:rPr>
                <w:rFonts w:ascii="Futura Std Condensed Light" w:eastAsia="Calibri" w:hAnsi="Futura Std Condensed Light" w:cs="Calibri"/>
                <w:b/>
                <w:sz w:val="20"/>
                <w:szCs w:val="20"/>
              </w:rPr>
              <w:t>Unidad de Medida:</w:t>
            </w:r>
          </w:p>
        </w:tc>
        <w:tc>
          <w:tcPr>
            <w:tcW w:w="1628" w:type="pct"/>
            <w:gridSpan w:val="2"/>
          </w:tcPr>
          <w:p w14:paraId="0A399FBB" w14:textId="77777777" w:rsidR="0021177B" w:rsidRPr="00AA4D97" w:rsidRDefault="0021177B" w:rsidP="009E3B2F">
            <w:pPr>
              <w:spacing w:after="0" w:line="240" w:lineRule="auto"/>
              <w:jc w:val="center"/>
              <w:rPr>
                <w:rFonts w:ascii="Futura Std Condensed Light" w:eastAsia="Calibri" w:hAnsi="Futura Std Condensed Light" w:cs="Calibri"/>
                <w:sz w:val="20"/>
                <w:szCs w:val="20"/>
              </w:rPr>
            </w:pPr>
            <w:r w:rsidRPr="00AA4D97">
              <w:rPr>
                <w:rFonts w:ascii="Futura Std Condensed Light" w:eastAsia="Calibri" w:hAnsi="Futura Std Condensed Light" w:cs="Calibri"/>
                <w:sz w:val="20"/>
                <w:szCs w:val="20"/>
              </w:rPr>
              <w:t>Porcentaje de instituciones de educación superior participantes en la feria de orientación educativa</w:t>
            </w:r>
          </w:p>
        </w:tc>
      </w:tr>
      <w:tr w:rsidR="0021177B" w:rsidRPr="00D12127" w14:paraId="72B0BB62" w14:textId="77777777" w:rsidTr="009E3B2F">
        <w:trPr>
          <w:trHeight w:val="449"/>
        </w:trPr>
        <w:tc>
          <w:tcPr>
            <w:tcW w:w="1208" w:type="pct"/>
            <w:gridSpan w:val="2"/>
          </w:tcPr>
          <w:p w14:paraId="3788939C" w14:textId="77777777" w:rsidR="0021177B" w:rsidRPr="00AA4D97" w:rsidRDefault="0021177B" w:rsidP="009E3B2F">
            <w:pPr>
              <w:spacing w:after="0" w:line="240" w:lineRule="auto"/>
              <w:jc w:val="center"/>
              <w:rPr>
                <w:rFonts w:ascii="Futura Std Condensed Light" w:eastAsia="Calibri" w:hAnsi="Futura Std Condensed Light" w:cs="Calibri"/>
                <w:b/>
                <w:sz w:val="20"/>
                <w:szCs w:val="20"/>
              </w:rPr>
            </w:pPr>
            <w:r w:rsidRPr="00AA4D97">
              <w:rPr>
                <w:rFonts w:ascii="Futura Std Condensed Light" w:eastAsia="Calibri" w:hAnsi="Futura Std Condensed Light" w:cs="Calibri"/>
                <w:b/>
                <w:sz w:val="20"/>
                <w:szCs w:val="20"/>
              </w:rPr>
              <w:t>Descripción:</w:t>
            </w:r>
          </w:p>
        </w:tc>
        <w:tc>
          <w:tcPr>
            <w:tcW w:w="3792" w:type="pct"/>
            <w:gridSpan w:val="9"/>
          </w:tcPr>
          <w:p w14:paraId="0D939B12" w14:textId="75B18618" w:rsidR="0021177B" w:rsidRPr="00AF46E9" w:rsidRDefault="00AF46E9" w:rsidP="009E3B2F">
            <w:pPr>
              <w:spacing w:after="0" w:line="240" w:lineRule="auto"/>
              <w:jc w:val="center"/>
              <w:rPr>
                <w:rFonts w:ascii="Futura Std Condensed Light" w:eastAsia="Calibri" w:hAnsi="Futura Std Condensed Light" w:cs="Calibri"/>
                <w:sz w:val="20"/>
                <w:szCs w:val="20"/>
              </w:rPr>
            </w:pPr>
            <w:r w:rsidRPr="00AF46E9">
              <w:rPr>
                <w:rFonts w:ascii="Futura Std Condensed Light" w:eastAsia="Calibri" w:hAnsi="Futura Std Condensed Light" w:cs="Calibri"/>
                <w:sz w:val="20"/>
                <w:szCs w:val="20"/>
              </w:rPr>
              <w:t xml:space="preserve">Se refiere a la organización de ferias de orientación educativa con la participación de las instituciones de educación superior , en las cuales se ofrece la oferta educativa existente en la Entidad. </w:t>
            </w:r>
          </w:p>
        </w:tc>
      </w:tr>
      <w:tr w:rsidR="0021177B" w:rsidRPr="00D12127" w14:paraId="1BB165CA" w14:textId="77777777" w:rsidTr="009E3B2F">
        <w:trPr>
          <w:trHeight w:val="484"/>
        </w:trPr>
        <w:tc>
          <w:tcPr>
            <w:tcW w:w="1806" w:type="pct"/>
            <w:gridSpan w:val="4"/>
          </w:tcPr>
          <w:p w14:paraId="01118123" w14:textId="77777777" w:rsidR="0021177B" w:rsidRPr="00AA4D97" w:rsidRDefault="0021177B" w:rsidP="009E3B2F">
            <w:pPr>
              <w:spacing w:after="0" w:line="240" w:lineRule="auto"/>
              <w:jc w:val="center"/>
              <w:rPr>
                <w:rFonts w:ascii="Futura Std Condensed Light" w:eastAsia="Calibri" w:hAnsi="Futura Std Condensed Light" w:cs="Calibri"/>
                <w:b/>
                <w:sz w:val="20"/>
                <w:szCs w:val="20"/>
              </w:rPr>
            </w:pPr>
            <w:r w:rsidRPr="00AA4D97">
              <w:rPr>
                <w:rFonts w:ascii="Futura Std Condensed Light" w:eastAsia="Calibri" w:hAnsi="Futura Std Condensed Light" w:cs="Calibri"/>
                <w:b/>
                <w:sz w:val="20"/>
                <w:szCs w:val="20"/>
              </w:rPr>
              <w:t>Medio de verificación:</w:t>
            </w:r>
          </w:p>
        </w:tc>
        <w:tc>
          <w:tcPr>
            <w:tcW w:w="3194" w:type="pct"/>
            <w:gridSpan w:val="7"/>
          </w:tcPr>
          <w:p w14:paraId="1793C9CC" w14:textId="77777777" w:rsidR="0021177B" w:rsidRPr="00AA4D97" w:rsidRDefault="0021177B" w:rsidP="009E3B2F">
            <w:pPr>
              <w:spacing w:after="0" w:line="240" w:lineRule="auto"/>
              <w:jc w:val="center"/>
              <w:rPr>
                <w:rFonts w:ascii="Futura Std Condensed Light" w:eastAsia="Calibri" w:hAnsi="Futura Std Condensed Light" w:cs="Calibri"/>
                <w:sz w:val="20"/>
                <w:szCs w:val="20"/>
              </w:rPr>
            </w:pPr>
            <w:r w:rsidRPr="00AA4D97">
              <w:rPr>
                <w:rFonts w:ascii="Futura Std Condensed Light" w:eastAsia="Calibri" w:hAnsi="Futura Std Condensed Light" w:cs="Calibri"/>
                <w:sz w:val="20"/>
                <w:szCs w:val="20"/>
              </w:rPr>
              <w:t>Convocatoria y Formato de registro de instituciones participantes</w:t>
            </w:r>
          </w:p>
        </w:tc>
      </w:tr>
      <w:tr w:rsidR="0021177B" w:rsidRPr="00D12127" w14:paraId="54D040DE" w14:textId="77777777" w:rsidTr="009E3B2F">
        <w:trPr>
          <w:trHeight w:val="484"/>
        </w:trPr>
        <w:tc>
          <w:tcPr>
            <w:tcW w:w="1806" w:type="pct"/>
            <w:gridSpan w:val="4"/>
          </w:tcPr>
          <w:p w14:paraId="7F9AAAB7" w14:textId="77777777" w:rsidR="0021177B" w:rsidRPr="00AA4D97" w:rsidRDefault="0021177B" w:rsidP="009E3B2F">
            <w:pPr>
              <w:spacing w:after="0" w:line="240" w:lineRule="auto"/>
              <w:jc w:val="center"/>
              <w:rPr>
                <w:rFonts w:ascii="Futura Std Condensed Light" w:eastAsia="Calibri" w:hAnsi="Futura Std Condensed Light" w:cs="Calibri"/>
                <w:b/>
                <w:sz w:val="20"/>
                <w:szCs w:val="20"/>
              </w:rPr>
            </w:pPr>
            <w:r w:rsidRPr="00AA4D97">
              <w:rPr>
                <w:rFonts w:ascii="Futura Std Condensed Light" w:eastAsia="Calibri" w:hAnsi="Futura Std Condensed Light" w:cs="Calibri"/>
                <w:b/>
                <w:sz w:val="20"/>
                <w:szCs w:val="20"/>
              </w:rPr>
              <w:t>Línea base:</w:t>
            </w:r>
          </w:p>
        </w:tc>
        <w:tc>
          <w:tcPr>
            <w:tcW w:w="904" w:type="pct"/>
            <w:gridSpan w:val="3"/>
          </w:tcPr>
          <w:p w14:paraId="6B943D1B" w14:textId="77777777" w:rsidR="0021177B" w:rsidRPr="00AA4D97" w:rsidRDefault="0021177B" w:rsidP="009E3B2F">
            <w:pPr>
              <w:spacing w:after="0" w:line="240" w:lineRule="auto"/>
              <w:jc w:val="center"/>
              <w:rPr>
                <w:rFonts w:ascii="Futura Std Condensed Light" w:eastAsia="Calibri" w:hAnsi="Futura Std Condensed Light" w:cs="Calibri"/>
                <w:sz w:val="20"/>
                <w:szCs w:val="20"/>
              </w:rPr>
            </w:pPr>
            <w:r w:rsidRPr="006D4F56">
              <w:rPr>
                <w:rFonts w:ascii="Futura Std Condensed Light" w:eastAsia="Calibri" w:hAnsi="Futura Std Condensed Light" w:cs="Calibri"/>
                <w:color w:val="000000" w:themeColor="text1"/>
                <w:sz w:val="20"/>
                <w:szCs w:val="20"/>
              </w:rPr>
              <w:t>2020</w:t>
            </w:r>
          </w:p>
        </w:tc>
        <w:tc>
          <w:tcPr>
            <w:tcW w:w="663" w:type="pct"/>
            <w:gridSpan w:val="2"/>
          </w:tcPr>
          <w:p w14:paraId="30F91864" w14:textId="77777777" w:rsidR="0021177B" w:rsidRPr="00724CE8" w:rsidRDefault="0021177B" w:rsidP="009E3B2F">
            <w:pPr>
              <w:spacing w:after="0" w:line="240" w:lineRule="auto"/>
              <w:jc w:val="center"/>
              <w:rPr>
                <w:rFonts w:ascii="Futura Std Condensed Light" w:eastAsia="Calibri" w:hAnsi="Futura Std Condensed Light" w:cs="Calibri"/>
                <w:b/>
                <w:sz w:val="20"/>
                <w:szCs w:val="20"/>
              </w:rPr>
            </w:pPr>
            <w:r w:rsidRPr="00724CE8">
              <w:rPr>
                <w:rFonts w:ascii="Futura Std Condensed Light" w:eastAsia="Calibri" w:hAnsi="Futura Std Condensed Light" w:cs="Calibri"/>
                <w:b/>
                <w:sz w:val="20"/>
                <w:szCs w:val="20"/>
              </w:rPr>
              <w:t>Año de línea base:</w:t>
            </w:r>
          </w:p>
        </w:tc>
        <w:tc>
          <w:tcPr>
            <w:tcW w:w="1628" w:type="pct"/>
            <w:gridSpan w:val="2"/>
          </w:tcPr>
          <w:p w14:paraId="5F29773D" w14:textId="77777777" w:rsidR="0021177B" w:rsidRPr="00AA4D97" w:rsidRDefault="0021177B" w:rsidP="009E3B2F">
            <w:pPr>
              <w:spacing w:after="0" w:line="240" w:lineRule="auto"/>
              <w:jc w:val="center"/>
              <w:rPr>
                <w:rFonts w:ascii="Futura Std Condensed Light" w:eastAsia="Calibri" w:hAnsi="Futura Std Condensed Light" w:cs="Calibri"/>
                <w:sz w:val="20"/>
                <w:szCs w:val="20"/>
              </w:rPr>
            </w:pPr>
            <w:r w:rsidRPr="00AA4D97">
              <w:rPr>
                <w:rFonts w:ascii="Futura Std Condensed Light" w:eastAsia="Calibri" w:hAnsi="Futura Std Condensed Light" w:cs="Calibri"/>
                <w:sz w:val="20"/>
                <w:szCs w:val="20"/>
              </w:rPr>
              <w:t>2018</w:t>
            </w:r>
          </w:p>
        </w:tc>
      </w:tr>
      <w:tr w:rsidR="0021177B" w:rsidRPr="00D12127" w14:paraId="00133DE5" w14:textId="77777777" w:rsidTr="009E3B2F">
        <w:trPr>
          <w:trHeight w:val="484"/>
        </w:trPr>
        <w:tc>
          <w:tcPr>
            <w:tcW w:w="1806" w:type="pct"/>
            <w:gridSpan w:val="4"/>
          </w:tcPr>
          <w:p w14:paraId="54555917" w14:textId="77777777" w:rsidR="0021177B" w:rsidRPr="00AA4D97" w:rsidRDefault="0021177B" w:rsidP="009E3B2F">
            <w:pPr>
              <w:spacing w:after="0" w:line="240" w:lineRule="auto"/>
              <w:jc w:val="center"/>
              <w:rPr>
                <w:rFonts w:ascii="Futura Std Condensed Light" w:eastAsia="Calibri" w:hAnsi="Futura Std Condensed Light" w:cs="Calibri"/>
                <w:b/>
                <w:sz w:val="20"/>
                <w:szCs w:val="20"/>
              </w:rPr>
            </w:pPr>
            <w:r w:rsidRPr="00AA4D97">
              <w:rPr>
                <w:rFonts w:ascii="Futura Std Condensed Light" w:eastAsia="Calibri" w:hAnsi="Futura Std Condensed Light" w:cs="Calibri"/>
                <w:b/>
                <w:sz w:val="20"/>
                <w:szCs w:val="20"/>
              </w:rPr>
              <w:t>Contribución Directa al Objetivo de la Agenda 2030</w:t>
            </w:r>
          </w:p>
        </w:tc>
        <w:tc>
          <w:tcPr>
            <w:tcW w:w="3194" w:type="pct"/>
            <w:gridSpan w:val="7"/>
          </w:tcPr>
          <w:p w14:paraId="6947BC64" w14:textId="77777777" w:rsidR="0021177B" w:rsidRPr="00AA4D97" w:rsidRDefault="0021177B" w:rsidP="009E3B2F">
            <w:pPr>
              <w:spacing w:after="0" w:line="240" w:lineRule="auto"/>
              <w:jc w:val="center"/>
              <w:rPr>
                <w:rFonts w:ascii="Futura Std Condensed Light" w:eastAsia="Calibri" w:hAnsi="Futura Std Condensed Light" w:cs="Calibri"/>
                <w:sz w:val="20"/>
                <w:szCs w:val="20"/>
              </w:rPr>
            </w:pPr>
            <w:r w:rsidRPr="00AA4D97">
              <w:rPr>
                <w:rFonts w:ascii="Futura Std Condensed Light" w:eastAsia="Calibri" w:hAnsi="Futura Std Condensed Light" w:cs="Calibri"/>
                <w:sz w:val="20"/>
                <w:szCs w:val="20"/>
              </w:rPr>
              <w:t>Garantizar una educación inclusiva, equitativa y de calidad y promover oportunidades de aprendizaje durante toda la vida para todos</w:t>
            </w:r>
          </w:p>
        </w:tc>
      </w:tr>
      <w:tr w:rsidR="0021177B" w:rsidRPr="00D12127" w14:paraId="3AFB772D" w14:textId="77777777" w:rsidTr="009E3B2F">
        <w:trPr>
          <w:trHeight w:val="484"/>
        </w:trPr>
        <w:tc>
          <w:tcPr>
            <w:tcW w:w="1806" w:type="pct"/>
            <w:gridSpan w:val="4"/>
          </w:tcPr>
          <w:p w14:paraId="7D3A2D70" w14:textId="77777777" w:rsidR="0021177B" w:rsidRPr="00AA4D97" w:rsidRDefault="0021177B" w:rsidP="009E3B2F">
            <w:pPr>
              <w:spacing w:after="0" w:line="240" w:lineRule="auto"/>
              <w:jc w:val="center"/>
              <w:rPr>
                <w:rFonts w:ascii="Futura Std Condensed Light" w:eastAsia="Calibri" w:hAnsi="Futura Std Condensed Light" w:cs="Calibri"/>
                <w:b/>
                <w:sz w:val="20"/>
                <w:szCs w:val="20"/>
              </w:rPr>
            </w:pPr>
            <w:r w:rsidRPr="00AA4D97">
              <w:rPr>
                <w:rFonts w:ascii="Futura Std Condensed Light" w:eastAsia="Calibri" w:hAnsi="Futura Std Condensed Light" w:cs="Calibri"/>
                <w:b/>
                <w:sz w:val="20"/>
                <w:szCs w:val="20"/>
              </w:rPr>
              <w:t>Contribución Directa  a la Meta de la Agenda 2030</w:t>
            </w:r>
          </w:p>
        </w:tc>
        <w:tc>
          <w:tcPr>
            <w:tcW w:w="3194" w:type="pct"/>
            <w:gridSpan w:val="7"/>
          </w:tcPr>
          <w:p w14:paraId="3BEE2B2F" w14:textId="77777777" w:rsidR="0021177B" w:rsidRPr="00AA4D97" w:rsidRDefault="0021177B" w:rsidP="009E3B2F">
            <w:pPr>
              <w:spacing w:after="0" w:line="240" w:lineRule="auto"/>
              <w:jc w:val="center"/>
              <w:rPr>
                <w:rFonts w:ascii="Futura Std Condensed Light" w:eastAsia="Calibri" w:hAnsi="Futura Std Condensed Light" w:cs="Calibri"/>
                <w:sz w:val="20"/>
                <w:szCs w:val="20"/>
              </w:rPr>
            </w:pPr>
            <w:r w:rsidRPr="00AA4D97">
              <w:rPr>
                <w:rFonts w:ascii="Futura Std Condensed Light" w:eastAsia="Calibri" w:hAnsi="Futura Std Condensed Light" w:cs="Calibri"/>
                <w:sz w:val="20"/>
                <w:szCs w:val="20"/>
              </w:rPr>
              <w:t>De aquí a 2030, asegurar el acceso igualitario de todos los hombres y las mujeres a una formación técnica, profesional y superior de calidad, incluida la enseñanza universitaria.</w:t>
            </w:r>
          </w:p>
        </w:tc>
      </w:tr>
      <w:tr w:rsidR="0021177B" w:rsidRPr="00D12127" w14:paraId="7D565CB2" w14:textId="77777777" w:rsidTr="009E3B2F">
        <w:trPr>
          <w:trHeight w:val="484"/>
        </w:trPr>
        <w:tc>
          <w:tcPr>
            <w:tcW w:w="1806" w:type="pct"/>
            <w:gridSpan w:val="4"/>
          </w:tcPr>
          <w:p w14:paraId="5C17CFAA" w14:textId="77777777" w:rsidR="0021177B" w:rsidRPr="00AA4D97" w:rsidRDefault="0021177B" w:rsidP="009E3B2F">
            <w:pPr>
              <w:spacing w:after="0" w:line="240" w:lineRule="auto"/>
              <w:jc w:val="center"/>
              <w:rPr>
                <w:rFonts w:ascii="Futura Std Condensed Light" w:eastAsia="Calibri" w:hAnsi="Futura Std Condensed Light" w:cs="Calibri"/>
                <w:b/>
                <w:sz w:val="20"/>
                <w:szCs w:val="20"/>
              </w:rPr>
            </w:pPr>
            <w:r w:rsidRPr="00AA4D97">
              <w:rPr>
                <w:rFonts w:ascii="Futura Std Condensed Light" w:eastAsia="Calibri" w:hAnsi="Futura Std Condensed Light" w:cs="Calibri"/>
                <w:b/>
                <w:sz w:val="20"/>
                <w:szCs w:val="20"/>
              </w:rPr>
              <w:t>Tema / Proyecto Prioritario de Quintana Roo</w:t>
            </w:r>
          </w:p>
        </w:tc>
        <w:tc>
          <w:tcPr>
            <w:tcW w:w="3194" w:type="pct"/>
            <w:gridSpan w:val="7"/>
          </w:tcPr>
          <w:p w14:paraId="18869031" w14:textId="77777777" w:rsidR="0021177B" w:rsidRPr="00AA4D97" w:rsidRDefault="0021177B" w:rsidP="009E3B2F">
            <w:pPr>
              <w:spacing w:after="0" w:line="240" w:lineRule="auto"/>
              <w:jc w:val="center"/>
              <w:rPr>
                <w:rFonts w:ascii="Futura Std Condensed Light" w:eastAsia="Calibri" w:hAnsi="Futura Std Condensed Light" w:cs="Calibri"/>
                <w:sz w:val="20"/>
                <w:szCs w:val="20"/>
              </w:rPr>
            </w:pPr>
            <w:r w:rsidRPr="00AA4D97">
              <w:rPr>
                <w:rFonts w:ascii="Futura Std Condensed Light" w:eastAsia="Calibri" w:hAnsi="Futura Std Condensed Light" w:cs="Calibri"/>
                <w:sz w:val="20"/>
                <w:szCs w:val="20"/>
              </w:rPr>
              <w:t>24.5 Abatir el rezago educativo</w:t>
            </w:r>
          </w:p>
        </w:tc>
      </w:tr>
      <w:tr w:rsidR="0021177B" w:rsidRPr="00D12127" w14:paraId="0E5E4FCA" w14:textId="77777777" w:rsidTr="009E3B2F">
        <w:trPr>
          <w:trHeight w:val="484"/>
        </w:trPr>
        <w:tc>
          <w:tcPr>
            <w:tcW w:w="1806" w:type="pct"/>
            <w:gridSpan w:val="4"/>
          </w:tcPr>
          <w:p w14:paraId="752F2201" w14:textId="77777777" w:rsidR="0021177B" w:rsidRPr="00AA4D97" w:rsidRDefault="0021177B" w:rsidP="009E3B2F">
            <w:pPr>
              <w:spacing w:after="0" w:line="240" w:lineRule="auto"/>
              <w:jc w:val="center"/>
              <w:rPr>
                <w:rFonts w:ascii="Futura Std Condensed Light" w:eastAsia="Calibri" w:hAnsi="Futura Std Condensed Light" w:cs="Calibri"/>
                <w:b/>
                <w:sz w:val="20"/>
                <w:szCs w:val="20"/>
              </w:rPr>
            </w:pPr>
            <w:r w:rsidRPr="00AA4D97">
              <w:rPr>
                <w:rFonts w:ascii="Futura Std Condensed Light" w:eastAsia="Calibri" w:hAnsi="Futura Std Condensed Light" w:cs="Calibri"/>
                <w:b/>
                <w:sz w:val="20"/>
                <w:szCs w:val="20"/>
              </w:rPr>
              <w:t>Subtema Prioritario de Quintana Roo</w:t>
            </w:r>
          </w:p>
        </w:tc>
        <w:tc>
          <w:tcPr>
            <w:tcW w:w="3194" w:type="pct"/>
            <w:gridSpan w:val="7"/>
          </w:tcPr>
          <w:p w14:paraId="2C387E9E" w14:textId="77777777" w:rsidR="0021177B" w:rsidRPr="00AA4D97" w:rsidRDefault="0021177B" w:rsidP="009E3B2F">
            <w:pPr>
              <w:spacing w:after="0" w:line="240" w:lineRule="auto"/>
              <w:jc w:val="center"/>
              <w:rPr>
                <w:rFonts w:ascii="Futura Std Condensed Light" w:eastAsia="Calibri" w:hAnsi="Futura Std Condensed Light" w:cs="Calibri"/>
                <w:sz w:val="20"/>
                <w:szCs w:val="20"/>
              </w:rPr>
            </w:pPr>
            <w:r w:rsidRPr="00AA4D97">
              <w:rPr>
                <w:rFonts w:ascii="Futura Std Condensed Light" w:eastAsia="Calibri" w:hAnsi="Futura Std Condensed Light" w:cs="Calibri"/>
                <w:sz w:val="20"/>
                <w:szCs w:val="20"/>
              </w:rPr>
              <w:t>N/A</w:t>
            </w:r>
          </w:p>
        </w:tc>
      </w:tr>
      <w:tr w:rsidR="0021177B" w:rsidRPr="00D12127" w14:paraId="33C24B0D" w14:textId="77777777" w:rsidTr="009E3B2F">
        <w:trPr>
          <w:trHeight w:val="484"/>
        </w:trPr>
        <w:tc>
          <w:tcPr>
            <w:tcW w:w="5000" w:type="pct"/>
            <w:gridSpan w:val="11"/>
          </w:tcPr>
          <w:p w14:paraId="5327AA6F" w14:textId="77777777" w:rsidR="0021177B" w:rsidRPr="006F4B62" w:rsidRDefault="0021177B" w:rsidP="009E3B2F">
            <w:pPr>
              <w:spacing w:after="0" w:line="240" w:lineRule="auto"/>
              <w:jc w:val="center"/>
              <w:rPr>
                <w:rFonts w:ascii="Futura Std Condensed Light" w:eastAsia="Calibri" w:hAnsi="Futura Std Condensed Light" w:cs="Calibri"/>
                <w:b/>
                <w:sz w:val="20"/>
                <w:szCs w:val="20"/>
              </w:rPr>
            </w:pPr>
            <w:r w:rsidRPr="006F4B62">
              <w:rPr>
                <w:rFonts w:ascii="Futura Std Condensed Light" w:eastAsia="Calibri" w:hAnsi="Futura Std Condensed Light" w:cs="Calibri"/>
                <w:b/>
                <w:sz w:val="20"/>
                <w:szCs w:val="20"/>
              </w:rPr>
              <w:t>Meta Total:</w:t>
            </w:r>
          </w:p>
        </w:tc>
      </w:tr>
      <w:tr w:rsidR="0021177B" w:rsidRPr="00D12127" w14:paraId="47966BB3" w14:textId="77777777" w:rsidTr="009E3B2F">
        <w:trPr>
          <w:trHeight w:val="484"/>
        </w:trPr>
        <w:tc>
          <w:tcPr>
            <w:tcW w:w="781" w:type="pct"/>
          </w:tcPr>
          <w:p w14:paraId="3FC60CB0" w14:textId="77777777" w:rsidR="0021177B" w:rsidRPr="006F4B62" w:rsidRDefault="0021177B" w:rsidP="009E3B2F">
            <w:pPr>
              <w:spacing w:after="0" w:line="240" w:lineRule="auto"/>
              <w:jc w:val="center"/>
              <w:rPr>
                <w:rFonts w:ascii="Futura Std Condensed Light" w:eastAsia="Calibri" w:hAnsi="Futura Std Condensed Light" w:cs="Calibri"/>
                <w:b/>
                <w:sz w:val="20"/>
                <w:szCs w:val="20"/>
              </w:rPr>
            </w:pPr>
            <w:r w:rsidRPr="006F4B62">
              <w:rPr>
                <w:rFonts w:ascii="Futura Std Condensed Light" w:eastAsia="Calibri" w:hAnsi="Futura Std Condensed Light" w:cs="Calibri"/>
                <w:b/>
                <w:sz w:val="20"/>
                <w:szCs w:val="20"/>
              </w:rPr>
              <w:t>2017</w:t>
            </w:r>
          </w:p>
        </w:tc>
        <w:tc>
          <w:tcPr>
            <w:tcW w:w="783" w:type="pct"/>
            <w:gridSpan w:val="2"/>
          </w:tcPr>
          <w:p w14:paraId="2BE1830C" w14:textId="77777777" w:rsidR="0021177B" w:rsidRPr="006F4B62" w:rsidRDefault="0021177B" w:rsidP="009E3B2F">
            <w:pPr>
              <w:spacing w:after="0" w:line="240" w:lineRule="auto"/>
              <w:jc w:val="center"/>
              <w:rPr>
                <w:rFonts w:ascii="Futura Std Condensed Light" w:eastAsia="Calibri" w:hAnsi="Futura Std Condensed Light" w:cs="Calibri"/>
                <w:b/>
                <w:sz w:val="20"/>
                <w:szCs w:val="20"/>
              </w:rPr>
            </w:pPr>
            <w:r w:rsidRPr="006F4B62">
              <w:rPr>
                <w:rFonts w:ascii="Futura Std Condensed Light" w:eastAsia="Calibri" w:hAnsi="Futura Std Condensed Light" w:cs="Calibri"/>
                <w:b/>
                <w:sz w:val="20"/>
                <w:szCs w:val="20"/>
              </w:rPr>
              <w:t>2018</w:t>
            </w:r>
          </w:p>
        </w:tc>
        <w:tc>
          <w:tcPr>
            <w:tcW w:w="904" w:type="pct"/>
            <w:gridSpan w:val="3"/>
          </w:tcPr>
          <w:p w14:paraId="056D254D" w14:textId="77777777" w:rsidR="0021177B" w:rsidRPr="006F4B62" w:rsidRDefault="0021177B" w:rsidP="009E3B2F">
            <w:pPr>
              <w:spacing w:after="0" w:line="240" w:lineRule="auto"/>
              <w:jc w:val="center"/>
              <w:rPr>
                <w:rFonts w:ascii="Futura Std Condensed Light" w:eastAsia="Calibri" w:hAnsi="Futura Std Condensed Light" w:cs="Calibri"/>
                <w:b/>
                <w:sz w:val="20"/>
                <w:szCs w:val="20"/>
              </w:rPr>
            </w:pPr>
            <w:r w:rsidRPr="006F4B62">
              <w:rPr>
                <w:rFonts w:ascii="Futura Std Condensed Light" w:eastAsia="Calibri" w:hAnsi="Futura Std Condensed Light" w:cs="Calibri"/>
                <w:b/>
                <w:sz w:val="20"/>
                <w:szCs w:val="20"/>
              </w:rPr>
              <w:t>2019</w:t>
            </w:r>
          </w:p>
        </w:tc>
        <w:tc>
          <w:tcPr>
            <w:tcW w:w="723" w:type="pct"/>
            <w:gridSpan w:val="2"/>
          </w:tcPr>
          <w:p w14:paraId="473CA874" w14:textId="77777777" w:rsidR="0021177B" w:rsidRPr="006F4B62" w:rsidRDefault="0021177B" w:rsidP="009E3B2F">
            <w:pPr>
              <w:spacing w:after="0" w:line="240" w:lineRule="auto"/>
              <w:jc w:val="center"/>
              <w:rPr>
                <w:rFonts w:ascii="Futura Std Condensed Light" w:eastAsia="Calibri" w:hAnsi="Futura Std Condensed Light" w:cs="Calibri"/>
                <w:b/>
                <w:sz w:val="20"/>
                <w:szCs w:val="20"/>
              </w:rPr>
            </w:pPr>
            <w:r w:rsidRPr="006F4B62">
              <w:rPr>
                <w:rFonts w:ascii="Futura Std Condensed Light" w:eastAsia="Calibri" w:hAnsi="Futura Std Condensed Light" w:cs="Calibri"/>
                <w:b/>
                <w:sz w:val="20"/>
                <w:szCs w:val="20"/>
              </w:rPr>
              <w:t>2020</w:t>
            </w:r>
          </w:p>
        </w:tc>
        <w:tc>
          <w:tcPr>
            <w:tcW w:w="963" w:type="pct"/>
            <w:gridSpan w:val="2"/>
          </w:tcPr>
          <w:p w14:paraId="7D174DCB" w14:textId="77777777" w:rsidR="0021177B" w:rsidRPr="006F4B62" w:rsidRDefault="0021177B" w:rsidP="009E3B2F">
            <w:pPr>
              <w:spacing w:after="0" w:line="240" w:lineRule="auto"/>
              <w:jc w:val="center"/>
              <w:rPr>
                <w:rFonts w:ascii="Futura Std Condensed Light" w:eastAsia="Calibri" w:hAnsi="Futura Std Condensed Light" w:cs="Calibri"/>
                <w:b/>
                <w:sz w:val="20"/>
                <w:szCs w:val="20"/>
              </w:rPr>
            </w:pPr>
            <w:r w:rsidRPr="006F4B62">
              <w:rPr>
                <w:rFonts w:ascii="Futura Std Condensed Light" w:eastAsia="Calibri" w:hAnsi="Futura Std Condensed Light" w:cs="Calibri"/>
                <w:b/>
                <w:sz w:val="20"/>
                <w:szCs w:val="20"/>
              </w:rPr>
              <w:t>2021</w:t>
            </w:r>
          </w:p>
        </w:tc>
        <w:tc>
          <w:tcPr>
            <w:tcW w:w="846" w:type="pct"/>
          </w:tcPr>
          <w:p w14:paraId="021054EB" w14:textId="77777777" w:rsidR="0021177B" w:rsidRPr="006F4B62" w:rsidRDefault="0021177B" w:rsidP="009E3B2F">
            <w:pPr>
              <w:spacing w:after="0" w:line="240" w:lineRule="auto"/>
              <w:jc w:val="center"/>
              <w:rPr>
                <w:rFonts w:ascii="Futura Std Condensed Light" w:eastAsia="Calibri" w:hAnsi="Futura Std Condensed Light" w:cs="Calibri"/>
                <w:b/>
                <w:sz w:val="20"/>
                <w:szCs w:val="20"/>
              </w:rPr>
            </w:pPr>
            <w:r w:rsidRPr="006F4B62">
              <w:rPr>
                <w:rFonts w:ascii="Futura Std Condensed Light" w:eastAsia="Calibri" w:hAnsi="Futura Std Condensed Light" w:cs="Calibri"/>
                <w:b/>
                <w:sz w:val="20"/>
                <w:szCs w:val="20"/>
              </w:rPr>
              <w:t>2022</w:t>
            </w:r>
          </w:p>
        </w:tc>
      </w:tr>
      <w:tr w:rsidR="0021177B" w:rsidRPr="00D12127" w14:paraId="659A18BA" w14:textId="77777777" w:rsidTr="009E3B2F">
        <w:trPr>
          <w:trHeight w:val="484"/>
        </w:trPr>
        <w:tc>
          <w:tcPr>
            <w:tcW w:w="781" w:type="pct"/>
          </w:tcPr>
          <w:p w14:paraId="70AE91EF" w14:textId="77777777" w:rsidR="0021177B" w:rsidRPr="00AA4D97" w:rsidRDefault="0021177B" w:rsidP="009E3B2F">
            <w:pPr>
              <w:spacing w:after="0" w:line="240" w:lineRule="auto"/>
              <w:jc w:val="center"/>
              <w:rPr>
                <w:rFonts w:ascii="Futura Std Condensed Light" w:eastAsia="Calibri" w:hAnsi="Futura Std Condensed Light" w:cs="Calibri"/>
                <w:sz w:val="20"/>
                <w:szCs w:val="20"/>
              </w:rPr>
            </w:pPr>
          </w:p>
        </w:tc>
        <w:tc>
          <w:tcPr>
            <w:tcW w:w="783" w:type="pct"/>
            <w:gridSpan w:val="2"/>
          </w:tcPr>
          <w:p w14:paraId="742181D8" w14:textId="04210712" w:rsidR="0021177B" w:rsidRPr="00AA4D97" w:rsidRDefault="004F2873" w:rsidP="009E3B2F">
            <w:pPr>
              <w:spacing w:after="0" w:line="240" w:lineRule="auto"/>
              <w:jc w:val="center"/>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70%</w:t>
            </w:r>
          </w:p>
        </w:tc>
        <w:tc>
          <w:tcPr>
            <w:tcW w:w="904" w:type="pct"/>
            <w:gridSpan w:val="3"/>
          </w:tcPr>
          <w:p w14:paraId="447F3DC5" w14:textId="77777777" w:rsidR="0021177B" w:rsidRPr="00AA4D97" w:rsidRDefault="0021177B" w:rsidP="009E3B2F">
            <w:pPr>
              <w:spacing w:after="0" w:line="240" w:lineRule="auto"/>
              <w:jc w:val="center"/>
              <w:rPr>
                <w:rFonts w:ascii="Futura Std Condensed Light" w:eastAsia="Calibri" w:hAnsi="Futura Std Condensed Light" w:cs="Calibri"/>
                <w:sz w:val="20"/>
                <w:szCs w:val="20"/>
              </w:rPr>
            </w:pPr>
            <w:r w:rsidRPr="00AA4D97">
              <w:rPr>
                <w:rFonts w:ascii="Futura Std Condensed Light" w:eastAsia="Calibri" w:hAnsi="Futura Std Condensed Light" w:cs="Calibri"/>
                <w:sz w:val="20"/>
                <w:szCs w:val="20"/>
              </w:rPr>
              <w:t>80%</w:t>
            </w:r>
          </w:p>
        </w:tc>
        <w:tc>
          <w:tcPr>
            <w:tcW w:w="723" w:type="pct"/>
            <w:gridSpan w:val="2"/>
          </w:tcPr>
          <w:p w14:paraId="6071839C" w14:textId="77777777" w:rsidR="0021177B" w:rsidRPr="00AA4D97" w:rsidRDefault="0021177B" w:rsidP="009E3B2F">
            <w:pPr>
              <w:spacing w:after="0" w:line="240" w:lineRule="auto"/>
              <w:jc w:val="center"/>
              <w:rPr>
                <w:rFonts w:ascii="Futura Std Condensed Light" w:eastAsia="Calibri" w:hAnsi="Futura Std Condensed Light" w:cs="Calibri"/>
                <w:sz w:val="20"/>
                <w:szCs w:val="20"/>
              </w:rPr>
            </w:pPr>
            <w:r w:rsidRPr="00AA4D97">
              <w:rPr>
                <w:rFonts w:ascii="Futura Std Condensed Light" w:eastAsia="Calibri" w:hAnsi="Futura Std Condensed Light" w:cs="Calibri"/>
                <w:sz w:val="20"/>
                <w:szCs w:val="20"/>
              </w:rPr>
              <w:t>91%</w:t>
            </w:r>
          </w:p>
        </w:tc>
        <w:tc>
          <w:tcPr>
            <w:tcW w:w="963" w:type="pct"/>
            <w:gridSpan w:val="2"/>
          </w:tcPr>
          <w:p w14:paraId="7DD2D7BA" w14:textId="77777777" w:rsidR="0021177B" w:rsidRPr="00AA4D97" w:rsidRDefault="0021177B" w:rsidP="009E3B2F">
            <w:pPr>
              <w:spacing w:after="0" w:line="240" w:lineRule="auto"/>
              <w:jc w:val="center"/>
              <w:rPr>
                <w:rFonts w:ascii="Futura Std Condensed Light" w:eastAsia="Calibri" w:hAnsi="Futura Std Condensed Light" w:cs="Calibri"/>
                <w:sz w:val="20"/>
                <w:szCs w:val="20"/>
              </w:rPr>
            </w:pPr>
            <w:r w:rsidRPr="00AA4D97">
              <w:rPr>
                <w:rFonts w:ascii="Futura Std Condensed Light" w:eastAsia="Calibri" w:hAnsi="Futura Std Condensed Light" w:cs="Calibri"/>
                <w:sz w:val="20"/>
                <w:szCs w:val="20"/>
              </w:rPr>
              <w:t>92%</w:t>
            </w:r>
          </w:p>
        </w:tc>
        <w:tc>
          <w:tcPr>
            <w:tcW w:w="846" w:type="pct"/>
          </w:tcPr>
          <w:p w14:paraId="1CAAF588" w14:textId="77777777" w:rsidR="0021177B" w:rsidRPr="00AA4D97" w:rsidRDefault="0021177B" w:rsidP="009E3B2F">
            <w:pPr>
              <w:spacing w:after="0" w:line="240" w:lineRule="auto"/>
              <w:jc w:val="center"/>
              <w:rPr>
                <w:rFonts w:ascii="Futura Std Condensed Light" w:eastAsia="Calibri" w:hAnsi="Futura Std Condensed Light" w:cs="Calibri"/>
                <w:sz w:val="20"/>
                <w:szCs w:val="20"/>
              </w:rPr>
            </w:pPr>
            <w:r w:rsidRPr="00AA4D97">
              <w:rPr>
                <w:rFonts w:ascii="Futura Std Condensed Light" w:eastAsia="Calibri" w:hAnsi="Futura Std Condensed Light" w:cs="Calibri"/>
                <w:sz w:val="20"/>
                <w:szCs w:val="20"/>
              </w:rPr>
              <w:t>93%</w:t>
            </w:r>
          </w:p>
        </w:tc>
      </w:tr>
    </w:tbl>
    <w:p w14:paraId="22854B08" w14:textId="491B0511" w:rsidR="001F10CF" w:rsidRDefault="001F10CF" w:rsidP="0021177B"/>
    <w:p w14:paraId="672CD86C" w14:textId="77777777" w:rsidR="00E05363" w:rsidRDefault="00E05363">
      <w:pPr>
        <w:spacing w:after="0" w:line="240" w:lineRule="auto"/>
        <w:jc w:val="left"/>
        <w:rPr>
          <w:rFonts w:eastAsia="Arial" w:cs="Times New Roman"/>
          <w:b/>
          <w:color w:val="4BACC6" w:themeColor="accent5"/>
        </w:rPr>
      </w:pPr>
      <w:r>
        <w:rPr>
          <w:rFonts w:eastAsia="Arial" w:cs="Times New Roman"/>
          <w:b/>
          <w:color w:val="4BACC6" w:themeColor="accent5"/>
        </w:rPr>
        <w:br w:type="page"/>
      </w:r>
    </w:p>
    <w:p w14:paraId="7A094D29" w14:textId="4B110655" w:rsidR="0021177B" w:rsidRDefault="00FA0940" w:rsidP="0021177B">
      <w:pPr>
        <w:jc w:val="center"/>
      </w:pPr>
      <w:r>
        <w:rPr>
          <w:rFonts w:eastAsia="Arial" w:cs="Times New Roman"/>
          <w:b/>
          <w:color w:val="4BACC6" w:themeColor="accent5"/>
        </w:rPr>
        <w:lastRenderedPageBreak/>
        <w:t>Cuadro 41</w:t>
      </w:r>
      <w:r w:rsidR="0021177B">
        <w:rPr>
          <w:rFonts w:eastAsia="Arial" w:cs="Times New Roman"/>
          <w:b/>
          <w:color w:val="4BACC6" w:themeColor="accent5"/>
        </w:rPr>
        <w:t>. Entregable y meta de la línea de acción 14 del PED</w:t>
      </w:r>
    </w:p>
    <w:tbl>
      <w:tblPr>
        <w:tblStyle w:val="Tablaconcuadrcula"/>
        <w:tblW w:w="5000" w:type="pct"/>
        <w:tblLook w:val="04A0" w:firstRow="1" w:lastRow="0" w:firstColumn="1" w:lastColumn="0" w:noHBand="0" w:noVBand="1"/>
      </w:tblPr>
      <w:tblGrid>
        <w:gridCol w:w="1489"/>
        <w:gridCol w:w="814"/>
        <w:gridCol w:w="679"/>
        <w:gridCol w:w="462"/>
        <w:gridCol w:w="1032"/>
        <w:gridCol w:w="231"/>
        <w:gridCol w:w="462"/>
        <w:gridCol w:w="917"/>
        <w:gridCol w:w="1205"/>
        <w:gridCol w:w="6"/>
        <w:gridCol w:w="626"/>
        <w:gridCol w:w="1614"/>
      </w:tblGrid>
      <w:tr w:rsidR="0086391F" w:rsidRPr="00060E8E" w14:paraId="15E3DD6C" w14:textId="77777777" w:rsidTr="00060E8E">
        <w:trPr>
          <w:trHeight w:val="182"/>
        </w:trPr>
        <w:tc>
          <w:tcPr>
            <w:tcW w:w="1806" w:type="pct"/>
            <w:gridSpan w:val="4"/>
            <w:shd w:val="clear" w:color="auto" w:fill="A6A6A6" w:themeFill="background1" w:themeFillShade="A6"/>
          </w:tcPr>
          <w:p w14:paraId="51E220B8" w14:textId="77777777" w:rsidR="0021177B" w:rsidRPr="00060E8E" w:rsidRDefault="0021177B" w:rsidP="009E3B2F">
            <w:pPr>
              <w:spacing w:after="0" w:line="240" w:lineRule="auto"/>
              <w:jc w:val="center"/>
              <w:rPr>
                <w:rFonts w:ascii="Futura Std Condensed Light" w:eastAsia="Calibri" w:hAnsi="Futura Std Condensed Light" w:cs="Calibri"/>
                <w:color w:val="auto"/>
                <w:sz w:val="20"/>
                <w:szCs w:val="20"/>
              </w:rPr>
            </w:pPr>
            <w:r w:rsidRPr="00060E8E">
              <w:rPr>
                <w:rFonts w:ascii="Futura Std Condensed Light" w:eastAsia="Calibri" w:hAnsi="Futura Std Condensed Light" w:cs="Calibri"/>
                <w:color w:val="auto"/>
                <w:sz w:val="20"/>
                <w:szCs w:val="20"/>
              </w:rPr>
              <w:t>Programa PED</w:t>
            </w:r>
          </w:p>
        </w:tc>
        <w:tc>
          <w:tcPr>
            <w:tcW w:w="3194" w:type="pct"/>
            <w:gridSpan w:val="8"/>
            <w:shd w:val="clear" w:color="auto" w:fill="A6A6A6" w:themeFill="background1" w:themeFillShade="A6"/>
          </w:tcPr>
          <w:p w14:paraId="6B0E1260" w14:textId="77777777" w:rsidR="0021177B" w:rsidRPr="00060E8E" w:rsidRDefault="0021177B" w:rsidP="009E3B2F">
            <w:pPr>
              <w:spacing w:after="0" w:line="240" w:lineRule="auto"/>
              <w:jc w:val="center"/>
              <w:rPr>
                <w:rFonts w:ascii="Futura Std Condensed Light" w:eastAsia="Calibri" w:hAnsi="Futura Std Condensed Light" w:cs="Calibri"/>
                <w:color w:val="auto"/>
                <w:sz w:val="20"/>
                <w:szCs w:val="20"/>
              </w:rPr>
            </w:pPr>
            <w:r w:rsidRPr="00060E8E">
              <w:rPr>
                <w:rFonts w:ascii="Futura Std Condensed Light" w:eastAsia="Calibri" w:hAnsi="Futura Std Condensed Light" w:cs="Calibri"/>
                <w:color w:val="auto"/>
                <w:sz w:val="20"/>
                <w:szCs w:val="20"/>
              </w:rPr>
              <w:t>Programa Sectorial Educación Pública de Calidad</w:t>
            </w:r>
          </w:p>
        </w:tc>
      </w:tr>
      <w:tr w:rsidR="0021177B" w:rsidRPr="00F267CE" w14:paraId="5793D665" w14:textId="77777777" w:rsidTr="009E3B2F">
        <w:trPr>
          <w:trHeight w:val="469"/>
        </w:trPr>
        <w:tc>
          <w:tcPr>
            <w:tcW w:w="1806" w:type="pct"/>
            <w:gridSpan w:val="4"/>
          </w:tcPr>
          <w:p w14:paraId="61B2251D" w14:textId="77777777" w:rsidR="0021177B" w:rsidRPr="00F267CE" w:rsidRDefault="0021177B" w:rsidP="009E3B2F">
            <w:pPr>
              <w:spacing w:after="0" w:line="240" w:lineRule="auto"/>
              <w:jc w:val="center"/>
              <w:rPr>
                <w:rFonts w:ascii="Futura Std Condensed Light" w:eastAsia="Calibri" w:hAnsi="Futura Std Condensed Light" w:cs="Calibri"/>
                <w:b/>
                <w:sz w:val="20"/>
                <w:szCs w:val="20"/>
              </w:rPr>
            </w:pPr>
            <w:r w:rsidRPr="00F267CE">
              <w:rPr>
                <w:rFonts w:ascii="Futura Std Condensed Light" w:eastAsia="Calibri" w:hAnsi="Futura Std Condensed Light" w:cs="Calibri"/>
                <w:b/>
                <w:sz w:val="20"/>
                <w:szCs w:val="20"/>
              </w:rPr>
              <w:t>Línea de acción:</w:t>
            </w:r>
          </w:p>
        </w:tc>
        <w:tc>
          <w:tcPr>
            <w:tcW w:w="3194" w:type="pct"/>
            <w:gridSpan w:val="8"/>
          </w:tcPr>
          <w:p w14:paraId="0A46C22C" w14:textId="77777777" w:rsidR="0021177B" w:rsidRPr="00F267CE" w:rsidRDefault="0021177B" w:rsidP="009E3B2F">
            <w:pPr>
              <w:spacing w:after="0" w:line="240" w:lineRule="auto"/>
              <w:jc w:val="center"/>
              <w:rPr>
                <w:rFonts w:ascii="Futura Std Condensed Light" w:eastAsia="Calibri" w:hAnsi="Futura Std Condensed Light" w:cs="Calibri"/>
                <w:sz w:val="20"/>
                <w:szCs w:val="20"/>
              </w:rPr>
            </w:pPr>
            <w:r w:rsidRPr="00F267CE">
              <w:rPr>
                <w:rFonts w:ascii="Futura Std Condensed Light" w:eastAsia="Calibri" w:hAnsi="Futura Std Condensed Light" w:cs="Calibri"/>
                <w:sz w:val="20"/>
                <w:szCs w:val="20"/>
              </w:rPr>
              <w:t>14.   Acreditar los planes y programas de educación superior a fin de garantizar su calidad.</w:t>
            </w:r>
          </w:p>
        </w:tc>
      </w:tr>
      <w:tr w:rsidR="0021177B" w:rsidRPr="00F267CE" w14:paraId="2FF514BB" w14:textId="77777777" w:rsidTr="009E3B2F">
        <w:trPr>
          <w:trHeight w:val="484"/>
        </w:trPr>
        <w:tc>
          <w:tcPr>
            <w:tcW w:w="1806" w:type="pct"/>
            <w:gridSpan w:val="4"/>
          </w:tcPr>
          <w:p w14:paraId="5D94B44F" w14:textId="77777777" w:rsidR="0021177B" w:rsidRPr="00F267CE" w:rsidRDefault="0021177B" w:rsidP="009E3B2F">
            <w:pPr>
              <w:spacing w:after="0" w:line="240" w:lineRule="auto"/>
              <w:jc w:val="center"/>
              <w:rPr>
                <w:rFonts w:ascii="Futura Std Condensed Light" w:eastAsia="Calibri" w:hAnsi="Futura Std Condensed Light" w:cs="Calibri"/>
                <w:b/>
                <w:sz w:val="20"/>
                <w:szCs w:val="20"/>
              </w:rPr>
            </w:pPr>
            <w:r w:rsidRPr="00F267CE">
              <w:rPr>
                <w:rFonts w:ascii="Futura Std Condensed Light" w:eastAsia="Calibri" w:hAnsi="Futura Std Condensed Light" w:cs="Calibri"/>
                <w:b/>
                <w:sz w:val="20"/>
                <w:szCs w:val="20"/>
              </w:rPr>
              <w:t>Plan Estratégico Objetivo Especifico</w:t>
            </w:r>
          </w:p>
        </w:tc>
        <w:tc>
          <w:tcPr>
            <w:tcW w:w="3194" w:type="pct"/>
            <w:gridSpan w:val="8"/>
          </w:tcPr>
          <w:p w14:paraId="2CD62FD0" w14:textId="77777777" w:rsidR="0021177B" w:rsidRPr="00F267CE" w:rsidRDefault="0021177B" w:rsidP="009E3B2F">
            <w:pPr>
              <w:spacing w:after="0" w:line="240" w:lineRule="auto"/>
              <w:jc w:val="center"/>
              <w:rPr>
                <w:rFonts w:ascii="Futura Std Condensed Light" w:eastAsia="Calibri" w:hAnsi="Futura Std Condensed Light" w:cs="Calibri"/>
                <w:sz w:val="20"/>
                <w:szCs w:val="20"/>
              </w:rPr>
            </w:pPr>
            <w:r w:rsidRPr="00F267CE">
              <w:rPr>
                <w:rFonts w:ascii="Futura Std Condensed Light" w:eastAsia="Calibri" w:hAnsi="Futura Std Condensed Light" w:cs="Calibri"/>
                <w:sz w:val="20"/>
                <w:szCs w:val="20"/>
              </w:rPr>
              <w:t>Disminuir la desigualdad en sus diversas formas </w:t>
            </w:r>
          </w:p>
        </w:tc>
      </w:tr>
      <w:tr w:rsidR="0021177B" w:rsidRPr="00F267CE" w14:paraId="229E61F2" w14:textId="77777777" w:rsidTr="009E3B2F">
        <w:trPr>
          <w:trHeight w:val="484"/>
        </w:trPr>
        <w:tc>
          <w:tcPr>
            <w:tcW w:w="1208" w:type="pct"/>
            <w:gridSpan w:val="2"/>
          </w:tcPr>
          <w:p w14:paraId="68291F6D" w14:textId="77777777" w:rsidR="0021177B" w:rsidRPr="00F267CE" w:rsidRDefault="0021177B" w:rsidP="009E3B2F">
            <w:pPr>
              <w:spacing w:after="0" w:line="240" w:lineRule="auto"/>
              <w:jc w:val="center"/>
              <w:rPr>
                <w:rFonts w:ascii="Futura Std Condensed Light" w:eastAsia="Calibri" w:hAnsi="Futura Std Condensed Light" w:cs="Calibri"/>
                <w:b/>
                <w:sz w:val="20"/>
                <w:szCs w:val="20"/>
              </w:rPr>
            </w:pPr>
            <w:r w:rsidRPr="00F267CE">
              <w:rPr>
                <w:rFonts w:ascii="Futura Std Condensed Light" w:eastAsia="Calibri" w:hAnsi="Futura Std Condensed Light" w:cs="Calibri"/>
                <w:b/>
                <w:sz w:val="20"/>
                <w:szCs w:val="20"/>
              </w:rPr>
              <w:t>Entregable:</w:t>
            </w:r>
          </w:p>
        </w:tc>
        <w:tc>
          <w:tcPr>
            <w:tcW w:w="1139" w:type="pct"/>
            <w:gridSpan w:val="3"/>
          </w:tcPr>
          <w:p w14:paraId="0CA77C1B" w14:textId="77777777" w:rsidR="0021177B" w:rsidRPr="00F267CE" w:rsidRDefault="0021177B" w:rsidP="009E3B2F">
            <w:pPr>
              <w:spacing w:after="0" w:line="240" w:lineRule="auto"/>
              <w:jc w:val="center"/>
              <w:rPr>
                <w:rFonts w:ascii="Futura Std Condensed Light" w:eastAsia="Calibri" w:hAnsi="Futura Std Condensed Light" w:cs="Calibri"/>
                <w:sz w:val="20"/>
                <w:szCs w:val="20"/>
              </w:rPr>
            </w:pPr>
            <w:r w:rsidRPr="00F267CE">
              <w:rPr>
                <w:rFonts w:ascii="Futura Std Condensed Light" w:eastAsia="Calibri" w:hAnsi="Futura Std Condensed Light" w:cs="Calibri"/>
                <w:sz w:val="20"/>
                <w:szCs w:val="20"/>
              </w:rPr>
              <w:t>Acreditación de planes y programas de estudio con calidad</w:t>
            </w:r>
          </w:p>
        </w:tc>
        <w:tc>
          <w:tcPr>
            <w:tcW w:w="1479" w:type="pct"/>
            <w:gridSpan w:val="5"/>
          </w:tcPr>
          <w:p w14:paraId="1050D3AE" w14:textId="77777777" w:rsidR="0021177B" w:rsidRPr="00F267CE" w:rsidRDefault="0021177B" w:rsidP="009E3B2F">
            <w:pPr>
              <w:spacing w:after="0" w:line="240" w:lineRule="auto"/>
              <w:jc w:val="center"/>
              <w:rPr>
                <w:rFonts w:ascii="Futura Std Condensed Light" w:eastAsia="Calibri" w:hAnsi="Futura Std Condensed Light" w:cs="Calibri"/>
                <w:b/>
                <w:sz w:val="20"/>
                <w:szCs w:val="20"/>
              </w:rPr>
            </w:pPr>
            <w:r w:rsidRPr="00F267CE">
              <w:rPr>
                <w:rFonts w:ascii="Futura Std Condensed Light" w:eastAsia="Calibri" w:hAnsi="Futura Std Condensed Light" w:cs="Calibri"/>
                <w:b/>
                <w:sz w:val="20"/>
                <w:szCs w:val="20"/>
              </w:rPr>
              <w:t>Unidad de Medida:</w:t>
            </w:r>
          </w:p>
        </w:tc>
        <w:tc>
          <w:tcPr>
            <w:tcW w:w="1173" w:type="pct"/>
            <w:gridSpan w:val="2"/>
          </w:tcPr>
          <w:p w14:paraId="07D572B6" w14:textId="77777777" w:rsidR="0021177B" w:rsidRPr="00F267CE" w:rsidRDefault="0021177B" w:rsidP="009E3B2F">
            <w:pPr>
              <w:spacing w:after="0" w:line="240" w:lineRule="auto"/>
              <w:jc w:val="center"/>
              <w:rPr>
                <w:rFonts w:ascii="Futura Std Condensed Light" w:eastAsia="Calibri" w:hAnsi="Futura Std Condensed Light" w:cs="Calibri"/>
                <w:sz w:val="20"/>
                <w:szCs w:val="20"/>
              </w:rPr>
            </w:pPr>
            <w:r w:rsidRPr="00F267CE">
              <w:rPr>
                <w:rFonts w:ascii="Futura Std Condensed Light" w:eastAsia="Calibri" w:hAnsi="Futura Std Condensed Light" w:cs="Calibri"/>
                <w:sz w:val="20"/>
                <w:szCs w:val="20"/>
              </w:rPr>
              <w:t>Planes y programas con calidad acreditados</w:t>
            </w:r>
          </w:p>
        </w:tc>
      </w:tr>
      <w:tr w:rsidR="0021177B" w:rsidRPr="00F267CE" w14:paraId="2ECD091C" w14:textId="77777777" w:rsidTr="009E3B2F">
        <w:trPr>
          <w:trHeight w:val="449"/>
        </w:trPr>
        <w:tc>
          <w:tcPr>
            <w:tcW w:w="1208" w:type="pct"/>
            <w:gridSpan w:val="2"/>
          </w:tcPr>
          <w:p w14:paraId="312052BD" w14:textId="77777777" w:rsidR="0021177B" w:rsidRPr="00F267CE" w:rsidRDefault="0021177B" w:rsidP="009E3B2F">
            <w:pPr>
              <w:spacing w:after="0" w:line="240" w:lineRule="auto"/>
              <w:jc w:val="center"/>
              <w:rPr>
                <w:rFonts w:ascii="Futura Std Condensed Light" w:eastAsia="Calibri" w:hAnsi="Futura Std Condensed Light" w:cs="Calibri"/>
                <w:b/>
                <w:sz w:val="20"/>
                <w:szCs w:val="20"/>
              </w:rPr>
            </w:pPr>
            <w:r w:rsidRPr="00F267CE">
              <w:rPr>
                <w:rFonts w:ascii="Futura Std Condensed Light" w:eastAsia="Calibri" w:hAnsi="Futura Std Condensed Light" w:cs="Calibri"/>
                <w:b/>
                <w:sz w:val="20"/>
                <w:szCs w:val="20"/>
              </w:rPr>
              <w:t>Descripción:</w:t>
            </w:r>
          </w:p>
        </w:tc>
        <w:tc>
          <w:tcPr>
            <w:tcW w:w="3792" w:type="pct"/>
            <w:gridSpan w:val="10"/>
          </w:tcPr>
          <w:p w14:paraId="4012DDA0" w14:textId="77777777" w:rsidR="0021177B" w:rsidRPr="00F267CE" w:rsidRDefault="0021177B" w:rsidP="009E3B2F">
            <w:pPr>
              <w:spacing w:after="0" w:line="240" w:lineRule="auto"/>
              <w:jc w:val="center"/>
              <w:rPr>
                <w:rFonts w:ascii="Futura Std Condensed Light" w:eastAsia="Calibri" w:hAnsi="Futura Std Condensed Light" w:cs="Calibri"/>
                <w:sz w:val="20"/>
                <w:szCs w:val="20"/>
              </w:rPr>
            </w:pPr>
            <w:r w:rsidRPr="00F267CE">
              <w:rPr>
                <w:rFonts w:ascii="Futura Std Condensed Light" w:eastAsia="Calibri" w:hAnsi="Futura Std Condensed Light" w:cs="Calibri"/>
                <w:sz w:val="20"/>
                <w:szCs w:val="20"/>
              </w:rPr>
              <w:t>Se refiere a la promoción de la Certificación y Evaluación de Planes y Programas de Estudio de Calidad, a través de talleres y conferencias con profesionales en el tema.</w:t>
            </w:r>
          </w:p>
        </w:tc>
      </w:tr>
      <w:tr w:rsidR="0021177B" w:rsidRPr="00F267CE" w14:paraId="0865BEB2" w14:textId="77777777" w:rsidTr="009E3B2F">
        <w:trPr>
          <w:trHeight w:val="484"/>
        </w:trPr>
        <w:tc>
          <w:tcPr>
            <w:tcW w:w="1806" w:type="pct"/>
            <w:gridSpan w:val="4"/>
          </w:tcPr>
          <w:p w14:paraId="0AE343AD" w14:textId="77777777" w:rsidR="0021177B" w:rsidRPr="00F267CE" w:rsidRDefault="0021177B" w:rsidP="009E3B2F">
            <w:pPr>
              <w:spacing w:after="0" w:line="240" w:lineRule="auto"/>
              <w:jc w:val="center"/>
              <w:rPr>
                <w:rFonts w:ascii="Futura Std Condensed Light" w:eastAsia="Calibri" w:hAnsi="Futura Std Condensed Light" w:cs="Calibri"/>
                <w:b/>
                <w:sz w:val="20"/>
                <w:szCs w:val="20"/>
              </w:rPr>
            </w:pPr>
            <w:r w:rsidRPr="00F267CE">
              <w:rPr>
                <w:rFonts w:ascii="Futura Std Condensed Light" w:eastAsia="Calibri" w:hAnsi="Futura Std Condensed Light" w:cs="Calibri"/>
                <w:b/>
                <w:sz w:val="20"/>
                <w:szCs w:val="20"/>
              </w:rPr>
              <w:t>Medio de verificación:</w:t>
            </w:r>
          </w:p>
        </w:tc>
        <w:tc>
          <w:tcPr>
            <w:tcW w:w="3194" w:type="pct"/>
            <w:gridSpan w:val="8"/>
          </w:tcPr>
          <w:p w14:paraId="4BA808C8" w14:textId="77777777" w:rsidR="0021177B" w:rsidRPr="00F267CE" w:rsidRDefault="0021177B" w:rsidP="009E3B2F">
            <w:pPr>
              <w:spacing w:after="0" w:line="240" w:lineRule="auto"/>
              <w:jc w:val="center"/>
              <w:rPr>
                <w:rFonts w:ascii="Futura Std Condensed Light" w:eastAsia="Calibri" w:hAnsi="Futura Std Condensed Light" w:cs="Calibri"/>
                <w:sz w:val="20"/>
                <w:szCs w:val="20"/>
              </w:rPr>
            </w:pPr>
            <w:r w:rsidRPr="00F267CE">
              <w:rPr>
                <w:rFonts w:ascii="Futura Std Condensed Light" w:eastAsia="Calibri" w:hAnsi="Futura Std Condensed Light" w:cs="Calibri"/>
                <w:sz w:val="20"/>
                <w:szCs w:val="20"/>
              </w:rPr>
              <w:t>Reporte de actividades desarrolladas para el acompañamiento y coordinación de las Instituciones para incidir en la evaluación y certificación de sus programas educativos (Ficha técnica, fotografías y listas de asistencias)</w:t>
            </w:r>
          </w:p>
        </w:tc>
      </w:tr>
      <w:tr w:rsidR="0021177B" w:rsidRPr="00F267CE" w14:paraId="302F8357" w14:textId="77777777" w:rsidTr="009E3B2F">
        <w:trPr>
          <w:trHeight w:val="484"/>
        </w:trPr>
        <w:tc>
          <w:tcPr>
            <w:tcW w:w="1806" w:type="pct"/>
            <w:gridSpan w:val="4"/>
          </w:tcPr>
          <w:p w14:paraId="42516491" w14:textId="77777777" w:rsidR="0021177B" w:rsidRPr="00F267CE" w:rsidRDefault="0021177B" w:rsidP="009E3B2F">
            <w:pPr>
              <w:spacing w:after="0" w:line="240" w:lineRule="auto"/>
              <w:jc w:val="center"/>
              <w:rPr>
                <w:rFonts w:ascii="Futura Std Condensed Light" w:eastAsia="Calibri" w:hAnsi="Futura Std Condensed Light" w:cs="Calibri"/>
                <w:b/>
                <w:sz w:val="20"/>
                <w:szCs w:val="20"/>
              </w:rPr>
            </w:pPr>
            <w:r w:rsidRPr="00F267CE">
              <w:rPr>
                <w:rFonts w:ascii="Futura Std Condensed Light" w:eastAsia="Calibri" w:hAnsi="Futura Std Condensed Light" w:cs="Calibri"/>
                <w:b/>
                <w:sz w:val="20"/>
                <w:szCs w:val="20"/>
              </w:rPr>
              <w:t>Línea base:</w:t>
            </w:r>
          </w:p>
        </w:tc>
        <w:tc>
          <w:tcPr>
            <w:tcW w:w="904" w:type="pct"/>
            <w:gridSpan w:val="3"/>
          </w:tcPr>
          <w:p w14:paraId="478BE777" w14:textId="77777777" w:rsidR="0021177B" w:rsidRPr="00F267CE" w:rsidRDefault="0021177B" w:rsidP="009E3B2F">
            <w:pPr>
              <w:spacing w:after="0" w:line="240" w:lineRule="auto"/>
              <w:jc w:val="center"/>
              <w:rPr>
                <w:rFonts w:ascii="Futura Std Condensed Light" w:eastAsia="Calibri" w:hAnsi="Futura Std Condensed Light" w:cs="Calibri"/>
                <w:sz w:val="20"/>
                <w:szCs w:val="20"/>
              </w:rPr>
            </w:pPr>
            <w:r w:rsidRPr="00F267CE">
              <w:rPr>
                <w:rFonts w:ascii="Futura Std Condensed Light" w:eastAsia="Calibri" w:hAnsi="Futura Std Condensed Light" w:cs="Calibri"/>
                <w:sz w:val="20"/>
                <w:szCs w:val="20"/>
              </w:rPr>
              <w:t>13</w:t>
            </w:r>
          </w:p>
        </w:tc>
        <w:tc>
          <w:tcPr>
            <w:tcW w:w="1113" w:type="pct"/>
            <w:gridSpan w:val="2"/>
          </w:tcPr>
          <w:p w14:paraId="5D3BA36F" w14:textId="77777777" w:rsidR="0021177B" w:rsidRPr="00F267CE" w:rsidRDefault="0021177B" w:rsidP="009E3B2F">
            <w:pPr>
              <w:spacing w:after="0" w:line="240" w:lineRule="auto"/>
              <w:jc w:val="center"/>
              <w:rPr>
                <w:rFonts w:ascii="Futura Std Condensed Light" w:eastAsia="Calibri" w:hAnsi="Futura Std Condensed Light" w:cs="Calibri"/>
                <w:sz w:val="20"/>
                <w:szCs w:val="20"/>
              </w:rPr>
            </w:pPr>
            <w:r w:rsidRPr="00F267CE">
              <w:rPr>
                <w:rFonts w:ascii="Futura Std Condensed Light" w:eastAsia="Calibri" w:hAnsi="Futura Std Condensed Light" w:cs="Calibri"/>
                <w:b/>
                <w:sz w:val="20"/>
                <w:szCs w:val="20"/>
              </w:rPr>
              <w:t>Año de línea base</w:t>
            </w:r>
            <w:r w:rsidRPr="00F267CE">
              <w:rPr>
                <w:rFonts w:ascii="Futura Std Condensed Light" w:eastAsia="Calibri" w:hAnsi="Futura Std Condensed Light" w:cs="Calibri"/>
                <w:sz w:val="20"/>
                <w:szCs w:val="20"/>
              </w:rPr>
              <w:t>:</w:t>
            </w:r>
          </w:p>
        </w:tc>
        <w:tc>
          <w:tcPr>
            <w:tcW w:w="1178" w:type="pct"/>
            <w:gridSpan w:val="3"/>
          </w:tcPr>
          <w:p w14:paraId="53F9C60B" w14:textId="77777777" w:rsidR="0021177B" w:rsidRPr="00F267CE" w:rsidRDefault="0021177B" w:rsidP="009E3B2F">
            <w:pPr>
              <w:spacing w:after="0" w:line="240" w:lineRule="auto"/>
              <w:jc w:val="center"/>
              <w:rPr>
                <w:rFonts w:ascii="Futura Std Condensed Light" w:eastAsia="Calibri" w:hAnsi="Futura Std Condensed Light" w:cs="Calibri"/>
                <w:sz w:val="20"/>
                <w:szCs w:val="20"/>
              </w:rPr>
            </w:pPr>
            <w:r w:rsidRPr="00F267CE">
              <w:rPr>
                <w:rFonts w:ascii="Futura Std Condensed Light" w:eastAsia="Calibri" w:hAnsi="Futura Std Condensed Light" w:cs="Calibri"/>
                <w:sz w:val="20"/>
                <w:szCs w:val="20"/>
              </w:rPr>
              <w:t>2016</w:t>
            </w:r>
          </w:p>
        </w:tc>
      </w:tr>
      <w:tr w:rsidR="0021177B" w:rsidRPr="00F267CE" w14:paraId="16D97AFA" w14:textId="77777777" w:rsidTr="009E3B2F">
        <w:trPr>
          <w:trHeight w:val="484"/>
        </w:trPr>
        <w:tc>
          <w:tcPr>
            <w:tcW w:w="1806" w:type="pct"/>
            <w:gridSpan w:val="4"/>
          </w:tcPr>
          <w:p w14:paraId="29CE774D" w14:textId="77777777" w:rsidR="0021177B" w:rsidRPr="00F267CE" w:rsidRDefault="0021177B" w:rsidP="009E3B2F">
            <w:pPr>
              <w:spacing w:after="0" w:line="240" w:lineRule="auto"/>
              <w:jc w:val="center"/>
              <w:rPr>
                <w:rFonts w:ascii="Futura Std Condensed Light" w:eastAsia="Calibri" w:hAnsi="Futura Std Condensed Light" w:cs="Calibri"/>
                <w:b/>
                <w:sz w:val="20"/>
                <w:szCs w:val="20"/>
              </w:rPr>
            </w:pPr>
            <w:r w:rsidRPr="00F267CE">
              <w:rPr>
                <w:rFonts w:ascii="Futura Std Condensed Light" w:eastAsia="Calibri" w:hAnsi="Futura Std Condensed Light" w:cs="Calibri"/>
                <w:b/>
                <w:sz w:val="20"/>
                <w:szCs w:val="20"/>
              </w:rPr>
              <w:t>Contribución Directa al Objetivo de la Agenda 2030</w:t>
            </w:r>
          </w:p>
        </w:tc>
        <w:tc>
          <w:tcPr>
            <w:tcW w:w="3194" w:type="pct"/>
            <w:gridSpan w:val="8"/>
          </w:tcPr>
          <w:p w14:paraId="70C37E84" w14:textId="77777777" w:rsidR="0021177B" w:rsidRPr="00F267CE" w:rsidRDefault="0021177B" w:rsidP="009E3B2F">
            <w:pPr>
              <w:spacing w:after="0" w:line="240" w:lineRule="auto"/>
              <w:jc w:val="center"/>
              <w:rPr>
                <w:rFonts w:ascii="Futura Std Condensed Light" w:eastAsia="Calibri" w:hAnsi="Futura Std Condensed Light" w:cs="Calibri"/>
                <w:sz w:val="20"/>
                <w:szCs w:val="20"/>
              </w:rPr>
            </w:pPr>
            <w:r w:rsidRPr="00F267CE">
              <w:rPr>
                <w:rFonts w:ascii="Futura Std Condensed Light" w:eastAsia="Calibri" w:hAnsi="Futura Std Condensed Light" w:cs="Calibri"/>
                <w:sz w:val="20"/>
                <w:szCs w:val="20"/>
              </w:rPr>
              <w:t>Garantizar una educación inclusiva, equitativa y de calidad y promover oportunidades de aprendizaje durante toda la vida para todos</w:t>
            </w:r>
          </w:p>
        </w:tc>
      </w:tr>
      <w:tr w:rsidR="0021177B" w:rsidRPr="00F267CE" w14:paraId="6C6A785D" w14:textId="77777777" w:rsidTr="009E3B2F">
        <w:trPr>
          <w:trHeight w:val="484"/>
        </w:trPr>
        <w:tc>
          <w:tcPr>
            <w:tcW w:w="1806" w:type="pct"/>
            <w:gridSpan w:val="4"/>
          </w:tcPr>
          <w:p w14:paraId="304F8763" w14:textId="77777777" w:rsidR="0021177B" w:rsidRPr="00F267CE" w:rsidRDefault="0021177B" w:rsidP="009E3B2F">
            <w:pPr>
              <w:spacing w:after="0" w:line="240" w:lineRule="auto"/>
              <w:jc w:val="center"/>
              <w:rPr>
                <w:rFonts w:ascii="Futura Std Condensed Light" w:eastAsia="Calibri" w:hAnsi="Futura Std Condensed Light" w:cs="Calibri"/>
                <w:b/>
                <w:sz w:val="20"/>
                <w:szCs w:val="20"/>
              </w:rPr>
            </w:pPr>
            <w:r w:rsidRPr="00F267CE">
              <w:rPr>
                <w:rFonts w:ascii="Futura Std Condensed Light" w:eastAsia="Calibri" w:hAnsi="Futura Std Condensed Light" w:cs="Calibri"/>
                <w:b/>
                <w:sz w:val="20"/>
                <w:szCs w:val="20"/>
              </w:rPr>
              <w:t>Contribución Directa  a la Meta de la Agenda 2030</w:t>
            </w:r>
          </w:p>
        </w:tc>
        <w:tc>
          <w:tcPr>
            <w:tcW w:w="3194" w:type="pct"/>
            <w:gridSpan w:val="8"/>
          </w:tcPr>
          <w:p w14:paraId="7609AE23" w14:textId="77777777" w:rsidR="0021177B" w:rsidRPr="00F267CE" w:rsidRDefault="0021177B" w:rsidP="009E3B2F">
            <w:pPr>
              <w:spacing w:after="0" w:line="240" w:lineRule="auto"/>
              <w:jc w:val="center"/>
              <w:rPr>
                <w:rFonts w:ascii="Futura Std Condensed Light" w:eastAsia="Calibri" w:hAnsi="Futura Std Condensed Light" w:cs="Calibri"/>
                <w:sz w:val="20"/>
                <w:szCs w:val="20"/>
              </w:rPr>
            </w:pPr>
            <w:r w:rsidRPr="00F267CE">
              <w:rPr>
                <w:rFonts w:ascii="Futura Std Condensed Light" w:eastAsia="Calibri" w:hAnsi="Futura Std Condensed Light" w:cs="Calibri"/>
                <w:sz w:val="20"/>
                <w:szCs w:val="20"/>
              </w:rPr>
              <w:t>De aquí a 2030, asegurar el acceso igualitario de todos los hombres y las mujeres a una formación técnica, profesional y superior de calidad, incluida la enseñanza universitaria.</w:t>
            </w:r>
          </w:p>
        </w:tc>
      </w:tr>
      <w:tr w:rsidR="0021177B" w:rsidRPr="00F267CE" w14:paraId="0749CF48" w14:textId="77777777" w:rsidTr="009E3B2F">
        <w:trPr>
          <w:trHeight w:val="484"/>
        </w:trPr>
        <w:tc>
          <w:tcPr>
            <w:tcW w:w="1806" w:type="pct"/>
            <w:gridSpan w:val="4"/>
          </w:tcPr>
          <w:p w14:paraId="4B98672B" w14:textId="77777777" w:rsidR="0021177B" w:rsidRPr="00F267CE" w:rsidRDefault="0021177B" w:rsidP="009E3B2F">
            <w:pPr>
              <w:spacing w:after="0" w:line="240" w:lineRule="auto"/>
              <w:jc w:val="center"/>
              <w:rPr>
                <w:rFonts w:ascii="Futura Std Condensed Light" w:eastAsia="Calibri" w:hAnsi="Futura Std Condensed Light" w:cs="Calibri"/>
                <w:b/>
                <w:sz w:val="20"/>
                <w:szCs w:val="20"/>
              </w:rPr>
            </w:pPr>
            <w:r w:rsidRPr="00F267CE">
              <w:rPr>
                <w:rFonts w:ascii="Futura Std Condensed Light" w:eastAsia="Calibri" w:hAnsi="Futura Std Condensed Light" w:cs="Calibri"/>
                <w:b/>
                <w:sz w:val="20"/>
                <w:szCs w:val="20"/>
              </w:rPr>
              <w:t>Tema / Proyecto Prioritario de Quintana Roo</w:t>
            </w:r>
          </w:p>
        </w:tc>
        <w:tc>
          <w:tcPr>
            <w:tcW w:w="3194" w:type="pct"/>
            <w:gridSpan w:val="8"/>
          </w:tcPr>
          <w:p w14:paraId="30BABF4E" w14:textId="77777777" w:rsidR="0021177B" w:rsidRPr="00F267CE" w:rsidRDefault="0021177B" w:rsidP="009E3B2F">
            <w:pPr>
              <w:spacing w:after="0" w:line="240" w:lineRule="auto"/>
              <w:jc w:val="center"/>
              <w:rPr>
                <w:rFonts w:ascii="Futura Std Condensed Light" w:eastAsia="Calibri" w:hAnsi="Futura Std Condensed Light" w:cs="Calibri"/>
                <w:sz w:val="20"/>
                <w:szCs w:val="20"/>
              </w:rPr>
            </w:pPr>
            <w:r w:rsidRPr="00F267CE">
              <w:rPr>
                <w:rFonts w:ascii="Futura Std Condensed Light" w:eastAsia="Calibri" w:hAnsi="Futura Std Condensed Light" w:cs="Calibri"/>
                <w:sz w:val="20"/>
                <w:szCs w:val="20"/>
              </w:rPr>
              <w:t>24.5 Abatir el rezago educativo</w:t>
            </w:r>
          </w:p>
        </w:tc>
      </w:tr>
      <w:tr w:rsidR="0021177B" w:rsidRPr="00F267CE" w14:paraId="30100494" w14:textId="77777777" w:rsidTr="009E3B2F">
        <w:trPr>
          <w:trHeight w:val="484"/>
        </w:trPr>
        <w:tc>
          <w:tcPr>
            <w:tcW w:w="1806" w:type="pct"/>
            <w:gridSpan w:val="4"/>
          </w:tcPr>
          <w:p w14:paraId="35A1BC9F" w14:textId="77777777" w:rsidR="0021177B" w:rsidRPr="00F267CE" w:rsidRDefault="0021177B" w:rsidP="009E3B2F">
            <w:pPr>
              <w:spacing w:after="0" w:line="240" w:lineRule="auto"/>
              <w:jc w:val="center"/>
              <w:rPr>
                <w:rFonts w:ascii="Futura Std Condensed Light" w:eastAsia="Calibri" w:hAnsi="Futura Std Condensed Light" w:cs="Calibri"/>
                <w:b/>
                <w:sz w:val="20"/>
                <w:szCs w:val="20"/>
              </w:rPr>
            </w:pPr>
            <w:r w:rsidRPr="00F267CE">
              <w:rPr>
                <w:rFonts w:ascii="Futura Std Condensed Light" w:eastAsia="Calibri" w:hAnsi="Futura Std Condensed Light" w:cs="Calibri"/>
                <w:b/>
                <w:sz w:val="20"/>
                <w:szCs w:val="20"/>
              </w:rPr>
              <w:t>Subtema Prioritario de Quintana Roo</w:t>
            </w:r>
          </w:p>
        </w:tc>
        <w:tc>
          <w:tcPr>
            <w:tcW w:w="3194" w:type="pct"/>
            <w:gridSpan w:val="8"/>
          </w:tcPr>
          <w:p w14:paraId="18CDF3D5" w14:textId="77777777" w:rsidR="0021177B" w:rsidRPr="00F267CE" w:rsidRDefault="0021177B" w:rsidP="009E3B2F">
            <w:pPr>
              <w:spacing w:after="0" w:line="240" w:lineRule="auto"/>
              <w:jc w:val="center"/>
              <w:rPr>
                <w:rFonts w:ascii="Futura Std Condensed Light" w:eastAsia="Calibri" w:hAnsi="Futura Std Condensed Light" w:cs="Calibri"/>
                <w:sz w:val="20"/>
                <w:szCs w:val="20"/>
              </w:rPr>
            </w:pPr>
            <w:r w:rsidRPr="00F267CE">
              <w:rPr>
                <w:rFonts w:ascii="Futura Std Condensed Light" w:eastAsia="Calibri" w:hAnsi="Futura Std Condensed Light" w:cs="Calibri"/>
                <w:sz w:val="20"/>
                <w:szCs w:val="20"/>
              </w:rPr>
              <w:t>N/A</w:t>
            </w:r>
          </w:p>
        </w:tc>
      </w:tr>
      <w:tr w:rsidR="0021177B" w:rsidRPr="00F267CE" w14:paraId="312D4BFF" w14:textId="77777777" w:rsidTr="009E3B2F">
        <w:trPr>
          <w:trHeight w:val="484"/>
        </w:trPr>
        <w:tc>
          <w:tcPr>
            <w:tcW w:w="5000" w:type="pct"/>
            <w:gridSpan w:val="12"/>
          </w:tcPr>
          <w:p w14:paraId="718C5F34" w14:textId="77777777" w:rsidR="0021177B" w:rsidRPr="00F267CE" w:rsidRDefault="0021177B" w:rsidP="009E3B2F">
            <w:pPr>
              <w:spacing w:after="0" w:line="240" w:lineRule="auto"/>
              <w:jc w:val="center"/>
              <w:rPr>
                <w:rFonts w:ascii="Futura Std Condensed Light" w:eastAsia="Calibri" w:hAnsi="Futura Std Condensed Light" w:cs="Calibri"/>
                <w:b/>
                <w:sz w:val="20"/>
                <w:szCs w:val="20"/>
              </w:rPr>
            </w:pPr>
            <w:r w:rsidRPr="00F267CE">
              <w:rPr>
                <w:rFonts w:ascii="Futura Std Condensed Light" w:eastAsia="Calibri" w:hAnsi="Futura Std Condensed Light" w:cs="Calibri"/>
                <w:b/>
                <w:sz w:val="20"/>
                <w:szCs w:val="20"/>
              </w:rPr>
              <w:t>Meta Total:</w:t>
            </w:r>
          </w:p>
        </w:tc>
      </w:tr>
      <w:tr w:rsidR="0021177B" w:rsidRPr="00F267CE" w14:paraId="071ED3D6" w14:textId="77777777" w:rsidTr="009E3B2F">
        <w:trPr>
          <w:trHeight w:val="484"/>
        </w:trPr>
        <w:tc>
          <w:tcPr>
            <w:tcW w:w="781" w:type="pct"/>
          </w:tcPr>
          <w:p w14:paraId="31C94416" w14:textId="77777777" w:rsidR="0021177B" w:rsidRPr="00F267CE" w:rsidRDefault="0021177B" w:rsidP="009E3B2F">
            <w:pPr>
              <w:spacing w:after="0" w:line="240" w:lineRule="auto"/>
              <w:jc w:val="center"/>
              <w:rPr>
                <w:rFonts w:ascii="Futura Std Condensed Light" w:eastAsia="Calibri" w:hAnsi="Futura Std Condensed Light" w:cs="Calibri"/>
                <w:b/>
                <w:sz w:val="20"/>
                <w:szCs w:val="20"/>
              </w:rPr>
            </w:pPr>
            <w:r w:rsidRPr="00F267CE">
              <w:rPr>
                <w:rFonts w:ascii="Futura Std Condensed Light" w:eastAsia="Calibri" w:hAnsi="Futura Std Condensed Light" w:cs="Calibri"/>
                <w:b/>
                <w:sz w:val="20"/>
                <w:szCs w:val="20"/>
              </w:rPr>
              <w:t>2017</w:t>
            </w:r>
          </w:p>
        </w:tc>
        <w:tc>
          <w:tcPr>
            <w:tcW w:w="783" w:type="pct"/>
            <w:gridSpan w:val="2"/>
          </w:tcPr>
          <w:p w14:paraId="1145E0A7" w14:textId="77777777" w:rsidR="0021177B" w:rsidRPr="00F267CE" w:rsidRDefault="0021177B" w:rsidP="009E3B2F">
            <w:pPr>
              <w:spacing w:after="0" w:line="240" w:lineRule="auto"/>
              <w:jc w:val="center"/>
              <w:rPr>
                <w:rFonts w:ascii="Futura Std Condensed Light" w:eastAsia="Calibri" w:hAnsi="Futura Std Condensed Light" w:cs="Calibri"/>
                <w:b/>
                <w:sz w:val="20"/>
                <w:szCs w:val="20"/>
              </w:rPr>
            </w:pPr>
            <w:r w:rsidRPr="00F267CE">
              <w:rPr>
                <w:rFonts w:ascii="Futura Std Condensed Light" w:eastAsia="Calibri" w:hAnsi="Futura Std Condensed Light" w:cs="Calibri"/>
                <w:b/>
                <w:sz w:val="20"/>
                <w:szCs w:val="20"/>
              </w:rPr>
              <w:t>2018</w:t>
            </w:r>
          </w:p>
        </w:tc>
        <w:tc>
          <w:tcPr>
            <w:tcW w:w="904" w:type="pct"/>
            <w:gridSpan w:val="3"/>
          </w:tcPr>
          <w:p w14:paraId="40C82648" w14:textId="77777777" w:rsidR="0021177B" w:rsidRPr="00F267CE" w:rsidRDefault="0021177B" w:rsidP="009E3B2F">
            <w:pPr>
              <w:spacing w:after="0" w:line="240" w:lineRule="auto"/>
              <w:jc w:val="center"/>
              <w:rPr>
                <w:rFonts w:ascii="Futura Std Condensed Light" w:eastAsia="Calibri" w:hAnsi="Futura Std Condensed Light" w:cs="Calibri"/>
                <w:b/>
                <w:sz w:val="20"/>
                <w:szCs w:val="20"/>
              </w:rPr>
            </w:pPr>
            <w:r w:rsidRPr="00F267CE">
              <w:rPr>
                <w:rFonts w:ascii="Futura Std Condensed Light" w:eastAsia="Calibri" w:hAnsi="Futura Std Condensed Light" w:cs="Calibri"/>
                <w:b/>
                <w:sz w:val="20"/>
                <w:szCs w:val="20"/>
              </w:rPr>
              <w:t>2019</w:t>
            </w:r>
          </w:p>
        </w:tc>
        <w:tc>
          <w:tcPr>
            <w:tcW w:w="723" w:type="pct"/>
            <w:gridSpan w:val="2"/>
          </w:tcPr>
          <w:p w14:paraId="59717A29" w14:textId="77777777" w:rsidR="0021177B" w:rsidRPr="00F267CE" w:rsidRDefault="0021177B" w:rsidP="009E3B2F">
            <w:pPr>
              <w:spacing w:after="0" w:line="240" w:lineRule="auto"/>
              <w:jc w:val="center"/>
              <w:rPr>
                <w:rFonts w:ascii="Futura Std Condensed Light" w:eastAsia="Calibri" w:hAnsi="Futura Std Condensed Light" w:cs="Calibri"/>
                <w:b/>
                <w:sz w:val="20"/>
                <w:szCs w:val="20"/>
              </w:rPr>
            </w:pPr>
            <w:r w:rsidRPr="00F267CE">
              <w:rPr>
                <w:rFonts w:ascii="Futura Std Condensed Light" w:eastAsia="Calibri" w:hAnsi="Futura Std Condensed Light" w:cs="Calibri"/>
                <w:b/>
                <w:sz w:val="20"/>
                <w:szCs w:val="20"/>
              </w:rPr>
              <w:t>2020</w:t>
            </w:r>
          </w:p>
        </w:tc>
        <w:tc>
          <w:tcPr>
            <w:tcW w:w="963" w:type="pct"/>
            <w:gridSpan w:val="3"/>
          </w:tcPr>
          <w:p w14:paraId="71686736" w14:textId="77777777" w:rsidR="0021177B" w:rsidRPr="00F267CE" w:rsidRDefault="0021177B" w:rsidP="009E3B2F">
            <w:pPr>
              <w:spacing w:after="0" w:line="240" w:lineRule="auto"/>
              <w:jc w:val="center"/>
              <w:rPr>
                <w:rFonts w:ascii="Futura Std Condensed Light" w:eastAsia="Calibri" w:hAnsi="Futura Std Condensed Light" w:cs="Calibri"/>
                <w:b/>
                <w:sz w:val="20"/>
                <w:szCs w:val="20"/>
              </w:rPr>
            </w:pPr>
            <w:r w:rsidRPr="00F267CE">
              <w:rPr>
                <w:rFonts w:ascii="Futura Std Condensed Light" w:eastAsia="Calibri" w:hAnsi="Futura Std Condensed Light" w:cs="Calibri"/>
                <w:b/>
                <w:sz w:val="20"/>
                <w:szCs w:val="20"/>
              </w:rPr>
              <w:t>2021</w:t>
            </w:r>
          </w:p>
        </w:tc>
        <w:tc>
          <w:tcPr>
            <w:tcW w:w="846" w:type="pct"/>
          </w:tcPr>
          <w:p w14:paraId="4D4C672C" w14:textId="77777777" w:rsidR="0021177B" w:rsidRPr="00F267CE" w:rsidRDefault="0021177B" w:rsidP="009E3B2F">
            <w:pPr>
              <w:spacing w:after="0" w:line="240" w:lineRule="auto"/>
              <w:jc w:val="center"/>
              <w:rPr>
                <w:rFonts w:ascii="Futura Std Condensed Light" w:eastAsia="Calibri" w:hAnsi="Futura Std Condensed Light" w:cs="Calibri"/>
                <w:b/>
                <w:sz w:val="20"/>
                <w:szCs w:val="20"/>
              </w:rPr>
            </w:pPr>
            <w:r w:rsidRPr="00F267CE">
              <w:rPr>
                <w:rFonts w:ascii="Futura Std Condensed Light" w:eastAsia="Calibri" w:hAnsi="Futura Std Condensed Light" w:cs="Calibri"/>
                <w:b/>
                <w:sz w:val="20"/>
                <w:szCs w:val="20"/>
              </w:rPr>
              <w:t>2022</w:t>
            </w:r>
          </w:p>
        </w:tc>
      </w:tr>
      <w:tr w:rsidR="0021177B" w:rsidRPr="00F267CE" w14:paraId="690AC2D5" w14:textId="77777777" w:rsidTr="009E3B2F">
        <w:trPr>
          <w:trHeight w:val="484"/>
        </w:trPr>
        <w:tc>
          <w:tcPr>
            <w:tcW w:w="781" w:type="pct"/>
          </w:tcPr>
          <w:p w14:paraId="44B16BD8" w14:textId="77777777" w:rsidR="0021177B" w:rsidRPr="00F267CE" w:rsidRDefault="0021177B" w:rsidP="009E3B2F">
            <w:pPr>
              <w:spacing w:after="0" w:line="240" w:lineRule="auto"/>
              <w:jc w:val="center"/>
              <w:rPr>
                <w:rFonts w:ascii="Futura Std Condensed Light" w:eastAsia="Calibri" w:hAnsi="Futura Std Condensed Light" w:cs="Calibri"/>
                <w:sz w:val="20"/>
                <w:szCs w:val="20"/>
              </w:rPr>
            </w:pPr>
            <w:r w:rsidRPr="00F267CE">
              <w:rPr>
                <w:rFonts w:ascii="Futura Std Condensed Light" w:eastAsia="Calibri" w:hAnsi="Futura Std Condensed Light" w:cs="Calibri"/>
                <w:sz w:val="20"/>
                <w:szCs w:val="20"/>
              </w:rPr>
              <w:t>0</w:t>
            </w:r>
          </w:p>
        </w:tc>
        <w:tc>
          <w:tcPr>
            <w:tcW w:w="783" w:type="pct"/>
            <w:gridSpan w:val="2"/>
          </w:tcPr>
          <w:p w14:paraId="658312A9" w14:textId="77777777" w:rsidR="0021177B" w:rsidRPr="00F267CE" w:rsidRDefault="0021177B" w:rsidP="009E3B2F">
            <w:pPr>
              <w:spacing w:after="0" w:line="240" w:lineRule="auto"/>
              <w:jc w:val="center"/>
              <w:rPr>
                <w:rFonts w:ascii="Futura Std Condensed Light" w:eastAsia="Calibri" w:hAnsi="Futura Std Condensed Light" w:cs="Calibri"/>
                <w:sz w:val="20"/>
                <w:szCs w:val="20"/>
              </w:rPr>
            </w:pPr>
            <w:r w:rsidRPr="00F267CE">
              <w:rPr>
                <w:rFonts w:ascii="Futura Std Condensed Light" w:eastAsia="Calibri" w:hAnsi="Futura Std Condensed Light" w:cs="Calibri"/>
                <w:sz w:val="20"/>
                <w:szCs w:val="20"/>
              </w:rPr>
              <w:t>13</w:t>
            </w:r>
          </w:p>
        </w:tc>
        <w:tc>
          <w:tcPr>
            <w:tcW w:w="904" w:type="pct"/>
            <w:gridSpan w:val="3"/>
          </w:tcPr>
          <w:p w14:paraId="706FCB63" w14:textId="77777777" w:rsidR="0021177B" w:rsidRPr="00F267CE" w:rsidRDefault="0021177B" w:rsidP="009E3B2F">
            <w:pPr>
              <w:spacing w:after="0" w:line="240" w:lineRule="auto"/>
              <w:jc w:val="center"/>
              <w:rPr>
                <w:rFonts w:ascii="Futura Std Condensed Light" w:eastAsia="Calibri" w:hAnsi="Futura Std Condensed Light" w:cs="Calibri"/>
                <w:sz w:val="20"/>
                <w:szCs w:val="20"/>
              </w:rPr>
            </w:pPr>
            <w:r w:rsidRPr="00F267CE">
              <w:rPr>
                <w:rFonts w:ascii="Futura Std Condensed Light" w:eastAsia="Calibri" w:hAnsi="Futura Std Condensed Light" w:cs="Calibri"/>
                <w:sz w:val="20"/>
                <w:szCs w:val="20"/>
              </w:rPr>
              <w:t>9</w:t>
            </w:r>
          </w:p>
        </w:tc>
        <w:tc>
          <w:tcPr>
            <w:tcW w:w="723" w:type="pct"/>
            <w:gridSpan w:val="2"/>
          </w:tcPr>
          <w:p w14:paraId="0BDA87AF" w14:textId="77777777" w:rsidR="0021177B" w:rsidRPr="00F267CE" w:rsidRDefault="0021177B" w:rsidP="009E3B2F">
            <w:pPr>
              <w:spacing w:after="0" w:line="240" w:lineRule="auto"/>
              <w:jc w:val="center"/>
              <w:rPr>
                <w:rFonts w:ascii="Futura Std Condensed Light" w:eastAsia="Calibri" w:hAnsi="Futura Std Condensed Light" w:cs="Calibri"/>
                <w:sz w:val="20"/>
                <w:szCs w:val="20"/>
              </w:rPr>
            </w:pPr>
            <w:r w:rsidRPr="00F267CE">
              <w:rPr>
                <w:rFonts w:ascii="Futura Std Condensed Light" w:eastAsia="Calibri" w:hAnsi="Futura Std Condensed Light" w:cs="Calibri"/>
                <w:sz w:val="20"/>
                <w:szCs w:val="20"/>
              </w:rPr>
              <w:t>12</w:t>
            </w:r>
          </w:p>
        </w:tc>
        <w:tc>
          <w:tcPr>
            <w:tcW w:w="963" w:type="pct"/>
            <w:gridSpan w:val="3"/>
          </w:tcPr>
          <w:p w14:paraId="5993FBA5" w14:textId="77777777" w:rsidR="0021177B" w:rsidRPr="00F267CE" w:rsidRDefault="0021177B" w:rsidP="009E3B2F">
            <w:pPr>
              <w:spacing w:after="0" w:line="240" w:lineRule="auto"/>
              <w:jc w:val="center"/>
              <w:rPr>
                <w:rFonts w:ascii="Futura Std Condensed Light" w:eastAsia="Calibri" w:hAnsi="Futura Std Condensed Light" w:cs="Calibri"/>
                <w:sz w:val="20"/>
                <w:szCs w:val="20"/>
              </w:rPr>
            </w:pPr>
            <w:r w:rsidRPr="00F267CE">
              <w:rPr>
                <w:rFonts w:ascii="Futura Std Condensed Light" w:eastAsia="Calibri" w:hAnsi="Futura Std Condensed Light" w:cs="Calibri"/>
                <w:sz w:val="20"/>
                <w:szCs w:val="20"/>
              </w:rPr>
              <w:t>13</w:t>
            </w:r>
          </w:p>
        </w:tc>
        <w:tc>
          <w:tcPr>
            <w:tcW w:w="846" w:type="pct"/>
          </w:tcPr>
          <w:p w14:paraId="1D29D630" w14:textId="77777777" w:rsidR="0021177B" w:rsidRPr="00F267CE" w:rsidRDefault="0021177B" w:rsidP="009E3B2F">
            <w:pPr>
              <w:spacing w:after="0" w:line="240" w:lineRule="auto"/>
              <w:jc w:val="center"/>
              <w:rPr>
                <w:rFonts w:ascii="Futura Std Condensed Light" w:eastAsia="Calibri" w:hAnsi="Futura Std Condensed Light" w:cs="Calibri"/>
                <w:sz w:val="20"/>
                <w:szCs w:val="20"/>
              </w:rPr>
            </w:pPr>
            <w:r w:rsidRPr="00F267CE">
              <w:rPr>
                <w:rFonts w:ascii="Futura Std Condensed Light" w:eastAsia="Calibri" w:hAnsi="Futura Std Condensed Light" w:cs="Calibri"/>
                <w:sz w:val="20"/>
                <w:szCs w:val="20"/>
              </w:rPr>
              <w:t>14</w:t>
            </w:r>
          </w:p>
        </w:tc>
      </w:tr>
    </w:tbl>
    <w:p w14:paraId="62B1775C" w14:textId="5CFE3817" w:rsidR="00CD21A0" w:rsidRDefault="00CD21A0" w:rsidP="001F10CF">
      <w:pPr>
        <w:spacing w:after="0" w:line="240" w:lineRule="auto"/>
        <w:rPr>
          <w:rFonts w:ascii="Futura Std Condensed Light" w:eastAsia="Calibri" w:hAnsi="Futura Std Condensed Light" w:cs="Calibri"/>
          <w:sz w:val="20"/>
          <w:szCs w:val="20"/>
        </w:rPr>
      </w:pPr>
    </w:p>
    <w:p w14:paraId="1F12B170" w14:textId="3071CD38" w:rsidR="00060E8E" w:rsidRPr="00F267CE" w:rsidRDefault="00060E8E" w:rsidP="00D23E28">
      <w:pPr>
        <w:spacing w:after="0" w:line="240" w:lineRule="auto"/>
        <w:rPr>
          <w:rFonts w:ascii="Futura Std Condensed Light" w:eastAsia="Calibri" w:hAnsi="Futura Std Condensed Light" w:cs="Calibri"/>
          <w:sz w:val="20"/>
          <w:szCs w:val="20"/>
        </w:rPr>
      </w:pPr>
    </w:p>
    <w:p w14:paraId="0CD5A297" w14:textId="77777777" w:rsidR="00E05363" w:rsidRDefault="00E05363">
      <w:pPr>
        <w:spacing w:after="0" w:line="240" w:lineRule="auto"/>
        <w:jc w:val="left"/>
        <w:rPr>
          <w:rFonts w:eastAsia="Arial" w:cs="Times New Roman"/>
          <w:b/>
          <w:color w:val="4BACC6" w:themeColor="accent5"/>
        </w:rPr>
      </w:pPr>
      <w:r>
        <w:rPr>
          <w:rFonts w:eastAsia="Arial" w:cs="Times New Roman"/>
          <w:b/>
          <w:color w:val="4BACC6" w:themeColor="accent5"/>
        </w:rPr>
        <w:br w:type="page"/>
      </w:r>
    </w:p>
    <w:p w14:paraId="49376E06" w14:textId="3E779681" w:rsidR="0021177B" w:rsidRDefault="00FA0940" w:rsidP="0021177B">
      <w:pPr>
        <w:jc w:val="center"/>
      </w:pPr>
      <w:r>
        <w:rPr>
          <w:rFonts w:eastAsia="Arial" w:cs="Times New Roman"/>
          <w:b/>
          <w:color w:val="4BACC6" w:themeColor="accent5"/>
        </w:rPr>
        <w:lastRenderedPageBreak/>
        <w:t>Cuadro 42</w:t>
      </w:r>
      <w:r w:rsidR="0021177B">
        <w:rPr>
          <w:rFonts w:eastAsia="Arial" w:cs="Times New Roman"/>
          <w:b/>
          <w:color w:val="4BACC6" w:themeColor="accent5"/>
        </w:rPr>
        <w:t>. Entregable y meta de la línea de acción 15 del PED</w:t>
      </w:r>
    </w:p>
    <w:tbl>
      <w:tblPr>
        <w:tblStyle w:val="Tablaconcuadrcula"/>
        <w:tblW w:w="5000" w:type="pct"/>
        <w:tblLook w:val="04A0" w:firstRow="1" w:lastRow="0" w:firstColumn="1" w:lastColumn="0" w:noHBand="0" w:noVBand="1"/>
      </w:tblPr>
      <w:tblGrid>
        <w:gridCol w:w="1489"/>
        <w:gridCol w:w="813"/>
        <w:gridCol w:w="679"/>
        <w:gridCol w:w="462"/>
        <w:gridCol w:w="687"/>
        <w:gridCol w:w="576"/>
        <w:gridCol w:w="462"/>
        <w:gridCol w:w="917"/>
        <w:gridCol w:w="1205"/>
        <w:gridCol w:w="7"/>
        <w:gridCol w:w="626"/>
        <w:gridCol w:w="1614"/>
      </w:tblGrid>
      <w:tr w:rsidR="0086391F" w:rsidRPr="00060E8E" w14:paraId="0B0FF5DC" w14:textId="77777777" w:rsidTr="00060E8E">
        <w:trPr>
          <w:trHeight w:val="182"/>
        </w:trPr>
        <w:tc>
          <w:tcPr>
            <w:tcW w:w="1806" w:type="pct"/>
            <w:gridSpan w:val="4"/>
            <w:shd w:val="clear" w:color="auto" w:fill="A6A6A6" w:themeFill="background1" w:themeFillShade="A6"/>
          </w:tcPr>
          <w:p w14:paraId="6E84B08C" w14:textId="77777777" w:rsidR="0021177B" w:rsidRPr="00060E8E" w:rsidRDefault="0021177B" w:rsidP="009E3B2F">
            <w:pPr>
              <w:spacing w:after="0" w:line="240" w:lineRule="auto"/>
              <w:jc w:val="center"/>
              <w:rPr>
                <w:rFonts w:ascii="Futura Std Condensed Light" w:eastAsia="Calibri" w:hAnsi="Futura Std Condensed Light" w:cs="Calibri"/>
                <w:color w:val="auto"/>
                <w:sz w:val="20"/>
                <w:szCs w:val="20"/>
              </w:rPr>
            </w:pPr>
            <w:r w:rsidRPr="00060E8E">
              <w:rPr>
                <w:rFonts w:ascii="Futura Std Condensed Light" w:eastAsia="Calibri" w:hAnsi="Futura Std Condensed Light" w:cs="Calibri"/>
                <w:color w:val="auto"/>
                <w:sz w:val="20"/>
                <w:szCs w:val="20"/>
              </w:rPr>
              <w:t>Programa PED</w:t>
            </w:r>
          </w:p>
        </w:tc>
        <w:tc>
          <w:tcPr>
            <w:tcW w:w="3194" w:type="pct"/>
            <w:gridSpan w:val="8"/>
            <w:shd w:val="clear" w:color="auto" w:fill="A6A6A6" w:themeFill="background1" w:themeFillShade="A6"/>
          </w:tcPr>
          <w:p w14:paraId="7375D8ED" w14:textId="77777777" w:rsidR="0021177B" w:rsidRPr="00060E8E" w:rsidRDefault="0021177B" w:rsidP="009E3B2F">
            <w:pPr>
              <w:spacing w:after="0" w:line="240" w:lineRule="auto"/>
              <w:jc w:val="center"/>
              <w:rPr>
                <w:rFonts w:ascii="Futura Std Condensed Light" w:eastAsia="Calibri" w:hAnsi="Futura Std Condensed Light" w:cs="Calibri"/>
                <w:color w:val="auto"/>
                <w:sz w:val="20"/>
                <w:szCs w:val="20"/>
              </w:rPr>
            </w:pPr>
            <w:r w:rsidRPr="00060E8E">
              <w:rPr>
                <w:rFonts w:ascii="Futura Std Condensed Light" w:eastAsia="Calibri" w:hAnsi="Futura Std Condensed Light" w:cs="Calibri"/>
                <w:color w:val="auto"/>
                <w:sz w:val="20"/>
                <w:szCs w:val="20"/>
              </w:rPr>
              <w:t>Programa Sectorial Educación Pública de Calidad</w:t>
            </w:r>
          </w:p>
        </w:tc>
      </w:tr>
      <w:tr w:rsidR="0021177B" w:rsidRPr="00D12127" w14:paraId="6CB3C98E" w14:textId="77777777" w:rsidTr="009E3B2F">
        <w:trPr>
          <w:trHeight w:val="469"/>
        </w:trPr>
        <w:tc>
          <w:tcPr>
            <w:tcW w:w="1806" w:type="pct"/>
            <w:gridSpan w:val="4"/>
          </w:tcPr>
          <w:p w14:paraId="7E57B2D7" w14:textId="77777777" w:rsidR="0021177B" w:rsidRPr="00F267CE" w:rsidRDefault="0021177B" w:rsidP="009E3B2F">
            <w:pPr>
              <w:spacing w:after="0" w:line="240" w:lineRule="auto"/>
              <w:jc w:val="center"/>
              <w:rPr>
                <w:rFonts w:ascii="Futura Std Condensed Light" w:eastAsia="Calibri" w:hAnsi="Futura Std Condensed Light" w:cs="Calibri"/>
                <w:b/>
                <w:sz w:val="20"/>
                <w:szCs w:val="20"/>
              </w:rPr>
            </w:pPr>
            <w:r w:rsidRPr="00F267CE">
              <w:rPr>
                <w:rFonts w:ascii="Futura Std Condensed Light" w:eastAsia="Calibri" w:hAnsi="Futura Std Condensed Light" w:cs="Calibri"/>
                <w:b/>
                <w:sz w:val="20"/>
                <w:szCs w:val="20"/>
              </w:rPr>
              <w:t>Línea de acción:</w:t>
            </w:r>
          </w:p>
        </w:tc>
        <w:tc>
          <w:tcPr>
            <w:tcW w:w="3194" w:type="pct"/>
            <w:gridSpan w:val="8"/>
          </w:tcPr>
          <w:p w14:paraId="0574CB9C" w14:textId="77777777" w:rsidR="0021177B" w:rsidRPr="00F267CE" w:rsidRDefault="0021177B" w:rsidP="009E3B2F">
            <w:pPr>
              <w:spacing w:after="0" w:line="240" w:lineRule="auto"/>
              <w:jc w:val="center"/>
              <w:rPr>
                <w:rFonts w:ascii="Futura Std Condensed Light" w:eastAsia="Calibri" w:hAnsi="Futura Std Condensed Light" w:cs="Calibri"/>
                <w:sz w:val="20"/>
                <w:szCs w:val="20"/>
              </w:rPr>
            </w:pPr>
            <w:r w:rsidRPr="00F267CE">
              <w:rPr>
                <w:rFonts w:ascii="Futura Std Condensed Light" w:eastAsia="Calibri" w:hAnsi="Futura Std Condensed Light" w:cs="Calibri"/>
                <w:sz w:val="20"/>
                <w:szCs w:val="20"/>
              </w:rPr>
              <w:t>15.  Fomentar la investigación básica y aplicada, científica, tecnológica y de innovación en instituciones de educación media superior y superior.</w:t>
            </w:r>
          </w:p>
        </w:tc>
      </w:tr>
      <w:tr w:rsidR="0021177B" w:rsidRPr="00D12127" w14:paraId="1CD5B122" w14:textId="77777777" w:rsidTr="009E3B2F">
        <w:trPr>
          <w:trHeight w:val="484"/>
        </w:trPr>
        <w:tc>
          <w:tcPr>
            <w:tcW w:w="1806" w:type="pct"/>
            <w:gridSpan w:val="4"/>
          </w:tcPr>
          <w:p w14:paraId="48483B08" w14:textId="77777777" w:rsidR="0021177B" w:rsidRPr="00F267CE" w:rsidRDefault="0021177B" w:rsidP="009E3B2F">
            <w:pPr>
              <w:spacing w:after="0" w:line="240" w:lineRule="auto"/>
              <w:jc w:val="center"/>
              <w:rPr>
                <w:rFonts w:ascii="Futura Std Condensed Light" w:eastAsia="Calibri" w:hAnsi="Futura Std Condensed Light" w:cs="Calibri"/>
                <w:b/>
                <w:sz w:val="20"/>
                <w:szCs w:val="20"/>
              </w:rPr>
            </w:pPr>
            <w:r w:rsidRPr="00F267CE">
              <w:rPr>
                <w:rFonts w:ascii="Futura Std Condensed Light" w:eastAsia="Calibri" w:hAnsi="Futura Std Condensed Light" w:cs="Calibri"/>
                <w:b/>
                <w:sz w:val="20"/>
                <w:szCs w:val="20"/>
              </w:rPr>
              <w:t>Plan Estratégico Objetivo Especifico</w:t>
            </w:r>
          </w:p>
        </w:tc>
        <w:tc>
          <w:tcPr>
            <w:tcW w:w="3194" w:type="pct"/>
            <w:gridSpan w:val="8"/>
          </w:tcPr>
          <w:p w14:paraId="160D71DC" w14:textId="77777777" w:rsidR="0021177B" w:rsidRPr="00F267CE" w:rsidRDefault="0021177B" w:rsidP="009E3B2F">
            <w:pPr>
              <w:spacing w:after="0" w:line="240" w:lineRule="auto"/>
              <w:jc w:val="center"/>
              <w:rPr>
                <w:rFonts w:ascii="Futura Std Condensed Light" w:eastAsia="Calibri" w:hAnsi="Futura Std Condensed Light" w:cs="Calibri"/>
                <w:sz w:val="20"/>
                <w:szCs w:val="20"/>
              </w:rPr>
            </w:pPr>
            <w:r w:rsidRPr="00F267CE">
              <w:rPr>
                <w:rFonts w:ascii="Futura Std Condensed Light" w:eastAsia="Calibri" w:hAnsi="Futura Std Condensed Light" w:cs="Calibri"/>
                <w:sz w:val="20"/>
                <w:szCs w:val="20"/>
              </w:rPr>
              <w:t>Disminuir la desigualdad en sus diversas formas </w:t>
            </w:r>
          </w:p>
        </w:tc>
      </w:tr>
      <w:tr w:rsidR="0021177B" w:rsidRPr="00D12127" w14:paraId="4F373982" w14:textId="77777777" w:rsidTr="009E3B2F">
        <w:trPr>
          <w:trHeight w:val="484"/>
        </w:trPr>
        <w:tc>
          <w:tcPr>
            <w:tcW w:w="1208" w:type="pct"/>
            <w:gridSpan w:val="2"/>
          </w:tcPr>
          <w:p w14:paraId="4CF91F45" w14:textId="77777777" w:rsidR="0021177B" w:rsidRPr="00F267CE" w:rsidRDefault="0021177B" w:rsidP="009E3B2F">
            <w:pPr>
              <w:spacing w:after="0" w:line="240" w:lineRule="auto"/>
              <w:jc w:val="center"/>
              <w:rPr>
                <w:rFonts w:ascii="Futura Std Condensed Light" w:eastAsia="Calibri" w:hAnsi="Futura Std Condensed Light" w:cs="Calibri"/>
                <w:b/>
                <w:sz w:val="20"/>
                <w:szCs w:val="20"/>
              </w:rPr>
            </w:pPr>
            <w:r w:rsidRPr="00F267CE">
              <w:rPr>
                <w:rFonts w:ascii="Futura Std Condensed Light" w:eastAsia="Calibri" w:hAnsi="Futura Std Condensed Light" w:cs="Calibri"/>
                <w:b/>
                <w:sz w:val="20"/>
                <w:szCs w:val="20"/>
              </w:rPr>
              <w:t>Entregable:</w:t>
            </w:r>
          </w:p>
        </w:tc>
        <w:tc>
          <w:tcPr>
            <w:tcW w:w="958" w:type="pct"/>
            <w:gridSpan w:val="3"/>
          </w:tcPr>
          <w:p w14:paraId="0C318392" w14:textId="77777777" w:rsidR="0021177B" w:rsidRPr="00F267CE" w:rsidRDefault="0021177B" w:rsidP="009E3B2F">
            <w:pPr>
              <w:spacing w:after="0" w:line="240" w:lineRule="auto"/>
              <w:jc w:val="center"/>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Programas dirigidos a la difusión, adquisición y uso del conocimiento científico  desarrollados</w:t>
            </w:r>
          </w:p>
        </w:tc>
        <w:tc>
          <w:tcPr>
            <w:tcW w:w="1660" w:type="pct"/>
            <w:gridSpan w:val="5"/>
          </w:tcPr>
          <w:p w14:paraId="629121EC" w14:textId="77777777" w:rsidR="0021177B" w:rsidRPr="00F267CE" w:rsidRDefault="0021177B" w:rsidP="009E3B2F">
            <w:pPr>
              <w:spacing w:after="0" w:line="240" w:lineRule="auto"/>
              <w:jc w:val="center"/>
              <w:rPr>
                <w:rFonts w:ascii="Futura Std Condensed Light" w:eastAsia="Calibri" w:hAnsi="Futura Std Condensed Light" w:cs="Calibri"/>
                <w:b/>
                <w:sz w:val="20"/>
                <w:szCs w:val="20"/>
              </w:rPr>
            </w:pPr>
            <w:r w:rsidRPr="00F267CE">
              <w:rPr>
                <w:rFonts w:ascii="Futura Std Condensed Light" w:eastAsia="Calibri" w:hAnsi="Futura Std Condensed Light" w:cs="Calibri"/>
                <w:b/>
                <w:sz w:val="20"/>
                <w:szCs w:val="20"/>
              </w:rPr>
              <w:t>Unidad de Medida:</w:t>
            </w:r>
          </w:p>
        </w:tc>
        <w:tc>
          <w:tcPr>
            <w:tcW w:w="1173" w:type="pct"/>
            <w:gridSpan w:val="2"/>
          </w:tcPr>
          <w:p w14:paraId="74CF492D" w14:textId="77777777" w:rsidR="0021177B" w:rsidRPr="00F267CE" w:rsidRDefault="0021177B" w:rsidP="009E3B2F">
            <w:pPr>
              <w:spacing w:after="0" w:line="240" w:lineRule="auto"/>
              <w:jc w:val="center"/>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P</w:t>
            </w:r>
            <w:r w:rsidRPr="00F267CE">
              <w:rPr>
                <w:rFonts w:ascii="Futura Std Condensed Light" w:eastAsia="Calibri" w:hAnsi="Futura Std Condensed Light" w:cs="Calibri"/>
                <w:sz w:val="20"/>
                <w:szCs w:val="20"/>
              </w:rPr>
              <w:t>rogramas</w:t>
            </w:r>
          </w:p>
        </w:tc>
      </w:tr>
      <w:tr w:rsidR="0021177B" w:rsidRPr="00D12127" w14:paraId="03DBC493" w14:textId="77777777" w:rsidTr="009E3B2F">
        <w:trPr>
          <w:trHeight w:val="449"/>
        </w:trPr>
        <w:tc>
          <w:tcPr>
            <w:tcW w:w="1208" w:type="pct"/>
            <w:gridSpan w:val="2"/>
          </w:tcPr>
          <w:p w14:paraId="14A61B4D" w14:textId="77777777" w:rsidR="0021177B" w:rsidRPr="00F267CE" w:rsidRDefault="0021177B" w:rsidP="009E3B2F">
            <w:pPr>
              <w:spacing w:after="0" w:line="240" w:lineRule="auto"/>
              <w:jc w:val="center"/>
              <w:rPr>
                <w:rFonts w:ascii="Futura Std Condensed Light" w:eastAsia="Calibri" w:hAnsi="Futura Std Condensed Light" w:cs="Calibri"/>
                <w:b/>
                <w:sz w:val="20"/>
                <w:szCs w:val="20"/>
              </w:rPr>
            </w:pPr>
            <w:r w:rsidRPr="00F267CE">
              <w:rPr>
                <w:rFonts w:ascii="Futura Std Condensed Light" w:eastAsia="Calibri" w:hAnsi="Futura Std Condensed Light" w:cs="Calibri"/>
                <w:b/>
                <w:sz w:val="20"/>
                <w:szCs w:val="20"/>
              </w:rPr>
              <w:t>Descripción:</w:t>
            </w:r>
          </w:p>
        </w:tc>
        <w:tc>
          <w:tcPr>
            <w:tcW w:w="3792" w:type="pct"/>
            <w:gridSpan w:val="10"/>
          </w:tcPr>
          <w:p w14:paraId="4372221A" w14:textId="77777777" w:rsidR="0021177B" w:rsidRPr="0017462D" w:rsidRDefault="0021177B" w:rsidP="009E3B2F">
            <w:pPr>
              <w:spacing w:after="0" w:line="240" w:lineRule="auto"/>
              <w:jc w:val="center"/>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Desarrollo de programas dirigidos a la difusión y divulgación del conocimiento, la identificación de talentos e, impulso y acompañamiento para la formación de recursos humanos con aptitud y actitud para la Ciencia, la Tecnología y la Innovación</w:t>
            </w:r>
          </w:p>
          <w:p w14:paraId="0C932414" w14:textId="77777777" w:rsidR="0021177B" w:rsidRPr="00F267CE" w:rsidRDefault="0021177B" w:rsidP="009E3B2F">
            <w:pPr>
              <w:spacing w:after="0" w:line="240" w:lineRule="auto"/>
              <w:jc w:val="center"/>
              <w:rPr>
                <w:rFonts w:ascii="Futura Std Condensed Light" w:eastAsia="Calibri" w:hAnsi="Futura Std Condensed Light" w:cs="Calibri"/>
                <w:sz w:val="20"/>
                <w:szCs w:val="20"/>
              </w:rPr>
            </w:pPr>
          </w:p>
        </w:tc>
      </w:tr>
      <w:tr w:rsidR="0021177B" w:rsidRPr="00D12127" w14:paraId="73B1776E" w14:textId="77777777" w:rsidTr="009E3B2F">
        <w:trPr>
          <w:trHeight w:val="484"/>
        </w:trPr>
        <w:tc>
          <w:tcPr>
            <w:tcW w:w="1806" w:type="pct"/>
            <w:gridSpan w:val="4"/>
          </w:tcPr>
          <w:p w14:paraId="2110DC73" w14:textId="77777777" w:rsidR="0021177B" w:rsidRPr="00F267CE" w:rsidRDefault="0021177B" w:rsidP="009E3B2F">
            <w:pPr>
              <w:spacing w:after="0" w:line="240" w:lineRule="auto"/>
              <w:jc w:val="center"/>
              <w:rPr>
                <w:rFonts w:ascii="Futura Std Condensed Light" w:eastAsia="Calibri" w:hAnsi="Futura Std Condensed Light" w:cs="Calibri"/>
                <w:b/>
                <w:sz w:val="20"/>
                <w:szCs w:val="20"/>
              </w:rPr>
            </w:pPr>
            <w:r w:rsidRPr="00F267CE">
              <w:rPr>
                <w:rFonts w:ascii="Futura Std Condensed Light" w:eastAsia="Calibri" w:hAnsi="Futura Std Condensed Light" w:cs="Calibri"/>
                <w:b/>
                <w:sz w:val="20"/>
                <w:szCs w:val="20"/>
              </w:rPr>
              <w:t>Medio de verificación:</w:t>
            </w:r>
          </w:p>
        </w:tc>
        <w:tc>
          <w:tcPr>
            <w:tcW w:w="3194" w:type="pct"/>
            <w:gridSpan w:val="8"/>
          </w:tcPr>
          <w:p w14:paraId="1EE5DF3A" w14:textId="77777777" w:rsidR="0021177B" w:rsidRPr="00F267CE" w:rsidRDefault="0021177B" w:rsidP="009E3B2F">
            <w:pPr>
              <w:spacing w:after="0" w:line="240" w:lineRule="auto"/>
              <w:jc w:val="center"/>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 xml:space="preserve">Informe de actividades disponible en </w:t>
            </w:r>
            <w:r w:rsidRPr="00F267CE">
              <w:rPr>
                <w:rFonts w:ascii="Futura Std Condensed Light" w:eastAsia="Calibri" w:hAnsi="Futura Std Condensed Light" w:cs="Calibri"/>
                <w:sz w:val="20"/>
                <w:szCs w:val="20"/>
              </w:rPr>
              <w:t xml:space="preserve"> </w:t>
            </w:r>
            <w:r w:rsidRPr="00A55310">
              <w:rPr>
                <w:rFonts w:ascii="Futura Std Condensed Light" w:eastAsia="Calibri" w:hAnsi="Futura Std Condensed Light" w:cs="Calibri"/>
                <w:sz w:val="20"/>
                <w:szCs w:val="20"/>
              </w:rPr>
              <w:t>https://qroo.gob.mx/coqcyt</w:t>
            </w:r>
          </w:p>
        </w:tc>
      </w:tr>
      <w:tr w:rsidR="0021177B" w:rsidRPr="00D12127" w14:paraId="175CF3F3" w14:textId="77777777" w:rsidTr="009E3B2F">
        <w:trPr>
          <w:trHeight w:val="484"/>
        </w:trPr>
        <w:tc>
          <w:tcPr>
            <w:tcW w:w="1806" w:type="pct"/>
            <w:gridSpan w:val="4"/>
          </w:tcPr>
          <w:p w14:paraId="7A3F9C1C" w14:textId="77777777" w:rsidR="0021177B" w:rsidRPr="00F267CE" w:rsidRDefault="0021177B" w:rsidP="009E3B2F">
            <w:pPr>
              <w:spacing w:after="0" w:line="240" w:lineRule="auto"/>
              <w:jc w:val="center"/>
              <w:rPr>
                <w:rFonts w:ascii="Futura Std Condensed Light" w:eastAsia="Calibri" w:hAnsi="Futura Std Condensed Light" w:cs="Calibri"/>
                <w:b/>
                <w:sz w:val="20"/>
                <w:szCs w:val="20"/>
              </w:rPr>
            </w:pPr>
            <w:r w:rsidRPr="00F267CE">
              <w:rPr>
                <w:rFonts w:ascii="Futura Std Condensed Light" w:eastAsia="Calibri" w:hAnsi="Futura Std Condensed Light" w:cs="Calibri"/>
                <w:b/>
                <w:sz w:val="20"/>
                <w:szCs w:val="20"/>
              </w:rPr>
              <w:t>Línea base:</w:t>
            </w:r>
          </w:p>
        </w:tc>
        <w:tc>
          <w:tcPr>
            <w:tcW w:w="904" w:type="pct"/>
            <w:gridSpan w:val="3"/>
          </w:tcPr>
          <w:p w14:paraId="7554E6C3" w14:textId="77777777" w:rsidR="0021177B" w:rsidRPr="00F267CE" w:rsidRDefault="0021177B" w:rsidP="009E3B2F">
            <w:pPr>
              <w:spacing w:after="0" w:line="240" w:lineRule="auto"/>
              <w:jc w:val="center"/>
              <w:rPr>
                <w:rFonts w:ascii="Futura Std Condensed Light" w:eastAsia="Calibri" w:hAnsi="Futura Std Condensed Light" w:cs="Calibri"/>
                <w:sz w:val="20"/>
                <w:szCs w:val="20"/>
              </w:rPr>
            </w:pPr>
            <w:r w:rsidRPr="00F267CE">
              <w:rPr>
                <w:rFonts w:ascii="Futura Std Condensed Light" w:eastAsia="Calibri" w:hAnsi="Futura Std Condensed Light" w:cs="Calibri"/>
                <w:sz w:val="20"/>
                <w:szCs w:val="20"/>
              </w:rPr>
              <w:t>9</w:t>
            </w:r>
          </w:p>
        </w:tc>
        <w:tc>
          <w:tcPr>
            <w:tcW w:w="1113" w:type="pct"/>
            <w:gridSpan w:val="2"/>
          </w:tcPr>
          <w:p w14:paraId="5525CC23" w14:textId="77777777" w:rsidR="0021177B" w:rsidRPr="00F267CE" w:rsidRDefault="0021177B" w:rsidP="009E3B2F">
            <w:pPr>
              <w:spacing w:after="0" w:line="240" w:lineRule="auto"/>
              <w:jc w:val="center"/>
              <w:rPr>
                <w:rFonts w:ascii="Futura Std Condensed Light" w:eastAsia="Calibri" w:hAnsi="Futura Std Condensed Light" w:cs="Calibri"/>
                <w:b/>
                <w:sz w:val="20"/>
                <w:szCs w:val="20"/>
              </w:rPr>
            </w:pPr>
            <w:r w:rsidRPr="00F267CE">
              <w:rPr>
                <w:rFonts w:ascii="Futura Std Condensed Light" w:eastAsia="Calibri" w:hAnsi="Futura Std Condensed Light" w:cs="Calibri"/>
                <w:b/>
                <w:sz w:val="20"/>
                <w:szCs w:val="20"/>
              </w:rPr>
              <w:t>Año de línea base:</w:t>
            </w:r>
          </w:p>
        </w:tc>
        <w:tc>
          <w:tcPr>
            <w:tcW w:w="1178" w:type="pct"/>
            <w:gridSpan w:val="3"/>
          </w:tcPr>
          <w:p w14:paraId="261539F3" w14:textId="77777777" w:rsidR="0021177B" w:rsidRPr="00F267CE" w:rsidRDefault="0021177B" w:rsidP="009E3B2F">
            <w:pPr>
              <w:spacing w:after="0" w:line="240" w:lineRule="auto"/>
              <w:jc w:val="center"/>
              <w:rPr>
                <w:rFonts w:ascii="Futura Std Condensed Light" w:eastAsia="Calibri" w:hAnsi="Futura Std Condensed Light" w:cs="Calibri"/>
                <w:sz w:val="20"/>
                <w:szCs w:val="20"/>
              </w:rPr>
            </w:pPr>
            <w:r w:rsidRPr="00F267CE">
              <w:rPr>
                <w:rFonts w:ascii="Futura Std Condensed Light" w:eastAsia="Calibri" w:hAnsi="Futura Std Condensed Light" w:cs="Calibri"/>
                <w:sz w:val="20"/>
                <w:szCs w:val="20"/>
              </w:rPr>
              <w:t>2016</w:t>
            </w:r>
          </w:p>
        </w:tc>
      </w:tr>
      <w:tr w:rsidR="0021177B" w:rsidRPr="00D12127" w14:paraId="45C5EB32" w14:textId="77777777" w:rsidTr="009E3B2F">
        <w:trPr>
          <w:trHeight w:val="484"/>
        </w:trPr>
        <w:tc>
          <w:tcPr>
            <w:tcW w:w="1806" w:type="pct"/>
            <w:gridSpan w:val="4"/>
          </w:tcPr>
          <w:p w14:paraId="64076E7E" w14:textId="77777777" w:rsidR="0021177B" w:rsidRPr="00F267CE" w:rsidRDefault="0021177B" w:rsidP="009E3B2F">
            <w:pPr>
              <w:spacing w:after="0" w:line="240" w:lineRule="auto"/>
              <w:jc w:val="center"/>
              <w:rPr>
                <w:rFonts w:ascii="Futura Std Condensed Light" w:eastAsia="Calibri" w:hAnsi="Futura Std Condensed Light" w:cs="Calibri"/>
                <w:b/>
                <w:sz w:val="20"/>
                <w:szCs w:val="20"/>
              </w:rPr>
            </w:pPr>
            <w:r w:rsidRPr="00F267CE">
              <w:rPr>
                <w:rFonts w:ascii="Futura Std Condensed Light" w:eastAsia="Calibri" w:hAnsi="Futura Std Condensed Light" w:cs="Calibri"/>
                <w:b/>
                <w:sz w:val="20"/>
                <w:szCs w:val="20"/>
              </w:rPr>
              <w:t>Contribución Directa al Objetivo de la Agenda 2030</w:t>
            </w:r>
          </w:p>
        </w:tc>
        <w:tc>
          <w:tcPr>
            <w:tcW w:w="3194" w:type="pct"/>
            <w:gridSpan w:val="8"/>
          </w:tcPr>
          <w:p w14:paraId="0C26C0FA" w14:textId="77777777" w:rsidR="0021177B" w:rsidRPr="00F267CE" w:rsidRDefault="0021177B" w:rsidP="009E3B2F">
            <w:pPr>
              <w:spacing w:after="0" w:line="240" w:lineRule="auto"/>
              <w:jc w:val="center"/>
              <w:rPr>
                <w:rFonts w:ascii="Futura Std Condensed Light" w:eastAsia="Calibri" w:hAnsi="Futura Std Condensed Light" w:cs="Calibri"/>
                <w:sz w:val="20"/>
                <w:szCs w:val="20"/>
              </w:rPr>
            </w:pPr>
            <w:r w:rsidRPr="00F267CE">
              <w:rPr>
                <w:rFonts w:ascii="Futura Std Condensed Light" w:eastAsia="Calibri" w:hAnsi="Futura Std Condensed Light" w:cs="Calibri"/>
                <w:sz w:val="20"/>
                <w:szCs w:val="20"/>
              </w:rPr>
              <w:t>Garantizar una educación inclusiva, equitativa y de calidad y promover oportunidades de aprendizaje durante toda la vida para todos</w:t>
            </w:r>
          </w:p>
        </w:tc>
      </w:tr>
      <w:tr w:rsidR="0021177B" w:rsidRPr="00D12127" w14:paraId="264DF185" w14:textId="77777777" w:rsidTr="009E3B2F">
        <w:trPr>
          <w:trHeight w:val="484"/>
        </w:trPr>
        <w:tc>
          <w:tcPr>
            <w:tcW w:w="1806" w:type="pct"/>
            <w:gridSpan w:val="4"/>
          </w:tcPr>
          <w:p w14:paraId="54DCB5BA" w14:textId="77777777" w:rsidR="0021177B" w:rsidRPr="00F267CE" w:rsidRDefault="0021177B" w:rsidP="009E3B2F">
            <w:pPr>
              <w:spacing w:after="0" w:line="240" w:lineRule="auto"/>
              <w:jc w:val="center"/>
              <w:rPr>
                <w:rFonts w:ascii="Futura Std Condensed Light" w:eastAsia="Calibri" w:hAnsi="Futura Std Condensed Light" w:cs="Calibri"/>
                <w:b/>
                <w:sz w:val="20"/>
                <w:szCs w:val="20"/>
              </w:rPr>
            </w:pPr>
            <w:r w:rsidRPr="00F267CE">
              <w:rPr>
                <w:rFonts w:ascii="Futura Std Condensed Light" w:eastAsia="Calibri" w:hAnsi="Futura Std Condensed Light" w:cs="Calibri"/>
                <w:b/>
                <w:sz w:val="20"/>
                <w:szCs w:val="20"/>
              </w:rPr>
              <w:t>Contribución Directa  a la Meta de la Agenda 2030</w:t>
            </w:r>
          </w:p>
        </w:tc>
        <w:tc>
          <w:tcPr>
            <w:tcW w:w="3194" w:type="pct"/>
            <w:gridSpan w:val="8"/>
          </w:tcPr>
          <w:p w14:paraId="3234953C" w14:textId="77777777" w:rsidR="0021177B" w:rsidRPr="00F267CE" w:rsidRDefault="0021177B" w:rsidP="009E3B2F">
            <w:pPr>
              <w:spacing w:after="0" w:line="240" w:lineRule="auto"/>
              <w:jc w:val="center"/>
              <w:rPr>
                <w:rFonts w:ascii="Futura Std Condensed Light" w:eastAsia="Calibri" w:hAnsi="Futura Std Condensed Light" w:cs="Calibri"/>
                <w:sz w:val="20"/>
                <w:szCs w:val="20"/>
              </w:rPr>
            </w:pPr>
            <w:r w:rsidRPr="00F267CE">
              <w:rPr>
                <w:rFonts w:ascii="Futura Std Condensed Light" w:eastAsia="Calibri" w:hAnsi="Futura Std Condensed Light" w:cs="Calibri"/>
                <w:sz w:val="20"/>
                <w:szCs w:val="20"/>
              </w:rPr>
              <w:t>De aquí a 2030, asegurar el acceso igualitario de todos los hombres y las mujeres a una formación técnica, profesional y superior de calidad, incluida la enseñanza universitaria.</w:t>
            </w:r>
          </w:p>
        </w:tc>
      </w:tr>
      <w:tr w:rsidR="0021177B" w:rsidRPr="00D12127" w14:paraId="58F9AB85" w14:textId="77777777" w:rsidTr="009E3B2F">
        <w:trPr>
          <w:trHeight w:val="484"/>
        </w:trPr>
        <w:tc>
          <w:tcPr>
            <w:tcW w:w="1806" w:type="pct"/>
            <w:gridSpan w:val="4"/>
          </w:tcPr>
          <w:p w14:paraId="1737432D" w14:textId="77777777" w:rsidR="0021177B" w:rsidRPr="00F267CE" w:rsidRDefault="0021177B" w:rsidP="009E3B2F">
            <w:pPr>
              <w:spacing w:after="0" w:line="240" w:lineRule="auto"/>
              <w:jc w:val="center"/>
              <w:rPr>
                <w:rFonts w:ascii="Futura Std Condensed Light" w:eastAsia="Calibri" w:hAnsi="Futura Std Condensed Light" w:cs="Calibri"/>
                <w:b/>
                <w:sz w:val="20"/>
                <w:szCs w:val="20"/>
              </w:rPr>
            </w:pPr>
            <w:r w:rsidRPr="00F267CE">
              <w:rPr>
                <w:rFonts w:ascii="Futura Std Condensed Light" w:eastAsia="Calibri" w:hAnsi="Futura Std Condensed Light" w:cs="Calibri"/>
                <w:b/>
                <w:sz w:val="20"/>
                <w:szCs w:val="20"/>
              </w:rPr>
              <w:t>Tema / Proyecto Prioritario de Quintana Roo</w:t>
            </w:r>
          </w:p>
        </w:tc>
        <w:tc>
          <w:tcPr>
            <w:tcW w:w="3194" w:type="pct"/>
            <w:gridSpan w:val="8"/>
          </w:tcPr>
          <w:p w14:paraId="3E18D03E" w14:textId="77777777" w:rsidR="0021177B" w:rsidRPr="00F267CE" w:rsidRDefault="0021177B" w:rsidP="009E3B2F">
            <w:pPr>
              <w:spacing w:after="0" w:line="240" w:lineRule="auto"/>
              <w:jc w:val="center"/>
              <w:rPr>
                <w:rFonts w:ascii="Futura Std Condensed Light" w:eastAsia="Calibri" w:hAnsi="Futura Std Condensed Light" w:cs="Calibri"/>
                <w:sz w:val="20"/>
                <w:szCs w:val="20"/>
              </w:rPr>
            </w:pPr>
            <w:r w:rsidRPr="00F267CE">
              <w:rPr>
                <w:rFonts w:ascii="Futura Std Condensed Light" w:eastAsia="Calibri" w:hAnsi="Futura Std Condensed Light" w:cs="Calibri"/>
                <w:sz w:val="20"/>
                <w:szCs w:val="20"/>
              </w:rPr>
              <w:t>24.5 Abatir el rezago educativo</w:t>
            </w:r>
          </w:p>
        </w:tc>
      </w:tr>
      <w:tr w:rsidR="0021177B" w:rsidRPr="00D12127" w14:paraId="27707191" w14:textId="77777777" w:rsidTr="009E3B2F">
        <w:trPr>
          <w:trHeight w:val="484"/>
        </w:trPr>
        <w:tc>
          <w:tcPr>
            <w:tcW w:w="1806" w:type="pct"/>
            <w:gridSpan w:val="4"/>
          </w:tcPr>
          <w:p w14:paraId="7D35F4B7" w14:textId="77777777" w:rsidR="0021177B" w:rsidRPr="00F267CE" w:rsidRDefault="0021177B" w:rsidP="009E3B2F">
            <w:pPr>
              <w:spacing w:after="0" w:line="240" w:lineRule="auto"/>
              <w:jc w:val="center"/>
              <w:rPr>
                <w:rFonts w:ascii="Futura Std Condensed Light" w:eastAsia="Calibri" w:hAnsi="Futura Std Condensed Light" w:cs="Calibri"/>
                <w:b/>
                <w:sz w:val="20"/>
                <w:szCs w:val="20"/>
              </w:rPr>
            </w:pPr>
            <w:r w:rsidRPr="00F267CE">
              <w:rPr>
                <w:rFonts w:ascii="Futura Std Condensed Light" w:eastAsia="Calibri" w:hAnsi="Futura Std Condensed Light" w:cs="Calibri"/>
                <w:b/>
                <w:sz w:val="20"/>
                <w:szCs w:val="20"/>
              </w:rPr>
              <w:t>Subtema Prioritario de Quintana Roo</w:t>
            </w:r>
          </w:p>
        </w:tc>
        <w:tc>
          <w:tcPr>
            <w:tcW w:w="3194" w:type="pct"/>
            <w:gridSpan w:val="8"/>
          </w:tcPr>
          <w:p w14:paraId="19FA03CC" w14:textId="77777777" w:rsidR="0021177B" w:rsidRPr="00F267CE" w:rsidRDefault="0021177B" w:rsidP="009E3B2F">
            <w:pPr>
              <w:spacing w:after="0" w:line="240" w:lineRule="auto"/>
              <w:jc w:val="center"/>
              <w:rPr>
                <w:rFonts w:ascii="Futura Std Condensed Light" w:eastAsia="Calibri" w:hAnsi="Futura Std Condensed Light" w:cs="Calibri"/>
                <w:sz w:val="20"/>
                <w:szCs w:val="20"/>
              </w:rPr>
            </w:pPr>
            <w:r w:rsidRPr="00F267CE">
              <w:rPr>
                <w:rFonts w:ascii="Futura Std Condensed Light" w:eastAsia="Calibri" w:hAnsi="Futura Std Condensed Light" w:cs="Calibri"/>
                <w:sz w:val="20"/>
                <w:szCs w:val="20"/>
              </w:rPr>
              <w:t>N/A</w:t>
            </w:r>
          </w:p>
        </w:tc>
      </w:tr>
      <w:tr w:rsidR="0021177B" w:rsidRPr="00D12127" w14:paraId="6055CE08" w14:textId="77777777" w:rsidTr="009E3B2F">
        <w:trPr>
          <w:trHeight w:val="370"/>
        </w:trPr>
        <w:tc>
          <w:tcPr>
            <w:tcW w:w="5000" w:type="pct"/>
            <w:gridSpan w:val="12"/>
          </w:tcPr>
          <w:p w14:paraId="1FC193F4" w14:textId="77777777" w:rsidR="0021177B" w:rsidRPr="00BF0859" w:rsidRDefault="0021177B" w:rsidP="009E3B2F">
            <w:pPr>
              <w:spacing w:after="0" w:line="240" w:lineRule="auto"/>
              <w:jc w:val="center"/>
              <w:rPr>
                <w:rFonts w:ascii="Futura Std Condensed Light" w:eastAsia="Calibri" w:hAnsi="Futura Std Condensed Light" w:cs="Calibri"/>
                <w:b/>
                <w:sz w:val="20"/>
                <w:szCs w:val="20"/>
              </w:rPr>
            </w:pPr>
            <w:r w:rsidRPr="00BF0859">
              <w:rPr>
                <w:rFonts w:ascii="Futura Std Condensed Light" w:eastAsia="Calibri" w:hAnsi="Futura Std Condensed Light" w:cs="Calibri"/>
                <w:b/>
                <w:sz w:val="20"/>
                <w:szCs w:val="20"/>
              </w:rPr>
              <w:t>Meta Total:</w:t>
            </w:r>
          </w:p>
        </w:tc>
      </w:tr>
      <w:tr w:rsidR="0021177B" w:rsidRPr="00D12127" w14:paraId="304E3F09" w14:textId="77777777" w:rsidTr="009E3B2F">
        <w:trPr>
          <w:trHeight w:val="484"/>
        </w:trPr>
        <w:tc>
          <w:tcPr>
            <w:tcW w:w="781" w:type="pct"/>
          </w:tcPr>
          <w:p w14:paraId="56CDF34E" w14:textId="77777777" w:rsidR="0021177B" w:rsidRPr="00BF0859" w:rsidRDefault="0021177B" w:rsidP="009E3B2F">
            <w:pPr>
              <w:spacing w:after="0" w:line="240" w:lineRule="auto"/>
              <w:jc w:val="center"/>
              <w:rPr>
                <w:rFonts w:ascii="Futura Std Condensed Light" w:eastAsia="Calibri" w:hAnsi="Futura Std Condensed Light" w:cs="Calibri"/>
                <w:b/>
                <w:sz w:val="20"/>
                <w:szCs w:val="20"/>
              </w:rPr>
            </w:pPr>
            <w:r w:rsidRPr="00BF0859">
              <w:rPr>
                <w:rFonts w:ascii="Futura Std Condensed Light" w:eastAsia="Calibri" w:hAnsi="Futura Std Condensed Light" w:cs="Calibri"/>
                <w:b/>
                <w:sz w:val="20"/>
                <w:szCs w:val="20"/>
              </w:rPr>
              <w:t>2017</w:t>
            </w:r>
          </w:p>
        </w:tc>
        <w:tc>
          <w:tcPr>
            <w:tcW w:w="783" w:type="pct"/>
            <w:gridSpan w:val="2"/>
          </w:tcPr>
          <w:p w14:paraId="35FBCE7A" w14:textId="77777777" w:rsidR="0021177B" w:rsidRPr="00BF0859" w:rsidRDefault="0021177B" w:rsidP="009E3B2F">
            <w:pPr>
              <w:spacing w:after="0" w:line="240" w:lineRule="auto"/>
              <w:jc w:val="center"/>
              <w:rPr>
                <w:rFonts w:ascii="Futura Std Condensed Light" w:eastAsia="Calibri" w:hAnsi="Futura Std Condensed Light" w:cs="Calibri"/>
                <w:b/>
                <w:sz w:val="20"/>
                <w:szCs w:val="20"/>
              </w:rPr>
            </w:pPr>
            <w:r w:rsidRPr="00BF0859">
              <w:rPr>
                <w:rFonts w:ascii="Futura Std Condensed Light" w:eastAsia="Calibri" w:hAnsi="Futura Std Condensed Light" w:cs="Calibri"/>
                <w:b/>
                <w:sz w:val="20"/>
                <w:szCs w:val="20"/>
              </w:rPr>
              <w:t>2018</w:t>
            </w:r>
          </w:p>
        </w:tc>
        <w:tc>
          <w:tcPr>
            <w:tcW w:w="904" w:type="pct"/>
            <w:gridSpan w:val="3"/>
          </w:tcPr>
          <w:p w14:paraId="182D01AE" w14:textId="77777777" w:rsidR="0021177B" w:rsidRPr="00BF0859" w:rsidRDefault="0021177B" w:rsidP="009E3B2F">
            <w:pPr>
              <w:spacing w:after="0" w:line="240" w:lineRule="auto"/>
              <w:jc w:val="center"/>
              <w:rPr>
                <w:rFonts w:ascii="Futura Std Condensed Light" w:eastAsia="Calibri" w:hAnsi="Futura Std Condensed Light" w:cs="Calibri"/>
                <w:b/>
                <w:sz w:val="20"/>
                <w:szCs w:val="20"/>
              </w:rPr>
            </w:pPr>
            <w:r w:rsidRPr="00BF0859">
              <w:rPr>
                <w:rFonts w:ascii="Futura Std Condensed Light" w:eastAsia="Calibri" w:hAnsi="Futura Std Condensed Light" w:cs="Calibri"/>
                <w:b/>
                <w:sz w:val="20"/>
                <w:szCs w:val="20"/>
              </w:rPr>
              <w:t>2019</w:t>
            </w:r>
          </w:p>
        </w:tc>
        <w:tc>
          <w:tcPr>
            <w:tcW w:w="723" w:type="pct"/>
            <w:gridSpan w:val="2"/>
          </w:tcPr>
          <w:p w14:paraId="11A61E25" w14:textId="77777777" w:rsidR="0021177B" w:rsidRPr="00BF0859" w:rsidRDefault="0021177B" w:rsidP="009E3B2F">
            <w:pPr>
              <w:spacing w:after="0" w:line="240" w:lineRule="auto"/>
              <w:jc w:val="center"/>
              <w:rPr>
                <w:rFonts w:ascii="Futura Std Condensed Light" w:eastAsia="Calibri" w:hAnsi="Futura Std Condensed Light" w:cs="Calibri"/>
                <w:b/>
                <w:sz w:val="20"/>
                <w:szCs w:val="20"/>
              </w:rPr>
            </w:pPr>
            <w:r w:rsidRPr="00BF0859">
              <w:rPr>
                <w:rFonts w:ascii="Futura Std Condensed Light" w:eastAsia="Calibri" w:hAnsi="Futura Std Condensed Light" w:cs="Calibri"/>
                <w:b/>
                <w:sz w:val="20"/>
                <w:szCs w:val="20"/>
              </w:rPr>
              <w:t>2020</w:t>
            </w:r>
          </w:p>
        </w:tc>
        <w:tc>
          <w:tcPr>
            <w:tcW w:w="963" w:type="pct"/>
            <w:gridSpan w:val="3"/>
          </w:tcPr>
          <w:p w14:paraId="2CDF322E" w14:textId="77777777" w:rsidR="0021177B" w:rsidRPr="00BF0859" w:rsidRDefault="0021177B" w:rsidP="009E3B2F">
            <w:pPr>
              <w:spacing w:after="0" w:line="240" w:lineRule="auto"/>
              <w:jc w:val="center"/>
              <w:rPr>
                <w:rFonts w:ascii="Futura Std Condensed Light" w:eastAsia="Calibri" w:hAnsi="Futura Std Condensed Light" w:cs="Calibri"/>
                <w:b/>
                <w:sz w:val="20"/>
                <w:szCs w:val="20"/>
              </w:rPr>
            </w:pPr>
            <w:r w:rsidRPr="00BF0859">
              <w:rPr>
                <w:rFonts w:ascii="Futura Std Condensed Light" w:eastAsia="Calibri" w:hAnsi="Futura Std Condensed Light" w:cs="Calibri"/>
                <w:b/>
                <w:sz w:val="20"/>
                <w:szCs w:val="20"/>
              </w:rPr>
              <w:t>2021</w:t>
            </w:r>
          </w:p>
        </w:tc>
        <w:tc>
          <w:tcPr>
            <w:tcW w:w="846" w:type="pct"/>
          </w:tcPr>
          <w:p w14:paraId="0994E628" w14:textId="77777777" w:rsidR="0021177B" w:rsidRPr="00BF0859" w:rsidRDefault="0021177B" w:rsidP="009E3B2F">
            <w:pPr>
              <w:spacing w:after="0" w:line="240" w:lineRule="auto"/>
              <w:jc w:val="center"/>
              <w:rPr>
                <w:rFonts w:ascii="Futura Std Condensed Light" w:eastAsia="Calibri" w:hAnsi="Futura Std Condensed Light" w:cs="Calibri"/>
                <w:b/>
                <w:sz w:val="20"/>
                <w:szCs w:val="20"/>
              </w:rPr>
            </w:pPr>
            <w:r w:rsidRPr="00BF0859">
              <w:rPr>
                <w:rFonts w:ascii="Futura Std Condensed Light" w:eastAsia="Calibri" w:hAnsi="Futura Std Condensed Light" w:cs="Calibri"/>
                <w:b/>
                <w:sz w:val="20"/>
                <w:szCs w:val="20"/>
              </w:rPr>
              <w:t>2022</w:t>
            </w:r>
          </w:p>
        </w:tc>
      </w:tr>
      <w:tr w:rsidR="0021177B" w:rsidRPr="00D12127" w14:paraId="79504391" w14:textId="77777777" w:rsidTr="009E3B2F">
        <w:trPr>
          <w:trHeight w:val="484"/>
        </w:trPr>
        <w:tc>
          <w:tcPr>
            <w:tcW w:w="781" w:type="pct"/>
          </w:tcPr>
          <w:p w14:paraId="44D50014" w14:textId="77777777" w:rsidR="0021177B" w:rsidRPr="00F267CE" w:rsidRDefault="0021177B" w:rsidP="009E3B2F">
            <w:pPr>
              <w:spacing w:after="0" w:line="240" w:lineRule="auto"/>
              <w:jc w:val="center"/>
              <w:rPr>
                <w:rFonts w:ascii="Futura Std Condensed Light" w:eastAsia="Calibri" w:hAnsi="Futura Std Condensed Light" w:cs="Calibri"/>
                <w:sz w:val="20"/>
                <w:szCs w:val="20"/>
              </w:rPr>
            </w:pPr>
            <w:r w:rsidRPr="00F267CE">
              <w:rPr>
                <w:rFonts w:ascii="Futura Std Condensed Light" w:eastAsia="Calibri" w:hAnsi="Futura Std Condensed Light" w:cs="Calibri"/>
                <w:sz w:val="20"/>
                <w:szCs w:val="20"/>
              </w:rPr>
              <w:t>13</w:t>
            </w:r>
          </w:p>
        </w:tc>
        <w:tc>
          <w:tcPr>
            <w:tcW w:w="783" w:type="pct"/>
            <w:gridSpan w:val="2"/>
          </w:tcPr>
          <w:p w14:paraId="3A70E7DE" w14:textId="77777777" w:rsidR="0021177B" w:rsidRPr="00F267CE" w:rsidRDefault="0021177B" w:rsidP="009E3B2F">
            <w:pPr>
              <w:spacing w:after="0" w:line="240" w:lineRule="auto"/>
              <w:jc w:val="center"/>
              <w:rPr>
                <w:rFonts w:ascii="Futura Std Condensed Light" w:eastAsia="Calibri" w:hAnsi="Futura Std Condensed Light" w:cs="Calibri"/>
                <w:sz w:val="20"/>
                <w:szCs w:val="20"/>
              </w:rPr>
            </w:pPr>
            <w:r w:rsidRPr="00F267CE">
              <w:rPr>
                <w:rFonts w:ascii="Futura Std Condensed Light" w:eastAsia="Calibri" w:hAnsi="Futura Std Condensed Light" w:cs="Calibri"/>
                <w:sz w:val="20"/>
                <w:szCs w:val="20"/>
              </w:rPr>
              <w:t>14</w:t>
            </w:r>
          </w:p>
        </w:tc>
        <w:tc>
          <w:tcPr>
            <w:tcW w:w="904" w:type="pct"/>
            <w:gridSpan w:val="3"/>
          </w:tcPr>
          <w:p w14:paraId="187BF902" w14:textId="77777777" w:rsidR="0021177B" w:rsidRPr="00F267CE" w:rsidRDefault="0021177B" w:rsidP="009E3B2F">
            <w:pPr>
              <w:spacing w:after="0" w:line="240" w:lineRule="auto"/>
              <w:jc w:val="center"/>
              <w:rPr>
                <w:rFonts w:ascii="Futura Std Condensed Light" w:eastAsia="Calibri" w:hAnsi="Futura Std Condensed Light" w:cs="Calibri"/>
                <w:sz w:val="20"/>
                <w:szCs w:val="20"/>
              </w:rPr>
            </w:pPr>
            <w:r w:rsidRPr="00F267CE">
              <w:rPr>
                <w:rFonts w:ascii="Futura Std Condensed Light" w:eastAsia="Calibri" w:hAnsi="Futura Std Condensed Light" w:cs="Calibri"/>
                <w:sz w:val="20"/>
                <w:szCs w:val="20"/>
              </w:rPr>
              <w:t>17</w:t>
            </w:r>
          </w:p>
        </w:tc>
        <w:tc>
          <w:tcPr>
            <w:tcW w:w="723" w:type="pct"/>
            <w:gridSpan w:val="2"/>
          </w:tcPr>
          <w:p w14:paraId="670C6E88" w14:textId="77777777" w:rsidR="0021177B" w:rsidRPr="00F267CE" w:rsidRDefault="0021177B" w:rsidP="009E3B2F">
            <w:pPr>
              <w:spacing w:after="0" w:line="240" w:lineRule="auto"/>
              <w:jc w:val="center"/>
              <w:rPr>
                <w:rFonts w:ascii="Futura Std Condensed Light" w:eastAsia="Calibri" w:hAnsi="Futura Std Condensed Light" w:cs="Calibri"/>
                <w:sz w:val="20"/>
                <w:szCs w:val="20"/>
              </w:rPr>
            </w:pPr>
            <w:r w:rsidRPr="00F267CE">
              <w:rPr>
                <w:rFonts w:ascii="Futura Std Condensed Light" w:eastAsia="Calibri" w:hAnsi="Futura Std Condensed Light" w:cs="Calibri"/>
                <w:sz w:val="20"/>
                <w:szCs w:val="20"/>
              </w:rPr>
              <w:t>17</w:t>
            </w:r>
          </w:p>
        </w:tc>
        <w:tc>
          <w:tcPr>
            <w:tcW w:w="963" w:type="pct"/>
            <w:gridSpan w:val="3"/>
          </w:tcPr>
          <w:p w14:paraId="62F94912" w14:textId="77777777" w:rsidR="0021177B" w:rsidRPr="00F267CE" w:rsidRDefault="0021177B" w:rsidP="009E3B2F">
            <w:pPr>
              <w:spacing w:after="0" w:line="240" w:lineRule="auto"/>
              <w:jc w:val="center"/>
              <w:rPr>
                <w:rFonts w:ascii="Futura Std Condensed Light" w:eastAsia="Calibri" w:hAnsi="Futura Std Condensed Light" w:cs="Calibri"/>
                <w:sz w:val="20"/>
                <w:szCs w:val="20"/>
              </w:rPr>
            </w:pPr>
            <w:r w:rsidRPr="00F267CE">
              <w:rPr>
                <w:rFonts w:ascii="Futura Std Condensed Light" w:eastAsia="Calibri" w:hAnsi="Futura Std Condensed Light" w:cs="Calibri"/>
                <w:sz w:val="20"/>
                <w:szCs w:val="20"/>
              </w:rPr>
              <w:t>17</w:t>
            </w:r>
          </w:p>
        </w:tc>
        <w:tc>
          <w:tcPr>
            <w:tcW w:w="846" w:type="pct"/>
          </w:tcPr>
          <w:p w14:paraId="10752670" w14:textId="77777777" w:rsidR="0021177B" w:rsidRPr="00F267CE" w:rsidRDefault="0021177B" w:rsidP="009E3B2F">
            <w:pPr>
              <w:spacing w:after="0" w:line="240" w:lineRule="auto"/>
              <w:jc w:val="center"/>
              <w:rPr>
                <w:rFonts w:ascii="Futura Std Condensed Light" w:eastAsia="Calibri" w:hAnsi="Futura Std Condensed Light" w:cs="Calibri"/>
                <w:sz w:val="20"/>
                <w:szCs w:val="20"/>
              </w:rPr>
            </w:pPr>
            <w:r w:rsidRPr="00F267CE">
              <w:rPr>
                <w:rFonts w:ascii="Futura Std Condensed Light" w:eastAsia="Calibri" w:hAnsi="Futura Std Condensed Light" w:cs="Calibri"/>
                <w:sz w:val="20"/>
                <w:szCs w:val="20"/>
              </w:rPr>
              <w:t>17</w:t>
            </w:r>
          </w:p>
        </w:tc>
      </w:tr>
    </w:tbl>
    <w:p w14:paraId="2877A93D" w14:textId="506E7197" w:rsidR="00D23E28" w:rsidRDefault="00D23E28" w:rsidP="0021177B"/>
    <w:p w14:paraId="614432F6" w14:textId="77777777" w:rsidR="00E05363" w:rsidRDefault="00E05363">
      <w:pPr>
        <w:spacing w:after="0" w:line="240" w:lineRule="auto"/>
        <w:jc w:val="left"/>
        <w:rPr>
          <w:rFonts w:eastAsia="Arial" w:cs="Times New Roman"/>
          <w:b/>
          <w:color w:val="4BACC6" w:themeColor="accent5"/>
        </w:rPr>
      </w:pPr>
      <w:r>
        <w:rPr>
          <w:rFonts w:eastAsia="Arial" w:cs="Times New Roman"/>
          <w:b/>
          <w:color w:val="4BACC6" w:themeColor="accent5"/>
        </w:rPr>
        <w:br w:type="page"/>
      </w:r>
    </w:p>
    <w:p w14:paraId="1BC163A0" w14:textId="7ACB3885" w:rsidR="0021177B" w:rsidRDefault="00FA0940" w:rsidP="0021177B">
      <w:pPr>
        <w:jc w:val="center"/>
      </w:pPr>
      <w:r>
        <w:rPr>
          <w:rFonts w:eastAsia="Arial" w:cs="Times New Roman"/>
          <w:b/>
          <w:color w:val="4BACC6" w:themeColor="accent5"/>
        </w:rPr>
        <w:lastRenderedPageBreak/>
        <w:t>Cuadro 43</w:t>
      </w:r>
      <w:r w:rsidR="0021177B">
        <w:rPr>
          <w:rFonts w:eastAsia="Arial" w:cs="Times New Roman"/>
          <w:b/>
          <w:color w:val="4BACC6" w:themeColor="accent5"/>
        </w:rPr>
        <w:t>. Entregable y meta de la línea de acción 16 del PED</w:t>
      </w:r>
    </w:p>
    <w:tbl>
      <w:tblPr>
        <w:tblStyle w:val="Tablaconcuadrcula"/>
        <w:tblW w:w="5000" w:type="pct"/>
        <w:tblLook w:val="04A0" w:firstRow="1" w:lastRow="0" w:firstColumn="1" w:lastColumn="0" w:noHBand="0" w:noVBand="1"/>
      </w:tblPr>
      <w:tblGrid>
        <w:gridCol w:w="1489"/>
        <w:gridCol w:w="814"/>
        <w:gridCol w:w="679"/>
        <w:gridCol w:w="462"/>
        <w:gridCol w:w="687"/>
        <w:gridCol w:w="576"/>
        <w:gridCol w:w="462"/>
        <w:gridCol w:w="917"/>
        <w:gridCol w:w="462"/>
        <w:gridCol w:w="1375"/>
        <w:gridCol w:w="1614"/>
      </w:tblGrid>
      <w:tr w:rsidR="0086391F" w:rsidRPr="00060E8E" w14:paraId="59251686" w14:textId="77777777" w:rsidTr="00060E8E">
        <w:trPr>
          <w:trHeight w:val="182"/>
        </w:trPr>
        <w:tc>
          <w:tcPr>
            <w:tcW w:w="1806" w:type="pct"/>
            <w:gridSpan w:val="4"/>
            <w:shd w:val="clear" w:color="auto" w:fill="A6A6A6" w:themeFill="background1" w:themeFillShade="A6"/>
          </w:tcPr>
          <w:p w14:paraId="6517AC51" w14:textId="77777777" w:rsidR="0021177B" w:rsidRPr="00060E8E" w:rsidRDefault="0021177B" w:rsidP="00060E8E">
            <w:pPr>
              <w:contextualSpacing/>
              <w:jc w:val="center"/>
              <w:rPr>
                <w:rFonts w:ascii="Futura Std Condensed Light" w:eastAsia="Calibri" w:hAnsi="Futura Std Condensed Light" w:cs="Calibri"/>
                <w:color w:val="auto"/>
                <w:sz w:val="20"/>
                <w:szCs w:val="20"/>
              </w:rPr>
            </w:pPr>
            <w:r w:rsidRPr="00060E8E">
              <w:rPr>
                <w:rFonts w:ascii="Futura Std Condensed Light" w:eastAsia="Calibri" w:hAnsi="Futura Std Condensed Light" w:cs="Calibri"/>
                <w:color w:val="auto"/>
                <w:sz w:val="20"/>
                <w:szCs w:val="20"/>
              </w:rPr>
              <w:t>Programa PED</w:t>
            </w:r>
          </w:p>
        </w:tc>
        <w:tc>
          <w:tcPr>
            <w:tcW w:w="3194" w:type="pct"/>
            <w:gridSpan w:val="7"/>
            <w:shd w:val="clear" w:color="auto" w:fill="A6A6A6" w:themeFill="background1" w:themeFillShade="A6"/>
          </w:tcPr>
          <w:p w14:paraId="583A8C4C" w14:textId="77777777" w:rsidR="0021177B" w:rsidRPr="00060E8E" w:rsidRDefault="0021177B" w:rsidP="00060E8E">
            <w:pPr>
              <w:contextualSpacing/>
              <w:jc w:val="center"/>
              <w:rPr>
                <w:rFonts w:ascii="Futura Std Condensed Light" w:eastAsia="Calibri" w:hAnsi="Futura Std Condensed Light" w:cs="Calibri"/>
                <w:color w:val="auto"/>
                <w:sz w:val="20"/>
                <w:szCs w:val="20"/>
              </w:rPr>
            </w:pPr>
            <w:r w:rsidRPr="00060E8E">
              <w:rPr>
                <w:rFonts w:ascii="Futura Std Condensed Light" w:eastAsia="Calibri" w:hAnsi="Futura Std Condensed Light" w:cs="Calibri"/>
                <w:color w:val="auto"/>
                <w:sz w:val="20"/>
                <w:szCs w:val="20"/>
              </w:rPr>
              <w:t>Programa Sectorial Educación Pública de Calidad</w:t>
            </w:r>
          </w:p>
        </w:tc>
      </w:tr>
      <w:tr w:rsidR="0021177B" w:rsidRPr="00746DDB" w14:paraId="6CF15B16" w14:textId="77777777" w:rsidTr="009E3B2F">
        <w:trPr>
          <w:trHeight w:val="469"/>
        </w:trPr>
        <w:tc>
          <w:tcPr>
            <w:tcW w:w="1806" w:type="pct"/>
            <w:gridSpan w:val="4"/>
          </w:tcPr>
          <w:p w14:paraId="7EDE077D" w14:textId="77777777" w:rsidR="0021177B" w:rsidRPr="00746DDB" w:rsidRDefault="0021177B" w:rsidP="009E3B2F">
            <w:pPr>
              <w:contextualSpacing/>
              <w:rPr>
                <w:rFonts w:ascii="Futura Std Condensed Light" w:eastAsia="Calibri" w:hAnsi="Futura Std Condensed Light" w:cs="Calibri"/>
                <w:b/>
                <w:sz w:val="20"/>
                <w:szCs w:val="20"/>
              </w:rPr>
            </w:pPr>
            <w:r w:rsidRPr="00746DDB">
              <w:rPr>
                <w:rFonts w:ascii="Futura Std Condensed Light" w:eastAsia="Calibri" w:hAnsi="Futura Std Condensed Light" w:cs="Calibri"/>
                <w:b/>
                <w:sz w:val="20"/>
                <w:szCs w:val="20"/>
              </w:rPr>
              <w:t>Línea de acción:</w:t>
            </w:r>
          </w:p>
        </w:tc>
        <w:tc>
          <w:tcPr>
            <w:tcW w:w="3194" w:type="pct"/>
            <w:gridSpan w:val="7"/>
          </w:tcPr>
          <w:p w14:paraId="26D24D6F" w14:textId="77777777" w:rsidR="0021177B" w:rsidRPr="00746DDB" w:rsidRDefault="0021177B" w:rsidP="009E3B2F">
            <w:pPr>
              <w:spacing w:after="160" w:line="259" w:lineRule="auto"/>
              <w:contextualSpacing/>
              <w:rPr>
                <w:rFonts w:ascii="Futura Std Condensed Light" w:eastAsia="Calibri" w:hAnsi="Futura Std Condensed Light" w:cs="Calibri"/>
                <w:sz w:val="20"/>
                <w:szCs w:val="20"/>
              </w:rPr>
            </w:pPr>
            <w:r w:rsidRPr="00746DDB">
              <w:rPr>
                <w:rFonts w:ascii="Futura Std Condensed Light" w:eastAsia="Calibri" w:hAnsi="Futura Std Condensed Light" w:cs="Calibri"/>
                <w:sz w:val="20"/>
                <w:szCs w:val="20"/>
              </w:rPr>
              <w:t>16.  Coordinar el programa de certificación de educación básica para jóvenes, adultos y adultos mayores en rezago educativo (IEEA).</w:t>
            </w:r>
          </w:p>
        </w:tc>
      </w:tr>
      <w:tr w:rsidR="0021177B" w:rsidRPr="00746DDB" w14:paraId="28540E9A" w14:textId="77777777" w:rsidTr="009E3B2F">
        <w:trPr>
          <w:trHeight w:val="484"/>
        </w:trPr>
        <w:tc>
          <w:tcPr>
            <w:tcW w:w="1806" w:type="pct"/>
            <w:gridSpan w:val="4"/>
          </w:tcPr>
          <w:p w14:paraId="02404AF0" w14:textId="77777777" w:rsidR="0021177B" w:rsidRPr="00746DDB" w:rsidRDefault="0021177B" w:rsidP="009E3B2F">
            <w:pPr>
              <w:contextualSpacing/>
              <w:rPr>
                <w:rFonts w:ascii="Futura Std Condensed Light" w:eastAsia="Calibri" w:hAnsi="Futura Std Condensed Light" w:cs="Calibri"/>
                <w:b/>
                <w:sz w:val="20"/>
                <w:szCs w:val="20"/>
              </w:rPr>
            </w:pPr>
            <w:r w:rsidRPr="00746DDB">
              <w:rPr>
                <w:rFonts w:ascii="Futura Std Condensed Light" w:eastAsia="Calibri" w:hAnsi="Futura Std Condensed Light" w:cs="Calibri"/>
                <w:b/>
                <w:sz w:val="20"/>
                <w:szCs w:val="20"/>
              </w:rPr>
              <w:t>Plan Estratégico Objetivo Especifico</w:t>
            </w:r>
          </w:p>
        </w:tc>
        <w:tc>
          <w:tcPr>
            <w:tcW w:w="3194" w:type="pct"/>
            <w:gridSpan w:val="7"/>
          </w:tcPr>
          <w:p w14:paraId="77879B0C" w14:textId="77777777" w:rsidR="0021177B" w:rsidRPr="00746DDB" w:rsidRDefault="0021177B" w:rsidP="009E3B2F">
            <w:pPr>
              <w:contextualSpacing/>
              <w:rPr>
                <w:rFonts w:ascii="Futura Std Condensed Light" w:eastAsia="Calibri" w:hAnsi="Futura Std Condensed Light" w:cs="Calibri"/>
                <w:sz w:val="20"/>
                <w:szCs w:val="20"/>
              </w:rPr>
            </w:pPr>
            <w:r w:rsidRPr="00746DDB">
              <w:rPr>
                <w:rFonts w:ascii="Futura Std Condensed Light" w:eastAsia="Calibri" w:hAnsi="Futura Std Condensed Light" w:cs="Calibri"/>
                <w:sz w:val="20"/>
                <w:szCs w:val="20"/>
              </w:rPr>
              <w:t>Disminuir la desigualdad en sus diversas formas </w:t>
            </w:r>
          </w:p>
        </w:tc>
      </w:tr>
      <w:tr w:rsidR="0021177B" w:rsidRPr="00746DDB" w14:paraId="4FC20006" w14:textId="77777777" w:rsidTr="009E3B2F">
        <w:trPr>
          <w:trHeight w:val="484"/>
        </w:trPr>
        <w:tc>
          <w:tcPr>
            <w:tcW w:w="1208" w:type="pct"/>
            <w:gridSpan w:val="2"/>
          </w:tcPr>
          <w:p w14:paraId="3BC10270" w14:textId="77777777" w:rsidR="0021177B" w:rsidRPr="00746DDB" w:rsidRDefault="0021177B" w:rsidP="009E3B2F">
            <w:pPr>
              <w:rPr>
                <w:rFonts w:ascii="Futura Std Condensed Light" w:eastAsia="Calibri" w:hAnsi="Futura Std Condensed Light" w:cs="Calibri"/>
                <w:b/>
                <w:sz w:val="20"/>
                <w:szCs w:val="20"/>
              </w:rPr>
            </w:pPr>
            <w:r w:rsidRPr="00746DDB">
              <w:rPr>
                <w:rFonts w:ascii="Futura Std Condensed Light" w:eastAsia="Calibri" w:hAnsi="Futura Std Condensed Light" w:cs="Calibri"/>
                <w:b/>
                <w:sz w:val="20"/>
                <w:szCs w:val="20"/>
              </w:rPr>
              <w:t>Entregable:</w:t>
            </w:r>
          </w:p>
        </w:tc>
        <w:tc>
          <w:tcPr>
            <w:tcW w:w="958" w:type="pct"/>
            <w:gridSpan w:val="3"/>
          </w:tcPr>
          <w:p w14:paraId="76874A04" w14:textId="77777777" w:rsidR="0021177B" w:rsidRPr="00746DDB" w:rsidRDefault="0021177B" w:rsidP="009E3B2F">
            <w:pPr>
              <w:rPr>
                <w:rFonts w:ascii="Futura Std Condensed Light" w:eastAsia="Calibri" w:hAnsi="Futura Std Condensed Light" w:cs="Calibri"/>
                <w:sz w:val="20"/>
                <w:szCs w:val="20"/>
              </w:rPr>
            </w:pPr>
            <w:r w:rsidRPr="00746DDB">
              <w:rPr>
                <w:rFonts w:ascii="Futura Std Condensed Light" w:eastAsia="Calibri" w:hAnsi="Futura Std Condensed Light" w:cs="Calibri"/>
                <w:sz w:val="20"/>
                <w:szCs w:val="20"/>
              </w:rPr>
              <w:t>Personas que concluyen nivel educativo</w:t>
            </w:r>
          </w:p>
        </w:tc>
        <w:tc>
          <w:tcPr>
            <w:tcW w:w="1265" w:type="pct"/>
            <w:gridSpan w:val="4"/>
          </w:tcPr>
          <w:p w14:paraId="3F2F78A9" w14:textId="77777777" w:rsidR="0021177B" w:rsidRPr="00746DDB" w:rsidRDefault="0021177B" w:rsidP="009E3B2F">
            <w:pPr>
              <w:contextualSpacing/>
              <w:jc w:val="center"/>
              <w:rPr>
                <w:rFonts w:ascii="Futura Std Condensed Light" w:eastAsia="Calibri" w:hAnsi="Futura Std Condensed Light" w:cs="Calibri"/>
                <w:b/>
                <w:sz w:val="20"/>
                <w:szCs w:val="20"/>
              </w:rPr>
            </w:pPr>
            <w:r w:rsidRPr="00746DDB">
              <w:rPr>
                <w:rFonts w:ascii="Futura Std Condensed Light" w:eastAsia="Calibri" w:hAnsi="Futura Std Condensed Light" w:cs="Calibri"/>
                <w:b/>
                <w:sz w:val="20"/>
                <w:szCs w:val="20"/>
              </w:rPr>
              <w:t>Unidad de Medida:</w:t>
            </w:r>
          </w:p>
        </w:tc>
        <w:tc>
          <w:tcPr>
            <w:tcW w:w="1568" w:type="pct"/>
            <w:gridSpan w:val="2"/>
          </w:tcPr>
          <w:p w14:paraId="1B34B2F4" w14:textId="77777777" w:rsidR="0021177B" w:rsidRPr="00746DDB" w:rsidRDefault="0021177B" w:rsidP="009E3B2F">
            <w:pPr>
              <w:contextualSpacing/>
              <w:rPr>
                <w:rFonts w:ascii="Futura Std Condensed Light" w:eastAsia="Calibri" w:hAnsi="Futura Std Condensed Light" w:cs="Calibri"/>
                <w:sz w:val="20"/>
                <w:szCs w:val="20"/>
              </w:rPr>
            </w:pPr>
            <w:r w:rsidRPr="00746DDB">
              <w:rPr>
                <w:rFonts w:ascii="Futura Std Condensed Light" w:eastAsia="Calibri" w:hAnsi="Futura Std Condensed Light" w:cs="Calibri"/>
                <w:sz w:val="20"/>
                <w:szCs w:val="20"/>
              </w:rPr>
              <w:t>Personas que concluyen nivel</w:t>
            </w:r>
          </w:p>
        </w:tc>
      </w:tr>
      <w:tr w:rsidR="0021177B" w:rsidRPr="00746DDB" w14:paraId="25F732A6" w14:textId="77777777" w:rsidTr="009E3B2F">
        <w:trPr>
          <w:trHeight w:val="449"/>
        </w:trPr>
        <w:tc>
          <w:tcPr>
            <w:tcW w:w="1208" w:type="pct"/>
            <w:gridSpan w:val="2"/>
          </w:tcPr>
          <w:p w14:paraId="6087C7A9" w14:textId="77777777" w:rsidR="0021177B" w:rsidRPr="00746DDB" w:rsidRDefault="0021177B" w:rsidP="009E3B2F">
            <w:pPr>
              <w:contextualSpacing/>
              <w:rPr>
                <w:rFonts w:ascii="Futura Std Condensed Light" w:eastAsia="Calibri" w:hAnsi="Futura Std Condensed Light" w:cs="Calibri"/>
                <w:b/>
                <w:sz w:val="20"/>
                <w:szCs w:val="20"/>
              </w:rPr>
            </w:pPr>
            <w:r w:rsidRPr="00746DDB">
              <w:rPr>
                <w:rFonts w:ascii="Futura Std Condensed Light" w:eastAsia="Calibri" w:hAnsi="Futura Std Condensed Light" w:cs="Calibri"/>
                <w:b/>
                <w:sz w:val="20"/>
                <w:szCs w:val="20"/>
              </w:rPr>
              <w:t>Descripción:</w:t>
            </w:r>
          </w:p>
        </w:tc>
        <w:tc>
          <w:tcPr>
            <w:tcW w:w="3792" w:type="pct"/>
            <w:gridSpan w:val="9"/>
          </w:tcPr>
          <w:p w14:paraId="5403844C" w14:textId="77777777" w:rsidR="0021177B" w:rsidRPr="00746DDB" w:rsidRDefault="0021177B" w:rsidP="009E3B2F">
            <w:pPr>
              <w:contextualSpacing/>
              <w:rPr>
                <w:rFonts w:ascii="Futura Std Condensed Light" w:eastAsia="Calibri" w:hAnsi="Futura Std Condensed Light" w:cs="Calibri"/>
                <w:sz w:val="20"/>
                <w:szCs w:val="20"/>
              </w:rPr>
            </w:pPr>
            <w:r w:rsidRPr="00746DDB">
              <w:rPr>
                <w:rFonts w:ascii="Futura Std Condensed Light" w:eastAsia="Calibri" w:hAnsi="Futura Std Condensed Light" w:cs="Calibri"/>
                <w:sz w:val="20"/>
                <w:szCs w:val="20"/>
              </w:rPr>
              <w:t>Personas que concluyen nivel inicial, intermedio o avanzado en el sistema educativo del Instituto.</w:t>
            </w:r>
          </w:p>
        </w:tc>
      </w:tr>
      <w:tr w:rsidR="0021177B" w:rsidRPr="00746DDB" w14:paraId="0D310E18" w14:textId="77777777" w:rsidTr="009E3B2F">
        <w:trPr>
          <w:trHeight w:val="484"/>
        </w:trPr>
        <w:tc>
          <w:tcPr>
            <w:tcW w:w="1806" w:type="pct"/>
            <w:gridSpan w:val="4"/>
          </w:tcPr>
          <w:p w14:paraId="175ED862" w14:textId="77777777" w:rsidR="0021177B" w:rsidRPr="00746DDB" w:rsidRDefault="0021177B" w:rsidP="009E3B2F">
            <w:pPr>
              <w:contextualSpacing/>
              <w:rPr>
                <w:rFonts w:ascii="Futura Std Condensed Light" w:eastAsia="Calibri" w:hAnsi="Futura Std Condensed Light" w:cs="Calibri"/>
                <w:b/>
                <w:sz w:val="20"/>
                <w:szCs w:val="20"/>
              </w:rPr>
            </w:pPr>
            <w:r w:rsidRPr="00746DDB">
              <w:rPr>
                <w:rFonts w:ascii="Futura Std Condensed Light" w:eastAsia="Calibri" w:hAnsi="Futura Std Condensed Light" w:cs="Calibri"/>
                <w:b/>
                <w:sz w:val="20"/>
                <w:szCs w:val="20"/>
              </w:rPr>
              <w:t>Medio de verificación:</w:t>
            </w:r>
          </w:p>
        </w:tc>
        <w:tc>
          <w:tcPr>
            <w:tcW w:w="3194" w:type="pct"/>
            <w:gridSpan w:val="7"/>
          </w:tcPr>
          <w:p w14:paraId="2C9FE56B" w14:textId="77777777" w:rsidR="0021177B" w:rsidRPr="00746DDB" w:rsidRDefault="0021177B" w:rsidP="009E3B2F">
            <w:pPr>
              <w:rPr>
                <w:rFonts w:ascii="Futura Std Condensed Light" w:eastAsia="Calibri" w:hAnsi="Futura Std Condensed Light" w:cs="Calibri"/>
                <w:sz w:val="20"/>
                <w:szCs w:val="20"/>
              </w:rPr>
            </w:pPr>
            <w:r w:rsidRPr="00746DDB">
              <w:rPr>
                <w:rFonts w:ascii="Futura Std Condensed Light" w:eastAsia="Calibri" w:hAnsi="Futura Std Condensed Light" w:cs="Calibri"/>
                <w:sz w:val="20"/>
                <w:szCs w:val="20"/>
              </w:rPr>
              <w:t>INEA, http://200.77.230.29:8084/INEANumeros/</w:t>
            </w:r>
          </w:p>
        </w:tc>
      </w:tr>
      <w:tr w:rsidR="0021177B" w:rsidRPr="00746DDB" w14:paraId="04034285" w14:textId="77777777" w:rsidTr="009E3B2F">
        <w:trPr>
          <w:trHeight w:val="484"/>
        </w:trPr>
        <w:tc>
          <w:tcPr>
            <w:tcW w:w="1806" w:type="pct"/>
            <w:gridSpan w:val="4"/>
          </w:tcPr>
          <w:p w14:paraId="2DF6687D" w14:textId="77777777" w:rsidR="0021177B" w:rsidRPr="00746DDB" w:rsidRDefault="0021177B" w:rsidP="009E3B2F">
            <w:pPr>
              <w:contextualSpacing/>
              <w:rPr>
                <w:rFonts w:ascii="Futura Std Condensed Light" w:eastAsia="Calibri" w:hAnsi="Futura Std Condensed Light" w:cs="Calibri"/>
                <w:b/>
                <w:sz w:val="20"/>
                <w:szCs w:val="20"/>
              </w:rPr>
            </w:pPr>
            <w:r w:rsidRPr="00746DDB">
              <w:rPr>
                <w:rFonts w:ascii="Futura Std Condensed Light" w:eastAsia="Calibri" w:hAnsi="Futura Std Condensed Light" w:cs="Calibri"/>
                <w:b/>
                <w:sz w:val="20"/>
                <w:szCs w:val="20"/>
              </w:rPr>
              <w:t>Línea base:</w:t>
            </w:r>
          </w:p>
        </w:tc>
        <w:tc>
          <w:tcPr>
            <w:tcW w:w="904" w:type="pct"/>
            <w:gridSpan w:val="3"/>
          </w:tcPr>
          <w:p w14:paraId="61135EF9" w14:textId="77777777" w:rsidR="0021177B" w:rsidRPr="00746DDB" w:rsidRDefault="0021177B" w:rsidP="009E3B2F">
            <w:pPr>
              <w:contextualSpacing/>
              <w:rPr>
                <w:rFonts w:ascii="Futura Std Condensed Light" w:eastAsia="Calibri" w:hAnsi="Futura Std Condensed Light" w:cs="Calibri"/>
                <w:sz w:val="20"/>
                <w:szCs w:val="20"/>
              </w:rPr>
            </w:pPr>
            <w:r w:rsidRPr="00746DDB">
              <w:rPr>
                <w:rFonts w:ascii="Futura Std Condensed Light" w:eastAsia="Calibri" w:hAnsi="Futura Std Condensed Light" w:cs="Calibri"/>
                <w:sz w:val="20"/>
                <w:szCs w:val="20"/>
              </w:rPr>
              <w:t>21,517</w:t>
            </w:r>
          </w:p>
        </w:tc>
        <w:tc>
          <w:tcPr>
            <w:tcW w:w="723" w:type="pct"/>
            <w:gridSpan w:val="2"/>
          </w:tcPr>
          <w:p w14:paraId="3F2F4EF3" w14:textId="77777777" w:rsidR="0021177B" w:rsidRPr="00746DDB" w:rsidRDefault="0021177B" w:rsidP="009E3B2F">
            <w:pPr>
              <w:contextualSpacing/>
              <w:jc w:val="center"/>
              <w:rPr>
                <w:rFonts w:ascii="Futura Std Condensed Light" w:eastAsia="Calibri" w:hAnsi="Futura Std Condensed Light" w:cs="Calibri"/>
                <w:b/>
                <w:sz w:val="20"/>
                <w:szCs w:val="20"/>
              </w:rPr>
            </w:pPr>
            <w:r w:rsidRPr="00746DDB">
              <w:rPr>
                <w:rFonts w:ascii="Futura Std Condensed Light" w:eastAsia="Calibri" w:hAnsi="Futura Std Condensed Light" w:cs="Calibri"/>
                <w:b/>
                <w:sz w:val="20"/>
                <w:szCs w:val="20"/>
              </w:rPr>
              <w:t>Año de línea base:</w:t>
            </w:r>
          </w:p>
        </w:tc>
        <w:tc>
          <w:tcPr>
            <w:tcW w:w="1568" w:type="pct"/>
            <w:gridSpan w:val="2"/>
          </w:tcPr>
          <w:p w14:paraId="14F4879D" w14:textId="77777777" w:rsidR="0021177B" w:rsidRPr="00746DDB" w:rsidRDefault="0021177B" w:rsidP="009E3B2F">
            <w:pPr>
              <w:contextualSpacing/>
              <w:rPr>
                <w:rFonts w:ascii="Futura Std Condensed Light" w:eastAsia="Calibri" w:hAnsi="Futura Std Condensed Light" w:cs="Calibri"/>
                <w:sz w:val="20"/>
                <w:szCs w:val="20"/>
              </w:rPr>
            </w:pPr>
            <w:r w:rsidRPr="00746DDB">
              <w:rPr>
                <w:rFonts w:ascii="Futura Std Condensed Light" w:eastAsia="Calibri" w:hAnsi="Futura Std Condensed Light" w:cs="Calibri"/>
                <w:sz w:val="20"/>
                <w:szCs w:val="20"/>
              </w:rPr>
              <w:t>2016</w:t>
            </w:r>
          </w:p>
        </w:tc>
      </w:tr>
      <w:tr w:rsidR="0021177B" w:rsidRPr="00746DDB" w14:paraId="6398670C" w14:textId="77777777" w:rsidTr="009E3B2F">
        <w:trPr>
          <w:trHeight w:val="484"/>
        </w:trPr>
        <w:tc>
          <w:tcPr>
            <w:tcW w:w="1806" w:type="pct"/>
            <w:gridSpan w:val="4"/>
          </w:tcPr>
          <w:p w14:paraId="0C1B8970" w14:textId="77777777" w:rsidR="0021177B" w:rsidRPr="00746DDB" w:rsidRDefault="0021177B" w:rsidP="009E3B2F">
            <w:pPr>
              <w:contextualSpacing/>
              <w:rPr>
                <w:rFonts w:ascii="Futura Std Condensed Light" w:eastAsia="Calibri" w:hAnsi="Futura Std Condensed Light" w:cs="Calibri"/>
                <w:b/>
                <w:sz w:val="20"/>
                <w:szCs w:val="20"/>
              </w:rPr>
            </w:pPr>
            <w:r w:rsidRPr="00746DDB">
              <w:rPr>
                <w:rFonts w:ascii="Futura Std Condensed Light" w:eastAsia="Calibri" w:hAnsi="Futura Std Condensed Light" w:cs="Calibri"/>
                <w:b/>
                <w:sz w:val="20"/>
                <w:szCs w:val="20"/>
              </w:rPr>
              <w:t>Contribución Directa al Objetivo de la Agenda 2030</w:t>
            </w:r>
          </w:p>
        </w:tc>
        <w:tc>
          <w:tcPr>
            <w:tcW w:w="3194" w:type="pct"/>
            <w:gridSpan w:val="7"/>
          </w:tcPr>
          <w:p w14:paraId="17744C1B" w14:textId="77777777" w:rsidR="0021177B" w:rsidRPr="00746DDB" w:rsidRDefault="0021177B" w:rsidP="009E3B2F">
            <w:pPr>
              <w:contextualSpacing/>
              <w:rPr>
                <w:rFonts w:ascii="Futura Std Condensed Light" w:eastAsia="Calibri" w:hAnsi="Futura Std Condensed Light" w:cs="Calibri"/>
                <w:sz w:val="20"/>
                <w:szCs w:val="20"/>
              </w:rPr>
            </w:pPr>
            <w:r w:rsidRPr="00746DDB">
              <w:rPr>
                <w:rFonts w:ascii="Futura Std Condensed Light" w:eastAsia="Calibri" w:hAnsi="Futura Std Condensed Light" w:cs="Calibri"/>
                <w:sz w:val="20"/>
                <w:szCs w:val="20"/>
              </w:rPr>
              <w:t>Garantizar una educación inclusiva, equitativa y de calidad y promover oportunidades de aprendizaje durante toda la vida para todos</w:t>
            </w:r>
          </w:p>
        </w:tc>
      </w:tr>
      <w:tr w:rsidR="0021177B" w:rsidRPr="00746DDB" w14:paraId="7E703BDB" w14:textId="77777777" w:rsidTr="009E3B2F">
        <w:trPr>
          <w:trHeight w:val="484"/>
        </w:trPr>
        <w:tc>
          <w:tcPr>
            <w:tcW w:w="1806" w:type="pct"/>
            <w:gridSpan w:val="4"/>
          </w:tcPr>
          <w:p w14:paraId="68B61CE3" w14:textId="77777777" w:rsidR="0021177B" w:rsidRPr="00746DDB" w:rsidRDefault="0021177B" w:rsidP="009E3B2F">
            <w:pPr>
              <w:contextualSpacing/>
              <w:rPr>
                <w:rFonts w:ascii="Futura Std Condensed Light" w:eastAsia="Calibri" w:hAnsi="Futura Std Condensed Light" w:cs="Calibri"/>
                <w:b/>
                <w:sz w:val="20"/>
                <w:szCs w:val="20"/>
              </w:rPr>
            </w:pPr>
            <w:r w:rsidRPr="00746DDB">
              <w:rPr>
                <w:rFonts w:ascii="Futura Std Condensed Light" w:eastAsia="Calibri" w:hAnsi="Futura Std Condensed Light" w:cs="Calibri"/>
                <w:b/>
                <w:sz w:val="20"/>
                <w:szCs w:val="20"/>
              </w:rPr>
              <w:t>Contribución Directa  a la Meta de la Agenda 2030</w:t>
            </w:r>
          </w:p>
        </w:tc>
        <w:tc>
          <w:tcPr>
            <w:tcW w:w="3194" w:type="pct"/>
            <w:gridSpan w:val="7"/>
          </w:tcPr>
          <w:p w14:paraId="2D7F0F07" w14:textId="77777777" w:rsidR="0021177B" w:rsidRPr="00746DDB" w:rsidRDefault="0021177B" w:rsidP="009E3B2F">
            <w:pPr>
              <w:contextualSpacing/>
              <w:rPr>
                <w:rFonts w:ascii="Futura Std Condensed Light" w:eastAsia="Calibri" w:hAnsi="Futura Std Condensed Light" w:cs="Calibri"/>
                <w:sz w:val="20"/>
                <w:szCs w:val="20"/>
              </w:rPr>
            </w:pPr>
            <w:r w:rsidRPr="00746DDB">
              <w:rPr>
                <w:rFonts w:ascii="Futura Std Condensed Light" w:eastAsia="Calibri" w:hAnsi="Futura Std Condensed Light" w:cs="Calibri"/>
                <w:sz w:val="20"/>
                <w:szCs w:val="20"/>
              </w:rPr>
              <w:t>De aquí a 2030, asegurar que todos los jóvenes y una proporción considerable de los adultos, tanto hombres como mujeres, estén alfabetizados y tengan nociones elementales de aritmética</w:t>
            </w:r>
          </w:p>
        </w:tc>
      </w:tr>
      <w:tr w:rsidR="0021177B" w:rsidRPr="00746DDB" w14:paraId="44861AA0" w14:textId="77777777" w:rsidTr="009E3B2F">
        <w:trPr>
          <w:trHeight w:val="484"/>
        </w:trPr>
        <w:tc>
          <w:tcPr>
            <w:tcW w:w="1806" w:type="pct"/>
            <w:gridSpan w:val="4"/>
          </w:tcPr>
          <w:p w14:paraId="32B5493B" w14:textId="77777777" w:rsidR="0021177B" w:rsidRPr="00746DDB" w:rsidRDefault="0021177B" w:rsidP="009E3B2F">
            <w:pPr>
              <w:contextualSpacing/>
              <w:rPr>
                <w:rFonts w:ascii="Futura Std Condensed Light" w:eastAsia="Calibri" w:hAnsi="Futura Std Condensed Light" w:cs="Calibri"/>
                <w:b/>
                <w:sz w:val="20"/>
                <w:szCs w:val="20"/>
              </w:rPr>
            </w:pPr>
            <w:r w:rsidRPr="00746DDB">
              <w:rPr>
                <w:rFonts w:ascii="Futura Std Condensed Light" w:eastAsia="Calibri" w:hAnsi="Futura Std Condensed Light" w:cs="Calibri"/>
                <w:b/>
                <w:sz w:val="20"/>
                <w:szCs w:val="20"/>
              </w:rPr>
              <w:t>Tema / Proyecto Prioritario de Quintana Roo</w:t>
            </w:r>
          </w:p>
        </w:tc>
        <w:tc>
          <w:tcPr>
            <w:tcW w:w="3194" w:type="pct"/>
            <w:gridSpan w:val="7"/>
          </w:tcPr>
          <w:p w14:paraId="6FC71BE5" w14:textId="77777777" w:rsidR="0021177B" w:rsidRPr="00746DDB" w:rsidRDefault="0021177B" w:rsidP="009E3B2F">
            <w:pPr>
              <w:contextualSpacing/>
              <w:rPr>
                <w:rFonts w:ascii="Futura Std Condensed Light" w:eastAsia="Calibri" w:hAnsi="Futura Std Condensed Light" w:cs="Calibri"/>
                <w:sz w:val="20"/>
                <w:szCs w:val="20"/>
              </w:rPr>
            </w:pPr>
            <w:r w:rsidRPr="00746DDB">
              <w:rPr>
                <w:rFonts w:ascii="Futura Std Condensed Light" w:eastAsia="Calibri" w:hAnsi="Futura Std Condensed Light" w:cs="Calibri"/>
                <w:sz w:val="20"/>
                <w:szCs w:val="20"/>
              </w:rPr>
              <w:t>24.5 Abatir el rezago educativo</w:t>
            </w:r>
          </w:p>
        </w:tc>
      </w:tr>
      <w:tr w:rsidR="0021177B" w:rsidRPr="00746DDB" w14:paraId="43F279BE" w14:textId="77777777" w:rsidTr="009E3B2F">
        <w:trPr>
          <w:trHeight w:val="484"/>
        </w:trPr>
        <w:tc>
          <w:tcPr>
            <w:tcW w:w="1806" w:type="pct"/>
            <w:gridSpan w:val="4"/>
          </w:tcPr>
          <w:p w14:paraId="67B83E78" w14:textId="77777777" w:rsidR="0021177B" w:rsidRPr="00746DDB" w:rsidRDefault="0021177B" w:rsidP="009E3B2F">
            <w:pPr>
              <w:contextualSpacing/>
              <w:rPr>
                <w:rFonts w:ascii="Futura Std Condensed Light" w:eastAsia="Calibri" w:hAnsi="Futura Std Condensed Light" w:cs="Calibri"/>
                <w:b/>
                <w:sz w:val="20"/>
                <w:szCs w:val="20"/>
              </w:rPr>
            </w:pPr>
            <w:r w:rsidRPr="00746DDB">
              <w:rPr>
                <w:rFonts w:ascii="Futura Std Condensed Light" w:eastAsia="Calibri" w:hAnsi="Futura Std Condensed Light" w:cs="Calibri"/>
                <w:b/>
                <w:sz w:val="20"/>
                <w:szCs w:val="20"/>
              </w:rPr>
              <w:t>Subtema Prioritario de Quintana Roo</w:t>
            </w:r>
          </w:p>
        </w:tc>
        <w:tc>
          <w:tcPr>
            <w:tcW w:w="3194" w:type="pct"/>
            <w:gridSpan w:val="7"/>
          </w:tcPr>
          <w:p w14:paraId="22417356" w14:textId="77777777" w:rsidR="0021177B" w:rsidRPr="00746DDB" w:rsidRDefault="0021177B" w:rsidP="009E3B2F">
            <w:pPr>
              <w:contextualSpacing/>
              <w:rPr>
                <w:rFonts w:ascii="Futura Std Condensed Light" w:eastAsia="Calibri" w:hAnsi="Futura Std Condensed Light" w:cs="Calibri"/>
                <w:sz w:val="20"/>
                <w:szCs w:val="20"/>
              </w:rPr>
            </w:pPr>
            <w:r w:rsidRPr="00746DDB">
              <w:rPr>
                <w:rFonts w:ascii="Futura Std Condensed Light" w:eastAsia="Calibri" w:hAnsi="Futura Std Condensed Light" w:cs="Calibri"/>
                <w:sz w:val="20"/>
                <w:szCs w:val="20"/>
              </w:rPr>
              <w:t>N/A</w:t>
            </w:r>
          </w:p>
        </w:tc>
      </w:tr>
      <w:tr w:rsidR="0021177B" w:rsidRPr="00746DDB" w14:paraId="3D77AD73" w14:textId="77777777" w:rsidTr="009E3B2F">
        <w:trPr>
          <w:trHeight w:val="484"/>
        </w:trPr>
        <w:tc>
          <w:tcPr>
            <w:tcW w:w="5000" w:type="pct"/>
            <w:gridSpan w:val="11"/>
          </w:tcPr>
          <w:p w14:paraId="48353D26" w14:textId="77777777" w:rsidR="0021177B" w:rsidRPr="00746DDB" w:rsidRDefault="0021177B" w:rsidP="009E3B2F">
            <w:pPr>
              <w:contextualSpacing/>
              <w:jc w:val="center"/>
              <w:rPr>
                <w:rFonts w:ascii="Futura Std Condensed Light" w:eastAsia="Calibri" w:hAnsi="Futura Std Condensed Light" w:cs="Calibri"/>
                <w:b/>
                <w:sz w:val="20"/>
                <w:szCs w:val="20"/>
              </w:rPr>
            </w:pPr>
            <w:r w:rsidRPr="00746DDB">
              <w:rPr>
                <w:rFonts w:ascii="Futura Std Condensed Light" w:eastAsia="Calibri" w:hAnsi="Futura Std Condensed Light" w:cs="Calibri"/>
                <w:b/>
                <w:sz w:val="20"/>
                <w:szCs w:val="20"/>
              </w:rPr>
              <w:t>Meta Total:</w:t>
            </w:r>
          </w:p>
        </w:tc>
      </w:tr>
      <w:tr w:rsidR="0021177B" w:rsidRPr="00746DDB" w14:paraId="5D667B36" w14:textId="77777777" w:rsidTr="009E3B2F">
        <w:trPr>
          <w:trHeight w:val="484"/>
        </w:trPr>
        <w:tc>
          <w:tcPr>
            <w:tcW w:w="781" w:type="pct"/>
          </w:tcPr>
          <w:p w14:paraId="3345FC08" w14:textId="77777777" w:rsidR="0021177B" w:rsidRPr="00746DDB" w:rsidRDefault="0021177B" w:rsidP="009E3B2F">
            <w:pPr>
              <w:contextualSpacing/>
              <w:jc w:val="center"/>
              <w:rPr>
                <w:rFonts w:ascii="Futura Std Condensed Light" w:eastAsia="Calibri" w:hAnsi="Futura Std Condensed Light" w:cs="Calibri"/>
                <w:b/>
                <w:sz w:val="20"/>
                <w:szCs w:val="20"/>
              </w:rPr>
            </w:pPr>
            <w:r w:rsidRPr="00746DDB">
              <w:rPr>
                <w:rFonts w:ascii="Futura Std Condensed Light" w:eastAsia="Calibri" w:hAnsi="Futura Std Condensed Light" w:cs="Calibri"/>
                <w:b/>
                <w:sz w:val="20"/>
                <w:szCs w:val="20"/>
              </w:rPr>
              <w:t>2017</w:t>
            </w:r>
          </w:p>
        </w:tc>
        <w:tc>
          <w:tcPr>
            <w:tcW w:w="783" w:type="pct"/>
            <w:gridSpan w:val="2"/>
          </w:tcPr>
          <w:p w14:paraId="1EE27DEC" w14:textId="77777777" w:rsidR="0021177B" w:rsidRPr="00746DDB" w:rsidRDefault="0021177B" w:rsidP="009E3B2F">
            <w:pPr>
              <w:contextualSpacing/>
              <w:jc w:val="center"/>
              <w:rPr>
                <w:rFonts w:ascii="Futura Std Condensed Light" w:eastAsia="Calibri" w:hAnsi="Futura Std Condensed Light" w:cs="Calibri"/>
                <w:b/>
                <w:sz w:val="20"/>
                <w:szCs w:val="20"/>
              </w:rPr>
            </w:pPr>
            <w:r w:rsidRPr="00746DDB">
              <w:rPr>
                <w:rFonts w:ascii="Futura Std Condensed Light" w:eastAsia="Calibri" w:hAnsi="Futura Std Condensed Light" w:cs="Calibri"/>
                <w:b/>
                <w:sz w:val="20"/>
                <w:szCs w:val="20"/>
              </w:rPr>
              <w:t>2018</w:t>
            </w:r>
          </w:p>
        </w:tc>
        <w:tc>
          <w:tcPr>
            <w:tcW w:w="904" w:type="pct"/>
            <w:gridSpan w:val="3"/>
          </w:tcPr>
          <w:p w14:paraId="7205975B" w14:textId="77777777" w:rsidR="0021177B" w:rsidRPr="00746DDB" w:rsidRDefault="0021177B" w:rsidP="009E3B2F">
            <w:pPr>
              <w:contextualSpacing/>
              <w:jc w:val="center"/>
              <w:rPr>
                <w:rFonts w:ascii="Futura Std Condensed Light" w:eastAsia="Calibri" w:hAnsi="Futura Std Condensed Light" w:cs="Calibri"/>
                <w:b/>
                <w:sz w:val="20"/>
                <w:szCs w:val="20"/>
              </w:rPr>
            </w:pPr>
            <w:r w:rsidRPr="00746DDB">
              <w:rPr>
                <w:rFonts w:ascii="Futura Std Condensed Light" w:eastAsia="Calibri" w:hAnsi="Futura Std Condensed Light" w:cs="Calibri"/>
                <w:b/>
                <w:sz w:val="20"/>
                <w:szCs w:val="20"/>
              </w:rPr>
              <w:t>2019</w:t>
            </w:r>
          </w:p>
        </w:tc>
        <w:tc>
          <w:tcPr>
            <w:tcW w:w="723" w:type="pct"/>
            <w:gridSpan w:val="2"/>
          </w:tcPr>
          <w:p w14:paraId="5B8C68FB" w14:textId="77777777" w:rsidR="0021177B" w:rsidRPr="00746DDB" w:rsidRDefault="0021177B" w:rsidP="009E3B2F">
            <w:pPr>
              <w:contextualSpacing/>
              <w:jc w:val="center"/>
              <w:rPr>
                <w:rFonts w:ascii="Futura Std Condensed Light" w:eastAsia="Calibri" w:hAnsi="Futura Std Condensed Light" w:cs="Calibri"/>
                <w:b/>
                <w:sz w:val="20"/>
                <w:szCs w:val="20"/>
              </w:rPr>
            </w:pPr>
            <w:r w:rsidRPr="00746DDB">
              <w:rPr>
                <w:rFonts w:ascii="Futura Std Condensed Light" w:eastAsia="Calibri" w:hAnsi="Futura Std Condensed Light" w:cs="Calibri"/>
                <w:b/>
                <w:sz w:val="20"/>
                <w:szCs w:val="20"/>
              </w:rPr>
              <w:t>2020</w:t>
            </w:r>
          </w:p>
        </w:tc>
        <w:tc>
          <w:tcPr>
            <w:tcW w:w="963" w:type="pct"/>
            <w:gridSpan w:val="2"/>
          </w:tcPr>
          <w:p w14:paraId="34A446D1" w14:textId="77777777" w:rsidR="0021177B" w:rsidRPr="00746DDB" w:rsidRDefault="0021177B" w:rsidP="009E3B2F">
            <w:pPr>
              <w:contextualSpacing/>
              <w:jc w:val="center"/>
              <w:rPr>
                <w:rFonts w:ascii="Futura Std Condensed Light" w:eastAsia="Calibri" w:hAnsi="Futura Std Condensed Light" w:cs="Calibri"/>
                <w:b/>
                <w:sz w:val="20"/>
                <w:szCs w:val="20"/>
              </w:rPr>
            </w:pPr>
            <w:r w:rsidRPr="00746DDB">
              <w:rPr>
                <w:rFonts w:ascii="Futura Std Condensed Light" w:eastAsia="Calibri" w:hAnsi="Futura Std Condensed Light" w:cs="Calibri"/>
                <w:b/>
                <w:sz w:val="20"/>
                <w:szCs w:val="20"/>
              </w:rPr>
              <w:t>2021</w:t>
            </w:r>
          </w:p>
        </w:tc>
        <w:tc>
          <w:tcPr>
            <w:tcW w:w="846" w:type="pct"/>
          </w:tcPr>
          <w:p w14:paraId="1D3D8D67" w14:textId="77777777" w:rsidR="0021177B" w:rsidRPr="00746DDB" w:rsidRDefault="0021177B" w:rsidP="009E3B2F">
            <w:pPr>
              <w:contextualSpacing/>
              <w:jc w:val="center"/>
              <w:rPr>
                <w:rFonts w:ascii="Futura Std Condensed Light" w:eastAsia="Calibri" w:hAnsi="Futura Std Condensed Light" w:cs="Calibri"/>
                <w:b/>
                <w:sz w:val="20"/>
                <w:szCs w:val="20"/>
              </w:rPr>
            </w:pPr>
            <w:r w:rsidRPr="00746DDB">
              <w:rPr>
                <w:rFonts w:ascii="Futura Std Condensed Light" w:eastAsia="Calibri" w:hAnsi="Futura Std Condensed Light" w:cs="Calibri"/>
                <w:b/>
                <w:sz w:val="20"/>
                <w:szCs w:val="20"/>
              </w:rPr>
              <w:t>2022</w:t>
            </w:r>
          </w:p>
        </w:tc>
      </w:tr>
      <w:tr w:rsidR="0021177B" w:rsidRPr="00746DDB" w14:paraId="371025F1" w14:textId="77777777" w:rsidTr="009E3B2F">
        <w:trPr>
          <w:trHeight w:val="484"/>
        </w:trPr>
        <w:tc>
          <w:tcPr>
            <w:tcW w:w="781" w:type="pct"/>
          </w:tcPr>
          <w:p w14:paraId="3F91BBCE" w14:textId="77777777" w:rsidR="0021177B" w:rsidRPr="00746DDB" w:rsidRDefault="0021177B" w:rsidP="009E3B2F">
            <w:pPr>
              <w:jc w:val="center"/>
              <w:rPr>
                <w:rFonts w:ascii="Futura Std Condensed Light" w:eastAsia="Calibri" w:hAnsi="Futura Std Condensed Light" w:cs="Calibri"/>
                <w:sz w:val="20"/>
                <w:szCs w:val="20"/>
              </w:rPr>
            </w:pPr>
            <w:r w:rsidRPr="00746DDB">
              <w:rPr>
                <w:rFonts w:ascii="Futura Std Condensed Light" w:eastAsia="Calibri" w:hAnsi="Futura Std Condensed Light" w:cs="Calibri"/>
                <w:sz w:val="20"/>
                <w:szCs w:val="20"/>
              </w:rPr>
              <w:t>19,448</w:t>
            </w:r>
          </w:p>
        </w:tc>
        <w:tc>
          <w:tcPr>
            <w:tcW w:w="783" w:type="pct"/>
            <w:gridSpan w:val="2"/>
          </w:tcPr>
          <w:p w14:paraId="54DEAAF9" w14:textId="77777777" w:rsidR="0021177B" w:rsidRPr="00746DDB" w:rsidRDefault="0021177B" w:rsidP="009E3B2F">
            <w:pPr>
              <w:jc w:val="center"/>
              <w:rPr>
                <w:rFonts w:ascii="Futura Std Condensed Light" w:eastAsia="Calibri" w:hAnsi="Futura Std Condensed Light" w:cs="Calibri"/>
                <w:sz w:val="20"/>
                <w:szCs w:val="20"/>
              </w:rPr>
            </w:pPr>
            <w:r w:rsidRPr="00746DDB">
              <w:rPr>
                <w:rFonts w:ascii="Futura Std Condensed Light" w:eastAsia="Calibri" w:hAnsi="Futura Std Condensed Light" w:cs="Calibri"/>
                <w:sz w:val="20"/>
                <w:szCs w:val="20"/>
              </w:rPr>
              <w:t>15,317</w:t>
            </w:r>
          </w:p>
        </w:tc>
        <w:tc>
          <w:tcPr>
            <w:tcW w:w="904" w:type="pct"/>
            <w:gridSpan w:val="3"/>
          </w:tcPr>
          <w:p w14:paraId="7D51E3D3" w14:textId="77777777" w:rsidR="0021177B" w:rsidRPr="00746DDB" w:rsidRDefault="0021177B" w:rsidP="009E3B2F">
            <w:pPr>
              <w:jc w:val="center"/>
              <w:rPr>
                <w:rFonts w:ascii="Futura Std Condensed Light" w:eastAsia="Calibri" w:hAnsi="Futura Std Condensed Light" w:cs="Calibri"/>
                <w:sz w:val="20"/>
                <w:szCs w:val="20"/>
              </w:rPr>
            </w:pPr>
            <w:r w:rsidRPr="00746DDB">
              <w:rPr>
                <w:rFonts w:ascii="Futura Std Condensed Light" w:eastAsia="Calibri" w:hAnsi="Futura Std Condensed Light" w:cs="Calibri"/>
                <w:sz w:val="20"/>
                <w:szCs w:val="20"/>
              </w:rPr>
              <w:t>6,080</w:t>
            </w:r>
          </w:p>
        </w:tc>
        <w:tc>
          <w:tcPr>
            <w:tcW w:w="723" w:type="pct"/>
            <w:gridSpan w:val="2"/>
          </w:tcPr>
          <w:p w14:paraId="499E1FE5" w14:textId="77777777" w:rsidR="0021177B" w:rsidRPr="00746DDB" w:rsidRDefault="0021177B" w:rsidP="009E3B2F">
            <w:pPr>
              <w:jc w:val="center"/>
              <w:rPr>
                <w:rFonts w:ascii="Futura Std Condensed Light" w:eastAsia="Calibri" w:hAnsi="Futura Std Condensed Light" w:cs="Calibri"/>
                <w:sz w:val="20"/>
                <w:szCs w:val="20"/>
              </w:rPr>
            </w:pPr>
            <w:r w:rsidRPr="00746DDB">
              <w:rPr>
                <w:rFonts w:ascii="Futura Std Condensed Light" w:eastAsia="Calibri" w:hAnsi="Futura Std Condensed Light" w:cs="Calibri"/>
                <w:sz w:val="20"/>
                <w:szCs w:val="20"/>
              </w:rPr>
              <w:t>7,014</w:t>
            </w:r>
          </w:p>
        </w:tc>
        <w:tc>
          <w:tcPr>
            <w:tcW w:w="963" w:type="pct"/>
            <w:gridSpan w:val="2"/>
          </w:tcPr>
          <w:p w14:paraId="523A72FA" w14:textId="77777777" w:rsidR="0021177B" w:rsidRPr="00746DDB" w:rsidRDefault="0021177B" w:rsidP="009E3B2F">
            <w:pPr>
              <w:jc w:val="center"/>
              <w:rPr>
                <w:rFonts w:ascii="Futura Std Condensed Light" w:eastAsia="Calibri" w:hAnsi="Futura Std Condensed Light" w:cs="Calibri"/>
                <w:sz w:val="20"/>
                <w:szCs w:val="20"/>
              </w:rPr>
            </w:pPr>
            <w:r w:rsidRPr="00746DDB">
              <w:rPr>
                <w:rFonts w:ascii="Futura Std Condensed Light" w:eastAsia="Calibri" w:hAnsi="Futura Std Condensed Light" w:cs="Calibri"/>
                <w:sz w:val="20"/>
                <w:szCs w:val="20"/>
              </w:rPr>
              <w:t>7,154</w:t>
            </w:r>
          </w:p>
        </w:tc>
        <w:tc>
          <w:tcPr>
            <w:tcW w:w="846" w:type="pct"/>
          </w:tcPr>
          <w:p w14:paraId="2759B20B" w14:textId="77777777" w:rsidR="0021177B" w:rsidRPr="00746DDB" w:rsidRDefault="0021177B" w:rsidP="009E3B2F">
            <w:pPr>
              <w:jc w:val="center"/>
              <w:rPr>
                <w:rFonts w:ascii="Futura Std Condensed Light" w:eastAsia="Calibri" w:hAnsi="Futura Std Condensed Light" w:cs="Calibri"/>
                <w:sz w:val="20"/>
                <w:szCs w:val="20"/>
              </w:rPr>
            </w:pPr>
            <w:r w:rsidRPr="00746DDB">
              <w:rPr>
                <w:rFonts w:ascii="Futura Std Condensed Light" w:eastAsia="Calibri" w:hAnsi="Futura Std Condensed Light" w:cs="Calibri"/>
                <w:sz w:val="20"/>
                <w:szCs w:val="20"/>
              </w:rPr>
              <w:t>7,297</w:t>
            </w:r>
          </w:p>
        </w:tc>
      </w:tr>
    </w:tbl>
    <w:p w14:paraId="42685BC9" w14:textId="6FDC923E" w:rsidR="003B479E" w:rsidRDefault="003B479E" w:rsidP="0021177B">
      <w:pPr>
        <w:rPr>
          <w:rFonts w:ascii="Futura Std Condensed Light" w:eastAsia="Calibri" w:hAnsi="Futura Std Condensed Light" w:cs="Calibri"/>
          <w:sz w:val="20"/>
          <w:szCs w:val="20"/>
        </w:rPr>
      </w:pPr>
    </w:p>
    <w:p w14:paraId="7BE351CD" w14:textId="2DFDE0D2" w:rsidR="00A24FEB" w:rsidRDefault="00A24FEB" w:rsidP="0021177B">
      <w:pPr>
        <w:rPr>
          <w:rFonts w:ascii="Futura Std Condensed Light" w:eastAsia="Calibri" w:hAnsi="Futura Std Condensed Light" w:cs="Calibri"/>
          <w:sz w:val="20"/>
          <w:szCs w:val="20"/>
        </w:rPr>
      </w:pPr>
    </w:p>
    <w:p w14:paraId="64F6E693" w14:textId="77777777" w:rsidR="00E05363" w:rsidRDefault="00E05363">
      <w:pPr>
        <w:spacing w:after="0" w:line="240" w:lineRule="auto"/>
        <w:jc w:val="left"/>
        <w:rPr>
          <w:rFonts w:eastAsia="Arial" w:cs="Times New Roman"/>
          <w:b/>
          <w:color w:val="4BACC6" w:themeColor="accent5"/>
        </w:rPr>
      </w:pPr>
      <w:r>
        <w:rPr>
          <w:rFonts w:eastAsia="Arial" w:cs="Times New Roman"/>
          <w:b/>
          <w:color w:val="4BACC6" w:themeColor="accent5"/>
        </w:rPr>
        <w:br w:type="page"/>
      </w:r>
    </w:p>
    <w:p w14:paraId="7EC4E194" w14:textId="1063EFE5" w:rsidR="0021177B" w:rsidRDefault="00FA0940" w:rsidP="0021177B">
      <w:pPr>
        <w:jc w:val="center"/>
      </w:pPr>
      <w:r>
        <w:rPr>
          <w:rFonts w:eastAsia="Arial" w:cs="Times New Roman"/>
          <w:b/>
          <w:color w:val="4BACC6" w:themeColor="accent5"/>
        </w:rPr>
        <w:lastRenderedPageBreak/>
        <w:t>Cuadro 44</w:t>
      </w:r>
      <w:r w:rsidR="0021177B">
        <w:rPr>
          <w:rFonts w:eastAsia="Arial" w:cs="Times New Roman"/>
          <w:b/>
          <w:color w:val="4BACC6" w:themeColor="accent5"/>
        </w:rPr>
        <w:t>. Entregable y meta de la línea de acción 17 del PED</w:t>
      </w:r>
    </w:p>
    <w:tbl>
      <w:tblPr>
        <w:tblStyle w:val="Tablaconcuadrcula"/>
        <w:tblW w:w="5000" w:type="pct"/>
        <w:tblLook w:val="04A0" w:firstRow="1" w:lastRow="0" w:firstColumn="1" w:lastColumn="0" w:noHBand="0" w:noVBand="1"/>
      </w:tblPr>
      <w:tblGrid>
        <w:gridCol w:w="1489"/>
        <w:gridCol w:w="814"/>
        <w:gridCol w:w="679"/>
        <w:gridCol w:w="462"/>
        <w:gridCol w:w="1032"/>
        <w:gridCol w:w="231"/>
        <w:gridCol w:w="462"/>
        <w:gridCol w:w="917"/>
        <w:gridCol w:w="233"/>
        <w:gridCol w:w="1604"/>
        <w:gridCol w:w="1614"/>
      </w:tblGrid>
      <w:tr w:rsidR="0086391F" w:rsidRPr="00060E8E" w14:paraId="4874ED12" w14:textId="77777777" w:rsidTr="00060E8E">
        <w:trPr>
          <w:trHeight w:val="274"/>
        </w:trPr>
        <w:tc>
          <w:tcPr>
            <w:tcW w:w="1806" w:type="pct"/>
            <w:gridSpan w:val="4"/>
            <w:shd w:val="clear" w:color="auto" w:fill="A6A6A6" w:themeFill="background1" w:themeFillShade="A6"/>
          </w:tcPr>
          <w:p w14:paraId="620EF23C" w14:textId="77777777" w:rsidR="0021177B" w:rsidRPr="00060E8E" w:rsidRDefault="0021177B" w:rsidP="009E3B2F">
            <w:pPr>
              <w:spacing w:after="160" w:line="259" w:lineRule="auto"/>
              <w:contextualSpacing/>
              <w:jc w:val="center"/>
              <w:rPr>
                <w:rFonts w:ascii="Futura Std Condensed Light" w:eastAsia="Calibri" w:hAnsi="Futura Std Condensed Light" w:cs="Calibri"/>
                <w:color w:val="auto"/>
                <w:sz w:val="20"/>
                <w:szCs w:val="20"/>
              </w:rPr>
            </w:pPr>
            <w:r w:rsidRPr="00060E8E">
              <w:rPr>
                <w:rFonts w:ascii="Futura Std Condensed Light" w:eastAsia="Calibri" w:hAnsi="Futura Std Condensed Light" w:cs="Calibri"/>
                <w:color w:val="auto"/>
                <w:sz w:val="20"/>
                <w:szCs w:val="20"/>
              </w:rPr>
              <w:t>Programa PED</w:t>
            </w:r>
          </w:p>
        </w:tc>
        <w:tc>
          <w:tcPr>
            <w:tcW w:w="3194" w:type="pct"/>
            <w:gridSpan w:val="7"/>
            <w:shd w:val="clear" w:color="auto" w:fill="A6A6A6" w:themeFill="background1" w:themeFillShade="A6"/>
          </w:tcPr>
          <w:p w14:paraId="726FDCC2" w14:textId="77777777" w:rsidR="0021177B" w:rsidRPr="00060E8E" w:rsidRDefault="0021177B" w:rsidP="009E3B2F">
            <w:pPr>
              <w:spacing w:after="160" w:line="259" w:lineRule="auto"/>
              <w:contextualSpacing/>
              <w:jc w:val="center"/>
              <w:rPr>
                <w:rFonts w:ascii="Futura Std Condensed Light" w:eastAsia="Calibri" w:hAnsi="Futura Std Condensed Light" w:cs="Calibri"/>
                <w:color w:val="auto"/>
                <w:sz w:val="20"/>
                <w:szCs w:val="20"/>
              </w:rPr>
            </w:pPr>
            <w:r w:rsidRPr="00060E8E">
              <w:rPr>
                <w:rFonts w:ascii="Futura Std Condensed Light" w:eastAsia="Calibri" w:hAnsi="Futura Std Condensed Light" w:cs="Calibri"/>
                <w:color w:val="auto"/>
                <w:sz w:val="20"/>
                <w:szCs w:val="20"/>
              </w:rPr>
              <w:t>Programa Sectorial Educación Pública de Calidad</w:t>
            </w:r>
          </w:p>
        </w:tc>
      </w:tr>
      <w:tr w:rsidR="0021177B" w:rsidRPr="00441C0F" w14:paraId="31CA855A" w14:textId="77777777" w:rsidTr="009E3B2F">
        <w:trPr>
          <w:trHeight w:val="469"/>
        </w:trPr>
        <w:tc>
          <w:tcPr>
            <w:tcW w:w="1806" w:type="pct"/>
            <w:gridSpan w:val="4"/>
          </w:tcPr>
          <w:p w14:paraId="48B7A946" w14:textId="77777777" w:rsidR="0021177B" w:rsidRPr="00441C0F" w:rsidRDefault="0021177B" w:rsidP="009E3B2F">
            <w:pPr>
              <w:spacing w:after="160" w:line="259" w:lineRule="auto"/>
              <w:contextualSpacing/>
              <w:rPr>
                <w:rFonts w:ascii="Futura Std Condensed Light" w:eastAsia="Calibri" w:hAnsi="Futura Std Condensed Light" w:cs="Calibri"/>
                <w:b/>
                <w:sz w:val="20"/>
                <w:szCs w:val="20"/>
              </w:rPr>
            </w:pPr>
            <w:r w:rsidRPr="00441C0F">
              <w:rPr>
                <w:rFonts w:ascii="Futura Std Condensed Light" w:eastAsia="Calibri" w:hAnsi="Futura Std Condensed Light" w:cs="Calibri"/>
                <w:b/>
                <w:sz w:val="20"/>
                <w:szCs w:val="20"/>
              </w:rPr>
              <w:t>Línea de acción:</w:t>
            </w:r>
          </w:p>
        </w:tc>
        <w:tc>
          <w:tcPr>
            <w:tcW w:w="3194" w:type="pct"/>
            <w:gridSpan w:val="7"/>
          </w:tcPr>
          <w:p w14:paraId="48E5C52F" w14:textId="77777777" w:rsidR="0021177B" w:rsidRPr="00441C0F" w:rsidRDefault="0021177B" w:rsidP="009E3B2F">
            <w:pPr>
              <w:spacing w:after="160" w:line="259" w:lineRule="auto"/>
              <w:contextualSpacing/>
              <w:rPr>
                <w:rFonts w:ascii="Futura Std Condensed Light" w:eastAsia="Calibri" w:hAnsi="Futura Std Condensed Light" w:cs="Calibri"/>
                <w:sz w:val="20"/>
                <w:szCs w:val="20"/>
              </w:rPr>
            </w:pPr>
            <w:r w:rsidRPr="00441C0F">
              <w:rPr>
                <w:rFonts w:ascii="Futura Std Condensed Light" w:eastAsia="Calibri" w:hAnsi="Futura Std Condensed Light" w:cs="Calibri"/>
                <w:sz w:val="20"/>
                <w:szCs w:val="20"/>
              </w:rPr>
              <w:t>17.  Coordinar en colaboración con el Instituto Estatal para la Educación de Jóvenes y Adultos la aplicación de un modelo de educación inclusiva dirigido a jóvenes, adultos y adultos mayores en rezago educativo.  (IEEA)</w:t>
            </w:r>
          </w:p>
        </w:tc>
      </w:tr>
      <w:tr w:rsidR="0021177B" w:rsidRPr="00441C0F" w14:paraId="4A86E2F1" w14:textId="77777777" w:rsidTr="009E3B2F">
        <w:trPr>
          <w:trHeight w:val="484"/>
        </w:trPr>
        <w:tc>
          <w:tcPr>
            <w:tcW w:w="1806" w:type="pct"/>
            <w:gridSpan w:val="4"/>
          </w:tcPr>
          <w:p w14:paraId="416A890A" w14:textId="77777777" w:rsidR="0021177B" w:rsidRPr="00441C0F" w:rsidRDefault="0021177B" w:rsidP="009E3B2F">
            <w:pPr>
              <w:spacing w:after="160" w:line="259" w:lineRule="auto"/>
              <w:contextualSpacing/>
              <w:rPr>
                <w:rFonts w:ascii="Futura Std Condensed Light" w:eastAsia="Calibri" w:hAnsi="Futura Std Condensed Light" w:cs="Calibri"/>
                <w:b/>
                <w:sz w:val="20"/>
                <w:szCs w:val="20"/>
              </w:rPr>
            </w:pPr>
            <w:r w:rsidRPr="00441C0F">
              <w:rPr>
                <w:rFonts w:ascii="Futura Std Condensed Light" w:eastAsia="Calibri" w:hAnsi="Futura Std Condensed Light" w:cs="Calibri"/>
                <w:b/>
                <w:sz w:val="20"/>
                <w:szCs w:val="20"/>
              </w:rPr>
              <w:t>Plan Estratégico Objetivo Especifico</w:t>
            </w:r>
          </w:p>
        </w:tc>
        <w:tc>
          <w:tcPr>
            <w:tcW w:w="3194" w:type="pct"/>
            <w:gridSpan w:val="7"/>
          </w:tcPr>
          <w:p w14:paraId="2F181914" w14:textId="77777777" w:rsidR="0021177B" w:rsidRPr="00441C0F" w:rsidRDefault="0021177B" w:rsidP="009E3B2F">
            <w:pPr>
              <w:spacing w:after="160" w:line="259" w:lineRule="auto"/>
              <w:contextualSpacing/>
              <w:rPr>
                <w:rFonts w:ascii="Futura Std Condensed Light" w:eastAsia="Calibri" w:hAnsi="Futura Std Condensed Light" w:cs="Calibri"/>
                <w:sz w:val="20"/>
                <w:szCs w:val="20"/>
              </w:rPr>
            </w:pPr>
            <w:r w:rsidRPr="00441C0F">
              <w:rPr>
                <w:rFonts w:ascii="Futura Std Condensed Light" w:eastAsia="Calibri" w:hAnsi="Futura Std Condensed Light" w:cs="Calibri"/>
                <w:sz w:val="20"/>
                <w:szCs w:val="20"/>
              </w:rPr>
              <w:t>Disminuir la desigualdad en sus diversas formas </w:t>
            </w:r>
          </w:p>
        </w:tc>
      </w:tr>
      <w:tr w:rsidR="0021177B" w:rsidRPr="00441C0F" w14:paraId="00FA26D1" w14:textId="77777777" w:rsidTr="009E3B2F">
        <w:trPr>
          <w:trHeight w:val="484"/>
        </w:trPr>
        <w:tc>
          <w:tcPr>
            <w:tcW w:w="1208" w:type="pct"/>
            <w:gridSpan w:val="2"/>
          </w:tcPr>
          <w:p w14:paraId="33BD06C0" w14:textId="77777777" w:rsidR="0021177B" w:rsidRPr="00441C0F" w:rsidRDefault="0021177B" w:rsidP="009E3B2F">
            <w:pPr>
              <w:spacing w:after="160" w:line="259" w:lineRule="auto"/>
              <w:contextualSpacing/>
              <w:rPr>
                <w:rFonts w:ascii="Futura Std Condensed Light" w:eastAsia="Calibri" w:hAnsi="Futura Std Condensed Light" w:cs="Calibri"/>
                <w:b/>
                <w:sz w:val="20"/>
                <w:szCs w:val="20"/>
              </w:rPr>
            </w:pPr>
            <w:r w:rsidRPr="00441C0F">
              <w:rPr>
                <w:rFonts w:ascii="Futura Std Condensed Light" w:eastAsia="Calibri" w:hAnsi="Futura Std Condensed Light" w:cs="Calibri"/>
                <w:b/>
                <w:sz w:val="20"/>
                <w:szCs w:val="20"/>
              </w:rPr>
              <w:t>Entregable:</w:t>
            </w:r>
          </w:p>
        </w:tc>
        <w:tc>
          <w:tcPr>
            <w:tcW w:w="1139" w:type="pct"/>
            <w:gridSpan w:val="3"/>
          </w:tcPr>
          <w:p w14:paraId="75B8CD5C" w14:textId="77777777" w:rsidR="0021177B" w:rsidRPr="00441C0F" w:rsidRDefault="0021177B" w:rsidP="009E3B2F">
            <w:pPr>
              <w:spacing w:after="160" w:line="259" w:lineRule="auto"/>
              <w:contextualSpacing/>
              <w:rPr>
                <w:rFonts w:ascii="Futura Std Condensed Light" w:eastAsia="Calibri" w:hAnsi="Futura Std Condensed Light" w:cs="Calibri"/>
                <w:sz w:val="20"/>
                <w:szCs w:val="20"/>
              </w:rPr>
            </w:pPr>
            <w:r w:rsidRPr="00441C0F">
              <w:rPr>
                <w:rFonts w:ascii="Futura Std Condensed Light" w:eastAsia="Calibri" w:hAnsi="Futura Std Condensed Light" w:cs="Calibri"/>
                <w:sz w:val="20"/>
                <w:szCs w:val="20"/>
              </w:rPr>
              <w:t>Personas atendidas en el Modelo Educación para la Vida y Trabajo en la vertiente bilingüe maya</w:t>
            </w:r>
          </w:p>
        </w:tc>
        <w:tc>
          <w:tcPr>
            <w:tcW w:w="964" w:type="pct"/>
            <w:gridSpan w:val="4"/>
          </w:tcPr>
          <w:p w14:paraId="4DAB4BEA" w14:textId="77777777" w:rsidR="0021177B" w:rsidRPr="00441C0F" w:rsidRDefault="0021177B" w:rsidP="009E3B2F">
            <w:pPr>
              <w:spacing w:after="160" w:line="259" w:lineRule="auto"/>
              <w:contextualSpacing/>
              <w:rPr>
                <w:rFonts w:ascii="Futura Std Condensed Light" w:eastAsia="Calibri" w:hAnsi="Futura Std Condensed Light" w:cs="Calibri"/>
                <w:sz w:val="20"/>
                <w:szCs w:val="20"/>
              </w:rPr>
            </w:pPr>
            <w:r w:rsidRPr="00441C0F">
              <w:rPr>
                <w:rFonts w:ascii="Futura Std Condensed Light" w:eastAsia="Calibri" w:hAnsi="Futura Std Condensed Light" w:cs="Calibri"/>
                <w:b/>
                <w:sz w:val="20"/>
                <w:szCs w:val="20"/>
              </w:rPr>
              <w:t>Unidad de Medida</w:t>
            </w:r>
            <w:r w:rsidRPr="00441C0F">
              <w:rPr>
                <w:rFonts w:ascii="Futura Std Condensed Light" w:eastAsia="Calibri" w:hAnsi="Futura Std Condensed Light" w:cs="Calibri"/>
                <w:sz w:val="20"/>
                <w:szCs w:val="20"/>
              </w:rPr>
              <w:t>:</w:t>
            </w:r>
          </w:p>
        </w:tc>
        <w:tc>
          <w:tcPr>
            <w:tcW w:w="1688" w:type="pct"/>
            <w:gridSpan w:val="2"/>
          </w:tcPr>
          <w:p w14:paraId="3F8C35D6" w14:textId="77777777" w:rsidR="0021177B" w:rsidRPr="00441C0F" w:rsidRDefault="0021177B" w:rsidP="009E3B2F">
            <w:pPr>
              <w:spacing w:after="160" w:line="259" w:lineRule="auto"/>
              <w:contextualSpacing/>
              <w:rPr>
                <w:rFonts w:ascii="Futura Std Condensed Light" w:eastAsia="Calibri" w:hAnsi="Futura Std Condensed Light" w:cs="Calibri"/>
                <w:sz w:val="20"/>
                <w:szCs w:val="20"/>
              </w:rPr>
            </w:pPr>
            <w:r w:rsidRPr="00441C0F">
              <w:rPr>
                <w:rFonts w:ascii="Futura Std Condensed Light" w:eastAsia="Calibri" w:hAnsi="Futura Std Condensed Light" w:cs="Calibri"/>
                <w:sz w:val="20"/>
                <w:szCs w:val="20"/>
              </w:rPr>
              <w:t>Personas atendidas</w:t>
            </w:r>
          </w:p>
        </w:tc>
      </w:tr>
      <w:tr w:rsidR="0021177B" w:rsidRPr="00441C0F" w14:paraId="0ABF6E67" w14:textId="77777777" w:rsidTr="009E3B2F">
        <w:trPr>
          <w:trHeight w:val="449"/>
        </w:trPr>
        <w:tc>
          <w:tcPr>
            <w:tcW w:w="1208" w:type="pct"/>
            <w:gridSpan w:val="2"/>
          </w:tcPr>
          <w:p w14:paraId="17AFCBC3" w14:textId="77777777" w:rsidR="0021177B" w:rsidRPr="00441C0F" w:rsidRDefault="0021177B" w:rsidP="009E3B2F">
            <w:pPr>
              <w:spacing w:after="160" w:line="259" w:lineRule="auto"/>
              <w:contextualSpacing/>
              <w:rPr>
                <w:rFonts w:ascii="Futura Std Condensed Light" w:eastAsia="Calibri" w:hAnsi="Futura Std Condensed Light" w:cs="Calibri"/>
                <w:b/>
                <w:sz w:val="20"/>
                <w:szCs w:val="20"/>
              </w:rPr>
            </w:pPr>
            <w:r w:rsidRPr="00441C0F">
              <w:rPr>
                <w:rFonts w:ascii="Futura Std Condensed Light" w:eastAsia="Calibri" w:hAnsi="Futura Std Condensed Light" w:cs="Calibri"/>
                <w:b/>
                <w:sz w:val="20"/>
                <w:szCs w:val="20"/>
              </w:rPr>
              <w:t>Descripción:</w:t>
            </w:r>
          </w:p>
        </w:tc>
        <w:tc>
          <w:tcPr>
            <w:tcW w:w="3792" w:type="pct"/>
            <w:gridSpan w:val="9"/>
          </w:tcPr>
          <w:p w14:paraId="4E28B548" w14:textId="77777777" w:rsidR="0021177B" w:rsidRPr="00441C0F" w:rsidRDefault="0021177B" w:rsidP="009E3B2F">
            <w:pPr>
              <w:spacing w:after="160" w:line="259" w:lineRule="auto"/>
              <w:contextualSpacing/>
              <w:rPr>
                <w:rFonts w:ascii="Futura Std Condensed Light" w:eastAsia="Calibri" w:hAnsi="Futura Std Condensed Light" w:cs="Calibri"/>
                <w:color w:val="FF0000"/>
                <w:sz w:val="20"/>
                <w:szCs w:val="20"/>
              </w:rPr>
            </w:pPr>
          </w:p>
        </w:tc>
      </w:tr>
      <w:tr w:rsidR="0021177B" w:rsidRPr="00441C0F" w14:paraId="5A0AF30C" w14:textId="77777777" w:rsidTr="009E3B2F">
        <w:trPr>
          <w:trHeight w:val="484"/>
        </w:trPr>
        <w:tc>
          <w:tcPr>
            <w:tcW w:w="1806" w:type="pct"/>
            <w:gridSpan w:val="4"/>
          </w:tcPr>
          <w:p w14:paraId="6CFB1C1D" w14:textId="77777777" w:rsidR="0021177B" w:rsidRPr="00441C0F" w:rsidRDefault="0021177B" w:rsidP="009E3B2F">
            <w:pPr>
              <w:spacing w:after="160" w:line="259" w:lineRule="auto"/>
              <w:contextualSpacing/>
              <w:rPr>
                <w:rFonts w:ascii="Futura Std Condensed Light" w:eastAsia="Calibri" w:hAnsi="Futura Std Condensed Light" w:cs="Calibri"/>
                <w:b/>
                <w:sz w:val="20"/>
                <w:szCs w:val="20"/>
              </w:rPr>
            </w:pPr>
            <w:r w:rsidRPr="00441C0F">
              <w:rPr>
                <w:rFonts w:ascii="Futura Std Condensed Light" w:eastAsia="Calibri" w:hAnsi="Futura Std Condensed Light" w:cs="Calibri"/>
                <w:b/>
                <w:sz w:val="20"/>
                <w:szCs w:val="20"/>
              </w:rPr>
              <w:t>Medio de verificación:</w:t>
            </w:r>
          </w:p>
        </w:tc>
        <w:tc>
          <w:tcPr>
            <w:tcW w:w="3194" w:type="pct"/>
            <w:gridSpan w:val="7"/>
          </w:tcPr>
          <w:p w14:paraId="7872754D" w14:textId="77777777" w:rsidR="0021177B" w:rsidRPr="00441C0F" w:rsidRDefault="0021177B" w:rsidP="009E3B2F">
            <w:pPr>
              <w:spacing w:after="160" w:line="259" w:lineRule="auto"/>
              <w:contextualSpacing/>
              <w:rPr>
                <w:rFonts w:ascii="Futura Std Condensed Light" w:eastAsia="Calibri" w:hAnsi="Futura Std Condensed Light" w:cs="Calibri"/>
                <w:sz w:val="20"/>
                <w:szCs w:val="20"/>
              </w:rPr>
            </w:pPr>
            <w:r w:rsidRPr="00441C0F">
              <w:rPr>
                <w:rFonts w:ascii="Futura Std Condensed Light" w:eastAsia="Calibri" w:hAnsi="Futura Std Condensed Light" w:cs="Calibri"/>
                <w:sz w:val="20"/>
                <w:szCs w:val="20"/>
              </w:rPr>
              <w:t>INEA, http://200.77.230.29:8084/INEANumeros/</w:t>
            </w:r>
          </w:p>
        </w:tc>
      </w:tr>
      <w:tr w:rsidR="0021177B" w:rsidRPr="00441C0F" w14:paraId="51610929" w14:textId="77777777" w:rsidTr="009E3B2F">
        <w:trPr>
          <w:trHeight w:val="484"/>
        </w:trPr>
        <w:tc>
          <w:tcPr>
            <w:tcW w:w="1806" w:type="pct"/>
            <w:gridSpan w:val="4"/>
          </w:tcPr>
          <w:p w14:paraId="711AF8BC" w14:textId="77777777" w:rsidR="0021177B" w:rsidRPr="00441C0F" w:rsidRDefault="0021177B" w:rsidP="009E3B2F">
            <w:pPr>
              <w:spacing w:after="160" w:line="259" w:lineRule="auto"/>
              <w:contextualSpacing/>
              <w:rPr>
                <w:rFonts w:ascii="Futura Std Condensed Light" w:eastAsia="Calibri" w:hAnsi="Futura Std Condensed Light" w:cs="Calibri"/>
                <w:b/>
                <w:sz w:val="20"/>
                <w:szCs w:val="20"/>
              </w:rPr>
            </w:pPr>
            <w:r w:rsidRPr="00441C0F">
              <w:rPr>
                <w:rFonts w:ascii="Futura Std Condensed Light" w:eastAsia="Calibri" w:hAnsi="Futura Std Condensed Light" w:cs="Calibri"/>
                <w:b/>
                <w:sz w:val="20"/>
                <w:szCs w:val="20"/>
              </w:rPr>
              <w:t>Línea base:</w:t>
            </w:r>
          </w:p>
        </w:tc>
        <w:tc>
          <w:tcPr>
            <w:tcW w:w="904" w:type="pct"/>
            <w:gridSpan w:val="3"/>
          </w:tcPr>
          <w:p w14:paraId="32C53B49" w14:textId="77777777" w:rsidR="0021177B" w:rsidRPr="00441C0F" w:rsidRDefault="0021177B" w:rsidP="009E3B2F">
            <w:pPr>
              <w:spacing w:after="160" w:line="259" w:lineRule="auto"/>
              <w:contextualSpacing/>
              <w:rPr>
                <w:rFonts w:ascii="Futura Std Condensed Light" w:eastAsia="Calibri" w:hAnsi="Futura Std Condensed Light" w:cs="Calibri"/>
                <w:sz w:val="20"/>
                <w:szCs w:val="20"/>
              </w:rPr>
            </w:pPr>
            <w:r w:rsidRPr="00441C0F">
              <w:rPr>
                <w:rFonts w:ascii="Futura Std Condensed Light" w:eastAsia="Calibri" w:hAnsi="Futura Std Condensed Light" w:cs="Calibri"/>
                <w:sz w:val="20"/>
                <w:szCs w:val="20"/>
              </w:rPr>
              <w:t>0</w:t>
            </w:r>
          </w:p>
        </w:tc>
        <w:tc>
          <w:tcPr>
            <w:tcW w:w="603" w:type="pct"/>
            <w:gridSpan w:val="2"/>
          </w:tcPr>
          <w:p w14:paraId="53802414" w14:textId="77777777" w:rsidR="0021177B" w:rsidRPr="00441C0F" w:rsidRDefault="0021177B" w:rsidP="009E3B2F">
            <w:pPr>
              <w:spacing w:after="160" w:line="259" w:lineRule="auto"/>
              <w:contextualSpacing/>
              <w:rPr>
                <w:rFonts w:ascii="Futura Std Condensed Light" w:eastAsia="Calibri" w:hAnsi="Futura Std Condensed Light" w:cs="Calibri"/>
                <w:sz w:val="20"/>
                <w:szCs w:val="20"/>
              </w:rPr>
            </w:pPr>
            <w:r w:rsidRPr="00441C0F">
              <w:rPr>
                <w:rFonts w:ascii="Futura Std Condensed Light" w:eastAsia="Calibri" w:hAnsi="Futura Std Condensed Light" w:cs="Calibri"/>
                <w:b/>
                <w:sz w:val="20"/>
                <w:szCs w:val="20"/>
              </w:rPr>
              <w:t>Año de línea base</w:t>
            </w:r>
            <w:r w:rsidRPr="00441C0F">
              <w:rPr>
                <w:rFonts w:ascii="Futura Std Condensed Light" w:eastAsia="Calibri" w:hAnsi="Futura Std Condensed Light" w:cs="Calibri"/>
                <w:sz w:val="20"/>
                <w:szCs w:val="20"/>
              </w:rPr>
              <w:t>:</w:t>
            </w:r>
          </w:p>
        </w:tc>
        <w:tc>
          <w:tcPr>
            <w:tcW w:w="1688" w:type="pct"/>
            <w:gridSpan w:val="2"/>
          </w:tcPr>
          <w:p w14:paraId="75F4F4D2" w14:textId="77777777" w:rsidR="0021177B" w:rsidRPr="00441C0F" w:rsidRDefault="0021177B" w:rsidP="009E3B2F">
            <w:pPr>
              <w:spacing w:after="160" w:line="259" w:lineRule="auto"/>
              <w:contextualSpacing/>
              <w:rPr>
                <w:rFonts w:ascii="Futura Std Condensed Light" w:eastAsia="Calibri" w:hAnsi="Futura Std Condensed Light" w:cs="Calibri"/>
                <w:sz w:val="20"/>
                <w:szCs w:val="20"/>
              </w:rPr>
            </w:pPr>
            <w:r w:rsidRPr="00441C0F">
              <w:rPr>
                <w:rFonts w:ascii="Futura Std Condensed Light" w:eastAsia="Calibri" w:hAnsi="Futura Std Condensed Light" w:cs="Calibri"/>
                <w:sz w:val="20"/>
                <w:szCs w:val="20"/>
              </w:rPr>
              <w:t>2016</w:t>
            </w:r>
          </w:p>
        </w:tc>
      </w:tr>
      <w:tr w:rsidR="0021177B" w:rsidRPr="00441C0F" w14:paraId="4A8CCFA3" w14:textId="77777777" w:rsidTr="009E3B2F">
        <w:trPr>
          <w:trHeight w:val="484"/>
        </w:trPr>
        <w:tc>
          <w:tcPr>
            <w:tcW w:w="1806" w:type="pct"/>
            <w:gridSpan w:val="4"/>
          </w:tcPr>
          <w:p w14:paraId="12A940E4" w14:textId="77777777" w:rsidR="0021177B" w:rsidRPr="00441C0F" w:rsidRDefault="0021177B" w:rsidP="009E3B2F">
            <w:pPr>
              <w:spacing w:after="160" w:line="259" w:lineRule="auto"/>
              <w:contextualSpacing/>
              <w:rPr>
                <w:rFonts w:ascii="Futura Std Condensed Light" w:eastAsia="Calibri" w:hAnsi="Futura Std Condensed Light" w:cs="Calibri"/>
                <w:b/>
                <w:sz w:val="20"/>
                <w:szCs w:val="20"/>
              </w:rPr>
            </w:pPr>
            <w:r w:rsidRPr="00441C0F">
              <w:rPr>
                <w:rFonts w:ascii="Futura Std Condensed Light" w:eastAsia="Calibri" w:hAnsi="Futura Std Condensed Light" w:cs="Calibri"/>
                <w:b/>
                <w:sz w:val="20"/>
                <w:szCs w:val="20"/>
              </w:rPr>
              <w:t>Contribución Directa al Objetivo de la Agenda 2030</w:t>
            </w:r>
          </w:p>
        </w:tc>
        <w:tc>
          <w:tcPr>
            <w:tcW w:w="3194" w:type="pct"/>
            <w:gridSpan w:val="7"/>
          </w:tcPr>
          <w:p w14:paraId="022B19E3" w14:textId="77777777" w:rsidR="0021177B" w:rsidRPr="00441C0F" w:rsidRDefault="0021177B" w:rsidP="009E3B2F">
            <w:pPr>
              <w:spacing w:after="160" w:line="259" w:lineRule="auto"/>
              <w:contextualSpacing/>
              <w:rPr>
                <w:rFonts w:ascii="Futura Std Condensed Light" w:eastAsia="Calibri" w:hAnsi="Futura Std Condensed Light" w:cs="Calibri"/>
                <w:sz w:val="20"/>
                <w:szCs w:val="20"/>
              </w:rPr>
            </w:pPr>
            <w:r w:rsidRPr="00441C0F">
              <w:rPr>
                <w:rFonts w:ascii="Futura Std Condensed Light" w:eastAsia="Calibri" w:hAnsi="Futura Std Condensed Light" w:cs="Calibri"/>
                <w:sz w:val="20"/>
                <w:szCs w:val="20"/>
              </w:rPr>
              <w:t>Garantizar una educación inclusiva, equitativa y de calidad y promover oportunidades de aprendizaje durante toda la vida para todos</w:t>
            </w:r>
          </w:p>
        </w:tc>
      </w:tr>
      <w:tr w:rsidR="0021177B" w:rsidRPr="00441C0F" w14:paraId="7BDA43E7" w14:textId="77777777" w:rsidTr="009E3B2F">
        <w:trPr>
          <w:trHeight w:val="484"/>
        </w:trPr>
        <w:tc>
          <w:tcPr>
            <w:tcW w:w="1806" w:type="pct"/>
            <w:gridSpan w:val="4"/>
          </w:tcPr>
          <w:p w14:paraId="17068692" w14:textId="77777777" w:rsidR="0021177B" w:rsidRPr="00441C0F" w:rsidRDefault="0021177B" w:rsidP="009E3B2F">
            <w:pPr>
              <w:spacing w:after="160" w:line="259" w:lineRule="auto"/>
              <w:contextualSpacing/>
              <w:rPr>
                <w:rFonts w:ascii="Futura Std Condensed Light" w:eastAsia="Calibri" w:hAnsi="Futura Std Condensed Light" w:cs="Calibri"/>
                <w:b/>
                <w:sz w:val="20"/>
                <w:szCs w:val="20"/>
              </w:rPr>
            </w:pPr>
            <w:r w:rsidRPr="00441C0F">
              <w:rPr>
                <w:rFonts w:ascii="Futura Std Condensed Light" w:eastAsia="Calibri" w:hAnsi="Futura Std Condensed Light" w:cs="Calibri"/>
                <w:b/>
                <w:sz w:val="20"/>
                <w:szCs w:val="20"/>
              </w:rPr>
              <w:t>Contribución Directa  a la Meta de la Agenda 2030</w:t>
            </w:r>
          </w:p>
        </w:tc>
        <w:tc>
          <w:tcPr>
            <w:tcW w:w="3194" w:type="pct"/>
            <w:gridSpan w:val="7"/>
          </w:tcPr>
          <w:p w14:paraId="70655E29" w14:textId="77777777" w:rsidR="0021177B" w:rsidRPr="00441C0F" w:rsidRDefault="0021177B" w:rsidP="009E3B2F">
            <w:pPr>
              <w:spacing w:after="160" w:line="259" w:lineRule="auto"/>
              <w:contextualSpacing/>
              <w:rPr>
                <w:rFonts w:ascii="Futura Std Condensed Light" w:eastAsia="Calibri" w:hAnsi="Futura Std Condensed Light" w:cs="Calibri"/>
                <w:sz w:val="20"/>
                <w:szCs w:val="20"/>
              </w:rPr>
            </w:pPr>
            <w:r w:rsidRPr="00441C0F">
              <w:rPr>
                <w:rFonts w:ascii="Futura Std Condensed Light" w:eastAsia="Calibri" w:hAnsi="Futura Std Condensed Light" w:cs="Calibri"/>
                <w:sz w:val="20"/>
                <w:szCs w:val="20"/>
              </w:rPr>
              <w:t>De aquí a 2030, asegurar que todos los jóvenes y una proporción considerable de los adultos, tanto hombres como mujeres, estén alfabetizados y tengan nociones elementales de aritmética</w:t>
            </w:r>
          </w:p>
        </w:tc>
      </w:tr>
      <w:tr w:rsidR="0021177B" w:rsidRPr="00441C0F" w14:paraId="0F627176" w14:textId="77777777" w:rsidTr="009E3B2F">
        <w:trPr>
          <w:trHeight w:val="484"/>
        </w:trPr>
        <w:tc>
          <w:tcPr>
            <w:tcW w:w="1806" w:type="pct"/>
            <w:gridSpan w:val="4"/>
          </w:tcPr>
          <w:p w14:paraId="7F6BDC3E" w14:textId="77777777" w:rsidR="0021177B" w:rsidRPr="00441C0F" w:rsidRDefault="0021177B" w:rsidP="009E3B2F">
            <w:pPr>
              <w:spacing w:after="160" w:line="259" w:lineRule="auto"/>
              <w:contextualSpacing/>
              <w:rPr>
                <w:rFonts w:ascii="Futura Std Condensed Light" w:eastAsia="Calibri" w:hAnsi="Futura Std Condensed Light" w:cs="Calibri"/>
                <w:b/>
                <w:sz w:val="20"/>
                <w:szCs w:val="20"/>
              </w:rPr>
            </w:pPr>
            <w:r w:rsidRPr="00441C0F">
              <w:rPr>
                <w:rFonts w:ascii="Futura Std Condensed Light" w:eastAsia="Calibri" w:hAnsi="Futura Std Condensed Light" w:cs="Calibri"/>
                <w:b/>
                <w:sz w:val="20"/>
                <w:szCs w:val="20"/>
              </w:rPr>
              <w:t>Tema / Proyecto Prioritario de Quintana Roo</w:t>
            </w:r>
          </w:p>
        </w:tc>
        <w:tc>
          <w:tcPr>
            <w:tcW w:w="3194" w:type="pct"/>
            <w:gridSpan w:val="7"/>
          </w:tcPr>
          <w:p w14:paraId="67ED22F1" w14:textId="77777777" w:rsidR="0021177B" w:rsidRPr="00441C0F" w:rsidRDefault="0021177B" w:rsidP="009E3B2F">
            <w:pPr>
              <w:spacing w:after="160" w:line="259" w:lineRule="auto"/>
              <w:contextualSpacing/>
              <w:rPr>
                <w:rFonts w:ascii="Futura Std Condensed Light" w:eastAsia="Calibri" w:hAnsi="Futura Std Condensed Light" w:cs="Calibri"/>
                <w:sz w:val="20"/>
                <w:szCs w:val="20"/>
              </w:rPr>
            </w:pPr>
            <w:r w:rsidRPr="00441C0F">
              <w:rPr>
                <w:rFonts w:ascii="Futura Std Condensed Light" w:eastAsia="Calibri" w:hAnsi="Futura Std Condensed Light" w:cs="Calibri"/>
                <w:sz w:val="20"/>
                <w:szCs w:val="20"/>
              </w:rPr>
              <w:t>24.5 Abatir el rezago educativo</w:t>
            </w:r>
          </w:p>
        </w:tc>
      </w:tr>
      <w:tr w:rsidR="0021177B" w:rsidRPr="00441C0F" w14:paraId="3BB10956" w14:textId="77777777" w:rsidTr="009E3B2F">
        <w:trPr>
          <w:trHeight w:val="484"/>
        </w:trPr>
        <w:tc>
          <w:tcPr>
            <w:tcW w:w="1806" w:type="pct"/>
            <w:gridSpan w:val="4"/>
          </w:tcPr>
          <w:p w14:paraId="4EA783A6" w14:textId="77777777" w:rsidR="0021177B" w:rsidRPr="00441C0F" w:rsidRDefault="0021177B" w:rsidP="009E3B2F">
            <w:pPr>
              <w:spacing w:after="160" w:line="259" w:lineRule="auto"/>
              <w:contextualSpacing/>
              <w:rPr>
                <w:rFonts w:ascii="Futura Std Condensed Light" w:eastAsia="Calibri" w:hAnsi="Futura Std Condensed Light" w:cs="Calibri"/>
                <w:b/>
                <w:sz w:val="20"/>
                <w:szCs w:val="20"/>
              </w:rPr>
            </w:pPr>
            <w:r w:rsidRPr="00441C0F">
              <w:rPr>
                <w:rFonts w:ascii="Futura Std Condensed Light" w:eastAsia="Calibri" w:hAnsi="Futura Std Condensed Light" w:cs="Calibri"/>
                <w:b/>
                <w:sz w:val="20"/>
                <w:szCs w:val="20"/>
              </w:rPr>
              <w:t>Subtema Prioritario de Quintana Roo</w:t>
            </w:r>
          </w:p>
        </w:tc>
        <w:tc>
          <w:tcPr>
            <w:tcW w:w="3194" w:type="pct"/>
            <w:gridSpan w:val="7"/>
          </w:tcPr>
          <w:p w14:paraId="0B725199" w14:textId="77777777" w:rsidR="0021177B" w:rsidRPr="00441C0F" w:rsidRDefault="0021177B" w:rsidP="009E3B2F">
            <w:pPr>
              <w:spacing w:after="160" w:line="259" w:lineRule="auto"/>
              <w:contextualSpacing/>
              <w:rPr>
                <w:rFonts w:ascii="Futura Std Condensed Light" w:eastAsia="Calibri" w:hAnsi="Futura Std Condensed Light" w:cs="Calibri"/>
                <w:sz w:val="20"/>
                <w:szCs w:val="20"/>
              </w:rPr>
            </w:pPr>
            <w:r w:rsidRPr="00441C0F">
              <w:rPr>
                <w:rFonts w:ascii="Futura Std Condensed Light" w:eastAsia="Calibri" w:hAnsi="Futura Std Condensed Light" w:cs="Calibri"/>
                <w:sz w:val="20"/>
                <w:szCs w:val="20"/>
              </w:rPr>
              <w:t>N/A</w:t>
            </w:r>
          </w:p>
        </w:tc>
      </w:tr>
      <w:tr w:rsidR="0021177B" w:rsidRPr="00441C0F" w14:paraId="10169A8B" w14:textId="77777777" w:rsidTr="009E3B2F">
        <w:trPr>
          <w:trHeight w:val="484"/>
        </w:trPr>
        <w:tc>
          <w:tcPr>
            <w:tcW w:w="5000" w:type="pct"/>
            <w:gridSpan w:val="11"/>
          </w:tcPr>
          <w:p w14:paraId="11C00F46" w14:textId="77777777" w:rsidR="0021177B" w:rsidRPr="00441C0F" w:rsidRDefault="0021177B" w:rsidP="009E3B2F">
            <w:pPr>
              <w:spacing w:after="160" w:line="259" w:lineRule="auto"/>
              <w:contextualSpacing/>
              <w:jc w:val="center"/>
              <w:rPr>
                <w:rFonts w:ascii="Futura Std Condensed Light" w:eastAsia="Calibri" w:hAnsi="Futura Std Condensed Light" w:cs="Calibri"/>
                <w:b/>
                <w:sz w:val="20"/>
                <w:szCs w:val="20"/>
              </w:rPr>
            </w:pPr>
            <w:r w:rsidRPr="00441C0F">
              <w:rPr>
                <w:rFonts w:ascii="Futura Std Condensed Light" w:eastAsia="Calibri" w:hAnsi="Futura Std Condensed Light" w:cs="Calibri"/>
                <w:b/>
                <w:sz w:val="20"/>
                <w:szCs w:val="20"/>
              </w:rPr>
              <w:t>Meta Total:</w:t>
            </w:r>
          </w:p>
        </w:tc>
      </w:tr>
      <w:tr w:rsidR="0021177B" w:rsidRPr="00441C0F" w14:paraId="1DB8C80D" w14:textId="77777777" w:rsidTr="009E3B2F">
        <w:trPr>
          <w:trHeight w:val="484"/>
        </w:trPr>
        <w:tc>
          <w:tcPr>
            <w:tcW w:w="781" w:type="pct"/>
          </w:tcPr>
          <w:p w14:paraId="4E337D1E" w14:textId="77777777" w:rsidR="0021177B" w:rsidRPr="00441C0F" w:rsidRDefault="0021177B" w:rsidP="009E3B2F">
            <w:pPr>
              <w:spacing w:after="160" w:line="259" w:lineRule="auto"/>
              <w:contextualSpacing/>
              <w:jc w:val="center"/>
              <w:rPr>
                <w:rFonts w:ascii="Futura Std Condensed Light" w:eastAsia="Calibri" w:hAnsi="Futura Std Condensed Light" w:cs="Calibri"/>
                <w:b/>
                <w:sz w:val="20"/>
                <w:szCs w:val="20"/>
              </w:rPr>
            </w:pPr>
            <w:r w:rsidRPr="00441C0F">
              <w:rPr>
                <w:rFonts w:ascii="Futura Std Condensed Light" w:eastAsia="Calibri" w:hAnsi="Futura Std Condensed Light" w:cs="Calibri"/>
                <w:b/>
                <w:sz w:val="20"/>
                <w:szCs w:val="20"/>
              </w:rPr>
              <w:t>2017</w:t>
            </w:r>
          </w:p>
        </w:tc>
        <w:tc>
          <w:tcPr>
            <w:tcW w:w="783" w:type="pct"/>
            <w:gridSpan w:val="2"/>
          </w:tcPr>
          <w:p w14:paraId="2853D1B3" w14:textId="77777777" w:rsidR="0021177B" w:rsidRPr="00441C0F" w:rsidRDefault="0021177B" w:rsidP="009E3B2F">
            <w:pPr>
              <w:spacing w:after="160" w:line="259" w:lineRule="auto"/>
              <w:contextualSpacing/>
              <w:jc w:val="center"/>
              <w:rPr>
                <w:rFonts w:ascii="Futura Std Condensed Light" w:eastAsia="Calibri" w:hAnsi="Futura Std Condensed Light" w:cs="Calibri"/>
                <w:b/>
                <w:sz w:val="20"/>
                <w:szCs w:val="20"/>
              </w:rPr>
            </w:pPr>
            <w:r w:rsidRPr="00441C0F">
              <w:rPr>
                <w:rFonts w:ascii="Futura Std Condensed Light" w:eastAsia="Calibri" w:hAnsi="Futura Std Condensed Light" w:cs="Calibri"/>
                <w:b/>
                <w:sz w:val="20"/>
                <w:szCs w:val="20"/>
              </w:rPr>
              <w:t>2018</w:t>
            </w:r>
          </w:p>
        </w:tc>
        <w:tc>
          <w:tcPr>
            <w:tcW w:w="904" w:type="pct"/>
            <w:gridSpan w:val="3"/>
          </w:tcPr>
          <w:p w14:paraId="32A085C9" w14:textId="77777777" w:rsidR="0021177B" w:rsidRPr="00441C0F" w:rsidRDefault="0021177B" w:rsidP="009E3B2F">
            <w:pPr>
              <w:spacing w:after="160" w:line="259" w:lineRule="auto"/>
              <w:contextualSpacing/>
              <w:jc w:val="center"/>
              <w:rPr>
                <w:rFonts w:ascii="Futura Std Condensed Light" w:eastAsia="Calibri" w:hAnsi="Futura Std Condensed Light" w:cs="Calibri"/>
                <w:b/>
                <w:sz w:val="20"/>
                <w:szCs w:val="20"/>
              </w:rPr>
            </w:pPr>
            <w:r w:rsidRPr="00441C0F">
              <w:rPr>
                <w:rFonts w:ascii="Futura Std Condensed Light" w:eastAsia="Calibri" w:hAnsi="Futura Std Condensed Light" w:cs="Calibri"/>
                <w:b/>
                <w:sz w:val="20"/>
                <w:szCs w:val="20"/>
              </w:rPr>
              <w:t>2019</w:t>
            </w:r>
          </w:p>
        </w:tc>
        <w:tc>
          <w:tcPr>
            <w:tcW w:w="723" w:type="pct"/>
            <w:gridSpan w:val="2"/>
          </w:tcPr>
          <w:p w14:paraId="53394DFB" w14:textId="77777777" w:rsidR="0021177B" w:rsidRPr="00441C0F" w:rsidRDefault="0021177B" w:rsidP="009E3B2F">
            <w:pPr>
              <w:spacing w:after="160" w:line="259" w:lineRule="auto"/>
              <w:contextualSpacing/>
              <w:jc w:val="center"/>
              <w:rPr>
                <w:rFonts w:ascii="Futura Std Condensed Light" w:eastAsia="Calibri" w:hAnsi="Futura Std Condensed Light" w:cs="Calibri"/>
                <w:b/>
                <w:sz w:val="20"/>
                <w:szCs w:val="20"/>
              </w:rPr>
            </w:pPr>
            <w:r w:rsidRPr="00441C0F">
              <w:rPr>
                <w:rFonts w:ascii="Futura Std Condensed Light" w:eastAsia="Calibri" w:hAnsi="Futura Std Condensed Light" w:cs="Calibri"/>
                <w:b/>
                <w:sz w:val="20"/>
                <w:szCs w:val="20"/>
              </w:rPr>
              <w:t>2020</w:t>
            </w:r>
          </w:p>
        </w:tc>
        <w:tc>
          <w:tcPr>
            <w:tcW w:w="963" w:type="pct"/>
            <w:gridSpan w:val="2"/>
          </w:tcPr>
          <w:p w14:paraId="5871677B" w14:textId="77777777" w:rsidR="0021177B" w:rsidRPr="00441C0F" w:rsidRDefault="0021177B" w:rsidP="009E3B2F">
            <w:pPr>
              <w:spacing w:after="160" w:line="259" w:lineRule="auto"/>
              <w:contextualSpacing/>
              <w:jc w:val="center"/>
              <w:rPr>
                <w:rFonts w:ascii="Futura Std Condensed Light" w:eastAsia="Calibri" w:hAnsi="Futura Std Condensed Light" w:cs="Calibri"/>
                <w:b/>
                <w:sz w:val="20"/>
                <w:szCs w:val="20"/>
              </w:rPr>
            </w:pPr>
            <w:r w:rsidRPr="00441C0F">
              <w:rPr>
                <w:rFonts w:ascii="Futura Std Condensed Light" w:eastAsia="Calibri" w:hAnsi="Futura Std Condensed Light" w:cs="Calibri"/>
                <w:b/>
                <w:sz w:val="20"/>
                <w:szCs w:val="20"/>
              </w:rPr>
              <w:t>2021</w:t>
            </w:r>
          </w:p>
        </w:tc>
        <w:tc>
          <w:tcPr>
            <w:tcW w:w="846" w:type="pct"/>
          </w:tcPr>
          <w:p w14:paraId="119BB699" w14:textId="77777777" w:rsidR="0021177B" w:rsidRPr="00441C0F" w:rsidRDefault="0021177B" w:rsidP="009E3B2F">
            <w:pPr>
              <w:spacing w:after="160" w:line="259" w:lineRule="auto"/>
              <w:contextualSpacing/>
              <w:jc w:val="center"/>
              <w:rPr>
                <w:rFonts w:ascii="Futura Std Condensed Light" w:eastAsia="Calibri" w:hAnsi="Futura Std Condensed Light" w:cs="Calibri"/>
                <w:b/>
                <w:sz w:val="20"/>
                <w:szCs w:val="20"/>
              </w:rPr>
            </w:pPr>
            <w:r w:rsidRPr="00441C0F">
              <w:rPr>
                <w:rFonts w:ascii="Futura Std Condensed Light" w:eastAsia="Calibri" w:hAnsi="Futura Std Condensed Light" w:cs="Calibri"/>
                <w:b/>
                <w:sz w:val="20"/>
                <w:szCs w:val="20"/>
              </w:rPr>
              <w:t>2022</w:t>
            </w:r>
          </w:p>
        </w:tc>
      </w:tr>
      <w:tr w:rsidR="0021177B" w:rsidRPr="00441C0F" w14:paraId="592CF34C" w14:textId="77777777" w:rsidTr="009E3B2F">
        <w:trPr>
          <w:trHeight w:val="484"/>
        </w:trPr>
        <w:tc>
          <w:tcPr>
            <w:tcW w:w="781" w:type="pct"/>
          </w:tcPr>
          <w:p w14:paraId="54DF649A" w14:textId="77777777" w:rsidR="0021177B" w:rsidRPr="00441C0F" w:rsidRDefault="0021177B" w:rsidP="009E3B2F">
            <w:pPr>
              <w:spacing w:after="160" w:line="259" w:lineRule="auto"/>
              <w:contextualSpacing/>
              <w:jc w:val="center"/>
              <w:rPr>
                <w:rFonts w:ascii="Futura Std Condensed Light" w:eastAsia="Calibri" w:hAnsi="Futura Std Condensed Light" w:cs="Calibri"/>
                <w:sz w:val="20"/>
                <w:szCs w:val="20"/>
              </w:rPr>
            </w:pPr>
            <w:r w:rsidRPr="00441C0F">
              <w:rPr>
                <w:rFonts w:ascii="Futura Std Condensed Light" w:eastAsia="Calibri" w:hAnsi="Futura Std Condensed Light" w:cs="Calibri"/>
                <w:sz w:val="20"/>
                <w:szCs w:val="20"/>
              </w:rPr>
              <w:t>339</w:t>
            </w:r>
          </w:p>
        </w:tc>
        <w:tc>
          <w:tcPr>
            <w:tcW w:w="783" w:type="pct"/>
            <w:gridSpan w:val="2"/>
          </w:tcPr>
          <w:p w14:paraId="19234589" w14:textId="77777777" w:rsidR="0021177B" w:rsidRPr="00441C0F" w:rsidRDefault="0021177B" w:rsidP="009E3B2F">
            <w:pPr>
              <w:spacing w:after="160" w:line="259" w:lineRule="auto"/>
              <w:contextualSpacing/>
              <w:jc w:val="center"/>
              <w:rPr>
                <w:rFonts w:ascii="Futura Std Condensed Light" w:eastAsia="Calibri" w:hAnsi="Futura Std Condensed Light" w:cs="Calibri"/>
                <w:sz w:val="20"/>
                <w:szCs w:val="20"/>
              </w:rPr>
            </w:pPr>
            <w:r w:rsidRPr="00441C0F">
              <w:rPr>
                <w:rFonts w:ascii="Futura Std Condensed Light" w:eastAsia="Calibri" w:hAnsi="Futura Std Condensed Light" w:cs="Calibri"/>
                <w:sz w:val="20"/>
                <w:szCs w:val="20"/>
              </w:rPr>
              <w:t>369</w:t>
            </w:r>
          </w:p>
        </w:tc>
        <w:tc>
          <w:tcPr>
            <w:tcW w:w="904" w:type="pct"/>
            <w:gridSpan w:val="3"/>
          </w:tcPr>
          <w:p w14:paraId="792F4739" w14:textId="77777777" w:rsidR="0021177B" w:rsidRPr="00441C0F" w:rsidRDefault="0021177B" w:rsidP="009E3B2F">
            <w:pPr>
              <w:spacing w:after="160" w:line="259" w:lineRule="auto"/>
              <w:contextualSpacing/>
              <w:jc w:val="center"/>
              <w:rPr>
                <w:rFonts w:ascii="Futura Std Condensed Light" w:eastAsia="Calibri" w:hAnsi="Futura Std Condensed Light" w:cs="Calibri"/>
                <w:sz w:val="20"/>
                <w:szCs w:val="20"/>
              </w:rPr>
            </w:pPr>
            <w:r w:rsidRPr="00441C0F">
              <w:rPr>
                <w:rFonts w:ascii="Futura Std Condensed Light" w:eastAsia="Calibri" w:hAnsi="Futura Std Condensed Light" w:cs="Calibri"/>
                <w:sz w:val="20"/>
                <w:szCs w:val="20"/>
              </w:rPr>
              <w:t>390</w:t>
            </w:r>
          </w:p>
        </w:tc>
        <w:tc>
          <w:tcPr>
            <w:tcW w:w="723" w:type="pct"/>
            <w:gridSpan w:val="2"/>
          </w:tcPr>
          <w:p w14:paraId="25CC473A" w14:textId="77777777" w:rsidR="0021177B" w:rsidRPr="00441C0F" w:rsidRDefault="0021177B" w:rsidP="009E3B2F">
            <w:pPr>
              <w:spacing w:after="160" w:line="259" w:lineRule="auto"/>
              <w:contextualSpacing/>
              <w:jc w:val="center"/>
              <w:rPr>
                <w:rFonts w:ascii="Futura Std Condensed Light" w:eastAsia="Calibri" w:hAnsi="Futura Std Condensed Light" w:cs="Calibri"/>
                <w:sz w:val="20"/>
                <w:szCs w:val="20"/>
              </w:rPr>
            </w:pPr>
            <w:r w:rsidRPr="00441C0F">
              <w:rPr>
                <w:rFonts w:ascii="Futura Std Condensed Light" w:eastAsia="Calibri" w:hAnsi="Futura Std Condensed Light" w:cs="Calibri"/>
                <w:sz w:val="20"/>
                <w:szCs w:val="20"/>
              </w:rPr>
              <w:t>540</w:t>
            </w:r>
          </w:p>
        </w:tc>
        <w:tc>
          <w:tcPr>
            <w:tcW w:w="963" w:type="pct"/>
            <w:gridSpan w:val="2"/>
          </w:tcPr>
          <w:p w14:paraId="28D536BE" w14:textId="77777777" w:rsidR="0021177B" w:rsidRPr="00441C0F" w:rsidRDefault="0021177B" w:rsidP="009E3B2F">
            <w:pPr>
              <w:spacing w:after="160" w:line="259" w:lineRule="auto"/>
              <w:contextualSpacing/>
              <w:jc w:val="center"/>
              <w:rPr>
                <w:rFonts w:ascii="Futura Std Condensed Light" w:eastAsia="Calibri" w:hAnsi="Futura Std Condensed Light" w:cs="Calibri"/>
                <w:sz w:val="20"/>
                <w:szCs w:val="20"/>
              </w:rPr>
            </w:pPr>
            <w:r w:rsidRPr="00441C0F">
              <w:rPr>
                <w:rFonts w:ascii="Futura Std Condensed Light" w:eastAsia="Calibri" w:hAnsi="Futura Std Condensed Light" w:cs="Calibri"/>
                <w:sz w:val="20"/>
                <w:szCs w:val="20"/>
              </w:rPr>
              <w:t>552</w:t>
            </w:r>
          </w:p>
        </w:tc>
        <w:tc>
          <w:tcPr>
            <w:tcW w:w="846" w:type="pct"/>
          </w:tcPr>
          <w:p w14:paraId="16A1D31E" w14:textId="77777777" w:rsidR="0021177B" w:rsidRPr="00441C0F" w:rsidRDefault="0021177B" w:rsidP="009E3B2F">
            <w:pPr>
              <w:spacing w:after="160" w:line="259" w:lineRule="auto"/>
              <w:contextualSpacing/>
              <w:jc w:val="center"/>
              <w:rPr>
                <w:rFonts w:ascii="Futura Std Condensed Light" w:eastAsia="Calibri" w:hAnsi="Futura Std Condensed Light" w:cs="Calibri"/>
                <w:sz w:val="20"/>
                <w:szCs w:val="20"/>
              </w:rPr>
            </w:pPr>
            <w:r w:rsidRPr="00441C0F">
              <w:rPr>
                <w:rFonts w:ascii="Futura Std Condensed Light" w:eastAsia="Calibri" w:hAnsi="Futura Std Condensed Light" w:cs="Calibri"/>
                <w:sz w:val="20"/>
                <w:szCs w:val="20"/>
              </w:rPr>
              <w:t>570</w:t>
            </w:r>
          </w:p>
        </w:tc>
      </w:tr>
    </w:tbl>
    <w:p w14:paraId="52CD2F50" w14:textId="54BAFA55" w:rsidR="00CD21A0" w:rsidRPr="00746DDB" w:rsidRDefault="00CD21A0" w:rsidP="0021177B">
      <w:pPr>
        <w:rPr>
          <w:rFonts w:ascii="Futura Std Condensed Light" w:eastAsia="Calibri" w:hAnsi="Futura Std Condensed Light" w:cs="Calibri"/>
          <w:sz w:val="20"/>
          <w:szCs w:val="20"/>
        </w:rPr>
      </w:pPr>
    </w:p>
    <w:p w14:paraId="512E7160" w14:textId="77777777" w:rsidR="00E05363" w:rsidRDefault="00E05363">
      <w:pPr>
        <w:spacing w:after="0" w:line="240" w:lineRule="auto"/>
        <w:jc w:val="left"/>
        <w:rPr>
          <w:rFonts w:eastAsia="Arial" w:cs="Times New Roman"/>
          <w:b/>
          <w:color w:val="4BACC6" w:themeColor="accent5"/>
        </w:rPr>
      </w:pPr>
      <w:r>
        <w:rPr>
          <w:rFonts w:eastAsia="Arial" w:cs="Times New Roman"/>
          <w:b/>
          <w:color w:val="4BACC6" w:themeColor="accent5"/>
        </w:rPr>
        <w:br w:type="page"/>
      </w:r>
    </w:p>
    <w:p w14:paraId="1052376C" w14:textId="6EF8930E" w:rsidR="0021177B" w:rsidRDefault="00FA0940" w:rsidP="0021177B">
      <w:pPr>
        <w:jc w:val="center"/>
      </w:pPr>
      <w:r>
        <w:rPr>
          <w:rFonts w:eastAsia="Arial" w:cs="Times New Roman"/>
          <w:b/>
          <w:color w:val="4BACC6" w:themeColor="accent5"/>
        </w:rPr>
        <w:lastRenderedPageBreak/>
        <w:t>Cuadro 45</w:t>
      </w:r>
      <w:r w:rsidR="0021177B">
        <w:rPr>
          <w:rFonts w:eastAsia="Arial" w:cs="Times New Roman"/>
          <w:b/>
          <w:color w:val="4BACC6" w:themeColor="accent5"/>
        </w:rPr>
        <w:t>. Entregable y meta de la línea de acción 18 del PED</w:t>
      </w:r>
    </w:p>
    <w:tbl>
      <w:tblPr>
        <w:tblStyle w:val="Tablaconcuadrcula"/>
        <w:tblW w:w="5000" w:type="pct"/>
        <w:tblLook w:val="04A0" w:firstRow="1" w:lastRow="0" w:firstColumn="1" w:lastColumn="0" w:noHBand="0" w:noVBand="1"/>
      </w:tblPr>
      <w:tblGrid>
        <w:gridCol w:w="1489"/>
        <w:gridCol w:w="814"/>
        <w:gridCol w:w="679"/>
        <w:gridCol w:w="462"/>
        <w:gridCol w:w="687"/>
        <w:gridCol w:w="576"/>
        <w:gridCol w:w="462"/>
        <w:gridCol w:w="917"/>
        <w:gridCol w:w="347"/>
        <w:gridCol w:w="1490"/>
        <w:gridCol w:w="1614"/>
      </w:tblGrid>
      <w:tr w:rsidR="0086391F" w:rsidRPr="003B479E" w14:paraId="54FA2082" w14:textId="77777777" w:rsidTr="003B479E">
        <w:trPr>
          <w:trHeight w:val="182"/>
        </w:trPr>
        <w:tc>
          <w:tcPr>
            <w:tcW w:w="1806" w:type="pct"/>
            <w:gridSpan w:val="4"/>
            <w:shd w:val="clear" w:color="auto" w:fill="A6A6A6" w:themeFill="background1" w:themeFillShade="A6"/>
          </w:tcPr>
          <w:p w14:paraId="3D24E0A2" w14:textId="77777777" w:rsidR="0021177B" w:rsidRPr="003B479E" w:rsidRDefault="0021177B" w:rsidP="009E3B2F">
            <w:pPr>
              <w:contextualSpacing/>
              <w:jc w:val="center"/>
              <w:rPr>
                <w:rFonts w:ascii="Futura Std Condensed Light" w:eastAsia="Calibri" w:hAnsi="Futura Std Condensed Light" w:cs="Calibri"/>
                <w:color w:val="auto"/>
                <w:sz w:val="20"/>
                <w:szCs w:val="20"/>
              </w:rPr>
            </w:pPr>
            <w:r w:rsidRPr="003B479E">
              <w:rPr>
                <w:rFonts w:ascii="Futura Std Condensed Light" w:eastAsia="Calibri" w:hAnsi="Futura Std Condensed Light" w:cs="Calibri"/>
                <w:color w:val="auto"/>
                <w:sz w:val="20"/>
                <w:szCs w:val="20"/>
              </w:rPr>
              <w:t>Programa PED</w:t>
            </w:r>
          </w:p>
        </w:tc>
        <w:tc>
          <w:tcPr>
            <w:tcW w:w="3194" w:type="pct"/>
            <w:gridSpan w:val="7"/>
            <w:shd w:val="clear" w:color="auto" w:fill="A6A6A6" w:themeFill="background1" w:themeFillShade="A6"/>
          </w:tcPr>
          <w:p w14:paraId="4ACA7BBF" w14:textId="77777777" w:rsidR="0021177B" w:rsidRPr="003B479E" w:rsidRDefault="0021177B" w:rsidP="009E3B2F">
            <w:pPr>
              <w:contextualSpacing/>
              <w:jc w:val="center"/>
              <w:rPr>
                <w:rFonts w:ascii="Futura Std Condensed Light" w:eastAsia="Calibri" w:hAnsi="Futura Std Condensed Light" w:cs="Calibri"/>
                <w:color w:val="auto"/>
                <w:sz w:val="20"/>
                <w:szCs w:val="20"/>
              </w:rPr>
            </w:pPr>
            <w:r w:rsidRPr="003B479E">
              <w:rPr>
                <w:rFonts w:ascii="Futura Std Condensed Light" w:eastAsia="Calibri" w:hAnsi="Futura Std Condensed Light" w:cs="Calibri"/>
                <w:color w:val="auto"/>
                <w:sz w:val="20"/>
                <w:szCs w:val="20"/>
              </w:rPr>
              <w:t>Programa Sectorial Educación Pública de Calidad</w:t>
            </w:r>
          </w:p>
        </w:tc>
      </w:tr>
      <w:tr w:rsidR="0021177B" w:rsidRPr="00486BA1" w14:paraId="7A970FD8" w14:textId="77777777" w:rsidTr="009E3B2F">
        <w:trPr>
          <w:trHeight w:val="469"/>
        </w:trPr>
        <w:tc>
          <w:tcPr>
            <w:tcW w:w="1806" w:type="pct"/>
            <w:gridSpan w:val="4"/>
          </w:tcPr>
          <w:p w14:paraId="1ABDF811" w14:textId="77777777" w:rsidR="0021177B" w:rsidRPr="00486BA1" w:rsidRDefault="0021177B" w:rsidP="009E3B2F">
            <w:pPr>
              <w:contextualSpacing/>
              <w:rPr>
                <w:rFonts w:ascii="Futura Std Condensed Light" w:eastAsia="Calibri" w:hAnsi="Futura Std Condensed Light" w:cs="Calibri"/>
                <w:b/>
                <w:sz w:val="20"/>
                <w:szCs w:val="20"/>
              </w:rPr>
            </w:pPr>
            <w:r w:rsidRPr="00486BA1">
              <w:rPr>
                <w:rFonts w:ascii="Futura Std Condensed Light" w:eastAsia="Calibri" w:hAnsi="Futura Std Condensed Light" w:cs="Calibri"/>
                <w:b/>
                <w:sz w:val="20"/>
                <w:szCs w:val="20"/>
              </w:rPr>
              <w:t>Línea de acción:</w:t>
            </w:r>
          </w:p>
        </w:tc>
        <w:tc>
          <w:tcPr>
            <w:tcW w:w="3194" w:type="pct"/>
            <w:gridSpan w:val="7"/>
          </w:tcPr>
          <w:p w14:paraId="04E259AE" w14:textId="77777777" w:rsidR="0021177B" w:rsidRPr="00486BA1" w:rsidRDefault="0021177B" w:rsidP="009E3B2F">
            <w:pPr>
              <w:spacing w:after="160" w:line="259" w:lineRule="auto"/>
              <w:contextualSpacing/>
              <w:rPr>
                <w:rFonts w:ascii="Futura Std Condensed Light" w:eastAsia="Calibri" w:hAnsi="Futura Std Condensed Light" w:cs="Calibri"/>
                <w:sz w:val="20"/>
                <w:szCs w:val="20"/>
              </w:rPr>
            </w:pPr>
            <w:r w:rsidRPr="00486BA1">
              <w:rPr>
                <w:rFonts w:ascii="Futura Std Condensed Light" w:eastAsia="Calibri" w:hAnsi="Futura Std Condensed Light" w:cs="Calibri"/>
                <w:sz w:val="20"/>
                <w:szCs w:val="20"/>
              </w:rPr>
              <w:t>18.  Celebrar Jornadas Estatales de incorporación y conclusión de educación básica dirigida a jóvenes, adultos y adultos mayores en rezago educativo. (IEEA)</w:t>
            </w:r>
          </w:p>
        </w:tc>
      </w:tr>
      <w:tr w:rsidR="0021177B" w:rsidRPr="00486BA1" w14:paraId="51B8C600" w14:textId="77777777" w:rsidTr="009E3B2F">
        <w:trPr>
          <w:trHeight w:val="484"/>
        </w:trPr>
        <w:tc>
          <w:tcPr>
            <w:tcW w:w="1806" w:type="pct"/>
            <w:gridSpan w:val="4"/>
          </w:tcPr>
          <w:p w14:paraId="1047D50C" w14:textId="77777777" w:rsidR="0021177B" w:rsidRPr="00486BA1" w:rsidRDefault="0021177B" w:rsidP="009E3B2F">
            <w:pPr>
              <w:contextualSpacing/>
              <w:rPr>
                <w:rFonts w:ascii="Futura Std Condensed Light" w:eastAsia="Calibri" w:hAnsi="Futura Std Condensed Light" w:cs="Calibri"/>
                <w:b/>
                <w:sz w:val="20"/>
                <w:szCs w:val="20"/>
              </w:rPr>
            </w:pPr>
            <w:r w:rsidRPr="00486BA1">
              <w:rPr>
                <w:rFonts w:ascii="Futura Std Condensed Light" w:eastAsia="Calibri" w:hAnsi="Futura Std Condensed Light" w:cs="Calibri"/>
                <w:b/>
                <w:sz w:val="20"/>
                <w:szCs w:val="20"/>
              </w:rPr>
              <w:t>Plan Estratégico Objetivo Especifico</w:t>
            </w:r>
          </w:p>
        </w:tc>
        <w:tc>
          <w:tcPr>
            <w:tcW w:w="3194" w:type="pct"/>
            <w:gridSpan w:val="7"/>
          </w:tcPr>
          <w:p w14:paraId="2EC4DF57" w14:textId="77777777" w:rsidR="0021177B" w:rsidRPr="00486BA1" w:rsidRDefault="0021177B" w:rsidP="009E3B2F">
            <w:pPr>
              <w:contextualSpacing/>
              <w:rPr>
                <w:rFonts w:ascii="Futura Std Condensed Light" w:eastAsia="Calibri" w:hAnsi="Futura Std Condensed Light" w:cs="Calibri"/>
                <w:sz w:val="20"/>
                <w:szCs w:val="20"/>
              </w:rPr>
            </w:pPr>
            <w:r w:rsidRPr="00486BA1">
              <w:rPr>
                <w:rFonts w:ascii="Futura Std Condensed Light" w:eastAsia="Calibri" w:hAnsi="Futura Std Condensed Light" w:cs="Calibri"/>
                <w:sz w:val="20"/>
                <w:szCs w:val="20"/>
              </w:rPr>
              <w:t>Disminuir la desigualdad en sus diversas formas </w:t>
            </w:r>
          </w:p>
        </w:tc>
      </w:tr>
      <w:tr w:rsidR="0021177B" w:rsidRPr="00486BA1" w14:paraId="6D49DA0D" w14:textId="77777777" w:rsidTr="009E3B2F">
        <w:trPr>
          <w:trHeight w:val="484"/>
        </w:trPr>
        <w:tc>
          <w:tcPr>
            <w:tcW w:w="1208" w:type="pct"/>
            <w:gridSpan w:val="2"/>
          </w:tcPr>
          <w:p w14:paraId="3890CD16" w14:textId="77777777" w:rsidR="0021177B" w:rsidRPr="00486BA1" w:rsidRDefault="0021177B" w:rsidP="009E3B2F">
            <w:pPr>
              <w:contextualSpacing/>
              <w:rPr>
                <w:rFonts w:ascii="Futura Std Condensed Light" w:eastAsia="Calibri" w:hAnsi="Futura Std Condensed Light" w:cs="Calibri"/>
                <w:sz w:val="20"/>
                <w:szCs w:val="20"/>
              </w:rPr>
            </w:pPr>
            <w:r w:rsidRPr="00486BA1">
              <w:rPr>
                <w:rFonts w:ascii="Futura Std Condensed Light" w:eastAsia="Calibri" w:hAnsi="Futura Std Condensed Light" w:cs="Calibri"/>
                <w:sz w:val="20"/>
                <w:szCs w:val="20"/>
              </w:rPr>
              <w:t>Entregable:</w:t>
            </w:r>
          </w:p>
        </w:tc>
        <w:tc>
          <w:tcPr>
            <w:tcW w:w="958" w:type="pct"/>
            <w:gridSpan w:val="3"/>
          </w:tcPr>
          <w:p w14:paraId="26188BBA" w14:textId="77777777" w:rsidR="0021177B" w:rsidRPr="00486BA1" w:rsidRDefault="0021177B" w:rsidP="009E3B2F">
            <w:pPr>
              <w:rPr>
                <w:rFonts w:ascii="Futura Std Condensed Light" w:eastAsia="Calibri" w:hAnsi="Futura Std Condensed Light" w:cs="Calibri"/>
                <w:sz w:val="20"/>
                <w:szCs w:val="20"/>
              </w:rPr>
            </w:pPr>
            <w:r w:rsidRPr="00486BA1">
              <w:rPr>
                <w:rFonts w:ascii="Futura Std Condensed Light" w:eastAsia="Calibri" w:hAnsi="Futura Std Condensed Light" w:cs="Calibri"/>
                <w:sz w:val="20"/>
                <w:szCs w:val="20"/>
              </w:rPr>
              <w:t>Jornadas estatales de incorporación y conclusión de educación básica.</w:t>
            </w:r>
          </w:p>
        </w:tc>
        <w:tc>
          <w:tcPr>
            <w:tcW w:w="1205" w:type="pct"/>
            <w:gridSpan w:val="4"/>
          </w:tcPr>
          <w:p w14:paraId="16B52408" w14:textId="77777777" w:rsidR="0021177B" w:rsidRPr="00486BA1" w:rsidRDefault="0021177B" w:rsidP="009E3B2F">
            <w:pPr>
              <w:contextualSpacing/>
              <w:rPr>
                <w:rFonts w:ascii="Futura Std Condensed Light" w:eastAsia="Calibri" w:hAnsi="Futura Std Condensed Light" w:cs="Calibri"/>
                <w:b/>
                <w:sz w:val="20"/>
                <w:szCs w:val="20"/>
              </w:rPr>
            </w:pPr>
            <w:r w:rsidRPr="00486BA1">
              <w:rPr>
                <w:rFonts w:ascii="Futura Std Condensed Light" w:eastAsia="Calibri" w:hAnsi="Futura Std Condensed Light" w:cs="Calibri"/>
                <w:b/>
                <w:sz w:val="20"/>
                <w:szCs w:val="20"/>
              </w:rPr>
              <w:t>Unidad de Medida:</w:t>
            </w:r>
          </w:p>
        </w:tc>
        <w:tc>
          <w:tcPr>
            <w:tcW w:w="1628" w:type="pct"/>
            <w:gridSpan w:val="2"/>
          </w:tcPr>
          <w:p w14:paraId="3E3408FE" w14:textId="77777777" w:rsidR="0021177B" w:rsidRPr="00486BA1" w:rsidRDefault="0021177B" w:rsidP="009E3B2F">
            <w:pPr>
              <w:contextualSpacing/>
              <w:rPr>
                <w:rFonts w:ascii="Futura Std Condensed Light" w:eastAsia="Calibri" w:hAnsi="Futura Std Condensed Light" w:cs="Calibri"/>
                <w:sz w:val="20"/>
                <w:szCs w:val="20"/>
              </w:rPr>
            </w:pPr>
            <w:r w:rsidRPr="00486BA1">
              <w:rPr>
                <w:rFonts w:ascii="Futura Std Condensed Light" w:eastAsia="Calibri" w:hAnsi="Futura Std Condensed Light" w:cs="Calibri"/>
                <w:sz w:val="20"/>
                <w:szCs w:val="20"/>
              </w:rPr>
              <w:t>Jornadas efectuadas</w:t>
            </w:r>
          </w:p>
        </w:tc>
      </w:tr>
      <w:tr w:rsidR="0021177B" w:rsidRPr="00486BA1" w14:paraId="0C4533AA" w14:textId="77777777" w:rsidTr="009E3B2F">
        <w:trPr>
          <w:trHeight w:val="449"/>
        </w:trPr>
        <w:tc>
          <w:tcPr>
            <w:tcW w:w="1208" w:type="pct"/>
            <w:gridSpan w:val="2"/>
          </w:tcPr>
          <w:p w14:paraId="453F2680" w14:textId="77777777" w:rsidR="0021177B" w:rsidRPr="00486BA1" w:rsidRDefault="0021177B" w:rsidP="009E3B2F">
            <w:pPr>
              <w:contextualSpacing/>
              <w:rPr>
                <w:rFonts w:ascii="Futura Std Condensed Light" w:eastAsia="Calibri" w:hAnsi="Futura Std Condensed Light" w:cs="Calibri"/>
                <w:b/>
                <w:sz w:val="20"/>
                <w:szCs w:val="20"/>
              </w:rPr>
            </w:pPr>
            <w:r w:rsidRPr="00486BA1">
              <w:rPr>
                <w:rFonts w:ascii="Futura Std Condensed Light" w:eastAsia="Calibri" w:hAnsi="Futura Std Condensed Light" w:cs="Calibri"/>
                <w:b/>
                <w:sz w:val="20"/>
                <w:szCs w:val="20"/>
              </w:rPr>
              <w:t>Descripción:</w:t>
            </w:r>
          </w:p>
        </w:tc>
        <w:tc>
          <w:tcPr>
            <w:tcW w:w="3792" w:type="pct"/>
            <w:gridSpan w:val="9"/>
          </w:tcPr>
          <w:p w14:paraId="22B4C70E" w14:textId="77777777" w:rsidR="0021177B" w:rsidRPr="00486BA1" w:rsidRDefault="0021177B" w:rsidP="009E3B2F">
            <w:pPr>
              <w:contextualSpacing/>
              <w:rPr>
                <w:rFonts w:ascii="Futura Std Condensed Light" w:eastAsia="Calibri" w:hAnsi="Futura Std Condensed Light" w:cs="Calibri"/>
                <w:sz w:val="20"/>
                <w:szCs w:val="20"/>
              </w:rPr>
            </w:pPr>
            <w:r w:rsidRPr="00486BA1">
              <w:rPr>
                <w:rFonts w:ascii="Futura Std Condensed Light" w:eastAsia="Calibri" w:hAnsi="Futura Std Condensed Light" w:cs="Calibri"/>
                <w:sz w:val="20"/>
                <w:szCs w:val="20"/>
              </w:rPr>
              <w:t>Realizar Jornadas de Incorporación y presentación de exámenes</w:t>
            </w:r>
          </w:p>
        </w:tc>
      </w:tr>
      <w:tr w:rsidR="0021177B" w:rsidRPr="00486BA1" w14:paraId="0E68AD74" w14:textId="77777777" w:rsidTr="009E3B2F">
        <w:trPr>
          <w:trHeight w:val="484"/>
        </w:trPr>
        <w:tc>
          <w:tcPr>
            <w:tcW w:w="1806" w:type="pct"/>
            <w:gridSpan w:val="4"/>
          </w:tcPr>
          <w:p w14:paraId="55DBB07C" w14:textId="77777777" w:rsidR="0021177B" w:rsidRPr="00486BA1" w:rsidRDefault="0021177B" w:rsidP="009E3B2F">
            <w:pPr>
              <w:contextualSpacing/>
              <w:rPr>
                <w:rFonts w:ascii="Futura Std Condensed Light" w:eastAsia="Calibri" w:hAnsi="Futura Std Condensed Light" w:cs="Calibri"/>
                <w:b/>
                <w:sz w:val="20"/>
                <w:szCs w:val="20"/>
              </w:rPr>
            </w:pPr>
            <w:r w:rsidRPr="00486BA1">
              <w:rPr>
                <w:rFonts w:ascii="Futura Std Condensed Light" w:eastAsia="Calibri" w:hAnsi="Futura Std Condensed Light" w:cs="Calibri"/>
                <w:b/>
                <w:sz w:val="20"/>
                <w:szCs w:val="20"/>
              </w:rPr>
              <w:t>Medio de verificación:</w:t>
            </w:r>
          </w:p>
        </w:tc>
        <w:tc>
          <w:tcPr>
            <w:tcW w:w="3194" w:type="pct"/>
            <w:gridSpan w:val="7"/>
          </w:tcPr>
          <w:p w14:paraId="680E79EF" w14:textId="77777777" w:rsidR="0021177B" w:rsidRPr="00486BA1" w:rsidRDefault="0021177B" w:rsidP="009E3B2F">
            <w:pPr>
              <w:contextualSpacing/>
              <w:rPr>
                <w:rFonts w:ascii="Futura Std Condensed Light" w:eastAsia="Calibri" w:hAnsi="Futura Std Condensed Light" w:cs="Calibri"/>
                <w:sz w:val="20"/>
                <w:szCs w:val="20"/>
              </w:rPr>
            </w:pPr>
            <w:r w:rsidRPr="00486BA1">
              <w:rPr>
                <w:rFonts w:ascii="Futura Std Condensed Light" w:eastAsia="Calibri" w:hAnsi="Futura Std Condensed Light" w:cs="Calibri"/>
                <w:sz w:val="20"/>
                <w:szCs w:val="20"/>
              </w:rPr>
              <w:t>Instituto Estatal para la Educación de Jóvenes y Adultos.</w:t>
            </w:r>
          </w:p>
        </w:tc>
      </w:tr>
      <w:tr w:rsidR="0021177B" w:rsidRPr="00486BA1" w14:paraId="4284B42C" w14:textId="77777777" w:rsidTr="009E3B2F">
        <w:trPr>
          <w:trHeight w:val="484"/>
        </w:trPr>
        <w:tc>
          <w:tcPr>
            <w:tcW w:w="1806" w:type="pct"/>
            <w:gridSpan w:val="4"/>
          </w:tcPr>
          <w:p w14:paraId="60D2F6A2" w14:textId="77777777" w:rsidR="0021177B" w:rsidRPr="00486BA1" w:rsidRDefault="0021177B" w:rsidP="009E3B2F">
            <w:pPr>
              <w:contextualSpacing/>
              <w:rPr>
                <w:rFonts w:ascii="Futura Std Condensed Light" w:eastAsia="Calibri" w:hAnsi="Futura Std Condensed Light" w:cs="Calibri"/>
                <w:b/>
                <w:sz w:val="20"/>
                <w:szCs w:val="20"/>
              </w:rPr>
            </w:pPr>
            <w:r w:rsidRPr="00486BA1">
              <w:rPr>
                <w:rFonts w:ascii="Futura Std Condensed Light" w:eastAsia="Calibri" w:hAnsi="Futura Std Condensed Light" w:cs="Calibri"/>
                <w:b/>
                <w:sz w:val="20"/>
                <w:szCs w:val="20"/>
              </w:rPr>
              <w:t>Línea base:</w:t>
            </w:r>
          </w:p>
        </w:tc>
        <w:tc>
          <w:tcPr>
            <w:tcW w:w="904" w:type="pct"/>
            <w:gridSpan w:val="3"/>
          </w:tcPr>
          <w:p w14:paraId="184C873C" w14:textId="77777777" w:rsidR="0021177B" w:rsidRPr="00486BA1" w:rsidRDefault="0021177B" w:rsidP="009E3B2F">
            <w:pPr>
              <w:contextualSpacing/>
              <w:rPr>
                <w:rFonts w:ascii="Futura Std Condensed Light" w:eastAsia="Calibri" w:hAnsi="Futura Std Condensed Light" w:cs="Calibri"/>
                <w:sz w:val="20"/>
                <w:szCs w:val="20"/>
              </w:rPr>
            </w:pPr>
            <w:r w:rsidRPr="00486BA1">
              <w:rPr>
                <w:rFonts w:ascii="Futura Std Condensed Light" w:eastAsia="Calibri" w:hAnsi="Futura Std Condensed Light" w:cs="Calibri"/>
                <w:sz w:val="20"/>
                <w:szCs w:val="20"/>
              </w:rPr>
              <w:t>2</w:t>
            </w:r>
          </w:p>
        </w:tc>
        <w:tc>
          <w:tcPr>
            <w:tcW w:w="663" w:type="pct"/>
            <w:gridSpan w:val="2"/>
          </w:tcPr>
          <w:p w14:paraId="4AECCF3B" w14:textId="77777777" w:rsidR="0021177B" w:rsidRPr="00486BA1" w:rsidRDefault="0021177B" w:rsidP="009E3B2F">
            <w:pPr>
              <w:contextualSpacing/>
              <w:jc w:val="center"/>
              <w:rPr>
                <w:rFonts w:ascii="Futura Std Condensed Light" w:eastAsia="Calibri" w:hAnsi="Futura Std Condensed Light" w:cs="Calibri"/>
                <w:b/>
                <w:sz w:val="20"/>
                <w:szCs w:val="20"/>
              </w:rPr>
            </w:pPr>
            <w:r w:rsidRPr="00486BA1">
              <w:rPr>
                <w:rFonts w:ascii="Futura Std Condensed Light" w:eastAsia="Calibri" w:hAnsi="Futura Std Condensed Light" w:cs="Calibri"/>
                <w:b/>
                <w:sz w:val="20"/>
                <w:szCs w:val="20"/>
              </w:rPr>
              <w:t>Año de línea base:</w:t>
            </w:r>
          </w:p>
        </w:tc>
        <w:tc>
          <w:tcPr>
            <w:tcW w:w="1628" w:type="pct"/>
            <w:gridSpan w:val="2"/>
          </w:tcPr>
          <w:p w14:paraId="79D6DA61" w14:textId="77777777" w:rsidR="0021177B" w:rsidRPr="00486BA1" w:rsidRDefault="0021177B" w:rsidP="009E3B2F">
            <w:pPr>
              <w:contextualSpacing/>
              <w:rPr>
                <w:rFonts w:ascii="Futura Std Condensed Light" w:eastAsia="Calibri" w:hAnsi="Futura Std Condensed Light" w:cs="Calibri"/>
                <w:sz w:val="20"/>
                <w:szCs w:val="20"/>
              </w:rPr>
            </w:pPr>
            <w:r w:rsidRPr="00486BA1">
              <w:rPr>
                <w:rFonts w:ascii="Futura Std Condensed Light" w:eastAsia="Calibri" w:hAnsi="Futura Std Condensed Light" w:cs="Calibri"/>
                <w:sz w:val="20"/>
                <w:szCs w:val="20"/>
              </w:rPr>
              <w:t>2016</w:t>
            </w:r>
          </w:p>
        </w:tc>
      </w:tr>
      <w:tr w:rsidR="0021177B" w:rsidRPr="00486BA1" w14:paraId="3BFA9D12" w14:textId="77777777" w:rsidTr="009E3B2F">
        <w:trPr>
          <w:trHeight w:val="484"/>
        </w:trPr>
        <w:tc>
          <w:tcPr>
            <w:tcW w:w="1806" w:type="pct"/>
            <w:gridSpan w:val="4"/>
          </w:tcPr>
          <w:p w14:paraId="7800DC6A" w14:textId="77777777" w:rsidR="0021177B" w:rsidRPr="00486BA1" w:rsidRDefault="0021177B" w:rsidP="009E3B2F">
            <w:pPr>
              <w:contextualSpacing/>
              <w:rPr>
                <w:rFonts w:ascii="Futura Std Condensed Light" w:eastAsia="Calibri" w:hAnsi="Futura Std Condensed Light" w:cs="Calibri"/>
                <w:b/>
                <w:sz w:val="20"/>
                <w:szCs w:val="20"/>
              </w:rPr>
            </w:pPr>
            <w:r w:rsidRPr="00486BA1">
              <w:rPr>
                <w:rFonts w:ascii="Futura Std Condensed Light" w:eastAsia="Calibri" w:hAnsi="Futura Std Condensed Light" w:cs="Calibri"/>
                <w:b/>
                <w:sz w:val="20"/>
                <w:szCs w:val="20"/>
              </w:rPr>
              <w:t>Contribución Directa al Objetivo de la Agenda 2030</w:t>
            </w:r>
          </w:p>
        </w:tc>
        <w:tc>
          <w:tcPr>
            <w:tcW w:w="3194" w:type="pct"/>
            <w:gridSpan w:val="7"/>
          </w:tcPr>
          <w:p w14:paraId="5414C5F1" w14:textId="77777777" w:rsidR="0021177B" w:rsidRPr="00486BA1" w:rsidRDefault="0021177B" w:rsidP="009E3B2F">
            <w:pPr>
              <w:contextualSpacing/>
              <w:rPr>
                <w:rFonts w:ascii="Futura Std Condensed Light" w:eastAsia="Calibri" w:hAnsi="Futura Std Condensed Light" w:cs="Calibri"/>
                <w:sz w:val="20"/>
                <w:szCs w:val="20"/>
              </w:rPr>
            </w:pPr>
            <w:r w:rsidRPr="00486BA1">
              <w:rPr>
                <w:rFonts w:ascii="Futura Std Condensed Light" w:eastAsia="Calibri" w:hAnsi="Futura Std Condensed Light" w:cs="Calibri"/>
                <w:sz w:val="20"/>
                <w:szCs w:val="20"/>
              </w:rPr>
              <w:t>Garantizar una educación inclusiva, equitativa y de calidad y promover oportunidades de aprendizaje durante toda la vida para todos</w:t>
            </w:r>
          </w:p>
        </w:tc>
      </w:tr>
      <w:tr w:rsidR="0021177B" w:rsidRPr="00486BA1" w14:paraId="65527D84" w14:textId="77777777" w:rsidTr="009E3B2F">
        <w:trPr>
          <w:trHeight w:val="484"/>
        </w:trPr>
        <w:tc>
          <w:tcPr>
            <w:tcW w:w="1806" w:type="pct"/>
            <w:gridSpan w:val="4"/>
          </w:tcPr>
          <w:p w14:paraId="1868924F" w14:textId="77777777" w:rsidR="0021177B" w:rsidRPr="00486BA1" w:rsidRDefault="0021177B" w:rsidP="009E3B2F">
            <w:pPr>
              <w:contextualSpacing/>
              <w:rPr>
                <w:rFonts w:ascii="Futura Std Condensed Light" w:eastAsia="Calibri" w:hAnsi="Futura Std Condensed Light" w:cs="Calibri"/>
                <w:b/>
                <w:sz w:val="20"/>
                <w:szCs w:val="20"/>
              </w:rPr>
            </w:pPr>
            <w:r w:rsidRPr="00486BA1">
              <w:rPr>
                <w:rFonts w:ascii="Futura Std Condensed Light" w:eastAsia="Calibri" w:hAnsi="Futura Std Condensed Light" w:cs="Calibri"/>
                <w:b/>
                <w:sz w:val="20"/>
                <w:szCs w:val="20"/>
              </w:rPr>
              <w:t>Contribución Directa  a la Meta de la Agenda 2030</w:t>
            </w:r>
          </w:p>
        </w:tc>
        <w:tc>
          <w:tcPr>
            <w:tcW w:w="3194" w:type="pct"/>
            <w:gridSpan w:val="7"/>
          </w:tcPr>
          <w:p w14:paraId="7EC1A135" w14:textId="77777777" w:rsidR="0021177B" w:rsidRPr="00486BA1" w:rsidRDefault="0021177B" w:rsidP="009E3B2F">
            <w:pPr>
              <w:contextualSpacing/>
              <w:rPr>
                <w:rFonts w:ascii="Futura Std Condensed Light" w:eastAsia="Calibri" w:hAnsi="Futura Std Condensed Light" w:cs="Calibri"/>
                <w:sz w:val="20"/>
                <w:szCs w:val="20"/>
              </w:rPr>
            </w:pPr>
            <w:r w:rsidRPr="00486BA1">
              <w:rPr>
                <w:rFonts w:ascii="Futura Std Condensed Light" w:eastAsia="Calibri" w:hAnsi="Futura Std Condensed Light" w:cs="Calibri"/>
                <w:sz w:val="20"/>
                <w:szCs w:val="20"/>
              </w:rPr>
              <w:t>De aquí a 2030, asegurar que todos los jóvenes y una proporción considerable de los adultos, tanto hombres como mujeres, estén alfabetizados y tengan nociones elementales de aritmética</w:t>
            </w:r>
          </w:p>
        </w:tc>
      </w:tr>
      <w:tr w:rsidR="0021177B" w:rsidRPr="00486BA1" w14:paraId="546EC4A4" w14:textId="77777777" w:rsidTr="009E3B2F">
        <w:trPr>
          <w:trHeight w:val="484"/>
        </w:trPr>
        <w:tc>
          <w:tcPr>
            <w:tcW w:w="1806" w:type="pct"/>
            <w:gridSpan w:val="4"/>
          </w:tcPr>
          <w:p w14:paraId="28A6162F" w14:textId="77777777" w:rsidR="0021177B" w:rsidRPr="00486BA1" w:rsidRDefault="0021177B" w:rsidP="009E3B2F">
            <w:pPr>
              <w:contextualSpacing/>
              <w:rPr>
                <w:rFonts w:ascii="Futura Std Condensed Light" w:eastAsia="Calibri" w:hAnsi="Futura Std Condensed Light" w:cs="Calibri"/>
                <w:b/>
                <w:sz w:val="20"/>
                <w:szCs w:val="20"/>
              </w:rPr>
            </w:pPr>
            <w:r w:rsidRPr="00486BA1">
              <w:rPr>
                <w:rFonts w:ascii="Futura Std Condensed Light" w:eastAsia="Calibri" w:hAnsi="Futura Std Condensed Light" w:cs="Calibri"/>
                <w:b/>
                <w:sz w:val="20"/>
                <w:szCs w:val="20"/>
              </w:rPr>
              <w:t>Tema / Proyecto Prioritario de Quintana Roo</w:t>
            </w:r>
          </w:p>
        </w:tc>
        <w:tc>
          <w:tcPr>
            <w:tcW w:w="3194" w:type="pct"/>
            <w:gridSpan w:val="7"/>
          </w:tcPr>
          <w:p w14:paraId="06ADCBC4" w14:textId="77777777" w:rsidR="0021177B" w:rsidRPr="00486BA1" w:rsidRDefault="0021177B" w:rsidP="009E3B2F">
            <w:pPr>
              <w:contextualSpacing/>
              <w:rPr>
                <w:rFonts w:ascii="Futura Std Condensed Light" w:eastAsia="Calibri" w:hAnsi="Futura Std Condensed Light" w:cs="Calibri"/>
                <w:sz w:val="20"/>
                <w:szCs w:val="20"/>
              </w:rPr>
            </w:pPr>
            <w:r w:rsidRPr="00486BA1">
              <w:rPr>
                <w:rFonts w:ascii="Futura Std Condensed Light" w:eastAsia="Calibri" w:hAnsi="Futura Std Condensed Light" w:cs="Calibri"/>
                <w:sz w:val="20"/>
                <w:szCs w:val="20"/>
              </w:rPr>
              <w:t>24.5 Abatir el rezago educativo</w:t>
            </w:r>
          </w:p>
        </w:tc>
      </w:tr>
      <w:tr w:rsidR="0021177B" w:rsidRPr="00486BA1" w14:paraId="4CB2C0B7" w14:textId="77777777" w:rsidTr="009E3B2F">
        <w:trPr>
          <w:trHeight w:val="484"/>
        </w:trPr>
        <w:tc>
          <w:tcPr>
            <w:tcW w:w="1806" w:type="pct"/>
            <w:gridSpan w:val="4"/>
          </w:tcPr>
          <w:p w14:paraId="387AA863" w14:textId="77777777" w:rsidR="0021177B" w:rsidRPr="00486BA1" w:rsidRDefault="0021177B" w:rsidP="009E3B2F">
            <w:pPr>
              <w:contextualSpacing/>
              <w:rPr>
                <w:rFonts w:ascii="Futura Std Condensed Light" w:eastAsia="Calibri" w:hAnsi="Futura Std Condensed Light" w:cs="Calibri"/>
                <w:b/>
                <w:sz w:val="20"/>
                <w:szCs w:val="20"/>
              </w:rPr>
            </w:pPr>
            <w:r w:rsidRPr="00486BA1">
              <w:rPr>
                <w:rFonts w:ascii="Futura Std Condensed Light" w:eastAsia="Calibri" w:hAnsi="Futura Std Condensed Light" w:cs="Calibri"/>
                <w:b/>
                <w:sz w:val="20"/>
                <w:szCs w:val="20"/>
              </w:rPr>
              <w:t>Subtema Prioritario de Quintana Roo</w:t>
            </w:r>
          </w:p>
        </w:tc>
        <w:tc>
          <w:tcPr>
            <w:tcW w:w="3194" w:type="pct"/>
            <w:gridSpan w:val="7"/>
          </w:tcPr>
          <w:p w14:paraId="549AAB84" w14:textId="77777777" w:rsidR="0021177B" w:rsidRPr="00486BA1" w:rsidRDefault="0021177B" w:rsidP="009E3B2F">
            <w:pPr>
              <w:contextualSpacing/>
              <w:rPr>
                <w:rFonts w:ascii="Futura Std Condensed Light" w:eastAsia="Calibri" w:hAnsi="Futura Std Condensed Light" w:cs="Calibri"/>
                <w:sz w:val="20"/>
                <w:szCs w:val="20"/>
              </w:rPr>
            </w:pPr>
            <w:r w:rsidRPr="00486BA1">
              <w:rPr>
                <w:rFonts w:ascii="Futura Std Condensed Light" w:eastAsia="Calibri" w:hAnsi="Futura Std Condensed Light" w:cs="Calibri"/>
                <w:sz w:val="20"/>
                <w:szCs w:val="20"/>
              </w:rPr>
              <w:t>N/A</w:t>
            </w:r>
          </w:p>
        </w:tc>
      </w:tr>
      <w:tr w:rsidR="0021177B" w:rsidRPr="00486BA1" w14:paraId="66B2615E" w14:textId="77777777" w:rsidTr="009E3B2F">
        <w:trPr>
          <w:trHeight w:val="484"/>
        </w:trPr>
        <w:tc>
          <w:tcPr>
            <w:tcW w:w="5000" w:type="pct"/>
            <w:gridSpan w:val="11"/>
          </w:tcPr>
          <w:p w14:paraId="00981D8D" w14:textId="77777777" w:rsidR="0021177B" w:rsidRPr="00486BA1" w:rsidRDefault="0021177B" w:rsidP="009E3B2F">
            <w:pPr>
              <w:contextualSpacing/>
              <w:jc w:val="center"/>
              <w:rPr>
                <w:rFonts w:ascii="Futura Std Condensed Light" w:eastAsia="Calibri" w:hAnsi="Futura Std Condensed Light" w:cs="Calibri"/>
                <w:b/>
                <w:sz w:val="20"/>
                <w:szCs w:val="20"/>
              </w:rPr>
            </w:pPr>
            <w:r w:rsidRPr="00486BA1">
              <w:rPr>
                <w:rFonts w:ascii="Futura Std Condensed Light" w:eastAsia="Calibri" w:hAnsi="Futura Std Condensed Light" w:cs="Calibri"/>
                <w:b/>
                <w:sz w:val="20"/>
                <w:szCs w:val="20"/>
              </w:rPr>
              <w:t>Meta Total:</w:t>
            </w:r>
          </w:p>
        </w:tc>
      </w:tr>
      <w:tr w:rsidR="0021177B" w:rsidRPr="00486BA1" w14:paraId="676099E5" w14:textId="77777777" w:rsidTr="009E3B2F">
        <w:trPr>
          <w:trHeight w:val="484"/>
        </w:trPr>
        <w:tc>
          <w:tcPr>
            <w:tcW w:w="781" w:type="pct"/>
          </w:tcPr>
          <w:p w14:paraId="644E475D" w14:textId="77777777" w:rsidR="0021177B" w:rsidRPr="00486BA1" w:rsidRDefault="0021177B" w:rsidP="009E3B2F">
            <w:pPr>
              <w:contextualSpacing/>
              <w:jc w:val="center"/>
              <w:rPr>
                <w:rFonts w:ascii="Futura Std Condensed Light" w:eastAsia="Calibri" w:hAnsi="Futura Std Condensed Light" w:cs="Calibri"/>
                <w:b/>
                <w:sz w:val="20"/>
                <w:szCs w:val="20"/>
              </w:rPr>
            </w:pPr>
            <w:r w:rsidRPr="00486BA1">
              <w:rPr>
                <w:rFonts w:ascii="Futura Std Condensed Light" w:eastAsia="Calibri" w:hAnsi="Futura Std Condensed Light" w:cs="Calibri"/>
                <w:b/>
                <w:sz w:val="20"/>
                <w:szCs w:val="20"/>
              </w:rPr>
              <w:t>2017</w:t>
            </w:r>
          </w:p>
        </w:tc>
        <w:tc>
          <w:tcPr>
            <w:tcW w:w="783" w:type="pct"/>
            <w:gridSpan w:val="2"/>
          </w:tcPr>
          <w:p w14:paraId="2A149586" w14:textId="77777777" w:rsidR="0021177B" w:rsidRPr="00486BA1" w:rsidRDefault="0021177B" w:rsidP="009E3B2F">
            <w:pPr>
              <w:contextualSpacing/>
              <w:jc w:val="center"/>
              <w:rPr>
                <w:rFonts w:ascii="Futura Std Condensed Light" w:eastAsia="Calibri" w:hAnsi="Futura Std Condensed Light" w:cs="Calibri"/>
                <w:b/>
                <w:sz w:val="20"/>
                <w:szCs w:val="20"/>
              </w:rPr>
            </w:pPr>
            <w:r w:rsidRPr="00486BA1">
              <w:rPr>
                <w:rFonts w:ascii="Futura Std Condensed Light" w:eastAsia="Calibri" w:hAnsi="Futura Std Condensed Light" w:cs="Calibri"/>
                <w:b/>
                <w:sz w:val="20"/>
                <w:szCs w:val="20"/>
              </w:rPr>
              <w:t>2018</w:t>
            </w:r>
          </w:p>
        </w:tc>
        <w:tc>
          <w:tcPr>
            <w:tcW w:w="904" w:type="pct"/>
            <w:gridSpan w:val="3"/>
          </w:tcPr>
          <w:p w14:paraId="72B90E3E" w14:textId="77777777" w:rsidR="0021177B" w:rsidRPr="00486BA1" w:rsidRDefault="0021177B" w:rsidP="009E3B2F">
            <w:pPr>
              <w:contextualSpacing/>
              <w:jc w:val="center"/>
              <w:rPr>
                <w:rFonts w:ascii="Futura Std Condensed Light" w:eastAsia="Calibri" w:hAnsi="Futura Std Condensed Light" w:cs="Calibri"/>
                <w:b/>
                <w:sz w:val="20"/>
                <w:szCs w:val="20"/>
              </w:rPr>
            </w:pPr>
            <w:r w:rsidRPr="00486BA1">
              <w:rPr>
                <w:rFonts w:ascii="Futura Std Condensed Light" w:eastAsia="Calibri" w:hAnsi="Futura Std Condensed Light" w:cs="Calibri"/>
                <w:b/>
                <w:sz w:val="20"/>
                <w:szCs w:val="20"/>
              </w:rPr>
              <w:t>2019</w:t>
            </w:r>
          </w:p>
        </w:tc>
        <w:tc>
          <w:tcPr>
            <w:tcW w:w="723" w:type="pct"/>
            <w:gridSpan w:val="2"/>
          </w:tcPr>
          <w:p w14:paraId="40645530" w14:textId="77777777" w:rsidR="0021177B" w:rsidRPr="00486BA1" w:rsidRDefault="0021177B" w:rsidP="009E3B2F">
            <w:pPr>
              <w:contextualSpacing/>
              <w:jc w:val="center"/>
              <w:rPr>
                <w:rFonts w:ascii="Futura Std Condensed Light" w:eastAsia="Calibri" w:hAnsi="Futura Std Condensed Light" w:cs="Calibri"/>
                <w:b/>
                <w:sz w:val="20"/>
                <w:szCs w:val="20"/>
              </w:rPr>
            </w:pPr>
            <w:r w:rsidRPr="00486BA1">
              <w:rPr>
                <w:rFonts w:ascii="Futura Std Condensed Light" w:eastAsia="Calibri" w:hAnsi="Futura Std Condensed Light" w:cs="Calibri"/>
                <w:b/>
                <w:sz w:val="20"/>
                <w:szCs w:val="20"/>
              </w:rPr>
              <w:t>2020</w:t>
            </w:r>
          </w:p>
        </w:tc>
        <w:tc>
          <w:tcPr>
            <w:tcW w:w="963" w:type="pct"/>
            <w:gridSpan w:val="2"/>
          </w:tcPr>
          <w:p w14:paraId="6424E53B" w14:textId="77777777" w:rsidR="0021177B" w:rsidRPr="00486BA1" w:rsidRDefault="0021177B" w:rsidP="009E3B2F">
            <w:pPr>
              <w:contextualSpacing/>
              <w:jc w:val="center"/>
              <w:rPr>
                <w:rFonts w:ascii="Futura Std Condensed Light" w:eastAsia="Calibri" w:hAnsi="Futura Std Condensed Light" w:cs="Calibri"/>
                <w:b/>
                <w:sz w:val="20"/>
                <w:szCs w:val="20"/>
              </w:rPr>
            </w:pPr>
            <w:r w:rsidRPr="00486BA1">
              <w:rPr>
                <w:rFonts w:ascii="Futura Std Condensed Light" w:eastAsia="Calibri" w:hAnsi="Futura Std Condensed Light" w:cs="Calibri"/>
                <w:b/>
                <w:sz w:val="20"/>
                <w:szCs w:val="20"/>
              </w:rPr>
              <w:t>2021</w:t>
            </w:r>
          </w:p>
        </w:tc>
        <w:tc>
          <w:tcPr>
            <w:tcW w:w="846" w:type="pct"/>
          </w:tcPr>
          <w:p w14:paraId="767AFD9E" w14:textId="77777777" w:rsidR="0021177B" w:rsidRPr="00486BA1" w:rsidRDefault="0021177B" w:rsidP="009E3B2F">
            <w:pPr>
              <w:contextualSpacing/>
              <w:jc w:val="center"/>
              <w:rPr>
                <w:rFonts w:ascii="Futura Std Condensed Light" w:eastAsia="Calibri" w:hAnsi="Futura Std Condensed Light" w:cs="Calibri"/>
                <w:b/>
                <w:sz w:val="20"/>
                <w:szCs w:val="20"/>
              </w:rPr>
            </w:pPr>
            <w:r w:rsidRPr="00486BA1">
              <w:rPr>
                <w:rFonts w:ascii="Futura Std Condensed Light" w:eastAsia="Calibri" w:hAnsi="Futura Std Condensed Light" w:cs="Calibri"/>
                <w:b/>
                <w:sz w:val="20"/>
                <w:szCs w:val="20"/>
              </w:rPr>
              <w:t>2022</w:t>
            </w:r>
          </w:p>
        </w:tc>
      </w:tr>
      <w:tr w:rsidR="0021177B" w:rsidRPr="00486BA1" w14:paraId="095E358D" w14:textId="77777777" w:rsidTr="009E3B2F">
        <w:trPr>
          <w:trHeight w:val="484"/>
        </w:trPr>
        <w:tc>
          <w:tcPr>
            <w:tcW w:w="781" w:type="pct"/>
          </w:tcPr>
          <w:p w14:paraId="7FFCDE00" w14:textId="77777777" w:rsidR="0021177B" w:rsidRPr="00486BA1" w:rsidRDefault="0021177B" w:rsidP="009E3B2F">
            <w:pPr>
              <w:contextualSpacing/>
              <w:jc w:val="center"/>
              <w:rPr>
                <w:rFonts w:ascii="Futura Std Condensed Light" w:eastAsia="Calibri" w:hAnsi="Futura Std Condensed Light" w:cs="Calibri"/>
                <w:sz w:val="20"/>
                <w:szCs w:val="20"/>
              </w:rPr>
            </w:pPr>
            <w:r w:rsidRPr="00486BA1">
              <w:rPr>
                <w:rFonts w:ascii="Futura Std Condensed Light" w:eastAsia="Calibri" w:hAnsi="Futura Std Condensed Light" w:cs="Calibri"/>
                <w:sz w:val="20"/>
                <w:szCs w:val="20"/>
              </w:rPr>
              <w:t>2</w:t>
            </w:r>
          </w:p>
        </w:tc>
        <w:tc>
          <w:tcPr>
            <w:tcW w:w="783" w:type="pct"/>
            <w:gridSpan w:val="2"/>
          </w:tcPr>
          <w:p w14:paraId="22DD90DA" w14:textId="77777777" w:rsidR="0021177B" w:rsidRPr="00486BA1" w:rsidRDefault="0021177B" w:rsidP="009E3B2F">
            <w:pPr>
              <w:contextualSpacing/>
              <w:jc w:val="center"/>
              <w:rPr>
                <w:rFonts w:ascii="Futura Std Condensed Light" w:eastAsia="Calibri" w:hAnsi="Futura Std Condensed Light" w:cs="Calibri"/>
                <w:sz w:val="20"/>
                <w:szCs w:val="20"/>
              </w:rPr>
            </w:pPr>
            <w:r w:rsidRPr="00486BA1">
              <w:rPr>
                <w:rFonts w:ascii="Futura Std Condensed Light" w:eastAsia="Calibri" w:hAnsi="Futura Std Condensed Light" w:cs="Calibri"/>
                <w:sz w:val="20"/>
                <w:szCs w:val="20"/>
              </w:rPr>
              <w:t>2</w:t>
            </w:r>
          </w:p>
        </w:tc>
        <w:tc>
          <w:tcPr>
            <w:tcW w:w="904" w:type="pct"/>
            <w:gridSpan w:val="3"/>
          </w:tcPr>
          <w:p w14:paraId="290AAF92" w14:textId="77777777" w:rsidR="0021177B" w:rsidRPr="00486BA1" w:rsidRDefault="0021177B" w:rsidP="009E3B2F">
            <w:pPr>
              <w:contextualSpacing/>
              <w:jc w:val="center"/>
              <w:rPr>
                <w:rFonts w:ascii="Futura Std Condensed Light" w:eastAsia="Calibri" w:hAnsi="Futura Std Condensed Light" w:cs="Calibri"/>
                <w:sz w:val="20"/>
                <w:szCs w:val="20"/>
              </w:rPr>
            </w:pPr>
            <w:r w:rsidRPr="00486BA1">
              <w:rPr>
                <w:rFonts w:ascii="Futura Std Condensed Light" w:eastAsia="Calibri" w:hAnsi="Futura Std Condensed Light" w:cs="Calibri"/>
                <w:sz w:val="20"/>
                <w:szCs w:val="20"/>
              </w:rPr>
              <w:t>2</w:t>
            </w:r>
          </w:p>
        </w:tc>
        <w:tc>
          <w:tcPr>
            <w:tcW w:w="723" w:type="pct"/>
            <w:gridSpan w:val="2"/>
          </w:tcPr>
          <w:p w14:paraId="19FE4C9B" w14:textId="77777777" w:rsidR="0021177B" w:rsidRPr="00486BA1" w:rsidRDefault="0021177B" w:rsidP="009E3B2F">
            <w:pPr>
              <w:contextualSpacing/>
              <w:jc w:val="center"/>
              <w:rPr>
                <w:rFonts w:ascii="Futura Std Condensed Light" w:eastAsia="Calibri" w:hAnsi="Futura Std Condensed Light" w:cs="Calibri"/>
                <w:sz w:val="20"/>
                <w:szCs w:val="20"/>
              </w:rPr>
            </w:pPr>
            <w:r w:rsidRPr="00486BA1">
              <w:rPr>
                <w:rFonts w:ascii="Futura Std Condensed Light" w:eastAsia="Calibri" w:hAnsi="Futura Std Condensed Light" w:cs="Calibri"/>
                <w:sz w:val="20"/>
                <w:szCs w:val="20"/>
              </w:rPr>
              <w:t>2</w:t>
            </w:r>
          </w:p>
        </w:tc>
        <w:tc>
          <w:tcPr>
            <w:tcW w:w="963" w:type="pct"/>
            <w:gridSpan w:val="2"/>
          </w:tcPr>
          <w:p w14:paraId="4BCDA49C" w14:textId="77777777" w:rsidR="0021177B" w:rsidRPr="00486BA1" w:rsidRDefault="0021177B" w:rsidP="009E3B2F">
            <w:pPr>
              <w:contextualSpacing/>
              <w:jc w:val="center"/>
              <w:rPr>
                <w:rFonts w:ascii="Futura Std Condensed Light" w:eastAsia="Calibri" w:hAnsi="Futura Std Condensed Light" w:cs="Calibri"/>
                <w:sz w:val="20"/>
                <w:szCs w:val="20"/>
              </w:rPr>
            </w:pPr>
            <w:r w:rsidRPr="00486BA1">
              <w:rPr>
                <w:rFonts w:ascii="Futura Std Condensed Light" w:eastAsia="Calibri" w:hAnsi="Futura Std Condensed Light" w:cs="Calibri"/>
                <w:sz w:val="20"/>
                <w:szCs w:val="20"/>
              </w:rPr>
              <w:t>2</w:t>
            </w:r>
          </w:p>
        </w:tc>
        <w:tc>
          <w:tcPr>
            <w:tcW w:w="846" w:type="pct"/>
          </w:tcPr>
          <w:p w14:paraId="2B30C765" w14:textId="77777777" w:rsidR="0021177B" w:rsidRPr="00486BA1" w:rsidRDefault="0021177B" w:rsidP="009E3B2F">
            <w:pPr>
              <w:contextualSpacing/>
              <w:jc w:val="center"/>
              <w:rPr>
                <w:rFonts w:ascii="Futura Std Condensed Light" w:eastAsia="Calibri" w:hAnsi="Futura Std Condensed Light" w:cs="Calibri"/>
                <w:sz w:val="20"/>
                <w:szCs w:val="20"/>
              </w:rPr>
            </w:pPr>
            <w:r w:rsidRPr="00486BA1">
              <w:rPr>
                <w:rFonts w:ascii="Futura Std Condensed Light" w:eastAsia="Calibri" w:hAnsi="Futura Std Condensed Light" w:cs="Calibri"/>
                <w:sz w:val="20"/>
                <w:szCs w:val="20"/>
              </w:rPr>
              <w:t>2</w:t>
            </w:r>
          </w:p>
        </w:tc>
      </w:tr>
    </w:tbl>
    <w:p w14:paraId="57C59931" w14:textId="77777777" w:rsidR="00913635" w:rsidRDefault="00913635">
      <w:pPr>
        <w:spacing w:after="0" w:line="240" w:lineRule="auto"/>
        <w:jc w:val="left"/>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br w:type="page"/>
      </w:r>
    </w:p>
    <w:p w14:paraId="701ED8E5" w14:textId="344ACA85" w:rsidR="0021177B" w:rsidRDefault="00980EAE" w:rsidP="0021177B">
      <w:pPr>
        <w:jc w:val="center"/>
      </w:pPr>
      <w:r>
        <w:rPr>
          <w:rFonts w:eastAsia="Arial" w:cs="Times New Roman"/>
          <w:b/>
          <w:color w:val="4BACC6" w:themeColor="accent5"/>
        </w:rPr>
        <w:lastRenderedPageBreak/>
        <w:t>Cuadro 46</w:t>
      </w:r>
      <w:r w:rsidR="0021177B">
        <w:rPr>
          <w:rFonts w:eastAsia="Arial" w:cs="Times New Roman"/>
          <w:b/>
          <w:color w:val="4BACC6" w:themeColor="accent5"/>
        </w:rPr>
        <w:t>. Entregable y meta de la línea de acción 19 del PED</w:t>
      </w:r>
    </w:p>
    <w:tbl>
      <w:tblPr>
        <w:tblStyle w:val="Tablaconcuadrcula"/>
        <w:tblW w:w="5000" w:type="pct"/>
        <w:tblLook w:val="04A0" w:firstRow="1" w:lastRow="0" w:firstColumn="1" w:lastColumn="0" w:noHBand="0" w:noVBand="1"/>
      </w:tblPr>
      <w:tblGrid>
        <w:gridCol w:w="1489"/>
        <w:gridCol w:w="813"/>
        <w:gridCol w:w="679"/>
        <w:gridCol w:w="462"/>
        <w:gridCol w:w="687"/>
        <w:gridCol w:w="576"/>
        <w:gridCol w:w="462"/>
        <w:gridCol w:w="917"/>
        <w:gridCol w:w="1205"/>
        <w:gridCol w:w="7"/>
        <w:gridCol w:w="626"/>
        <w:gridCol w:w="1614"/>
      </w:tblGrid>
      <w:tr w:rsidR="0086391F" w:rsidRPr="003B479E" w14:paraId="7B069E20" w14:textId="77777777" w:rsidTr="003B479E">
        <w:trPr>
          <w:trHeight w:val="182"/>
        </w:trPr>
        <w:tc>
          <w:tcPr>
            <w:tcW w:w="1806" w:type="pct"/>
            <w:gridSpan w:val="4"/>
            <w:shd w:val="clear" w:color="auto" w:fill="A6A6A6" w:themeFill="background1" w:themeFillShade="A6"/>
          </w:tcPr>
          <w:p w14:paraId="6A73B0AA" w14:textId="77777777" w:rsidR="0021177B" w:rsidRPr="003B479E" w:rsidRDefault="0021177B" w:rsidP="009E3B2F">
            <w:pPr>
              <w:contextualSpacing/>
              <w:jc w:val="center"/>
              <w:rPr>
                <w:rFonts w:ascii="Futura Std Condensed Light" w:eastAsia="Calibri" w:hAnsi="Futura Std Condensed Light" w:cs="Calibri"/>
                <w:color w:val="auto"/>
                <w:sz w:val="20"/>
                <w:szCs w:val="20"/>
              </w:rPr>
            </w:pPr>
            <w:r w:rsidRPr="003B479E">
              <w:rPr>
                <w:rFonts w:ascii="Futura Std Condensed Light" w:eastAsia="Calibri" w:hAnsi="Futura Std Condensed Light" w:cs="Calibri"/>
                <w:color w:val="auto"/>
                <w:sz w:val="20"/>
                <w:szCs w:val="20"/>
              </w:rPr>
              <w:t>Programa PED</w:t>
            </w:r>
          </w:p>
        </w:tc>
        <w:tc>
          <w:tcPr>
            <w:tcW w:w="3194" w:type="pct"/>
            <w:gridSpan w:val="8"/>
            <w:shd w:val="clear" w:color="auto" w:fill="A6A6A6" w:themeFill="background1" w:themeFillShade="A6"/>
          </w:tcPr>
          <w:p w14:paraId="734D641D" w14:textId="77777777" w:rsidR="0021177B" w:rsidRPr="003B479E" w:rsidRDefault="0021177B" w:rsidP="009E3B2F">
            <w:pPr>
              <w:contextualSpacing/>
              <w:jc w:val="center"/>
              <w:rPr>
                <w:rFonts w:ascii="Futura Std Condensed Light" w:eastAsia="Calibri" w:hAnsi="Futura Std Condensed Light" w:cs="Calibri"/>
                <w:color w:val="auto"/>
                <w:sz w:val="20"/>
                <w:szCs w:val="20"/>
              </w:rPr>
            </w:pPr>
            <w:r w:rsidRPr="003B479E">
              <w:rPr>
                <w:rFonts w:ascii="Futura Std Condensed Light" w:eastAsia="Calibri" w:hAnsi="Futura Std Condensed Light" w:cs="Calibri"/>
                <w:color w:val="auto"/>
                <w:sz w:val="20"/>
                <w:szCs w:val="20"/>
              </w:rPr>
              <w:t>Programa Sectorial Educación Pública de Calidad</w:t>
            </w:r>
          </w:p>
        </w:tc>
      </w:tr>
      <w:tr w:rsidR="0021177B" w:rsidRPr="00E41400" w14:paraId="2CEB0BA0" w14:textId="77777777" w:rsidTr="009E3B2F">
        <w:trPr>
          <w:trHeight w:val="469"/>
        </w:trPr>
        <w:tc>
          <w:tcPr>
            <w:tcW w:w="1806" w:type="pct"/>
            <w:gridSpan w:val="4"/>
          </w:tcPr>
          <w:p w14:paraId="47ED198D" w14:textId="77777777" w:rsidR="0021177B" w:rsidRPr="00E41400" w:rsidRDefault="0021177B" w:rsidP="009E3B2F">
            <w:pPr>
              <w:contextualSpacing/>
              <w:rPr>
                <w:rFonts w:ascii="Futura Std Condensed Light" w:eastAsia="Calibri" w:hAnsi="Futura Std Condensed Light" w:cs="Calibri"/>
                <w:b/>
                <w:sz w:val="20"/>
                <w:szCs w:val="20"/>
              </w:rPr>
            </w:pPr>
            <w:r w:rsidRPr="00E41400">
              <w:rPr>
                <w:rFonts w:ascii="Futura Std Condensed Light" w:eastAsia="Calibri" w:hAnsi="Futura Std Condensed Light" w:cs="Calibri"/>
                <w:b/>
                <w:sz w:val="20"/>
                <w:szCs w:val="20"/>
              </w:rPr>
              <w:t>Línea de acción:</w:t>
            </w:r>
          </w:p>
        </w:tc>
        <w:tc>
          <w:tcPr>
            <w:tcW w:w="3194" w:type="pct"/>
            <w:gridSpan w:val="8"/>
          </w:tcPr>
          <w:p w14:paraId="6DFA0DA9" w14:textId="77777777" w:rsidR="0021177B" w:rsidRPr="00E41400" w:rsidRDefault="0021177B" w:rsidP="009E3B2F">
            <w:pPr>
              <w:contextualSpacing/>
              <w:rPr>
                <w:rFonts w:ascii="Futura Std Condensed Light" w:eastAsia="Calibri" w:hAnsi="Futura Std Condensed Light" w:cs="Calibri"/>
                <w:sz w:val="20"/>
                <w:szCs w:val="20"/>
              </w:rPr>
            </w:pPr>
            <w:r w:rsidRPr="00E41400">
              <w:rPr>
                <w:rFonts w:ascii="Futura Std Condensed Light" w:eastAsia="Calibri" w:hAnsi="Futura Std Condensed Light" w:cs="Calibri"/>
                <w:sz w:val="20"/>
                <w:szCs w:val="20"/>
              </w:rPr>
              <w:t>19.   Emprender un programa de intervención de escuelas públicas mediante el equipamiento y dignificación de las mismas.</w:t>
            </w:r>
            <w:r>
              <w:rPr>
                <w:rFonts w:ascii="Futura Std Condensed Light" w:eastAsia="Calibri" w:hAnsi="Futura Std Condensed Light" w:cs="Calibri"/>
                <w:sz w:val="20"/>
                <w:szCs w:val="20"/>
              </w:rPr>
              <w:t xml:space="preserve"> </w:t>
            </w:r>
          </w:p>
        </w:tc>
      </w:tr>
      <w:tr w:rsidR="0021177B" w:rsidRPr="00E41400" w14:paraId="1863C3BD" w14:textId="77777777" w:rsidTr="009E3B2F">
        <w:trPr>
          <w:trHeight w:val="484"/>
        </w:trPr>
        <w:tc>
          <w:tcPr>
            <w:tcW w:w="1806" w:type="pct"/>
            <w:gridSpan w:val="4"/>
          </w:tcPr>
          <w:p w14:paraId="5029BD16" w14:textId="77777777" w:rsidR="0021177B" w:rsidRPr="00E41400" w:rsidRDefault="0021177B" w:rsidP="009E3B2F">
            <w:pPr>
              <w:contextualSpacing/>
              <w:rPr>
                <w:rFonts w:ascii="Futura Std Condensed Light" w:eastAsia="Calibri" w:hAnsi="Futura Std Condensed Light" w:cs="Calibri"/>
                <w:b/>
                <w:sz w:val="20"/>
                <w:szCs w:val="20"/>
              </w:rPr>
            </w:pPr>
            <w:r w:rsidRPr="00E41400">
              <w:rPr>
                <w:rFonts w:ascii="Futura Std Condensed Light" w:eastAsia="Calibri" w:hAnsi="Futura Std Condensed Light" w:cs="Calibri"/>
                <w:b/>
                <w:sz w:val="20"/>
                <w:szCs w:val="20"/>
              </w:rPr>
              <w:t>Plan Estratégico Objetivo Especifico</w:t>
            </w:r>
          </w:p>
        </w:tc>
        <w:tc>
          <w:tcPr>
            <w:tcW w:w="3194" w:type="pct"/>
            <w:gridSpan w:val="8"/>
          </w:tcPr>
          <w:p w14:paraId="6C47C52A" w14:textId="77777777" w:rsidR="0021177B" w:rsidRPr="00E41400" w:rsidRDefault="0021177B" w:rsidP="009E3B2F">
            <w:pPr>
              <w:contextualSpacing/>
              <w:rPr>
                <w:rFonts w:ascii="Futura Std Condensed Light" w:eastAsia="Calibri" w:hAnsi="Futura Std Condensed Light" w:cs="Calibri"/>
                <w:sz w:val="20"/>
                <w:szCs w:val="20"/>
              </w:rPr>
            </w:pPr>
            <w:r w:rsidRPr="00E41400">
              <w:rPr>
                <w:rFonts w:ascii="Futura Std Condensed Light" w:eastAsia="Calibri" w:hAnsi="Futura Std Condensed Light" w:cs="Calibri"/>
                <w:sz w:val="20"/>
                <w:szCs w:val="20"/>
              </w:rPr>
              <w:t>Disminuir la desigualdad en sus diversas formas </w:t>
            </w:r>
          </w:p>
        </w:tc>
      </w:tr>
      <w:tr w:rsidR="0021177B" w:rsidRPr="00E41400" w14:paraId="48B84E7D" w14:textId="77777777" w:rsidTr="009E3B2F">
        <w:trPr>
          <w:trHeight w:val="484"/>
        </w:trPr>
        <w:tc>
          <w:tcPr>
            <w:tcW w:w="1208" w:type="pct"/>
            <w:gridSpan w:val="2"/>
          </w:tcPr>
          <w:p w14:paraId="4658D74B" w14:textId="77777777" w:rsidR="0021177B" w:rsidRPr="00E41400" w:rsidRDefault="0021177B" w:rsidP="009E3B2F">
            <w:pPr>
              <w:contextualSpacing/>
              <w:rPr>
                <w:rFonts w:ascii="Futura Std Condensed Light" w:eastAsia="Calibri" w:hAnsi="Futura Std Condensed Light" w:cs="Calibri"/>
                <w:b/>
                <w:sz w:val="20"/>
                <w:szCs w:val="20"/>
              </w:rPr>
            </w:pPr>
            <w:r w:rsidRPr="00E41400">
              <w:rPr>
                <w:rFonts w:ascii="Futura Std Condensed Light" w:eastAsia="Calibri" w:hAnsi="Futura Std Condensed Light" w:cs="Calibri"/>
                <w:b/>
                <w:sz w:val="20"/>
                <w:szCs w:val="20"/>
              </w:rPr>
              <w:t>Entregable:</w:t>
            </w:r>
          </w:p>
        </w:tc>
        <w:tc>
          <w:tcPr>
            <w:tcW w:w="958" w:type="pct"/>
            <w:gridSpan w:val="3"/>
          </w:tcPr>
          <w:p w14:paraId="59482379" w14:textId="77777777" w:rsidR="0021177B" w:rsidRPr="00E41400" w:rsidRDefault="0021177B" w:rsidP="009E3B2F">
            <w:pPr>
              <w:contextualSpacing/>
              <w:rPr>
                <w:rFonts w:ascii="Futura Std Condensed Light" w:eastAsia="Calibri" w:hAnsi="Futura Std Condensed Light" w:cs="Calibri"/>
                <w:sz w:val="20"/>
                <w:szCs w:val="20"/>
              </w:rPr>
            </w:pPr>
            <w:r w:rsidRPr="00E41400">
              <w:rPr>
                <w:rFonts w:ascii="Futura Std Condensed Light" w:eastAsia="Calibri" w:hAnsi="Futura Std Condensed Light" w:cs="Calibri"/>
                <w:sz w:val="20"/>
                <w:szCs w:val="20"/>
              </w:rPr>
              <w:t>Programa de intervención de escuelas</w:t>
            </w:r>
          </w:p>
        </w:tc>
        <w:tc>
          <w:tcPr>
            <w:tcW w:w="1660" w:type="pct"/>
            <w:gridSpan w:val="5"/>
          </w:tcPr>
          <w:p w14:paraId="3F85C0E2" w14:textId="77777777" w:rsidR="0021177B" w:rsidRPr="00E41400" w:rsidRDefault="0021177B" w:rsidP="009E3B2F">
            <w:pPr>
              <w:contextualSpacing/>
              <w:rPr>
                <w:rFonts w:ascii="Futura Std Condensed Light" w:eastAsia="Calibri" w:hAnsi="Futura Std Condensed Light" w:cs="Calibri"/>
                <w:b/>
                <w:sz w:val="20"/>
                <w:szCs w:val="20"/>
              </w:rPr>
            </w:pPr>
            <w:r w:rsidRPr="00E41400">
              <w:rPr>
                <w:rFonts w:ascii="Futura Std Condensed Light" w:eastAsia="Calibri" w:hAnsi="Futura Std Condensed Light" w:cs="Calibri"/>
                <w:b/>
                <w:sz w:val="20"/>
                <w:szCs w:val="20"/>
              </w:rPr>
              <w:t>Unidad de Medida:</w:t>
            </w:r>
          </w:p>
        </w:tc>
        <w:tc>
          <w:tcPr>
            <w:tcW w:w="1173" w:type="pct"/>
            <w:gridSpan w:val="2"/>
          </w:tcPr>
          <w:p w14:paraId="09457579" w14:textId="77777777" w:rsidR="0021177B" w:rsidRPr="00E41400" w:rsidRDefault="0021177B" w:rsidP="009E3B2F">
            <w:pPr>
              <w:contextualSpacing/>
              <w:rPr>
                <w:rFonts w:ascii="Futura Std Condensed Light" w:eastAsia="Calibri" w:hAnsi="Futura Std Condensed Light" w:cs="Calibri"/>
                <w:sz w:val="20"/>
                <w:szCs w:val="20"/>
              </w:rPr>
            </w:pPr>
            <w:r w:rsidRPr="00E41400">
              <w:rPr>
                <w:rFonts w:ascii="Futura Std Condensed Light" w:eastAsia="Calibri" w:hAnsi="Futura Std Condensed Light" w:cs="Calibri"/>
                <w:sz w:val="20"/>
                <w:szCs w:val="20"/>
              </w:rPr>
              <w:t>Escuela atendida</w:t>
            </w:r>
          </w:p>
        </w:tc>
      </w:tr>
      <w:tr w:rsidR="0021177B" w:rsidRPr="00E41400" w14:paraId="59316E46" w14:textId="77777777" w:rsidTr="009E3B2F">
        <w:trPr>
          <w:trHeight w:val="449"/>
        </w:trPr>
        <w:tc>
          <w:tcPr>
            <w:tcW w:w="1208" w:type="pct"/>
            <w:gridSpan w:val="2"/>
          </w:tcPr>
          <w:p w14:paraId="61A7FFB4" w14:textId="77777777" w:rsidR="0021177B" w:rsidRPr="00E41400" w:rsidRDefault="0021177B" w:rsidP="009E3B2F">
            <w:pPr>
              <w:contextualSpacing/>
              <w:rPr>
                <w:rFonts w:ascii="Futura Std Condensed Light" w:eastAsia="Calibri" w:hAnsi="Futura Std Condensed Light" w:cs="Calibri"/>
                <w:b/>
                <w:sz w:val="20"/>
                <w:szCs w:val="20"/>
              </w:rPr>
            </w:pPr>
            <w:r w:rsidRPr="00E41400">
              <w:rPr>
                <w:rFonts w:ascii="Futura Std Condensed Light" w:eastAsia="Calibri" w:hAnsi="Futura Std Condensed Light" w:cs="Calibri"/>
                <w:b/>
                <w:sz w:val="20"/>
                <w:szCs w:val="20"/>
              </w:rPr>
              <w:t>Descripción:</w:t>
            </w:r>
          </w:p>
        </w:tc>
        <w:tc>
          <w:tcPr>
            <w:tcW w:w="3792" w:type="pct"/>
            <w:gridSpan w:val="10"/>
          </w:tcPr>
          <w:p w14:paraId="0509849F" w14:textId="77777777" w:rsidR="0021177B" w:rsidRPr="00E41400" w:rsidRDefault="0021177B" w:rsidP="009E3B2F">
            <w:pPr>
              <w:contextualSpacing/>
              <w:rPr>
                <w:rFonts w:ascii="Futura Std Condensed Light" w:eastAsia="Calibri" w:hAnsi="Futura Std Condensed Light" w:cs="Calibri"/>
                <w:sz w:val="20"/>
                <w:szCs w:val="20"/>
              </w:rPr>
            </w:pPr>
            <w:r w:rsidRPr="00E41400">
              <w:rPr>
                <w:rFonts w:ascii="Futura Std Condensed Light" w:eastAsia="Calibri" w:hAnsi="Futura Std Condensed Light" w:cs="Calibri"/>
                <w:sz w:val="20"/>
                <w:szCs w:val="20"/>
              </w:rPr>
              <w:t>Planteles educativos del nivel básico atendidos para su mejoramiento por medio de rehabilitación y/o equipamiento, que reciben recursos de los diversos programas de inversión que ejecute el IFEQROO.</w:t>
            </w:r>
          </w:p>
        </w:tc>
      </w:tr>
      <w:tr w:rsidR="0021177B" w:rsidRPr="00E41400" w14:paraId="712118B6" w14:textId="77777777" w:rsidTr="009E3B2F">
        <w:trPr>
          <w:trHeight w:val="484"/>
        </w:trPr>
        <w:tc>
          <w:tcPr>
            <w:tcW w:w="1806" w:type="pct"/>
            <w:gridSpan w:val="4"/>
          </w:tcPr>
          <w:p w14:paraId="58605B34" w14:textId="77777777" w:rsidR="0021177B" w:rsidRPr="00E41400" w:rsidRDefault="0021177B" w:rsidP="009E3B2F">
            <w:pPr>
              <w:contextualSpacing/>
              <w:rPr>
                <w:rFonts w:ascii="Futura Std Condensed Light" w:eastAsia="Calibri" w:hAnsi="Futura Std Condensed Light" w:cs="Calibri"/>
                <w:b/>
                <w:sz w:val="20"/>
                <w:szCs w:val="20"/>
              </w:rPr>
            </w:pPr>
            <w:r w:rsidRPr="00E41400">
              <w:rPr>
                <w:rFonts w:ascii="Futura Std Condensed Light" w:eastAsia="Calibri" w:hAnsi="Futura Std Condensed Light" w:cs="Calibri"/>
                <w:b/>
                <w:sz w:val="20"/>
                <w:szCs w:val="20"/>
              </w:rPr>
              <w:t>Medio de verificación:</w:t>
            </w:r>
          </w:p>
        </w:tc>
        <w:tc>
          <w:tcPr>
            <w:tcW w:w="3194" w:type="pct"/>
            <w:gridSpan w:val="8"/>
          </w:tcPr>
          <w:p w14:paraId="0397C9B0" w14:textId="77777777" w:rsidR="0021177B" w:rsidRPr="00E41400" w:rsidRDefault="0021177B" w:rsidP="009E3B2F">
            <w:pPr>
              <w:contextualSpacing/>
              <w:rPr>
                <w:rFonts w:ascii="Futura Std Condensed Light" w:eastAsia="Calibri" w:hAnsi="Futura Std Condensed Light" w:cs="Calibri"/>
                <w:sz w:val="20"/>
                <w:szCs w:val="20"/>
              </w:rPr>
            </w:pPr>
            <w:r w:rsidRPr="00E41400">
              <w:rPr>
                <w:rFonts w:ascii="Futura Std Condensed Light" w:eastAsia="Calibri" w:hAnsi="Futura Std Condensed Light" w:cs="Calibri"/>
                <w:sz w:val="20"/>
                <w:szCs w:val="20"/>
              </w:rPr>
              <w:t xml:space="preserve">Base de datos de escuelas atendidas (página institucional del IFEQROO). </w:t>
            </w:r>
            <w:hyperlink r:id="rId25" w:history="1">
              <w:r w:rsidRPr="00E41400">
                <w:rPr>
                  <w:rFonts w:ascii="Futura Std Condensed Light" w:eastAsia="Calibri" w:hAnsi="Futura Std Condensed Light" w:cs="Calibri"/>
                  <w:sz w:val="20"/>
                  <w:szCs w:val="20"/>
                </w:rPr>
                <w:t>https://qroo.gob.mx/ifeqroo</w:t>
              </w:r>
            </w:hyperlink>
          </w:p>
        </w:tc>
      </w:tr>
      <w:tr w:rsidR="0021177B" w:rsidRPr="00E41400" w14:paraId="112B132C" w14:textId="77777777" w:rsidTr="009E3B2F">
        <w:trPr>
          <w:trHeight w:val="484"/>
        </w:trPr>
        <w:tc>
          <w:tcPr>
            <w:tcW w:w="1806" w:type="pct"/>
            <w:gridSpan w:val="4"/>
          </w:tcPr>
          <w:p w14:paraId="1DBDEBAA" w14:textId="77777777" w:rsidR="0021177B" w:rsidRPr="00E41400" w:rsidRDefault="0021177B" w:rsidP="009E3B2F">
            <w:pPr>
              <w:contextualSpacing/>
              <w:rPr>
                <w:rFonts w:ascii="Futura Std Condensed Light" w:eastAsia="Calibri" w:hAnsi="Futura Std Condensed Light" w:cs="Calibri"/>
                <w:b/>
                <w:sz w:val="20"/>
                <w:szCs w:val="20"/>
              </w:rPr>
            </w:pPr>
            <w:r w:rsidRPr="00E41400">
              <w:rPr>
                <w:rFonts w:ascii="Futura Std Condensed Light" w:eastAsia="Calibri" w:hAnsi="Futura Std Condensed Light" w:cs="Calibri"/>
                <w:b/>
                <w:sz w:val="20"/>
                <w:szCs w:val="20"/>
              </w:rPr>
              <w:t>Línea base:</w:t>
            </w:r>
          </w:p>
        </w:tc>
        <w:tc>
          <w:tcPr>
            <w:tcW w:w="904" w:type="pct"/>
            <w:gridSpan w:val="3"/>
          </w:tcPr>
          <w:p w14:paraId="1A06A1D1" w14:textId="77777777" w:rsidR="0021177B" w:rsidRPr="00E41400" w:rsidRDefault="0021177B" w:rsidP="009E3B2F">
            <w:pPr>
              <w:contextualSpacing/>
              <w:rPr>
                <w:rFonts w:ascii="Futura Std Condensed Light" w:eastAsia="Calibri" w:hAnsi="Futura Std Condensed Light" w:cs="Calibri"/>
                <w:sz w:val="20"/>
                <w:szCs w:val="20"/>
              </w:rPr>
            </w:pPr>
            <w:r w:rsidRPr="00E41400">
              <w:rPr>
                <w:rFonts w:ascii="Futura Std Condensed Light" w:eastAsia="Calibri" w:hAnsi="Futura Std Condensed Light" w:cs="Calibri"/>
                <w:sz w:val="20"/>
                <w:szCs w:val="20"/>
              </w:rPr>
              <w:t>0</w:t>
            </w:r>
          </w:p>
        </w:tc>
        <w:tc>
          <w:tcPr>
            <w:tcW w:w="1113" w:type="pct"/>
            <w:gridSpan w:val="2"/>
          </w:tcPr>
          <w:p w14:paraId="0B7A863A" w14:textId="77777777" w:rsidR="0021177B" w:rsidRPr="00E41400" w:rsidRDefault="0021177B" w:rsidP="009E3B2F">
            <w:pPr>
              <w:contextualSpacing/>
              <w:rPr>
                <w:rFonts w:ascii="Futura Std Condensed Light" w:eastAsia="Calibri" w:hAnsi="Futura Std Condensed Light" w:cs="Calibri"/>
                <w:sz w:val="20"/>
                <w:szCs w:val="20"/>
              </w:rPr>
            </w:pPr>
            <w:r w:rsidRPr="00E41400">
              <w:rPr>
                <w:rFonts w:ascii="Futura Std Condensed Light" w:eastAsia="Calibri" w:hAnsi="Futura Std Condensed Light" w:cs="Calibri"/>
                <w:sz w:val="20"/>
                <w:szCs w:val="20"/>
              </w:rPr>
              <w:t>Año de línea base:</w:t>
            </w:r>
          </w:p>
        </w:tc>
        <w:tc>
          <w:tcPr>
            <w:tcW w:w="1178" w:type="pct"/>
            <w:gridSpan w:val="3"/>
          </w:tcPr>
          <w:p w14:paraId="767C147E" w14:textId="77777777" w:rsidR="0021177B" w:rsidRPr="00E41400" w:rsidRDefault="0021177B" w:rsidP="009E3B2F">
            <w:pPr>
              <w:contextualSpacing/>
              <w:rPr>
                <w:rFonts w:ascii="Futura Std Condensed Light" w:eastAsia="Calibri" w:hAnsi="Futura Std Condensed Light" w:cs="Calibri"/>
                <w:sz w:val="20"/>
                <w:szCs w:val="20"/>
              </w:rPr>
            </w:pPr>
            <w:r w:rsidRPr="00E41400">
              <w:rPr>
                <w:rFonts w:ascii="Futura Std Condensed Light" w:eastAsia="Calibri" w:hAnsi="Futura Std Condensed Light" w:cs="Calibri"/>
                <w:sz w:val="20"/>
                <w:szCs w:val="20"/>
              </w:rPr>
              <w:t>2017</w:t>
            </w:r>
          </w:p>
        </w:tc>
      </w:tr>
      <w:tr w:rsidR="0021177B" w:rsidRPr="00E41400" w14:paraId="2AEBA697" w14:textId="77777777" w:rsidTr="009E3B2F">
        <w:trPr>
          <w:trHeight w:val="484"/>
        </w:trPr>
        <w:tc>
          <w:tcPr>
            <w:tcW w:w="1806" w:type="pct"/>
            <w:gridSpan w:val="4"/>
          </w:tcPr>
          <w:p w14:paraId="3C8B39F4" w14:textId="77777777" w:rsidR="0021177B" w:rsidRPr="00E41400" w:rsidRDefault="0021177B" w:rsidP="009E3B2F">
            <w:pPr>
              <w:contextualSpacing/>
              <w:rPr>
                <w:rFonts w:ascii="Futura Std Condensed Light" w:eastAsia="Calibri" w:hAnsi="Futura Std Condensed Light" w:cs="Calibri"/>
                <w:b/>
                <w:sz w:val="20"/>
                <w:szCs w:val="20"/>
              </w:rPr>
            </w:pPr>
            <w:r w:rsidRPr="00E41400">
              <w:rPr>
                <w:rFonts w:ascii="Futura Std Condensed Light" w:eastAsia="Calibri" w:hAnsi="Futura Std Condensed Light" w:cs="Calibri"/>
                <w:b/>
                <w:sz w:val="20"/>
                <w:szCs w:val="20"/>
              </w:rPr>
              <w:t>Contribución Directa al Objetivo de la Agenda 2030</w:t>
            </w:r>
          </w:p>
        </w:tc>
        <w:tc>
          <w:tcPr>
            <w:tcW w:w="3194" w:type="pct"/>
            <w:gridSpan w:val="8"/>
          </w:tcPr>
          <w:p w14:paraId="443B1D9B" w14:textId="77777777" w:rsidR="0021177B" w:rsidRPr="00E41400" w:rsidRDefault="0021177B" w:rsidP="009E3B2F">
            <w:pPr>
              <w:contextualSpacing/>
              <w:rPr>
                <w:rFonts w:ascii="Futura Std Condensed Light" w:eastAsia="Calibri" w:hAnsi="Futura Std Condensed Light" w:cs="Calibri"/>
                <w:sz w:val="20"/>
                <w:szCs w:val="20"/>
              </w:rPr>
            </w:pPr>
            <w:r w:rsidRPr="00E41400">
              <w:rPr>
                <w:rFonts w:ascii="Futura Std Condensed Light" w:eastAsia="Calibri" w:hAnsi="Futura Std Condensed Light" w:cs="Calibri"/>
                <w:sz w:val="20"/>
                <w:szCs w:val="20"/>
              </w:rPr>
              <w:t>Garantizar una educación inclusiva, equitativa y de calidad y promover oportunidades de aprendizaje durante toda la vida para todos</w:t>
            </w:r>
          </w:p>
        </w:tc>
      </w:tr>
      <w:tr w:rsidR="0021177B" w:rsidRPr="00E41400" w14:paraId="2D6E76E4" w14:textId="77777777" w:rsidTr="009E3B2F">
        <w:trPr>
          <w:trHeight w:val="484"/>
        </w:trPr>
        <w:tc>
          <w:tcPr>
            <w:tcW w:w="1806" w:type="pct"/>
            <w:gridSpan w:val="4"/>
          </w:tcPr>
          <w:p w14:paraId="2D62BC2F" w14:textId="77777777" w:rsidR="0021177B" w:rsidRPr="00E41400" w:rsidRDefault="0021177B" w:rsidP="009E3B2F">
            <w:pPr>
              <w:contextualSpacing/>
              <w:rPr>
                <w:rFonts w:ascii="Futura Std Condensed Light" w:eastAsia="Calibri" w:hAnsi="Futura Std Condensed Light" w:cs="Calibri"/>
                <w:b/>
                <w:sz w:val="20"/>
                <w:szCs w:val="20"/>
              </w:rPr>
            </w:pPr>
            <w:r w:rsidRPr="00E41400">
              <w:rPr>
                <w:rFonts w:ascii="Futura Std Condensed Light" w:eastAsia="Calibri" w:hAnsi="Futura Std Condensed Light" w:cs="Calibri"/>
                <w:b/>
                <w:sz w:val="20"/>
                <w:szCs w:val="20"/>
              </w:rPr>
              <w:t>Contribución Directa  a la Meta de la Agenda 2030</w:t>
            </w:r>
          </w:p>
        </w:tc>
        <w:tc>
          <w:tcPr>
            <w:tcW w:w="3194" w:type="pct"/>
            <w:gridSpan w:val="8"/>
          </w:tcPr>
          <w:p w14:paraId="3FDA1BEF" w14:textId="77777777" w:rsidR="0021177B" w:rsidRPr="00E41400" w:rsidRDefault="0021177B" w:rsidP="009E3B2F">
            <w:pPr>
              <w:contextualSpacing/>
              <w:rPr>
                <w:rFonts w:ascii="Futura Std Condensed Light" w:eastAsia="Calibri" w:hAnsi="Futura Std Condensed Light" w:cs="Calibri"/>
                <w:sz w:val="20"/>
                <w:szCs w:val="20"/>
              </w:rPr>
            </w:pPr>
            <w:r w:rsidRPr="00E41400">
              <w:rPr>
                <w:rFonts w:ascii="Futura Std Condensed Light" w:eastAsia="Calibri" w:hAnsi="Futura Std Condensed Light" w:cs="Calibri"/>
                <w:sz w:val="20"/>
                <w:szCs w:val="20"/>
              </w:rPr>
              <w:t>Construir y adecuar instalaciones educativas que tengan en cuenta las necesidades de los niños y las personas con discapacidad y las diferencias de género, y que ofrezcan entornos de aprendizaje seguros, no violentos, inclusivos y eficaces para todos.</w:t>
            </w:r>
          </w:p>
        </w:tc>
      </w:tr>
      <w:tr w:rsidR="0021177B" w:rsidRPr="00E41400" w14:paraId="4D78D46C" w14:textId="77777777" w:rsidTr="009E3B2F">
        <w:trPr>
          <w:trHeight w:val="484"/>
        </w:trPr>
        <w:tc>
          <w:tcPr>
            <w:tcW w:w="1806" w:type="pct"/>
            <w:gridSpan w:val="4"/>
          </w:tcPr>
          <w:p w14:paraId="01D3E538" w14:textId="77777777" w:rsidR="0021177B" w:rsidRPr="00E41400" w:rsidRDefault="0021177B" w:rsidP="009E3B2F">
            <w:pPr>
              <w:contextualSpacing/>
              <w:rPr>
                <w:rFonts w:ascii="Futura Std Condensed Light" w:eastAsia="Calibri" w:hAnsi="Futura Std Condensed Light" w:cs="Calibri"/>
                <w:b/>
                <w:sz w:val="20"/>
                <w:szCs w:val="20"/>
              </w:rPr>
            </w:pPr>
            <w:r w:rsidRPr="00E41400">
              <w:rPr>
                <w:rFonts w:ascii="Futura Std Condensed Light" w:eastAsia="Calibri" w:hAnsi="Futura Std Condensed Light" w:cs="Calibri"/>
                <w:b/>
                <w:sz w:val="20"/>
                <w:szCs w:val="20"/>
              </w:rPr>
              <w:t>Tema / Proyecto Prioritario de Quintana Roo</w:t>
            </w:r>
          </w:p>
        </w:tc>
        <w:tc>
          <w:tcPr>
            <w:tcW w:w="3194" w:type="pct"/>
            <w:gridSpan w:val="8"/>
          </w:tcPr>
          <w:p w14:paraId="390D4766" w14:textId="77777777" w:rsidR="0021177B" w:rsidRPr="00E41400" w:rsidRDefault="0021177B" w:rsidP="009E3B2F">
            <w:pPr>
              <w:contextualSpacing/>
              <w:rPr>
                <w:rFonts w:ascii="Futura Std Condensed Light" w:eastAsia="Calibri" w:hAnsi="Futura Std Condensed Light" w:cs="Calibri"/>
                <w:sz w:val="20"/>
                <w:szCs w:val="20"/>
              </w:rPr>
            </w:pPr>
            <w:r w:rsidRPr="00E41400">
              <w:rPr>
                <w:rFonts w:ascii="Futura Std Condensed Light" w:eastAsia="Calibri" w:hAnsi="Futura Std Condensed Light" w:cs="Calibri"/>
                <w:sz w:val="20"/>
                <w:szCs w:val="20"/>
              </w:rPr>
              <w:t>24.6 Infraestructura educativa</w:t>
            </w:r>
          </w:p>
        </w:tc>
      </w:tr>
      <w:tr w:rsidR="0021177B" w:rsidRPr="00E41400" w14:paraId="003A4092" w14:textId="77777777" w:rsidTr="009E3B2F">
        <w:trPr>
          <w:trHeight w:val="484"/>
        </w:trPr>
        <w:tc>
          <w:tcPr>
            <w:tcW w:w="1806" w:type="pct"/>
            <w:gridSpan w:val="4"/>
          </w:tcPr>
          <w:p w14:paraId="2F79FED7" w14:textId="77777777" w:rsidR="0021177B" w:rsidRPr="00E41400" w:rsidRDefault="0021177B" w:rsidP="009E3B2F">
            <w:pPr>
              <w:contextualSpacing/>
              <w:rPr>
                <w:rFonts w:ascii="Futura Std Condensed Light" w:eastAsia="Calibri" w:hAnsi="Futura Std Condensed Light" w:cs="Calibri"/>
                <w:b/>
                <w:sz w:val="20"/>
                <w:szCs w:val="20"/>
              </w:rPr>
            </w:pPr>
            <w:r w:rsidRPr="00E41400">
              <w:rPr>
                <w:rFonts w:ascii="Futura Std Condensed Light" w:eastAsia="Calibri" w:hAnsi="Futura Std Condensed Light" w:cs="Calibri"/>
                <w:b/>
                <w:sz w:val="20"/>
                <w:szCs w:val="20"/>
              </w:rPr>
              <w:t>Subtema Prioritario de Quintana Roo</w:t>
            </w:r>
          </w:p>
        </w:tc>
        <w:tc>
          <w:tcPr>
            <w:tcW w:w="3194" w:type="pct"/>
            <w:gridSpan w:val="8"/>
          </w:tcPr>
          <w:p w14:paraId="76323C25" w14:textId="77777777" w:rsidR="0021177B" w:rsidRPr="00E41400" w:rsidRDefault="0021177B" w:rsidP="009E3B2F">
            <w:pPr>
              <w:contextualSpacing/>
              <w:rPr>
                <w:rFonts w:ascii="Futura Std Condensed Light" w:eastAsia="Calibri" w:hAnsi="Futura Std Condensed Light" w:cs="Calibri"/>
                <w:sz w:val="20"/>
                <w:szCs w:val="20"/>
              </w:rPr>
            </w:pPr>
            <w:r w:rsidRPr="00E41400">
              <w:rPr>
                <w:rFonts w:ascii="Futura Std Condensed Light" w:eastAsia="Calibri" w:hAnsi="Futura Std Condensed Light" w:cs="Calibri"/>
                <w:sz w:val="20"/>
                <w:szCs w:val="20"/>
              </w:rPr>
              <w:t>N/A</w:t>
            </w:r>
          </w:p>
        </w:tc>
      </w:tr>
      <w:tr w:rsidR="0021177B" w:rsidRPr="00E41400" w14:paraId="06BEA7FA" w14:textId="77777777" w:rsidTr="009E3B2F">
        <w:trPr>
          <w:trHeight w:val="484"/>
        </w:trPr>
        <w:tc>
          <w:tcPr>
            <w:tcW w:w="5000" w:type="pct"/>
            <w:gridSpan w:val="12"/>
          </w:tcPr>
          <w:p w14:paraId="55CBCE85" w14:textId="77777777" w:rsidR="0021177B" w:rsidRPr="00E41400" w:rsidRDefault="0021177B" w:rsidP="009E3B2F">
            <w:pPr>
              <w:contextualSpacing/>
              <w:jc w:val="center"/>
              <w:rPr>
                <w:rFonts w:ascii="Futura Std Condensed Light" w:eastAsia="Calibri" w:hAnsi="Futura Std Condensed Light" w:cs="Calibri"/>
                <w:b/>
                <w:sz w:val="20"/>
                <w:szCs w:val="20"/>
              </w:rPr>
            </w:pPr>
            <w:r w:rsidRPr="00E41400">
              <w:rPr>
                <w:rFonts w:ascii="Futura Std Condensed Light" w:eastAsia="Calibri" w:hAnsi="Futura Std Condensed Light" w:cs="Calibri"/>
                <w:b/>
                <w:sz w:val="20"/>
                <w:szCs w:val="20"/>
              </w:rPr>
              <w:t>Meta Total:</w:t>
            </w:r>
          </w:p>
        </w:tc>
      </w:tr>
      <w:tr w:rsidR="0021177B" w:rsidRPr="00E41400" w14:paraId="72699190" w14:textId="77777777" w:rsidTr="009E3B2F">
        <w:trPr>
          <w:trHeight w:val="484"/>
        </w:trPr>
        <w:tc>
          <w:tcPr>
            <w:tcW w:w="781" w:type="pct"/>
          </w:tcPr>
          <w:p w14:paraId="5B3ED3A5" w14:textId="77777777" w:rsidR="0021177B" w:rsidRPr="00E41400" w:rsidRDefault="0021177B" w:rsidP="009E3B2F">
            <w:pPr>
              <w:contextualSpacing/>
              <w:jc w:val="center"/>
              <w:rPr>
                <w:rFonts w:ascii="Futura Std Condensed Light" w:eastAsia="Calibri" w:hAnsi="Futura Std Condensed Light" w:cs="Calibri"/>
                <w:b/>
                <w:sz w:val="20"/>
                <w:szCs w:val="20"/>
              </w:rPr>
            </w:pPr>
            <w:r w:rsidRPr="00E41400">
              <w:rPr>
                <w:rFonts w:ascii="Futura Std Condensed Light" w:eastAsia="Calibri" w:hAnsi="Futura Std Condensed Light" w:cs="Calibri"/>
                <w:b/>
                <w:sz w:val="20"/>
                <w:szCs w:val="20"/>
              </w:rPr>
              <w:t>2017</w:t>
            </w:r>
          </w:p>
        </w:tc>
        <w:tc>
          <w:tcPr>
            <w:tcW w:w="783" w:type="pct"/>
            <w:gridSpan w:val="2"/>
          </w:tcPr>
          <w:p w14:paraId="144A5921" w14:textId="77777777" w:rsidR="0021177B" w:rsidRPr="00E41400" w:rsidRDefault="0021177B" w:rsidP="009E3B2F">
            <w:pPr>
              <w:contextualSpacing/>
              <w:jc w:val="center"/>
              <w:rPr>
                <w:rFonts w:ascii="Futura Std Condensed Light" w:eastAsia="Calibri" w:hAnsi="Futura Std Condensed Light" w:cs="Calibri"/>
                <w:b/>
                <w:sz w:val="20"/>
                <w:szCs w:val="20"/>
              </w:rPr>
            </w:pPr>
            <w:r w:rsidRPr="00E41400">
              <w:rPr>
                <w:rFonts w:ascii="Futura Std Condensed Light" w:eastAsia="Calibri" w:hAnsi="Futura Std Condensed Light" w:cs="Calibri"/>
                <w:b/>
                <w:sz w:val="20"/>
                <w:szCs w:val="20"/>
              </w:rPr>
              <w:t>2018</w:t>
            </w:r>
          </w:p>
        </w:tc>
        <w:tc>
          <w:tcPr>
            <w:tcW w:w="904" w:type="pct"/>
            <w:gridSpan w:val="3"/>
          </w:tcPr>
          <w:p w14:paraId="034A07F5" w14:textId="77777777" w:rsidR="0021177B" w:rsidRPr="00E41400" w:rsidRDefault="0021177B" w:rsidP="009E3B2F">
            <w:pPr>
              <w:contextualSpacing/>
              <w:jc w:val="center"/>
              <w:rPr>
                <w:rFonts w:ascii="Futura Std Condensed Light" w:eastAsia="Calibri" w:hAnsi="Futura Std Condensed Light" w:cs="Calibri"/>
                <w:b/>
                <w:sz w:val="20"/>
                <w:szCs w:val="20"/>
              </w:rPr>
            </w:pPr>
            <w:r w:rsidRPr="00E41400">
              <w:rPr>
                <w:rFonts w:ascii="Futura Std Condensed Light" w:eastAsia="Calibri" w:hAnsi="Futura Std Condensed Light" w:cs="Calibri"/>
                <w:b/>
                <w:sz w:val="20"/>
                <w:szCs w:val="20"/>
              </w:rPr>
              <w:t>2019</w:t>
            </w:r>
          </w:p>
        </w:tc>
        <w:tc>
          <w:tcPr>
            <w:tcW w:w="723" w:type="pct"/>
            <w:gridSpan w:val="2"/>
          </w:tcPr>
          <w:p w14:paraId="4A1FE1A0" w14:textId="77777777" w:rsidR="0021177B" w:rsidRPr="00E41400" w:rsidRDefault="0021177B" w:rsidP="009E3B2F">
            <w:pPr>
              <w:contextualSpacing/>
              <w:jc w:val="center"/>
              <w:rPr>
                <w:rFonts w:ascii="Futura Std Condensed Light" w:eastAsia="Calibri" w:hAnsi="Futura Std Condensed Light" w:cs="Calibri"/>
                <w:b/>
                <w:sz w:val="20"/>
                <w:szCs w:val="20"/>
              </w:rPr>
            </w:pPr>
            <w:r w:rsidRPr="00E41400">
              <w:rPr>
                <w:rFonts w:ascii="Futura Std Condensed Light" w:eastAsia="Calibri" w:hAnsi="Futura Std Condensed Light" w:cs="Calibri"/>
                <w:b/>
                <w:sz w:val="20"/>
                <w:szCs w:val="20"/>
              </w:rPr>
              <w:t>2020</w:t>
            </w:r>
          </w:p>
        </w:tc>
        <w:tc>
          <w:tcPr>
            <w:tcW w:w="963" w:type="pct"/>
            <w:gridSpan w:val="3"/>
          </w:tcPr>
          <w:p w14:paraId="441F83A1" w14:textId="77777777" w:rsidR="0021177B" w:rsidRPr="00E41400" w:rsidRDefault="0021177B" w:rsidP="009E3B2F">
            <w:pPr>
              <w:contextualSpacing/>
              <w:jc w:val="center"/>
              <w:rPr>
                <w:rFonts w:ascii="Futura Std Condensed Light" w:eastAsia="Calibri" w:hAnsi="Futura Std Condensed Light" w:cs="Calibri"/>
                <w:b/>
                <w:sz w:val="20"/>
                <w:szCs w:val="20"/>
              </w:rPr>
            </w:pPr>
            <w:r w:rsidRPr="00E41400">
              <w:rPr>
                <w:rFonts w:ascii="Futura Std Condensed Light" w:eastAsia="Calibri" w:hAnsi="Futura Std Condensed Light" w:cs="Calibri"/>
                <w:b/>
                <w:sz w:val="20"/>
                <w:szCs w:val="20"/>
              </w:rPr>
              <w:t>2021</w:t>
            </w:r>
          </w:p>
        </w:tc>
        <w:tc>
          <w:tcPr>
            <w:tcW w:w="846" w:type="pct"/>
          </w:tcPr>
          <w:p w14:paraId="0809936E" w14:textId="77777777" w:rsidR="0021177B" w:rsidRPr="00E41400" w:rsidRDefault="0021177B" w:rsidP="009E3B2F">
            <w:pPr>
              <w:contextualSpacing/>
              <w:jc w:val="center"/>
              <w:rPr>
                <w:rFonts w:ascii="Futura Std Condensed Light" w:eastAsia="Calibri" w:hAnsi="Futura Std Condensed Light" w:cs="Calibri"/>
                <w:b/>
                <w:sz w:val="20"/>
                <w:szCs w:val="20"/>
              </w:rPr>
            </w:pPr>
            <w:r w:rsidRPr="00E41400">
              <w:rPr>
                <w:rFonts w:ascii="Futura Std Condensed Light" w:eastAsia="Calibri" w:hAnsi="Futura Std Condensed Light" w:cs="Calibri"/>
                <w:b/>
                <w:sz w:val="20"/>
                <w:szCs w:val="20"/>
              </w:rPr>
              <w:t>2022</w:t>
            </w:r>
          </w:p>
        </w:tc>
      </w:tr>
      <w:tr w:rsidR="0021177B" w:rsidRPr="00E41400" w14:paraId="21B7D964" w14:textId="77777777" w:rsidTr="009E3B2F">
        <w:trPr>
          <w:trHeight w:val="484"/>
        </w:trPr>
        <w:tc>
          <w:tcPr>
            <w:tcW w:w="781" w:type="pct"/>
          </w:tcPr>
          <w:p w14:paraId="570240C4" w14:textId="77777777" w:rsidR="0021177B" w:rsidRPr="00E41400" w:rsidRDefault="0021177B" w:rsidP="009E3B2F">
            <w:pPr>
              <w:contextualSpacing/>
              <w:jc w:val="center"/>
              <w:rPr>
                <w:rFonts w:ascii="Futura Std Condensed Light" w:eastAsia="Calibri" w:hAnsi="Futura Std Condensed Light" w:cs="Calibri"/>
                <w:sz w:val="20"/>
                <w:szCs w:val="20"/>
              </w:rPr>
            </w:pPr>
            <w:r w:rsidRPr="00E41400">
              <w:rPr>
                <w:rFonts w:ascii="Futura Std Condensed Light" w:eastAsia="Calibri" w:hAnsi="Futura Std Condensed Light" w:cs="Calibri"/>
                <w:sz w:val="20"/>
                <w:szCs w:val="20"/>
              </w:rPr>
              <w:t>0</w:t>
            </w:r>
          </w:p>
        </w:tc>
        <w:tc>
          <w:tcPr>
            <w:tcW w:w="783" w:type="pct"/>
            <w:gridSpan w:val="2"/>
          </w:tcPr>
          <w:p w14:paraId="0C7B77FF" w14:textId="77777777" w:rsidR="0021177B" w:rsidRPr="00E41400" w:rsidRDefault="0021177B" w:rsidP="009E3B2F">
            <w:pPr>
              <w:contextualSpacing/>
              <w:jc w:val="center"/>
              <w:rPr>
                <w:rFonts w:ascii="Futura Std Condensed Light" w:eastAsia="Calibri" w:hAnsi="Futura Std Condensed Light" w:cs="Calibri"/>
                <w:sz w:val="20"/>
                <w:szCs w:val="20"/>
              </w:rPr>
            </w:pPr>
            <w:r w:rsidRPr="00E41400">
              <w:rPr>
                <w:rFonts w:ascii="Futura Std Condensed Light" w:eastAsia="Calibri" w:hAnsi="Futura Std Condensed Light" w:cs="Calibri"/>
                <w:sz w:val="20"/>
                <w:szCs w:val="20"/>
              </w:rPr>
              <w:t>624</w:t>
            </w:r>
          </w:p>
        </w:tc>
        <w:tc>
          <w:tcPr>
            <w:tcW w:w="904" w:type="pct"/>
            <w:gridSpan w:val="3"/>
          </w:tcPr>
          <w:p w14:paraId="77B72E7A" w14:textId="77777777" w:rsidR="0021177B" w:rsidRPr="00E41400" w:rsidRDefault="0021177B" w:rsidP="009E3B2F">
            <w:pPr>
              <w:contextualSpacing/>
              <w:jc w:val="center"/>
              <w:rPr>
                <w:rFonts w:ascii="Futura Std Condensed Light" w:eastAsia="Calibri" w:hAnsi="Futura Std Condensed Light" w:cs="Calibri"/>
                <w:sz w:val="20"/>
                <w:szCs w:val="20"/>
              </w:rPr>
            </w:pPr>
            <w:r w:rsidRPr="00E41400">
              <w:rPr>
                <w:rFonts w:ascii="Futura Std Condensed Light" w:eastAsia="Calibri" w:hAnsi="Futura Std Condensed Light" w:cs="Calibri"/>
                <w:sz w:val="20"/>
                <w:szCs w:val="20"/>
              </w:rPr>
              <w:t>490</w:t>
            </w:r>
          </w:p>
        </w:tc>
        <w:tc>
          <w:tcPr>
            <w:tcW w:w="723" w:type="pct"/>
            <w:gridSpan w:val="2"/>
          </w:tcPr>
          <w:p w14:paraId="497EEB0B" w14:textId="77777777" w:rsidR="0021177B" w:rsidRPr="00E41400" w:rsidRDefault="0021177B" w:rsidP="009E3B2F">
            <w:pPr>
              <w:contextualSpacing/>
              <w:jc w:val="center"/>
              <w:rPr>
                <w:rFonts w:ascii="Futura Std Condensed Light" w:eastAsia="Calibri" w:hAnsi="Futura Std Condensed Light" w:cs="Calibri"/>
                <w:sz w:val="20"/>
                <w:szCs w:val="20"/>
              </w:rPr>
            </w:pPr>
            <w:r w:rsidRPr="00E41400">
              <w:rPr>
                <w:rFonts w:ascii="Futura Std Condensed Light" w:eastAsia="Calibri" w:hAnsi="Futura Std Condensed Light" w:cs="Calibri"/>
                <w:sz w:val="20"/>
                <w:szCs w:val="20"/>
              </w:rPr>
              <w:t>489</w:t>
            </w:r>
          </w:p>
        </w:tc>
        <w:tc>
          <w:tcPr>
            <w:tcW w:w="963" w:type="pct"/>
            <w:gridSpan w:val="3"/>
          </w:tcPr>
          <w:p w14:paraId="250BCE0E" w14:textId="77777777" w:rsidR="0021177B" w:rsidRPr="00E41400" w:rsidRDefault="0021177B" w:rsidP="009E3B2F">
            <w:pPr>
              <w:contextualSpacing/>
              <w:jc w:val="center"/>
              <w:rPr>
                <w:rFonts w:ascii="Futura Std Condensed Light" w:eastAsia="Calibri" w:hAnsi="Futura Std Condensed Light" w:cs="Calibri"/>
                <w:sz w:val="20"/>
                <w:szCs w:val="20"/>
              </w:rPr>
            </w:pPr>
            <w:r w:rsidRPr="00E41400">
              <w:rPr>
                <w:rFonts w:ascii="Futura Std Condensed Light" w:eastAsia="Calibri" w:hAnsi="Futura Std Condensed Light" w:cs="Calibri"/>
                <w:sz w:val="20"/>
                <w:szCs w:val="20"/>
              </w:rPr>
              <w:t>630</w:t>
            </w:r>
          </w:p>
        </w:tc>
        <w:tc>
          <w:tcPr>
            <w:tcW w:w="846" w:type="pct"/>
          </w:tcPr>
          <w:p w14:paraId="50ECA662" w14:textId="77777777" w:rsidR="0021177B" w:rsidRPr="00E41400" w:rsidRDefault="0021177B" w:rsidP="009E3B2F">
            <w:pPr>
              <w:contextualSpacing/>
              <w:jc w:val="center"/>
              <w:rPr>
                <w:rFonts w:ascii="Futura Std Condensed Light" w:eastAsia="Calibri" w:hAnsi="Futura Std Condensed Light" w:cs="Calibri"/>
                <w:sz w:val="20"/>
                <w:szCs w:val="20"/>
              </w:rPr>
            </w:pPr>
            <w:r w:rsidRPr="00E41400">
              <w:rPr>
                <w:rFonts w:ascii="Futura Std Condensed Light" w:eastAsia="Calibri" w:hAnsi="Futura Std Condensed Light" w:cs="Calibri"/>
                <w:sz w:val="20"/>
                <w:szCs w:val="20"/>
              </w:rPr>
              <w:t>623</w:t>
            </w:r>
          </w:p>
        </w:tc>
      </w:tr>
    </w:tbl>
    <w:p w14:paraId="2D3E0FCD" w14:textId="5409872F" w:rsidR="00CD21A0" w:rsidRPr="00E41400" w:rsidRDefault="00CD21A0" w:rsidP="0021177B">
      <w:pPr>
        <w:contextualSpacing/>
        <w:rPr>
          <w:rFonts w:ascii="Futura Std Condensed Light" w:eastAsia="Calibri" w:hAnsi="Futura Std Condensed Light" w:cs="Calibri"/>
          <w:sz w:val="20"/>
          <w:szCs w:val="20"/>
        </w:rPr>
      </w:pPr>
    </w:p>
    <w:p w14:paraId="588798BB" w14:textId="77777777" w:rsidR="00E05363" w:rsidRDefault="00E05363">
      <w:pPr>
        <w:spacing w:after="0" w:line="240" w:lineRule="auto"/>
        <w:jc w:val="left"/>
        <w:rPr>
          <w:rFonts w:eastAsia="Arial" w:cs="Times New Roman"/>
          <w:b/>
          <w:color w:val="4BACC6" w:themeColor="accent5"/>
        </w:rPr>
      </w:pPr>
      <w:r>
        <w:rPr>
          <w:rFonts w:eastAsia="Arial" w:cs="Times New Roman"/>
          <w:b/>
          <w:color w:val="4BACC6" w:themeColor="accent5"/>
        </w:rPr>
        <w:br w:type="page"/>
      </w:r>
    </w:p>
    <w:p w14:paraId="2EB0E2C1" w14:textId="7DC06249" w:rsidR="0021177B" w:rsidRDefault="0021177B" w:rsidP="0021177B">
      <w:pPr>
        <w:jc w:val="center"/>
      </w:pPr>
      <w:r>
        <w:rPr>
          <w:rFonts w:eastAsia="Arial" w:cs="Times New Roman"/>
          <w:b/>
          <w:color w:val="4BACC6" w:themeColor="accent5"/>
        </w:rPr>
        <w:lastRenderedPageBreak/>
        <w:t>Cu</w:t>
      </w:r>
      <w:r w:rsidR="00980EAE">
        <w:rPr>
          <w:rFonts w:eastAsia="Arial" w:cs="Times New Roman"/>
          <w:b/>
          <w:color w:val="4BACC6" w:themeColor="accent5"/>
        </w:rPr>
        <w:t>adro 47</w:t>
      </w:r>
      <w:r>
        <w:rPr>
          <w:rFonts w:eastAsia="Arial" w:cs="Times New Roman"/>
          <w:b/>
          <w:color w:val="4BACC6" w:themeColor="accent5"/>
        </w:rPr>
        <w:t>. Entregable y meta de la línea de acción 20 del PED</w:t>
      </w:r>
    </w:p>
    <w:tbl>
      <w:tblPr>
        <w:tblStyle w:val="Tablaconcuadrcula"/>
        <w:tblW w:w="5000" w:type="pct"/>
        <w:tblLook w:val="04A0" w:firstRow="1" w:lastRow="0" w:firstColumn="1" w:lastColumn="0" w:noHBand="0" w:noVBand="1"/>
      </w:tblPr>
      <w:tblGrid>
        <w:gridCol w:w="1489"/>
        <w:gridCol w:w="813"/>
        <w:gridCol w:w="528"/>
        <w:gridCol w:w="153"/>
        <w:gridCol w:w="1146"/>
        <w:gridCol w:w="578"/>
        <w:gridCol w:w="462"/>
        <w:gridCol w:w="917"/>
        <w:gridCol w:w="233"/>
        <w:gridCol w:w="1604"/>
        <w:gridCol w:w="1614"/>
      </w:tblGrid>
      <w:tr w:rsidR="0086391F" w:rsidRPr="003B479E" w14:paraId="10F63030" w14:textId="77777777" w:rsidTr="00047166">
        <w:trPr>
          <w:trHeight w:val="182"/>
        </w:trPr>
        <w:tc>
          <w:tcPr>
            <w:tcW w:w="1484" w:type="pct"/>
            <w:gridSpan w:val="3"/>
            <w:shd w:val="clear" w:color="auto" w:fill="A6A6A6" w:themeFill="background1" w:themeFillShade="A6"/>
          </w:tcPr>
          <w:p w14:paraId="52F7DE14" w14:textId="77777777" w:rsidR="0021177B" w:rsidRPr="003B479E" w:rsidRDefault="0021177B" w:rsidP="009E3B2F">
            <w:pPr>
              <w:contextualSpacing/>
              <w:jc w:val="center"/>
              <w:rPr>
                <w:rFonts w:ascii="Futura Std Condensed Light" w:eastAsia="Calibri" w:hAnsi="Futura Std Condensed Light" w:cs="Calibri"/>
                <w:color w:val="auto"/>
                <w:sz w:val="20"/>
                <w:szCs w:val="20"/>
              </w:rPr>
            </w:pPr>
            <w:r w:rsidRPr="003B479E">
              <w:rPr>
                <w:rFonts w:ascii="Futura Std Condensed Light" w:eastAsia="Calibri" w:hAnsi="Futura Std Condensed Light" w:cs="Calibri"/>
                <w:color w:val="auto"/>
                <w:sz w:val="20"/>
                <w:szCs w:val="20"/>
              </w:rPr>
              <w:t>Programa PED</w:t>
            </w:r>
          </w:p>
        </w:tc>
        <w:tc>
          <w:tcPr>
            <w:tcW w:w="3516" w:type="pct"/>
            <w:gridSpan w:val="8"/>
            <w:shd w:val="clear" w:color="auto" w:fill="A6A6A6" w:themeFill="background1" w:themeFillShade="A6"/>
          </w:tcPr>
          <w:p w14:paraId="0A0F888D" w14:textId="77777777" w:rsidR="0021177B" w:rsidRPr="003B479E" w:rsidRDefault="0021177B" w:rsidP="009E3B2F">
            <w:pPr>
              <w:contextualSpacing/>
              <w:jc w:val="center"/>
              <w:rPr>
                <w:rFonts w:ascii="Futura Std Condensed Light" w:eastAsia="Calibri" w:hAnsi="Futura Std Condensed Light" w:cs="Calibri"/>
                <w:color w:val="auto"/>
                <w:sz w:val="20"/>
                <w:szCs w:val="20"/>
              </w:rPr>
            </w:pPr>
            <w:r w:rsidRPr="003B479E">
              <w:rPr>
                <w:rFonts w:ascii="Futura Std Condensed Light" w:eastAsia="Calibri" w:hAnsi="Futura Std Condensed Light" w:cs="Calibri"/>
                <w:color w:val="auto"/>
                <w:sz w:val="20"/>
                <w:szCs w:val="20"/>
              </w:rPr>
              <w:t>Programa Sectorial Educación Pública de Calidad</w:t>
            </w:r>
          </w:p>
        </w:tc>
      </w:tr>
      <w:tr w:rsidR="0021177B" w:rsidRPr="002F052A" w14:paraId="4F28F13C" w14:textId="77777777" w:rsidTr="00047166">
        <w:trPr>
          <w:trHeight w:val="469"/>
        </w:trPr>
        <w:tc>
          <w:tcPr>
            <w:tcW w:w="1484" w:type="pct"/>
            <w:gridSpan w:val="3"/>
          </w:tcPr>
          <w:p w14:paraId="4FA3664C" w14:textId="77777777" w:rsidR="0021177B" w:rsidRPr="002F052A" w:rsidRDefault="0021177B" w:rsidP="009E3B2F">
            <w:pPr>
              <w:contextualSpacing/>
              <w:rPr>
                <w:rFonts w:ascii="Futura Std Condensed Light" w:eastAsia="Calibri" w:hAnsi="Futura Std Condensed Light" w:cs="Calibri"/>
                <w:b/>
                <w:sz w:val="20"/>
                <w:szCs w:val="20"/>
              </w:rPr>
            </w:pPr>
            <w:r w:rsidRPr="002F052A">
              <w:rPr>
                <w:rFonts w:ascii="Futura Std Condensed Light" w:eastAsia="Calibri" w:hAnsi="Futura Std Condensed Light" w:cs="Calibri"/>
                <w:b/>
                <w:sz w:val="20"/>
                <w:szCs w:val="20"/>
              </w:rPr>
              <w:t>Línea de acción:</w:t>
            </w:r>
          </w:p>
        </w:tc>
        <w:tc>
          <w:tcPr>
            <w:tcW w:w="3516" w:type="pct"/>
            <w:gridSpan w:val="8"/>
          </w:tcPr>
          <w:p w14:paraId="4A9848AD" w14:textId="77777777" w:rsidR="0021177B" w:rsidRPr="002F052A" w:rsidRDefault="0021177B" w:rsidP="009E3B2F">
            <w:pPr>
              <w:spacing w:after="160" w:line="259" w:lineRule="auto"/>
              <w:contextualSpacing/>
              <w:rPr>
                <w:rFonts w:ascii="Futura Std Condensed Light" w:eastAsia="Calibri" w:hAnsi="Futura Std Condensed Light" w:cs="Calibri"/>
                <w:sz w:val="20"/>
                <w:szCs w:val="20"/>
              </w:rPr>
            </w:pPr>
            <w:r w:rsidRPr="002F052A">
              <w:rPr>
                <w:rFonts w:ascii="Futura Std Condensed Light" w:eastAsia="Calibri" w:hAnsi="Futura Std Condensed Light" w:cs="Calibri"/>
                <w:sz w:val="20"/>
                <w:szCs w:val="20"/>
              </w:rPr>
              <w:t>20.   Construir, en colaboración con las instancias correspondientes, espacios educativos a fin de ampliar la cobertura. (IFEQROO)</w:t>
            </w:r>
          </w:p>
        </w:tc>
      </w:tr>
      <w:tr w:rsidR="0021177B" w:rsidRPr="002F052A" w14:paraId="47A60C02" w14:textId="77777777" w:rsidTr="00047166">
        <w:trPr>
          <w:trHeight w:val="484"/>
        </w:trPr>
        <w:tc>
          <w:tcPr>
            <w:tcW w:w="1484" w:type="pct"/>
            <w:gridSpan w:val="3"/>
          </w:tcPr>
          <w:p w14:paraId="70BB6336" w14:textId="77777777" w:rsidR="0021177B" w:rsidRPr="002F052A" w:rsidRDefault="0021177B" w:rsidP="009E3B2F">
            <w:pPr>
              <w:contextualSpacing/>
              <w:rPr>
                <w:rFonts w:ascii="Futura Std Condensed Light" w:eastAsia="Calibri" w:hAnsi="Futura Std Condensed Light" w:cs="Calibri"/>
                <w:b/>
                <w:sz w:val="20"/>
                <w:szCs w:val="20"/>
              </w:rPr>
            </w:pPr>
            <w:r w:rsidRPr="002F052A">
              <w:rPr>
                <w:rFonts w:ascii="Futura Std Condensed Light" w:eastAsia="Calibri" w:hAnsi="Futura Std Condensed Light" w:cs="Calibri"/>
                <w:b/>
                <w:sz w:val="20"/>
                <w:szCs w:val="20"/>
              </w:rPr>
              <w:t>Plan Estratégico Objetivo Especifico</w:t>
            </w:r>
          </w:p>
        </w:tc>
        <w:tc>
          <w:tcPr>
            <w:tcW w:w="3516" w:type="pct"/>
            <w:gridSpan w:val="8"/>
          </w:tcPr>
          <w:p w14:paraId="5FD9F558" w14:textId="77777777" w:rsidR="0021177B" w:rsidRPr="002F052A" w:rsidRDefault="0021177B" w:rsidP="009E3B2F">
            <w:pPr>
              <w:contextualSpacing/>
              <w:rPr>
                <w:rFonts w:ascii="Futura Std Condensed Light" w:eastAsia="Calibri" w:hAnsi="Futura Std Condensed Light" w:cs="Calibri"/>
                <w:sz w:val="20"/>
                <w:szCs w:val="20"/>
              </w:rPr>
            </w:pPr>
            <w:r w:rsidRPr="002F052A">
              <w:rPr>
                <w:rFonts w:ascii="Futura Std Condensed Light" w:eastAsia="Calibri" w:hAnsi="Futura Std Condensed Light" w:cs="Calibri"/>
                <w:sz w:val="20"/>
                <w:szCs w:val="20"/>
              </w:rPr>
              <w:t>Disminuir la desigualdad en sus diversas formas </w:t>
            </w:r>
          </w:p>
        </w:tc>
      </w:tr>
      <w:tr w:rsidR="0021177B" w:rsidRPr="002F052A" w14:paraId="101A2926" w14:textId="77777777" w:rsidTr="00047166">
        <w:trPr>
          <w:trHeight w:val="484"/>
        </w:trPr>
        <w:tc>
          <w:tcPr>
            <w:tcW w:w="1207" w:type="pct"/>
            <w:gridSpan w:val="2"/>
          </w:tcPr>
          <w:p w14:paraId="482776CD" w14:textId="77777777" w:rsidR="0021177B" w:rsidRPr="002F052A" w:rsidRDefault="0021177B" w:rsidP="009E3B2F">
            <w:pPr>
              <w:contextualSpacing/>
              <w:rPr>
                <w:rFonts w:ascii="Futura Std Condensed Light" w:eastAsia="Calibri" w:hAnsi="Futura Std Condensed Light" w:cs="Calibri"/>
                <w:b/>
                <w:sz w:val="20"/>
                <w:szCs w:val="20"/>
              </w:rPr>
            </w:pPr>
            <w:r w:rsidRPr="002F052A">
              <w:rPr>
                <w:rFonts w:ascii="Futura Std Condensed Light" w:eastAsia="Calibri" w:hAnsi="Futura Std Condensed Light" w:cs="Calibri"/>
                <w:b/>
                <w:sz w:val="20"/>
                <w:szCs w:val="20"/>
              </w:rPr>
              <w:t>Entregable:</w:t>
            </w:r>
          </w:p>
        </w:tc>
        <w:tc>
          <w:tcPr>
            <w:tcW w:w="958" w:type="pct"/>
            <w:gridSpan w:val="3"/>
          </w:tcPr>
          <w:p w14:paraId="2D057AA7" w14:textId="77777777" w:rsidR="0021177B" w:rsidRPr="002F052A" w:rsidRDefault="0021177B" w:rsidP="009E3B2F">
            <w:pPr>
              <w:contextualSpacing/>
              <w:rPr>
                <w:rFonts w:ascii="Futura Std Condensed Light" w:eastAsia="Calibri" w:hAnsi="Futura Std Condensed Light" w:cs="Calibri"/>
                <w:sz w:val="20"/>
                <w:szCs w:val="20"/>
              </w:rPr>
            </w:pPr>
            <w:r w:rsidRPr="002F052A">
              <w:rPr>
                <w:rFonts w:ascii="Futura Std Condensed Light" w:eastAsia="Calibri" w:hAnsi="Futura Std Condensed Light" w:cs="Calibri"/>
                <w:sz w:val="20"/>
                <w:szCs w:val="20"/>
              </w:rPr>
              <w:t>Construcción de escuelas para ampliar la cobertura</w:t>
            </w:r>
          </w:p>
        </w:tc>
        <w:tc>
          <w:tcPr>
            <w:tcW w:w="1147" w:type="pct"/>
            <w:gridSpan w:val="4"/>
          </w:tcPr>
          <w:p w14:paraId="463F2CE3" w14:textId="77777777" w:rsidR="0021177B" w:rsidRPr="002F052A" w:rsidRDefault="0021177B" w:rsidP="009E3B2F">
            <w:pPr>
              <w:contextualSpacing/>
              <w:jc w:val="center"/>
              <w:rPr>
                <w:rFonts w:ascii="Futura Std Condensed Light" w:eastAsia="Calibri" w:hAnsi="Futura Std Condensed Light" w:cs="Calibri"/>
                <w:sz w:val="20"/>
                <w:szCs w:val="20"/>
              </w:rPr>
            </w:pPr>
            <w:r w:rsidRPr="002F052A">
              <w:rPr>
                <w:rFonts w:ascii="Futura Std Condensed Light" w:eastAsia="Calibri" w:hAnsi="Futura Std Condensed Light" w:cs="Calibri"/>
                <w:b/>
                <w:sz w:val="20"/>
                <w:szCs w:val="20"/>
              </w:rPr>
              <w:t>Unidad de Medida</w:t>
            </w:r>
            <w:r w:rsidRPr="002F052A">
              <w:rPr>
                <w:rFonts w:ascii="Futura Std Condensed Light" w:eastAsia="Calibri" w:hAnsi="Futura Std Condensed Light" w:cs="Calibri"/>
                <w:sz w:val="20"/>
                <w:szCs w:val="20"/>
              </w:rPr>
              <w:t>:</w:t>
            </w:r>
          </w:p>
        </w:tc>
        <w:tc>
          <w:tcPr>
            <w:tcW w:w="1687" w:type="pct"/>
            <w:gridSpan w:val="2"/>
          </w:tcPr>
          <w:p w14:paraId="00A9E09A" w14:textId="77777777" w:rsidR="0021177B" w:rsidRPr="002F052A" w:rsidRDefault="0021177B" w:rsidP="009E3B2F">
            <w:pPr>
              <w:contextualSpacing/>
              <w:rPr>
                <w:rFonts w:ascii="Futura Std Condensed Light" w:eastAsia="Calibri" w:hAnsi="Futura Std Condensed Light" w:cs="Calibri"/>
                <w:sz w:val="20"/>
                <w:szCs w:val="20"/>
              </w:rPr>
            </w:pPr>
            <w:r w:rsidRPr="002F052A">
              <w:rPr>
                <w:rFonts w:ascii="Futura Std Condensed Light" w:eastAsia="Calibri" w:hAnsi="Futura Std Condensed Light" w:cs="Calibri"/>
                <w:sz w:val="20"/>
                <w:szCs w:val="20"/>
              </w:rPr>
              <w:t>Escuela atendida</w:t>
            </w:r>
          </w:p>
        </w:tc>
      </w:tr>
      <w:tr w:rsidR="0021177B" w:rsidRPr="002F052A" w14:paraId="7114D17B" w14:textId="77777777" w:rsidTr="00047166">
        <w:trPr>
          <w:trHeight w:val="449"/>
        </w:trPr>
        <w:tc>
          <w:tcPr>
            <w:tcW w:w="1207" w:type="pct"/>
            <w:gridSpan w:val="2"/>
          </w:tcPr>
          <w:p w14:paraId="56A948EF" w14:textId="77777777" w:rsidR="0021177B" w:rsidRPr="002F052A" w:rsidRDefault="0021177B" w:rsidP="009E3B2F">
            <w:pPr>
              <w:contextualSpacing/>
              <w:rPr>
                <w:rFonts w:ascii="Futura Std Condensed Light" w:eastAsia="Calibri" w:hAnsi="Futura Std Condensed Light" w:cs="Calibri"/>
                <w:b/>
                <w:sz w:val="20"/>
                <w:szCs w:val="20"/>
              </w:rPr>
            </w:pPr>
            <w:r w:rsidRPr="002F052A">
              <w:rPr>
                <w:rFonts w:ascii="Futura Std Condensed Light" w:eastAsia="Calibri" w:hAnsi="Futura Std Condensed Light" w:cs="Calibri"/>
                <w:b/>
                <w:sz w:val="20"/>
                <w:szCs w:val="20"/>
              </w:rPr>
              <w:t>Descripción:</w:t>
            </w:r>
          </w:p>
        </w:tc>
        <w:tc>
          <w:tcPr>
            <w:tcW w:w="3793" w:type="pct"/>
            <w:gridSpan w:val="9"/>
          </w:tcPr>
          <w:p w14:paraId="375FCBA9" w14:textId="77777777" w:rsidR="0021177B" w:rsidRPr="002F052A" w:rsidRDefault="0021177B" w:rsidP="009E3B2F">
            <w:pPr>
              <w:contextualSpacing/>
              <w:rPr>
                <w:rFonts w:ascii="Futura Std Condensed Light" w:eastAsia="Calibri" w:hAnsi="Futura Std Condensed Light" w:cs="Calibri"/>
                <w:sz w:val="20"/>
                <w:szCs w:val="20"/>
              </w:rPr>
            </w:pPr>
            <w:r w:rsidRPr="002F052A">
              <w:rPr>
                <w:rFonts w:ascii="Futura Std Condensed Light" w:eastAsia="Calibri" w:hAnsi="Futura Std Condensed Light" w:cs="Calibri"/>
                <w:sz w:val="20"/>
                <w:szCs w:val="20"/>
              </w:rPr>
              <w:t>Construcción de escuelas en el Estado de los diferentes niveles educativos, con la finalidad de ampliar la cobertura de los espacios educativos y contar con planteles certificados dignos para los educandos, realizándose en colaboración con las instancias correspondientes.</w:t>
            </w:r>
          </w:p>
        </w:tc>
      </w:tr>
      <w:tr w:rsidR="0021177B" w:rsidRPr="002F052A" w14:paraId="502FC041" w14:textId="77777777" w:rsidTr="00047166">
        <w:trPr>
          <w:trHeight w:val="484"/>
        </w:trPr>
        <w:tc>
          <w:tcPr>
            <w:tcW w:w="1484" w:type="pct"/>
            <w:gridSpan w:val="3"/>
          </w:tcPr>
          <w:p w14:paraId="46B559A3" w14:textId="77777777" w:rsidR="0021177B" w:rsidRPr="002F052A" w:rsidRDefault="0021177B" w:rsidP="009E3B2F">
            <w:pPr>
              <w:contextualSpacing/>
              <w:rPr>
                <w:rFonts w:ascii="Futura Std Condensed Light" w:eastAsia="Calibri" w:hAnsi="Futura Std Condensed Light" w:cs="Calibri"/>
                <w:b/>
                <w:sz w:val="20"/>
                <w:szCs w:val="20"/>
              </w:rPr>
            </w:pPr>
            <w:r w:rsidRPr="002F052A">
              <w:rPr>
                <w:rFonts w:ascii="Futura Std Condensed Light" w:eastAsia="Calibri" w:hAnsi="Futura Std Condensed Light" w:cs="Calibri"/>
                <w:b/>
                <w:sz w:val="20"/>
                <w:szCs w:val="20"/>
              </w:rPr>
              <w:t>Medio de verificación:</w:t>
            </w:r>
          </w:p>
        </w:tc>
        <w:tc>
          <w:tcPr>
            <w:tcW w:w="3516" w:type="pct"/>
            <w:gridSpan w:val="8"/>
          </w:tcPr>
          <w:p w14:paraId="363CA918" w14:textId="77777777" w:rsidR="0021177B" w:rsidRPr="002F052A" w:rsidRDefault="0021177B" w:rsidP="009E3B2F">
            <w:pPr>
              <w:rPr>
                <w:rFonts w:ascii="Futura Std Condensed Light" w:eastAsia="Calibri" w:hAnsi="Futura Std Condensed Light" w:cs="Calibri"/>
                <w:sz w:val="20"/>
                <w:szCs w:val="20"/>
              </w:rPr>
            </w:pPr>
            <w:r w:rsidRPr="002F052A">
              <w:rPr>
                <w:rFonts w:ascii="Futura Std Condensed Light" w:eastAsia="Calibri" w:hAnsi="Futura Std Condensed Light" w:cs="Calibri"/>
                <w:sz w:val="20"/>
                <w:szCs w:val="20"/>
              </w:rPr>
              <w:t xml:space="preserve">Base de datos de escuelas atendidas (página institucional del IFEQROO). </w:t>
            </w:r>
            <w:hyperlink r:id="rId26" w:history="1">
              <w:r w:rsidRPr="002F052A">
                <w:rPr>
                  <w:rFonts w:ascii="Futura Std Condensed Light" w:eastAsia="Calibri" w:hAnsi="Futura Std Condensed Light" w:cs="Calibri"/>
                  <w:sz w:val="20"/>
                  <w:szCs w:val="20"/>
                </w:rPr>
                <w:t>https://qroo.gob.mx/ifeqroo</w:t>
              </w:r>
            </w:hyperlink>
          </w:p>
        </w:tc>
      </w:tr>
      <w:tr w:rsidR="0021177B" w:rsidRPr="002F052A" w14:paraId="19EA407E" w14:textId="77777777" w:rsidTr="00047166">
        <w:trPr>
          <w:trHeight w:val="484"/>
        </w:trPr>
        <w:tc>
          <w:tcPr>
            <w:tcW w:w="1484" w:type="pct"/>
            <w:gridSpan w:val="3"/>
          </w:tcPr>
          <w:p w14:paraId="52EF62D7" w14:textId="77777777" w:rsidR="0021177B" w:rsidRPr="002F052A" w:rsidRDefault="0021177B" w:rsidP="009E3B2F">
            <w:pPr>
              <w:contextualSpacing/>
              <w:rPr>
                <w:rFonts w:ascii="Futura Std Condensed Light" w:eastAsia="Calibri" w:hAnsi="Futura Std Condensed Light" w:cs="Calibri"/>
                <w:b/>
                <w:sz w:val="20"/>
                <w:szCs w:val="20"/>
              </w:rPr>
            </w:pPr>
            <w:r w:rsidRPr="002F052A">
              <w:rPr>
                <w:rFonts w:ascii="Futura Std Condensed Light" w:eastAsia="Calibri" w:hAnsi="Futura Std Condensed Light" w:cs="Calibri"/>
                <w:b/>
                <w:sz w:val="20"/>
                <w:szCs w:val="20"/>
              </w:rPr>
              <w:t>Línea base:</w:t>
            </w:r>
          </w:p>
        </w:tc>
        <w:tc>
          <w:tcPr>
            <w:tcW w:w="1226" w:type="pct"/>
            <w:gridSpan w:val="4"/>
          </w:tcPr>
          <w:p w14:paraId="44AFBB28" w14:textId="77777777" w:rsidR="0021177B" w:rsidRPr="002F052A" w:rsidRDefault="0021177B" w:rsidP="009E3B2F">
            <w:pPr>
              <w:contextualSpacing/>
              <w:rPr>
                <w:rFonts w:ascii="Futura Std Condensed Light" w:eastAsia="Calibri" w:hAnsi="Futura Std Condensed Light" w:cs="Calibri"/>
                <w:sz w:val="20"/>
                <w:szCs w:val="20"/>
              </w:rPr>
            </w:pPr>
            <w:r w:rsidRPr="002F052A">
              <w:rPr>
                <w:rFonts w:ascii="Futura Std Condensed Light" w:eastAsia="Calibri" w:hAnsi="Futura Std Condensed Light" w:cs="Calibri"/>
                <w:sz w:val="20"/>
                <w:szCs w:val="20"/>
              </w:rPr>
              <w:t>0</w:t>
            </w:r>
          </w:p>
        </w:tc>
        <w:tc>
          <w:tcPr>
            <w:tcW w:w="603" w:type="pct"/>
            <w:gridSpan w:val="2"/>
          </w:tcPr>
          <w:p w14:paraId="24ABBA56" w14:textId="77777777" w:rsidR="0021177B" w:rsidRPr="002F052A" w:rsidRDefault="0021177B" w:rsidP="009E3B2F">
            <w:pPr>
              <w:contextualSpacing/>
              <w:rPr>
                <w:rFonts w:ascii="Futura Std Condensed Light" w:eastAsia="Calibri" w:hAnsi="Futura Std Condensed Light" w:cs="Calibri"/>
                <w:sz w:val="20"/>
                <w:szCs w:val="20"/>
              </w:rPr>
            </w:pPr>
            <w:r w:rsidRPr="002F052A">
              <w:rPr>
                <w:rFonts w:ascii="Futura Std Condensed Light" w:eastAsia="Calibri" w:hAnsi="Futura Std Condensed Light" w:cs="Calibri"/>
                <w:b/>
                <w:sz w:val="20"/>
                <w:szCs w:val="20"/>
              </w:rPr>
              <w:t>Año de línea base</w:t>
            </w:r>
            <w:r w:rsidRPr="002F052A">
              <w:rPr>
                <w:rFonts w:ascii="Futura Std Condensed Light" w:eastAsia="Calibri" w:hAnsi="Futura Std Condensed Light" w:cs="Calibri"/>
                <w:sz w:val="20"/>
                <w:szCs w:val="20"/>
              </w:rPr>
              <w:t>:</w:t>
            </w:r>
          </w:p>
        </w:tc>
        <w:tc>
          <w:tcPr>
            <w:tcW w:w="1687" w:type="pct"/>
            <w:gridSpan w:val="2"/>
          </w:tcPr>
          <w:p w14:paraId="6B182FAF" w14:textId="77777777" w:rsidR="0021177B" w:rsidRPr="002F052A" w:rsidRDefault="0021177B" w:rsidP="009E3B2F">
            <w:pPr>
              <w:contextualSpacing/>
              <w:rPr>
                <w:rFonts w:ascii="Futura Std Condensed Light" w:eastAsia="Calibri" w:hAnsi="Futura Std Condensed Light" w:cs="Calibri"/>
                <w:sz w:val="20"/>
                <w:szCs w:val="20"/>
              </w:rPr>
            </w:pPr>
            <w:r w:rsidRPr="002F052A">
              <w:rPr>
                <w:rFonts w:ascii="Futura Std Condensed Light" w:eastAsia="Calibri" w:hAnsi="Futura Std Condensed Light" w:cs="Calibri"/>
                <w:sz w:val="20"/>
                <w:szCs w:val="20"/>
              </w:rPr>
              <w:t>2017</w:t>
            </w:r>
          </w:p>
        </w:tc>
      </w:tr>
      <w:tr w:rsidR="0021177B" w:rsidRPr="002F052A" w14:paraId="51243C20" w14:textId="77777777" w:rsidTr="00047166">
        <w:trPr>
          <w:trHeight w:val="484"/>
        </w:trPr>
        <w:tc>
          <w:tcPr>
            <w:tcW w:w="1484" w:type="pct"/>
            <w:gridSpan w:val="3"/>
          </w:tcPr>
          <w:p w14:paraId="4AB8D540" w14:textId="77777777" w:rsidR="0021177B" w:rsidRPr="002F052A" w:rsidRDefault="0021177B" w:rsidP="009E3B2F">
            <w:pPr>
              <w:contextualSpacing/>
              <w:rPr>
                <w:rFonts w:ascii="Futura Std Condensed Light" w:eastAsia="Calibri" w:hAnsi="Futura Std Condensed Light" w:cs="Calibri"/>
                <w:b/>
                <w:sz w:val="20"/>
                <w:szCs w:val="20"/>
              </w:rPr>
            </w:pPr>
            <w:r w:rsidRPr="002F052A">
              <w:rPr>
                <w:rFonts w:ascii="Futura Std Condensed Light" w:eastAsia="Calibri" w:hAnsi="Futura Std Condensed Light" w:cs="Calibri"/>
                <w:b/>
                <w:sz w:val="20"/>
                <w:szCs w:val="20"/>
              </w:rPr>
              <w:t>Contribución Directa al Objetivo de la Agenda 2030</w:t>
            </w:r>
          </w:p>
        </w:tc>
        <w:tc>
          <w:tcPr>
            <w:tcW w:w="3516" w:type="pct"/>
            <w:gridSpan w:val="8"/>
          </w:tcPr>
          <w:p w14:paraId="2FD9C9EC" w14:textId="77777777" w:rsidR="0021177B" w:rsidRPr="002F052A" w:rsidRDefault="0021177B" w:rsidP="009E3B2F">
            <w:pPr>
              <w:contextualSpacing/>
              <w:rPr>
                <w:rFonts w:ascii="Futura Std Condensed Light" w:eastAsia="Calibri" w:hAnsi="Futura Std Condensed Light" w:cs="Calibri"/>
                <w:sz w:val="20"/>
                <w:szCs w:val="20"/>
              </w:rPr>
            </w:pPr>
            <w:r w:rsidRPr="002F052A">
              <w:rPr>
                <w:rFonts w:ascii="Futura Std Condensed Light" w:eastAsia="Calibri" w:hAnsi="Futura Std Condensed Light" w:cs="Calibri"/>
                <w:sz w:val="20"/>
                <w:szCs w:val="20"/>
              </w:rPr>
              <w:t>Garantizar una educación inclusiva, equitativa y de calidad y promover oportunidades de aprendizaje durante toda la vida para todos</w:t>
            </w:r>
          </w:p>
        </w:tc>
      </w:tr>
      <w:tr w:rsidR="0021177B" w:rsidRPr="002F052A" w14:paraId="78946154" w14:textId="77777777" w:rsidTr="00047166">
        <w:trPr>
          <w:trHeight w:val="484"/>
        </w:trPr>
        <w:tc>
          <w:tcPr>
            <w:tcW w:w="1484" w:type="pct"/>
            <w:gridSpan w:val="3"/>
          </w:tcPr>
          <w:p w14:paraId="762365D9" w14:textId="77777777" w:rsidR="0021177B" w:rsidRPr="002F052A" w:rsidRDefault="0021177B" w:rsidP="009E3B2F">
            <w:pPr>
              <w:contextualSpacing/>
              <w:rPr>
                <w:rFonts w:ascii="Futura Std Condensed Light" w:eastAsia="Calibri" w:hAnsi="Futura Std Condensed Light" w:cs="Calibri"/>
                <w:b/>
                <w:sz w:val="20"/>
                <w:szCs w:val="20"/>
              </w:rPr>
            </w:pPr>
            <w:r w:rsidRPr="002F052A">
              <w:rPr>
                <w:rFonts w:ascii="Futura Std Condensed Light" w:eastAsia="Calibri" w:hAnsi="Futura Std Condensed Light" w:cs="Calibri"/>
                <w:b/>
                <w:sz w:val="20"/>
                <w:szCs w:val="20"/>
              </w:rPr>
              <w:t>Contribución Directa  a la Meta de la Agenda 2030</w:t>
            </w:r>
          </w:p>
        </w:tc>
        <w:tc>
          <w:tcPr>
            <w:tcW w:w="3516" w:type="pct"/>
            <w:gridSpan w:val="8"/>
          </w:tcPr>
          <w:p w14:paraId="470727F3" w14:textId="77777777" w:rsidR="0021177B" w:rsidRPr="002F052A" w:rsidRDefault="0021177B" w:rsidP="009E3B2F">
            <w:pPr>
              <w:contextualSpacing/>
              <w:rPr>
                <w:rFonts w:ascii="Futura Std Condensed Light" w:eastAsia="Calibri" w:hAnsi="Futura Std Condensed Light" w:cs="Calibri"/>
                <w:sz w:val="20"/>
                <w:szCs w:val="20"/>
              </w:rPr>
            </w:pPr>
            <w:r w:rsidRPr="002F052A">
              <w:rPr>
                <w:rFonts w:ascii="Futura Std Condensed Light" w:eastAsia="Calibri" w:hAnsi="Futura Std Condensed Light" w:cs="Calibri"/>
                <w:sz w:val="20"/>
                <w:szCs w:val="20"/>
              </w:rPr>
              <w:t>Construir y adecuar instalaciones educativas que tengan en cuenta las necesidades de los niños y las personas con discapacidad y las diferencias de género, y que ofrezcan entornos de aprendizaje seguros, no violentos, inclusivos y eficaces para todos.</w:t>
            </w:r>
          </w:p>
        </w:tc>
      </w:tr>
      <w:tr w:rsidR="0021177B" w:rsidRPr="002F052A" w14:paraId="46C8F1B1" w14:textId="77777777" w:rsidTr="00047166">
        <w:trPr>
          <w:trHeight w:val="484"/>
        </w:trPr>
        <w:tc>
          <w:tcPr>
            <w:tcW w:w="1484" w:type="pct"/>
            <w:gridSpan w:val="3"/>
          </w:tcPr>
          <w:p w14:paraId="6F66BB5D" w14:textId="77777777" w:rsidR="0021177B" w:rsidRPr="002F052A" w:rsidRDefault="0021177B" w:rsidP="009E3B2F">
            <w:pPr>
              <w:contextualSpacing/>
              <w:rPr>
                <w:rFonts w:ascii="Futura Std Condensed Light" w:eastAsia="Calibri" w:hAnsi="Futura Std Condensed Light" w:cs="Calibri"/>
                <w:b/>
                <w:sz w:val="20"/>
                <w:szCs w:val="20"/>
              </w:rPr>
            </w:pPr>
            <w:r w:rsidRPr="002F052A">
              <w:rPr>
                <w:rFonts w:ascii="Futura Std Condensed Light" w:eastAsia="Calibri" w:hAnsi="Futura Std Condensed Light" w:cs="Calibri"/>
                <w:b/>
                <w:sz w:val="20"/>
                <w:szCs w:val="20"/>
              </w:rPr>
              <w:t>Tema / Proyecto Prioritario de Quintana Roo</w:t>
            </w:r>
          </w:p>
        </w:tc>
        <w:tc>
          <w:tcPr>
            <w:tcW w:w="3516" w:type="pct"/>
            <w:gridSpan w:val="8"/>
          </w:tcPr>
          <w:p w14:paraId="532ED5B2" w14:textId="77777777" w:rsidR="0021177B" w:rsidRPr="002F052A" w:rsidRDefault="0021177B" w:rsidP="009E3B2F">
            <w:pPr>
              <w:contextualSpacing/>
              <w:rPr>
                <w:rFonts w:ascii="Futura Std Condensed Light" w:eastAsia="Calibri" w:hAnsi="Futura Std Condensed Light" w:cs="Calibri"/>
                <w:sz w:val="20"/>
                <w:szCs w:val="20"/>
              </w:rPr>
            </w:pPr>
            <w:r w:rsidRPr="002F052A">
              <w:rPr>
                <w:rFonts w:ascii="Futura Std Condensed Light" w:eastAsia="Calibri" w:hAnsi="Futura Std Condensed Light" w:cs="Calibri"/>
                <w:sz w:val="20"/>
                <w:szCs w:val="20"/>
              </w:rPr>
              <w:t>24.6 Infraestructura educativa</w:t>
            </w:r>
          </w:p>
        </w:tc>
      </w:tr>
      <w:tr w:rsidR="0021177B" w:rsidRPr="002F052A" w14:paraId="48D424B2" w14:textId="77777777" w:rsidTr="00047166">
        <w:trPr>
          <w:trHeight w:val="484"/>
        </w:trPr>
        <w:tc>
          <w:tcPr>
            <w:tcW w:w="1484" w:type="pct"/>
            <w:gridSpan w:val="3"/>
          </w:tcPr>
          <w:p w14:paraId="25ECFFF3" w14:textId="77777777" w:rsidR="0021177B" w:rsidRPr="002F052A" w:rsidRDefault="0021177B" w:rsidP="009E3B2F">
            <w:pPr>
              <w:contextualSpacing/>
              <w:rPr>
                <w:rFonts w:ascii="Futura Std Condensed Light" w:eastAsia="Calibri" w:hAnsi="Futura Std Condensed Light" w:cs="Calibri"/>
                <w:b/>
                <w:sz w:val="20"/>
                <w:szCs w:val="20"/>
              </w:rPr>
            </w:pPr>
            <w:r w:rsidRPr="002F052A">
              <w:rPr>
                <w:rFonts w:ascii="Futura Std Condensed Light" w:eastAsia="Calibri" w:hAnsi="Futura Std Condensed Light" w:cs="Calibri"/>
                <w:b/>
                <w:sz w:val="20"/>
                <w:szCs w:val="20"/>
              </w:rPr>
              <w:t>Subtema Prioritario de Quintana Roo</w:t>
            </w:r>
          </w:p>
        </w:tc>
        <w:tc>
          <w:tcPr>
            <w:tcW w:w="3516" w:type="pct"/>
            <w:gridSpan w:val="8"/>
          </w:tcPr>
          <w:p w14:paraId="1023CF4B" w14:textId="77777777" w:rsidR="0021177B" w:rsidRPr="002F052A" w:rsidRDefault="0021177B" w:rsidP="009E3B2F">
            <w:pPr>
              <w:contextualSpacing/>
              <w:rPr>
                <w:rFonts w:ascii="Futura Std Condensed Light" w:eastAsia="Calibri" w:hAnsi="Futura Std Condensed Light" w:cs="Calibri"/>
                <w:sz w:val="20"/>
                <w:szCs w:val="20"/>
              </w:rPr>
            </w:pPr>
            <w:r w:rsidRPr="002F052A">
              <w:rPr>
                <w:rFonts w:ascii="Futura Std Condensed Light" w:eastAsia="Calibri" w:hAnsi="Futura Std Condensed Light" w:cs="Calibri"/>
                <w:sz w:val="20"/>
                <w:szCs w:val="20"/>
              </w:rPr>
              <w:t>N/A</w:t>
            </w:r>
          </w:p>
        </w:tc>
      </w:tr>
      <w:tr w:rsidR="0021177B" w:rsidRPr="002F052A" w14:paraId="005E8EB6" w14:textId="77777777" w:rsidTr="009E3B2F">
        <w:trPr>
          <w:trHeight w:val="484"/>
        </w:trPr>
        <w:tc>
          <w:tcPr>
            <w:tcW w:w="5000" w:type="pct"/>
            <w:gridSpan w:val="11"/>
          </w:tcPr>
          <w:p w14:paraId="0D90A033" w14:textId="77777777" w:rsidR="0021177B" w:rsidRPr="002F052A" w:rsidRDefault="0021177B" w:rsidP="009E3B2F">
            <w:pPr>
              <w:contextualSpacing/>
              <w:jc w:val="center"/>
              <w:rPr>
                <w:rFonts w:ascii="Futura Std Condensed Light" w:eastAsia="Calibri" w:hAnsi="Futura Std Condensed Light" w:cs="Calibri"/>
                <w:b/>
                <w:sz w:val="20"/>
                <w:szCs w:val="20"/>
              </w:rPr>
            </w:pPr>
            <w:r w:rsidRPr="002F052A">
              <w:rPr>
                <w:rFonts w:ascii="Futura Std Condensed Light" w:eastAsia="Calibri" w:hAnsi="Futura Std Condensed Light" w:cs="Calibri"/>
                <w:b/>
                <w:sz w:val="20"/>
                <w:szCs w:val="20"/>
              </w:rPr>
              <w:t>Meta Total:</w:t>
            </w:r>
          </w:p>
        </w:tc>
      </w:tr>
      <w:tr w:rsidR="0021177B" w:rsidRPr="002F052A" w14:paraId="09264F8A" w14:textId="77777777" w:rsidTr="009E3B2F">
        <w:trPr>
          <w:trHeight w:val="484"/>
        </w:trPr>
        <w:tc>
          <w:tcPr>
            <w:tcW w:w="781" w:type="pct"/>
          </w:tcPr>
          <w:p w14:paraId="469588D9" w14:textId="77777777" w:rsidR="0021177B" w:rsidRPr="002F052A" w:rsidRDefault="0021177B" w:rsidP="009E3B2F">
            <w:pPr>
              <w:contextualSpacing/>
              <w:jc w:val="center"/>
              <w:rPr>
                <w:rFonts w:ascii="Futura Std Condensed Light" w:eastAsia="Calibri" w:hAnsi="Futura Std Condensed Light" w:cs="Calibri"/>
                <w:b/>
                <w:sz w:val="20"/>
                <w:szCs w:val="20"/>
              </w:rPr>
            </w:pPr>
            <w:r w:rsidRPr="002F052A">
              <w:rPr>
                <w:rFonts w:ascii="Futura Std Condensed Light" w:eastAsia="Calibri" w:hAnsi="Futura Std Condensed Light" w:cs="Calibri"/>
                <w:b/>
                <w:sz w:val="20"/>
                <w:szCs w:val="20"/>
              </w:rPr>
              <w:t>2017</w:t>
            </w:r>
          </w:p>
        </w:tc>
        <w:tc>
          <w:tcPr>
            <w:tcW w:w="783" w:type="pct"/>
            <w:gridSpan w:val="3"/>
          </w:tcPr>
          <w:p w14:paraId="71AFD787" w14:textId="77777777" w:rsidR="0021177B" w:rsidRPr="002F052A" w:rsidRDefault="0021177B" w:rsidP="009E3B2F">
            <w:pPr>
              <w:contextualSpacing/>
              <w:jc w:val="center"/>
              <w:rPr>
                <w:rFonts w:ascii="Futura Std Condensed Light" w:eastAsia="Calibri" w:hAnsi="Futura Std Condensed Light" w:cs="Calibri"/>
                <w:b/>
                <w:sz w:val="20"/>
                <w:szCs w:val="20"/>
              </w:rPr>
            </w:pPr>
            <w:r w:rsidRPr="002F052A">
              <w:rPr>
                <w:rFonts w:ascii="Futura Std Condensed Light" w:eastAsia="Calibri" w:hAnsi="Futura Std Condensed Light" w:cs="Calibri"/>
                <w:b/>
                <w:sz w:val="20"/>
                <w:szCs w:val="20"/>
              </w:rPr>
              <w:t>2018</w:t>
            </w:r>
          </w:p>
        </w:tc>
        <w:tc>
          <w:tcPr>
            <w:tcW w:w="904" w:type="pct"/>
            <w:gridSpan w:val="2"/>
          </w:tcPr>
          <w:p w14:paraId="01EC5773" w14:textId="77777777" w:rsidR="0021177B" w:rsidRPr="002F052A" w:rsidRDefault="0021177B" w:rsidP="009E3B2F">
            <w:pPr>
              <w:contextualSpacing/>
              <w:jc w:val="center"/>
              <w:rPr>
                <w:rFonts w:ascii="Futura Std Condensed Light" w:eastAsia="Calibri" w:hAnsi="Futura Std Condensed Light" w:cs="Calibri"/>
                <w:b/>
                <w:sz w:val="20"/>
                <w:szCs w:val="20"/>
              </w:rPr>
            </w:pPr>
            <w:r w:rsidRPr="002F052A">
              <w:rPr>
                <w:rFonts w:ascii="Futura Std Condensed Light" w:eastAsia="Calibri" w:hAnsi="Futura Std Condensed Light" w:cs="Calibri"/>
                <w:b/>
                <w:sz w:val="20"/>
                <w:szCs w:val="20"/>
              </w:rPr>
              <w:t>2019</w:t>
            </w:r>
          </w:p>
        </w:tc>
        <w:tc>
          <w:tcPr>
            <w:tcW w:w="723" w:type="pct"/>
            <w:gridSpan w:val="2"/>
          </w:tcPr>
          <w:p w14:paraId="62E37E90" w14:textId="77777777" w:rsidR="0021177B" w:rsidRPr="002F052A" w:rsidRDefault="0021177B" w:rsidP="009E3B2F">
            <w:pPr>
              <w:contextualSpacing/>
              <w:jc w:val="center"/>
              <w:rPr>
                <w:rFonts w:ascii="Futura Std Condensed Light" w:eastAsia="Calibri" w:hAnsi="Futura Std Condensed Light" w:cs="Calibri"/>
                <w:b/>
                <w:sz w:val="20"/>
                <w:szCs w:val="20"/>
              </w:rPr>
            </w:pPr>
            <w:r w:rsidRPr="002F052A">
              <w:rPr>
                <w:rFonts w:ascii="Futura Std Condensed Light" w:eastAsia="Calibri" w:hAnsi="Futura Std Condensed Light" w:cs="Calibri"/>
                <w:b/>
                <w:sz w:val="20"/>
                <w:szCs w:val="20"/>
              </w:rPr>
              <w:t>2020</w:t>
            </w:r>
          </w:p>
        </w:tc>
        <w:tc>
          <w:tcPr>
            <w:tcW w:w="963" w:type="pct"/>
            <w:gridSpan w:val="2"/>
          </w:tcPr>
          <w:p w14:paraId="4C7B4576" w14:textId="77777777" w:rsidR="0021177B" w:rsidRPr="002F052A" w:rsidRDefault="0021177B" w:rsidP="009E3B2F">
            <w:pPr>
              <w:contextualSpacing/>
              <w:jc w:val="center"/>
              <w:rPr>
                <w:rFonts w:ascii="Futura Std Condensed Light" w:eastAsia="Calibri" w:hAnsi="Futura Std Condensed Light" w:cs="Calibri"/>
                <w:b/>
                <w:sz w:val="20"/>
                <w:szCs w:val="20"/>
              </w:rPr>
            </w:pPr>
            <w:r w:rsidRPr="002F052A">
              <w:rPr>
                <w:rFonts w:ascii="Futura Std Condensed Light" w:eastAsia="Calibri" w:hAnsi="Futura Std Condensed Light" w:cs="Calibri"/>
                <w:b/>
                <w:sz w:val="20"/>
                <w:szCs w:val="20"/>
              </w:rPr>
              <w:t>2021</w:t>
            </w:r>
          </w:p>
        </w:tc>
        <w:tc>
          <w:tcPr>
            <w:tcW w:w="846" w:type="pct"/>
          </w:tcPr>
          <w:p w14:paraId="3024A6F8" w14:textId="77777777" w:rsidR="0021177B" w:rsidRPr="002F052A" w:rsidRDefault="0021177B" w:rsidP="009E3B2F">
            <w:pPr>
              <w:contextualSpacing/>
              <w:jc w:val="center"/>
              <w:rPr>
                <w:rFonts w:ascii="Futura Std Condensed Light" w:eastAsia="Calibri" w:hAnsi="Futura Std Condensed Light" w:cs="Calibri"/>
                <w:b/>
                <w:sz w:val="20"/>
                <w:szCs w:val="20"/>
              </w:rPr>
            </w:pPr>
            <w:r w:rsidRPr="002F052A">
              <w:rPr>
                <w:rFonts w:ascii="Futura Std Condensed Light" w:eastAsia="Calibri" w:hAnsi="Futura Std Condensed Light" w:cs="Calibri"/>
                <w:b/>
                <w:sz w:val="20"/>
                <w:szCs w:val="20"/>
              </w:rPr>
              <w:t>2022</w:t>
            </w:r>
          </w:p>
        </w:tc>
      </w:tr>
      <w:tr w:rsidR="0021177B" w:rsidRPr="002F052A" w14:paraId="49E80979" w14:textId="77777777" w:rsidTr="009E3B2F">
        <w:trPr>
          <w:trHeight w:val="484"/>
        </w:trPr>
        <w:tc>
          <w:tcPr>
            <w:tcW w:w="781" w:type="pct"/>
          </w:tcPr>
          <w:p w14:paraId="1DC613A3" w14:textId="77777777" w:rsidR="0021177B" w:rsidRPr="002F052A" w:rsidRDefault="0021177B" w:rsidP="009E3B2F">
            <w:pPr>
              <w:contextualSpacing/>
              <w:jc w:val="center"/>
              <w:rPr>
                <w:rFonts w:ascii="Futura Std Condensed Light" w:eastAsia="Calibri" w:hAnsi="Futura Std Condensed Light" w:cs="Calibri"/>
                <w:sz w:val="20"/>
                <w:szCs w:val="20"/>
              </w:rPr>
            </w:pPr>
            <w:r w:rsidRPr="002F052A">
              <w:rPr>
                <w:rFonts w:ascii="Futura Std Condensed Light" w:eastAsia="Calibri" w:hAnsi="Futura Std Condensed Light" w:cs="Calibri"/>
                <w:sz w:val="20"/>
                <w:szCs w:val="20"/>
              </w:rPr>
              <w:t>0</w:t>
            </w:r>
          </w:p>
        </w:tc>
        <w:tc>
          <w:tcPr>
            <w:tcW w:w="783" w:type="pct"/>
            <w:gridSpan w:val="3"/>
          </w:tcPr>
          <w:p w14:paraId="52EC1806" w14:textId="77777777" w:rsidR="0021177B" w:rsidRPr="002F052A" w:rsidRDefault="0021177B" w:rsidP="009E3B2F">
            <w:pPr>
              <w:contextualSpacing/>
              <w:jc w:val="center"/>
              <w:rPr>
                <w:rFonts w:ascii="Futura Std Condensed Light" w:eastAsia="Calibri" w:hAnsi="Futura Std Condensed Light" w:cs="Calibri"/>
                <w:sz w:val="20"/>
                <w:szCs w:val="20"/>
              </w:rPr>
            </w:pPr>
            <w:r w:rsidRPr="002F052A">
              <w:rPr>
                <w:rFonts w:ascii="Futura Std Condensed Light" w:eastAsia="Calibri" w:hAnsi="Futura Std Condensed Light" w:cs="Calibri"/>
                <w:sz w:val="20"/>
                <w:szCs w:val="20"/>
              </w:rPr>
              <w:t>624</w:t>
            </w:r>
          </w:p>
        </w:tc>
        <w:tc>
          <w:tcPr>
            <w:tcW w:w="904" w:type="pct"/>
            <w:gridSpan w:val="2"/>
          </w:tcPr>
          <w:p w14:paraId="466286C8" w14:textId="77777777" w:rsidR="0021177B" w:rsidRPr="002F052A" w:rsidRDefault="0021177B" w:rsidP="009E3B2F">
            <w:pPr>
              <w:contextualSpacing/>
              <w:jc w:val="center"/>
              <w:rPr>
                <w:rFonts w:ascii="Futura Std Condensed Light" w:eastAsia="Calibri" w:hAnsi="Futura Std Condensed Light" w:cs="Calibri"/>
                <w:sz w:val="20"/>
                <w:szCs w:val="20"/>
              </w:rPr>
            </w:pPr>
            <w:r w:rsidRPr="002F052A">
              <w:rPr>
                <w:rFonts w:ascii="Futura Std Condensed Light" w:eastAsia="Calibri" w:hAnsi="Futura Std Condensed Light" w:cs="Calibri"/>
                <w:sz w:val="20"/>
                <w:szCs w:val="20"/>
              </w:rPr>
              <w:t>463</w:t>
            </w:r>
          </w:p>
        </w:tc>
        <w:tc>
          <w:tcPr>
            <w:tcW w:w="723" w:type="pct"/>
            <w:gridSpan w:val="2"/>
          </w:tcPr>
          <w:p w14:paraId="4CD97003" w14:textId="77777777" w:rsidR="0021177B" w:rsidRPr="002F052A" w:rsidRDefault="0021177B" w:rsidP="009E3B2F">
            <w:pPr>
              <w:contextualSpacing/>
              <w:jc w:val="center"/>
              <w:rPr>
                <w:rFonts w:ascii="Futura Std Condensed Light" w:eastAsia="Calibri" w:hAnsi="Futura Std Condensed Light" w:cs="Calibri"/>
                <w:sz w:val="20"/>
                <w:szCs w:val="20"/>
              </w:rPr>
            </w:pPr>
            <w:r w:rsidRPr="002F052A">
              <w:rPr>
                <w:rFonts w:ascii="Futura Std Condensed Light" w:eastAsia="Calibri" w:hAnsi="Futura Std Condensed Light" w:cs="Calibri"/>
                <w:sz w:val="20"/>
                <w:szCs w:val="20"/>
              </w:rPr>
              <w:t>534</w:t>
            </w:r>
          </w:p>
        </w:tc>
        <w:tc>
          <w:tcPr>
            <w:tcW w:w="963" w:type="pct"/>
            <w:gridSpan w:val="2"/>
          </w:tcPr>
          <w:p w14:paraId="4CAAF643" w14:textId="77777777" w:rsidR="0021177B" w:rsidRPr="002F052A" w:rsidRDefault="0021177B" w:rsidP="009E3B2F">
            <w:pPr>
              <w:contextualSpacing/>
              <w:jc w:val="center"/>
              <w:rPr>
                <w:rFonts w:ascii="Futura Std Condensed Light" w:eastAsia="Calibri" w:hAnsi="Futura Std Condensed Light" w:cs="Calibri"/>
                <w:sz w:val="20"/>
                <w:szCs w:val="20"/>
              </w:rPr>
            </w:pPr>
            <w:r w:rsidRPr="002F052A">
              <w:rPr>
                <w:rFonts w:ascii="Futura Std Condensed Light" w:eastAsia="Calibri" w:hAnsi="Futura Std Condensed Light" w:cs="Calibri"/>
                <w:sz w:val="20"/>
                <w:szCs w:val="20"/>
              </w:rPr>
              <w:t>664</w:t>
            </w:r>
          </w:p>
        </w:tc>
        <w:tc>
          <w:tcPr>
            <w:tcW w:w="846" w:type="pct"/>
          </w:tcPr>
          <w:p w14:paraId="55B633A4" w14:textId="77777777" w:rsidR="0021177B" w:rsidRPr="002F052A" w:rsidRDefault="0021177B" w:rsidP="009E3B2F">
            <w:pPr>
              <w:contextualSpacing/>
              <w:jc w:val="center"/>
              <w:rPr>
                <w:rFonts w:ascii="Futura Std Condensed Light" w:eastAsia="Calibri" w:hAnsi="Futura Std Condensed Light" w:cs="Calibri"/>
                <w:sz w:val="20"/>
                <w:szCs w:val="20"/>
              </w:rPr>
            </w:pPr>
            <w:r w:rsidRPr="002F052A">
              <w:rPr>
                <w:rFonts w:ascii="Futura Std Condensed Light" w:eastAsia="Calibri" w:hAnsi="Futura Std Condensed Light" w:cs="Calibri"/>
                <w:sz w:val="20"/>
                <w:szCs w:val="20"/>
              </w:rPr>
              <w:t>664</w:t>
            </w:r>
          </w:p>
        </w:tc>
      </w:tr>
    </w:tbl>
    <w:p w14:paraId="1A85AF2A" w14:textId="0CC0CF8C" w:rsidR="0021177B" w:rsidRDefault="00980EAE" w:rsidP="0021177B">
      <w:pPr>
        <w:jc w:val="center"/>
      </w:pPr>
      <w:r>
        <w:rPr>
          <w:rFonts w:eastAsia="Arial" w:cs="Times New Roman"/>
          <w:b/>
          <w:color w:val="4BACC6" w:themeColor="accent5"/>
        </w:rPr>
        <w:lastRenderedPageBreak/>
        <w:t>Cuadro 48</w:t>
      </w:r>
      <w:r w:rsidR="0021177B">
        <w:rPr>
          <w:rFonts w:eastAsia="Arial" w:cs="Times New Roman"/>
          <w:b/>
          <w:color w:val="4BACC6" w:themeColor="accent5"/>
        </w:rPr>
        <w:t>. Entregable y meta de la línea de acción 21 del PED</w:t>
      </w:r>
    </w:p>
    <w:tbl>
      <w:tblPr>
        <w:tblStyle w:val="Tablaconcuadrcula"/>
        <w:tblW w:w="5000" w:type="pct"/>
        <w:tblLook w:val="04A0" w:firstRow="1" w:lastRow="0" w:firstColumn="1" w:lastColumn="0" w:noHBand="0" w:noVBand="1"/>
      </w:tblPr>
      <w:tblGrid>
        <w:gridCol w:w="1489"/>
        <w:gridCol w:w="812"/>
        <w:gridCol w:w="680"/>
        <w:gridCol w:w="1145"/>
        <w:gridCol w:w="577"/>
        <w:gridCol w:w="463"/>
        <w:gridCol w:w="916"/>
        <w:gridCol w:w="1207"/>
        <w:gridCol w:w="6"/>
        <w:gridCol w:w="628"/>
        <w:gridCol w:w="1614"/>
      </w:tblGrid>
      <w:tr w:rsidR="0021177B" w:rsidRPr="003B479E" w14:paraId="649140C5" w14:textId="77777777" w:rsidTr="00047166">
        <w:trPr>
          <w:trHeight w:val="182"/>
        </w:trPr>
        <w:tc>
          <w:tcPr>
            <w:tcW w:w="1563" w:type="pct"/>
            <w:gridSpan w:val="3"/>
            <w:shd w:val="clear" w:color="auto" w:fill="A6A6A6" w:themeFill="background1" w:themeFillShade="A6"/>
          </w:tcPr>
          <w:p w14:paraId="159DA2AC" w14:textId="77777777" w:rsidR="0021177B" w:rsidRPr="003B479E" w:rsidRDefault="0021177B" w:rsidP="009E3B2F">
            <w:pPr>
              <w:contextualSpacing/>
              <w:jc w:val="center"/>
              <w:rPr>
                <w:rFonts w:ascii="Futura Std Condensed Light" w:eastAsia="Calibri" w:hAnsi="Futura Std Condensed Light" w:cs="Calibri"/>
                <w:color w:val="auto"/>
                <w:sz w:val="20"/>
                <w:szCs w:val="20"/>
              </w:rPr>
            </w:pPr>
            <w:r w:rsidRPr="003B479E">
              <w:rPr>
                <w:rFonts w:ascii="Futura Std Condensed Light" w:eastAsia="Calibri" w:hAnsi="Futura Std Condensed Light" w:cs="Calibri"/>
                <w:color w:val="auto"/>
                <w:sz w:val="20"/>
                <w:szCs w:val="20"/>
              </w:rPr>
              <w:t>Programa PED</w:t>
            </w:r>
          </w:p>
        </w:tc>
        <w:tc>
          <w:tcPr>
            <w:tcW w:w="3437" w:type="pct"/>
            <w:gridSpan w:val="8"/>
            <w:shd w:val="clear" w:color="auto" w:fill="A6A6A6" w:themeFill="background1" w:themeFillShade="A6"/>
          </w:tcPr>
          <w:p w14:paraId="5B764DBD" w14:textId="77777777" w:rsidR="0021177B" w:rsidRPr="003B479E" w:rsidRDefault="0021177B" w:rsidP="009E3B2F">
            <w:pPr>
              <w:contextualSpacing/>
              <w:jc w:val="center"/>
              <w:rPr>
                <w:rFonts w:ascii="Futura Std Condensed Light" w:eastAsia="Calibri" w:hAnsi="Futura Std Condensed Light" w:cs="Calibri"/>
                <w:color w:val="auto"/>
                <w:sz w:val="20"/>
                <w:szCs w:val="20"/>
              </w:rPr>
            </w:pPr>
            <w:r w:rsidRPr="003B479E">
              <w:rPr>
                <w:rFonts w:ascii="Futura Std Condensed Light" w:eastAsia="Calibri" w:hAnsi="Futura Std Condensed Light" w:cs="Calibri"/>
                <w:color w:val="auto"/>
                <w:sz w:val="20"/>
                <w:szCs w:val="20"/>
              </w:rPr>
              <w:t>Programa Sectorial Educación Pública de Calidad</w:t>
            </w:r>
          </w:p>
        </w:tc>
      </w:tr>
      <w:tr w:rsidR="0021177B" w:rsidRPr="002F052A" w14:paraId="4B5100E8" w14:textId="77777777" w:rsidTr="00047166">
        <w:trPr>
          <w:trHeight w:val="469"/>
        </w:trPr>
        <w:tc>
          <w:tcPr>
            <w:tcW w:w="1563" w:type="pct"/>
            <w:gridSpan w:val="3"/>
          </w:tcPr>
          <w:p w14:paraId="336EC219" w14:textId="77777777" w:rsidR="0021177B" w:rsidRPr="002F052A" w:rsidRDefault="0021177B" w:rsidP="009E3B2F">
            <w:pPr>
              <w:contextualSpacing/>
              <w:rPr>
                <w:rFonts w:ascii="Futura Std Condensed Light" w:eastAsia="Calibri" w:hAnsi="Futura Std Condensed Light" w:cs="Calibri"/>
                <w:b/>
                <w:sz w:val="20"/>
                <w:szCs w:val="20"/>
              </w:rPr>
            </w:pPr>
            <w:r w:rsidRPr="002F052A">
              <w:rPr>
                <w:rFonts w:ascii="Futura Std Condensed Light" w:eastAsia="Calibri" w:hAnsi="Futura Std Condensed Light" w:cs="Calibri"/>
                <w:b/>
                <w:sz w:val="20"/>
                <w:szCs w:val="20"/>
              </w:rPr>
              <w:t>Línea de acción:</w:t>
            </w:r>
          </w:p>
        </w:tc>
        <w:tc>
          <w:tcPr>
            <w:tcW w:w="3437" w:type="pct"/>
            <w:gridSpan w:val="8"/>
          </w:tcPr>
          <w:p w14:paraId="3B190E93" w14:textId="77777777" w:rsidR="0021177B" w:rsidRPr="002F052A" w:rsidRDefault="0021177B" w:rsidP="009E3B2F">
            <w:pPr>
              <w:spacing w:after="160" w:line="259" w:lineRule="auto"/>
              <w:contextualSpacing/>
              <w:rPr>
                <w:rFonts w:ascii="Futura Std Condensed Light" w:eastAsia="Calibri" w:hAnsi="Futura Std Condensed Light" w:cs="Calibri"/>
                <w:sz w:val="20"/>
                <w:szCs w:val="20"/>
              </w:rPr>
            </w:pPr>
            <w:r w:rsidRPr="002F052A">
              <w:rPr>
                <w:rFonts w:ascii="Futura Std Condensed Light" w:eastAsia="Calibri" w:hAnsi="Futura Std Condensed Light" w:cs="Calibri"/>
                <w:sz w:val="20"/>
                <w:szCs w:val="20"/>
              </w:rPr>
              <w:t>21.   Generar esquemas de vinculación con instituciones públicas y privadas para la realización de prácticas profesionales y servicio social por parte de estudiantes de educación superior.</w:t>
            </w:r>
          </w:p>
        </w:tc>
      </w:tr>
      <w:tr w:rsidR="0021177B" w:rsidRPr="002F052A" w14:paraId="6978EA1E" w14:textId="77777777" w:rsidTr="00047166">
        <w:trPr>
          <w:trHeight w:val="484"/>
        </w:trPr>
        <w:tc>
          <w:tcPr>
            <w:tcW w:w="1563" w:type="pct"/>
            <w:gridSpan w:val="3"/>
          </w:tcPr>
          <w:p w14:paraId="7D9CA682" w14:textId="77777777" w:rsidR="0021177B" w:rsidRPr="002F052A" w:rsidRDefault="0021177B" w:rsidP="009E3B2F">
            <w:pPr>
              <w:contextualSpacing/>
              <w:rPr>
                <w:rFonts w:ascii="Futura Std Condensed Light" w:eastAsia="Calibri" w:hAnsi="Futura Std Condensed Light" w:cs="Calibri"/>
                <w:b/>
                <w:sz w:val="20"/>
                <w:szCs w:val="20"/>
              </w:rPr>
            </w:pPr>
            <w:r w:rsidRPr="002F052A">
              <w:rPr>
                <w:rFonts w:ascii="Futura Std Condensed Light" w:eastAsia="Calibri" w:hAnsi="Futura Std Condensed Light" w:cs="Calibri"/>
                <w:b/>
                <w:sz w:val="20"/>
                <w:szCs w:val="20"/>
              </w:rPr>
              <w:t>Plan Estratégico Objetivo Especifico</w:t>
            </w:r>
          </w:p>
        </w:tc>
        <w:tc>
          <w:tcPr>
            <w:tcW w:w="3437" w:type="pct"/>
            <w:gridSpan w:val="8"/>
          </w:tcPr>
          <w:p w14:paraId="7DACCE72" w14:textId="77777777" w:rsidR="0021177B" w:rsidRPr="002F052A" w:rsidRDefault="0021177B" w:rsidP="009E3B2F">
            <w:pPr>
              <w:contextualSpacing/>
              <w:rPr>
                <w:rFonts w:ascii="Futura Std Condensed Light" w:eastAsia="Calibri" w:hAnsi="Futura Std Condensed Light" w:cs="Calibri"/>
                <w:sz w:val="20"/>
                <w:szCs w:val="20"/>
              </w:rPr>
            </w:pPr>
            <w:r w:rsidRPr="002F052A">
              <w:rPr>
                <w:rFonts w:ascii="Futura Std Condensed Light" w:eastAsia="Calibri" w:hAnsi="Futura Std Condensed Light" w:cs="Calibri"/>
                <w:sz w:val="20"/>
                <w:szCs w:val="20"/>
              </w:rPr>
              <w:t>Disminuir la desigualdad en sus diversas formas </w:t>
            </w:r>
          </w:p>
        </w:tc>
      </w:tr>
      <w:tr w:rsidR="0021177B" w:rsidRPr="002F052A" w14:paraId="715DBB84" w14:textId="77777777" w:rsidTr="00047166">
        <w:trPr>
          <w:trHeight w:val="484"/>
        </w:trPr>
        <w:tc>
          <w:tcPr>
            <w:tcW w:w="1207" w:type="pct"/>
            <w:gridSpan w:val="2"/>
          </w:tcPr>
          <w:p w14:paraId="5EBA60BB" w14:textId="77777777" w:rsidR="0021177B" w:rsidRPr="002F052A" w:rsidRDefault="0021177B" w:rsidP="009E3B2F">
            <w:pPr>
              <w:contextualSpacing/>
              <w:rPr>
                <w:rFonts w:ascii="Futura Std Condensed Light" w:eastAsia="Calibri" w:hAnsi="Futura Std Condensed Light" w:cs="Calibri"/>
                <w:b/>
                <w:sz w:val="20"/>
                <w:szCs w:val="20"/>
              </w:rPr>
            </w:pPr>
            <w:r w:rsidRPr="002F052A">
              <w:rPr>
                <w:rFonts w:ascii="Futura Std Condensed Light" w:eastAsia="Calibri" w:hAnsi="Futura Std Condensed Light" w:cs="Calibri"/>
                <w:b/>
                <w:sz w:val="20"/>
                <w:szCs w:val="20"/>
              </w:rPr>
              <w:t>Entregable:</w:t>
            </w:r>
          </w:p>
        </w:tc>
        <w:tc>
          <w:tcPr>
            <w:tcW w:w="958" w:type="pct"/>
            <w:gridSpan w:val="2"/>
          </w:tcPr>
          <w:p w14:paraId="2F1DCBFD" w14:textId="77777777" w:rsidR="0021177B" w:rsidRPr="002F052A" w:rsidRDefault="0021177B" w:rsidP="009E3B2F">
            <w:pPr>
              <w:contextualSpacing/>
              <w:rPr>
                <w:rFonts w:ascii="Futura Std Condensed Light" w:eastAsia="Calibri" w:hAnsi="Futura Std Condensed Light" w:cs="Calibri"/>
                <w:sz w:val="20"/>
                <w:szCs w:val="20"/>
              </w:rPr>
            </w:pPr>
            <w:r w:rsidRPr="002F052A">
              <w:rPr>
                <w:rFonts w:ascii="Futura Std Condensed Light" w:eastAsia="Calibri" w:hAnsi="Futura Std Condensed Light" w:cs="Calibri"/>
                <w:sz w:val="20"/>
                <w:szCs w:val="20"/>
              </w:rPr>
              <w:t>Convenios realizados entre las Instituciones de Educación Superior y los organismos públicos y privados</w:t>
            </w:r>
          </w:p>
        </w:tc>
        <w:tc>
          <w:tcPr>
            <w:tcW w:w="1660" w:type="pct"/>
            <w:gridSpan w:val="5"/>
          </w:tcPr>
          <w:p w14:paraId="25276B86" w14:textId="77777777" w:rsidR="0021177B" w:rsidRPr="002F052A" w:rsidRDefault="0021177B" w:rsidP="009E3B2F">
            <w:pPr>
              <w:contextualSpacing/>
              <w:rPr>
                <w:rFonts w:ascii="Futura Std Condensed Light" w:eastAsia="Calibri" w:hAnsi="Futura Std Condensed Light" w:cs="Calibri"/>
                <w:b/>
                <w:sz w:val="20"/>
                <w:szCs w:val="20"/>
              </w:rPr>
            </w:pPr>
            <w:r w:rsidRPr="002F052A">
              <w:rPr>
                <w:rFonts w:ascii="Futura Std Condensed Light" w:eastAsia="Calibri" w:hAnsi="Futura Std Condensed Light" w:cs="Calibri"/>
                <w:b/>
                <w:sz w:val="20"/>
                <w:szCs w:val="20"/>
              </w:rPr>
              <w:t>Unidad de Medida:</w:t>
            </w:r>
          </w:p>
        </w:tc>
        <w:tc>
          <w:tcPr>
            <w:tcW w:w="1174" w:type="pct"/>
            <w:gridSpan w:val="2"/>
          </w:tcPr>
          <w:p w14:paraId="7454B983" w14:textId="77777777" w:rsidR="0021177B" w:rsidRPr="002F052A" w:rsidRDefault="0021177B" w:rsidP="009E3B2F">
            <w:pPr>
              <w:contextualSpacing/>
              <w:rPr>
                <w:rFonts w:ascii="Futura Std Condensed Light" w:eastAsia="Calibri" w:hAnsi="Futura Std Condensed Light" w:cs="Calibri"/>
                <w:sz w:val="20"/>
                <w:szCs w:val="20"/>
              </w:rPr>
            </w:pPr>
            <w:r w:rsidRPr="002F052A">
              <w:rPr>
                <w:rFonts w:ascii="Futura Std Condensed Light" w:eastAsia="Calibri" w:hAnsi="Futura Std Condensed Light" w:cs="Calibri"/>
                <w:sz w:val="20"/>
                <w:szCs w:val="20"/>
              </w:rPr>
              <w:t>Convenio realizado</w:t>
            </w:r>
          </w:p>
        </w:tc>
      </w:tr>
      <w:tr w:rsidR="0021177B" w:rsidRPr="002F052A" w14:paraId="27E94585" w14:textId="77777777" w:rsidTr="00047166">
        <w:trPr>
          <w:trHeight w:val="449"/>
        </w:trPr>
        <w:tc>
          <w:tcPr>
            <w:tcW w:w="1207" w:type="pct"/>
            <w:gridSpan w:val="2"/>
          </w:tcPr>
          <w:p w14:paraId="33EFAA92" w14:textId="77777777" w:rsidR="0021177B" w:rsidRPr="002F052A" w:rsidRDefault="0021177B" w:rsidP="009E3B2F">
            <w:pPr>
              <w:contextualSpacing/>
              <w:rPr>
                <w:rFonts w:ascii="Futura Std Condensed Light" w:eastAsia="Calibri" w:hAnsi="Futura Std Condensed Light" w:cs="Calibri"/>
                <w:b/>
                <w:sz w:val="20"/>
                <w:szCs w:val="20"/>
              </w:rPr>
            </w:pPr>
            <w:r w:rsidRPr="002F052A">
              <w:rPr>
                <w:rFonts w:ascii="Futura Std Condensed Light" w:eastAsia="Calibri" w:hAnsi="Futura Std Condensed Light" w:cs="Calibri"/>
                <w:b/>
                <w:sz w:val="20"/>
                <w:szCs w:val="20"/>
              </w:rPr>
              <w:t>Descripción:</w:t>
            </w:r>
          </w:p>
        </w:tc>
        <w:tc>
          <w:tcPr>
            <w:tcW w:w="3793" w:type="pct"/>
            <w:gridSpan w:val="9"/>
          </w:tcPr>
          <w:p w14:paraId="0C6F6102" w14:textId="77777777" w:rsidR="0021177B" w:rsidRPr="002F052A" w:rsidRDefault="0021177B" w:rsidP="009E3B2F">
            <w:pPr>
              <w:contextualSpacing/>
              <w:rPr>
                <w:rFonts w:ascii="Futura Std Condensed Light" w:eastAsia="Calibri" w:hAnsi="Futura Std Condensed Light" w:cs="Calibri"/>
                <w:sz w:val="20"/>
                <w:szCs w:val="20"/>
              </w:rPr>
            </w:pPr>
            <w:r w:rsidRPr="002F052A">
              <w:rPr>
                <w:rFonts w:ascii="Futura Std Condensed Light" w:eastAsia="Calibri" w:hAnsi="Futura Std Condensed Light" w:cs="Calibri"/>
                <w:sz w:val="20"/>
                <w:szCs w:val="20"/>
              </w:rPr>
              <w:t>Se refiere a los convenios de colaboración realizados entre las Instituciones de Educación Superior y el sector público y privado para que los estudiantes muestren sus habilidades académicas para desarrollar las prácticas profesionales y servicio social.</w:t>
            </w:r>
          </w:p>
        </w:tc>
      </w:tr>
      <w:tr w:rsidR="0021177B" w:rsidRPr="002F052A" w14:paraId="257ED420" w14:textId="77777777" w:rsidTr="00047166">
        <w:trPr>
          <w:trHeight w:val="484"/>
        </w:trPr>
        <w:tc>
          <w:tcPr>
            <w:tcW w:w="1563" w:type="pct"/>
            <w:gridSpan w:val="3"/>
          </w:tcPr>
          <w:p w14:paraId="3B1CD735" w14:textId="77777777" w:rsidR="0021177B" w:rsidRPr="002F052A" w:rsidRDefault="0021177B" w:rsidP="009E3B2F">
            <w:pPr>
              <w:contextualSpacing/>
              <w:rPr>
                <w:rFonts w:ascii="Futura Std Condensed Light" w:eastAsia="Calibri" w:hAnsi="Futura Std Condensed Light" w:cs="Calibri"/>
                <w:b/>
                <w:sz w:val="20"/>
                <w:szCs w:val="20"/>
              </w:rPr>
            </w:pPr>
            <w:r w:rsidRPr="002F052A">
              <w:rPr>
                <w:rFonts w:ascii="Futura Std Condensed Light" w:eastAsia="Calibri" w:hAnsi="Futura Std Condensed Light" w:cs="Calibri"/>
                <w:b/>
                <w:sz w:val="20"/>
                <w:szCs w:val="20"/>
              </w:rPr>
              <w:t>Medio de verificación:</w:t>
            </w:r>
          </w:p>
        </w:tc>
        <w:tc>
          <w:tcPr>
            <w:tcW w:w="3437" w:type="pct"/>
            <w:gridSpan w:val="8"/>
          </w:tcPr>
          <w:p w14:paraId="5C78E890" w14:textId="77777777" w:rsidR="0021177B" w:rsidRPr="002F052A" w:rsidRDefault="0021177B" w:rsidP="009E3B2F">
            <w:pPr>
              <w:contextualSpacing/>
              <w:rPr>
                <w:rFonts w:ascii="Futura Std Condensed Light" w:eastAsia="Calibri" w:hAnsi="Futura Std Condensed Light" w:cs="Calibri"/>
                <w:sz w:val="20"/>
                <w:szCs w:val="20"/>
              </w:rPr>
            </w:pPr>
            <w:r w:rsidRPr="002F052A">
              <w:rPr>
                <w:rFonts w:ascii="Futura Std Condensed Light" w:eastAsia="Calibri" w:hAnsi="Futura Std Condensed Light" w:cs="Calibri"/>
                <w:sz w:val="20"/>
                <w:szCs w:val="20"/>
              </w:rPr>
              <w:t>Convenios de colaboración firmados</w:t>
            </w:r>
          </w:p>
        </w:tc>
      </w:tr>
      <w:tr w:rsidR="0021177B" w:rsidRPr="002F052A" w14:paraId="76B9C5AF" w14:textId="77777777" w:rsidTr="00047166">
        <w:trPr>
          <w:trHeight w:val="484"/>
        </w:trPr>
        <w:tc>
          <w:tcPr>
            <w:tcW w:w="1563" w:type="pct"/>
            <w:gridSpan w:val="3"/>
          </w:tcPr>
          <w:p w14:paraId="0D9C941D" w14:textId="77777777" w:rsidR="0021177B" w:rsidRPr="002F052A" w:rsidRDefault="0021177B" w:rsidP="009E3B2F">
            <w:pPr>
              <w:contextualSpacing/>
              <w:rPr>
                <w:rFonts w:ascii="Futura Std Condensed Light" w:eastAsia="Calibri" w:hAnsi="Futura Std Condensed Light" w:cs="Calibri"/>
                <w:b/>
                <w:sz w:val="20"/>
                <w:szCs w:val="20"/>
              </w:rPr>
            </w:pPr>
            <w:r w:rsidRPr="002F052A">
              <w:rPr>
                <w:rFonts w:ascii="Futura Std Condensed Light" w:eastAsia="Calibri" w:hAnsi="Futura Std Condensed Light" w:cs="Calibri"/>
                <w:b/>
                <w:sz w:val="20"/>
                <w:szCs w:val="20"/>
              </w:rPr>
              <w:t>Línea base:</w:t>
            </w:r>
          </w:p>
        </w:tc>
        <w:tc>
          <w:tcPr>
            <w:tcW w:w="1147" w:type="pct"/>
            <w:gridSpan w:val="3"/>
          </w:tcPr>
          <w:p w14:paraId="4AEAD0C3" w14:textId="77777777" w:rsidR="0021177B" w:rsidRPr="002F052A" w:rsidRDefault="0021177B" w:rsidP="009E3B2F">
            <w:pPr>
              <w:contextualSpacing/>
              <w:rPr>
                <w:rFonts w:ascii="Futura Std Condensed Light" w:eastAsia="Calibri" w:hAnsi="Futura Std Condensed Light" w:cs="Calibri"/>
                <w:sz w:val="20"/>
                <w:szCs w:val="20"/>
              </w:rPr>
            </w:pPr>
            <w:r w:rsidRPr="002F052A">
              <w:rPr>
                <w:rFonts w:ascii="Futura Std Condensed Light" w:eastAsia="Calibri" w:hAnsi="Futura Std Condensed Light" w:cs="Calibri"/>
                <w:sz w:val="20"/>
                <w:szCs w:val="20"/>
              </w:rPr>
              <w:t>0</w:t>
            </w:r>
          </w:p>
        </w:tc>
        <w:tc>
          <w:tcPr>
            <w:tcW w:w="1113" w:type="pct"/>
            <w:gridSpan w:val="2"/>
          </w:tcPr>
          <w:p w14:paraId="2D579378" w14:textId="77777777" w:rsidR="0021177B" w:rsidRPr="002F052A" w:rsidRDefault="0021177B" w:rsidP="009E3B2F">
            <w:pPr>
              <w:contextualSpacing/>
              <w:rPr>
                <w:rFonts w:ascii="Futura Std Condensed Light" w:eastAsia="Calibri" w:hAnsi="Futura Std Condensed Light" w:cs="Calibri"/>
                <w:b/>
                <w:sz w:val="20"/>
                <w:szCs w:val="20"/>
              </w:rPr>
            </w:pPr>
            <w:r w:rsidRPr="002F052A">
              <w:rPr>
                <w:rFonts w:ascii="Futura Std Condensed Light" w:eastAsia="Calibri" w:hAnsi="Futura Std Condensed Light" w:cs="Calibri"/>
                <w:b/>
                <w:sz w:val="20"/>
                <w:szCs w:val="20"/>
              </w:rPr>
              <w:t>Año de línea base:</w:t>
            </w:r>
          </w:p>
        </w:tc>
        <w:tc>
          <w:tcPr>
            <w:tcW w:w="1178" w:type="pct"/>
            <w:gridSpan w:val="3"/>
          </w:tcPr>
          <w:p w14:paraId="13C13924" w14:textId="77777777" w:rsidR="0021177B" w:rsidRPr="002F052A" w:rsidRDefault="0021177B" w:rsidP="009E3B2F">
            <w:pPr>
              <w:contextualSpacing/>
              <w:rPr>
                <w:rFonts w:ascii="Futura Std Condensed Light" w:eastAsia="Calibri" w:hAnsi="Futura Std Condensed Light" w:cs="Calibri"/>
                <w:sz w:val="20"/>
                <w:szCs w:val="20"/>
              </w:rPr>
            </w:pPr>
            <w:r w:rsidRPr="002F052A">
              <w:rPr>
                <w:rFonts w:ascii="Futura Std Condensed Light" w:eastAsia="Calibri" w:hAnsi="Futura Std Condensed Light" w:cs="Calibri"/>
                <w:sz w:val="20"/>
                <w:szCs w:val="20"/>
              </w:rPr>
              <w:t>2016</w:t>
            </w:r>
          </w:p>
        </w:tc>
      </w:tr>
      <w:tr w:rsidR="0021177B" w:rsidRPr="002F052A" w14:paraId="0A2529F5" w14:textId="77777777" w:rsidTr="00047166">
        <w:trPr>
          <w:trHeight w:val="484"/>
        </w:trPr>
        <w:tc>
          <w:tcPr>
            <w:tcW w:w="1563" w:type="pct"/>
            <w:gridSpan w:val="3"/>
          </w:tcPr>
          <w:p w14:paraId="4FE1BFD6" w14:textId="77777777" w:rsidR="0021177B" w:rsidRPr="002F052A" w:rsidRDefault="0021177B" w:rsidP="009E3B2F">
            <w:pPr>
              <w:contextualSpacing/>
              <w:rPr>
                <w:rFonts w:ascii="Futura Std Condensed Light" w:eastAsia="Calibri" w:hAnsi="Futura Std Condensed Light" w:cs="Calibri"/>
                <w:b/>
                <w:sz w:val="20"/>
                <w:szCs w:val="20"/>
              </w:rPr>
            </w:pPr>
            <w:r w:rsidRPr="002F052A">
              <w:rPr>
                <w:rFonts w:ascii="Futura Std Condensed Light" w:eastAsia="Calibri" w:hAnsi="Futura Std Condensed Light" w:cs="Calibri"/>
                <w:b/>
                <w:sz w:val="20"/>
                <w:szCs w:val="20"/>
              </w:rPr>
              <w:t>Contribución Directa al Objetivo de la Agenda 2030</w:t>
            </w:r>
          </w:p>
        </w:tc>
        <w:tc>
          <w:tcPr>
            <w:tcW w:w="3437" w:type="pct"/>
            <w:gridSpan w:val="8"/>
          </w:tcPr>
          <w:p w14:paraId="228958EC" w14:textId="77777777" w:rsidR="0021177B" w:rsidRPr="002F052A" w:rsidRDefault="0021177B" w:rsidP="009E3B2F">
            <w:pPr>
              <w:contextualSpacing/>
              <w:rPr>
                <w:rFonts w:ascii="Futura Std Condensed Light" w:eastAsia="Calibri" w:hAnsi="Futura Std Condensed Light" w:cs="Calibri"/>
                <w:sz w:val="20"/>
                <w:szCs w:val="20"/>
              </w:rPr>
            </w:pPr>
            <w:r w:rsidRPr="002F052A">
              <w:rPr>
                <w:rFonts w:ascii="Futura Std Condensed Light" w:eastAsia="Calibri" w:hAnsi="Futura Std Condensed Light" w:cs="Calibri"/>
                <w:sz w:val="20"/>
                <w:szCs w:val="20"/>
              </w:rPr>
              <w:t>Garantizar una educación inclusiva, equitativa y de calidad y promover oportunidades de aprendizaje durante toda la vida para todos</w:t>
            </w:r>
          </w:p>
        </w:tc>
      </w:tr>
      <w:tr w:rsidR="0021177B" w:rsidRPr="002F052A" w14:paraId="38DF8244" w14:textId="77777777" w:rsidTr="00047166">
        <w:trPr>
          <w:trHeight w:val="484"/>
        </w:trPr>
        <w:tc>
          <w:tcPr>
            <w:tcW w:w="1563" w:type="pct"/>
            <w:gridSpan w:val="3"/>
          </w:tcPr>
          <w:p w14:paraId="4EC755C6" w14:textId="77777777" w:rsidR="0021177B" w:rsidRPr="002F052A" w:rsidRDefault="0021177B" w:rsidP="009E3B2F">
            <w:pPr>
              <w:contextualSpacing/>
              <w:rPr>
                <w:rFonts w:ascii="Futura Std Condensed Light" w:eastAsia="Calibri" w:hAnsi="Futura Std Condensed Light" w:cs="Calibri"/>
                <w:b/>
                <w:sz w:val="20"/>
                <w:szCs w:val="20"/>
              </w:rPr>
            </w:pPr>
            <w:r w:rsidRPr="002F052A">
              <w:rPr>
                <w:rFonts w:ascii="Futura Std Condensed Light" w:eastAsia="Calibri" w:hAnsi="Futura Std Condensed Light" w:cs="Calibri"/>
                <w:b/>
                <w:sz w:val="20"/>
                <w:szCs w:val="20"/>
              </w:rPr>
              <w:t>Contribución Directa  a la Meta de la Agenda 2030</w:t>
            </w:r>
          </w:p>
        </w:tc>
        <w:tc>
          <w:tcPr>
            <w:tcW w:w="3437" w:type="pct"/>
            <w:gridSpan w:val="8"/>
          </w:tcPr>
          <w:p w14:paraId="5032687E" w14:textId="77777777" w:rsidR="0021177B" w:rsidRPr="002F052A" w:rsidRDefault="0021177B" w:rsidP="009E3B2F">
            <w:pPr>
              <w:contextualSpacing/>
              <w:rPr>
                <w:rFonts w:ascii="Futura Std Condensed Light" w:eastAsia="Calibri" w:hAnsi="Futura Std Condensed Light" w:cs="Calibri"/>
                <w:sz w:val="20"/>
                <w:szCs w:val="20"/>
              </w:rPr>
            </w:pPr>
            <w:r w:rsidRPr="002F052A">
              <w:rPr>
                <w:rFonts w:ascii="Futura Std Condensed Light" w:eastAsia="Calibri" w:hAnsi="Futura Std Condensed Light" w:cs="Calibri"/>
                <w:sz w:val="20"/>
                <w:szCs w:val="20"/>
              </w:rPr>
              <w:t>De aquí a 2030, asegurar el acceso igualitario de todos los hombres y las mujeres a una formación técnica, profesional y superior de calidad, incluida la enseñanza universitaria.</w:t>
            </w:r>
          </w:p>
        </w:tc>
      </w:tr>
      <w:tr w:rsidR="0021177B" w:rsidRPr="002F052A" w14:paraId="2C66D218" w14:textId="77777777" w:rsidTr="00047166">
        <w:trPr>
          <w:trHeight w:val="484"/>
        </w:trPr>
        <w:tc>
          <w:tcPr>
            <w:tcW w:w="1563" w:type="pct"/>
            <w:gridSpan w:val="3"/>
          </w:tcPr>
          <w:p w14:paraId="71953208" w14:textId="77777777" w:rsidR="0021177B" w:rsidRPr="002F052A" w:rsidRDefault="0021177B" w:rsidP="009E3B2F">
            <w:pPr>
              <w:contextualSpacing/>
              <w:rPr>
                <w:rFonts w:ascii="Futura Std Condensed Light" w:eastAsia="Calibri" w:hAnsi="Futura Std Condensed Light" w:cs="Calibri"/>
                <w:b/>
                <w:sz w:val="20"/>
                <w:szCs w:val="20"/>
              </w:rPr>
            </w:pPr>
            <w:r w:rsidRPr="002F052A">
              <w:rPr>
                <w:rFonts w:ascii="Futura Std Condensed Light" w:eastAsia="Calibri" w:hAnsi="Futura Std Condensed Light" w:cs="Calibri"/>
                <w:b/>
                <w:sz w:val="20"/>
                <w:szCs w:val="20"/>
              </w:rPr>
              <w:t>Tema / Proyecto Prioritario de Quintana Roo</w:t>
            </w:r>
          </w:p>
        </w:tc>
        <w:tc>
          <w:tcPr>
            <w:tcW w:w="3437" w:type="pct"/>
            <w:gridSpan w:val="8"/>
          </w:tcPr>
          <w:p w14:paraId="03AD5A1E" w14:textId="77777777" w:rsidR="0021177B" w:rsidRPr="002F052A" w:rsidRDefault="0021177B" w:rsidP="009E3B2F">
            <w:pPr>
              <w:contextualSpacing/>
              <w:rPr>
                <w:rFonts w:ascii="Futura Std Condensed Light" w:eastAsia="Calibri" w:hAnsi="Futura Std Condensed Light" w:cs="Calibri"/>
                <w:sz w:val="20"/>
                <w:szCs w:val="20"/>
              </w:rPr>
            </w:pPr>
            <w:r w:rsidRPr="002F052A">
              <w:rPr>
                <w:rFonts w:ascii="Futura Std Condensed Light" w:eastAsia="Calibri" w:hAnsi="Futura Std Condensed Light" w:cs="Calibri"/>
                <w:sz w:val="20"/>
                <w:szCs w:val="20"/>
              </w:rPr>
              <w:t>24.5 Abatir el rezago educativo</w:t>
            </w:r>
          </w:p>
        </w:tc>
      </w:tr>
      <w:tr w:rsidR="0021177B" w:rsidRPr="002F052A" w14:paraId="2CFE4014" w14:textId="77777777" w:rsidTr="00047166">
        <w:trPr>
          <w:trHeight w:val="484"/>
        </w:trPr>
        <w:tc>
          <w:tcPr>
            <w:tcW w:w="1563" w:type="pct"/>
            <w:gridSpan w:val="3"/>
          </w:tcPr>
          <w:p w14:paraId="7F96A819" w14:textId="77777777" w:rsidR="0021177B" w:rsidRPr="002F052A" w:rsidRDefault="0021177B" w:rsidP="009E3B2F">
            <w:pPr>
              <w:contextualSpacing/>
              <w:rPr>
                <w:rFonts w:ascii="Futura Std Condensed Light" w:eastAsia="Calibri" w:hAnsi="Futura Std Condensed Light" w:cs="Calibri"/>
                <w:b/>
                <w:sz w:val="20"/>
                <w:szCs w:val="20"/>
              </w:rPr>
            </w:pPr>
            <w:r w:rsidRPr="002F052A">
              <w:rPr>
                <w:rFonts w:ascii="Futura Std Condensed Light" w:eastAsia="Calibri" w:hAnsi="Futura Std Condensed Light" w:cs="Calibri"/>
                <w:b/>
                <w:sz w:val="20"/>
                <w:szCs w:val="20"/>
              </w:rPr>
              <w:t>Subtema Prioritario de Quintana Roo</w:t>
            </w:r>
          </w:p>
        </w:tc>
        <w:tc>
          <w:tcPr>
            <w:tcW w:w="3437" w:type="pct"/>
            <w:gridSpan w:val="8"/>
          </w:tcPr>
          <w:p w14:paraId="51BBCEED" w14:textId="77777777" w:rsidR="0021177B" w:rsidRPr="002F052A" w:rsidRDefault="0021177B" w:rsidP="009E3B2F">
            <w:pPr>
              <w:contextualSpacing/>
              <w:rPr>
                <w:rFonts w:ascii="Futura Std Condensed Light" w:eastAsia="Calibri" w:hAnsi="Futura Std Condensed Light" w:cs="Calibri"/>
                <w:sz w:val="20"/>
                <w:szCs w:val="20"/>
              </w:rPr>
            </w:pPr>
            <w:r w:rsidRPr="002F052A">
              <w:rPr>
                <w:rFonts w:ascii="Futura Std Condensed Light" w:eastAsia="Calibri" w:hAnsi="Futura Std Condensed Light" w:cs="Calibri"/>
                <w:sz w:val="20"/>
                <w:szCs w:val="20"/>
              </w:rPr>
              <w:t>N/A</w:t>
            </w:r>
          </w:p>
        </w:tc>
      </w:tr>
      <w:tr w:rsidR="0021177B" w:rsidRPr="002F052A" w14:paraId="0E62869A" w14:textId="77777777" w:rsidTr="009E3B2F">
        <w:trPr>
          <w:trHeight w:val="484"/>
        </w:trPr>
        <w:tc>
          <w:tcPr>
            <w:tcW w:w="5000" w:type="pct"/>
            <w:gridSpan w:val="11"/>
          </w:tcPr>
          <w:p w14:paraId="30ECFAE9" w14:textId="77777777" w:rsidR="0021177B" w:rsidRPr="002F052A" w:rsidRDefault="0021177B" w:rsidP="009E3B2F">
            <w:pPr>
              <w:contextualSpacing/>
              <w:jc w:val="center"/>
              <w:rPr>
                <w:rFonts w:ascii="Futura Std Condensed Light" w:eastAsia="Calibri" w:hAnsi="Futura Std Condensed Light" w:cs="Calibri"/>
                <w:b/>
                <w:sz w:val="20"/>
                <w:szCs w:val="20"/>
              </w:rPr>
            </w:pPr>
            <w:r w:rsidRPr="002F052A">
              <w:rPr>
                <w:rFonts w:ascii="Futura Std Condensed Light" w:eastAsia="Calibri" w:hAnsi="Futura Std Condensed Light" w:cs="Calibri"/>
                <w:b/>
                <w:sz w:val="20"/>
                <w:szCs w:val="20"/>
              </w:rPr>
              <w:t>Meta Total:</w:t>
            </w:r>
          </w:p>
        </w:tc>
      </w:tr>
      <w:tr w:rsidR="0021177B" w:rsidRPr="002F052A" w14:paraId="6C1C6D3F" w14:textId="77777777" w:rsidTr="009E3B2F">
        <w:trPr>
          <w:trHeight w:val="484"/>
        </w:trPr>
        <w:tc>
          <w:tcPr>
            <w:tcW w:w="781" w:type="pct"/>
          </w:tcPr>
          <w:p w14:paraId="74D28022" w14:textId="77777777" w:rsidR="0021177B" w:rsidRPr="002F052A" w:rsidRDefault="0021177B" w:rsidP="009E3B2F">
            <w:pPr>
              <w:contextualSpacing/>
              <w:jc w:val="center"/>
              <w:rPr>
                <w:rFonts w:ascii="Futura Std Condensed Light" w:eastAsia="Calibri" w:hAnsi="Futura Std Condensed Light" w:cs="Calibri"/>
                <w:b/>
                <w:sz w:val="20"/>
                <w:szCs w:val="20"/>
              </w:rPr>
            </w:pPr>
            <w:r w:rsidRPr="002F052A">
              <w:rPr>
                <w:rFonts w:ascii="Futura Std Condensed Light" w:eastAsia="Calibri" w:hAnsi="Futura Std Condensed Light" w:cs="Calibri"/>
                <w:b/>
                <w:sz w:val="20"/>
                <w:szCs w:val="20"/>
              </w:rPr>
              <w:t>2017</w:t>
            </w:r>
          </w:p>
        </w:tc>
        <w:tc>
          <w:tcPr>
            <w:tcW w:w="783" w:type="pct"/>
            <w:gridSpan w:val="2"/>
          </w:tcPr>
          <w:p w14:paraId="4A8A8F6A" w14:textId="77777777" w:rsidR="0021177B" w:rsidRPr="002F052A" w:rsidRDefault="0021177B" w:rsidP="009E3B2F">
            <w:pPr>
              <w:contextualSpacing/>
              <w:jc w:val="center"/>
              <w:rPr>
                <w:rFonts w:ascii="Futura Std Condensed Light" w:eastAsia="Calibri" w:hAnsi="Futura Std Condensed Light" w:cs="Calibri"/>
                <w:b/>
                <w:sz w:val="20"/>
                <w:szCs w:val="20"/>
              </w:rPr>
            </w:pPr>
            <w:r w:rsidRPr="002F052A">
              <w:rPr>
                <w:rFonts w:ascii="Futura Std Condensed Light" w:eastAsia="Calibri" w:hAnsi="Futura Std Condensed Light" w:cs="Calibri"/>
                <w:b/>
                <w:sz w:val="20"/>
                <w:szCs w:val="20"/>
              </w:rPr>
              <w:t>2018</w:t>
            </w:r>
          </w:p>
        </w:tc>
        <w:tc>
          <w:tcPr>
            <w:tcW w:w="904" w:type="pct"/>
            <w:gridSpan w:val="2"/>
          </w:tcPr>
          <w:p w14:paraId="40ACA11C" w14:textId="77777777" w:rsidR="0021177B" w:rsidRPr="002F052A" w:rsidRDefault="0021177B" w:rsidP="009E3B2F">
            <w:pPr>
              <w:contextualSpacing/>
              <w:jc w:val="center"/>
              <w:rPr>
                <w:rFonts w:ascii="Futura Std Condensed Light" w:eastAsia="Calibri" w:hAnsi="Futura Std Condensed Light" w:cs="Calibri"/>
                <w:b/>
                <w:sz w:val="20"/>
                <w:szCs w:val="20"/>
              </w:rPr>
            </w:pPr>
            <w:r w:rsidRPr="002F052A">
              <w:rPr>
                <w:rFonts w:ascii="Futura Std Condensed Light" w:eastAsia="Calibri" w:hAnsi="Futura Std Condensed Light" w:cs="Calibri"/>
                <w:b/>
                <w:sz w:val="20"/>
                <w:szCs w:val="20"/>
              </w:rPr>
              <w:t>2019</w:t>
            </w:r>
          </w:p>
        </w:tc>
        <w:tc>
          <w:tcPr>
            <w:tcW w:w="723" w:type="pct"/>
            <w:gridSpan w:val="2"/>
          </w:tcPr>
          <w:p w14:paraId="39AD9394" w14:textId="77777777" w:rsidR="0021177B" w:rsidRPr="002F052A" w:rsidRDefault="0021177B" w:rsidP="009E3B2F">
            <w:pPr>
              <w:contextualSpacing/>
              <w:jc w:val="center"/>
              <w:rPr>
                <w:rFonts w:ascii="Futura Std Condensed Light" w:eastAsia="Calibri" w:hAnsi="Futura Std Condensed Light" w:cs="Calibri"/>
                <w:b/>
                <w:sz w:val="20"/>
                <w:szCs w:val="20"/>
              </w:rPr>
            </w:pPr>
            <w:r w:rsidRPr="002F052A">
              <w:rPr>
                <w:rFonts w:ascii="Futura Std Condensed Light" w:eastAsia="Calibri" w:hAnsi="Futura Std Condensed Light" w:cs="Calibri"/>
                <w:b/>
                <w:sz w:val="20"/>
                <w:szCs w:val="20"/>
              </w:rPr>
              <w:t>2020</w:t>
            </w:r>
          </w:p>
        </w:tc>
        <w:tc>
          <w:tcPr>
            <w:tcW w:w="963" w:type="pct"/>
            <w:gridSpan w:val="3"/>
          </w:tcPr>
          <w:p w14:paraId="53035787" w14:textId="77777777" w:rsidR="0021177B" w:rsidRPr="002F052A" w:rsidRDefault="0021177B" w:rsidP="009E3B2F">
            <w:pPr>
              <w:contextualSpacing/>
              <w:jc w:val="center"/>
              <w:rPr>
                <w:rFonts w:ascii="Futura Std Condensed Light" w:eastAsia="Calibri" w:hAnsi="Futura Std Condensed Light" w:cs="Calibri"/>
                <w:b/>
                <w:sz w:val="20"/>
                <w:szCs w:val="20"/>
              </w:rPr>
            </w:pPr>
            <w:r w:rsidRPr="002F052A">
              <w:rPr>
                <w:rFonts w:ascii="Futura Std Condensed Light" w:eastAsia="Calibri" w:hAnsi="Futura Std Condensed Light" w:cs="Calibri"/>
                <w:b/>
                <w:sz w:val="20"/>
                <w:szCs w:val="20"/>
              </w:rPr>
              <w:t>2021</w:t>
            </w:r>
          </w:p>
        </w:tc>
        <w:tc>
          <w:tcPr>
            <w:tcW w:w="846" w:type="pct"/>
          </w:tcPr>
          <w:p w14:paraId="4241A9D0" w14:textId="77777777" w:rsidR="0021177B" w:rsidRPr="002F052A" w:rsidRDefault="0021177B" w:rsidP="009E3B2F">
            <w:pPr>
              <w:contextualSpacing/>
              <w:jc w:val="center"/>
              <w:rPr>
                <w:rFonts w:ascii="Futura Std Condensed Light" w:eastAsia="Calibri" w:hAnsi="Futura Std Condensed Light" w:cs="Calibri"/>
                <w:b/>
                <w:sz w:val="20"/>
                <w:szCs w:val="20"/>
              </w:rPr>
            </w:pPr>
            <w:r w:rsidRPr="002F052A">
              <w:rPr>
                <w:rFonts w:ascii="Futura Std Condensed Light" w:eastAsia="Calibri" w:hAnsi="Futura Std Condensed Light" w:cs="Calibri"/>
                <w:b/>
                <w:sz w:val="20"/>
                <w:szCs w:val="20"/>
              </w:rPr>
              <w:t>2022</w:t>
            </w:r>
          </w:p>
        </w:tc>
      </w:tr>
      <w:tr w:rsidR="0021177B" w:rsidRPr="002F052A" w14:paraId="5A8CBC14" w14:textId="77777777" w:rsidTr="009E3B2F">
        <w:trPr>
          <w:trHeight w:val="484"/>
        </w:trPr>
        <w:tc>
          <w:tcPr>
            <w:tcW w:w="781" w:type="pct"/>
          </w:tcPr>
          <w:p w14:paraId="1997FE2E" w14:textId="77777777" w:rsidR="0021177B" w:rsidRPr="002F052A" w:rsidRDefault="0021177B" w:rsidP="009E3B2F">
            <w:pPr>
              <w:contextualSpacing/>
              <w:jc w:val="center"/>
              <w:rPr>
                <w:rFonts w:ascii="Futura Std Condensed Light" w:eastAsia="Calibri" w:hAnsi="Futura Std Condensed Light" w:cs="Calibri"/>
                <w:sz w:val="20"/>
                <w:szCs w:val="20"/>
              </w:rPr>
            </w:pPr>
            <w:r w:rsidRPr="002F052A">
              <w:rPr>
                <w:rFonts w:ascii="Futura Std Condensed Light" w:eastAsia="Calibri" w:hAnsi="Futura Std Condensed Light" w:cs="Calibri"/>
                <w:sz w:val="20"/>
                <w:szCs w:val="20"/>
              </w:rPr>
              <w:t>12</w:t>
            </w:r>
          </w:p>
        </w:tc>
        <w:tc>
          <w:tcPr>
            <w:tcW w:w="783" w:type="pct"/>
            <w:gridSpan w:val="2"/>
          </w:tcPr>
          <w:p w14:paraId="76FEDA96" w14:textId="77777777" w:rsidR="0021177B" w:rsidRPr="002F052A" w:rsidRDefault="0021177B" w:rsidP="009E3B2F">
            <w:pPr>
              <w:contextualSpacing/>
              <w:jc w:val="center"/>
              <w:rPr>
                <w:rFonts w:ascii="Futura Std Condensed Light" w:eastAsia="Calibri" w:hAnsi="Futura Std Condensed Light" w:cs="Calibri"/>
                <w:sz w:val="20"/>
                <w:szCs w:val="20"/>
              </w:rPr>
            </w:pPr>
            <w:r w:rsidRPr="002F052A">
              <w:rPr>
                <w:rFonts w:ascii="Futura Std Condensed Light" w:eastAsia="Calibri" w:hAnsi="Futura Std Condensed Light" w:cs="Calibri"/>
                <w:sz w:val="20"/>
                <w:szCs w:val="20"/>
              </w:rPr>
              <w:t>12</w:t>
            </w:r>
          </w:p>
        </w:tc>
        <w:tc>
          <w:tcPr>
            <w:tcW w:w="904" w:type="pct"/>
            <w:gridSpan w:val="2"/>
          </w:tcPr>
          <w:p w14:paraId="2A14AF52" w14:textId="77777777" w:rsidR="0021177B" w:rsidRPr="002F052A" w:rsidRDefault="0021177B" w:rsidP="009E3B2F">
            <w:pPr>
              <w:contextualSpacing/>
              <w:jc w:val="center"/>
              <w:rPr>
                <w:rFonts w:ascii="Futura Std Condensed Light" w:eastAsia="Calibri" w:hAnsi="Futura Std Condensed Light" w:cs="Calibri"/>
                <w:sz w:val="20"/>
                <w:szCs w:val="20"/>
              </w:rPr>
            </w:pPr>
            <w:r w:rsidRPr="002F052A">
              <w:rPr>
                <w:rFonts w:ascii="Futura Std Condensed Light" w:eastAsia="Calibri" w:hAnsi="Futura Std Condensed Light" w:cs="Calibri"/>
                <w:sz w:val="20"/>
                <w:szCs w:val="20"/>
              </w:rPr>
              <w:t>15</w:t>
            </w:r>
          </w:p>
        </w:tc>
        <w:tc>
          <w:tcPr>
            <w:tcW w:w="723" w:type="pct"/>
            <w:gridSpan w:val="2"/>
          </w:tcPr>
          <w:p w14:paraId="769695F5" w14:textId="77777777" w:rsidR="0021177B" w:rsidRPr="002F052A" w:rsidRDefault="0021177B" w:rsidP="009E3B2F">
            <w:pPr>
              <w:contextualSpacing/>
              <w:jc w:val="center"/>
              <w:rPr>
                <w:rFonts w:ascii="Futura Std Condensed Light" w:eastAsia="Calibri" w:hAnsi="Futura Std Condensed Light" w:cs="Calibri"/>
                <w:sz w:val="20"/>
                <w:szCs w:val="20"/>
              </w:rPr>
            </w:pPr>
            <w:r w:rsidRPr="002F052A">
              <w:rPr>
                <w:rFonts w:ascii="Futura Std Condensed Light" w:eastAsia="Calibri" w:hAnsi="Futura Std Condensed Light" w:cs="Calibri"/>
                <w:sz w:val="20"/>
                <w:szCs w:val="20"/>
              </w:rPr>
              <w:t>17</w:t>
            </w:r>
          </w:p>
        </w:tc>
        <w:tc>
          <w:tcPr>
            <w:tcW w:w="963" w:type="pct"/>
            <w:gridSpan w:val="3"/>
          </w:tcPr>
          <w:p w14:paraId="0A03C88D" w14:textId="77777777" w:rsidR="0021177B" w:rsidRPr="002F052A" w:rsidRDefault="0021177B" w:rsidP="009E3B2F">
            <w:pPr>
              <w:contextualSpacing/>
              <w:jc w:val="center"/>
              <w:rPr>
                <w:rFonts w:ascii="Futura Std Condensed Light" w:eastAsia="Calibri" w:hAnsi="Futura Std Condensed Light" w:cs="Calibri"/>
                <w:sz w:val="20"/>
                <w:szCs w:val="20"/>
              </w:rPr>
            </w:pPr>
            <w:r w:rsidRPr="002F052A">
              <w:rPr>
                <w:rFonts w:ascii="Futura Std Condensed Light" w:eastAsia="Calibri" w:hAnsi="Futura Std Condensed Light" w:cs="Calibri"/>
                <w:sz w:val="20"/>
                <w:szCs w:val="20"/>
              </w:rPr>
              <w:t>19</w:t>
            </w:r>
          </w:p>
        </w:tc>
        <w:tc>
          <w:tcPr>
            <w:tcW w:w="846" w:type="pct"/>
          </w:tcPr>
          <w:p w14:paraId="4E31761B" w14:textId="77777777" w:rsidR="0021177B" w:rsidRPr="002F052A" w:rsidRDefault="0021177B" w:rsidP="009E3B2F">
            <w:pPr>
              <w:contextualSpacing/>
              <w:jc w:val="center"/>
              <w:rPr>
                <w:rFonts w:ascii="Futura Std Condensed Light" w:eastAsia="Calibri" w:hAnsi="Futura Std Condensed Light" w:cs="Calibri"/>
                <w:sz w:val="20"/>
                <w:szCs w:val="20"/>
              </w:rPr>
            </w:pPr>
            <w:r w:rsidRPr="002F052A">
              <w:rPr>
                <w:rFonts w:ascii="Futura Std Condensed Light" w:eastAsia="Calibri" w:hAnsi="Futura Std Condensed Light" w:cs="Calibri"/>
                <w:sz w:val="20"/>
                <w:szCs w:val="20"/>
              </w:rPr>
              <w:t>21</w:t>
            </w:r>
          </w:p>
        </w:tc>
      </w:tr>
    </w:tbl>
    <w:p w14:paraId="0FDDF142" w14:textId="2D7514E7" w:rsidR="0021177B" w:rsidRDefault="00980EAE" w:rsidP="0021177B">
      <w:pPr>
        <w:jc w:val="center"/>
      </w:pPr>
      <w:r>
        <w:rPr>
          <w:rFonts w:eastAsia="Arial" w:cs="Times New Roman"/>
          <w:b/>
          <w:color w:val="4BACC6" w:themeColor="accent5"/>
        </w:rPr>
        <w:lastRenderedPageBreak/>
        <w:t>Cuadro 49</w:t>
      </w:r>
      <w:r w:rsidR="0021177B">
        <w:rPr>
          <w:rFonts w:eastAsia="Arial" w:cs="Times New Roman"/>
          <w:b/>
          <w:color w:val="4BACC6" w:themeColor="accent5"/>
        </w:rPr>
        <w:t>. Entregable y meta de la línea de acción 22 del PED</w:t>
      </w:r>
    </w:p>
    <w:tbl>
      <w:tblPr>
        <w:tblStyle w:val="Tablaconcuadrcula"/>
        <w:tblW w:w="5000" w:type="pct"/>
        <w:jc w:val="center"/>
        <w:tblLook w:val="04A0" w:firstRow="1" w:lastRow="0" w:firstColumn="1" w:lastColumn="0" w:noHBand="0" w:noVBand="1"/>
      </w:tblPr>
      <w:tblGrid>
        <w:gridCol w:w="1487"/>
        <w:gridCol w:w="813"/>
        <w:gridCol w:w="530"/>
        <w:gridCol w:w="151"/>
        <w:gridCol w:w="1146"/>
        <w:gridCol w:w="578"/>
        <w:gridCol w:w="462"/>
        <w:gridCol w:w="917"/>
        <w:gridCol w:w="1205"/>
        <w:gridCol w:w="6"/>
        <w:gridCol w:w="628"/>
        <w:gridCol w:w="1614"/>
      </w:tblGrid>
      <w:tr w:rsidR="0021177B" w:rsidRPr="003B479E" w14:paraId="21D69823" w14:textId="77777777" w:rsidTr="00047166">
        <w:trPr>
          <w:trHeight w:val="182"/>
          <w:jc w:val="center"/>
        </w:trPr>
        <w:tc>
          <w:tcPr>
            <w:tcW w:w="1484" w:type="pct"/>
            <w:gridSpan w:val="3"/>
            <w:shd w:val="clear" w:color="auto" w:fill="A6A6A6" w:themeFill="background1" w:themeFillShade="A6"/>
          </w:tcPr>
          <w:p w14:paraId="507D195D" w14:textId="77777777" w:rsidR="0021177B" w:rsidRPr="003B479E" w:rsidRDefault="0021177B" w:rsidP="009E3B2F">
            <w:pPr>
              <w:contextualSpacing/>
              <w:jc w:val="center"/>
              <w:rPr>
                <w:rFonts w:ascii="Futura Std Condensed Light" w:eastAsia="Calibri" w:hAnsi="Futura Std Condensed Light" w:cs="Calibri"/>
                <w:color w:val="auto"/>
                <w:sz w:val="20"/>
                <w:szCs w:val="20"/>
              </w:rPr>
            </w:pPr>
            <w:r w:rsidRPr="003B479E">
              <w:rPr>
                <w:rFonts w:ascii="Futura Std Condensed Light" w:eastAsia="Calibri" w:hAnsi="Futura Std Condensed Light" w:cs="Calibri"/>
                <w:color w:val="auto"/>
                <w:sz w:val="20"/>
                <w:szCs w:val="20"/>
              </w:rPr>
              <w:t>Programa PED</w:t>
            </w:r>
          </w:p>
        </w:tc>
        <w:tc>
          <w:tcPr>
            <w:tcW w:w="3516" w:type="pct"/>
            <w:gridSpan w:val="9"/>
            <w:shd w:val="clear" w:color="auto" w:fill="A6A6A6" w:themeFill="background1" w:themeFillShade="A6"/>
          </w:tcPr>
          <w:p w14:paraId="6A42DAF3" w14:textId="77777777" w:rsidR="0021177B" w:rsidRPr="003B479E" w:rsidRDefault="0021177B" w:rsidP="009E3B2F">
            <w:pPr>
              <w:contextualSpacing/>
              <w:jc w:val="center"/>
              <w:rPr>
                <w:rFonts w:ascii="Futura Std Condensed Light" w:eastAsia="Calibri" w:hAnsi="Futura Std Condensed Light" w:cs="Calibri"/>
                <w:color w:val="auto"/>
                <w:sz w:val="20"/>
                <w:szCs w:val="20"/>
              </w:rPr>
            </w:pPr>
            <w:r w:rsidRPr="003B479E">
              <w:rPr>
                <w:rFonts w:ascii="Futura Std Condensed Light" w:eastAsia="Calibri" w:hAnsi="Futura Std Condensed Light" w:cs="Calibri"/>
                <w:color w:val="auto"/>
                <w:sz w:val="20"/>
                <w:szCs w:val="20"/>
              </w:rPr>
              <w:t>Programa Sectorial Educación Pública de Calidad</w:t>
            </w:r>
          </w:p>
        </w:tc>
      </w:tr>
      <w:tr w:rsidR="0021177B" w:rsidRPr="00D12127" w14:paraId="27B5363E" w14:textId="77777777" w:rsidTr="00047166">
        <w:trPr>
          <w:trHeight w:val="469"/>
          <w:jc w:val="center"/>
        </w:trPr>
        <w:tc>
          <w:tcPr>
            <w:tcW w:w="1484" w:type="pct"/>
            <w:gridSpan w:val="3"/>
          </w:tcPr>
          <w:p w14:paraId="409733DB" w14:textId="77777777" w:rsidR="0021177B" w:rsidRPr="00A80589" w:rsidRDefault="0021177B" w:rsidP="009E3B2F">
            <w:pPr>
              <w:contextualSpacing/>
              <w:rPr>
                <w:rFonts w:ascii="Futura Std Condensed Light" w:eastAsia="Calibri" w:hAnsi="Futura Std Condensed Light" w:cs="Calibri"/>
                <w:b/>
                <w:sz w:val="20"/>
                <w:szCs w:val="20"/>
              </w:rPr>
            </w:pPr>
            <w:r w:rsidRPr="00A80589">
              <w:rPr>
                <w:rFonts w:ascii="Futura Std Condensed Light" w:eastAsia="Calibri" w:hAnsi="Futura Std Condensed Light" w:cs="Calibri"/>
                <w:b/>
                <w:sz w:val="20"/>
                <w:szCs w:val="20"/>
              </w:rPr>
              <w:t>Línea de acción:</w:t>
            </w:r>
          </w:p>
        </w:tc>
        <w:tc>
          <w:tcPr>
            <w:tcW w:w="3516" w:type="pct"/>
            <w:gridSpan w:val="9"/>
          </w:tcPr>
          <w:p w14:paraId="03AD3ACB" w14:textId="77777777" w:rsidR="0021177B" w:rsidRPr="00A80589" w:rsidRDefault="0021177B" w:rsidP="009E3B2F">
            <w:pPr>
              <w:spacing w:after="160" w:line="259" w:lineRule="auto"/>
              <w:contextualSpacing/>
              <w:rPr>
                <w:rFonts w:ascii="Futura Std Condensed Light" w:eastAsia="Calibri" w:hAnsi="Futura Std Condensed Light" w:cs="Calibri"/>
                <w:sz w:val="20"/>
                <w:szCs w:val="20"/>
              </w:rPr>
            </w:pPr>
            <w:r w:rsidRPr="00A80589">
              <w:rPr>
                <w:rFonts w:ascii="Futura Std Condensed Light" w:eastAsia="Calibri" w:hAnsi="Futura Std Condensed Light" w:cs="Calibri"/>
                <w:sz w:val="20"/>
                <w:szCs w:val="20"/>
              </w:rPr>
              <w:t>22.   Ampliar la atención a niños y jóvenes con discapacidad, necesidades educativas especiales y/o aptitudes sobresalientes .</w:t>
            </w:r>
          </w:p>
        </w:tc>
      </w:tr>
      <w:tr w:rsidR="0021177B" w:rsidRPr="00D12127" w14:paraId="461FB74C" w14:textId="77777777" w:rsidTr="00047166">
        <w:trPr>
          <w:trHeight w:val="484"/>
          <w:jc w:val="center"/>
        </w:trPr>
        <w:tc>
          <w:tcPr>
            <w:tcW w:w="1484" w:type="pct"/>
            <w:gridSpan w:val="3"/>
          </w:tcPr>
          <w:p w14:paraId="6DEEC0B6" w14:textId="77777777" w:rsidR="0021177B" w:rsidRPr="00A80589" w:rsidRDefault="0021177B" w:rsidP="009E3B2F">
            <w:pPr>
              <w:contextualSpacing/>
              <w:rPr>
                <w:rFonts w:ascii="Futura Std Condensed Light" w:eastAsia="Calibri" w:hAnsi="Futura Std Condensed Light" w:cs="Calibri"/>
                <w:b/>
                <w:sz w:val="20"/>
                <w:szCs w:val="20"/>
              </w:rPr>
            </w:pPr>
            <w:r w:rsidRPr="00A80589">
              <w:rPr>
                <w:rFonts w:ascii="Futura Std Condensed Light" w:eastAsia="Calibri" w:hAnsi="Futura Std Condensed Light" w:cs="Calibri"/>
                <w:b/>
                <w:sz w:val="20"/>
                <w:szCs w:val="20"/>
              </w:rPr>
              <w:t>Plan Estratégico Objetivo Especifico</w:t>
            </w:r>
          </w:p>
        </w:tc>
        <w:tc>
          <w:tcPr>
            <w:tcW w:w="3516" w:type="pct"/>
            <w:gridSpan w:val="9"/>
          </w:tcPr>
          <w:p w14:paraId="7B63FE4D" w14:textId="77777777" w:rsidR="0021177B" w:rsidRPr="00A80589" w:rsidRDefault="0021177B" w:rsidP="009E3B2F">
            <w:pPr>
              <w:contextualSpacing/>
              <w:rPr>
                <w:rFonts w:ascii="Futura Std Condensed Light" w:eastAsia="Calibri" w:hAnsi="Futura Std Condensed Light" w:cs="Calibri"/>
                <w:sz w:val="20"/>
                <w:szCs w:val="20"/>
              </w:rPr>
            </w:pPr>
            <w:r w:rsidRPr="00A80589">
              <w:rPr>
                <w:rFonts w:ascii="Futura Std Condensed Light" w:eastAsia="Calibri" w:hAnsi="Futura Std Condensed Light" w:cs="Calibri"/>
                <w:sz w:val="20"/>
                <w:szCs w:val="20"/>
              </w:rPr>
              <w:t>Disminuir la desigualdad en sus diversas formas </w:t>
            </w:r>
          </w:p>
        </w:tc>
      </w:tr>
      <w:tr w:rsidR="0021177B" w:rsidRPr="00D12127" w14:paraId="3348CD19" w14:textId="77777777" w:rsidTr="00047166">
        <w:trPr>
          <w:trHeight w:val="484"/>
          <w:jc w:val="center"/>
        </w:trPr>
        <w:tc>
          <w:tcPr>
            <w:tcW w:w="1206" w:type="pct"/>
            <w:gridSpan w:val="2"/>
          </w:tcPr>
          <w:p w14:paraId="49C7CB08" w14:textId="77777777" w:rsidR="0021177B" w:rsidRPr="00A80589" w:rsidRDefault="0021177B" w:rsidP="009E3B2F">
            <w:pPr>
              <w:contextualSpacing/>
              <w:rPr>
                <w:rFonts w:ascii="Futura Std Condensed Light" w:eastAsia="Calibri" w:hAnsi="Futura Std Condensed Light" w:cs="Calibri"/>
                <w:b/>
                <w:sz w:val="20"/>
                <w:szCs w:val="20"/>
              </w:rPr>
            </w:pPr>
            <w:r w:rsidRPr="00A80589">
              <w:rPr>
                <w:rFonts w:ascii="Futura Std Condensed Light" w:eastAsia="Calibri" w:hAnsi="Futura Std Condensed Light" w:cs="Calibri"/>
                <w:b/>
                <w:sz w:val="20"/>
                <w:szCs w:val="20"/>
              </w:rPr>
              <w:t>Entregable:</w:t>
            </w:r>
          </w:p>
        </w:tc>
        <w:tc>
          <w:tcPr>
            <w:tcW w:w="958" w:type="pct"/>
            <w:gridSpan w:val="3"/>
          </w:tcPr>
          <w:p w14:paraId="10C4C561" w14:textId="00B04E21" w:rsidR="0021177B" w:rsidRPr="00A80589" w:rsidRDefault="0021177B" w:rsidP="009E3B2F">
            <w:pPr>
              <w:rPr>
                <w:rFonts w:ascii="Futura Std Condensed Light" w:eastAsia="Calibri" w:hAnsi="Futura Std Condensed Light" w:cs="Calibri"/>
                <w:sz w:val="20"/>
                <w:szCs w:val="20"/>
              </w:rPr>
            </w:pPr>
            <w:r w:rsidRPr="00A80589">
              <w:rPr>
                <w:rFonts w:ascii="Futura Std Condensed Light" w:eastAsia="Calibri" w:hAnsi="Futura Std Condensed Light" w:cs="Calibri"/>
                <w:sz w:val="20"/>
                <w:szCs w:val="20"/>
              </w:rPr>
              <w:t>Atención de niños y jóvenes con discapacidad</w:t>
            </w:r>
            <w:r w:rsidR="00C21560">
              <w:rPr>
                <w:rFonts w:ascii="Futura Std Condensed Light" w:eastAsia="Calibri" w:hAnsi="Futura Std Condensed Light" w:cs="Calibri"/>
                <w:sz w:val="20"/>
                <w:szCs w:val="20"/>
              </w:rPr>
              <w:t xml:space="preserve">, </w:t>
            </w:r>
            <w:r w:rsidR="00C21560" w:rsidRPr="00C21560">
              <w:rPr>
                <w:rFonts w:ascii="Futura Std Condensed Light" w:eastAsia="Calibri" w:hAnsi="Futura Std Condensed Light" w:cs="Calibri"/>
                <w:sz w:val="20"/>
                <w:szCs w:val="20"/>
              </w:rPr>
              <w:t>necesidades educativas especiales y aptitudes sobre salientes</w:t>
            </w:r>
          </w:p>
        </w:tc>
        <w:tc>
          <w:tcPr>
            <w:tcW w:w="1661" w:type="pct"/>
            <w:gridSpan w:val="5"/>
          </w:tcPr>
          <w:p w14:paraId="67D4DB0D" w14:textId="77777777" w:rsidR="0021177B" w:rsidRPr="00A80589" w:rsidRDefault="0021177B" w:rsidP="009E3B2F">
            <w:pPr>
              <w:contextualSpacing/>
              <w:jc w:val="center"/>
              <w:rPr>
                <w:rFonts w:ascii="Futura Std Condensed Light" w:eastAsia="Calibri" w:hAnsi="Futura Std Condensed Light" w:cs="Calibri"/>
                <w:b/>
                <w:sz w:val="20"/>
                <w:szCs w:val="20"/>
              </w:rPr>
            </w:pPr>
            <w:r w:rsidRPr="00A80589">
              <w:rPr>
                <w:rFonts w:ascii="Futura Std Condensed Light" w:eastAsia="Calibri" w:hAnsi="Futura Std Condensed Light" w:cs="Calibri"/>
                <w:b/>
                <w:sz w:val="20"/>
                <w:szCs w:val="20"/>
              </w:rPr>
              <w:t>Unidad de Medida:</w:t>
            </w:r>
          </w:p>
        </w:tc>
        <w:tc>
          <w:tcPr>
            <w:tcW w:w="1174" w:type="pct"/>
            <w:gridSpan w:val="2"/>
          </w:tcPr>
          <w:p w14:paraId="6BE46021" w14:textId="77777777" w:rsidR="0021177B" w:rsidRPr="00A80589" w:rsidRDefault="0021177B" w:rsidP="009E3B2F">
            <w:pPr>
              <w:contextualSpacing/>
              <w:rPr>
                <w:rFonts w:ascii="Futura Std Condensed Light" w:eastAsia="Calibri" w:hAnsi="Futura Std Condensed Light" w:cs="Calibri"/>
                <w:sz w:val="20"/>
                <w:szCs w:val="20"/>
              </w:rPr>
            </w:pPr>
            <w:r w:rsidRPr="00A80589">
              <w:rPr>
                <w:rFonts w:ascii="Futura Std Condensed Light" w:eastAsia="Calibri" w:hAnsi="Futura Std Condensed Light" w:cs="Calibri"/>
                <w:sz w:val="20"/>
                <w:szCs w:val="20"/>
              </w:rPr>
              <w:t>Alumnos atendidos</w:t>
            </w:r>
          </w:p>
        </w:tc>
      </w:tr>
      <w:tr w:rsidR="0021177B" w:rsidRPr="00D12127" w14:paraId="5333BAA9" w14:textId="77777777" w:rsidTr="00047166">
        <w:trPr>
          <w:trHeight w:val="449"/>
          <w:jc w:val="center"/>
        </w:trPr>
        <w:tc>
          <w:tcPr>
            <w:tcW w:w="1206" w:type="pct"/>
            <w:gridSpan w:val="2"/>
          </w:tcPr>
          <w:p w14:paraId="0AF0FC58" w14:textId="77777777" w:rsidR="0021177B" w:rsidRPr="00A80589" w:rsidRDefault="0021177B" w:rsidP="009E3B2F">
            <w:pPr>
              <w:contextualSpacing/>
              <w:rPr>
                <w:rFonts w:ascii="Futura Std Condensed Light" w:eastAsia="Calibri" w:hAnsi="Futura Std Condensed Light" w:cs="Calibri"/>
                <w:b/>
                <w:sz w:val="20"/>
                <w:szCs w:val="20"/>
              </w:rPr>
            </w:pPr>
            <w:r w:rsidRPr="00A80589">
              <w:rPr>
                <w:rFonts w:ascii="Futura Std Condensed Light" w:eastAsia="Calibri" w:hAnsi="Futura Std Condensed Light" w:cs="Calibri"/>
                <w:b/>
                <w:sz w:val="20"/>
                <w:szCs w:val="20"/>
              </w:rPr>
              <w:t>Descripción:</w:t>
            </w:r>
          </w:p>
        </w:tc>
        <w:tc>
          <w:tcPr>
            <w:tcW w:w="3794" w:type="pct"/>
            <w:gridSpan w:val="10"/>
          </w:tcPr>
          <w:p w14:paraId="5A0D81A7" w14:textId="3EFF8BE7" w:rsidR="0021177B" w:rsidRPr="00A80589" w:rsidRDefault="00C21560" w:rsidP="00C21560">
            <w:pPr>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Atender a todo el alumno/a</w:t>
            </w:r>
            <w:r w:rsidR="0021177B" w:rsidRPr="00A80589">
              <w:rPr>
                <w:rFonts w:ascii="Futura Std Condensed Light" w:eastAsia="Calibri" w:hAnsi="Futura Std Condensed Light" w:cs="Calibri"/>
                <w:sz w:val="20"/>
                <w:szCs w:val="20"/>
              </w:rPr>
              <w:t xml:space="preserve"> con alguna discapacidad</w:t>
            </w:r>
            <w:r>
              <w:rPr>
                <w:rFonts w:ascii="Futura Std Condensed Light" w:eastAsia="Calibri" w:hAnsi="Futura Std Condensed Light" w:cs="Calibri"/>
                <w:sz w:val="20"/>
                <w:szCs w:val="20"/>
              </w:rPr>
              <w:t>, necesidades educativas especiales y aptitudes sobresalientes</w:t>
            </w:r>
            <w:r w:rsidR="0021177B" w:rsidRPr="00A80589">
              <w:rPr>
                <w:rFonts w:ascii="Futura Std Condensed Light" w:eastAsia="Calibri" w:hAnsi="Futura Std Condensed Light" w:cs="Calibri"/>
                <w:sz w:val="20"/>
                <w:szCs w:val="20"/>
              </w:rPr>
              <w:t xml:space="preserve"> que así lo requiera para fortalecer o ampliar sus conocimientos.</w:t>
            </w:r>
            <w:r>
              <w:rPr>
                <w:rStyle w:val="Ttulo7Car"/>
                <w:rFonts w:ascii="Arial" w:eastAsiaTheme="minorHAnsi" w:hAnsi="Arial"/>
                <w:color w:val="201F1E"/>
                <w:sz w:val="16"/>
                <w:szCs w:val="16"/>
                <w:u w:color="201F1E"/>
              </w:rPr>
              <w:t xml:space="preserve"> </w:t>
            </w:r>
          </w:p>
        </w:tc>
      </w:tr>
      <w:tr w:rsidR="0021177B" w:rsidRPr="00D12127" w14:paraId="2F0F9770" w14:textId="77777777" w:rsidTr="00047166">
        <w:trPr>
          <w:trHeight w:val="484"/>
          <w:jc w:val="center"/>
        </w:trPr>
        <w:tc>
          <w:tcPr>
            <w:tcW w:w="1484" w:type="pct"/>
            <w:gridSpan w:val="3"/>
          </w:tcPr>
          <w:p w14:paraId="028CBAD1" w14:textId="77777777" w:rsidR="0021177B" w:rsidRPr="00A80589" w:rsidRDefault="0021177B" w:rsidP="009E3B2F">
            <w:pPr>
              <w:contextualSpacing/>
              <w:rPr>
                <w:rFonts w:ascii="Futura Std Condensed Light" w:eastAsia="Calibri" w:hAnsi="Futura Std Condensed Light" w:cs="Calibri"/>
                <w:b/>
                <w:sz w:val="20"/>
                <w:szCs w:val="20"/>
              </w:rPr>
            </w:pPr>
            <w:r w:rsidRPr="00A80589">
              <w:rPr>
                <w:rFonts w:ascii="Futura Std Condensed Light" w:eastAsia="Calibri" w:hAnsi="Futura Std Condensed Light" w:cs="Calibri"/>
                <w:b/>
                <w:sz w:val="20"/>
                <w:szCs w:val="20"/>
              </w:rPr>
              <w:t>Medio de verificación:</w:t>
            </w:r>
          </w:p>
        </w:tc>
        <w:tc>
          <w:tcPr>
            <w:tcW w:w="3516" w:type="pct"/>
            <w:gridSpan w:val="9"/>
          </w:tcPr>
          <w:p w14:paraId="6BE79A19" w14:textId="77777777" w:rsidR="0021177B" w:rsidRPr="00A80589" w:rsidRDefault="0021177B" w:rsidP="009E3B2F">
            <w:pPr>
              <w:rPr>
                <w:rFonts w:ascii="Futura Std Condensed Light" w:eastAsia="Calibri" w:hAnsi="Futura Std Condensed Light" w:cs="Calibri"/>
                <w:sz w:val="20"/>
                <w:szCs w:val="20"/>
              </w:rPr>
            </w:pPr>
            <w:r w:rsidRPr="00A80589">
              <w:rPr>
                <w:rFonts w:ascii="Futura Std Condensed Light" w:eastAsia="Calibri" w:hAnsi="Futura Std Condensed Light" w:cs="Calibri"/>
                <w:sz w:val="20"/>
                <w:szCs w:val="20"/>
              </w:rPr>
              <w:t>Estadística oficial formato 911</w:t>
            </w:r>
          </w:p>
        </w:tc>
      </w:tr>
      <w:tr w:rsidR="0021177B" w:rsidRPr="00D12127" w14:paraId="65688462" w14:textId="77777777" w:rsidTr="00047166">
        <w:trPr>
          <w:trHeight w:val="484"/>
          <w:jc w:val="center"/>
        </w:trPr>
        <w:tc>
          <w:tcPr>
            <w:tcW w:w="1484" w:type="pct"/>
            <w:gridSpan w:val="3"/>
          </w:tcPr>
          <w:p w14:paraId="043172E4" w14:textId="77777777" w:rsidR="0021177B" w:rsidRPr="00A80589" w:rsidRDefault="0021177B" w:rsidP="009E3B2F">
            <w:pPr>
              <w:contextualSpacing/>
              <w:rPr>
                <w:rFonts w:ascii="Futura Std Condensed Light" w:eastAsia="Calibri" w:hAnsi="Futura Std Condensed Light" w:cs="Calibri"/>
                <w:b/>
                <w:sz w:val="20"/>
                <w:szCs w:val="20"/>
              </w:rPr>
            </w:pPr>
            <w:r w:rsidRPr="00A80589">
              <w:rPr>
                <w:rFonts w:ascii="Futura Std Condensed Light" w:eastAsia="Calibri" w:hAnsi="Futura Std Condensed Light" w:cs="Calibri"/>
                <w:b/>
                <w:sz w:val="20"/>
                <w:szCs w:val="20"/>
              </w:rPr>
              <w:t>Línea base:</w:t>
            </w:r>
          </w:p>
        </w:tc>
        <w:tc>
          <w:tcPr>
            <w:tcW w:w="1225" w:type="pct"/>
            <w:gridSpan w:val="4"/>
          </w:tcPr>
          <w:p w14:paraId="78114813" w14:textId="77777777" w:rsidR="0021177B" w:rsidRPr="00A80589" w:rsidRDefault="0021177B" w:rsidP="009E3B2F">
            <w:pPr>
              <w:contextualSpacing/>
              <w:rPr>
                <w:rFonts w:ascii="Futura Std Condensed Light" w:eastAsia="Calibri" w:hAnsi="Futura Std Condensed Light" w:cs="Calibri"/>
                <w:sz w:val="20"/>
                <w:szCs w:val="20"/>
              </w:rPr>
            </w:pPr>
            <w:r w:rsidRPr="00A80589">
              <w:rPr>
                <w:rFonts w:ascii="Futura Std Condensed Light" w:eastAsia="Calibri" w:hAnsi="Futura Std Condensed Light" w:cs="Calibri"/>
                <w:sz w:val="20"/>
                <w:szCs w:val="20"/>
              </w:rPr>
              <w:t>6,345</w:t>
            </w:r>
          </w:p>
        </w:tc>
        <w:tc>
          <w:tcPr>
            <w:tcW w:w="1113" w:type="pct"/>
            <w:gridSpan w:val="2"/>
          </w:tcPr>
          <w:p w14:paraId="4A070A65" w14:textId="77777777" w:rsidR="0021177B" w:rsidRPr="00A80589" w:rsidRDefault="0021177B" w:rsidP="009E3B2F">
            <w:pPr>
              <w:contextualSpacing/>
              <w:rPr>
                <w:rFonts w:ascii="Futura Std Condensed Light" w:eastAsia="Calibri" w:hAnsi="Futura Std Condensed Light" w:cs="Calibri"/>
                <w:sz w:val="20"/>
                <w:szCs w:val="20"/>
              </w:rPr>
            </w:pPr>
            <w:r w:rsidRPr="00A80589">
              <w:rPr>
                <w:rFonts w:ascii="Futura Std Condensed Light" w:eastAsia="Calibri" w:hAnsi="Futura Std Condensed Light" w:cs="Calibri"/>
                <w:sz w:val="20"/>
                <w:szCs w:val="20"/>
              </w:rPr>
              <w:t>Año de línea base:</w:t>
            </w:r>
          </w:p>
        </w:tc>
        <w:tc>
          <w:tcPr>
            <w:tcW w:w="1179" w:type="pct"/>
            <w:gridSpan w:val="3"/>
          </w:tcPr>
          <w:p w14:paraId="0B26AA86" w14:textId="77777777" w:rsidR="0021177B" w:rsidRPr="00A80589" w:rsidRDefault="0021177B" w:rsidP="009E3B2F">
            <w:pPr>
              <w:contextualSpacing/>
              <w:rPr>
                <w:rFonts w:ascii="Futura Std Condensed Light" w:eastAsia="Calibri" w:hAnsi="Futura Std Condensed Light" w:cs="Calibri"/>
                <w:sz w:val="20"/>
                <w:szCs w:val="20"/>
              </w:rPr>
            </w:pPr>
            <w:r w:rsidRPr="00A80589">
              <w:rPr>
                <w:rFonts w:ascii="Futura Std Condensed Light" w:eastAsia="Calibri" w:hAnsi="Futura Std Condensed Light" w:cs="Calibri"/>
                <w:sz w:val="20"/>
                <w:szCs w:val="20"/>
              </w:rPr>
              <w:t>2016</w:t>
            </w:r>
          </w:p>
        </w:tc>
      </w:tr>
      <w:tr w:rsidR="0021177B" w:rsidRPr="00D12127" w14:paraId="3E2B0EC5" w14:textId="77777777" w:rsidTr="00047166">
        <w:trPr>
          <w:trHeight w:val="484"/>
          <w:jc w:val="center"/>
        </w:trPr>
        <w:tc>
          <w:tcPr>
            <w:tcW w:w="1484" w:type="pct"/>
            <w:gridSpan w:val="3"/>
          </w:tcPr>
          <w:p w14:paraId="75AB9C29" w14:textId="77777777" w:rsidR="0021177B" w:rsidRPr="00A80589" w:rsidRDefault="0021177B" w:rsidP="009E3B2F">
            <w:pPr>
              <w:contextualSpacing/>
              <w:rPr>
                <w:rFonts w:ascii="Futura Std Condensed Light" w:eastAsia="Calibri" w:hAnsi="Futura Std Condensed Light" w:cs="Calibri"/>
                <w:b/>
                <w:sz w:val="20"/>
                <w:szCs w:val="20"/>
              </w:rPr>
            </w:pPr>
            <w:r w:rsidRPr="00A80589">
              <w:rPr>
                <w:rFonts w:ascii="Futura Std Condensed Light" w:eastAsia="Calibri" w:hAnsi="Futura Std Condensed Light" w:cs="Calibri"/>
                <w:b/>
                <w:sz w:val="20"/>
                <w:szCs w:val="20"/>
              </w:rPr>
              <w:t>Contribución Directa al Objetivo de la Agenda 2030</w:t>
            </w:r>
          </w:p>
        </w:tc>
        <w:tc>
          <w:tcPr>
            <w:tcW w:w="3516" w:type="pct"/>
            <w:gridSpan w:val="9"/>
          </w:tcPr>
          <w:p w14:paraId="5392B4B3" w14:textId="77777777" w:rsidR="0021177B" w:rsidRPr="00A80589" w:rsidRDefault="0021177B" w:rsidP="009E3B2F">
            <w:pPr>
              <w:contextualSpacing/>
              <w:rPr>
                <w:rFonts w:ascii="Futura Std Condensed Light" w:eastAsia="Calibri" w:hAnsi="Futura Std Condensed Light" w:cs="Calibri"/>
                <w:sz w:val="20"/>
                <w:szCs w:val="20"/>
              </w:rPr>
            </w:pPr>
            <w:r w:rsidRPr="00A80589">
              <w:rPr>
                <w:rFonts w:ascii="Futura Std Condensed Light" w:eastAsia="Calibri" w:hAnsi="Futura Std Condensed Light" w:cs="Calibri"/>
                <w:sz w:val="20"/>
                <w:szCs w:val="20"/>
              </w:rPr>
              <w:t>Garantizar una educación inclusiva, equitativa y de calidad y promover oportunidades de aprendizaje durante toda la vida para todos</w:t>
            </w:r>
          </w:p>
        </w:tc>
      </w:tr>
      <w:tr w:rsidR="0021177B" w:rsidRPr="00D12127" w14:paraId="24D33A43" w14:textId="77777777" w:rsidTr="00047166">
        <w:trPr>
          <w:trHeight w:val="484"/>
          <w:jc w:val="center"/>
        </w:trPr>
        <w:tc>
          <w:tcPr>
            <w:tcW w:w="1484" w:type="pct"/>
            <w:gridSpan w:val="3"/>
          </w:tcPr>
          <w:p w14:paraId="14E269F2" w14:textId="77777777" w:rsidR="0021177B" w:rsidRPr="00A80589" w:rsidRDefault="0021177B" w:rsidP="009E3B2F">
            <w:pPr>
              <w:contextualSpacing/>
              <w:rPr>
                <w:rFonts w:ascii="Futura Std Condensed Light" w:eastAsia="Calibri" w:hAnsi="Futura Std Condensed Light" w:cs="Calibri"/>
                <w:b/>
                <w:sz w:val="20"/>
                <w:szCs w:val="20"/>
              </w:rPr>
            </w:pPr>
            <w:r w:rsidRPr="00A80589">
              <w:rPr>
                <w:rFonts w:ascii="Futura Std Condensed Light" w:eastAsia="Calibri" w:hAnsi="Futura Std Condensed Light" w:cs="Calibri"/>
                <w:b/>
                <w:sz w:val="20"/>
                <w:szCs w:val="20"/>
              </w:rPr>
              <w:t>Contribución Directa  a la Meta de la Agenda 2030</w:t>
            </w:r>
          </w:p>
        </w:tc>
        <w:tc>
          <w:tcPr>
            <w:tcW w:w="3516" w:type="pct"/>
            <w:gridSpan w:val="9"/>
          </w:tcPr>
          <w:p w14:paraId="4D071C3D" w14:textId="77777777" w:rsidR="0021177B" w:rsidRPr="00A80589" w:rsidRDefault="0021177B" w:rsidP="009E3B2F">
            <w:pPr>
              <w:contextualSpacing/>
              <w:rPr>
                <w:rFonts w:ascii="Futura Std Condensed Light" w:eastAsia="Calibri" w:hAnsi="Futura Std Condensed Light" w:cs="Calibri"/>
                <w:sz w:val="20"/>
                <w:szCs w:val="20"/>
              </w:rPr>
            </w:pPr>
            <w:r w:rsidRPr="00A80589">
              <w:rPr>
                <w:rFonts w:ascii="Futura Std Condensed Light" w:eastAsia="Calibri" w:hAnsi="Futura Std Condensed Light" w:cs="Calibri"/>
                <w:sz w:val="20"/>
                <w:szCs w:val="20"/>
              </w:rPr>
              <w:t>De aquí a 2030, eliminar las disparidades de género en la educación y asegurar el acceso igualitario a todos los niveles de la enseñanza y la formación profesional para las personas vulnerables, incluidas las personas con discapacidad, los pueblos indígenas y los niños en situaciones de vulnerabilidad.</w:t>
            </w:r>
          </w:p>
        </w:tc>
      </w:tr>
      <w:tr w:rsidR="0021177B" w:rsidRPr="00D12127" w14:paraId="70CD0999" w14:textId="77777777" w:rsidTr="00047166">
        <w:trPr>
          <w:trHeight w:val="484"/>
          <w:jc w:val="center"/>
        </w:trPr>
        <w:tc>
          <w:tcPr>
            <w:tcW w:w="1484" w:type="pct"/>
            <w:gridSpan w:val="3"/>
          </w:tcPr>
          <w:p w14:paraId="566ED79B" w14:textId="77777777" w:rsidR="0021177B" w:rsidRPr="00A80589" w:rsidRDefault="0021177B" w:rsidP="009E3B2F">
            <w:pPr>
              <w:contextualSpacing/>
              <w:rPr>
                <w:rFonts w:ascii="Futura Std Condensed Light" w:eastAsia="Calibri" w:hAnsi="Futura Std Condensed Light" w:cs="Calibri"/>
                <w:b/>
                <w:sz w:val="20"/>
                <w:szCs w:val="20"/>
              </w:rPr>
            </w:pPr>
            <w:r w:rsidRPr="00A80589">
              <w:rPr>
                <w:rFonts w:ascii="Futura Std Condensed Light" w:eastAsia="Calibri" w:hAnsi="Futura Std Condensed Light" w:cs="Calibri"/>
                <w:b/>
                <w:sz w:val="20"/>
                <w:szCs w:val="20"/>
              </w:rPr>
              <w:t>Tema / Proyecto Prioritario de Quintana Roo</w:t>
            </w:r>
          </w:p>
        </w:tc>
        <w:tc>
          <w:tcPr>
            <w:tcW w:w="3516" w:type="pct"/>
            <w:gridSpan w:val="9"/>
          </w:tcPr>
          <w:p w14:paraId="75524925" w14:textId="77777777" w:rsidR="0021177B" w:rsidRPr="00A80589" w:rsidRDefault="0021177B" w:rsidP="009E3B2F">
            <w:pPr>
              <w:contextualSpacing/>
              <w:rPr>
                <w:rFonts w:ascii="Futura Std Condensed Light" w:eastAsia="Calibri" w:hAnsi="Futura Std Condensed Light" w:cs="Calibri"/>
                <w:sz w:val="20"/>
                <w:szCs w:val="20"/>
              </w:rPr>
            </w:pPr>
            <w:r w:rsidRPr="00A80589">
              <w:rPr>
                <w:rFonts w:ascii="Futura Std Condensed Light" w:eastAsia="Calibri" w:hAnsi="Futura Std Condensed Light" w:cs="Calibri"/>
                <w:sz w:val="20"/>
                <w:szCs w:val="20"/>
              </w:rPr>
              <w:t>24.5 Abatir el rezago educativo</w:t>
            </w:r>
          </w:p>
        </w:tc>
      </w:tr>
      <w:tr w:rsidR="0021177B" w:rsidRPr="00D12127" w14:paraId="6B724D86" w14:textId="77777777" w:rsidTr="00047166">
        <w:trPr>
          <w:trHeight w:val="484"/>
          <w:jc w:val="center"/>
        </w:trPr>
        <w:tc>
          <w:tcPr>
            <w:tcW w:w="1484" w:type="pct"/>
            <w:gridSpan w:val="3"/>
          </w:tcPr>
          <w:p w14:paraId="04F627D9" w14:textId="77777777" w:rsidR="0021177B" w:rsidRPr="00A80589" w:rsidRDefault="0021177B" w:rsidP="009E3B2F">
            <w:pPr>
              <w:contextualSpacing/>
              <w:rPr>
                <w:rFonts w:ascii="Futura Std Condensed Light" w:eastAsia="Calibri" w:hAnsi="Futura Std Condensed Light" w:cs="Calibri"/>
                <w:b/>
                <w:sz w:val="20"/>
                <w:szCs w:val="20"/>
              </w:rPr>
            </w:pPr>
            <w:r w:rsidRPr="00A80589">
              <w:rPr>
                <w:rFonts w:ascii="Futura Std Condensed Light" w:eastAsia="Calibri" w:hAnsi="Futura Std Condensed Light" w:cs="Calibri"/>
                <w:b/>
                <w:sz w:val="20"/>
                <w:szCs w:val="20"/>
              </w:rPr>
              <w:t>Subtema Prioritario de Quintana Roo</w:t>
            </w:r>
          </w:p>
        </w:tc>
        <w:tc>
          <w:tcPr>
            <w:tcW w:w="3516" w:type="pct"/>
            <w:gridSpan w:val="9"/>
          </w:tcPr>
          <w:p w14:paraId="72636DA5" w14:textId="77777777" w:rsidR="0021177B" w:rsidRPr="00A80589" w:rsidRDefault="0021177B" w:rsidP="009E3B2F">
            <w:pPr>
              <w:contextualSpacing/>
              <w:rPr>
                <w:rFonts w:ascii="Futura Std Condensed Light" w:eastAsia="Calibri" w:hAnsi="Futura Std Condensed Light" w:cs="Calibri"/>
                <w:sz w:val="20"/>
                <w:szCs w:val="20"/>
              </w:rPr>
            </w:pPr>
            <w:r w:rsidRPr="00A80589">
              <w:rPr>
                <w:rFonts w:ascii="Futura Std Condensed Light" w:eastAsia="Calibri" w:hAnsi="Futura Std Condensed Light" w:cs="Calibri"/>
                <w:sz w:val="20"/>
                <w:szCs w:val="20"/>
              </w:rPr>
              <w:t>N/A</w:t>
            </w:r>
          </w:p>
        </w:tc>
      </w:tr>
      <w:tr w:rsidR="0021177B" w:rsidRPr="00D12127" w14:paraId="0CF42034" w14:textId="77777777" w:rsidTr="009E3B2F">
        <w:trPr>
          <w:trHeight w:val="484"/>
          <w:jc w:val="center"/>
        </w:trPr>
        <w:tc>
          <w:tcPr>
            <w:tcW w:w="5000" w:type="pct"/>
            <w:gridSpan w:val="12"/>
          </w:tcPr>
          <w:p w14:paraId="1B14EDD1" w14:textId="77777777" w:rsidR="0021177B" w:rsidRPr="00A80589" w:rsidRDefault="0021177B" w:rsidP="009E3B2F">
            <w:pPr>
              <w:contextualSpacing/>
              <w:jc w:val="center"/>
              <w:rPr>
                <w:rFonts w:ascii="Futura Std Condensed Light" w:eastAsia="Calibri" w:hAnsi="Futura Std Condensed Light" w:cs="Calibri"/>
                <w:b/>
                <w:sz w:val="20"/>
                <w:szCs w:val="20"/>
              </w:rPr>
            </w:pPr>
            <w:r w:rsidRPr="00A80589">
              <w:rPr>
                <w:rFonts w:ascii="Futura Std Condensed Light" w:eastAsia="Calibri" w:hAnsi="Futura Std Condensed Light" w:cs="Calibri"/>
                <w:b/>
                <w:sz w:val="20"/>
                <w:szCs w:val="20"/>
              </w:rPr>
              <w:t>Meta Total:</w:t>
            </w:r>
          </w:p>
        </w:tc>
      </w:tr>
      <w:tr w:rsidR="0021177B" w:rsidRPr="00A80589" w14:paraId="7D09E731" w14:textId="77777777" w:rsidTr="009E3B2F">
        <w:trPr>
          <w:trHeight w:val="484"/>
          <w:jc w:val="center"/>
        </w:trPr>
        <w:tc>
          <w:tcPr>
            <w:tcW w:w="780" w:type="pct"/>
          </w:tcPr>
          <w:p w14:paraId="0C8423FD" w14:textId="77777777" w:rsidR="0021177B" w:rsidRPr="00A80589" w:rsidRDefault="0021177B" w:rsidP="009E3B2F">
            <w:pPr>
              <w:contextualSpacing/>
              <w:jc w:val="center"/>
              <w:rPr>
                <w:rFonts w:ascii="Futura Std Condensed Light" w:eastAsia="Calibri" w:hAnsi="Futura Std Condensed Light" w:cs="Calibri"/>
                <w:b/>
                <w:sz w:val="20"/>
                <w:szCs w:val="20"/>
              </w:rPr>
            </w:pPr>
            <w:r w:rsidRPr="00A80589">
              <w:rPr>
                <w:rFonts w:ascii="Futura Std Condensed Light" w:eastAsia="Calibri" w:hAnsi="Futura Std Condensed Light" w:cs="Calibri"/>
                <w:b/>
                <w:sz w:val="20"/>
                <w:szCs w:val="20"/>
              </w:rPr>
              <w:lastRenderedPageBreak/>
              <w:t>2017</w:t>
            </w:r>
          </w:p>
        </w:tc>
        <w:tc>
          <w:tcPr>
            <w:tcW w:w="783" w:type="pct"/>
            <w:gridSpan w:val="3"/>
          </w:tcPr>
          <w:p w14:paraId="4465641F" w14:textId="77777777" w:rsidR="0021177B" w:rsidRPr="00A80589" w:rsidRDefault="0021177B" w:rsidP="009E3B2F">
            <w:pPr>
              <w:contextualSpacing/>
              <w:jc w:val="center"/>
              <w:rPr>
                <w:rFonts w:ascii="Futura Std Condensed Light" w:eastAsia="Calibri" w:hAnsi="Futura Std Condensed Light" w:cs="Calibri"/>
                <w:b/>
                <w:sz w:val="20"/>
                <w:szCs w:val="20"/>
              </w:rPr>
            </w:pPr>
            <w:r w:rsidRPr="00A80589">
              <w:rPr>
                <w:rFonts w:ascii="Futura Std Condensed Light" w:eastAsia="Calibri" w:hAnsi="Futura Std Condensed Light" w:cs="Calibri"/>
                <w:b/>
                <w:sz w:val="20"/>
                <w:szCs w:val="20"/>
              </w:rPr>
              <w:t>2018</w:t>
            </w:r>
          </w:p>
        </w:tc>
        <w:tc>
          <w:tcPr>
            <w:tcW w:w="904" w:type="pct"/>
            <w:gridSpan w:val="2"/>
          </w:tcPr>
          <w:p w14:paraId="00BED07C" w14:textId="77777777" w:rsidR="0021177B" w:rsidRPr="00A80589" w:rsidRDefault="0021177B" w:rsidP="009E3B2F">
            <w:pPr>
              <w:contextualSpacing/>
              <w:jc w:val="center"/>
              <w:rPr>
                <w:rFonts w:ascii="Futura Std Condensed Light" w:eastAsia="Calibri" w:hAnsi="Futura Std Condensed Light" w:cs="Calibri"/>
                <w:b/>
                <w:sz w:val="20"/>
                <w:szCs w:val="20"/>
              </w:rPr>
            </w:pPr>
            <w:r w:rsidRPr="00A80589">
              <w:rPr>
                <w:rFonts w:ascii="Futura Std Condensed Light" w:eastAsia="Calibri" w:hAnsi="Futura Std Condensed Light" w:cs="Calibri"/>
                <w:b/>
                <w:sz w:val="20"/>
                <w:szCs w:val="20"/>
              </w:rPr>
              <w:t>2019</w:t>
            </w:r>
          </w:p>
        </w:tc>
        <w:tc>
          <w:tcPr>
            <w:tcW w:w="723" w:type="pct"/>
            <w:gridSpan w:val="2"/>
          </w:tcPr>
          <w:p w14:paraId="3350C2A5" w14:textId="77777777" w:rsidR="0021177B" w:rsidRPr="00A80589" w:rsidRDefault="0021177B" w:rsidP="009E3B2F">
            <w:pPr>
              <w:contextualSpacing/>
              <w:jc w:val="center"/>
              <w:rPr>
                <w:rFonts w:ascii="Futura Std Condensed Light" w:eastAsia="Calibri" w:hAnsi="Futura Std Condensed Light" w:cs="Calibri"/>
                <w:b/>
                <w:sz w:val="20"/>
                <w:szCs w:val="20"/>
              </w:rPr>
            </w:pPr>
            <w:r w:rsidRPr="00A80589">
              <w:rPr>
                <w:rFonts w:ascii="Futura Std Condensed Light" w:eastAsia="Calibri" w:hAnsi="Futura Std Condensed Light" w:cs="Calibri"/>
                <w:b/>
                <w:sz w:val="20"/>
                <w:szCs w:val="20"/>
              </w:rPr>
              <w:t>2020</w:t>
            </w:r>
          </w:p>
        </w:tc>
        <w:tc>
          <w:tcPr>
            <w:tcW w:w="964" w:type="pct"/>
            <w:gridSpan w:val="3"/>
          </w:tcPr>
          <w:p w14:paraId="3C48041E" w14:textId="77777777" w:rsidR="0021177B" w:rsidRPr="00A80589" w:rsidRDefault="0021177B" w:rsidP="009E3B2F">
            <w:pPr>
              <w:contextualSpacing/>
              <w:jc w:val="center"/>
              <w:rPr>
                <w:rFonts w:ascii="Futura Std Condensed Light" w:eastAsia="Calibri" w:hAnsi="Futura Std Condensed Light" w:cs="Calibri"/>
                <w:b/>
                <w:sz w:val="20"/>
                <w:szCs w:val="20"/>
              </w:rPr>
            </w:pPr>
            <w:r w:rsidRPr="00A80589">
              <w:rPr>
                <w:rFonts w:ascii="Futura Std Condensed Light" w:eastAsia="Calibri" w:hAnsi="Futura Std Condensed Light" w:cs="Calibri"/>
                <w:b/>
                <w:sz w:val="20"/>
                <w:szCs w:val="20"/>
              </w:rPr>
              <w:t>2021</w:t>
            </w:r>
          </w:p>
        </w:tc>
        <w:tc>
          <w:tcPr>
            <w:tcW w:w="846" w:type="pct"/>
          </w:tcPr>
          <w:p w14:paraId="31D2BF84" w14:textId="77777777" w:rsidR="0021177B" w:rsidRPr="00A80589" w:rsidRDefault="0021177B" w:rsidP="009E3B2F">
            <w:pPr>
              <w:contextualSpacing/>
              <w:jc w:val="center"/>
              <w:rPr>
                <w:rFonts w:ascii="Futura Std Condensed Light" w:eastAsia="Calibri" w:hAnsi="Futura Std Condensed Light" w:cs="Calibri"/>
                <w:b/>
                <w:sz w:val="20"/>
                <w:szCs w:val="20"/>
              </w:rPr>
            </w:pPr>
            <w:r w:rsidRPr="00A80589">
              <w:rPr>
                <w:rFonts w:ascii="Futura Std Condensed Light" w:eastAsia="Calibri" w:hAnsi="Futura Std Condensed Light" w:cs="Calibri"/>
                <w:b/>
                <w:sz w:val="20"/>
                <w:szCs w:val="20"/>
              </w:rPr>
              <w:t>2022</w:t>
            </w:r>
          </w:p>
        </w:tc>
      </w:tr>
      <w:tr w:rsidR="0021177B" w:rsidRPr="00D12127" w14:paraId="7624345B" w14:textId="77777777" w:rsidTr="009E3B2F">
        <w:trPr>
          <w:trHeight w:val="484"/>
          <w:jc w:val="center"/>
        </w:trPr>
        <w:tc>
          <w:tcPr>
            <w:tcW w:w="780" w:type="pct"/>
          </w:tcPr>
          <w:p w14:paraId="7FF74480" w14:textId="77777777" w:rsidR="0021177B" w:rsidRPr="00A80589" w:rsidRDefault="0021177B" w:rsidP="009E3B2F">
            <w:pPr>
              <w:contextualSpacing/>
              <w:jc w:val="center"/>
              <w:rPr>
                <w:rFonts w:ascii="Futura Std Condensed Light" w:eastAsia="Calibri" w:hAnsi="Futura Std Condensed Light" w:cs="Calibri"/>
                <w:sz w:val="20"/>
                <w:szCs w:val="20"/>
              </w:rPr>
            </w:pPr>
            <w:r w:rsidRPr="00A80589">
              <w:rPr>
                <w:rFonts w:ascii="Futura Std Condensed Light" w:eastAsia="Calibri" w:hAnsi="Futura Std Condensed Light" w:cs="Calibri"/>
                <w:sz w:val="20"/>
                <w:szCs w:val="20"/>
              </w:rPr>
              <w:t>6,548</w:t>
            </w:r>
          </w:p>
        </w:tc>
        <w:tc>
          <w:tcPr>
            <w:tcW w:w="783" w:type="pct"/>
            <w:gridSpan w:val="3"/>
          </w:tcPr>
          <w:p w14:paraId="4C0BCC86" w14:textId="77777777" w:rsidR="0021177B" w:rsidRPr="00A80589" w:rsidRDefault="0021177B" w:rsidP="009E3B2F">
            <w:pPr>
              <w:contextualSpacing/>
              <w:jc w:val="center"/>
              <w:rPr>
                <w:rFonts w:ascii="Futura Std Condensed Light" w:eastAsia="Calibri" w:hAnsi="Futura Std Condensed Light" w:cs="Calibri"/>
                <w:sz w:val="20"/>
                <w:szCs w:val="20"/>
              </w:rPr>
            </w:pPr>
            <w:r w:rsidRPr="00A80589">
              <w:rPr>
                <w:rFonts w:ascii="Futura Std Condensed Light" w:eastAsia="Calibri" w:hAnsi="Futura Std Condensed Light" w:cs="Calibri"/>
                <w:sz w:val="20"/>
                <w:szCs w:val="20"/>
              </w:rPr>
              <w:t>6,046</w:t>
            </w:r>
          </w:p>
        </w:tc>
        <w:tc>
          <w:tcPr>
            <w:tcW w:w="904" w:type="pct"/>
            <w:gridSpan w:val="2"/>
          </w:tcPr>
          <w:p w14:paraId="7BB20B6A" w14:textId="77777777" w:rsidR="0021177B" w:rsidRPr="00A80589" w:rsidRDefault="0021177B" w:rsidP="009E3B2F">
            <w:pPr>
              <w:contextualSpacing/>
              <w:jc w:val="center"/>
              <w:rPr>
                <w:rFonts w:ascii="Futura Std Condensed Light" w:eastAsia="Calibri" w:hAnsi="Futura Std Condensed Light" w:cs="Calibri"/>
                <w:sz w:val="20"/>
                <w:szCs w:val="20"/>
              </w:rPr>
            </w:pPr>
            <w:r w:rsidRPr="00A80589">
              <w:rPr>
                <w:rFonts w:ascii="Futura Std Condensed Light" w:eastAsia="Calibri" w:hAnsi="Futura Std Condensed Light" w:cs="Calibri"/>
                <w:sz w:val="20"/>
                <w:szCs w:val="20"/>
              </w:rPr>
              <w:t>6,325</w:t>
            </w:r>
          </w:p>
        </w:tc>
        <w:tc>
          <w:tcPr>
            <w:tcW w:w="723" w:type="pct"/>
            <w:gridSpan w:val="2"/>
          </w:tcPr>
          <w:p w14:paraId="786CE06F" w14:textId="77777777" w:rsidR="0021177B" w:rsidRPr="00A80589" w:rsidRDefault="0021177B" w:rsidP="009E3B2F">
            <w:pPr>
              <w:contextualSpacing/>
              <w:jc w:val="center"/>
              <w:rPr>
                <w:rFonts w:ascii="Futura Std Condensed Light" w:eastAsia="Calibri" w:hAnsi="Futura Std Condensed Light" w:cs="Calibri"/>
                <w:sz w:val="20"/>
                <w:szCs w:val="20"/>
              </w:rPr>
            </w:pPr>
            <w:r w:rsidRPr="00A80589">
              <w:rPr>
                <w:rFonts w:ascii="Futura Std Condensed Light" w:eastAsia="Calibri" w:hAnsi="Futura Std Condensed Light" w:cs="Calibri"/>
                <w:sz w:val="20"/>
                <w:szCs w:val="20"/>
              </w:rPr>
              <w:t>6,368</w:t>
            </w:r>
          </w:p>
        </w:tc>
        <w:tc>
          <w:tcPr>
            <w:tcW w:w="964" w:type="pct"/>
            <w:gridSpan w:val="3"/>
          </w:tcPr>
          <w:p w14:paraId="03EAF724" w14:textId="77777777" w:rsidR="0021177B" w:rsidRPr="00A80589" w:rsidRDefault="0021177B" w:rsidP="009E3B2F">
            <w:pPr>
              <w:contextualSpacing/>
              <w:jc w:val="center"/>
              <w:rPr>
                <w:rFonts w:ascii="Futura Std Condensed Light" w:eastAsia="Calibri" w:hAnsi="Futura Std Condensed Light" w:cs="Calibri"/>
                <w:sz w:val="20"/>
                <w:szCs w:val="20"/>
              </w:rPr>
            </w:pPr>
            <w:r w:rsidRPr="00A80589">
              <w:rPr>
                <w:rFonts w:ascii="Futura Std Condensed Light" w:eastAsia="Calibri" w:hAnsi="Futura Std Condensed Light" w:cs="Calibri"/>
                <w:sz w:val="20"/>
                <w:szCs w:val="20"/>
              </w:rPr>
              <w:t>6,411</w:t>
            </w:r>
          </w:p>
        </w:tc>
        <w:tc>
          <w:tcPr>
            <w:tcW w:w="846" w:type="pct"/>
          </w:tcPr>
          <w:p w14:paraId="6817DA72" w14:textId="77777777" w:rsidR="0021177B" w:rsidRPr="00A80589" w:rsidRDefault="0021177B" w:rsidP="009E3B2F">
            <w:pPr>
              <w:contextualSpacing/>
              <w:jc w:val="center"/>
              <w:rPr>
                <w:rFonts w:ascii="Futura Std Condensed Light" w:eastAsia="Calibri" w:hAnsi="Futura Std Condensed Light" w:cs="Calibri"/>
                <w:sz w:val="20"/>
                <w:szCs w:val="20"/>
              </w:rPr>
            </w:pPr>
            <w:r w:rsidRPr="00A80589">
              <w:rPr>
                <w:rFonts w:ascii="Futura Std Condensed Light" w:eastAsia="Calibri" w:hAnsi="Futura Std Condensed Light" w:cs="Calibri"/>
                <w:sz w:val="20"/>
                <w:szCs w:val="20"/>
              </w:rPr>
              <w:t>6,457</w:t>
            </w:r>
          </w:p>
        </w:tc>
      </w:tr>
    </w:tbl>
    <w:p w14:paraId="3162201B" w14:textId="69E5C532" w:rsidR="0021177B" w:rsidRDefault="00980EAE" w:rsidP="0021177B">
      <w:pPr>
        <w:jc w:val="center"/>
      </w:pPr>
      <w:r>
        <w:rPr>
          <w:rFonts w:eastAsia="Arial" w:cs="Times New Roman"/>
          <w:b/>
          <w:color w:val="4BACC6" w:themeColor="accent5"/>
        </w:rPr>
        <w:t>Cuadro 50</w:t>
      </w:r>
      <w:r w:rsidR="0021177B">
        <w:rPr>
          <w:rFonts w:eastAsia="Arial" w:cs="Times New Roman"/>
          <w:b/>
          <w:color w:val="4BACC6" w:themeColor="accent5"/>
        </w:rPr>
        <w:t>. Entregable y meta de la línea de acción 23 del PED</w:t>
      </w:r>
    </w:p>
    <w:tbl>
      <w:tblPr>
        <w:tblStyle w:val="Tablaconcuadrcula"/>
        <w:tblW w:w="5000" w:type="pct"/>
        <w:tblLook w:val="04A0" w:firstRow="1" w:lastRow="0" w:firstColumn="1" w:lastColumn="0" w:noHBand="0" w:noVBand="1"/>
      </w:tblPr>
      <w:tblGrid>
        <w:gridCol w:w="1489"/>
        <w:gridCol w:w="812"/>
        <w:gridCol w:w="680"/>
        <w:gridCol w:w="1145"/>
        <w:gridCol w:w="577"/>
        <w:gridCol w:w="463"/>
        <w:gridCol w:w="916"/>
        <w:gridCol w:w="1207"/>
        <w:gridCol w:w="6"/>
        <w:gridCol w:w="628"/>
        <w:gridCol w:w="1614"/>
      </w:tblGrid>
      <w:tr w:rsidR="0021177B" w:rsidRPr="003B479E" w14:paraId="01916F88" w14:textId="77777777" w:rsidTr="00047166">
        <w:trPr>
          <w:trHeight w:val="182"/>
        </w:trPr>
        <w:tc>
          <w:tcPr>
            <w:tcW w:w="1563" w:type="pct"/>
            <w:gridSpan w:val="3"/>
            <w:shd w:val="clear" w:color="auto" w:fill="A6A6A6" w:themeFill="background1" w:themeFillShade="A6"/>
          </w:tcPr>
          <w:p w14:paraId="1C766D73" w14:textId="77777777" w:rsidR="0021177B" w:rsidRPr="003B479E" w:rsidRDefault="0021177B" w:rsidP="009E3B2F">
            <w:pPr>
              <w:contextualSpacing/>
              <w:jc w:val="center"/>
              <w:rPr>
                <w:rFonts w:ascii="Futura Std Condensed Light" w:eastAsia="Calibri" w:hAnsi="Futura Std Condensed Light" w:cs="Calibri"/>
                <w:color w:val="auto"/>
                <w:sz w:val="20"/>
                <w:szCs w:val="20"/>
              </w:rPr>
            </w:pPr>
            <w:r w:rsidRPr="003B479E">
              <w:rPr>
                <w:rFonts w:ascii="Futura Std Condensed Light" w:eastAsia="Calibri" w:hAnsi="Futura Std Condensed Light" w:cs="Calibri"/>
                <w:color w:val="auto"/>
                <w:sz w:val="20"/>
                <w:szCs w:val="20"/>
              </w:rPr>
              <w:t>Programa PED</w:t>
            </w:r>
          </w:p>
        </w:tc>
        <w:tc>
          <w:tcPr>
            <w:tcW w:w="3437" w:type="pct"/>
            <w:gridSpan w:val="8"/>
            <w:shd w:val="clear" w:color="auto" w:fill="A6A6A6" w:themeFill="background1" w:themeFillShade="A6"/>
          </w:tcPr>
          <w:p w14:paraId="06518CC1" w14:textId="77777777" w:rsidR="0021177B" w:rsidRPr="003B479E" w:rsidRDefault="0021177B" w:rsidP="009E3B2F">
            <w:pPr>
              <w:contextualSpacing/>
              <w:jc w:val="center"/>
              <w:rPr>
                <w:rFonts w:ascii="Futura Std Condensed Light" w:eastAsia="Calibri" w:hAnsi="Futura Std Condensed Light" w:cs="Calibri"/>
                <w:color w:val="auto"/>
                <w:sz w:val="20"/>
                <w:szCs w:val="20"/>
              </w:rPr>
            </w:pPr>
            <w:r w:rsidRPr="003B479E">
              <w:rPr>
                <w:rFonts w:ascii="Futura Std Condensed Light" w:eastAsia="Calibri" w:hAnsi="Futura Std Condensed Light" w:cs="Calibri"/>
                <w:color w:val="auto"/>
                <w:sz w:val="20"/>
                <w:szCs w:val="20"/>
              </w:rPr>
              <w:t>Programa Sectorial Educación Pública de Calidad</w:t>
            </w:r>
          </w:p>
        </w:tc>
      </w:tr>
      <w:tr w:rsidR="0021177B" w:rsidRPr="00A80589" w14:paraId="6509385E" w14:textId="77777777" w:rsidTr="00047166">
        <w:trPr>
          <w:trHeight w:val="469"/>
        </w:trPr>
        <w:tc>
          <w:tcPr>
            <w:tcW w:w="1563" w:type="pct"/>
            <w:gridSpan w:val="3"/>
          </w:tcPr>
          <w:p w14:paraId="43705659" w14:textId="77777777" w:rsidR="0021177B" w:rsidRPr="00A80589" w:rsidRDefault="0021177B" w:rsidP="009E3B2F">
            <w:pPr>
              <w:contextualSpacing/>
              <w:rPr>
                <w:rFonts w:ascii="Futura Std Condensed Light" w:eastAsia="Calibri" w:hAnsi="Futura Std Condensed Light" w:cs="Calibri"/>
                <w:b/>
                <w:sz w:val="20"/>
                <w:szCs w:val="20"/>
              </w:rPr>
            </w:pPr>
            <w:r w:rsidRPr="00A80589">
              <w:rPr>
                <w:rFonts w:ascii="Futura Std Condensed Light" w:eastAsia="Calibri" w:hAnsi="Futura Std Condensed Light" w:cs="Calibri"/>
                <w:b/>
                <w:sz w:val="20"/>
                <w:szCs w:val="20"/>
              </w:rPr>
              <w:t>Línea de acción:</w:t>
            </w:r>
          </w:p>
        </w:tc>
        <w:tc>
          <w:tcPr>
            <w:tcW w:w="3437" w:type="pct"/>
            <w:gridSpan w:val="8"/>
          </w:tcPr>
          <w:p w14:paraId="47AD7909" w14:textId="77777777" w:rsidR="0021177B" w:rsidRPr="00A80589" w:rsidRDefault="0021177B" w:rsidP="009E3B2F">
            <w:pPr>
              <w:spacing w:after="160" w:line="259" w:lineRule="auto"/>
              <w:contextualSpacing/>
              <w:rPr>
                <w:rFonts w:ascii="Futura Std Condensed Light" w:eastAsia="Calibri" w:hAnsi="Futura Std Condensed Light" w:cs="Calibri"/>
                <w:sz w:val="20"/>
                <w:szCs w:val="20"/>
              </w:rPr>
            </w:pPr>
            <w:r w:rsidRPr="00A80589">
              <w:rPr>
                <w:rFonts w:ascii="Futura Std Condensed Light" w:eastAsia="Calibri" w:hAnsi="Futura Std Condensed Light" w:cs="Calibri"/>
                <w:sz w:val="20"/>
                <w:szCs w:val="20"/>
              </w:rPr>
              <w:t>23.   Impulsar acciones de atención para mejorar la formación inicial y continua de docentes .</w:t>
            </w:r>
          </w:p>
        </w:tc>
      </w:tr>
      <w:tr w:rsidR="0021177B" w:rsidRPr="00A80589" w14:paraId="2174E026" w14:textId="77777777" w:rsidTr="00047166">
        <w:trPr>
          <w:trHeight w:val="484"/>
        </w:trPr>
        <w:tc>
          <w:tcPr>
            <w:tcW w:w="1563" w:type="pct"/>
            <w:gridSpan w:val="3"/>
          </w:tcPr>
          <w:p w14:paraId="2DC44FC8" w14:textId="77777777" w:rsidR="0021177B" w:rsidRPr="00A80589" w:rsidRDefault="0021177B" w:rsidP="009E3B2F">
            <w:pPr>
              <w:contextualSpacing/>
              <w:rPr>
                <w:rFonts w:ascii="Futura Std Condensed Light" w:eastAsia="Calibri" w:hAnsi="Futura Std Condensed Light" w:cs="Calibri"/>
                <w:b/>
                <w:sz w:val="20"/>
                <w:szCs w:val="20"/>
              </w:rPr>
            </w:pPr>
            <w:r w:rsidRPr="00A80589">
              <w:rPr>
                <w:rFonts w:ascii="Futura Std Condensed Light" w:eastAsia="Calibri" w:hAnsi="Futura Std Condensed Light" w:cs="Calibri"/>
                <w:b/>
                <w:sz w:val="20"/>
                <w:szCs w:val="20"/>
              </w:rPr>
              <w:t>Plan Estratégico Objetivo Especifico</w:t>
            </w:r>
          </w:p>
        </w:tc>
        <w:tc>
          <w:tcPr>
            <w:tcW w:w="3437" w:type="pct"/>
            <w:gridSpan w:val="8"/>
          </w:tcPr>
          <w:p w14:paraId="5F357921" w14:textId="77777777" w:rsidR="0021177B" w:rsidRPr="00A80589" w:rsidRDefault="0021177B" w:rsidP="009E3B2F">
            <w:pPr>
              <w:contextualSpacing/>
              <w:rPr>
                <w:rFonts w:ascii="Futura Std Condensed Light" w:eastAsia="Calibri" w:hAnsi="Futura Std Condensed Light" w:cs="Calibri"/>
                <w:sz w:val="20"/>
                <w:szCs w:val="20"/>
              </w:rPr>
            </w:pPr>
            <w:r w:rsidRPr="00A80589">
              <w:rPr>
                <w:rFonts w:ascii="Futura Std Condensed Light" w:eastAsia="Calibri" w:hAnsi="Futura Std Condensed Light" w:cs="Calibri"/>
                <w:sz w:val="20"/>
                <w:szCs w:val="20"/>
              </w:rPr>
              <w:t>Disminuir la desigualdad en sus diversas formas </w:t>
            </w:r>
          </w:p>
        </w:tc>
      </w:tr>
      <w:tr w:rsidR="0021177B" w:rsidRPr="00A80589" w14:paraId="2F1F683D" w14:textId="77777777" w:rsidTr="00047166">
        <w:trPr>
          <w:trHeight w:val="484"/>
        </w:trPr>
        <w:tc>
          <w:tcPr>
            <w:tcW w:w="1207" w:type="pct"/>
            <w:gridSpan w:val="2"/>
          </w:tcPr>
          <w:p w14:paraId="1BC7E0A2" w14:textId="77777777" w:rsidR="0021177B" w:rsidRPr="00A80589" w:rsidRDefault="0021177B" w:rsidP="009E3B2F">
            <w:pPr>
              <w:contextualSpacing/>
              <w:rPr>
                <w:rFonts w:ascii="Futura Std Condensed Light" w:eastAsia="Calibri" w:hAnsi="Futura Std Condensed Light" w:cs="Calibri"/>
                <w:b/>
                <w:sz w:val="20"/>
                <w:szCs w:val="20"/>
              </w:rPr>
            </w:pPr>
            <w:r w:rsidRPr="00A80589">
              <w:rPr>
                <w:rFonts w:ascii="Futura Std Condensed Light" w:eastAsia="Calibri" w:hAnsi="Futura Std Condensed Light" w:cs="Calibri"/>
                <w:b/>
                <w:sz w:val="20"/>
                <w:szCs w:val="20"/>
              </w:rPr>
              <w:t>Entregable:</w:t>
            </w:r>
          </w:p>
        </w:tc>
        <w:tc>
          <w:tcPr>
            <w:tcW w:w="958" w:type="pct"/>
            <w:gridSpan w:val="2"/>
          </w:tcPr>
          <w:p w14:paraId="5E015D9F" w14:textId="77777777" w:rsidR="0021177B" w:rsidRPr="00A80589" w:rsidRDefault="0021177B" w:rsidP="009E3B2F">
            <w:pPr>
              <w:rPr>
                <w:rFonts w:ascii="Futura Std Condensed Light" w:eastAsia="Calibri" w:hAnsi="Futura Std Condensed Light" w:cs="Calibri"/>
                <w:sz w:val="20"/>
                <w:szCs w:val="20"/>
              </w:rPr>
            </w:pPr>
            <w:r w:rsidRPr="00A80589">
              <w:rPr>
                <w:rFonts w:ascii="Futura Std Condensed Light" w:eastAsia="Calibri" w:hAnsi="Futura Std Condensed Light" w:cs="Calibri"/>
                <w:sz w:val="20"/>
                <w:szCs w:val="20"/>
              </w:rPr>
              <w:t>Capacitación a figuras educativas</w:t>
            </w:r>
          </w:p>
        </w:tc>
        <w:tc>
          <w:tcPr>
            <w:tcW w:w="1660" w:type="pct"/>
            <w:gridSpan w:val="5"/>
          </w:tcPr>
          <w:p w14:paraId="7571947F" w14:textId="77777777" w:rsidR="0021177B" w:rsidRPr="00A80589" w:rsidRDefault="0021177B" w:rsidP="009E3B2F">
            <w:pPr>
              <w:contextualSpacing/>
              <w:rPr>
                <w:rFonts w:ascii="Futura Std Condensed Light" w:eastAsia="Calibri" w:hAnsi="Futura Std Condensed Light" w:cs="Calibri"/>
                <w:sz w:val="20"/>
                <w:szCs w:val="20"/>
              </w:rPr>
            </w:pPr>
            <w:r w:rsidRPr="00A80589">
              <w:rPr>
                <w:rFonts w:ascii="Futura Std Condensed Light" w:eastAsia="Calibri" w:hAnsi="Futura Std Condensed Light" w:cs="Calibri"/>
                <w:sz w:val="20"/>
                <w:szCs w:val="20"/>
              </w:rPr>
              <w:t>Unidad de Medida:</w:t>
            </w:r>
          </w:p>
        </w:tc>
        <w:tc>
          <w:tcPr>
            <w:tcW w:w="1174" w:type="pct"/>
            <w:gridSpan w:val="2"/>
          </w:tcPr>
          <w:p w14:paraId="215AB005" w14:textId="77777777" w:rsidR="0021177B" w:rsidRPr="00A80589" w:rsidRDefault="0021177B" w:rsidP="009E3B2F">
            <w:pPr>
              <w:rPr>
                <w:rFonts w:ascii="Futura Std Condensed Light" w:eastAsia="Calibri" w:hAnsi="Futura Std Condensed Light" w:cs="Calibri"/>
                <w:sz w:val="20"/>
                <w:szCs w:val="20"/>
              </w:rPr>
            </w:pPr>
            <w:r w:rsidRPr="00A80589">
              <w:rPr>
                <w:rFonts w:ascii="Futura Std Condensed Light" w:eastAsia="Calibri" w:hAnsi="Futura Std Condensed Light" w:cs="Calibri"/>
                <w:sz w:val="20"/>
                <w:szCs w:val="20"/>
              </w:rPr>
              <w:t>Figura educativa capacitada</w:t>
            </w:r>
          </w:p>
        </w:tc>
      </w:tr>
      <w:tr w:rsidR="0021177B" w:rsidRPr="00A80589" w14:paraId="7BDA7172" w14:textId="77777777" w:rsidTr="00047166">
        <w:trPr>
          <w:trHeight w:val="449"/>
        </w:trPr>
        <w:tc>
          <w:tcPr>
            <w:tcW w:w="1207" w:type="pct"/>
            <w:gridSpan w:val="2"/>
          </w:tcPr>
          <w:p w14:paraId="62EEBD61" w14:textId="77777777" w:rsidR="0021177B" w:rsidRPr="00A80589" w:rsidRDefault="0021177B" w:rsidP="009E3B2F">
            <w:pPr>
              <w:contextualSpacing/>
              <w:rPr>
                <w:rFonts w:ascii="Futura Std Condensed Light" w:eastAsia="Calibri" w:hAnsi="Futura Std Condensed Light" w:cs="Calibri"/>
                <w:b/>
                <w:sz w:val="20"/>
                <w:szCs w:val="20"/>
              </w:rPr>
            </w:pPr>
            <w:r w:rsidRPr="00A80589">
              <w:rPr>
                <w:rFonts w:ascii="Futura Std Condensed Light" w:eastAsia="Calibri" w:hAnsi="Futura Std Condensed Light" w:cs="Calibri"/>
                <w:b/>
                <w:sz w:val="20"/>
                <w:szCs w:val="20"/>
              </w:rPr>
              <w:t>Descripción:</w:t>
            </w:r>
          </w:p>
        </w:tc>
        <w:tc>
          <w:tcPr>
            <w:tcW w:w="3793" w:type="pct"/>
            <w:gridSpan w:val="9"/>
          </w:tcPr>
          <w:p w14:paraId="7BE42E8A" w14:textId="77777777" w:rsidR="0021177B" w:rsidRPr="00A80589" w:rsidRDefault="0021177B" w:rsidP="009E3B2F">
            <w:pPr>
              <w:contextualSpacing/>
              <w:rPr>
                <w:rFonts w:ascii="Futura Std Condensed Light" w:eastAsia="Calibri" w:hAnsi="Futura Std Condensed Light" w:cs="Calibri"/>
                <w:sz w:val="20"/>
                <w:szCs w:val="20"/>
              </w:rPr>
            </w:pPr>
            <w:r w:rsidRPr="00A80589">
              <w:rPr>
                <w:rFonts w:ascii="Futura Std Condensed Light" w:eastAsia="Calibri" w:hAnsi="Futura Std Condensed Light" w:cs="Calibri"/>
                <w:sz w:val="20"/>
                <w:szCs w:val="20"/>
              </w:rPr>
              <w:t>Promover las acciones de formación de las figuras educativas con función supervisora, directiva, de asesoría técnica pedagógica de educación básica, en coordinación con diversas instancias estatales y federales con un enfoque inclusivo.</w:t>
            </w:r>
          </w:p>
        </w:tc>
      </w:tr>
      <w:tr w:rsidR="0021177B" w:rsidRPr="00A80589" w14:paraId="3870E86B" w14:textId="77777777" w:rsidTr="00047166">
        <w:trPr>
          <w:trHeight w:val="484"/>
        </w:trPr>
        <w:tc>
          <w:tcPr>
            <w:tcW w:w="1563" w:type="pct"/>
            <w:gridSpan w:val="3"/>
          </w:tcPr>
          <w:p w14:paraId="063F1270" w14:textId="77777777" w:rsidR="0021177B" w:rsidRPr="00A80589" w:rsidRDefault="0021177B" w:rsidP="009E3B2F">
            <w:pPr>
              <w:contextualSpacing/>
              <w:rPr>
                <w:rFonts w:ascii="Futura Std Condensed Light" w:eastAsia="Calibri" w:hAnsi="Futura Std Condensed Light" w:cs="Calibri"/>
                <w:b/>
                <w:sz w:val="20"/>
                <w:szCs w:val="20"/>
              </w:rPr>
            </w:pPr>
            <w:r w:rsidRPr="00A80589">
              <w:rPr>
                <w:rFonts w:ascii="Futura Std Condensed Light" w:eastAsia="Calibri" w:hAnsi="Futura Std Condensed Light" w:cs="Calibri"/>
                <w:b/>
                <w:sz w:val="20"/>
                <w:szCs w:val="20"/>
              </w:rPr>
              <w:t>Medio de verificación:</w:t>
            </w:r>
          </w:p>
        </w:tc>
        <w:tc>
          <w:tcPr>
            <w:tcW w:w="3437" w:type="pct"/>
            <w:gridSpan w:val="8"/>
          </w:tcPr>
          <w:p w14:paraId="3CB2F515" w14:textId="77777777" w:rsidR="0021177B" w:rsidRPr="00A80589" w:rsidRDefault="0021177B" w:rsidP="009E3B2F">
            <w:pPr>
              <w:contextualSpacing/>
              <w:rPr>
                <w:rFonts w:ascii="Futura Std Condensed Light" w:eastAsia="Calibri" w:hAnsi="Futura Std Condensed Light" w:cs="Calibri"/>
                <w:sz w:val="20"/>
                <w:szCs w:val="20"/>
              </w:rPr>
            </w:pPr>
            <w:r w:rsidRPr="00A80589">
              <w:rPr>
                <w:rFonts w:ascii="Futura Std Condensed Light" w:eastAsia="Calibri" w:hAnsi="Futura Std Condensed Light" w:cs="Calibri"/>
                <w:sz w:val="20"/>
                <w:szCs w:val="20"/>
              </w:rPr>
              <w:t>Base de datos de figuras educativas capacitadas.</w:t>
            </w:r>
          </w:p>
        </w:tc>
      </w:tr>
      <w:tr w:rsidR="0021177B" w:rsidRPr="00A80589" w14:paraId="1BAA7F01" w14:textId="77777777" w:rsidTr="00047166">
        <w:trPr>
          <w:trHeight w:val="484"/>
        </w:trPr>
        <w:tc>
          <w:tcPr>
            <w:tcW w:w="1563" w:type="pct"/>
            <w:gridSpan w:val="3"/>
          </w:tcPr>
          <w:p w14:paraId="5E9116C7" w14:textId="77777777" w:rsidR="0021177B" w:rsidRPr="00A80589" w:rsidRDefault="0021177B" w:rsidP="009E3B2F">
            <w:pPr>
              <w:contextualSpacing/>
              <w:rPr>
                <w:rFonts w:ascii="Futura Std Condensed Light" w:eastAsia="Calibri" w:hAnsi="Futura Std Condensed Light" w:cs="Calibri"/>
                <w:b/>
                <w:sz w:val="20"/>
                <w:szCs w:val="20"/>
              </w:rPr>
            </w:pPr>
            <w:r w:rsidRPr="00A80589">
              <w:rPr>
                <w:rFonts w:ascii="Futura Std Condensed Light" w:eastAsia="Calibri" w:hAnsi="Futura Std Condensed Light" w:cs="Calibri"/>
                <w:b/>
                <w:sz w:val="20"/>
                <w:szCs w:val="20"/>
              </w:rPr>
              <w:t>Línea base:</w:t>
            </w:r>
          </w:p>
        </w:tc>
        <w:tc>
          <w:tcPr>
            <w:tcW w:w="1147" w:type="pct"/>
            <w:gridSpan w:val="3"/>
          </w:tcPr>
          <w:p w14:paraId="7F23BC30" w14:textId="77777777" w:rsidR="0021177B" w:rsidRPr="00A80589" w:rsidRDefault="0021177B" w:rsidP="009E3B2F">
            <w:pPr>
              <w:contextualSpacing/>
              <w:rPr>
                <w:rFonts w:ascii="Futura Std Condensed Light" w:eastAsia="Calibri" w:hAnsi="Futura Std Condensed Light" w:cs="Calibri"/>
                <w:sz w:val="20"/>
                <w:szCs w:val="20"/>
              </w:rPr>
            </w:pPr>
            <w:r w:rsidRPr="00A80589">
              <w:rPr>
                <w:rFonts w:ascii="Futura Std Condensed Light" w:eastAsia="Calibri" w:hAnsi="Futura Std Condensed Light" w:cs="Calibri"/>
                <w:sz w:val="20"/>
                <w:szCs w:val="20"/>
              </w:rPr>
              <w:t>5,383</w:t>
            </w:r>
          </w:p>
        </w:tc>
        <w:tc>
          <w:tcPr>
            <w:tcW w:w="1113" w:type="pct"/>
            <w:gridSpan w:val="2"/>
          </w:tcPr>
          <w:p w14:paraId="18F76CDC" w14:textId="77777777" w:rsidR="0021177B" w:rsidRPr="00A80589" w:rsidRDefault="0021177B" w:rsidP="009E3B2F">
            <w:pPr>
              <w:contextualSpacing/>
              <w:rPr>
                <w:rFonts w:ascii="Futura Std Condensed Light" w:eastAsia="Calibri" w:hAnsi="Futura Std Condensed Light" w:cs="Calibri"/>
                <w:b/>
                <w:sz w:val="20"/>
                <w:szCs w:val="20"/>
              </w:rPr>
            </w:pPr>
            <w:r w:rsidRPr="00A80589">
              <w:rPr>
                <w:rFonts w:ascii="Futura Std Condensed Light" w:eastAsia="Calibri" w:hAnsi="Futura Std Condensed Light" w:cs="Calibri"/>
                <w:b/>
                <w:sz w:val="20"/>
                <w:szCs w:val="20"/>
              </w:rPr>
              <w:t>Año de línea base:</w:t>
            </w:r>
          </w:p>
        </w:tc>
        <w:tc>
          <w:tcPr>
            <w:tcW w:w="1178" w:type="pct"/>
            <w:gridSpan w:val="3"/>
          </w:tcPr>
          <w:p w14:paraId="6717EB4B" w14:textId="77777777" w:rsidR="0021177B" w:rsidRPr="00A80589" w:rsidRDefault="0021177B" w:rsidP="009E3B2F">
            <w:pPr>
              <w:contextualSpacing/>
              <w:rPr>
                <w:rFonts w:ascii="Futura Std Condensed Light" w:eastAsia="Calibri" w:hAnsi="Futura Std Condensed Light" w:cs="Calibri"/>
                <w:sz w:val="20"/>
                <w:szCs w:val="20"/>
              </w:rPr>
            </w:pPr>
            <w:r w:rsidRPr="00A80589">
              <w:rPr>
                <w:rFonts w:ascii="Futura Std Condensed Light" w:eastAsia="Calibri" w:hAnsi="Futura Std Condensed Light" w:cs="Calibri"/>
                <w:sz w:val="20"/>
                <w:szCs w:val="20"/>
              </w:rPr>
              <w:t>2017</w:t>
            </w:r>
          </w:p>
        </w:tc>
      </w:tr>
      <w:tr w:rsidR="0021177B" w:rsidRPr="00A80589" w14:paraId="715E0228" w14:textId="77777777" w:rsidTr="00047166">
        <w:trPr>
          <w:trHeight w:val="484"/>
        </w:trPr>
        <w:tc>
          <w:tcPr>
            <w:tcW w:w="1563" w:type="pct"/>
            <w:gridSpan w:val="3"/>
          </w:tcPr>
          <w:p w14:paraId="76D70C45" w14:textId="77777777" w:rsidR="0021177B" w:rsidRPr="00A80589" w:rsidRDefault="0021177B" w:rsidP="009E3B2F">
            <w:pPr>
              <w:contextualSpacing/>
              <w:rPr>
                <w:rFonts w:ascii="Futura Std Condensed Light" w:eastAsia="Calibri" w:hAnsi="Futura Std Condensed Light" w:cs="Calibri"/>
                <w:b/>
                <w:sz w:val="20"/>
                <w:szCs w:val="20"/>
              </w:rPr>
            </w:pPr>
            <w:r w:rsidRPr="00A80589">
              <w:rPr>
                <w:rFonts w:ascii="Futura Std Condensed Light" w:eastAsia="Calibri" w:hAnsi="Futura Std Condensed Light" w:cs="Calibri"/>
                <w:b/>
                <w:sz w:val="20"/>
                <w:szCs w:val="20"/>
              </w:rPr>
              <w:t>Contribución Directa al Objetivo de la Agenda 2030</w:t>
            </w:r>
          </w:p>
        </w:tc>
        <w:tc>
          <w:tcPr>
            <w:tcW w:w="3437" w:type="pct"/>
            <w:gridSpan w:val="8"/>
          </w:tcPr>
          <w:p w14:paraId="32FEBB23" w14:textId="77777777" w:rsidR="0021177B" w:rsidRPr="00A80589" w:rsidRDefault="0021177B" w:rsidP="009E3B2F">
            <w:pPr>
              <w:contextualSpacing/>
              <w:rPr>
                <w:rFonts w:ascii="Futura Std Condensed Light" w:eastAsia="Calibri" w:hAnsi="Futura Std Condensed Light" w:cs="Calibri"/>
                <w:sz w:val="20"/>
                <w:szCs w:val="20"/>
              </w:rPr>
            </w:pPr>
            <w:r w:rsidRPr="00A80589">
              <w:rPr>
                <w:rFonts w:ascii="Futura Std Condensed Light" w:eastAsia="Calibri" w:hAnsi="Futura Std Condensed Light" w:cs="Calibri"/>
                <w:sz w:val="20"/>
                <w:szCs w:val="20"/>
              </w:rPr>
              <w:t>Garantizar una educación inclusiva, equitativa y de calidad y promover oportunidades de aprendizaje durante toda la vida para todos</w:t>
            </w:r>
          </w:p>
        </w:tc>
      </w:tr>
      <w:tr w:rsidR="0021177B" w:rsidRPr="00A80589" w14:paraId="77838283" w14:textId="77777777" w:rsidTr="00047166">
        <w:trPr>
          <w:trHeight w:val="484"/>
        </w:trPr>
        <w:tc>
          <w:tcPr>
            <w:tcW w:w="1563" w:type="pct"/>
            <w:gridSpan w:val="3"/>
          </w:tcPr>
          <w:p w14:paraId="3E85AD92" w14:textId="77777777" w:rsidR="0021177B" w:rsidRPr="00A80589" w:rsidRDefault="0021177B" w:rsidP="009E3B2F">
            <w:pPr>
              <w:contextualSpacing/>
              <w:rPr>
                <w:rFonts w:ascii="Futura Std Condensed Light" w:eastAsia="Calibri" w:hAnsi="Futura Std Condensed Light" w:cs="Calibri"/>
                <w:b/>
                <w:sz w:val="20"/>
                <w:szCs w:val="20"/>
              </w:rPr>
            </w:pPr>
            <w:r w:rsidRPr="00A80589">
              <w:rPr>
                <w:rFonts w:ascii="Futura Std Condensed Light" w:eastAsia="Calibri" w:hAnsi="Futura Std Condensed Light" w:cs="Calibri"/>
                <w:b/>
                <w:sz w:val="20"/>
                <w:szCs w:val="20"/>
              </w:rPr>
              <w:t>Contribución Directa  a la Meta de la Agenda 2030</w:t>
            </w:r>
          </w:p>
        </w:tc>
        <w:tc>
          <w:tcPr>
            <w:tcW w:w="3437" w:type="pct"/>
            <w:gridSpan w:val="8"/>
          </w:tcPr>
          <w:p w14:paraId="29608964" w14:textId="77777777" w:rsidR="0021177B" w:rsidRPr="00A80589" w:rsidRDefault="0021177B" w:rsidP="009E3B2F">
            <w:pPr>
              <w:contextualSpacing/>
              <w:rPr>
                <w:rFonts w:ascii="Futura Std Condensed Light" w:eastAsia="Calibri" w:hAnsi="Futura Std Condensed Light" w:cs="Calibri"/>
                <w:sz w:val="20"/>
                <w:szCs w:val="20"/>
              </w:rPr>
            </w:pPr>
            <w:r w:rsidRPr="00A80589">
              <w:rPr>
                <w:rFonts w:ascii="Futura Std Condensed Light" w:eastAsia="Calibri" w:hAnsi="Futura Std Condensed Light" w:cs="Calibri"/>
                <w:sz w:val="20"/>
                <w:szCs w:val="20"/>
              </w:rPr>
              <w:t>De aquí a 2030, aumentar considerablemente la oferta de docentes calificados, incluso mediante la cooperación internacional para la formación de docentes en los países en desarrollo, especialmente los países menos adelantados y los pequeños Estados insulares en desarrollo.</w:t>
            </w:r>
          </w:p>
        </w:tc>
      </w:tr>
      <w:tr w:rsidR="0021177B" w:rsidRPr="00A80589" w14:paraId="2859A89A" w14:textId="77777777" w:rsidTr="00047166">
        <w:trPr>
          <w:trHeight w:val="484"/>
        </w:trPr>
        <w:tc>
          <w:tcPr>
            <w:tcW w:w="1563" w:type="pct"/>
            <w:gridSpan w:val="3"/>
          </w:tcPr>
          <w:p w14:paraId="0B32DCD8" w14:textId="77777777" w:rsidR="0021177B" w:rsidRPr="00A80589" w:rsidRDefault="0021177B" w:rsidP="009E3B2F">
            <w:pPr>
              <w:contextualSpacing/>
              <w:rPr>
                <w:rFonts w:ascii="Futura Std Condensed Light" w:eastAsia="Calibri" w:hAnsi="Futura Std Condensed Light" w:cs="Calibri"/>
                <w:b/>
                <w:sz w:val="20"/>
                <w:szCs w:val="20"/>
              </w:rPr>
            </w:pPr>
            <w:r w:rsidRPr="00A80589">
              <w:rPr>
                <w:rFonts w:ascii="Futura Std Condensed Light" w:eastAsia="Calibri" w:hAnsi="Futura Std Condensed Light" w:cs="Calibri"/>
                <w:b/>
                <w:sz w:val="20"/>
                <w:szCs w:val="20"/>
              </w:rPr>
              <w:t>Tema / Proyecto Prioritario de Quintana Roo</w:t>
            </w:r>
          </w:p>
        </w:tc>
        <w:tc>
          <w:tcPr>
            <w:tcW w:w="3437" w:type="pct"/>
            <w:gridSpan w:val="8"/>
          </w:tcPr>
          <w:p w14:paraId="394F0AAF" w14:textId="77777777" w:rsidR="0021177B" w:rsidRPr="00A80589" w:rsidRDefault="0021177B" w:rsidP="009E3B2F">
            <w:pPr>
              <w:contextualSpacing/>
              <w:rPr>
                <w:rFonts w:ascii="Futura Std Condensed Light" w:eastAsia="Calibri" w:hAnsi="Futura Std Condensed Light" w:cs="Calibri"/>
                <w:sz w:val="20"/>
                <w:szCs w:val="20"/>
              </w:rPr>
            </w:pPr>
            <w:r w:rsidRPr="00A80589">
              <w:rPr>
                <w:rFonts w:ascii="Futura Std Condensed Light" w:eastAsia="Calibri" w:hAnsi="Futura Std Condensed Light" w:cs="Calibri"/>
                <w:sz w:val="20"/>
                <w:szCs w:val="20"/>
              </w:rPr>
              <w:t>24.5 Abatir el rezago educativo</w:t>
            </w:r>
          </w:p>
        </w:tc>
      </w:tr>
      <w:tr w:rsidR="0021177B" w:rsidRPr="00A80589" w14:paraId="000D0400" w14:textId="77777777" w:rsidTr="00047166">
        <w:trPr>
          <w:trHeight w:val="484"/>
        </w:trPr>
        <w:tc>
          <w:tcPr>
            <w:tcW w:w="1563" w:type="pct"/>
            <w:gridSpan w:val="3"/>
          </w:tcPr>
          <w:p w14:paraId="12A5EB4C" w14:textId="77777777" w:rsidR="0021177B" w:rsidRPr="00A80589" w:rsidRDefault="0021177B" w:rsidP="009E3B2F">
            <w:pPr>
              <w:contextualSpacing/>
              <w:rPr>
                <w:rFonts w:ascii="Futura Std Condensed Light" w:eastAsia="Calibri" w:hAnsi="Futura Std Condensed Light" w:cs="Calibri"/>
                <w:b/>
                <w:sz w:val="20"/>
                <w:szCs w:val="20"/>
              </w:rPr>
            </w:pPr>
            <w:r w:rsidRPr="00A80589">
              <w:rPr>
                <w:rFonts w:ascii="Futura Std Condensed Light" w:eastAsia="Calibri" w:hAnsi="Futura Std Condensed Light" w:cs="Calibri"/>
                <w:b/>
                <w:sz w:val="20"/>
                <w:szCs w:val="20"/>
              </w:rPr>
              <w:t>Subtema Prioritario de Quintana Roo</w:t>
            </w:r>
          </w:p>
        </w:tc>
        <w:tc>
          <w:tcPr>
            <w:tcW w:w="3437" w:type="pct"/>
            <w:gridSpan w:val="8"/>
          </w:tcPr>
          <w:p w14:paraId="024083CD" w14:textId="77777777" w:rsidR="0021177B" w:rsidRPr="00A80589" w:rsidRDefault="0021177B" w:rsidP="009E3B2F">
            <w:pPr>
              <w:contextualSpacing/>
              <w:rPr>
                <w:rFonts w:ascii="Futura Std Condensed Light" w:eastAsia="Calibri" w:hAnsi="Futura Std Condensed Light" w:cs="Calibri"/>
                <w:sz w:val="20"/>
                <w:szCs w:val="20"/>
              </w:rPr>
            </w:pPr>
            <w:r w:rsidRPr="00A80589">
              <w:rPr>
                <w:rFonts w:ascii="Futura Std Condensed Light" w:eastAsia="Calibri" w:hAnsi="Futura Std Condensed Light" w:cs="Calibri"/>
                <w:sz w:val="20"/>
                <w:szCs w:val="20"/>
              </w:rPr>
              <w:t>N/A</w:t>
            </w:r>
          </w:p>
        </w:tc>
      </w:tr>
      <w:tr w:rsidR="0021177B" w:rsidRPr="00A80589" w14:paraId="75602621" w14:textId="77777777" w:rsidTr="009E3B2F">
        <w:trPr>
          <w:trHeight w:val="484"/>
        </w:trPr>
        <w:tc>
          <w:tcPr>
            <w:tcW w:w="5000" w:type="pct"/>
            <w:gridSpan w:val="11"/>
          </w:tcPr>
          <w:p w14:paraId="0E5F3425" w14:textId="77777777" w:rsidR="0021177B" w:rsidRPr="00A80589" w:rsidRDefault="0021177B" w:rsidP="009E3B2F">
            <w:pPr>
              <w:contextualSpacing/>
              <w:jc w:val="center"/>
              <w:rPr>
                <w:rFonts w:ascii="Futura Std Condensed Light" w:eastAsia="Calibri" w:hAnsi="Futura Std Condensed Light" w:cs="Calibri"/>
                <w:b/>
                <w:sz w:val="20"/>
                <w:szCs w:val="20"/>
              </w:rPr>
            </w:pPr>
            <w:r w:rsidRPr="00A80589">
              <w:rPr>
                <w:rFonts w:ascii="Futura Std Condensed Light" w:eastAsia="Calibri" w:hAnsi="Futura Std Condensed Light" w:cs="Calibri"/>
                <w:b/>
                <w:sz w:val="20"/>
                <w:szCs w:val="20"/>
              </w:rPr>
              <w:t>Meta Total:</w:t>
            </w:r>
          </w:p>
        </w:tc>
      </w:tr>
      <w:tr w:rsidR="0021177B" w:rsidRPr="00A80589" w14:paraId="2541F76F" w14:textId="77777777" w:rsidTr="009E3B2F">
        <w:trPr>
          <w:trHeight w:val="484"/>
        </w:trPr>
        <w:tc>
          <w:tcPr>
            <w:tcW w:w="781" w:type="pct"/>
          </w:tcPr>
          <w:p w14:paraId="04A3C627" w14:textId="77777777" w:rsidR="0021177B" w:rsidRPr="00A80589" w:rsidRDefault="0021177B" w:rsidP="009E3B2F">
            <w:pPr>
              <w:contextualSpacing/>
              <w:jc w:val="center"/>
              <w:rPr>
                <w:rFonts w:ascii="Futura Std Condensed Light" w:eastAsia="Calibri" w:hAnsi="Futura Std Condensed Light" w:cs="Calibri"/>
                <w:b/>
                <w:sz w:val="20"/>
                <w:szCs w:val="20"/>
              </w:rPr>
            </w:pPr>
            <w:r w:rsidRPr="00A80589">
              <w:rPr>
                <w:rFonts w:ascii="Futura Std Condensed Light" w:eastAsia="Calibri" w:hAnsi="Futura Std Condensed Light" w:cs="Calibri"/>
                <w:b/>
                <w:sz w:val="20"/>
                <w:szCs w:val="20"/>
              </w:rPr>
              <w:t>2017</w:t>
            </w:r>
          </w:p>
        </w:tc>
        <w:tc>
          <w:tcPr>
            <w:tcW w:w="783" w:type="pct"/>
            <w:gridSpan w:val="2"/>
          </w:tcPr>
          <w:p w14:paraId="19F56F4E" w14:textId="77777777" w:rsidR="0021177B" w:rsidRPr="00A80589" w:rsidRDefault="0021177B" w:rsidP="009E3B2F">
            <w:pPr>
              <w:contextualSpacing/>
              <w:jc w:val="center"/>
              <w:rPr>
                <w:rFonts w:ascii="Futura Std Condensed Light" w:eastAsia="Calibri" w:hAnsi="Futura Std Condensed Light" w:cs="Calibri"/>
                <w:b/>
                <w:sz w:val="20"/>
                <w:szCs w:val="20"/>
              </w:rPr>
            </w:pPr>
            <w:r w:rsidRPr="00A80589">
              <w:rPr>
                <w:rFonts w:ascii="Futura Std Condensed Light" w:eastAsia="Calibri" w:hAnsi="Futura Std Condensed Light" w:cs="Calibri"/>
                <w:b/>
                <w:sz w:val="20"/>
                <w:szCs w:val="20"/>
              </w:rPr>
              <w:t>2018</w:t>
            </w:r>
          </w:p>
        </w:tc>
        <w:tc>
          <w:tcPr>
            <w:tcW w:w="904" w:type="pct"/>
            <w:gridSpan w:val="2"/>
          </w:tcPr>
          <w:p w14:paraId="77BBD275" w14:textId="77777777" w:rsidR="0021177B" w:rsidRPr="00A80589" w:rsidRDefault="0021177B" w:rsidP="009E3B2F">
            <w:pPr>
              <w:contextualSpacing/>
              <w:jc w:val="center"/>
              <w:rPr>
                <w:rFonts w:ascii="Futura Std Condensed Light" w:eastAsia="Calibri" w:hAnsi="Futura Std Condensed Light" w:cs="Calibri"/>
                <w:b/>
                <w:sz w:val="20"/>
                <w:szCs w:val="20"/>
              </w:rPr>
            </w:pPr>
            <w:r w:rsidRPr="00A80589">
              <w:rPr>
                <w:rFonts w:ascii="Futura Std Condensed Light" w:eastAsia="Calibri" w:hAnsi="Futura Std Condensed Light" w:cs="Calibri"/>
                <w:b/>
                <w:sz w:val="20"/>
                <w:szCs w:val="20"/>
              </w:rPr>
              <w:t>2019</w:t>
            </w:r>
          </w:p>
        </w:tc>
        <w:tc>
          <w:tcPr>
            <w:tcW w:w="723" w:type="pct"/>
            <w:gridSpan w:val="2"/>
          </w:tcPr>
          <w:p w14:paraId="7B85CB83" w14:textId="77777777" w:rsidR="0021177B" w:rsidRPr="00A80589" w:rsidRDefault="0021177B" w:rsidP="009E3B2F">
            <w:pPr>
              <w:contextualSpacing/>
              <w:jc w:val="center"/>
              <w:rPr>
                <w:rFonts w:ascii="Futura Std Condensed Light" w:eastAsia="Calibri" w:hAnsi="Futura Std Condensed Light" w:cs="Calibri"/>
                <w:b/>
                <w:sz w:val="20"/>
                <w:szCs w:val="20"/>
              </w:rPr>
            </w:pPr>
            <w:r w:rsidRPr="00A80589">
              <w:rPr>
                <w:rFonts w:ascii="Futura Std Condensed Light" w:eastAsia="Calibri" w:hAnsi="Futura Std Condensed Light" w:cs="Calibri"/>
                <w:b/>
                <w:sz w:val="20"/>
                <w:szCs w:val="20"/>
              </w:rPr>
              <w:t>2020</w:t>
            </w:r>
          </w:p>
        </w:tc>
        <w:tc>
          <w:tcPr>
            <w:tcW w:w="963" w:type="pct"/>
            <w:gridSpan w:val="3"/>
          </w:tcPr>
          <w:p w14:paraId="56DD47EA" w14:textId="77777777" w:rsidR="0021177B" w:rsidRPr="00A80589" w:rsidRDefault="0021177B" w:rsidP="009E3B2F">
            <w:pPr>
              <w:contextualSpacing/>
              <w:jc w:val="center"/>
              <w:rPr>
                <w:rFonts w:ascii="Futura Std Condensed Light" w:eastAsia="Calibri" w:hAnsi="Futura Std Condensed Light" w:cs="Calibri"/>
                <w:b/>
                <w:sz w:val="20"/>
                <w:szCs w:val="20"/>
              </w:rPr>
            </w:pPr>
            <w:r w:rsidRPr="00A80589">
              <w:rPr>
                <w:rFonts w:ascii="Futura Std Condensed Light" w:eastAsia="Calibri" w:hAnsi="Futura Std Condensed Light" w:cs="Calibri"/>
                <w:b/>
                <w:sz w:val="20"/>
                <w:szCs w:val="20"/>
              </w:rPr>
              <w:t>2021</w:t>
            </w:r>
          </w:p>
        </w:tc>
        <w:tc>
          <w:tcPr>
            <w:tcW w:w="846" w:type="pct"/>
          </w:tcPr>
          <w:p w14:paraId="021CC86F" w14:textId="77777777" w:rsidR="0021177B" w:rsidRPr="00A80589" w:rsidRDefault="0021177B" w:rsidP="009E3B2F">
            <w:pPr>
              <w:contextualSpacing/>
              <w:jc w:val="center"/>
              <w:rPr>
                <w:rFonts w:ascii="Futura Std Condensed Light" w:eastAsia="Calibri" w:hAnsi="Futura Std Condensed Light" w:cs="Calibri"/>
                <w:b/>
                <w:sz w:val="20"/>
                <w:szCs w:val="20"/>
              </w:rPr>
            </w:pPr>
            <w:r w:rsidRPr="00A80589">
              <w:rPr>
                <w:rFonts w:ascii="Futura Std Condensed Light" w:eastAsia="Calibri" w:hAnsi="Futura Std Condensed Light" w:cs="Calibri"/>
                <w:b/>
                <w:sz w:val="20"/>
                <w:szCs w:val="20"/>
              </w:rPr>
              <w:t>2022</w:t>
            </w:r>
          </w:p>
        </w:tc>
      </w:tr>
      <w:tr w:rsidR="0021177B" w:rsidRPr="00A80589" w14:paraId="6E3DCB46" w14:textId="77777777" w:rsidTr="009E3B2F">
        <w:trPr>
          <w:trHeight w:val="484"/>
        </w:trPr>
        <w:tc>
          <w:tcPr>
            <w:tcW w:w="781" w:type="pct"/>
          </w:tcPr>
          <w:p w14:paraId="6EBE1E23" w14:textId="77777777" w:rsidR="0021177B" w:rsidRPr="00A80589" w:rsidRDefault="0021177B" w:rsidP="009E3B2F">
            <w:pPr>
              <w:contextualSpacing/>
              <w:jc w:val="center"/>
              <w:rPr>
                <w:rFonts w:ascii="Futura Std Condensed Light" w:eastAsia="Calibri" w:hAnsi="Futura Std Condensed Light" w:cs="Calibri"/>
                <w:sz w:val="20"/>
                <w:szCs w:val="20"/>
              </w:rPr>
            </w:pPr>
            <w:r w:rsidRPr="00A80589">
              <w:rPr>
                <w:rFonts w:ascii="Futura Std Condensed Light" w:eastAsia="Calibri" w:hAnsi="Futura Std Condensed Light" w:cs="Calibri"/>
                <w:sz w:val="20"/>
                <w:szCs w:val="20"/>
              </w:rPr>
              <w:t>5,383</w:t>
            </w:r>
          </w:p>
        </w:tc>
        <w:tc>
          <w:tcPr>
            <w:tcW w:w="783" w:type="pct"/>
            <w:gridSpan w:val="2"/>
          </w:tcPr>
          <w:p w14:paraId="0E971A21" w14:textId="77777777" w:rsidR="0021177B" w:rsidRPr="00A80589" w:rsidRDefault="0021177B" w:rsidP="009E3B2F">
            <w:pPr>
              <w:contextualSpacing/>
              <w:jc w:val="center"/>
              <w:rPr>
                <w:rFonts w:ascii="Futura Std Condensed Light" w:eastAsia="Calibri" w:hAnsi="Futura Std Condensed Light" w:cs="Calibri"/>
                <w:sz w:val="20"/>
                <w:szCs w:val="20"/>
              </w:rPr>
            </w:pPr>
            <w:r w:rsidRPr="00A80589">
              <w:rPr>
                <w:rFonts w:ascii="Futura Std Condensed Light" w:eastAsia="Calibri" w:hAnsi="Futura Std Condensed Light" w:cs="Calibri"/>
                <w:sz w:val="20"/>
                <w:szCs w:val="20"/>
              </w:rPr>
              <w:t>7,336</w:t>
            </w:r>
          </w:p>
        </w:tc>
        <w:tc>
          <w:tcPr>
            <w:tcW w:w="904" w:type="pct"/>
            <w:gridSpan w:val="2"/>
          </w:tcPr>
          <w:p w14:paraId="55D22FBD" w14:textId="77777777" w:rsidR="0021177B" w:rsidRPr="00A80589" w:rsidRDefault="0021177B" w:rsidP="009E3B2F">
            <w:pPr>
              <w:contextualSpacing/>
              <w:jc w:val="center"/>
              <w:rPr>
                <w:rFonts w:ascii="Futura Std Condensed Light" w:eastAsia="Calibri" w:hAnsi="Futura Std Condensed Light" w:cs="Calibri"/>
                <w:sz w:val="20"/>
                <w:szCs w:val="20"/>
              </w:rPr>
            </w:pPr>
            <w:r w:rsidRPr="00A80589">
              <w:rPr>
                <w:rFonts w:ascii="Futura Std Condensed Light" w:eastAsia="Calibri" w:hAnsi="Futura Std Condensed Light" w:cs="Calibri"/>
                <w:sz w:val="20"/>
                <w:szCs w:val="20"/>
              </w:rPr>
              <w:t>2,335</w:t>
            </w:r>
          </w:p>
        </w:tc>
        <w:tc>
          <w:tcPr>
            <w:tcW w:w="723" w:type="pct"/>
            <w:gridSpan w:val="2"/>
          </w:tcPr>
          <w:p w14:paraId="7B7E57FF" w14:textId="77777777" w:rsidR="0021177B" w:rsidRPr="00A80589" w:rsidRDefault="0021177B" w:rsidP="009E3B2F">
            <w:pPr>
              <w:contextualSpacing/>
              <w:jc w:val="center"/>
              <w:rPr>
                <w:rFonts w:ascii="Futura Std Condensed Light" w:eastAsia="Calibri" w:hAnsi="Futura Std Condensed Light" w:cs="Calibri"/>
                <w:sz w:val="20"/>
                <w:szCs w:val="20"/>
              </w:rPr>
            </w:pPr>
            <w:r w:rsidRPr="00A80589">
              <w:rPr>
                <w:rFonts w:ascii="Futura Std Condensed Light" w:eastAsia="Calibri" w:hAnsi="Futura Std Condensed Light" w:cs="Calibri"/>
                <w:sz w:val="20"/>
                <w:szCs w:val="20"/>
              </w:rPr>
              <w:t>2,300</w:t>
            </w:r>
          </w:p>
        </w:tc>
        <w:tc>
          <w:tcPr>
            <w:tcW w:w="963" w:type="pct"/>
            <w:gridSpan w:val="3"/>
          </w:tcPr>
          <w:p w14:paraId="3902D8E2" w14:textId="77777777" w:rsidR="0021177B" w:rsidRPr="00A80589" w:rsidRDefault="0021177B" w:rsidP="009E3B2F">
            <w:pPr>
              <w:contextualSpacing/>
              <w:jc w:val="center"/>
              <w:rPr>
                <w:rFonts w:ascii="Futura Std Condensed Light" w:eastAsia="Calibri" w:hAnsi="Futura Std Condensed Light" w:cs="Calibri"/>
                <w:sz w:val="20"/>
                <w:szCs w:val="20"/>
              </w:rPr>
            </w:pPr>
            <w:r w:rsidRPr="00A80589">
              <w:rPr>
                <w:rFonts w:ascii="Futura Std Condensed Light" w:eastAsia="Calibri" w:hAnsi="Futura Std Condensed Light" w:cs="Calibri"/>
                <w:sz w:val="20"/>
                <w:szCs w:val="20"/>
              </w:rPr>
              <w:t>2,300</w:t>
            </w:r>
          </w:p>
        </w:tc>
        <w:tc>
          <w:tcPr>
            <w:tcW w:w="846" w:type="pct"/>
          </w:tcPr>
          <w:p w14:paraId="3D472AB2" w14:textId="77777777" w:rsidR="0021177B" w:rsidRPr="00A80589" w:rsidRDefault="0021177B" w:rsidP="009E3B2F">
            <w:pPr>
              <w:contextualSpacing/>
              <w:jc w:val="center"/>
              <w:rPr>
                <w:rFonts w:ascii="Futura Std Condensed Light" w:eastAsia="Calibri" w:hAnsi="Futura Std Condensed Light" w:cs="Calibri"/>
                <w:sz w:val="20"/>
                <w:szCs w:val="20"/>
              </w:rPr>
            </w:pPr>
            <w:r w:rsidRPr="00A80589">
              <w:rPr>
                <w:rFonts w:ascii="Futura Std Condensed Light" w:eastAsia="Calibri" w:hAnsi="Futura Std Condensed Light" w:cs="Calibri"/>
                <w:sz w:val="20"/>
                <w:szCs w:val="20"/>
              </w:rPr>
              <w:t>2,300</w:t>
            </w:r>
          </w:p>
        </w:tc>
      </w:tr>
    </w:tbl>
    <w:p w14:paraId="0ECA8531" w14:textId="750AD7ED" w:rsidR="0021177B" w:rsidRDefault="00980EAE" w:rsidP="0021177B">
      <w:pPr>
        <w:jc w:val="center"/>
      </w:pPr>
      <w:r>
        <w:rPr>
          <w:rFonts w:eastAsia="Arial" w:cs="Times New Roman"/>
          <w:b/>
          <w:color w:val="4BACC6" w:themeColor="accent5"/>
        </w:rPr>
        <w:lastRenderedPageBreak/>
        <w:t>Cuadro 51</w:t>
      </w:r>
      <w:r w:rsidR="0021177B">
        <w:rPr>
          <w:rFonts w:eastAsia="Arial" w:cs="Times New Roman"/>
          <w:b/>
          <w:color w:val="4BACC6" w:themeColor="accent5"/>
        </w:rPr>
        <w:t>. Entregable y meta de la línea de acción 24 del PED</w:t>
      </w:r>
    </w:p>
    <w:tbl>
      <w:tblPr>
        <w:tblStyle w:val="Tablaconcuadrcula"/>
        <w:tblW w:w="5000" w:type="pct"/>
        <w:tblLook w:val="04A0" w:firstRow="1" w:lastRow="0" w:firstColumn="1" w:lastColumn="0" w:noHBand="0" w:noVBand="1"/>
      </w:tblPr>
      <w:tblGrid>
        <w:gridCol w:w="1489"/>
        <w:gridCol w:w="813"/>
        <w:gridCol w:w="681"/>
        <w:gridCol w:w="1146"/>
        <w:gridCol w:w="578"/>
        <w:gridCol w:w="463"/>
        <w:gridCol w:w="916"/>
        <w:gridCol w:w="578"/>
        <w:gridCol w:w="1259"/>
        <w:gridCol w:w="1614"/>
      </w:tblGrid>
      <w:tr w:rsidR="0021177B" w:rsidRPr="003B479E" w14:paraId="4E8F4C2C" w14:textId="77777777" w:rsidTr="00047166">
        <w:trPr>
          <w:trHeight w:val="182"/>
        </w:trPr>
        <w:tc>
          <w:tcPr>
            <w:tcW w:w="1563" w:type="pct"/>
            <w:gridSpan w:val="3"/>
            <w:shd w:val="clear" w:color="auto" w:fill="A6A6A6" w:themeFill="background1" w:themeFillShade="A6"/>
          </w:tcPr>
          <w:p w14:paraId="0A64657F" w14:textId="77777777" w:rsidR="0021177B" w:rsidRPr="003B479E" w:rsidRDefault="0021177B" w:rsidP="009E3B2F">
            <w:pPr>
              <w:contextualSpacing/>
              <w:jc w:val="center"/>
              <w:rPr>
                <w:rFonts w:ascii="Futura Std Condensed Light" w:eastAsia="Calibri" w:hAnsi="Futura Std Condensed Light" w:cs="Calibri"/>
                <w:color w:val="auto"/>
                <w:sz w:val="20"/>
                <w:szCs w:val="20"/>
              </w:rPr>
            </w:pPr>
            <w:r w:rsidRPr="003B479E">
              <w:rPr>
                <w:rFonts w:ascii="Futura Std Condensed Light" w:eastAsia="Calibri" w:hAnsi="Futura Std Condensed Light" w:cs="Calibri"/>
                <w:color w:val="auto"/>
                <w:sz w:val="20"/>
                <w:szCs w:val="20"/>
              </w:rPr>
              <w:t>Programa PED</w:t>
            </w:r>
          </w:p>
        </w:tc>
        <w:tc>
          <w:tcPr>
            <w:tcW w:w="3437" w:type="pct"/>
            <w:gridSpan w:val="7"/>
            <w:shd w:val="clear" w:color="auto" w:fill="A6A6A6" w:themeFill="background1" w:themeFillShade="A6"/>
          </w:tcPr>
          <w:p w14:paraId="4896718F" w14:textId="77777777" w:rsidR="0021177B" w:rsidRPr="003B479E" w:rsidRDefault="0021177B" w:rsidP="009E3B2F">
            <w:pPr>
              <w:contextualSpacing/>
              <w:jc w:val="center"/>
              <w:rPr>
                <w:rFonts w:ascii="Futura Std Condensed Light" w:eastAsia="Calibri" w:hAnsi="Futura Std Condensed Light" w:cs="Calibri"/>
                <w:color w:val="auto"/>
                <w:sz w:val="20"/>
                <w:szCs w:val="20"/>
              </w:rPr>
            </w:pPr>
            <w:r w:rsidRPr="003B479E">
              <w:rPr>
                <w:rFonts w:ascii="Futura Std Condensed Light" w:eastAsia="Calibri" w:hAnsi="Futura Std Condensed Light" w:cs="Calibri"/>
                <w:color w:val="auto"/>
                <w:sz w:val="20"/>
                <w:szCs w:val="20"/>
              </w:rPr>
              <w:t>Programa Sectorial Educación Pública de Calidad</w:t>
            </w:r>
          </w:p>
        </w:tc>
      </w:tr>
      <w:tr w:rsidR="0021177B" w:rsidRPr="00D12127" w14:paraId="386DAC3A" w14:textId="77777777" w:rsidTr="00047166">
        <w:trPr>
          <w:trHeight w:val="469"/>
        </w:trPr>
        <w:tc>
          <w:tcPr>
            <w:tcW w:w="1563" w:type="pct"/>
            <w:gridSpan w:val="3"/>
          </w:tcPr>
          <w:p w14:paraId="6A6A09ED" w14:textId="77777777" w:rsidR="0021177B" w:rsidRPr="00F07C1F" w:rsidRDefault="0021177B" w:rsidP="009E3B2F">
            <w:pPr>
              <w:contextualSpacing/>
              <w:rPr>
                <w:rFonts w:ascii="Futura Std Condensed Light" w:eastAsia="Calibri" w:hAnsi="Futura Std Condensed Light" w:cs="Calibri"/>
                <w:b/>
                <w:sz w:val="20"/>
                <w:szCs w:val="20"/>
              </w:rPr>
            </w:pPr>
            <w:r w:rsidRPr="00F07C1F">
              <w:rPr>
                <w:rFonts w:ascii="Futura Std Condensed Light" w:eastAsia="Calibri" w:hAnsi="Futura Std Condensed Light" w:cs="Calibri"/>
                <w:b/>
                <w:sz w:val="20"/>
                <w:szCs w:val="20"/>
              </w:rPr>
              <w:t>Línea de acción:</w:t>
            </w:r>
          </w:p>
        </w:tc>
        <w:tc>
          <w:tcPr>
            <w:tcW w:w="3437" w:type="pct"/>
            <w:gridSpan w:val="7"/>
          </w:tcPr>
          <w:p w14:paraId="010BB00E" w14:textId="77777777" w:rsidR="0021177B" w:rsidRPr="00F07C1F" w:rsidRDefault="0021177B" w:rsidP="009E3B2F">
            <w:pPr>
              <w:spacing w:after="160" w:line="259" w:lineRule="auto"/>
              <w:contextualSpacing/>
              <w:rPr>
                <w:rFonts w:ascii="Futura Std Condensed Light" w:eastAsia="Calibri" w:hAnsi="Futura Std Condensed Light" w:cs="Calibri"/>
                <w:sz w:val="20"/>
                <w:szCs w:val="20"/>
              </w:rPr>
            </w:pPr>
            <w:r w:rsidRPr="00F07C1F">
              <w:rPr>
                <w:rFonts w:ascii="Futura Std Condensed Light" w:eastAsia="Calibri" w:hAnsi="Futura Std Condensed Light" w:cs="Calibri"/>
                <w:sz w:val="20"/>
                <w:szCs w:val="20"/>
              </w:rPr>
              <w:t>24.  Impulsar la formación integral de los estudiantes en todos los niveles educativos.</w:t>
            </w:r>
          </w:p>
        </w:tc>
      </w:tr>
      <w:tr w:rsidR="0021177B" w:rsidRPr="00D12127" w14:paraId="090DEA6D" w14:textId="77777777" w:rsidTr="00047166">
        <w:trPr>
          <w:trHeight w:val="484"/>
        </w:trPr>
        <w:tc>
          <w:tcPr>
            <w:tcW w:w="1563" w:type="pct"/>
            <w:gridSpan w:val="3"/>
          </w:tcPr>
          <w:p w14:paraId="62750E2D" w14:textId="77777777" w:rsidR="0021177B" w:rsidRPr="00F07C1F" w:rsidRDefault="0021177B" w:rsidP="009E3B2F">
            <w:pPr>
              <w:contextualSpacing/>
              <w:rPr>
                <w:rFonts w:ascii="Futura Std Condensed Light" w:eastAsia="Calibri" w:hAnsi="Futura Std Condensed Light" w:cs="Calibri"/>
                <w:b/>
                <w:sz w:val="20"/>
                <w:szCs w:val="20"/>
              </w:rPr>
            </w:pPr>
            <w:r w:rsidRPr="00F07C1F">
              <w:rPr>
                <w:rFonts w:ascii="Futura Std Condensed Light" w:eastAsia="Calibri" w:hAnsi="Futura Std Condensed Light" w:cs="Calibri"/>
                <w:b/>
                <w:sz w:val="20"/>
                <w:szCs w:val="20"/>
              </w:rPr>
              <w:t>Plan Estratégico Objetivo Especifico</w:t>
            </w:r>
          </w:p>
        </w:tc>
        <w:tc>
          <w:tcPr>
            <w:tcW w:w="3437" w:type="pct"/>
            <w:gridSpan w:val="7"/>
          </w:tcPr>
          <w:p w14:paraId="3FADC93C" w14:textId="77777777" w:rsidR="0021177B" w:rsidRPr="00F07C1F" w:rsidRDefault="0021177B" w:rsidP="009E3B2F">
            <w:pPr>
              <w:contextualSpacing/>
              <w:rPr>
                <w:rFonts w:ascii="Futura Std Condensed Light" w:eastAsia="Calibri" w:hAnsi="Futura Std Condensed Light" w:cs="Calibri"/>
                <w:sz w:val="20"/>
                <w:szCs w:val="20"/>
              </w:rPr>
            </w:pPr>
            <w:r w:rsidRPr="00F07C1F">
              <w:rPr>
                <w:rFonts w:ascii="Futura Std Condensed Light" w:eastAsia="Calibri" w:hAnsi="Futura Std Condensed Light" w:cs="Calibri"/>
                <w:sz w:val="20"/>
                <w:szCs w:val="20"/>
              </w:rPr>
              <w:t>Disminuir la desigualdad en sus diversas formas </w:t>
            </w:r>
          </w:p>
        </w:tc>
      </w:tr>
      <w:tr w:rsidR="0021177B" w:rsidRPr="00D12127" w14:paraId="3EC96C95" w14:textId="77777777" w:rsidTr="00047166">
        <w:trPr>
          <w:trHeight w:val="484"/>
        </w:trPr>
        <w:tc>
          <w:tcPr>
            <w:tcW w:w="1207" w:type="pct"/>
            <w:gridSpan w:val="2"/>
          </w:tcPr>
          <w:p w14:paraId="75E71316" w14:textId="77777777" w:rsidR="0021177B" w:rsidRPr="00F07C1F" w:rsidRDefault="0021177B" w:rsidP="009E3B2F">
            <w:pPr>
              <w:contextualSpacing/>
              <w:rPr>
                <w:rFonts w:ascii="Futura Std Condensed Light" w:eastAsia="Calibri" w:hAnsi="Futura Std Condensed Light" w:cs="Calibri"/>
                <w:b/>
                <w:sz w:val="20"/>
                <w:szCs w:val="20"/>
              </w:rPr>
            </w:pPr>
            <w:r w:rsidRPr="00F07C1F">
              <w:rPr>
                <w:rFonts w:ascii="Futura Std Condensed Light" w:eastAsia="Calibri" w:hAnsi="Futura Std Condensed Light" w:cs="Calibri"/>
                <w:b/>
                <w:sz w:val="20"/>
                <w:szCs w:val="20"/>
              </w:rPr>
              <w:t>Entregable:</w:t>
            </w:r>
          </w:p>
        </w:tc>
        <w:tc>
          <w:tcPr>
            <w:tcW w:w="958" w:type="pct"/>
            <w:gridSpan w:val="2"/>
          </w:tcPr>
          <w:p w14:paraId="3CD43BBD" w14:textId="77777777" w:rsidR="0021177B" w:rsidRPr="00F07C1F" w:rsidRDefault="0021177B" w:rsidP="009E3B2F">
            <w:pPr>
              <w:rPr>
                <w:rFonts w:ascii="Futura Std Condensed Light" w:eastAsia="Calibri" w:hAnsi="Futura Std Condensed Light" w:cs="Calibri"/>
                <w:sz w:val="20"/>
                <w:szCs w:val="20"/>
              </w:rPr>
            </w:pPr>
            <w:r w:rsidRPr="00F07C1F">
              <w:rPr>
                <w:rFonts w:ascii="Futura Std Condensed Light" w:eastAsia="Calibri" w:hAnsi="Futura Std Condensed Light" w:cs="Calibri"/>
                <w:sz w:val="20"/>
                <w:szCs w:val="20"/>
              </w:rPr>
              <w:t>Actividades para la formación integral de los alumnos</w:t>
            </w:r>
          </w:p>
        </w:tc>
        <w:tc>
          <w:tcPr>
            <w:tcW w:w="1327" w:type="pct"/>
            <w:gridSpan w:val="4"/>
          </w:tcPr>
          <w:p w14:paraId="3504882B" w14:textId="77777777" w:rsidR="0021177B" w:rsidRPr="00F07C1F" w:rsidRDefault="0021177B" w:rsidP="009E3B2F">
            <w:pPr>
              <w:contextualSpacing/>
              <w:jc w:val="center"/>
              <w:rPr>
                <w:rFonts w:ascii="Futura Std Condensed Light" w:eastAsia="Calibri" w:hAnsi="Futura Std Condensed Light" w:cs="Calibri"/>
                <w:b/>
                <w:sz w:val="20"/>
                <w:szCs w:val="20"/>
              </w:rPr>
            </w:pPr>
            <w:r w:rsidRPr="00F07C1F">
              <w:rPr>
                <w:rFonts w:ascii="Futura Std Condensed Light" w:eastAsia="Calibri" w:hAnsi="Futura Std Condensed Light" w:cs="Calibri"/>
                <w:b/>
                <w:sz w:val="20"/>
                <w:szCs w:val="20"/>
              </w:rPr>
              <w:t>Unidad de Medida:</w:t>
            </w:r>
          </w:p>
        </w:tc>
        <w:tc>
          <w:tcPr>
            <w:tcW w:w="1507" w:type="pct"/>
            <w:gridSpan w:val="2"/>
          </w:tcPr>
          <w:p w14:paraId="09E8B08B" w14:textId="77777777" w:rsidR="0021177B" w:rsidRPr="00F07C1F" w:rsidRDefault="0021177B" w:rsidP="009E3B2F">
            <w:pPr>
              <w:rPr>
                <w:rFonts w:ascii="Futura Std Condensed Light" w:eastAsia="Calibri" w:hAnsi="Futura Std Condensed Light" w:cs="Calibri"/>
                <w:sz w:val="20"/>
                <w:szCs w:val="20"/>
              </w:rPr>
            </w:pPr>
            <w:r w:rsidRPr="00F07C1F">
              <w:rPr>
                <w:rFonts w:ascii="Futura Std Condensed Light" w:eastAsia="Calibri" w:hAnsi="Futura Std Condensed Light" w:cs="Calibri"/>
                <w:sz w:val="20"/>
                <w:szCs w:val="20"/>
              </w:rPr>
              <w:t>Alumnos</w:t>
            </w:r>
          </w:p>
        </w:tc>
      </w:tr>
      <w:tr w:rsidR="0021177B" w:rsidRPr="00D12127" w14:paraId="0EC27CA5" w14:textId="77777777" w:rsidTr="00047166">
        <w:trPr>
          <w:trHeight w:val="449"/>
        </w:trPr>
        <w:tc>
          <w:tcPr>
            <w:tcW w:w="1207" w:type="pct"/>
            <w:gridSpan w:val="2"/>
          </w:tcPr>
          <w:p w14:paraId="505770C9" w14:textId="77777777" w:rsidR="0021177B" w:rsidRPr="00F07C1F" w:rsidRDefault="0021177B" w:rsidP="009E3B2F">
            <w:pPr>
              <w:contextualSpacing/>
              <w:rPr>
                <w:rFonts w:ascii="Futura Std Condensed Light" w:eastAsia="Calibri" w:hAnsi="Futura Std Condensed Light" w:cs="Calibri"/>
                <w:b/>
                <w:sz w:val="20"/>
                <w:szCs w:val="20"/>
              </w:rPr>
            </w:pPr>
            <w:r w:rsidRPr="00F07C1F">
              <w:rPr>
                <w:rFonts w:ascii="Futura Std Condensed Light" w:eastAsia="Calibri" w:hAnsi="Futura Std Condensed Light" w:cs="Calibri"/>
                <w:b/>
                <w:sz w:val="20"/>
                <w:szCs w:val="20"/>
              </w:rPr>
              <w:t>Descripción:</w:t>
            </w:r>
          </w:p>
        </w:tc>
        <w:tc>
          <w:tcPr>
            <w:tcW w:w="3793" w:type="pct"/>
            <w:gridSpan w:val="8"/>
          </w:tcPr>
          <w:p w14:paraId="458EB4FF" w14:textId="77777777" w:rsidR="0021177B" w:rsidRPr="00F07C1F" w:rsidRDefault="0021177B" w:rsidP="009E3B2F">
            <w:pPr>
              <w:contextualSpacing/>
              <w:rPr>
                <w:rFonts w:ascii="Futura Std Condensed Light" w:eastAsia="Calibri" w:hAnsi="Futura Std Condensed Light" w:cs="Calibri"/>
                <w:sz w:val="20"/>
                <w:szCs w:val="20"/>
              </w:rPr>
            </w:pPr>
            <w:r w:rsidRPr="00F07C1F">
              <w:rPr>
                <w:rFonts w:ascii="Futura Std Condensed Light" w:eastAsia="Calibri" w:hAnsi="Futura Std Condensed Light" w:cs="Calibri"/>
                <w:sz w:val="20"/>
                <w:szCs w:val="20"/>
              </w:rPr>
              <w:t>Se refiere a las actividades académicas, deportivas, artísticas y culturales,  en las que participan los alumnos para contribuir a su formación integral.</w:t>
            </w:r>
          </w:p>
        </w:tc>
      </w:tr>
      <w:tr w:rsidR="0021177B" w:rsidRPr="00D12127" w14:paraId="2B04F816" w14:textId="77777777" w:rsidTr="00047166">
        <w:trPr>
          <w:trHeight w:val="484"/>
        </w:trPr>
        <w:tc>
          <w:tcPr>
            <w:tcW w:w="1563" w:type="pct"/>
            <w:gridSpan w:val="3"/>
          </w:tcPr>
          <w:p w14:paraId="56348FE5" w14:textId="77777777" w:rsidR="0021177B" w:rsidRPr="00F07C1F" w:rsidRDefault="0021177B" w:rsidP="009E3B2F">
            <w:pPr>
              <w:contextualSpacing/>
              <w:rPr>
                <w:rFonts w:ascii="Futura Std Condensed Light" w:eastAsia="Calibri" w:hAnsi="Futura Std Condensed Light" w:cs="Calibri"/>
                <w:b/>
                <w:sz w:val="20"/>
                <w:szCs w:val="20"/>
              </w:rPr>
            </w:pPr>
            <w:r w:rsidRPr="00F07C1F">
              <w:rPr>
                <w:rFonts w:ascii="Futura Std Condensed Light" w:eastAsia="Calibri" w:hAnsi="Futura Std Condensed Light" w:cs="Calibri"/>
                <w:b/>
                <w:sz w:val="20"/>
                <w:szCs w:val="20"/>
              </w:rPr>
              <w:t>Medio de verificación:</w:t>
            </w:r>
          </w:p>
        </w:tc>
        <w:tc>
          <w:tcPr>
            <w:tcW w:w="3437" w:type="pct"/>
            <w:gridSpan w:val="7"/>
          </w:tcPr>
          <w:p w14:paraId="398128BF" w14:textId="77777777" w:rsidR="0021177B" w:rsidRPr="00F07C1F" w:rsidRDefault="0021177B" w:rsidP="009E3B2F">
            <w:pPr>
              <w:contextualSpacing/>
              <w:rPr>
                <w:rFonts w:ascii="Futura Std Condensed Light" w:eastAsia="Calibri" w:hAnsi="Futura Std Condensed Light" w:cs="Calibri"/>
                <w:sz w:val="20"/>
                <w:szCs w:val="20"/>
              </w:rPr>
            </w:pPr>
            <w:r w:rsidRPr="00F07C1F">
              <w:rPr>
                <w:rFonts w:ascii="Futura Std Condensed Light" w:eastAsia="Calibri" w:hAnsi="Futura Std Condensed Light" w:cs="Calibri"/>
                <w:sz w:val="20"/>
                <w:szCs w:val="20"/>
              </w:rPr>
              <w:t>Concentrado de participantes por actividad</w:t>
            </w:r>
          </w:p>
        </w:tc>
      </w:tr>
      <w:tr w:rsidR="0021177B" w:rsidRPr="00D12127" w14:paraId="5ADB3701" w14:textId="77777777" w:rsidTr="00047166">
        <w:trPr>
          <w:trHeight w:val="484"/>
        </w:trPr>
        <w:tc>
          <w:tcPr>
            <w:tcW w:w="1563" w:type="pct"/>
            <w:gridSpan w:val="3"/>
          </w:tcPr>
          <w:p w14:paraId="78AE2F84" w14:textId="77777777" w:rsidR="0021177B" w:rsidRPr="00F07C1F" w:rsidRDefault="0021177B" w:rsidP="009E3B2F">
            <w:pPr>
              <w:contextualSpacing/>
              <w:rPr>
                <w:rFonts w:ascii="Futura Std Condensed Light" w:eastAsia="Calibri" w:hAnsi="Futura Std Condensed Light" w:cs="Calibri"/>
                <w:b/>
                <w:sz w:val="20"/>
                <w:szCs w:val="20"/>
              </w:rPr>
            </w:pPr>
            <w:r w:rsidRPr="00F07C1F">
              <w:rPr>
                <w:rFonts w:ascii="Futura Std Condensed Light" w:eastAsia="Calibri" w:hAnsi="Futura Std Condensed Light" w:cs="Calibri"/>
                <w:b/>
                <w:sz w:val="20"/>
                <w:szCs w:val="20"/>
              </w:rPr>
              <w:t>Línea base:</w:t>
            </w:r>
          </w:p>
        </w:tc>
        <w:tc>
          <w:tcPr>
            <w:tcW w:w="1147" w:type="pct"/>
            <w:gridSpan w:val="3"/>
          </w:tcPr>
          <w:p w14:paraId="4D61DEC0" w14:textId="77777777" w:rsidR="0021177B" w:rsidRPr="00F07C1F" w:rsidRDefault="0021177B" w:rsidP="009E3B2F">
            <w:pPr>
              <w:contextualSpacing/>
              <w:rPr>
                <w:rFonts w:ascii="Futura Std Condensed Light" w:eastAsia="Calibri" w:hAnsi="Futura Std Condensed Light" w:cs="Calibri"/>
                <w:sz w:val="20"/>
                <w:szCs w:val="20"/>
              </w:rPr>
            </w:pPr>
            <w:r w:rsidRPr="00F07C1F">
              <w:rPr>
                <w:rFonts w:ascii="Futura Std Condensed Light" w:eastAsia="Calibri" w:hAnsi="Futura Std Condensed Light" w:cs="Calibri"/>
                <w:sz w:val="20"/>
                <w:szCs w:val="20"/>
              </w:rPr>
              <w:t>2,159</w:t>
            </w:r>
          </w:p>
        </w:tc>
        <w:tc>
          <w:tcPr>
            <w:tcW w:w="783" w:type="pct"/>
            <w:gridSpan w:val="2"/>
          </w:tcPr>
          <w:p w14:paraId="3EAB5912" w14:textId="77777777" w:rsidR="0021177B" w:rsidRPr="00F07C1F" w:rsidRDefault="0021177B" w:rsidP="009E3B2F">
            <w:pPr>
              <w:contextualSpacing/>
              <w:rPr>
                <w:rFonts w:ascii="Futura Std Condensed Light" w:eastAsia="Calibri" w:hAnsi="Futura Std Condensed Light" w:cs="Calibri"/>
                <w:sz w:val="20"/>
                <w:szCs w:val="20"/>
              </w:rPr>
            </w:pPr>
            <w:r w:rsidRPr="00F07C1F">
              <w:rPr>
                <w:rFonts w:ascii="Futura Std Condensed Light" w:eastAsia="Calibri" w:hAnsi="Futura Std Condensed Light" w:cs="Calibri"/>
                <w:b/>
                <w:sz w:val="20"/>
                <w:szCs w:val="20"/>
              </w:rPr>
              <w:t>Año de línea base</w:t>
            </w:r>
            <w:r w:rsidRPr="00F07C1F">
              <w:rPr>
                <w:rFonts w:ascii="Futura Std Condensed Light" w:eastAsia="Calibri" w:hAnsi="Futura Std Condensed Light" w:cs="Calibri"/>
                <w:sz w:val="20"/>
                <w:szCs w:val="20"/>
              </w:rPr>
              <w:t>:</w:t>
            </w:r>
          </w:p>
        </w:tc>
        <w:tc>
          <w:tcPr>
            <w:tcW w:w="1507" w:type="pct"/>
            <w:gridSpan w:val="2"/>
          </w:tcPr>
          <w:p w14:paraId="4E84E1E7" w14:textId="77777777" w:rsidR="0021177B" w:rsidRPr="00F07C1F" w:rsidRDefault="0021177B" w:rsidP="009E3B2F">
            <w:pPr>
              <w:contextualSpacing/>
              <w:rPr>
                <w:rFonts w:ascii="Futura Std Condensed Light" w:eastAsia="Calibri" w:hAnsi="Futura Std Condensed Light" w:cs="Calibri"/>
                <w:sz w:val="20"/>
                <w:szCs w:val="20"/>
              </w:rPr>
            </w:pPr>
            <w:r w:rsidRPr="00F07C1F">
              <w:rPr>
                <w:rFonts w:ascii="Futura Std Condensed Light" w:eastAsia="Calibri" w:hAnsi="Futura Std Condensed Light" w:cs="Calibri"/>
                <w:sz w:val="20"/>
                <w:szCs w:val="20"/>
              </w:rPr>
              <w:t>2016</w:t>
            </w:r>
          </w:p>
        </w:tc>
      </w:tr>
      <w:tr w:rsidR="0021177B" w:rsidRPr="00D12127" w14:paraId="54843979" w14:textId="77777777" w:rsidTr="00047166">
        <w:trPr>
          <w:trHeight w:val="484"/>
        </w:trPr>
        <w:tc>
          <w:tcPr>
            <w:tcW w:w="1563" w:type="pct"/>
            <w:gridSpan w:val="3"/>
          </w:tcPr>
          <w:p w14:paraId="26DA0445" w14:textId="77777777" w:rsidR="0021177B" w:rsidRPr="00F07C1F" w:rsidRDefault="0021177B" w:rsidP="009E3B2F">
            <w:pPr>
              <w:contextualSpacing/>
              <w:rPr>
                <w:rFonts w:ascii="Futura Std Condensed Light" w:eastAsia="Calibri" w:hAnsi="Futura Std Condensed Light" w:cs="Calibri"/>
                <w:b/>
                <w:sz w:val="20"/>
                <w:szCs w:val="20"/>
              </w:rPr>
            </w:pPr>
            <w:r w:rsidRPr="00F07C1F">
              <w:rPr>
                <w:rFonts w:ascii="Futura Std Condensed Light" w:eastAsia="Calibri" w:hAnsi="Futura Std Condensed Light" w:cs="Calibri"/>
                <w:b/>
                <w:sz w:val="20"/>
                <w:szCs w:val="20"/>
              </w:rPr>
              <w:t>Contribución Directa al Objetivo de la Agenda 2030</w:t>
            </w:r>
          </w:p>
        </w:tc>
        <w:tc>
          <w:tcPr>
            <w:tcW w:w="3437" w:type="pct"/>
            <w:gridSpan w:val="7"/>
          </w:tcPr>
          <w:p w14:paraId="14E29BEB" w14:textId="77777777" w:rsidR="0021177B" w:rsidRPr="00F07C1F" w:rsidRDefault="0021177B" w:rsidP="009E3B2F">
            <w:pPr>
              <w:contextualSpacing/>
              <w:rPr>
                <w:rFonts w:ascii="Futura Std Condensed Light" w:eastAsia="Calibri" w:hAnsi="Futura Std Condensed Light" w:cs="Calibri"/>
                <w:sz w:val="20"/>
                <w:szCs w:val="20"/>
              </w:rPr>
            </w:pPr>
            <w:r w:rsidRPr="00F07C1F">
              <w:rPr>
                <w:rFonts w:ascii="Futura Std Condensed Light" w:eastAsia="Calibri" w:hAnsi="Futura Std Condensed Light" w:cs="Calibri"/>
                <w:sz w:val="20"/>
                <w:szCs w:val="20"/>
              </w:rPr>
              <w:t>Garantizar una educación inclusiva, equitativa y de calidad y promover oportunidades de aprendizaje durante toda la vida para todos</w:t>
            </w:r>
          </w:p>
        </w:tc>
      </w:tr>
      <w:tr w:rsidR="0021177B" w:rsidRPr="00D12127" w14:paraId="135153D4" w14:textId="77777777" w:rsidTr="00047166">
        <w:trPr>
          <w:trHeight w:val="484"/>
        </w:trPr>
        <w:tc>
          <w:tcPr>
            <w:tcW w:w="1563" w:type="pct"/>
            <w:gridSpan w:val="3"/>
          </w:tcPr>
          <w:p w14:paraId="6F9DAC26" w14:textId="77777777" w:rsidR="0021177B" w:rsidRPr="00F07C1F" w:rsidRDefault="0021177B" w:rsidP="009E3B2F">
            <w:pPr>
              <w:contextualSpacing/>
              <w:rPr>
                <w:rFonts w:ascii="Futura Std Condensed Light" w:eastAsia="Calibri" w:hAnsi="Futura Std Condensed Light" w:cs="Calibri"/>
                <w:b/>
                <w:sz w:val="20"/>
                <w:szCs w:val="20"/>
              </w:rPr>
            </w:pPr>
            <w:r w:rsidRPr="00F07C1F">
              <w:rPr>
                <w:rFonts w:ascii="Futura Std Condensed Light" w:eastAsia="Calibri" w:hAnsi="Futura Std Condensed Light" w:cs="Calibri"/>
                <w:b/>
                <w:sz w:val="20"/>
                <w:szCs w:val="20"/>
              </w:rPr>
              <w:t>Contribución Directa  a la Meta de la Agenda 2030</w:t>
            </w:r>
          </w:p>
        </w:tc>
        <w:tc>
          <w:tcPr>
            <w:tcW w:w="3437" w:type="pct"/>
            <w:gridSpan w:val="7"/>
          </w:tcPr>
          <w:p w14:paraId="0EE21BCE" w14:textId="77777777" w:rsidR="0021177B" w:rsidRPr="00F07C1F" w:rsidRDefault="0021177B" w:rsidP="009E3B2F">
            <w:pPr>
              <w:contextualSpacing/>
              <w:rPr>
                <w:rFonts w:ascii="Futura Std Condensed Light" w:eastAsia="Calibri" w:hAnsi="Futura Std Condensed Light" w:cs="Calibri"/>
                <w:sz w:val="20"/>
                <w:szCs w:val="20"/>
              </w:rPr>
            </w:pPr>
            <w:r w:rsidRPr="00F07C1F">
              <w:rPr>
                <w:rFonts w:ascii="Futura Std Condensed Light" w:eastAsia="Calibri" w:hAnsi="Futura Std Condensed Light" w:cs="Calibri"/>
                <w:sz w:val="20"/>
                <w:szCs w:val="20"/>
              </w:rPr>
              <w:t>De aquí a 2030, asegurar que todos los alumnos adquieran los conocimientos teóricos y prácticos necesarios para promover el desarrollo sostenible, entre otras cosas mediante la educación para el desarrollo sostenible y los estilos de vida sostenibles, los derechos humanos, la igualdad de género, la promoción de una cultura de paz y no violencia, la ciudadanía mundial y la valoración de la diversidad cultural y la contribución de la cultura al desarrollo sostenible.</w:t>
            </w:r>
          </w:p>
        </w:tc>
      </w:tr>
      <w:tr w:rsidR="0021177B" w:rsidRPr="00D12127" w14:paraId="6E123DAA" w14:textId="77777777" w:rsidTr="00047166">
        <w:trPr>
          <w:trHeight w:val="484"/>
        </w:trPr>
        <w:tc>
          <w:tcPr>
            <w:tcW w:w="1563" w:type="pct"/>
            <w:gridSpan w:val="3"/>
          </w:tcPr>
          <w:p w14:paraId="3209A304" w14:textId="77777777" w:rsidR="0021177B" w:rsidRPr="00F07C1F" w:rsidRDefault="0021177B" w:rsidP="009E3B2F">
            <w:pPr>
              <w:contextualSpacing/>
              <w:rPr>
                <w:rFonts w:ascii="Futura Std Condensed Light" w:eastAsia="Calibri" w:hAnsi="Futura Std Condensed Light" w:cs="Calibri"/>
                <w:b/>
                <w:sz w:val="20"/>
                <w:szCs w:val="20"/>
              </w:rPr>
            </w:pPr>
            <w:r w:rsidRPr="00F07C1F">
              <w:rPr>
                <w:rFonts w:ascii="Futura Std Condensed Light" w:eastAsia="Calibri" w:hAnsi="Futura Std Condensed Light" w:cs="Calibri"/>
                <w:b/>
                <w:sz w:val="20"/>
                <w:szCs w:val="20"/>
              </w:rPr>
              <w:t>Tema / Proyecto Prioritario de Quintana Roo</w:t>
            </w:r>
          </w:p>
        </w:tc>
        <w:tc>
          <w:tcPr>
            <w:tcW w:w="3437" w:type="pct"/>
            <w:gridSpan w:val="7"/>
          </w:tcPr>
          <w:p w14:paraId="36BF905E" w14:textId="77777777" w:rsidR="0021177B" w:rsidRPr="00F07C1F" w:rsidRDefault="0021177B" w:rsidP="009E3B2F">
            <w:pPr>
              <w:contextualSpacing/>
              <w:rPr>
                <w:rFonts w:ascii="Futura Std Condensed Light" w:eastAsia="Calibri" w:hAnsi="Futura Std Condensed Light" w:cs="Calibri"/>
                <w:sz w:val="20"/>
                <w:szCs w:val="20"/>
              </w:rPr>
            </w:pPr>
            <w:r w:rsidRPr="00F07C1F">
              <w:rPr>
                <w:rFonts w:ascii="Futura Std Condensed Light" w:eastAsia="Calibri" w:hAnsi="Futura Std Condensed Light" w:cs="Calibri"/>
                <w:sz w:val="20"/>
                <w:szCs w:val="20"/>
              </w:rPr>
              <w:t>24.5 Abatir el rezago educativo</w:t>
            </w:r>
          </w:p>
        </w:tc>
      </w:tr>
      <w:tr w:rsidR="0021177B" w:rsidRPr="00D12127" w14:paraId="71D24D20" w14:textId="77777777" w:rsidTr="00047166">
        <w:trPr>
          <w:trHeight w:val="484"/>
        </w:trPr>
        <w:tc>
          <w:tcPr>
            <w:tcW w:w="1563" w:type="pct"/>
            <w:gridSpan w:val="3"/>
          </w:tcPr>
          <w:p w14:paraId="4CD48297" w14:textId="77777777" w:rsidR="0021177B" w:rsidRPr="00F07C1F" w:rsidRDefault="0021177B" w:rsidP="009E3B2F">
            <w:pPr>
              <w:contextualSpacing/>
              <w:rPr>
                <w:rFonts w:ascii="Futura Std Condensed Light" w:eastAsia="Calibri" w:hAnsi="Futura Std Condensed Light" w:cs="Calibri"/>
                <w:b/>
                <w:sz w:val="20"/>
                <w:szCs w:val="20"/>
              </w:rPr>
            </w:pPr>
            <w:r w:rsidRPr="00F07C1F">
              <w:rPr>
                <w:rFonts w:ascii="Futura Std Condensed Light" w:eastAsia="Calibri" w:hAnsi="Futura Std Condensed Light" w:cs="Calibri"/>
                <w:b/>
                <w:sz w:val="20"/>
                <w:szCs w:val="20"/>
              </w:rPr>
              <w:t>Subtema Prioritario de Quintana Roo</w:t>
            </w:r>
          </w:p>
        </w:tc>
        <w:tc>
          <w:tcPr>
            <w:tcW w:w="3437" w:type="pct"/>
            <w:gridSpan w:val="7"/>
          </w:tcPr>
          <w:p w14:paraId="0FA2C0FC" w14:textId="77777777" w:rsidR="0021177B" w:rsidRPr="00F07C1F" w:rsidRDefault="0021177B" w:rsidP="009E3B2F">
            <w:pPr>
              <w:contextualSpacing/>
              <w:rPr>
                <w:rFonts w:ascii="Futura Std Condensed Light" w:eastAsia="Calibri" w:hAnsi="Futura Std Condensed Light" w:cs="Calibri"/>
                <w:sz w:val="20"/>
                <w:szCs w:val="20"/>
              </w:rPr>
            </w:pPr>
            <w:r w:rsidRPr="00F07C1F">
              <w:rPr>
                <w:rFonts w:ascii="Futura Std Condensed Light" w:eastAsia="Calibri" w:hAnsi="Futura Std Condensed Light" w:cs="Calibri"/>
                <w:sz w:val="20"/>
                <w:szCs w:val="20"/>
              </w:rPr>
              <w:t>N/A</w:t>
            </w:r>
          </w:p>
        </w:tc>
      </w:tr>
      <w:tr w:rsidR="0021177B" w:rsidRPr="00D12127" w14:paraId="251F3468" w14:textId="77777777" w:rsidTr="009E3B2F">
        <w:trPr>
          <w:trHeight w:val="484"/>
        </w:trPr>
        <w:tc>
          <w:tcPr>
            <w:tcW w:w="5000" w:type="pct"/>
            <w:gridSpan w:val="10"/>
          </w:tcPr>
          <w:p w14:paraId="2BE5ACB4" w14:textId="77777777" w:rsidR="0021177B" w:rsidRPr="00F07C1F" w:rsidRDefault="0021177B" w:rsidP="009E3B2F">
            <w:pPr>
              <w:contextualSpacing/>
              <w:jc w:val="center"/>
              <w:rPr>
                <w:rFonts w:ascii="Futura Std Condensed Light" w:eastAsia="Calibri" w:hAnsi="Futura Std Condensed Light" w:cs="Calibri"/>
                <w:b/>
                <w:sz w:val="20"/>
                <w:szCs w:val="20"/>
              </w:rPr>
            </w:pPr>
            <w:r w:rsidRPr="00F07C1F">
              <w:rPr>
                <w:rFonts w:ascii="Futura Std Condensed Light" w:eastAsia="Calibri" w:hAnsi="Futura Std Condensed Light" w:cs="Calibri"/>
                <w:b/>
                <w:sz w:val="20"/>
                <w:szCs w:val="20"/>
              </w:rPr>
              <w:t>Meta Total:</w:t>
            </w:r>
          </w:p>
        </w:tc>
      </w:tr>
      <w:tr w:rsidR="0021177B" w:rsidRPr="00D12127" w14:paraId="15CF79AB" w14:textId="77777777" w:rsidTr="009E3B2F">
        <w:trPr>
          <w:trHeight w:val="484"/>
        </w:trPr>
        <w:tc>
          <w:tcPr>
            <w:tcW w:w="781" w:type="pct"/>
          </w:tcPr>
          <w:p w14:paraId="392A4A68" w14:textId="77777777" w:rsidR="0021177B" w:rsidRPr="00F07C1F" w:rsidRDefault="0021177B" w:rsidP="009E3B2F">
            <w:pPr>
              <w:contextualSpacing/>
              <w:jc w:val="center"/>
              <w:rPr>
                <w:rFonts w:ascii="Futura Std Condensed Light" w:eastAsia="Calibri" w:hAnsi="Futura Std Condensed Light" w:cs="Calibri"/>
                <w:b/>
                <w:sz w:val="20"/>
                <w:szCs w:val="20"/>
              </w:rPr>
            </w:pPr>
            <w:r w:rsidRPr="00F07C1F">
              <w:rPr>
                <w:rFonts w:ascii="Futura Std Condensed Light" w:eastAsia="Calibri" w:hAnsi="Futura Std Condensed Light" w:cs="Calibri"/>
                <w:b/>
                <w:sz w:val="20"/>
                <w:szCs w:val="20"/>
              </w:rPr>
              <w:t>2017</w:t>
            </w:r>
          </w:p>
        </w:tc>
        <w:tc>
          <w:tcPr>
            <w:tcW w:w="783" w:type="pct"/>
            <w:gridSpan w:val="2"/>
          </w:tcPr>
          <w:p w14:paraId="26753C58" w14:textId="77777777" w:rsidR="0021177B" w:rsidRPr="00F07C1F" w:rsidRDefault="0021177B" w:rsidP="009E3B2F">
            <w:pPr>
              <w:contextualSpacing/>
              <w:jc w:val="center"/>
              <w:rPr>
                <w:rFonts w:ascii="Futura Std Condensed Light" w:eastAsia="Calibri" w:hAnsi="Futura Std Condensed Light" w:cs="Calibri"/>
                <w:b/>
                <w:sz w:val="20"/>
                <w:szCs w:val="20"/>
              </w:rPr>
            </w:pPr>
            <w:r w:rsidRPr="00F07C1F">
              <w:rPr>
                <w:rFonts w:ascii="Futura Std Condensed Light" w:eastAsia="Calibri" w:hAnsi="Futura Std Condensed Light" w:cs="Calibri"/>
                <w:b/>
                <w:sz w:val="20"/>
                <w:szCs w:val="20"/>
              </w:rPr>
              <w:t>2018</w:t>
            </w:r>
          </w:p>
        </w:tc>
        <w:tc>
          <w:tcPr>
            <w:tcW w:w="904" w:type="pct"/>
            <w:gridSpan w:val="2"/>
          </w:tcPr>
          <w:p w14:paraId="7A98B729" w14:textId="77777777" w:rsidR="0021177B" w:rsidRPr="00F07C1F" w:rsidRDefault="0021177B" w:rsidP="009E3B2F">
            <w:pPr>
              <w:contextualSpacing/>
              <w:jc w:val="center"/>
              <w:rPr>
                <w:rFonts w:ascii="Futura Std Condensed Light" w:eastAsia="Calibri" w:hAnsi="Futura Std Condensed Light" w:cs="Calibri"/>
                <w:b/>
                <w:sz w:val="20"/>
                <w:szCs w:val="20"/>
              </w:rPr>
            </w:pPr>
            <w:r w:rsidRPr="00F07C1F">
              <w:rPr>
                <w:rFonts w:ascii="Futura Std Condensed Light" w:eastAsia="Calibri" w:hAnsi="Futura Std Condensed Light" w:cs="Calibri"/>
                <w:b/>
                <w:sz w:val="20"/>
                <w:szCs w:val="20"/>
              </w:rPr>
              <w:t>2019</w:t>
            </w:r>
          </w:p>
        </w:tc>
        <w:tc>
          <w:tcPr>
            <w:tcW w:w="723" w:type="pct"/>
            <w:gridSpan w:val="2"/>
          </w:tcPr>
          <w:p w14:paraId="4FB78CC4" w14:textId="77777777" w:rsidR="0021177B" w:rsidRPr="00F07C1F" w:rsidRDefault="0021177B" w:rsidP="009E3B2F">
            <w:pPr>
              <w:contextualSpacing/>
              <w:jc w:val="center"/>
              <w:rPr>
                <w:rFonts w:ascii="Futura Std Condensed Light" w:eastAsia="Calibri" w:hAnsi="Futura Std Condensed Light" w:cs="Calibri"/>
                <w:b/>
                <w:sz w:val="20"/>
                <w:szCs w:val="20"/>
              </w:rPr>
            </w:pPr>
            <w:r w:rsidRPr="00F07C1F">
              <w:rPr>
                <w:rFonts w:ascii="Futura Std Condensed Light" w:eastAsia="Calibri" w:hAnsi="Futura Std Condensed Light" w:cs="Calibri"/>
                <w:b/>
                <w:sz w:val="20"/>
                <w:szCs w:val="20"/>
              </w:rPr>
              <w:t>2020</w:t>
            </w:r>
          </w:p>
        </w:tc>
        <w:tc>
          <w:tcPr>
            <w:tcW w:w="963" w:type="pct"/>
            <w:gridSpan w:val="2"/>
          </w:tcPr>
          <w:p w14:paraId="4FA01232" w14:textId="77777777" w:rsidR="0021177B" w:rsidRPr="00F07C1F" w:rsidRDefault="0021177B" w:rsidP="009E3B2F">
            <w:pPr>
              <w:contextualSpacing/>
              <w:jc w:val="center"/>
              <w:rPr>
                <w:rFonts w:ascii="Futura Std Condensed Light" w:eastAsia="Calibri" w:hAnsi="Futura Std Condensed Light" w:cs="Calibri"/>
                <w:b/>
                <w:sz w:val="20"/>
                <w:szCs w:val="20"/>
              </w:rPr>
            </w:pPr>
            <w:r w:rsidRPr="00F07C1F">
              <w:rPr>
                <w:rFonts w:ascii="Futura Std Condensed Light" w:eastAsia="Calibri" w:hAnsi="Futura Std Condensed Light" w:cs="Calibri"/>
                <w:b/>
                <w:sz w:val="20"/>
                <w:szCs w:val="20"/>
              </w:rPr>
              <w:t>2021</w:t>
            </w:r>
          </w:p>
        </w:tc>
        <w:tc>
          <w:tcPr>
            <w:tcW w:w="846" w:type="pct"/>
          </w:tcPr>
          <w:p w14:paraId="4AE6DD95" w14:textId="77777777" w:rsidR="0021177B" w:rsidRPr="00F07C1F" w:rsidRDefault="0021177B" w:rsidP="009E3B2F">
            <w:pPr>
              <w:contextualSpacing/>
              <w:jc w:val="center"/>
              <w:rPr>
                <w:rFonts w:ascii="Futura Std Condensed Light" w:eastAsia="Calibri" w:hAnsi="Futura Std Condensed Light" w:cs="Calibri"/>
                <w:b/>
                <w:sz w:val="20"/>
                <w:szCs w:val="20"/>
              </w:rPr>
            </w:pPr>
            <w:r w:rsidRPr="00F07C1F">
              <w:rPr>
                <w:rFonts w:ascii="Futura Std Condensed Light" w:eastAsia="Calibri" w:hAnsi="Futura Std Condensed Light" w:cs="Calibri"/>
                <w:b/>
                <w:sz w:val="20"/>
                <w:szCs w:val="20"/>
              </w:rPr>
              <w:t>2022</w:t>
            </w:r>
          </w:p>
        </w:tc>
      </w:tr>
      <w:tr w:rsidR="0021177B" w:rsidRPr="00D12127" w14:paraId="5A2912D1" w14:textId="77777777" w:rsidTr="009E3B2F">
        <w:trPr>
          <w:trHeight w:val="484"/>
        </w:trPr>
        <w:tc>
          <w:tcPr>
            <w:tcW w:w="781" w:type="pct"/>
          </w:tcPr>
          <w:p w14:paraId="537B551C" w14:textId="77777777" w:rsidR="0021177B" w:rsidRPr="00F07C1F" w:rsidRDefault="0021177B" w:rsidP="009E3B2F">
            <w:pPr>
              <w:contextualSpacing/>
              <w:jc w:val="center"/>
              <w:rPr>
                <w:rFonts w:ascii="Futura Std Condensed Light" w:eastAsia="Calibri" w:hAnsi="Futura Std Condensed Light" w:cs="Calibri"/>
                <w:sz w:val="20"/>
                <w:szCs w:val="20"/>
              </w:rPr>
            </w:pPr>
            <w:r w:rsidRPr="00F07C1F">
              <w:rPr>
                <w:rFonts w:ascii="Futura Std Condensed Light" w:eastAsia="Calibri" w:hAnsi="Futura Std Condensed Light" w:cs="Calibri"/>
                <w:sz w:val="20"/>
                <w:szCs w:val="20"/>
              </w:rPr>
              <w:lastRenderedPageBreak/>
              <w:t>218,027</w:t>
            </w:r>
          </w:p>
        </w:tc>
        <w:tc>
          <w:tcPr>
            <w:tcW w:w="783" w:type="pct"/>
            <w:gridSpan w:val="2"/>
          </w:tcPr>
          <w:p w14:paraId="3D7CF1A8" w14:textId="77777777" w:rsidR="0021177B" w:rsidRPr="00F07C1F" w:rsidRDefault="0021177B" w:rsidP="009E3B2F">
            <w:pPr>
              <w:contextualSpacing/>
              <w:jc w:val="center"/>
              <w:rPr>
                <w:rFonts w:ascii="Futura Std Condensed Light" w:eastAsia="Calibri" w:hAnsi="Futura Std Condensed Light" w:cs="Calibri"/>
                <w:sz w:val="20"/>
                <w:szCs w:val="20"/>
              </w:rPr>
            </w:pPr>
            <w:r w:rsidRPr="00F07C1F">
              <w:rPr>
                <w:rFonts w:ascii="Futura Std Condensed Light" w:eastAsia="Calibri" w:hAnsi="Futura Std Condensed Light" w:cs="Calibri"/>
                <w:sz w:val="20"/>
                <w:szCs w:val="20"/>
              </w:rPr>
              <w:t>221,228</w:t>
            </w:r>
          </w:p>
        </w:tc>
        <w:tc>
          <w:tcPr>
            <w:tcW w:w="904" w:type="pct"/>
            <w:gridSpan w:val="2"/>
          </w:tcPr>
          <w:p w14:paraId="7D4F95BD" w14:textId="77777777" w:rsidR="0021177B" w:rsidRPr="00F07C1F" w:rsidRDefault="0021177B" w:rsidP="009E3B2F">
            <w:pPr>
              <w:contextualSpacing/>
              <w:jc w:val="center"/>
              <w:rPr>
                <w:rFonts w:ascii="Futura Std Condensed Light" w:eastAsia="Calibri" w:hAnsi="Futura Std Condensed Light" w:cs="Calibri"/>
                <w:sz w:val="20"/>
                <w:szCs w:val="20"/>
              </w:rPr>
            </w:pPr>
            <w:r w:rsidRPr="00F07C1F">
              <w:rPr>
                <w:rFonts w:ascii="Futura Std Condensed Light" w:eastAsia="Calibri" w:hAnsi="Futura Std Condensed Light" w:cs="Calibri"/>
                <w:sz w:val="20"/>
                <w:szCs w:val="20"/>
              </w:rPr>
              <w:t>224,744</w:t>
            </w:r>
          </w:p>
        </w:tc>
        <w:tc>
          <w:tcPr>
            <w:tcW w:w="723" w:type="pct"/>
            <w:gridSpan w:val="2"/>
          </w:tcPr>
          <w:p w14:paraId="71308073" w14:textId="77777777" w:rsidR="0021177B" w:rsidRPr="00F07C1F" w:rsidRDefault="0021177B" w:rsidP="009E3B2F">
            <w:pPr>
              <w:contextualSpacing/>
              <w:jc w:val="center"/>
              <w:rPr>
                <w:rFonts w:ascii="Futura Std Condensed Light" w:eastAsia="Calibri" w:hAnsi="Futura Std Condensed Light" w:cs="Calibri"/>
                <w:sz w:val="20"/>
                <w:szCs w:val="20"/>
              </w:rPr>
            </w:pPr>
            <w:r w:rsidRPr="00F07C1F">
              <w:rPr>
                <w:rFonts w:ascii="Futura Std Condensed Light" w:eastAsia="Calibri" w:hAnsi="Futura Std Condensed Light" w:cs="Calibri"/>
                <w:sz w:val="20"/>
                <w:szCs w:val="20"/>
              </w:rPr>
              <w:t>166,775</w:t>
            </w:r>
          </w:p>
        </w:tc>
        <w:tc>
          <w:tcPr>
            <w:tcW w:w="963" w:type="pct"/>
            <w:gridSpan w:val="2"/>
          </w:tcPr>
          <w:p w14:paraId="6CBCA14E" w14:textId="77777777" w:rsidR="0021177B" w:rsidRPr="00F07C1F" w:rsidRDefault="0021177B" w:rsidP="009E3B2F">
            <w:pPr>
              <w:contextualSpacing/>
              <w:jc w:val="center"/>
              <w:rPr>
                <w:rFonts w:ascii="Futura Std Condensed Light" w:eastAsia="Calibri" w:hAnsi="Futura Std Condensed Light" w:cs="Calibri"/>
                <w:sz w:val="20"/>
                <w:szCs w:val="20"/>
              </w:rPr>
            </w:pPr>
            <w:r w:rsidRPr="00F07C1F">
              <w:rPr>
                <w:rFonts w:ascii="Futura Std Condensed Light" w:eastAsia="Calibri" w:hAnsi="Futura Std Condensed Light" w:cs="Calibri"/>
                <w:sz w:val="20"/>
                <w:szCs w:val="20"/>
              </w:rPr>
              <w:t>233,022</w:t>
            </w:r>
          </w:p>
        </w:tc>
        <w:tc>
          <w:tcPr>
            <w:tcW w:w="846" w:type="pct"/>
          </w:tcPr>
          <w:p w14:paraId="1B850BF9" w14:textId="77777777" w:rsidR="0021177B" w:rsidRPr="00F07C1F" w:rsidRDefault="0021177B" w:rsidP="009E3B2F">
            <w:pPr>
              <w:contextualSpacing/>
              <w:jc w:val="center"/>
              <w:rPr>
                <w:rFonts w:ascii="Futura Std Condensed Light" w:eastAsia="Calibri" w:hAnsi="Futura Std Condensed Light" w:cs="Calibri"/>
                <w:sz w:val="20"/>
                <w:szCs w:val="20"/>
              </w:rPr>
            </w:pPr>
            <w:r w:rsidRPr="00F07C1F">
              <w:rPr>
                <w:rFonts w:ascii="Futura Std Condensed Light" w:eastAsia="Calibri" w:hAnsi="Futura Std Condensed Light" w:cs="Calibri"/>
                <w:sz w:val="20"/>
                <w:szCs w:val="20"/>
              </w:rPr>
              <w:t>244,641</w:t>
            </w:r>
          </w:p>
        </w:tc>
      </w:tr>
    </w:tbl>
    <w:p w14:paraId="05393558" w14:textId="74C48047" w:rsidR="003B479E" w:rsidRDefault="003B479E" w:rsidP="0021177B"/>
    <w:p w14:paraId="14D2FE5A" w14:textId="5FBADBE8" w:rsidR="0021177B" w:rsidRDefault="00980EAE" w:rsidP="0021177B">
      <w:pPr>
        <w:jc w:val="center"/>
      </w:pPr>
      <w:r>
        <w:rPr>
          <w:rFonts w:eastAsia="Arial" w:cs="Times New Roman"/>
          <w:b/>
          <w:color w:val="4BACC6" w:themeColor="accent5"/>
        </w:rPr>
        <w:t>Cuadro 52</w:t>
      </w:r>
      <w:r w:rsidR="0021177B">
        <w:rPr>
          <w:rFonts w:eastAsia="Arial" w:cs="Times New Roman"/>
          <w:b/>
          <w:color w:val="4BACC6" w:themeColor="accent5"/>
        </w:rPr>
        <w:t>. Entregable y meta de la línea de acción 25 del PED</w:t>
      </w:r>
    </w:p>
    <w:tbl>
      <w:tblPr>
        <w:tblStyle w:val="Tablaconcuadrcula"/>
        <w:tblW w:w="5000" w:type="pct"/>
        <w:tblLook w:val="04A0" w:firstRow="1" w:lastRow="0" w:firstColumn="1" w:lastColumn="0" w:noHBand="0" w:noVBand="1"/>
      </w:tblPr>
      <w:tblGrid>
        <w:gridCol w:w="1487"/>
        <w:gridCol w:w="809"/>
        <w:gridCol w:w="683"/>
        <w:gridCol w:w="462"/>
        <w:gridCol w:w="683"/>
        <w:gridCol w:w="408"/>
        <w:gridCol w:w="633"/>
        <w:gridCol w:w="919"/>
        <w:gridCol w:w="1204"/>
        <w:gridCol w:w="6"/>
        <w:gridCol w:w="631"/>
        <w:gridCol w:w="1612"/>
      </w:tblGrid>
      <w:tr w:rsidR="0021177B" w:rsidRPr="003B479E" w14:paraId="03E30254" w14:textId="77777777" w:rsidTr="001F10CF">
        <w:trPr>
          <w:trHeight w:val="182"/>
        </w:trPr>
        <w:tc>
          <w:tcPr>
            <w:tcW w:w="1804" w:type="pct"/>
            <w:gridSpan w:val="4"/>
            <w:shd w:val="clear" w:color="auto" w:fill="A6A6A6" w:themeFill="background1" w:themeFillShade="A6"/>
          </w:tcPr>
          <w:p w14:paraId="7D746D53" w14:textId="77777777" w:rsidR="0021177B" w:rsidRPr="003B479E" w:rsidRDefault="0021177B" w:rsidP="009E3B2F">
            <w:pPr>
              <w:contextualSpacing/>
              <w:jc w:val="center"/>
              <w:rPr>
                <w:rFonts w:ascii="Futura Std Condensed Light" w:eastAsia="Calibri" w:hAnsi="Futura Std Condensed Light" w:cs="Calibri"/>
                <w:color w:val="auto"/>
                <w:sz w:val="20"/>
                <w:szCs w:val="20"/>
              </w:rPr>
            </w:pPr>
            <w:r w:rsidRPr="003B479E">
              <w:rPr>
                <w:rFonts w:ascii="Futura Std Condensed Light" w:eastAsia="Calibri" w:hAnsi="Futura Std Condensed Light" w:cs="Calibri"/>
                <w:color w:val="auto"/>
                <w:sz w:val="20"/>
                <w:szCs w:val="20"/>
              </w:rPr>
              <w:t>Programa PED</w:t>
            </w:r>
          </w:p>
        </w:tc>
        <w:tc>
          <w:tcPr>
            <w:tcW w:w="3196" w:type="pct"/>
            <w:gridSpan w:val="8"/>
            <w:shd w:val="clear" w:color="auto" w:fill="A6A6A6" w:themeFill="background1" w:themeFillShade="A6"/>
          </w:tcPr>
          <w:p w14:paraId="769316EA" w14:textId="77777777" w:rsidR="0021177B" w:rsidRPr="003B479E" w:rsidRDefault="0021177B" w:rsidP="009E3B2F">
            <w:pPr>
              <w:contextualSpacing/>
              <w:jc w:val="center"/>
              <w:rPr>
                <w:rFonts w:ascii="Futura Std Condensed Light" w:eastAsia="Calibri" w:hAnsi="Futura Std Condensed Light" w:cs="Calibri"/>
                <w:color w:val="auto"/>
                <w:sz w:val="20"/>
                <w:szCs w:val="20"/>
              </w:rPr>
            </w:pPr>
            <w:r w:rsidRPr="003B479E">
              <w:rPr>
                <w:rFonts w:ascii="Futura Std Condensed Light" w:eastAsia="Calibri" w:hAnsi="Futura Std Condensed Light" w:cs="Calibri"/>
                <w:color w:val="auto"/>
                <w:sz w:val="20"/>
                <w:szCs w:val="20"/>
              </w:rPr>
              <w:t>Programa Sectorial Educación Pública de Calidad</w:t>
            </w:r>
          </w:p>
        </w:tc>
      </w:tr>
      <w:tr w:rsidR="0021177B" w:rsidRPr="00472DC4" w14:paraId="16013EAC" w14:textId="77777777" w:rsidTr="001F10CF">
        <w:trPr>
          <w:trHeight w:val="469"/>
        </w:trPr>
        <w:tc>
          <w:tcPr>
            <w:tcW w:w="1804" w:type="pct"/>
            <w:gridSpan w:val="4"/>
          </w:tcPr>
          <w:p w14:paraId="36DCF29C" w14:textId="77777777" w:rsidR="0021177B" w:rsidRPr="00472DC4" w:rsidRDefault="0021177B" w:rsidP="009E3B2F">
            <w:pPr>
              <w:contextualSpacing/>
              <w:rPr>
                <w:rFonts w:ascii="Futura Std Condensed Light" w:eastAsia="Calibri" w:hAnsi="Futura Std Condensed Light" w:cs="Calibri"/>
                <w:b/>
                <w:sz w:val="20"/>
                <w:szCs w:val="20"/>
              </w:rPr>
            </w:pPr>
            <w:r w:rsidRPr="00472DC4">
              <w:rPr>
                <w:rFonts w:ascii="Futura Std Condensed Light" w:eastAsia="Calibri" w:hAnsi="Futura Std Condensed Light" w:cs="Calibri"/>
                <w:b/>
                <w:sz w:val="20"/>
                <w:szCs w:val="20"/>
              </w:rPr>
              <w:t>Línea de acción:</w:t>
            </w:r>
          </w:p>
        </w:tc>
        <w:tc>
          <w:tcPr>
            <w:tcW w:w="3196" w:type="pct"/>
            <w:gridSpan w:val="8"/>
          </w:tcPr>
          <w:p w14:paraId="555416F3" w14:textId="77777777" w:rsidR="0021177B" w:rsidRPr="00472DC4" w:rsidRDefault="0021177B" w:rsidP="009E3B2F">
            <w:pPr>
              <w:spacing w:after="160" w:line="259" w:lineRule="auto"/>
              <w:contextualSpacing/>
              <w:rPr>
                <w:rFonts w:ascii="Futura Std Condensed Light" w:eastAsia="Calibri" w:hAnsi="Futura Std Condensed Light" w:cs="Calibri"/>
                <w:sz w:val="20"/>
                <w:szCs w:val="20"/>
              </w:rPr>
            </w:pPr>
            <w:r w:rsidRPr="00472DC4">
              <w:rPr>
                <w:rFonts w:ascii="Futura Std Condensed Light" w:eastAsia="Calibri" w:hAnsi="Futura Std Condensed Light" w:cs="Calibri"/>
                <w:sz w:val="20"/>
                <w:szCs w:val="20"/>
              </w:rPr>
              <w:t>25.  Desarrollar e implementar acciones para fortalecer el Modelo de prevención Quintana Roo.</w:t>
            </w:r>
          </w:p>
        </w:tc>
      </w:tr>
      <w:tr w:rsidR="0021177B" w:rsidRPr="00472DC4" w14:paraId="0EDE8CDD" w14:textId="77777777" w:rsidTr="001F10CF">
        <w:trPr>
          <w:trHeight w:val="484"/>
        </w:trPr>
        <w:tc>
          <w:tcPr>
            <w:tcW w:w="1804" w:type="pct"/>
            <w:gridSpan w:val="4"/>
          </w:tcPr>
          <w:p w14:paraId="48CE1085" w14:textId="77777777" w:rsidR="0021177B" w:rsidRPr="00472DC4" w:rsidRDefault="0021177B" w:rsidP="009E3B2F">
            <w:pPr>
              <w:contextualSpacing/>
              <w:rPr>
                <w:rFonts w:ascii="Futura Std Condensed Light" w:eastAsia="Calibri" w:hAnsi="Futura Std Condensed Light" w:cs="Calibri"/>
                <w:b/>
                <w:sz w:val="20"/>
                <w:szCs w:val="20"/>
              </w:rPr>
            </w:pPr>
            <w:r w:rsidRPr="00472DC4">
              <w:rPr>
                <w:rFonts w:ascii="Futura Std Condensed Light" w:eastAsia="Calibri" w:hAnsi="Futura Std Condensed Light" w:cs="Calibri"/>
                <w:b/>
                <w:sz w:val="20"/>
                <w:szCs w:val="20"/>
              </w:rPr>
              <w:t>Plan Estratégico Objetivo Especifico</w:t>
            </w:r>
          </w:p>
        </w:tc>
        <w:tc>
          <w:tcPr>
            <w:tcW w:w="3196" w:type="pct"/>
            <w:gridSpan w:val="8"/>
          </w:tcPr>
          <w:p w14:paraId="245C9576" w14:textId="77777777" w:rsidR="0021177B" w:rsidRPr="00472DC4" w:rsidRDefault="0021177B" w:rsidP="009E3B2F">
            <w:pPr>
              <w:contextualSpacing/>
              <w:rPr>
                <w:rFonts w:ascii="Futura Std Condensed Light" w:eastAsia="Calibri" w:hAnsi="Futura Std Condensed Light" w:cs="Calibri"/>
                <w:sz w:val="20"/>
                <w:szCs w:val="20"/>
              </w:rPr>
            </w:pPr>
            <w:r w:rsidRPr="00472DC4">
              <w:rPr>
                <w:rFonts w:ascii="Futura Std Condensed Light" w:eastAsia="Calibri" w:hAnsi="Futura Std Condensed Light" w:cs="Calibri"/>
                <w:sz w:val="20"/>
                <w:szCs w:val="20"/>
              </w:rPr>
              <w:t>Disminuir la desigualdad en sus diversas formas </w:t>
            </w:r>
          </w:p>
        </w:tc>
      </w:tr>
      <w:tr w:rsidR="0021177B" w:rsidRPr="00472DC4" w14:paraId="125B5EBF" w14:textId="77777777" w:rsidTr="001F10CF">
        <w:trPr>
          <w:trHeight w:val="484"/>
        </w:trPr>
        <w:tc>
          <w:tcPr>
            <w:tcW w:w="1204" w:type="pct"/>
            <w:gridSpan w:val="2"/>
          </w:tcPr>
          <w:p w14:paraId="0ACEA838" w14:textId="77777777" w:rsidR="0021177B" w:rsidRPr="00472DC4" w:rsidRDefault="0021177B" w:rsidP="009E3B2F">
            <w:pPr>
              <w:contextualSpacing/>
              <w:rPr>
                <w:rFonts w:ascii="Futura Std Condensed Light" w:eastAsia="Calibri" w:hAnsi="Futura Std Condensed Light" w:cs="Calibri"/>
                <w:b/>
                <w:sz w:val="20"/>
                <w:szCs w:val="20"/>
              </w:rPr>
            </w:pPr>
            <w:r w:rsidRPr="00472DC4">
              <w:rPr>
                <w:rFonts w:ascii="Futura Std Condensed Light" w:eastAsia="Calibri" w:hAnsi="Futura Std Condensed Light" w:cs="Calibri"/>
                <w:b/>
                <w:sz w:val="20"/>
                <w:szCs w:val="20"/>
              </w:rPr>
              <w:t>Entregable:</w:t>
            </w:r>
          </w:p>
        </w:tc>
        <w:tc>
          <w:tcPr>
            <w:tcW w:w="958" w:type="pct"/>
            <w:gridSpan w:val="3"/>
          </w:tcPr>
          <w:p w14:paraId="35182D15" w14:textId="77777777" w:rsidR="0021177B" w:rsidRPr="00472DC4" w:rsidRDefault="0021177B" w:rsidP="009E3B2F">
            <w:pPr>
              <w:contextualSpacing/>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Escuela atendidas</w:t>
            </w:r>
          </w:p>
        </w:tc>
        <w:tc>
          <w:tcPr>
            <w:tcW w:w="1662" w:type="pct"/>
            <w:gridSpan w:val="5"/>
          </w:tcPr>
          <w:p w14:paraId="7B865611" w14:textId="77777777" w:rsidR="0021177B" w:rsidRPr="00472DC4" w:rsidRDefault="0021177B" w:rsidP="009E3B2F">
            <w:pPr>
              <w:contextualSpacing/>
              <w:rPr>
                <w:rFonts w:ascii="Futura Std Condensed Light" w:eastAsia="Calibri" w:hAnsi="Futura Std Condensed Light" w:cs="Calibri"/>
                <w:b/>
                <w:sz w:val="20"/>
                <w:szCs w:val="20"/>
              </w:rPr>
            </w:pPr>
            <w:r w:rsidRPr="00472DC4">
              <w:rPr>
                <w:rFonts w:ascii="Futura Std Condensed Light" w:eastAsia="Calibri" w:hAnsi="Futura Std Condensed Light" w:cs="Calibri"/>
                <w:b/>
                <w:sz w:val="20"/>
                <w:szCs w:val="20"/>
              </w:rPr>
              <w:t>Unidad de Medida:</w:t>
            </w:r>
          </w:p>
        </w:tc>
        <w:tc>
          <w:tcPr>
            <w:tcW w:w="1176" w:type="pct"/>
            <w:gridSpan w:val="2"/>
          </w:tcPr>
          <w:p w14:paraId="6BA0C967" w14:textId="77777777" w:rsidR="0021177B" w:rsidRPr="00472DC4" w:rsidRDefault="0021177B" w:rsidP="009E3B2F">
            <w:pPr>
              <w:contextualSpacing/>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 xml:space="preserve">Escuela </w:t>
            </w:r>
          </w:p>
        </w:tc>
      </w:tr>
      <w:tr w:rsidR="0021177B" w:rsidRPr="00472DC4" w14:paraId="635AA963" w14:textId="77777777" w:rsidTr="001F10CF">
        <w:trPr>
          <w:trHeight w:val="449"/>
        </w:trPr>
        <w:tc>
          <w:tcPr>
            <w:tcW w:w="1204" w:type="pct"/>
            <w:gridSpan w:val="2"/>
          </w:tcPr>
          <w:p w14:paraId="564E6F45" w14:textId="77777777" w:rsidR="0021177B" w:rsidRPr="00472DC4" w:rsidRDefault="0021177B" w:rsidP="009E3B2F">
            <w:pPr>
              <w:contextualSpacing/>
              <w:rPr>
                <w:rFonts w:ascii="Futura Std Condensed Light" w:eastAsia="Calibri" w:hAnsi="Futura Std Condensed Light" w:cs="Calibri"/>
                <w:b/>
                <w:sz w:val="20"/>
                <w:szCs w:val="20"/>
              </w:rPr>
            </w:pPr>
            <w:r w:rsidRPr="00472DC4">
              <w:rPr>
                <w:rFonts w:ascii="Futura Std Condensed Light" w:eastAsia="Calibri" w:hAnsi="Futura Std Condensed Light" w:cs="Calibri"/>
                <w:b/>
                <w:sz w:val="20"/>
                <w:szCs w:val="20"/>
              </w:rPr>
              <w:t>Descripción:</w:t>
            </w:r>
          </w:p>
        </w:tc>
        <w:tc>
          <w:tcPr>
            <w:tcW w:w="3796" w:type="pct"/>
            <w:gridSpan w:val="10"/>
          </w:tcPr>
          <w:p w14:paraId="1A0F9883" w14:textId="77777777" w:rsidR="0021177B" w:rsidRPr="00472DC4" w:rsidRDefault="0021177B" w:rsidP="009E3B2F">
            <w:pPr>
              <w:contextualSpacing/>
              <w:rPr>
                <w:rFonts w:ascii="Futura Std Condensed Light" w:eastAsia="Calibri" w:hAnsi="Futura Std Condensed Light" w:cs="Calibri"/>
                <w:b/>
                <w:sz w:val="20"/>
                <w:szCs w:val="20"/>
              </w:rPr>
            </w:pPr>
            <w:r w:rsidRPr="003D50DB">
              <w:rPr>
                <w:rFonts w:ascii="Futura Std Condensed Light" w:eastAsia="Calibri" w:hAnsi="Futura Std Condensed Light" w:cs="Calibri"/>
                <w:sz w:val="20"/>
                <w:szCs w:val="20"/>
              </w:rPr>
              <w:t>Prevenir y atender situaciones de riesgo dentro de los centros escolares, mediante actividades (pláticas, talleres, capacitaciones, conferencias, rallys, foros, obras de teatro, sesiones, actividades lúdicas etc. ),  enfocadas a los alumnos, figuras educativas y padres de familia de todos los niveles educativos.</w:t>
            </w:r>
          </w:p>
        </w:tc>
      </w:tr>
      <w:tr w:rsidR="0021177B" w:rsidRPr="00472DC4" w14:paraId="74D8B193" w14:textId="77777777" w:rsidTr="001F10CF">
        <w:trPr>
          <w:trHeight w:val="484"/>
        </w:trPr>
        <w:tc>
          <w:tcPr>
            <w:tcW w:w="1804" w:type="pct"/>
            <w:gridSpan w:val="4"/>
          </w:tcPr>
          <w:p w14:paraId="282125F7" w14:textId="77777777" w:rsidR="0021177B" w:rsidRPr="00472DC4" w:rsidRDefault="0021177B" w:rsidP="009E3B2F">
            <w:pPr>
              <w:contextualSpacing/>
              <w:rPr>
                <w:rFonts w:ascii="Futura Std Condensed Light" w:eastAsia="Calibri" w:hAnsi="Futura Std Condensed Light" w:cs="Calibri"/>
                <w:b/>
                <w:sz w:val="20"/>
                <w:szCs w:val="20"/>
              </w:rPr>
            </w:pPr>
            <w:r w:rsidRPr="00472DC4">
              <w:rPr>
                <w:rFonts w:ascii="Futura Std Condensed Light" w:eastAsia="Calibri" w:hAnsi="Futura Std Condensed Light" w:cs="Calibri"/>
                <w:b/>
                <w:sz w:val="20"/>
                <w:szCs w:val="20"/>
              </w:rPr>
              <w:t>Medio de verificación:</w:t>
            </w:r>
          </w:p>
        </w:tc>
        <w:tc>
          <w:tcPr>
            <w:tcW w:w="3196" w:type="pct"/>
            <w:gridSpan w:val="8"/>
          </w:tcPr>
          <w:p w14:paraId="1ABA36E5" w14:textId="77777777" w:rsidR="0021177B" w:rsidRPr="00472DC4" w:rsidRDefault="0021177B" w:rsidP="009E3B2F">
            <w:pPr>
              <w:contextualSpacing/>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Informe de Actividades del Programa de Seguridad Escolar</w:t>
            </w:r>
          </w:p>
        </w:tc>
      </w:tr>
      <w:tr w:rsidR="0021177B" w:rsidRPr="00472DC4" w14:paraId="676473E5" w14:textId="77777777" w:rsidTr="001F10CF">
        <w:trPr>
          <w:trHeight w:val="484"/>
        </w:trPr>
        <w:tc>
          <w:tcPr>
            <w:tcW w:w="1804" w:type="pct"/>
            <w:gridSpan w:val="4"/>
          </w:tcPr>
          <w:p w14:paraId="3821520F" w14:textId="77777777" w:rsidR="0021177B" w:rsidRPr="00472DC4" w:rsidRDefault="0021177B" w:rsidP="009E3B2F">
            <w:pPr>
              <w:contextualSpacing/>
              <w:rPr>
                <w:rFonts w:ascii="Futura Std Condensed Light" w:eastAsia="Calibri" w:hAnsi="Futura Std Condensed Light" w:cs="Calibri"/>
                <w:b/>
                <w:sz w:val="20"/>
                <w:szCs w:val="20"/>
              </w:rPr>
            </w:pPr>
            <w:r w:rsidRPr="00472DC4">
              <w:rPr>
                <w:rFonts w:ascii="Futura Std Condensed Light" w:eastAsia="Calibri" w:hAnsi="Futura Std Condensed Light" w:cs="Calibri"/>
                <w:b/>
                <w:sz w:val="20"/>
                <w:szCs w:val="20"/>
              </w:rPr>
              <w:t>Línea base:</w:t>
            </w:r>
          </w:p>
        </w:tc>
        <w:tc>
          <w:tcPr>
            <w:tcW w:w="904" w:type="pct"/>
            <w:gridSpan w:val="3"/>
          </w:tcPr>
          <w:p w14:paraId="7155D473" w14:textId="77777777" w:rsidR="0021177B" w:rsidRPr="00472DC4" w:rsidRDefault="0021177B" w:rsidP="009E3B2F">
            <w:pPr>
              <w:contextualSpacing/>
              <w:jc w:val="center"/>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0</w:t>
            </w:r>
          </w:p>
        </w:tc>
        <w:tc>
          <w:tcPr>
            <w:tcW w:w="1113" w:type="pct"/>
            <w:gridSpan w:val="2"/>
          </w:tcPr>
          <w:p w14:paraId="04C4392A" w14:textId="77777777" w:rsidR="0021177B" w:rsidRPr="00472DC4" w:rsidRDefault="0021177B" w:rsidP="009E3B2F">
            <w:pPr>
              <w:contextualSpacing/>
              <w:rPr>
                <w:rFonts w:ascii="Futura Std Condensed Light" w:eastAsia="Calibri" w:hAnsi="Futura Std Condensed Light" w:cs="Calibri"/>
                <w:b/>
                <w:sz w:val="20"/>
                <w:szCs w:val="20"/>
              </w:rPr>
            </w:pPr>
            <w:r w:rsidRPr="00472DC4">
              <w:rPr>
                <w:rFonts w:ascii="Futura Std Condensed Light" w:eastAsia="Calibri" w:hAnsi="Futura Std Condensed Light" w:cs="Calibri"/>
                <w:b/>
                <w:sz w:val="20"/>
                <w:szCs w:val="20"/>
              </w:rPr>
              <w:t>Año de línea base:</w:t>
            </w:r>
          </w:p>
        </w:tc>
        <w:tc>
          <w:tcPr>
            <w:tcW w:w="1179" w:type="pct"/>
            <w:gridSpan w:val="3"/>
          </w:tcPr>
          <w:p w14:paraId="76D1BD9F" w14:textId="77777777" w:rsidR="0021177B" w:rsidRPr="00472DC4" w:rsidRDefault="0021177B" w:rsidP="009E3B2F">
            <w:pPr>
              <w:contextualSpacing/>
              <w:jc w:val="center"/>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2018</w:t>
            </w:r>
          </w:p>
        </w:tc>
      </w:tr>
      <w:tr w:rsidR="0021177B" w:rsidRPr="00472DC4" w14:paraId="3DD48FAC" w14:textId="77777777" w:rsidTr="001F10CF">
        <w:trPr>
          <w:trHeight w:val="484"/>
        </w:trPr>
        <w:tc>
          <w:tcPr>
            <w:tcW w:w="1804" w:type="pct"/>
            <w:gridSpan w:val="4"/>
          </w:tcPr>
          <w:p w14:paraId="13BF1134" w14:textId="77777777" w:rsidR="0021177B" w:rsidRPr="00472DC4" w:rsidRDefault="0021177B" w:rsidP="009E3B2F">
            <w:pPr>
              <w:contextualSpacing/>
              <w:rPr>
                <w:rFonts w:ascii="Futura Std Condensed Light" w:eastAsia="Calibri" w:hAnsi="Futura Std Condensed Light" w:cs="Calibri"/>
                <w:b/>
                <w:sz w:val="20"/>
                <w:szCs w:val="20"/>
              </w:rPr>
            </w:pPr>
            <w:r w:rsidRPr="00472DC4">
              <w:rPr>
                <w:rFonts w:ascii="Futura Std Condensed Light" w:eastAsia="Calibri" w:hAnsi="Futura Std Condensed Light" w:cs="Calibri"/>
                <w:b/>
                <w:sz w:val="20"/>
                <w:szCs w:val="20"/>
              </w:rPr>
              <w:t>Contribución Directa al Objetivo de la Agenda 2030</w:t>
            </w:r>
          </w:p>
        </w:tc>
        <w:tc>
          <w:tcPr>
            <w:tcW w:w="3196" w:type="pct"/>
            <w:gridSpan w:val="8"/>
          </w:tcPr>
          <w:p w14:paraId="2403B8C8" w14:textId="77777777" w:rsidR="0021177B" w:rsidRPr="00472DC4" w:rsidRDefault="0021177B" w:rsidP="009E3B2F">
            <w:pPr>
              <w:contextualSpacing/>
              <w:rPr>
                <w:rFonts w:ascii="Futura Std Condensed Light" w:eastAsia="Calibri" w:hAnsi="Futura Std Condensed Light" w:cs="Calibri"/>
                <w:sz w:val="20"/>
                <w:szCs w:val="20"/>
              </w:rPr>
            </w:pPr>
            <w:r w:rsidRPr="00472DC4">
              <w:rPr>
                <w:rFonts w:ascii="Futura Std Condensed Light" w:eastAsia="Calibri" w:hAnsi="Futura Std Condensed Light" w:cs="Calibri"/>
                <w:sz w:val="20"/>
                <w:szCs w:val="20"/>
              </w:rPr>
              <w:t>Garantizar una educación inclusiva, equitativa y de calidad y promover oportunidades de aprendizaje durante toda la vida para todos</w:t>
            </w:r>
          </w:p>
        </w:tc>
      </w:tr>
      <w:tr w:rsidR="0021177B" w:rsidRPr="00472DC4" w14:paraId="0E7C9F7E" w14:textId="77777777" w:rsidTr="001F10CF">
        <w:trPr>
          <w:trHeight w:val="484"/>
        </w:trPr>
        <w:tc>
          <w:tcPr>
            <w:tcW w:w="1804" w:type="pct"/>
            <w:gridSpan w:val="4"/>
          </w:tcPr>
          <w:p w14:paraId="1E988A1C" w14:textId="77777777" w:rsidR="0021177B" w:rsidRPr="00472DC4" w:rsidRDefault="0021177B" w:rsidP="009E3B2F">
            <w:pPr>
              <w:contextualSpacing/>
              <w:rPr>
                <w:rFonts w:ascii="Futura Std Condensed Light" w:eastAsia="Calibri" w:hAnsi="Futura Std Condensed Light" w:cs="Calibri"/>
                <w:b/>
                <w:sz w:val="20"/>
                <w:szCs w:val="20"/>
              </w:rPr>
            </w:pPr>
            <w:r w:rsidRPr="00472DC4">
              <w:rPr>
                <w:rFonts w:ascii="Futura Std Condensed Light" w:eastAsia="Calibri" w:hAnsi="Futura Std Condensed Light" w:cs="Calibri"/>
                <w:b/>
                <w:sz w:val="20"/>
                <w:szCs w:val="20"/>
              </w:rPr>
              <w:t>Contribución Directa  a la Meta de la Agenda 2030</w:t>
            </w:r>
          </w:p>
        </w:tc>
        <w:tc>
          <w:tcPr>
            <w:tcW w:w="3196" w:type="pct"/>
            <w:gridSpan w:val="8"/>
          </w:tcPr>
          <w:p w14:paraId="5CF718BB" w14:textId="77777777" w:rsidR="0021177B" w:rsidRPr="00472DC4" w:rsidRDefault="0021177B" w:rsidP="009E3B2F">
            <w:pPr>
              <w:contextualSpacing/>
              <w:rPr>
                <w:rFonts w:ascii="Futura Std Condensed Light" w:eastAsia="Calibri" w:hAnsi="Futura Std Condensed Light" w:cs="Calibri"/>
                <w:sz w:val="20"/>
                <w:szCs w:val="20"/>
              </w:rPr>
            </w:pPr>
            <w:r w:rsidRPr="00472DC4">
              <w:rPr>
                <w:rFonts w:ascii="Futura Std Condensed Light" w:eastAsia="Calibri" w:hAnsi="Futura Std Condensed Light" w:cs="Calibri"/>
                <w:sz w:val="20"/>
                <w:szCs w:val="20"/>
              </w:rPr>
              <w:t>De aquí a 2030, asegurar que todos los alumnos adquieran los conocimientos teóricos y prácticos necesarios para promover el desarrollo sostenible, entre otras cosas mediante la educación para el desarrollo sostenible y los estilos de vida sostenibles, los derechos humanos, la igualdad de género, la promoción de una cultura de paz y no violencia, la ciudadanía mundial y la valoración de la diversidad cultural y la contribución de la cultura al desarrollo sostenible.</w:t>
            </w:r>
          </w:p>
        </w:tc>
      </w:tr>
      <w:tr w:rsidR="0021177B" w:rsidRPr="00472DC4" w14:paraId="2915275B" w14:textId="77777777" w:rsidTr="001F10CF">
        <w:trPr>
          <w:trHeight w:val="484"/>
        </w:trPr>
        <w:tc>
          <w:tcPr>
            <w:tcW w:w="1804" w:type="pct"/>
            <w:gridSpan w:val="4"/>
          </w:tcPr>
          <w:p w14:paraId="5DFF6B48" w14:textId="77777777" w:rsidR="0021177B" w:rsidRPr="00472DC4" w:rsidRDefault="0021177B" w:rsidP="009E3B2F">
            <w:pPr>
              <w:contextualSpacing/>
              <w:rPr>
                <w:rFonts w:ascii="Futura Std Condensed Light" w:eastAsia="Calibri" w:hAnsi="Futura Std Condensed Light" w:cs="Calibri"/>
                <w:b/>
                <w:sz w:val="20"/>
                <w:szCs w:val="20"/>
              </w:rPr>
            </w:pPr>
            <w:r w:rsidRPr="00472DC4">
              <w:rPr>
                <w:rFonts w:ascii="Futura Std Condensed Light" w:eastAsia="Calibri" w:hAnsi="Futura Std Condensed Light" w:cs="Calibri"/>
                <w:b/>
                <w:sz w:val="20"/>
                <w:szCs w:val="20"/>
              </w:rPr>
              <w:t>Tema / Proyecto Prioritario de Quintana Roo</w:t>
            </w:r>
          </w:p>
        </w:tc>
        <w:tc>
          <w:tcPr>
            <w:tcW w:w="3196" w:type="pct"/>
            <w:gridSpan w:val="8"/>
          </w:tcPr>
          <w:p w14:paraId="2AC38013" w14:textId="77777777" w:rsidR="0021177B" w:rsidRPr="00472DC4" w:rsidRDefault="0021177B" w:rsidP="009E3B2F">
            <w:pPr>
              <w:contextualSpacing/>
              <w:rPr>
                <w:rFonts w:ascii="Futura Std Condensed Light" w:eastAsia="Calibri" w:hAnsi="Futura Std Condensed Light" w:cs="Calibri"/>
                <w:sz w:val="20"/>
                <w:szCs w:val="20"/>
              </w:rPr>
            </w:pPr>
            <w:r w:rsidRPr="00472DC4">
              <w:rPr>
                <w:rFonts w:ascii="Futura Std Condensed Light" w:eastAsia="Calibri" w:hAnsi="Futura Std Condensed Light" w:cs="Calibri"/>
                <w:sz w:val="20"/>
                <w:szCs w:val="20"/>
              </w:rPr>
              <w:t>24.5 Abatir el rezago educativo</w:t>
            </w:r>
          </w:p>
        </w:tc>
      </w:tr>
      <w:tr w:rsidR="0021177B" w:rsidRPr="00472DC4" w14:paraId="78860A7D" w14:textId="77777777" w:rsidTr="001F10CF">
        <w:trPr>
          <w:trHeight w:val="484"/>
        </w:trPr>
        <w:tc>
          <w:tcPr>
            <w:tcW w:w="1804" w:type="pct"/>
            <w:gridSpan w:val="4"/>
          </w:tcPr>
          <w:p w14:paraId="2B93885B" w14:textId="77777777" w:rsidR="0021177B" w:rsidRPr="00472DC4" w:rsidRDefault="0021177B" w:rsidP="009E3B2F">
            <w:pPr>
              <w:contextualSpacing/>
              <w:rPr>
                <w:rFonts w:ascii="Futura Std Condensed Light" w:eastAsia="Calibri" w:hAnsi="Futura Std Condensed Light" w:cs="Calibri"/>
                <w:b/>
                <w:sz w:val="20"/>
                <w:szCs w:val="20"/>
              </w:rPr>
            </w:pPr>
            <w:r w:rsidRPr="00472DC4">
              <w:rPr>
                <w:rFonts w:ascii="Futura Std Condensed Light" w:eastAsia="Calibri" w:hAnsi="Futura Std Condensed Light" w:cs="Calibri"/>
                <w:b/>
                <w:sz w:val="20"/>
                <w:szCs w:val="20"/>
              </w:rPr>
              <w:t>Subtema Prioritario de Quintana Roo</w:t>
            </w:r>
          </w:p>
        </w:tc>
        <w:tc>
          <w:tcPr>
            <w:tcW w:w="3196" w:type="pct"/>
            <w:gridSpan w:val="8"/>
          </w:tcPr>
          <w:p w14:paraId="55E2CAAC" w14:textId="77777777" w:rsidR="0021177B" w:rsidRPr="00472DC4" w:rsidRDefault="0021177B" w:rsidP="009E3B2F">
            <w:pPr>
              <w:contextualSpacing/>
              <w:rPr>
                <w:rFonts w:ascii="Futura Std Condensed Light" w:eastAsia="Calibri" w:hAnsi="Futura Std Condensed Light" w:cs="Calibri"/>
                <w:sz w:val="20"/>
                <w:szCs w:val="20"/>
              </w:rPr>
            </w:pPr>
            <w:r w:rsidRPr="00472DC4">
              <w:rPr>
                <w:rFonts w:ascii="Futura Std Condensed Light" w:eastAsia="Calibri" w:hAnsi="Futura Std Condensed Light" w:cs="Calibri"/>
                <w:sz w:val="20"/>
                <w:szCs w:val="20"/>
              </w:rPr>
              <w:t>N/A</w:t>
            </w:r>
          </w:p>
        </w:tc>
      </w:tr>
      <w:tr w:rsidR="0021177B" w:rsidRPr="00472DC4" w14:paraId="35ABBD33" w14:textId="77777777" w:rsidTr="009E3B2F">
        <w:trPr>
          <w:trHeight w:val="484"/>
        </w:trPr>
        <w:tc>
          <w:tcPr>
            <w:tcW w:w="5000" w:type="pct"/>
            <w:gridSpan w:val="12"/>
          </w:tcPr>
          <w:p w14:paraId="494D4DBA" w14:textId="77777777" w:rsidR="0021177B" w:rsidRPr="00472DC4" w:rsidRDefault="0021177B" w:rsidP="009E3B2F">
            <w:pPr>
              <w:contextualSpacing/>
              <w:jc w:val="center"/>
              <w:rPr>
                <w:rFonts w:ascii="Futura Std Condensed Light" w:eastAsia="Calibri" w:hAnsi="Futura Std Condensed Light" w:cs="Calibri"/>
                <w:b/>
                <w:sz w:val="20"/>
                <w:szCs w:val="20"/>
              </w:rPr>
            </w:pPr>
            <w:r w:rsidRPr="00472DC4">
              <w:rPr>
                <w:rFonts w:ascii="Futura Std Condensed Light" w:eastAsia="Calibri" w:hAnsi="Futura Std Condensed Light" w:cs="Calibri"/>
                <w:b/>
                <w:sz w:val="20"/>
                <w:szCs w:val="20"/>
              </w:rPr>
              <w:t>Meta Total:</w:t>
            </w:r>
          </w:p>
        </w:tc>
      </w:tr>
      <w:tr w:rsidR="0021177B" w:rsidRPr="00472DC4" w14:paraId="7B657BF1" w14:textId="77777777" w:rsidTr="001F10CF">
        <w:trPr>
          <w:trHeight w:val="484"/>
        </w:trPr>
        <w:tc>
          <w:tcPr>
            <w:tcW w:w="780" w:type="pct"/>
          </w:tcPr>
          <w:p w14:paraId="18862532" w14:textId="77777777" w:rsidR="0021177B" w:rsidRPr="00472DC4" w:rsidRDefault="0021177B" w:rsidP="009E3B2F">
            <w:pPr>
              <w:contextualSpacing/>
              <w:jc w:val="center"/>
              <w:rPr>
                <w:rFonts w:ascii="Futura Std Condensed Light" w:eastAsia="Calibri" w:hAnsi="Futura Std Condensed Light" w:cs="Calibri"/>
                <w:b/>
                <w:sz w:val="20"/>
                <w:szCs w:val="20"/>
              </w:rPr>
            </w:pPr>
            <w:r w:rsidRPr="00472DC4">
              <w:rPr>
                <w:rFonts w:ascii="Futura Std Condensed Light" w:eastAsia="Calibri" w:hAnsi="Futura Std Condensed Light" w:cs="Calibri"/>
                <w:b/>
                <w:sz w:val="20"/>
                <w:szCs w:val="20"/>
              </w:rPr>
              <w:lastRenderedPageBreak/>
              <w:t>2017</w:t>
            </w:r>
          </w:p>
        </w:tc>
        <w:tc>
          <w:tcPr>
            <w:tcW w:w="782" w:type="pct"/>
            <w:gridSpan w:val="2"/>
          </w:tcPr>
          <w:p w14:paraId="6D4DB691" w14:textId="77777777" w:rsidR="0021177B" w:rsidRPr="00472DC4" w:rsidRDefault="0021177B" w:rsidP="009E3B2F">
            <w:pPr>
              <w:contextualSpacing/>
              <w:jc w:val="center"/>
              <w:rPr>
                <w:rFonts w:ascii="Futura Std Condensed Light" w:eastAsia="Calibri" w:hAnsi="Futura Std Condensed Light" w:cs="Calibri"/>
                <w:b/>
                <w:sz w:val="20"/>
                <w:szCs w:val="20"/>
              </w:rPr>
            </w:pPr>
            <w:r w:rsidRPr="00472DC4">
              <w:rPr>
                <w:rFonts w:ascii="Futura Std Condensed Light" w:eastAsia="Calibri" w:hAnsi="Futura Std Condensed Light" w:cs="Calibri"/>
                <w:b/>
                <w:sz w:val="20"/>
                <w:szCs w:val="20"/>
              </w:rPr>
              <w:t>2018</w:t>
            </w:r>
          </w:p>
        </w:tc>
        <w:tc>
          <w:tcPr>
            <w:tcW w:w="814" w:type="pct"/>
            <w:gridSpan w:val="3"/>
          </w:tcPr>
          <w:p w14:paraId="5961DCD9" w14:textId="77777777" w:rsidR="0021177B" w:rsidRPr="00472DC4" w:rsidRDefault="0021177B" w:rsidP="009E3B2F">
            <w:pPr>
              <w:contextualSpacing/>
              <w:jc w:val="center"/>
              <w:rPr>
                <w:rFonts w:ascii="Futura Std Condensed Light" w:eastAsia="Calibri" w:hAnsi="Futura Std Condensed Light" w:cs="Calibri"/>
                <w:b/>
                <w:sz w:val="20"/>
                <w:szCs w:val="20"/>
              </w:rPr>
            </w:pPr>
            <w:r w:rsidRPr="00472DC4">
              <w:rPr>
                <w:rFonts w:ascii="Futura Std Condensed Light" w:eastAsia="Calibri" w:hAnsi="Futura Std Condensed Light" w:cs="Calibri"/>
                <w:b/>
                <w:sz w:val="20"/>
                <w:szCs w:val="20"/>
              </w:rPr>
              <w:t>2019</w:t>
            </w:r>
          </w:p>
        </w:tc>
        <w:tc>
          <w:tcPr>
            <w:tcW w:w="814" w:type="pct"/>
            <w:gridSpan w:val="2"/>
          </w:tcPr>
          <w:p w14:paraId="1A625A8F" w14:textId="77777777" w:rsidR="0021177B" w:rsidRPr="00472DC4" w:rsidRDefault="0021177B" w:rsidP="009E3B2F">
            <w:pPr>
              <w:contextualSpacing/>
              <w:jc w:val="center"/>
              <w:rPr>
                <w:rFonts w:ascii="Futura Std Condensed Light" w:eastAsia="Calibri" w:hAnsi="Futura Std Condensed Light" w:cs="Calibri"/>
                <w:b/>
                <w:sz w:val="20"/>
                <w:szCs w:val="20"/>
              </w:rPr>
            </w:pPr>
            <w:r w:rsidRPr="00472DC4">
              <w:rPr>
                <w:rFonts w:ascii="Futura Std Condensed Light" w:eastAsia="Calibri" w:hAnsi="Futura Std Condensed Light" w:cs="Calibri"/>
                <w:b/>
                <w:sz w:val="20"/>
                <w:szCs w:val="20"/>
              </w:rPr>
              <w:t>2020</w:t>
            </w:r>
          </w:p>
        </w:tc>
        <w:tc>
          <w:tcPr>
            <w:tcW w:w="965" w:type="pct"/>
            <w:gridSpan w:val="3"/>
          </w:tcPr>
          <w:p w14:paraId="4A38DEBD" w14:textId="77777777" w:rsidR="0021177B" w:rsidRPr="00472DC4" w:rsidRDefault="0021177B" w:rsidP="009E3B2F">
            <w:pPr>
              <w:contextualSpacing/>
              <w:jc w:val="center"/>
              <w:rPr>
                <w:rFonts w:ascii="Futura Std Condensed Light" w:eastAsia="Calibri" w:hAnsi="Futura Std Condensed Light" w:cs="Calibri"/>
                <w:b/>
                <w:sz w:val="20"/>
                <w:szCs w:val="20"/>
              </w:rPr>
            </w:pPr>
            <w:r w:rsidRPr="00472DC4">
              <w:rPr>
                <w:rFonts w:ascii="Futura Std Condensed Light" w:eastAsia="Calibri" w:hAnsi="Futura Std Condensed Light" w:cs="Calibri"/>
                <w:b/>
                <w:sz w:val="20"/>
                <w:szCs w:val="20"/>
              </w:rPr>
              <w:t>2021</w:t>
            </w:r>
          </w:p>
        </w:tc>
        <w:tc>
          <w:tcPr>
            <w:tcW w:w="845" w:type="pct"/>
          </w:tcPr>
          <w:p w14:paraId="02C5DABF" w14:textId="77777777" w:rsidR="0021177B" w:rsidRPr="00472DC4" w:rsidRDefault="0021177B" w:rsidP="009E3B2F">
            <w:pPr>
              <w:contextualSpacing/>
              <w:jc w:val="center"/>
              <w:rPr>
                <w:rFonts w:ascii="Futura Std Condensed Light" w:eastAsia="Calibri" w:hAnsi="Futura Std Condensed Light" w:cs="Calibri"/>
                <w:b/>
                <w:sz w:val="20"/>
                <w:szCs w:val="20"/>
              </w:rPr>
            </w:pPr>
            <w:r w:rsidRPr="00472DC4">
              <w:rPr>
                <w:rFonts w:ascii="Futura Std Condensed Light" w:eastAsia="Calibri" w:hAnsi="Futura Std Condensed Light" w:cs="Calibri"/>
                <w:b/>
                <w:sz w:val="20"/>
                <w:szCs w:val="20"/>
              </w:rPr>
              <w:t>2022</w:t>
            </w:r>
          </w:p>
        </w:tc>
      </w:tr>
      <w:tr w:rsidR="001F10CF" w:rsidRPr="00472DC4" w14:paraId="4E61BFE0" w14:textId="77777777" w:rsidTr="001F10CF">
        <w:trPr>
          <w:trHeight w:val="484"/>
        </w:trPr>
        <w:tc>
          <w:tcPr>
            <w:tcW w:w="780" w:type="pct"/>
          </w:tcPr>
          <w:p w14:paraId="7F50D358" w14:textId="77777777" w:rsidR="001F10CF" w:rsidRPr="00472DC4" w:rsidRDefault="001F10CF" w:rsidP="009E3B2F">
            <w:pPr>
              <w:contextualSpacing/>
              <w:jc w:val="center"/>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0</w:t>
            </w:r>
          </w:p>
        </w:tc>
        <w:tc>
          <w:tcPr>
            <w:tcW w:w="782" w:type="pct"/>
            <w:gridSpan w:val="2"/>
          </w:tcPr>
          <w:p w14:paraId="5AC8E568" w14:textId="77777777" w:rsidR="001F10CF" w:rsidRPr="00472DC4" w:rsidRDefault="001F10CF" w:rsidP="009E3B2F">
            <w:pPr>
              <w:contextualSpacing/>
              <w:jc w:val="center"/>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0</w:t>
            </w:r>
          </w:p>
        </w:tc>
        <w:tc>
          <w:tcPr>
            <w:tcW w:w="814" w:type="pct"/>
            <w:gridSpan w:val="3"/>
          </w:tcPr>
          <w:p w14:paraId="73A9440B" w14:textId="5C1655A5" w:rsidR="001F10CF" w:rsidRPr="00472DC4" w:rsidRDefault="001F10CF" w:rsidP="009E3B2F">
            <w:pPr>
              <w:contextualSpacing/>
              <w:jc w:val="center"/>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0</w:t>
            </w:r>
          </w:p>
        </w:tc>
        <w:tc>
          <w:tcPr>
            <w:tcW w:w="814" w:type="pct"/>
            <w:gridSpan w:val="2"/>
          </w:tcPr>
          <w:p w14:paraId="6815AC28" w14:textId="68553FCE" w:rsidR="001F10CF" w:rsidRPr="00472DC4" w:rsidRDefault="001F10CF" w:rsidP="009E3B2F">
            <w:pPr>
              <w:contextualSpacing/>
              <w:jc w:val="center"/>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120</w:t>
            </w:r>
          </w:p>
        </w:tc>
        <w:tc>
          <w:tcPr>
            <w:tcW w:w="965" w:type="pct"/>
            <w:gridSpan w:val="3"/>
          </w:tcPr>
          <w:p w14:paraId="1A649256" w14:textId="5403A55F" w:rsidR="001F10CF" w:rsidRPr="00472DC4" w:rsidRDefault="001F10CF" w:rsidP="009E3B2F">
            <w:pPr>
              <w:contextualSpacing/>
              <w:jc w:val="center"/>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120</w:t>
            </w:r>
          </w:p>
        </w:tc>
        <w:tc>
          <w:tcPr>
            <w:tcW w:w="845" w:type="pct"/>
          </w:tcPr>
          <w:p w14:paraId="227A7185" w14:textId="52008613" w:rsidR="001F10CF" w:rsidRPr="00472DC4" w:rsidRDefault="001F10CF" w:rsidP="009E3B2F">
            <w:pPr>
              <w:contextualSpacing/>
              <w:jc w:val="center"/>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120</w:t>
            </w:r>
          </w:p>
        </w:tc>
      </w:tr>
    </w:tbl>
    <w:p w14:paraId="190ED18B" w14:textId="1B82153C" w:rsidR="00913635" w:rsidRDefault="00913635" w:rsidP="0021177B">
      <w:pPr>
        <w:rPr>
          <w:rFonts w:ascii="Futura Std Condensed Light" w:eastAsia="Calibri" w:hAnsi="Futura Std Condensed Light" w:cs="Calibri"/>
          <w:sz w:val="20"/>
          <w:szCs w:val="20"/>
        </w:rPr>
      </w:pPr>
    </w:p>
    <w:p w14:paraId="687560A8" w14:textId="77777777" w:rsidR="00913635" w:rsidRDefault="00913635">
      <w:pPr>
        <w:spacing w:after="0" w:line="240" w:lineRule="auto"/>
        <w:jc w:val="left"/>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br w:type="page"/>
      </w:r>
    </w:p>
    <w:p w14:paraId="15BDF856" w14:textId="6DC54926" w:rsidR="0021177B" w:rsidRDefault="00980EAE" w:rsidP="0021177B">
      <w:pPr>
        <w:jc w:val="center"/>
      </w:pPr>
      <w:r>
        <w:rPr>
          <w:rFonts w:eastAsia="Arial" w:cs="Times New Roman"/>
          <w:b/>
          <w:color w:val="4BACC6" w:themeColor="accent5"/>
        </w:rPr>
        <w:lastRenderedPageBreak/>
        <w:t>Cuadro 53</w:t>
      </w:r>
      <w:r w:rsidR="0021177B">
        <w:rPr>
          <w:rFonts w:eastAsia="Arial" w:cs="Times New Roman"/>
          <w:b/>
          <w:color w:val="4BACC6" w:themeColor="accent5"/>
        </w:rPr>
        <w:t>. Entregable y meta de la línea de acción 26 del PED</w:t>
      </w:r>
    </w:p>
    <w:tbl>
      <w:tblPr>
        <w:tblStyle w:val="Tablaconcuadrcula"/>
        <w:tblW w:w="5000" w:type="pct"/>
        <w:tblLook w:val="04A0" w:firstRow="1" w:lastRow="0" w:firstColumn="1" w:lastColumn="0" w:noHBand="0" w:noVBand="1"/>
      </w:tblPr>
      <w:tblGrid>
        <w:gridCol w:w="1489"/>
        <w:gridCol w:w="813"/>
        <w:gridCol w:w="679"/>
        <w:gridCol w:w="462"/>
        <w:gridCol w:w="687"/>
        <w:gridCol w:w="576"/>
        <w:gridCol w:w="462"/>
        <w:gridCol w:w="917"/>
        <w:gridCol w:w="1205"/>
        <w:gridCol w:w="7"/>
        <w:gridCol w:w="626"/>
        <w:gridCol w:w="1614"/>
      </w:tblGrid>
      <w:tr w:rsidR="0021177B" w:rsidRPr="003B479E" w14:paraId="7E35719A" w14:textId="77777777" w:rsidTr="003B479E">
        <w:trPr>
          <w:trHeight w:val="182"/>
        </w:trPr>
        <w:tc>
          <w:tcPr>
            <w:tcW w:w="1806" w:type="pct"/>
            <w:gridSpan w:val="4"/>
            <w:shd w:val="clear" w:color="auto" w:fill="A6A6A6" w:themeFill="background1" w:themeFillShade="A6"/>
          </w:tcPr>
          <w:p w14:paraId="33ECABCC" w14:textId="77777777" w:rsidR="0021177B" w:rsidRPr="003B479E" w:rsidRDefault="0021177B" w:rsidP="009E3B2F">
            <w:pPr>
              <w:contextualSpacing/>
              <w:jc w:val="center"/>
              <w:rPr>
                <w:rFonts w:ascii="Futura Std Condensed Light" w:eastAsia="Calibri" w:hAnsi="Futura Std Condensed Light" w:cs="Calibri"/>
                <w:color w:val="auto"/>
                <w:sz w:val="20"/>
                <w:szCs w:val="20"/>
              </w:rPr>
            </w:pPr>
            <w:r w:rsidRPr="003B479E">
              <w:rPr>
                <w:rFonts w:ascii="Futura Std Condensed Light" w:eastAsia="Calibri" w:hAnsi="Futura Std Condensed Light" w:cs="Calibri"/>
                <w:color w:val="auto"/>
                <w:sz w:val="20"/>
                <w:szCs w:val="20"/>
              </w:rPr>
              <w:t>Programa PED</w:t>
            </w:r>
          </w:p>
        </w:tc>
        <w:tc>
          <w:tcPr>
            <w:tcW w:w="3194" w:type="pct"/>
            <w:gridSpan w:val="8"/>
            <w:shd w:val="clear" w:color="auto" w:fill="A6A6A6" w:themeFill="background1" w:themeFillShade="A6"/>
          </w:tcPr>
          <w:p w14:paraId="19877F90" w14:textId="77777777" w:rsidR="0021177B" w:rsidRPr="003B479E" w:rsidRDefault="0021177B" w:rsidP="009E3B2F">
            <w:pPr>
              <w:contextualSpacing/>
              <w:jc w:val="center"/>
              <w:rPr>
                <w:rFonts w:ascii="Futura Std Condensed Light" w:eastAsia="Calibri" w:hAnsi="Futura Std Condensed Light" w:cs="Calibri"/>
                <w:color w:val="auto"/>
                <w:sz w:val="20"/>
                <w:szCs w:val="20"/>
              </w:rPr>
            </w:pPr>
            <w:r w:rsidRPr="003B479E">
              <w:rPr>
                <w:rFonts w:ascii="Futura Std Condensed Light" w:eastAsia="Calibri" w:hAnsi="Futura Std Condensed Light" w:cs="Calibri"/>
                <w:color w:val="auto"/>
                <w:sz w:val="20"/>
                <w:szCs w:val="20"/>
              </w:rPr>
              <w:t>Programa Sectorial Educación Pública de Calidad</w:t>
            </w:r>
          </w:p>
        </w:tc>
      </w:tr>
      <w:tr w:rsidR="0021177B" w:rsidRPr="00292E98" w14:paraId="314783DE" w14:textId="77777777" w:rsidTr="009E3B2F">
        <w:trPr>
          <w:trHeight w:val="469"/>
        </w:trPr>
        <w:tc>
          <w:tcPr>
            <w:tcW w:w="1806" w:type="pct"/>
            <w:gridSpan w:val="4"/>
          </w:tcPr>
          <w:p w14:paraId="63542D49" w14:textId="77777777" w:rsidR="0021177B" w:rsidRPr="00292E98" w:rsidRDefault="0021177B" w:rsidP="009E3B2F">
            <w:pPr>
              <w:contextualSpacing/>
              <w:rPr>
                <w:rFonts w:ascii="Futura Std Condensed Light" w:eastAsia="Calibri" w:hAnsi="Futura Std Condensed Light" w:cs="Calibri"/>
                <w:b/>
                <w:sz w:val="20"/>
                <w:szCs w:val="20"/>
              </w:rPr>
            </w:pPr>
            <w:r w:rsidRPr="00292E98">
              <w:rPr>
                <w:rFonts w:ascii="Futura Std Condensed Light" w:eastAsia="Calibri" w:hAnsi="Futura Std Condensed Light" w:cs="Calibri"/>
                <w:b/>
                <w:sz w:val="20"/>
                <w:szCs w:val="20"/>
              </w:rPr>
              <w:t>Línea de acción:</w:t>
            </w:r>
          </w:p>
        </w:tc>
        <w:tc>
          <w:tcPr>
            <w:tcW w:w="3194" w:type="pct"/>
            <w:gridSpan w:val="8"/>
          </w:tcPr>
          <w:p w14:paraId="2F5A2B9A" w14:textId="77777777" w:rsidR="0021177B" w:rsidRPr="00292E98" w:rsidRDefault="0021177B" w:rsidP="009E3B2F">
            <w:pPr>
              <w:spacing w:after="160" w:line="259" w:lineRule="auto"/>
              <w:contextualSpacing/>
              <w:rPr>
                <w:rFonts w:ascii="Futura Std Condensed Light" w:eastAsia="Calibri" w:hAnsi="Futura Std Condensed Light" w:cs="Calibri"/>
                <w:sz w:val="20"/>
                <w:szCs w:val="20"/>
              </w:rPr>
            </w:pPr>
            <w:r w:rsidRPr="00292E98">
              <w:rPr>
                <w:rFonts w:ascii="Futura Std Condensed Light" w:eastAsia="Calibri" w:hAnsi="Futura Std Condensed Light" w:cs="Calibri"/>
                <w:sz w:val="20"/>
                <w:szCs w:val="20"/>
              </w:rPr>
              <w:t>26. Impulsar e implementar acciones permanentes en materia de promoción, protección y defensa de los Derechos Humanos, con la aplicación de planteamientos legales estructurales, así como la constante formación de los Servidores Públicos fortaleciendo el ejercicio de los Derechos Humanos de los ciudadanos</w:t>
            </w:r>
          </w:p>
        </w:tc>
      </w:tr>
      <w:tr w:rsidR="0021177B" w:rsidRPr="00292E98" w14:paraId="1FC1BB66" w14:textId="77777777" w:rsidTr="009E3B2F">
        <w:trPr>
          <w:trHeight w:val="484"/>
        </w:trPr>
        <w:tc>
          <w:tcPr>
            <w:tcW w:w="1806" w:type="pct"/>
            <w:gridSpan w:val="4"/>
          </w:tcPr>
          <w:p w14:paraId="1F9ABC15" w14:textId="77777777" w:rsidR="0021177B" w:rsidRPr="00292E98" w:rsidRDefault="0021177B" w:rsidP="009E3B2F">
            <w:pPr>
              <w:contextualSpacing/>
              <w:rPr>
                <w:rFonts w:ascii="Futura Std Condensed Light" w:eastAsia="Calibri" w:hAnsi="Futura Std Condensed Light" w:cs="Calibri"/>
                <w:b/>
                <w:sz w:val="20"/>
                <w:szCs w:val="20"/>
              </w:rPr>
            </w:pPr>
            <w:r w:rsidRPr="00292E98">
              <w:rPr>
                <w:rFonts w:ascii="Futura Std Condensed Light" w:eastAsia="Calibri" w:hAnsi="Futura Std Condensed Light" w:cs="Calibri"/>
                <w:b/>
                <w:sz w:val="20"/>
                <w:szCs w:val="20"/>
              </w:rPr>
              <w:t>Plan Estratégico Objetivo Especifico</w:t>
            </w:r>
          </w:p>
        </w:tc>
        <w:tc>
          <w:tcPr>
            <w:tcW w:w="3194" w:type="pct"/>
            <w:gridSpan w:val="8"/>
          </w:tcPr>
          <w:p w14:paraId="0E2E42B4" w14:textId="77777777" w:rsidR="0021177B" w:rsidRPr="00292E98" w:rsidRDefault="0021177B" w:rsidP="009E3B2F">
            <w:pPr>
              <w:contextualSpacing/>
              <w:rPr>
                <w:rFonts w:ascii="Futura Std Condensed Light" w:eastAsia="Calibri" w:hAnsi="Futura Std Condensed Light" w:cs="Calibri"/>
                <w:sz w:val="20"/>
                <w:szCs w:val="20"/>
              </w:rPr>
            </w:pPr>
            <w:r w:rsidRPr="00292E98">
              <w:rPr>
                <w:rFonts w:ascii="Futura Std Condensed Light" w:eastAsia="Calibri" w:hAnsi="Futura Std Condensed Light" w:cs="Calibri"/>
                <w:sz w:val="20"/>
                <w:szCs w:val="20"/>
              </w:rPr>
              <w:t>Disminuir la desigualdad en sus diversas formas </w:t>
            </w:r>
          </w:p>
        </w:tc>
      </w:tr>
      <w:tr w:rsidR="0021177B" w:rsidRPr="00292E98" w14:paraId="408614E5" w14:textId="77777777" w:rsidTr="009E3B2F">
        <w:trPr>
          <w:trHeight w:val="484"/>
        </w:trPr>
        <w:tc>
          <w:tcPr>
            <w:tcW w:w="1208" w:type="pct"/>
            <w:gridSpan w:val="2"/>
          </w:tcPr>
          <w:p w14:paraId="663F00E2" w14:textId="77777777" w:rsidR="0021177B" w:rsidRPr="00292E98" w:rsidRDefault="0021177B" w:rsidP="009E3B2F">
            <w:pPr>
              <w:contextualSpacing/>
              <w:rPr>
                <w:rFonts w:ascii="Futura Std Condensed Light" w:eastAsia="Calibri" w:hAnsi="Futura Std Condensed Light" w:cs="Calibri"/>
                <w:b/>
                <w:sz w:val="20"/>
                <w:szCs w:val="20"/>
              </w:rPr>
            </w:pPr>
            <w:r w:rsidRPr="00292E98">
              <w:rPr>
                <w:rFonts w:ascii="Futura Std Condensed Light" w:eastAsia="Calibri" w:hAnsi="Futura Std Condensed Light" w:cs="Calibri"/>
                <w:b/>
                <w:sz w:val="20"/>
                <w:szCs w:val="20"/>
              </w:rPr>
              <w:t>Entregable:</w:t>
            </w:r>
          </w:p>
        </w:tc>
        <w:tc>
          <w:tcPr>
            <w:tcW w:w="958" w:type="pct"/>
            <w:gridSpan w:val="3"/>
          </w:tcPr>
          <w:p w14:paraId="1A11CD39" w14:textId="77777777" w:rsidR="0021177B" w:rsidRPr="00292E98" w:rsidRDefault="0021177B" w:rsidP="009E3B2F">
            <w:pPr>
              <w:contextualSpacing/>
              <w:rPr>
                <w:rFonts w:ascii="Futura Std Condensed Light" w:eastAsia="Calibri" w:hAnsi="Futura Std Condensed Light" w:cs="Calibri"/>
                <w:b/>
                <w:sz w:val="20"/>
                <w:szCs w:val="20"/>
              </w:rPr>
            </w:pPr>
            <w:r w:rsidRPr="00FD4719">
              <w:rPr>
                <w:rFonts w:ascii="Futura Std Condensed Light" w:eastAsia="Calibri" w:hAnsi="Futura Std Condensed Light" w:cs="Calibri"/>
                <w:sz w:val="20"/>
                <w:szCs w:val="20"/>
              </w:rPr>
              <w:t>Actividades de f</w:t>
            </w:r>
            <w:r>
              <w:rPr>
                <w:rFonts w:ascii="Futura Std Condensed Light" w:eastAsia="Calibri" w:hAnsi="Futura Std Condensed Light" w:cs="Calibri"/>
                <w:sz w:val="20"/>
                <w:szCs w:val="20"/>
              </w:rPr>
              <w:t xml:space="preserve">ormación en materia de derechos </w:t>
            </w:r>
            <w:r w:rsidRPr="00FD4719">
              <w:rPr>
                <w:rFonts w:ascii="Futura Std Condensed Light" w:eastAsia="Calibri" w:hAnsi="Futura Std Condensed Light" w:cs="Calibri"/>
                <w:sz w:val="20"/>
                <w:szCs w:val="20"/>
              </w:rPr>
              <w:t>humanos.</w:t>
            </w:r>
          </w:p>
        </w:tc>
        <w:tc>
          <w:tcPr>
            <w:tcW w:w="1660" w:type="pct"/>
            <w:gridSpan w:val="5"/>
          </w:tcPr>
          <w:p w14:paraId="37FAC57F" w14:textId="77777777" w:rsidR="0021177B" w:rsidRPr="00292E98" w:rsidRDefault="0021177B" w:rsidP="009E3B2F">
            <w:pPr>
              <w:contextualSpacing/>
              <w:jc w:val="center"/>
              <w:rPr>
                <w:rFonts w:ascii="Futura Std Condensed Light" w:eastAsia="Calibri" w:hAnsi="Futura Std Condensed Light" w:cs="Calibri"/>
                <w:b/>
                <w:sz w:val="20"/>
                <w:szCs w:val="20"/>
              </w:rPr>
            </w:pPr>
            <w:r w:rsidRPr="00292E98">
              <w:rPr>
                <w:rFonts w:ascii="Futura Std Condensed Light" w:eastAsia="Calibri" w:hAnsi="Futura Std Condensed Light" w:cs="Calibri"/>
                <w:b/>
                <w:sz w:val="20"/>
                <w:szCs w:val="20"/>
              </w:rPr>
              <w:t>Unidad de Medida:</w:t>
            </w:r>
          </w:p>
        </w:tc>
        <w:tc>
          <w:tcPr>
            <w:tcW w:w="1173" w:type="pct"/>
            <w:gridSpan w:val="2"/>
          </w:tcPr>
          <w:p w14:paraId="2A775F0C" w14:textId="77777777" w:rsidR="0021177B" w:rsidRPr="00292E98" w:rsidRDefault="0021177B" w:rsidP="009E3B2F">
            <w:pPr>
              <w:contextualSpacing/>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Personas capacitadas</w:t>
            </w:r>
          </w:p>
        </w:tc>
      </w:tr>
      <w:tr w:rsidR="0021177B" w:rsidRPr="00292E98" w14:paraId="443BFACC" w14:textId="77777777" w:rsidTr="009E3B2F">
        <w:trPr>
          <w:trHeight w:val="449"/>
        </w:trPr>
        <w:tc>
          <w:tcPr>
            <w:tcW w:w="1208" w:type="pct"/>
            <w:gridSpan w:val="2"/>
          </w:tcPr>
          <w:p w14:paraId="72DC5E3E" w14:textId="77777777" w:rsidR="0021177B" w:rsidRPr="00292E98" w:rsidRDefault="0021177B" w:rsidP="009E3B2F">
            <w:pPr>
              <w:contextualSpacing/>
              <w:rPr>
                <w:rFonts w:ascii="Futura Std Condensed Light" w:eastAsia="Calibri" w:hAnsi="Futura Std Condensed Light" w:cs="Calibri"/>
                <w:b/>
                <w:sz w:val="20"/>
                <w:szCs w:val="20"/>
              </w:rPr>
            </w:pPr>
            <w:r w:rsidRPr="00292E98">
              <w:rPr>
                <w:rFonts w:ascii="Futura Std Condensed Light" w:eastAsia="Calibri" w:hAnsi="Futura Std Condensed Light" w:cs="Calibri"/>
                <w:b/>
                <w:sz w:val="20"/>
                <w:szCs w:val="20"/>
              </w:rPr>
              <w:t>Descripción:</w:t>
            </w:r>
          </w:p>
        </w:tc>
        <w:tc>
          <w:tcPr>
            <w:tcW w:w="3792" w:type="pct"/>
            <w:gridSpan w:val="10"/>
          </w:tcPr>
          <w:p w14:paraId="0B18748D" w14:textId="77777777" w:rsidR="0021177B" w:rsidRPr="00FD4719" w:rsidRDefault="0021177B" w:rsidP="009E3B2F">
            <w:pPr>
              <w:contextualSpacing/>
              <w:rPr>
                <w:rFonts w:ascii="Futura Std Condensed Light" w:eastAsia="Calibri" w:hAnsi="Futura Std Condensed Light" w:cs="Calibri"/>
                <w:sz w:val="20"/>
                <w:szCs w:val="20"/>
              </w:rPr>
            </w:pPr>
            <w:r w:rsidRPr="00FD4719">
              <w:rPr>
                <w:rFonts w:ascii="Futura Std Condensed Light" w:eastAsia="Calibri" w:hAnsi="Futura Std Condensed Light" w:cs="Calibri"/>
                <w:sz w:val="20"/>
                <w:szCs w:val="20"/>
              </w:rPr>
              <w:t>Realización de actividades de formación, capacitación y/o sensibilización en temas de Derechos Humanos, Igualdad de Género y Prevención de las Violencias a personas al servicio público que integran la comunidad escolar.</w:t>
            </w:r>
          </w:p>
        </w:tc>
      </w:tr>
      <w:tr w:rsidR="0021177B" w:rsidRPr="00292E98" w14:paraId="4186B4C6" w14:textId="77777777" w:rsidTr="009E3B2F">
        <w:trPr>
          <w:trHeight w:val="484"/>
        </w:trPr>
        <w:tc>
          <w:tcPr>
            <w:tcW w:w="1806" w:type="pct"/>
            <w:gridSpan w:val="4"/>
          </w:tcPr>
          <w:p w14:paraId="4C113914" w14:textId="77777777" w:rsidR="0021177B" w:rsidRPr="00292E98" w:rsidRDefault="0021177B" w:rsidP="009E3B2F">
            <w:pPr>
              <w:contextualSpacing/>
              <w:rPr>
                <w:rFonts w:ascii="Futura Std Condensed Light" w:eastAsia="Calibri" w:hAnsi="Futura Std Condensed Light" w:cs="Calibri"/>
                <w:b/>
                <w:sz w:val="20"/>
                <w:szCs w:val="20"/>
              </w:rPr>
            </w:pPr>
            <w:r w:rsidRPr="00292E98">
              <w:rPr>
                <w:rFonts w:ascii="Futura Std Condensed Light" w:eastAsia="Calibri" w:hAnsi="Futura Std Condensed Light" w:cs="Calibri"/>
                <w:b/>
                <w:sz w:val="20"/>
                <w:szCs w:val="20"/>
              </w:rPr>
              <w:t>Medio de verificación:</w:t>
            </w:r>
          </w:p>
        </w:tc>
        <w:tc>
          <w:tcPr>
            <w:tcW w:w="3194" w:type="pct"/>
            <w:gridSpan w:val="8"/>
          </w:tcPr>
          <w:p w14:paraId="4BC78D5B" w14:textId="77777777" w:rsidR="0021177B" w:rsidRPr="00292E98" w:rsidRDefault="0021177B" w:rsidP="009E3B2F">
            <w:pPr>
              <w:contextualSpacing/>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Expediente de Formación</w:t>
            </w:r>
          </w:p>
        </w:tc>
      </w:tr>
      <w:tr w:rsidR="0021177B" w:rsidRPr="00292E98" w14:paraId="3F003735" w14:textId="77777777" w:rsidTr="009E3B2F">
        <w:trPr>
          <w:trHeight w:val="484"/>
        </w:trPr>
        <w:tc>
          <w:tcPr>
            <w:tcW w:w="1806" w:type="pct"/>
            <w:gridSpan w:val="4"/>
          </w:tcPr>
          <w:p w14:paraId="67D1EC2A" w14:textId="77777777" w:rsidR="0021177B" w:rsidRPr="00292E98" w:rsidRDefault="0021177B" w:rsidP="009E3B2F">
            <w:pPr>
              <w:contextualSpacing/>
              <w:rPr>
                <w:rFonts w:ascii="Futura Std Condensed Light" w:eastAsia="Calibri" w:hAnsi="Futura Std Condensed Light" w:cs="Calibri"/>
                <w:b/>
                <w:sz w:val="20"/>
                <w:szCs w:val="20"/>
              </w:rPr>
            </w:pPr>
            <w:r w:rsidRPr="00292E98">
              <w:rPr>
                <w:rFonts w:ascii="Futura Std Condensed Light" w:eastAsia="Calibri" w:hAnsi="Futura Std Condensed Light" w:cs="Calibri"/>
                <w:b/>
                <w:sz w:val="20"/>
                <w:szCs w:val="20"/>
              </w:rPr>
              <w:t>Línea base:</w:t>
            </w:r>
          </w:p>
        </w:tc>
        <w:tc>
          <w:tcPr>
            <w:tcW w:w="904" w:type="pct"/>
            <w:gridSpan w:val="3"/>
          </w:tcPr>
          <w:p w14:paraId="7B5DF819" w14:textId="77777777" w:rsidR="0021177B" w:rsidRPr="00292E98" w:rsidRDefault="0021177B" w:rsidP="009E3B2F">
            <w:pPr>
              <w:contextualSpacing/>
              <w:jc w:val="center"/>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400</w:t>
            </w:r>
          </w:p>
        </w:tc>
        <w:tc>
          <w:tcPr>
            <w:tcW w:w="1113" w:type="pct"/>
            <w:gridSpan w:val="2"/>
          </w:tcPr>
          <w:p w14:paraId="5F03C60D" w14:textId="77777777" w:rsidR="0021177B" w:rsidRPr="00292E98" w:rsidRDefault="0021177B" w:rsidP="009E3B2F">
            <w:pPr>
              <w:contextualSpacing/>
              <w:jc w:val="center"/>
              <w:rPr>
                <w:rFonts w:ascii="Futura Std Condensed Light" w:eastAsia="Calibri" w:hAnsi="Futura Std Condensed Light" w:cs="Calibri"/>
                <w:b/>
                <w:sz w:val="20"/>
                <w:szCs w:val="20"/>
              </w:rPr>
            </w:pPr>
            <w:r w:rsidRPr="00292E98">
              <w:rPr>
                <w:rFonts w:ascii="Futura Std Condensed Light" w:eastAsia="Calibri" w:hAnsi="Futura Std Condensed Light" w:cs="Calibri"/>
                <w:b/>
                <w:sz w:val="20"/>
                <w:szCs w:val="20"/>
              </w:rPr>
              <w:t>Año de línea base:</w:t>
            </w:r>
          </w:p>
        </w:tc>
        <w:tc>
          <w:tcPr>
            <w:tcW w:w="1178" w:type="pct"/>
            <w:gridSpan w:val="3"/>
          </w:tcPr>
          <w:p w14:paraId="2ED1BB03" w14:textId="77777777" w:rsidR="0021177B" w:rsidRPr="00292E98" w:rsidRDefault="0021177B" w:rsidP="009E3B2F">
            <w:pPr>
              <w:contextualSpacing/>
              <w:jc w:val="center"/>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2016</w:t>
            </w:r>
          </w:p>
        </w:tc>
      </w:tr>
      <w:tr w:rsidR="0021177B" w:rsidRPr="00292E98" w14:paraId="7D629A79" w14:textId="77777777" w:rsidTr="009E3B2F">
        <w:trPr>
          <w:trHeight w:val="484"/>
        </w:trPr>
        <w:tc>
          <w:tcPr>
            <w:tcW w:w="1806" w:type="pct"/>
            <w:gridSpan w:val="4"/>
          </w:tcPr>
          <w:p w14:paraId="0652D349" w14:textId="77777777" w:rsidR="0021177B" w:rsidRPr="00292E98" w:rsidRDefault="0021177B" w:rsidP="009E3B2F">
            <w:pPr>
              <w:contextualSpacing/>
              <w:rPr>
                <w:rFonts w:ascii="Futura Std Condensed Light" w:eastAsia="Calibri" w:hAnsi="Futura Std Condensed Light" w:cs="Calibri"/>
                <w:b/>
                <w:sz w:val="20"/>
                <w:szCs w:val="20"/>
              </w:rPr>
            </w:pPr>
            <w:r w:rsidRPr="00292E98">
              <w:rPr>
                <w:rFonts w:ascii="Futura Std Condensed Light" w:eastAsia="Calibri" w:hAnsi="Futura Std Condensed Light" w:cs="Calibri"/>
                <w:b/>
                <w:sz w:val="20"/>
                <w:szCs w:val="20"/>
              </w:rPr>
              <w:t>Contribución Directa al Objetivo de la Agenda 2030</w:t>
            </w:r>
          </w:p>
        </w:tc>
        <w:tc>
          <w:tcPr>
            <w:tcW w:w="3194" w:type="pct"/>
            <w:gridSpan w:val="8"/>
          </w:tcPr>
          <w:p w14:paraId="328041A1" w14:textId="77777777" w:rsidR="0021177B" w:rsidRPr="00292E98" w:rsidRDefault="0021177B" w:rsidP="009E3B2F">
            <w:pPr>
              <w:contextualSpacing/>
              <w:rPr>
                <w:rFonts w:ascii="Futura Std Condensed Light" w:eastAsia="Calibri" w:hAnsi="Futura Std Condensed Light" w:cs="Calibri"/>
                <w:sz w:val="20"/>
                <w:szCs w:val="20"/>
              </w:rPr>
            </w:pPr>
            <w:r w:rsidRPr="00292E98">
              <w:rPr>
                <w:rFonts w:ascii="Futura Std Condensed Light" w:eastAsia="Calibri" w:hAnsi="Futura Std Condensed Light" w:cs="Calibri"/>
                <w:sz w:val="20"/>
                <w:szCs w:val="20"/>
              </w:rPr>
              <w:t>Garantizar una educación inclusiva, equitativa y de calidad y promover oportunidades de aprendizaje durante toda la vida para todos</w:t>
            </w:r>
          </w:p>
        </w:tc>
      </w:tr>
      <w:tr w:rsidR="0021177B" w:rsidRPr="00292E98" w14:paraId="0414F8C3" w14:textId="77777777" w:rsidTr="009E3B2F">
        <w:trPr>
          <w:trHeight w:val="484"/>
        </w:trPr>
        <w:tc>
          <w:tcPr>
            <w:tcW w:w="1806" w:type="pct"/>
            <w:gridSpan w:val="4"/>
          </w:tcPr>
          <w:p w14:paraId="4ACCFDC1" w14:textId="77777777" w:rsidR="0021177B" w:rsidRPr="00292E98" w:rsidRDefault="0021177B" w:rsidP="009E3B2F">
            <w:pPr>
              <w:contextualSpacing/>
              <w:rPr>
                <w:rFonts w:ascii="Futura Std Condensed Light" w:eastAsia="Calibri" w:hAnsi="Futura Std Condensed Light" w:cs="Calibri"/>
                <w:b/>
                <w:sz w:val="20"/>
                <w:szCs w:val="20"/>
              </w:rPr>
            </w:pPr>
            <w:r w:rsidRPr="00292E98">
              <w:rPr>
                <w:rFonts w:ascii="Futura Std Condensed Light" w:eastAsia="Calibri" w:hAnsi="Futura Std Condensed Light" w:cs="Calibri"/>
                <w:b/>
                <w:sz w:val="20"/>
                <w:szCs w:val="20"/>
              </w:rPr>
              <w:t>Contribución Directa  a la Meta de la Agenda 2030</w:t>
            </w:r>
          </w:p>
        </w:tc>
        <w:tc>
          <w:tcPr>
            <w:tcW w:w="3194" w:type="pct"/>
            <w:gridSpan w:val="8"/>
          </w:tcPr>
          <w:p w14:paraId="352FC13C" w14:textId="77777777" w:rsidR="0021177B" w:rsidRPr="00292E98" w:rsidRDefault="0021177B" w:rsidP="009E3B2F">
            <w:pPr>
              <w:contextualSpacing/>
              <w:rPr>
                <w:rFonts w:ascii="Futura Std Condensed Light" w:eastAsia="Calibri" w:hAnsi="Futura Std Condensed Light" w:cs="Calibri"/>
                <w:sz w:val="20"/>
                <w:szCs w:val="20"/>
              </w:rPr>
            </w:pPr>
            <w:r w:rsidRPr="00292E98">
              <w:rPr>
                <w:rFonts w:ascii="Futura Std Condensed Light" w:eastAsia="Calibri" w:hAnsi="Futura Std Condensed Light" w:cs="Calibri"/>
                <w:sz w:val="20"/>
                <w:szCs w:val="20"/>
              </w:rPr>
              <w:t>De aquí a 2030, asegurar que todos los alumnos adquieran los conocimientos teóricos y prácticos necesarios para promover el desarrollo sostenible, entre otras cosas mediante la educación para el desarrollo sostenible y los estilos de vida sostenibles, los derechos humanos, la igualdad de género, la promoción de una cultura de paz y no violencia, la ciudadanía mundial y la valoración de la diversidad cultural y la contribución de la cultura al desarrollo sostenible.</w:t>
            </w:r>
          </w:p>
        </w:tc>
      </w:tr>
      <w:tr w:rsidR="0021177B" w:rsidRPr="00292E98" w14:paraId="457395F0" w14:textId="77777777" w:rsidTr="009E3B2F">
        <w:trPr>
          <w:trHeight w:val="484"/>
        </w:trPr>
        <w:tc>
          <w:tcPr>
            <w:tcW w:w="1806" w:type="pct"/>
            <w:gridSpan w:val="4"/>
          </w:tcPr>
          <w:p w14:paraId="3397FBC6" w14:textId="77777777" w:rsidR="0021177B" w:rsidRPr="00292E98" w:rsidRDefault="0021177B" w:rsidP="009E3B2F">
            <w:pPr>
              <w:contextualSpacing/>
              <w:rPr>
                <w:rFonts w:ascii="Futura Std Condensed Light" w:eastAsia="Calibri" w:hAnsi="Futura Std Condensed Light" w:cs="Calibri"/>
                <w:b/>
                <w:sz w:val="20"/>
                <w:szCs w:val="20"/>
              </w:rPr>
            </w:pPr>
            <w:r w:rsidRPr="00292E98">
              <w:rPr>
                <w:rFonts w:ascii="Futura Std Condensed Light" w:eastAsia="Calibri" w:hAnsi="Futura Std Condensed Light" w:cs="Calibri"/>
                <w:b/>
                <w:sz w:val="20"/>
                <w:szCs w:val="20"/>
              </w:rPr>
              <w:t>Tema / Proyecto Prioritario de Quintana Roo</w:t>
            </w:r>
          </w:p>
        </w:tc>
        <w:tc>
          <w:tcPr>
            <w:tcW w:w="3194" w:type="pct"/>
            <w:gridSpan w:val="8"/>
          </w:tcPr>
          <w:p w14:paraId="68A2B7D7" w14:textId="77777777" w:rsidR="0021177B" w:rsidRPr="00292E98" w:rsidRDefault="0021177B" w:rsidP="009E3B2F">
            <w:pPr>
              <w:contextualSpacing/>
              <w:rPr>
                <w:rFonts w:ascii="Futura Std Condensed Light" w:eastAsia="Calibri" w:hAnsi="Futura Std Condensed Light" w:cs="Calibri"/>
                <w:sz w:val="20"/>
                <w:szCs w:val="20"/>
              </w:rPr>
            </w:pPr>
            <w:r w:rsidRPr="00292E98">
              <w:rPr>
                <w:rFonts w:ascii="Futura Std Condensed Light" w:eastAsia="Calibri" w:hAnsi="Futura Std Condensed Light" w:cs="Calibri"/>
                <w:sz w:val="20"/>
                <w:szCs w:val="20"/>
              </w:rPr>
              <w:t>24.5 Abatir el rezago educativo</w:t>
            </w:r>
          </w:p>
        </w:tc>
      </w:tr>
      <w:tr w:rsidR="0021177B" w:rsidRPr="00292E98" w14:paraId="06C7A4BD" w14:textId="77777777" w:rsidTr="009E3B2F">
        <w:trPr>
          <w:trHeight w:val="484"/>
        </w:trPr>
        <w:tc>
          <w:tcPr>
            <w:tcW w:w="1806" w:type="pct"/>
            <w:gridSpan w:val="4"/>
          </w:tcPr>
          <w:p w14:paraId="7E4BE210" w14:textId="77777777" w:rsidR="0021177B" w:rsidRPr="00292E98" w:rsidRDefault="0021177B" w:rsidP="009E3B2F">
            <w:pPr>
              <w:contextualSpacing/>
              <w:rPr>
                <w:rFonts w:ascii="Futura Std Condensed Light" w:eastAsia="Calibri" w:hAnsi="Futura Std Condensed Light" w:cs="Calibri"/>
                <w:b/>
                <w:sz w:val="20"/>
                <w:szCs w:val="20"/>
              </w:rPr>
            </w:pPr>
            <w:r w:rsidRPr="00292E98">
              <w:rPr>
                <w:rFonts w:ascii="Futura Std Condensed Light" w:eastAsia="Calibri" w:hAnsi="Futura Std Condensed Light" w:cs="Calibri"/>
                <w:b/>
                <w:sz w:val="20"/>
                <w:szCs w:val="20"/>
              </w:rPr>
              <w:t>Subtema Prioritario de Quintana Roo</w:t>
            </w:r>
          </w:p>
        </w:tc>
        <w:tc>
          <w:tcPr>
            <w:tcW w:w="3194" w:type="pct"/>
            <w:gridSpan w:val="8"/>
          </w:tcPr>
          <w:p w14:paraId="402C83C3" w14:textId="77777777" w:rsidR="0021177B" w:rsidRPr="00292E98" w:rsidRDefault="0021177B" w:rsidP="009E3B2F">
            <w:pPr>
              <w:contextualSpacing/>
              <w:rPr>
                <w:rFonts w:ascii="Futura Std Condensed Light" w:eastAsia="Calibri" w:hAnsi="Futura Std Condensed Light" w:cs="Calibri"/>
                <w:sz w:val="20"/>
                <w:szCs w:val="20"/>
              </w:rPr>
            </w:pPr>
            <w:r w:rsidRPr="00292E98">
              <w:rPr>
                <w:rFonts w:ascii="Futura Std Condensed Light" w:eastAsia="Calibri" w:hAnsi="Futura Std Condensed Light" w:cs="Calibri"/>
                <w:sz w:val="20"/>
                <w:szCs w:val="20"/>
              </w:rPr>
              <w:t>N/A</w:t>
            </w:r>
          </w:p>
        </w:tc>
      </w:tr>
      <w:tr w:rsidR="0021177B" w:rsidRPr="00292E98" w14:paraId="2188EFB6" w14:textId="77777777" w:rsidTr="00CD21A0">
        <w:trPr>
          <w:trHeight w:val="273"/>
        </w:trPr>
        <w:tc>
          <w:tcPr>
            <w:tcW w:w="5000" w:type="pct"/>
            <w:gridSpan w:val="12"/>
          </w:tcPr>
          <w:p w14:paraId="3407926B" w14:textId="77777777" w:rsidR="0021177B" w:rsidRPr="00292E98" w:rsidRDefault="0021177B" w:rsidP="009E3B2F">
            <w:pPr>
              <w:contextualSpacing/>
              <w:jc w:val="center"/>
              <w:rPr>
                <w:rFonts w:ascii="Futura Std Condensed Light" w:eastAsia="Calibri" w:hAnsi="Futura Std Condensed Light" w:cs="Calibri"/>
                <w:b/>
                <w:sz w:val="20"/>
                <w:szCs w:val="20"/>
              </w:rPr>
            </w:pPr>
            <w:r w:rsidRPr="00292E98">
              <w:rPr>
                <w:rFonts w:ascii="Futura Std Condensed Light" w:eastAsia="Calibri" w:hAnsi="Futura Std Condensed Light" w:cs="Calibri"/>
                <w:b/>
                <w:sz w:val="20"/>
                <w:szCs w:val="20"/>
              </w:rPr>
              <w:lastRenderedPageBreak/>
              <w:t>Meta Total:</w:t>
            </w:r>
          </w:p>
        </w:tc>
      </w:tr>
      <w:tr w:rsidR="0021177B" w:rsidRPr="00292E98" w14:paraId="16AAC743" w14:textId="77777777" w:rsidTr="00CD21A0">
        <w:trPr>
          <w:trHeight w:val="263"/>
        </w:trPr>
        <w:tc>
          <w:tcPr>
            <w:tcW w:w="781" w:type="pct"/>
          </w:tcPr>
          <w:p w14:paraId="1D60CE9E" w14:textId="77777777" w:rsidR="0021177B" w:rsidRPr="00292E98" w:rsidRDefault="0021177B" w:rsidP="009E3B2F">
            <w:pPr>
              <w:contextualSpacing/>
              <w:jc w:val="center"/>
              <w:rPr>
                <w:rFonts w:ascii="Futura Std Condensed Light" w:eastAsia="Calibri" w:hAnsi="Futura Std Condensed Light" w:cs="Calibri"/>
                <w:b/>
                <w:sz w:val="20"/>
                <w:szCs w:val="20"/>
              </w:rPr>
            </w:pPr>
            <w:r w:rsidRPr="00292E98">
              <w:rPr>
                <w:rFonts w:ascii="Futura Std Condensed Light" w:eastAsia="Calibri" w:hAnsi="Futura Std Condensed Light" w:cs="Calibri"/>
                <w:b/>
                <w:sz w:val="20"/>
                <w:szCs w:val="20"/>
              </w:rPr>
              <w:t>2017</w:t>
            </w:r>
          </w:p>
        </w:tc>
        <w:tc>
          <w:tcPr>
            <w:tcW w:w="783" w:type="pct"/>
            <w:gridSpan w:val="2"/>
          </w:tcPr>
          <w:p w14:paraId="25E35167" w14:textId="77777777" w:rsidR="0021177B" w:rsidRPr="00292E98" w:rsidRDefault="0021177B" w:rsidP="009E3B2F">
            <w:pPr>
              <w:contextualSpacing/>
              <w:jc w:val="center"/>
              <w:rPr>
                <w:rFonts w:ascii="Futura Std Condensed Light" w:eastAsia="Calibri" w:hAnsi="Futura Std Condensed Light" w:cs="Calibri"/>
                <w:b/>
                <w:sz w:val="20"/>
                <w:szCs w:val="20"/>
              </w:rPr>
            </w:pPr>
            <w:r w:rsidRPr="00292E98">
              <w:rPr>
                <w:rFonts w:ascii="Futura Std Condensed Light" w:eastAsia="Calibri" w:hAnsi="Futura Std Condensed Light" w:cs="Calibri"/>
                <w:b/>
                <w:sz w:val="20"/>
                <w:szCs w:val="20"/>
              </w:rPr>
              <w:t>2018</w:t>
            </w:r>
          </w:p>
        </w:tc>
        <w:tc>
          <w:tcPr>
            <w:tcW w:w="904" w:type="pct"/>
            <w:gridSpan w:val="3"/>
          </w:tcPr>
          <w:p w14:paraId="1CB69345" w14:textId="77777777" w:rsidR="0021177B" w:rsidRPr="00292E98" w:rsidRDefault="0021177B" w:rsidP="009E3B2F">
            <w:pPr>
              <w:contextualSpacing/>
              <w:jc w:val="center"/>
              <w:rPr>
                <w:rFonts w:ascii="Futura Std Condensed Light" w:eastAsia="Calibri" w:hAnsi="Futura Std Condensed Light" w:cs="Calibri"/>
                <w:b/>
                <w:sz w:val="20"/>
                <w:szCs w:val="20"/>
              </w:rPr>
            </w:pPr>
            <w:r w:rsidRPr="00292E98">
              <w:rPr>
                <w:rFonts w:ascii="Futura Std Condensed Light" w:eastAsia="Calibri" w:hAnsi="Futura Std Condensed Light" w:cs="Calibri"/>
                <w:b/>
                <w:sz w:val="20"/>
                <w:szCs w:val="20"/>
              </w:rPr>
              <w:t>2019</w:t>
            </w:r>
          </w:p>
        </w:tc>
        <w:tc>
          <w:tcPr>
            <w:tcW w:w="723" w:type="pct"/>
            <w:gridSpan w:val="2"/>
          </w:tcPr>
          <w:p w14:paraId="233C700C" w14:textId="77777777" w:rsidR="0021177B" w:rsidRPr="00292E98" w:rsidRDefault="0021177B" w:rsidP="009E3B2F">
            <w:pPr>
              <w:contextualSpacing/>
              <w:jc w:val="center"/>
              <w:rPr>
                <w:rFonts w:ascii="Futura Std Condensed Light" w:eastAsia="Calibri" w:hAnsi="Futura Std Condensed Light" w:cs="Calibri"/>
                <w:b/>
                <w:sz w:val="20"/>
                <w:szCs w:val="20"/>
              </w:rPr>
            </w:pPr>
            <w:r w:rsidRPr="00292E98">
              <w:rPr>
                <w:rFonts w:ascii="Futura Std Condensed Light" w:eastAsia="Calibri" w:hAnsi="Futura Std Condensed Light" w:cs="Calibri"/>
                <w:b/>
                <w:sz w:val="20"/>
                <w:szCs w:val="20"/>
              </w:rPr>
              <w:t>2020</w:t>
            </w:r>
          </w:p>
        </w:tc>
        <w:tc>
          <w:tcPr>
            <w:tcW w:w="963" w:type="pct"/>
            <w:gridSpan w:val="3"/>
          </w:tcPr>
          <w:p w14:paraId="60A335C1" w14:textId="77777777" w:rsidR="0021177B" w:rsidRPr="00292E98" w:rsidRDefault="0021177B" w:rsidP="009E3B2F">
            <w:pPr>
              <w:contextualSpacing/>
              <w:jc w:val="center"/>
              <w:rPr>
                <w:rFonts w:ascii="Futura Std Condensed Light" w:eastAsia="Calibri" w:hAnsi="Futura Std Condensed Light" w:cs="Calibri"/>
                <w:b/>
                <w:sz w:val="20"/>
                <w:szCs w:val="20"/>
              </w:rPr>
            </w:pPr>
            <w:r w:rsidRPr="00292E98">
              <w:rPr>
                <w:rFonts w:ascii="Futura Std Condensed Light" w:eastAsia="Calibri" w:hAnsi="Futura Std Condensed Light" w:cs="Calibri"/>
                <w:b/>
                <w:sz w:val="20"/>
                <w:szCs w:val="20"/>
              </w:rPr>
              <w:t>2021</w:t>
            </w:r>
          </w:p>
        </w:tc>
        <w:tc>
          <w:tcPr>
            <w:tcW w:w="846" w:type="pct"/>
          </w:tcPr>
          <w:p w14:paraId="70520C32" w14:textId="77777777" w:rsidR="0021177B" w:rsidRPr="00292E98" w:rsidRDefault="0021177B" w:rsidP="009E3B2F">
            <w:pPr>
              <w:contextualSpacing/>
              <w:jc w:val="center"/>
              <w:rPr>
                <w:rFonts w:ascii="Futura Std Condensed Light" w:eastAsia="Calibri" w:hAnsi="Futura Std Condensed Light" w:cs="Calibri"/>
                <w:b/>
                <w:sz w:val="20"/>
                <w:szCs w:val="20"/>
              </w:rPr>
            </w:pPr>
            <w:r w:rsidRPr="00292E98">
              <w:rPr>
                <w:rFonts w:ascii="Futura Std Condensed Light" w:eastAsia="Calibri" w:hAnsi="Futura Std Condensed Light" w:cs="Calibri"/>
                <w:b/>
                <w:sz w:val="20"/>
                <w:szCs w:val="20"/>
              </w:rPr>
              <w:t>2022</w:t>
            </w:r>
          </w:p>
        </w:tc>
      </w:tr>
      <w:tr w:rsidR="0021177B" w:rsidRPr="00292E98" w14:paraId="67B9D9E0" w14:textId="77777777" w:rsidTr="00CD21A0">
        <w:trPr>
          <w:trHeight w:val="274"/>
        </w:trPr>
        <w:tc>
          <w:tcPr>
            <w:tcW w:w="781" w:type="pct"/>
          </w:tcPr>
          <w:p w14:paraId="30AB1ACD" w14:textId="77777777" w:rsidR="0021177B" w:rsidRPr="00292E98" w:rsidRDefault="0021177B" w:rsidP="009E3B2F">
            <w:pPr>
              <w:contextualSpacing/>
              <w:jc w:val="center"/>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400</w:t>
            </w:r>
          </w:p>
        </w:tc>
        <w:tc>
          <w:tcPr>
            <w:tcW w:w="783" w:type="pct"/>
            <w:gridSpan w:val="2"/>
          </w:tcPr>
          <w:p w14:paraId="2F2FEC90" w14:textId="77777777" w:rsidR="0021177B" w:rsidRPr="00292E98" w:rsidRDefault="0021177B" w:rsidP="009E3B2F">
            <w:pPr>
              <w:contextualSpacing/>
              <w:jc w:val="center"/>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450</w:t>
            </w:r>
          </w:p>
        </w:tc>
        <w:tc>
          <w:tcPr>
            <w:tcW w:w="904" w:type="pct"/>
            <w:gridSpan w:val="3"/>
          </w:tcPr>
          <w:p w14:paraId="5C930BBB" w14:textId="77777777" w:rsidR="0021177B" w:rsidRPr="00292E98" w:rsidRDefault="0021177B" w:rsidP="009E3B2F">
            <w:pPr>
              <w:contextualSpacing/>
              <w:jc w:val="center"/>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500</w:t>
            </w:r>
          </w:p>
        </w:tc>
        <w:tc>
          <w:tcPr>
            <w:tcW w:w="723" w:type="pct"/>
            <w:gridSpan w:val="2"/>
          </w:tcPr>
          <w:p w14:paraId="1035E059" w14:textId="77777777" w:rsidR="0021177B" w:rsidRPr="00292E98" w:rsidRDefault="0021177B" w:rsidP="009E3B2F">
            <w:pPr>
              <w:contextualSpacing/>
              <w:jc w:val="center"/>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500</w:t>
            </w:r>
          </w:p>
        </w:tc>
        <w:tc>
          <w:tcPr>
            <w:tcW w:w="963" w:type="pct"/>
            <w:gridSpan w:val="3"/>
          </w:tcPr>
          <w:p w14:paraId="7DEC80E2" w14:textId="77777777" w:rsidR="0021177B" w:rsidRPr="00292E98" w:rsidRDefault="0021177B" w:rsidP="009E3B2F">
            <w:pPr>
              <w:contextualSpacing/>
              <w:jc w:val="center"/>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500</w:t>
            </w:r>
          </w:p>
        </w:tc>
        <w:tc>
          <w:tcPr>
            <w:tcW w:w="846" w:type="pct"/>
          </w:tcPr>
          <w:p w14:paraId="75195409" w14:textId="77777777" w:rsidR="0021177B" w:rsidRPr="00292E98" w:rsidRDefault="0021177B" w:rsidP="009E3B2F">
            <w:pPr>
              <w:contextualSpacing/>
              <w:jc w:val="center"/>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t>500</w:t>
            </w:r>
          </w:p>
        </w:tc>
      </w:tr>
    </w:tbl>
    <w:p w14:paraId="5FE842E9" w14:textId="6EEB4830" w:rsidR="00047166" w:rsidRDefault="00047166" w:rsidP="0021177B">
      <w:pPr>
        <w:rPr>
          <w:rFonts w:ascii="Futura Std Condensed Light" w:eastAsia="Calibri" w:hAnsi="Futura Std Condensed Light" w:cs="Calibri"/>
          <w:sz w:val="20"/>
          <w:szCs w:val="20"/>
        </w:rPr>
      </w:pPr>
    </w:p>
    <w:p w14:paraId="533D51C6" w14:textId="77777777" w:rsidR="00047166" w:rsidRDefault="00047166">
      <w:pPr>
        <w:spacing w:after="0" w:line="240" w:lineRule="auto"/>
        <w:jc w:val="left"/>
        <w:rPr>
          <w:rFonts w:ascii="Futura Std Condensed Light" w:eastAsia="Calibri" w:hAnsi="Futura Std Condensed Light" w:cs="Calibri"/>
          <w:sz w:val="20"/>
          <w:szCs w:val="20"/>
        </w:rPr>
      </w:pPr>
      <w:r>
        <w:rPr>
          <w:rFonts w:ascii="Futura Std Condensed Light" w:eastAsia="Calibri" w:hAnsi="Futura Std Condensed Light" w:cs="Calibri"/>
          <w:sz w:val="20"/>
          <w:szCs w:val="20"/>
        </w:rPr>
        <w:br w:type="page"/>
      </w:r>
    </w:p>
    <w:bookmarkEnd w:id="20"/>
    <w:bookmarkEnd w:id="22"/>
    <w:p w14:paraId="5F1A6BD7" w14:textId="77777777" w:rsidR="00A0470B" w:rsidRDefault="00A0470B" w:rsidP="00695E2D">
      <w:pPr>
        <w:pStyle w:val="Ttulo"/>
      </w:pPr>
    </w:p>
    <w:p w14:paraId="64F19639" w14:textId="30C9957F" w:rsidR="00695E2D" w:rsidRDefault="00695E2D" w:rsidP="00695E2D">
      <w:pPr>
        <w:pStyle w:val="Ttulo"/>
      </w:pPr>
      <w:r>
        <w:t>MISIÓN</w:t>
      </w:r>
    </w:p>
    <w:p w14:paraId="7467B261" w14:textId="7E3B3F61" w:rsidR="001A3495" w:rsidRDefault="00695E2D" w:rsidP="00A24FEB">
      <w:pPr>
        <w:spacing w:after="0" w:line="240" w:lineRule="auto"/>
        <w:jc w:val="left"/>
        <w:rPr>
          <w:color w:val="4BACC6"/>
        </w:rPr>
      </w:pPr>
      <w:r>
        <w:rPr>
          <w:color w:val="4BACC6"/>
        </w:rPr>
        <w:br w:type="page"/>
      </w:r>
      <w:bookmarkStart w:id="31" w:name="_Toc477971054"/>
      <w:bookmarkStart w:id="32" w:name="_Toc486841604"/>
      <w:bookmarkStart w:id="33" w:name="_Toc486858143"/>
    </w:p>
    <w:p w14:paraId="41FB5EF4" w14:textId="77777777" w:rsidR="00A24FEB" w:rsidRPr="00A24FEB" w:rsidRDefault="00A24FEB" w:rsidP="00A24FEB">
      <w:pPr>
        <w:spacing w:after="0" w:line="240" w:lineRule="auto"/>
        <w:jc w:val="left"/>
        <w:rPr>
          <w:rFonts w:eastAsia="Times New Roman" w:cs="Times New Roman"/>
          <w:b/>
          <w:bCs/>
          <w:caps/>
          <w:color w:val="4BACC6"/>
          <w:sz w:val="32"/>
          <w:szCs w:val="28"/>
          <w:lang w:val="es-MX" w:eastAsia="en-US"/>
        </w:rPr>
      </w:pPr>
    </w:p>
    <w:p w14:paraId="20042BC7" w14:textId="433C1E6A" w:rsidR="005F7240" w:rsidRPr="00C90FE3" w:rsidRDefault="0035377A" w:rsidP="00C90FE3">
      <w:pPr>
        <w:pStyle w:val="Ttulo1"/>
      </w:pPr>
      <w:bookmarkStart w:id="34" w:name="_Toc53409858"/>
      <w:r w:rsidRPr="00C90FE3">
        <w:t xml:space="preserve">VII. </w:t>
      </w:r>
      <w:r w:rsidR="005F7240" w:rsidRPr="00C90FE3">
        <w:t>MISIÓN</w:t>
      </w:r>
      <w:bookmarkEnd w:id="31"/>
      <w:bookmarkEnd w:id="32"/>
      <w:bookmarkEnd w:id="33"/>
      <w:bookmarkEnd w:id="34"/>
    </w:p>
    <w:p w14:paraId="2C5EFA32" w14:textId="77777777" w:rsidR="00AD3BF0" w:rsidRPr="00AD3BF0" w:rsidRDefault="00AD3BF0" w:rsidP="00AD3BF0">
      <w:pPr>
        <w:rPr>
          <w:lang w:val="es-MX"/>
        </w:rPr>
      </w:pPr>
      <w:r w:rsidRPr="00AD3BF0">
        <w:rPr>
          <w:lang w:val="es-ES"/>
        </w:rPr>
        <w:t>Garantizar en el Estado de Quintana Roo una educación de calidad incluyente basada en los principios de respeto a los derechos humanos, enfocada al máximo logro de aprendizaje de los educandos que genere más y mejores oportunidades de desarrollo.</w:t>
      </w:r>
    </w:p>
    <w:p w14:paraId="6CD5CE5F" w14:textId="77777777" w:rsidR="005F7240" w:rsidRPr="00F765C3" w:rsidRDefault="005F7240" w:rsidP="00B545F3">
      <w:pPr>
        <w:rPr>
          <w:rFonts w:eastAsia="Times New Roman" w:cs="Futura"/>
        </w:rPr>
      </w:pPr>
      <w:r w:rsidRPr="00F765C3">
        <w:rPr>
          <w:rFonts w:eastAsia="Times New Roman" w:cs="Futura"/>
        </w:rPr>
        <w:br w:type="page"/>
      </w:r>
    </w:p>
    <w:p w14:paraId="67B75361" w14:textId="77777777" w:rsidR="0010056E" w:rsidRDefault="0010056E" w:rsidP="00695E2D">
      <w:pPr>
        <w:pStyle w:val="Ttulo"/>
      </w:pPr>
    </w:p>
    <w:p w14:paraId="768F2BEB" w14:textId="592E7E7C" w:rsidR="00695E2D" w:rsidRDefault="00695E2D" w:rsidP="00695E2D">
      <w:pPr>
        <w:pStyle w:val="Ttulo"/>
      </w:pPr>
      <w:r>
        <w:t>VISIÓN</w:t>
      </w:r>
    </w:p>
    <w:p w14:paraId="6D94BB39" w14:textId="77777777" w:rsidR="00695E2D" w:rsidRDefault="00695E2D" w:rsidP="00695E2D">
      <w:pPr>
        <w:spacing w:after="0" w:line="240" w:lineRule="auto"/>
        <w:jc w:val="left"/>
        <w:rPr>
          <w:rFonts w:eastAsia="Times New Roman" w:cs="Times New Roman"/>
          <w:b/>
          <w:bCs/>
          <w:caps/>
          <w:color w:val="4BACC6"/>
          <w:sz w:val="32"/>
          <w:szCs w:val="28"/>
          <w:lang w:val="es-MX" w:eastAsia="en-US"/>
        </w:rPr>
      </w:pPr>
      <w:r>
        <w:rPr>
          <w:color w:val="4BACC6"/>
        </w:rPr>
        <w:br w:type="page"/>
      </w:r>
    </w:p>
    <w:p w14:paraId="10AEA9F4" w14:textId="77777777" w:rsidR="001A3495" w:rsidRDefault="001A3495" w:rsidP="0035377A">
      <w:pPr>
        <w:pStyle w:val="Ttulo1"/>
      </w:pPr>
      <w:bookmarkStart w:id="35" w:name="_Toc477971055"/>
      <w:bookmarkStart w:id="36" w:name="_Toc486841605"/>
      <w:bookmarkStart w:id="37" w:name="_Toc486858144"/>
    </w:p>
    <w:p w14:paraId="615B152F" w14:textId="49710A8D" w:rsidR="005F7240" w:rsidRDefault="0035377A" w:rsidP="0035377A">
      <w:pPr>
        <w:pStyle w:val="Ttulo1"/>
      </w:pPr>
      <w:bookmarkStart w:id="38" w:name="_Toc53409859"/>
      <w:r>
        <w:t xml:space="preserve">VIII. </w:t>
      </w:r>
      <w:r w:rsidR="005F7240" w:rsidRPr="00F765C3">
        <w:t>VISIÓN</w:t>
      </w:r>
      <w:bookmarkEnd w:id="35"/>
      <w:bookmarkEnd w:id="36"/>
      <w:bookmarkEnd w:id="37"/>
      <w:bookmarkEnd w:id="38"/>
    </w:p>
    <w:p w14:paraId="63DBE1D6" w14:textId="77777777" w:rsidR="00AD3BF0" w:rsidRPr="00AD3BF0" w:rsidRDefault="00AD3BF0" w:rsidP="00AD3BF0">
      <w:pPr>
        <w:rPr>
          <w:lang w:val="es-MX"/>
        </w:rPr>
      </w:pPr>
      <w:r w:rsidRPr="00AD3BF0">
        <w:rPr>
          <w:lang w:val="es-ES"/>
        </w:rPr>
        <w:t xml:space="preserve">Somos una institución que ofrece educación de calidad, fomenta la ciencia, tecnología e innovación a través de estrategias que promueven el respeto a los derechos humanos,  la transparencia, la igualdad y la inclusión respondiendo a las necesidades de desarrollo del Estado. </w:t>
      </w:r>
    </w:p>
    <w:p w14:paraId="4DC7808C" w14:textId="77777777" w:rsidR="005F7240" w:rsidRPr="00F765C3" w:rsidRDefault="005F7240" w:rsidP="00B545F3">
      <w:pPr>
        <w:rPr>
          <w:rFonts w:eastAsia="Times New Roman" w:cs="Futura"/>
        </w:rPr>
      </w:pPr>
      <w:r w:rsidRPr="00F765C3">
        <w:rPr>
          <w:rFonts w:eastAsia="Times New Roman" w:cs="Futura"/>
        </w:rPr>
        <w:br w:type="page"/>
      </w:r>
    </w:p>
    <w:p w14:paraId="2688D27D" w14:textId="77777777" w:rsidR="0010056E" w:rsidRDefault="0010056E" w:rsidP="00695E2D">
      <w:pPr>
        <w:pStyle w:val="Ttulo"/>
      </w:pPr>
    </w:p>
    <w:p w14:paraId="17ED921F" w14:textId="258871EB" w:rsidR="00954042" w:rsidRDefault="00695E2D" w:rsidP="00695E2D">
      <w:pPr>
        <w:pStyle w:val="Ttulo"/>
      </w:pPr>
      <w:r>
        <w:t>POLÍTICAS</w:t>
      </w:r>
    </w:p>
    <w:p w14:paraId="7E87021C" w14:textId="77777777" w:rsidR="00954042" w:rsidRDefault="00954042">
      <w:pPr>
        <w:spacing w:after="0" w:line="240" w:lineRule="auto"/>
        <w:jc w:val="left"/>
        <w:rPr>
          <w:rFonts w:eastAsia="Times New Roman" w:cs="Times New Roman"/>
          <w:b/>
          <w:color w:val="4BACC6"/>
          <w:sz w:val="44"/>
          <w:szCs w:val="20"/>
        </w:rPr>
      </w:pPr>
      <w:r>
        <w:br w:type="page"/>
      </w:r>
    </w:p>
    <w:p w14:paraId="46380819" w14:textId="77777777" w:rsidR="001A3495" w:rsidRDefault="001A3495" w:rsidP="0035377A">
      <w:pPr>
        <w:pStyle w:val="Ttulo1"/>
      </w:pPr>
      <w:bookmarkStart w:id="39" w:name="_Toc477971056"/>
      <w:bookmarkStart w:id="40" w:name="_Toc486841606"/>
      <w:bookmarkStart w:id="41" w:name="_Toc486858145"/>
    </w:p>
    <w:p w14:paraId="799B4C3A" w14:textId="038CA8E5" w:rsidR="005F7240" w:rsidRDefault="0035377A" w:rsidP="0035377A">
      <w:pPr>
        <w:pStyle w:val="Ttulo1"/>
      </w:pPr>
      <w:bookmarkStart w:id="42" w:name="_Toc53409860"/>
      <w:r>
        <w:t xml:space="preserve">IX. </w:t>
      </w:r>
      <w:r w:rsidR="005F7240" w:rsidRPr="00F765C3">
        <w:t>POLÍTICAS</w:t>
      </w:r>
      <w:bookmarkEnd w:id="39"/>
      <w:bookmarkEnd w:id="40"/>
      <w:bookmarkEnd w:id="41"/>
      <w:bookmarkEnd w:id="42"/>
    </w:p>
    <w:p w14:paraId="386D3D8F" w14:textId="2592982C" w:rsidR="00BA0CCF" w:rsidRPr="00BA0CCF" w:rsidRDefault="00BA0CCF" w:rsidP="00DD5EE2">
      <w:pPr>
        <w:pStyle w:val="Prrafodelista"/>
        <w:numPr>
          <w:ilvl w:val="0"/>
          <w:numId w:val="4"/>
        </w:numPr>
      </w:pPr>
      <w:r>
        <w:t>Mejorar el logro educativo del alumnado en el sistema escolar, a través de estrategias centradas en la escuela, hacien</w:t>
      </w:r>
      <w:r w:rsidRPr="00BA0CCF">
        <w:t xml:space="preserve">do énfasis en la lectura, escritura, matemáticas. </w:t>
      </w:r>
    </w:p>
    <w:p w14:paraId="55C85750" w14:textId="2FF91596" w:rsidR="005F7240" w:rsidRDefault="004B5D30" w:rsidP="00DD5EE2">
      <w:pPr>
        <w:pStyle w:val="Prrafodelista"/>
        <w:numPr>
          <w:ilvl w:val="0"/>
          <w:numId w:val="4"/>
        </w:numPr>
      </w:pPr>
      <w:r>
        <w:t>Brindar mediante los diversos servicios escolarizados y no escolarizados de educación básica, la atención requerida, en especial a los menores que no se encuentran incluidos en el sistema escolar regular.</w:t>
      </w:r>
    </w:p>
    <w:p w14:paraId="35E5123A" w14:textId="0D7CDD6D" w:rsidR="004B5D30" w:rsidRDefault="004B5D30" w:rsidP="00DD5EE2">
      <w:pPr>
        <w:pStyle w:val="Prrafodelista"/>
        <w:numPr>
          <w:ilvl w:val="0"/>
          <w:numId w:val="4"/>
        </w:numPr>
      </w:pPr>
      <w:r>
        <w:t xml:space="preserve">Generar condiciones de inclusión y equidad en apoyo al ingreso, la permanencia y la conclusión de estudios con énfasis en la población escolar en contexto de vulnerabilidad, extrema pobreza, discapacidad y/o necesidades especiales, rural e indígena. </w:t>
      </w:r>
    </w:p>
    <w:p w14:paraId="04640E15" w14:textId="565EF7C5" w:rsidR="004B5D30" w:rsidRDefault="00F02E9F" w:rsidP="00DD5EE2">
      <w:pPr>
        <w:pStyle w:val="Prrafodelista"/>
        <w:numPr>
          <w:ilvl w:val="0"/>
          <w:numId w:val="4"/>
        </w:numPr>
      </w:pPr>
      <w:r>
        <w:t>Consolidar los espacios físicos necesarios</w:t>
      </w:r>
      <w:r w:rsidR="004B5D30">
        <w:t xml:space="preserve"> y el equipamiento en beneficio de los alumnos de escuelas p</w:t>
      </w:r>
      <w:r w:rsidR="00F0062D">
        <w:t>úblicas</w:t>
      </w:r>
      <w:r w:rsidR="00C76424">
        <w:t xml:space="preserve"> del Estado</w:t>
      </w:r>
      <w:r w:rsidR="00F0062D">
        <w:t xml:space="preserve">, privilegiando los que se encuentren </w:t>
      </w:r>
      <w:r>
        <w:t>en zonas vulnerables y rurales, que permitan la atención a la demanda del servicio educativo.</w:t>
      </w:r>
    </w:p>
    <w:p w14:paraId="016DCAA8" w14:textId="40F8F1BF" w:rsidR="00F0062D" w:rsidRDefault="00F0062D" w:rsidP="00DD5EE2">
      <w:pPr>
        <w:pStyle w:val="Prrafodelista"/>
        <w:numPr>
          <w:ilvl w:val="0"/>
          <w:numId w:val="4"/>
        </w:numPr>
      </w:pPr>
      <w:r>
        <w:t xml:space="preserve">Implementar un sistema de profesionalización que promueva la formación continua y </w:t>
      </w:r>
      <w:r w:rsidR="00C979F0">
        <w:t xml:space="preserve">actualización del personal docente, técnico docente, personal con función de </w:t>
      </w:r>
      <w:r w:rsidR="008C3EE0">
        <w:t>dirección,</w:t>
      </w:r>
      <w:r w:rsidR="00C979F0">
        <w:t xml:space="preserve"> supervisión y de asesoría técnica pedagógica, pertinente con un enfoque en equidad de género, no discriminación y derechos humanos. </w:t>
      </w:r>
    </w:p>
    <w:p w14:paraId="228FC0CA" w14:textId="418ADA15" w:rsidR="00372FE5" w:rsidRDefault="00372FE5" w:rsidP="00DD5EE2">
      <w:pPr>
        <w:pStyle w:val="Prrafodelista"/>
        <w:numPr>
          <w:ilvl w:val="0"/>
          <w:numId w:val="4"/>
        </w:numPr>
      </w:pPr>
      <w:r>
        <w:t>Implementar acciones que favorezca</w:t>
      </w:r>
      <w:r w:rsidR="004B5924">
        <w:t xml:space="preserve">n el desarrollo humano integral con la participación corresponsable </w:t>
      </w:r>
      <w:r w:rsidR="009B6889">
        <w:t xml:space="preserve">de toda la comunidad educativa para promover la </w:t>
      </w:r>
      <w:r w:rsidR="009B6889">
        <w:lastRenderedPageBreak/>
        <w:t>convivencia escolar sana y pacífica en los planteles del sistema educativo y el respeto a los derechos humanos.</w:t>
      </w:r>
    </w:p>
    <w:p w14:paraId="59AC4974" w14:textId="76DD0DD1" w:rsidR="009B6889" w:rsidRDefault="00842384" w:rsidP="00DD5EE2">
      <w:pPr>
        <w:pStyle w:val="Prrafodelista"/>
        <w:numPr>
          <w:ilvl w:val="0"/>
          <w:numId w:val="4"/>
        </w:numPr>
      </w:pPr>
      <w:r>
        <w:t>Diversificar la oferta educativa de educación superior de acuerdo a las</w:t>
      </w:r>
      <w:r w:rsidR="002E263E">
        <w:t xml:space="preserve"> demandas del desarrollo regional. </w:t>
      </w:r>
    </w:p>
    <w:p w14:paraId="623C1128" w14:textId="08FF64BC" w:rsidR="002E7AB9" w:rsidRDefault="002E7AB9" w:rsidP="00DD5EE2">
      <w:pPr>
        <w:pStyle w:val="Prrafodelista"/>
        <w:numPr>
          <w:ilvl w:val="0"/>
          <w:numId w:val="4"/>
        </w:numPr>
      </w:pPr>
      <w:r>
        <w:t xml:space="preserve">Fortalecer los programas de asesoría, tutoría y de acompañamiento académico de los estudiantes para mejorar el aprendizaje y rendimiento académico, así como focalizar los apoyos que ayuden a disminuir los riesgos de abandono escolar. </w:t>
      </w:r>
    </w:p>
    <w:p w14:paraId="56618B52" w14:textId="0E286704" w:rsidR="00470516" w:rsidRDefault="00470516" w:rsidP="00DD5EE2">
      <w:pPr>
        <w:pStyle w:val="Prrafodelista"/>
        <w:numPr>
          <w:ilvl w:val="0"/>
          <w:numId w:val="4"/>
        </w:numPr>
      </w:pPr>
      <w:r>
        <w:t xml:space="preserve">Impulsar la acreditación de los programas educativos por organismos externos reconocidos a nivel nacional. </w:t>
      </w:r>
    </w:p>
    <w:p w14:paraId="09DEC131" w14:textId="1D83DAA8" w:rsidR="002C2249" w:rsidRDefault="002C2249" w:rsidP="00DD5EE2">
      <w:pPr>
        <w:pStyle w:val="Prrafodelista"/>
        <w:numPr>
          <w:ilvl w:val="0"/>
          <w:numId w:val="4"/>
        </w:numPr>
      </w:pPr>
      <w:r>
        <w:t xml:space="preserve">Impulsar la inclusión de los programas de posgrado en los padrones de calidad, el desarrollo de proyectos de investigación y la divulgación científica. </w:t>
      </w:r>
    </w:p>
    <w:p w14:paraId="1D82B2A8" w14:textId="16E1CD4F" w:rsidR="00BA0CCF" w:rsidRPr="004B5D30" w:rsidRDefault="00BA0CCF" w:rsidP="00DD5EE2">
      <w:pPr>
        <w:pStyle w:val="Prrafodelista"/>
        <w:numPr>
          <w:ilvl w:val="0"/>
          <w:numId w:val="4"/>
        </w:numPr>
      </w:pPr>
      <w:r>
        <w:t>Fortalecer la investigación e innovación con enfoque al desar</w:t>
      </w:r>
      <w:r w:rsidR="00161F37">
        <w:t>rollo regional del Estado.</w:t>
      </w:r>
    </w:p>
    <w:p w14:paraId="37A598D3" w14:textId="5A1AF24F" w:rsidR="00695E2D" w:rsidRPr="009A6388" w:rsidRDefault="005F7240" w:rsidP="009A6388">
      <w:pPr>
        <w:rPr>
          <w:rFonts w:eastAsia="Times New Roman" w:cs="Futura"/>
        </w:rPr>
      </w:pPr>
      <w:r w:rsidRPr="00F765C3">
        <w:rPr>
          <w:rFonts w:eastAsia="Times New Roman" w:cs="Futura"/>
        </w:rPr>
        <w:br w:type="page"/>
      </w:r>
    </w:p>
    <w:p w14:paraId="69E4FDFD" w14:textId="77777777" w:rsidR="00954042" w:rsidRDefault="00954042" w:rsidP="00695E2D">
      <w:pPr>
        <w:pStyle w:val="Ttulo"/>
      </w:pPr>
    </w:p>
    <w:p w14:paraId="66E4A82C" w14:textId="7202A0F0" w:rsidR="009A6388" w:rsidRDefault="00695E2D" w:rsidP="00695E2D">
      <w:pPr>
        <w:pStyle w:val="Ttulo"/>
      </w:pPr>
      <w:r>
        <w:t>APARTADO ESTRATÉGICO</w:t>
      </w:r>
    </w:p>
    <w:p w14:paraId="18B9D3B7" w14:textId="77777777" w:rsidR="009A6388" w:rsidRDefault="009A6388">
      <w:pPr>
        <w:spacing w:after="0" w:line="240" w:lineRule="auto"/>
        <w:jc w:val="left"/>
        <w:rPr>
          <w:rFonts w:eastAsia="Times New Roman" w:cs="Times New Roman"/>
          <w:b/>
          <w:color w:val="4BACC6"/>
          <w:sz w:val="44"/>
          <w:szCs w:val="20"/>
        </w:rPr>
      </w:pPr>
      <w:r>
        <w:rPr>
          <w:color w:val="4BACC6"/>
        </w:rPr>
        <w:br w:type="page"/>
      </w:r>
    </w:p>
    <w:p w14:paraId="729B2E31" w14:textId="77777777" w:rsidR="000046BC" w:rsidRDefault="000046BC" w:rsidP="009E3B2F">
      <w:pPr>
        <w:pStyle w:val="Ttulo1"/>
        <w:rPr>
          <w:sz w:val="28"/>
        </w:rPr>
      </w:pPr>
      <w:bookmarkStart w:id="43" w:name="_Toc486858641"/>
      <w:bookmarkStart w:id="44" w:name="_Toc486841607"/>
      <w:bookmarkStart w:id="45" w:name="_Toc486858146"/>
    </w:p>
    <w:p w14:paraId="617B0A45" w14:textId="7EE32314" w:rsidR="009E3B2F" w:rsidRDefault="009E3B2F" w:rsidP="009E3B2F">
      <w:pPr>
        <w:pStyle w:val="Ttulo1"/>
        <w:rPr>
          <w:sz w:val="28"/>
        </w:rPr>
      </w:pPr>
      <w:bookmarkStart w:id="46" w:name="_Toc53409861"/>
      <w:r w:rsidRPr="00497CC1">
        <w:rPr>
          <w:sz w:val="28"/>
        </w:rPr>
        <w:t>X. APARTADO ESTRATÉGICO</w:t>
      </w:r>
      <w:bookmarkEnd w:id="43"/>
      <w:bookmarkEnd w:id="46"/>
    </w:p>
    <w:p w14:paraId="4845F466" w14:textId="2B84F5A5" w:rsidR="009E3B2F" w:rsidRPr="00BB41F4" w:rsidRDefault="00BB41F4" w:rsidP="00BB41F4">
      <w:pPr>
        <w:pStyle w:val="Ttulo2"/>
      </w:pPr>
      <w:bookmarkStart w:id="47" w:name="_Toc477971059"/>
      <w:bookmarkStart w:id="48" w:name="_Toc486841608"/>
      <w:bookmarkStart w:id="49" w:name="_Toc486858147"/>
      <w:bookmarkStart w:id="50" w:name="_Toc486858642"/>
      <w:bookmarkStart w:id="51" w:name="_Toc53409862"/>
      <w:r w:rsidRPr="00BB41F4">
        <w:t xml:space="preserve">Tema 1. </w:t>
      </w:r>
      <w:bookmarkEnd w:id="47"/>
      <w:r w:rsidRPr="00BB41F4">
        <w:t>Educación básica</w:t>
      </w:r>
      <w:bookmarkEnd w:id="48"/>
      <w:bookmarkEnd w:id="49"/>
      <w:bookmarkEnd w:id="50"/>
      <w:bookmarkEnd w:id="51"/>
    </w:p>
    <w:p w14:paraId="3EBDC625" w14:textId="77777777" w:rsidR="009E3B2F" w:rsidRPr="00497CC1" w:rsidRDefault="009E3B2F" w:rsidP="009E3B2F">
      <w:pPr>
        <w:rPr>
          <w:rStyle w:val="Textoennegrita"/>
        </w:rPr>
      </w:pPr>
      <w:r w:rsidRPr="00497CC1">
        <w:rPr>
          <w:rStyle w:val="Textoennegrita"/>
        </w:rPr>
        <w:t>Objetivo</w:t>
      </w:r>
    </w:p>
    <w:p w14:paraId="5DF32530" w14:textId="3E134B40" w:rsidR="00455EFA" w:rsidRDefault="00455EFA" w:rsidP="00455EFA">
      <w:pPr>
        <w:spacing w:after="0" w:line="240" w:lineRule="auto"/>
      </w:pPr>
      <w:r w:rsidRPr="00455EFA">
        <w:t>Incrementar el logro académico de los estudiantes de educación básica para una educación integral e inclusiva de calidad.</w:t>
      </w:r>
    </w:p>
    <w:p w14:paraId="053A9C50" w14:textId="77777777" w:rsidR="00455EFA" w:rsidRDefault="00455EFA" w:rsidP="00455EFA">
      <w:pPr>
        <w:spacing w:after="0" w:line="240" w:lineRule="auto"/>
      </w:pPr>
    </w:p>
    <w:p w14:paraId="43C7A4C5" w14:textId="06DCC160" w:rsidR="009E3B2F" w:rsidRPr="00497CC1" w:rsidRDefault="009E3B2F" w:rsidP="009E3B2F">
      <w:pPr>
        <w:rPr>
          <w:rStyle w:val="Textoennegrita"/>
        </w:rPr>
      </w:pPr>
      <w:r w:rsidRPr="00497CC1">
        <w:rPr>
          <w:rStyle w:val="Textoennegrita"/>
        </w:rPr>
        <w:t>Estrategia</w:t>
      </w:r>
    </w:p>
    <w:p w14:paraId="5D08E40B" w14:textId="77777777" w:rsidR="009E3B2F" w:rsidRPr="00582297" w:rsidRDefault="009E3B2F" w:rsidP="009E3B2F">
      <w:r w:rsidRPr="00582297">
        <w:t>Impulsar los modelos educativos y procesos pedagógicos centrados en el aprendizaje de los alumnos con propuestas didácticas innovadoras, actividades físicas, horarios ampliados y la utilización de materiales didácticos, para enfatizar el desarrollo de competencias asociadas al lenguaje, la comunicación y el pensamiento matemático, en un marco de inclusión y equidad.</w:t>
      </w:r>
    </w:p>
    <w:p w14:paraId="392168F7" w14:textId="77777777" w:rsidR="009E3B2F" w:rsidRPr="00497CC1" w:rsidRDefault="009E3B2F" w:rsidP="009E3B2F">
      <w:pPr>
        <w:rPr>
          <w:rStyle w:val="Textoennegrita"/>
        </w:rPr>
      </w:pPr>
      <w:r w:rsidRPr="00497CC1">
        <w:rPr>
          <w:rStyle w:val="Textoennegrita"/>
        </w:rPr>
        <w:t>Líneas de Acción</w:t>
      </w:r>
    </w:p>
    <w:p w14:paraId="53B96925" w14:textId="77777777" w:rsidR="004B39AE" w:rsidRPr="007862A0" w:rsidRDefault="004B39AE" w:rsidP="004B39AE">
      <w:pPr>
        <w:spacing w:after="0"/>
        <w:ind w:right="142"/>
      </w:pPr>
      <w:bookmarkStart w:id="52" w:name="_Toc486858643"/>
      <w:r w:rsidRPr="004B39AE">
        <w:t>1</w:t>
      </w:r>
      <w:r w:rsidRPr="007862A0">
        <w:t>. Incrementar la inserción de los niños en educación inicial y preescolar en el Sistema Educativo Estatal.</w:t>
      </w:r>
    </w:p>
    <w:p w14:paraId="0B039E4A" w14:textId="77777777" w:rsidR="004B39AE" w:rsidRPr="007862A0" w:rsidRDefault="004B39AE" w:rsidP="004B39AE">
      <w:pPr>
        <w:spacing w:after="0"/>
      </w:pPr>
      <w:r w:rsidRPr="007862A0">
        <w:t>2. Impulsar un programa de desarrollo de competencias digitales para el aprendizaje</w:t>
      </w:r>
    </w:p>
    <w:p w14:paraId="24DC3B4D" w14:textId="77777777" w:rsidR="004B39AE" w:rsidRPr="007862A0" w:rsidRDefault="004B39AE" w:rsidP="004B39AE">
      <w:pPr>
        <w:spacing w:after="0"/>
      </w:pPr>
      <w:r w:rsidRPr="007862A0">
        <w:t>3. Impulsar estrategias de enseñanza-aprendizaje bilingüe para garantizar la atención a los estudiantes indígena y preservación de la lengua  maya en educación básica.</w:t>
      </w:r>
    </w:p>
    <w:p w14:paraId="2FDBB837" w14:textId="77777777" w:rsidR="004B39AE" w:rsidRPr="007862A0" w:rsidRDefault="004B39AE" w:rsidP="004B39AE">
      <w:pPr>
        <w:spacing w:after="0"/>
      </w:pPr>
      <w:r w:rsidRPr="007862A0">
        <w:t>4. Fortalecer las acciones de certificación de  docente de lengua maya</w:t>
      </w:r>
    </w:p>
    <w:p w14:paraId="1B36D526" w14:textId="77777777" w:rsidR="004B39AE" w:rsidRPr="007862A0" w:rsidRDefault="004B39AE" w:rsidP="004B39AE">
      <w:pPr>
        <w:spacing w:after="0"/>
      </w:pPr>
      <w:r w:rsidRPr="007862A0">
        <w:lastRenderedPageBreak/>
        <w:t>5. Impulsar estrategias para fortalecer la comprensión de lectura, escritura y pensamiento lógico matemático en escuelas de educación básica.</w:t>
      </w:r>
    </w:p>
    <w:p w14:paraId="219BCB01" w14:textId="77777777" w:rsidR="004B39AE" w:rsidRPr="007862A0" w:rsidRDefault="004B39AE" w:rsidP="004B39AE">
      <w:pPr>
        <w:spacing w:after="0"/>
      </w:pPr>
      <w:r w:rsidRPr="007862A0">
        <w:t>6. Fortalecer el liderazgo académico de figuras directivas y docentes para  favorecer los aprendizajes significativos entre los estudiantes de Educación Básica</w:t>
      </w:r>
    </w:p>
    <w:p w14:paraId="70C7A1AE" w14:textId="77777777" w:rsidR="004B39AE" w:rsidRPr="007862A0" w:rsidRDefault="004B39AE" w:rsidP="004B39AE">
      <w:pPr>
        <w:spacing w:after="0"/>
      </w:pPr>
      <w:r w:rsidRPr="007862A0">
        <w:t>7. Mejorar el desempeño escolar de los alumnos de educación básica a través de la ampliación, materiales pedagógicos, didácticos y el uso eficaz de la jornada escolar</w:t>
      </w:r>
    </w:p>
    <w:p w14:paraId="35927285" w14:textId="77777777" w:rsidR="004B39AE" w:rsidRPr="007862A0" w:rsidRDefault="004B39AE" w:rsidP="004B39AE">
      <w:pPr>
        <w:spacing w:after="0"/>
      </w:pPr>
      <w:r w:rsidRPr="007862A0">
        <w:t>8. Ampliar la atención a niños y jóvenes con discapacidad, necesidades educativas especiales y/o aptitudes sobresalientes, propiciando ambientes inclusivos.</w:t>
      </w:r>
    </w:p>
    <w:p w14:paraId="4E4017C8" w14:textId="77777777" w:rsidR="004B39AE" w:rsidRPr="007862A0" w:rsidRDefault="004B39AE" w:rsidP="004B39AE">
      <w:pPr>
        <w:spacing w:after="0"/>
      </w:pPr>
      <w:r w:rsidRPr="007862A0">
        <w:t>9. Impulsar acciones de atención para mejorar la formación  continua y desarrollo profesional de los docentes.</w:t>
      </w:r>
    </w:p>
    <w:p w14:paraId="0BDD27BB" w14:textId="77777777" w:rsidR="004B39AE" w:rsidRPr="007862A0" w:rsidRDefault="004B39AE" w:rsidP="004B39AE">
      <w:pPr>
        <w:spacing w:after="0"/>
      </w:pPr>
      <w:r w:rsidRPr="007862A0">
        <w:t>10. Impulsar una estrategia de colaboración interinstitucional mediante acciones de educación física, a fin de promover estilos de vida saludables  en la comunidad escolar.</w:t>
      </w:r>
    </w:p>
    <w:p w14:paraId="3E49DCC4" w14:textId="77777777" w:rsidR="004B39AE" w:rsidRPr="007862A0" w:rsidRDefault="004B39AE" w:rsidP="004B39AE">
      <w:pPr>
        <w:spacing w:after="0"/>
      </w:pPr>
      <w:r w:rsidRPr="007862A0">
        <w:t>11. Fortalecer la formación integral de los alumnos del nivel de secundaria incorporando los conocimientos, habilidades y actitudes a través de la implementación de la asignatura de tecnología en apego a las disposiciones y normativa de la Nueva Escuela Mexicana.</w:t>
      </w:r>
    </w:p>
    <w:p w14:paraId="32A72F02" w14:textId="77777777" w:rsidR="004B39AE" w:rsidRDefault="004B39AE" w:rsidP="004B39AE">
      <w:pPr>
        <w:spacing w:after="0"/>
      </w:pPr>
      <w:r w:rsidRPr="007862A0">
        <w:t>12. Promover la enseñanza del inglés como lengua extranjera en los planteles regulares públicos de Educación Básica en la entidad.</w:t>
      </w:r>
    </w:p>
    <w:p w14:paraId="52C33777" w14:textId="77777777" w:rsidR="004B39AE" w:rsidRDefault="004B39AE" w:rsidP="004B39AE">
      <w:pPr>
        <w:spacing w:after="0"/>
      </w:pPr>
      <w:r>
        <w:t>13</w:t>
      </w:r>
      <w:r w:rsidRPr="007862A0">
        <w:t>. Atender las actividades administrativas, técnicas, jurídicas y de Staff.</w:t>
      </w:r>
    </w:p>
    <w:p w14:paraId="2633C4F8" w14:textId="21844DED" w:rsidR="00C54C59" w:rsidRDefault="00C54C59">
      <w:pPr>
        <w:spacing w:after="0" w:line="240" w:lineRule="auto"/>
        <w:jc w:val="left"/>
      </w:pPr>
      <w:r>
        <w:br w:type="page"/>
      </w:r>
    </w:p>
    <w:p w14:paraId="3781637E" w14:textId="2829ACC5" w:rsidR="004B39AE" w:rsidRPr="00FE324E" w:rsidRDefault="004B39AE" w:rsidP="00FE324E">
      <w:pPr>
        <w:pStyle w:val="Ttulo2"/>
      </w:pPr>
      <w:bookmarkStart w:id="53" w:name="_Toc53409863"/>
      <w:r w:rsidRPr="00FE324E">
        <w:lastRenderedPageBreak/>
        <w:t>TEMA 2. APO</w:t>
      </w:r>
      <w:r w:rsidR="00913635">
        <w:t>YOS A LA PERMANENCIA EN EDUCACIÓ</w:t>
      </w:r>
      <w:r w:rsidRPr="00FE324E">
        <w:t>N BÁSICA</w:t>
      </w:r>
      <w:bookmarkEnd w:id="53"/>
    </w:p>
    <w:p w14:paraId="298F413B" w14:textId="0F585CE2" w:rsidR="004B39AE" w:rsidRDefault="004B39AE" w:rsidP="004B39AE">
      <w:pPr>
        <w:rPr>
          <w:rStyle w:val="Textoennegrita"/>
        </w:rPr>
      </w:pPr>
      <w:r w:rsidRPr="00497CC1">
        <w:rPr>
          <w:rStyle w:val="Textoennegrita"/>
        </w:rPr>
        <w:t>Objetivo</w:t>
      </w:r>
    </w:p>
    <w:p w14:paraId="6BF98F58" w14:textId="52167E5B" w:rsidR="004B39AE" w:rsidRPr="004B39AE" w:rsidRDefault="004B39AE" w:rsidP="004B39AE">
      <w:r>
        <w:t>Favorecer  la permanencia y el egreso de los estudiantes de educación básica</w:t>
      </w:r>
      <w:r w:rsidRPr="004B39AE">
        <w:t xml:space="preserve"> </w:t>
      </w:r>
      <w:r>
        <w:t xml:space="preserve">en el Sistema Educativo Estatal </w:t>
      </w:r>
      <w:r w:rsidRPr="004B39AE">
        <w:t xml:space="preserve"> media</w:t>
      </w:r>
      <w:r>
        <w:t xml:space="preserve">nte diversos apoyos compensatorios. </w:t>
      </w:r>
    </w:p>
    <w:p w14:paraId="79C02ED2" w14:textId="33FF01B3" w:rsidR="004B39AE" w:rsidRDefault="004B39AE" w:rsidP="004B39AE">
      <w:pPr>
        <w:rPr>
          <w:rStyle w:val="Textoennegrita"/>
        </w:rPr>
      </w:pPr>
      <w:r>
        <w:rPr>
          <w:rStyle w:val="Textoennegrita"/>
        </w:rPr>
        <w:t>Estrategia</w:t>
      </w:r>
    </w:p>
    <w:p w14:paraId="764E90E5" w14:textId="7174E681" w:rsidR="004B39AE" w:rsidRPr="00D364A1" w:rsidRDefault="004B39AE" w:rsidP="004B39AE">
      <w:pPr>
        <w:rPr>
          <w:bCs/>
        </w:rPr>
      </w:pPr>
      <w:r>
        <w:rPr>
          <w:bCs/>
        </w:rPr>
        <w:t xml:space="preserve">Apoyar a los alumnos de educación básica mediante el otorgamiento de una beca y/o apoyos para favorecer la permanencia y conclusión de sus estudios, </w:t>
      </w:r>
      <w:r w:rsidR="00D364A1">
        <w:rPr>
          <w:bCs/>
        </w:rPr>
        <w:t>promoviendo la equidad en las condiciones socioeconómicas.</w:t>
      </w:r>
    </w:p>
    <w:p w14:paraId="7D737D3D" w14:textId="3410EA58" w:rsidR="004B39AE" w:rsidRDefault="004B39AE" w:rsidP="004B39AE">
      <w:pPr>
        <w:rPr>
          <w:rStyle w:val="Textoennegrita"/>
        </w:rPr>
      </w:pPr>
      <w:r w:rsidRPr="00497CC1">
        <w:rPr>
          <w:rStyle w:val="Textoennegrita"/>
        </w:rPr>
        <w:t>Líneas de Acción</w:t>
      </w:r>
    </w:p>
    <w:p w14:paraId="31EFA5F9" w14:textId="77777777" w:rsidR="004B39AE" w:rsidRDefault="004B39AE" w:rsidP="00DD5EE2">
      <w:pPr>
        <w:pStyle w:val="Prrafodelista"/>
        <w:numPr>
          <w:ilvl w:val="0"/>
          <w:numId w:val="15"/>
        </w:numPr>
        <w:spacing w:after="160" w:line="259" w:lineRule="auto"/>
      </w:pPr>
      <w:r w:rsidRPr="007F651B">
        <w:t>Promover la atención de la educación Inicial no escolarizada que asegure la mejora del trabajo comunitario con madres y padres de familia de niños y niñas de 0 a 3 años 11 meses de edad, en grupos de mayor grado de vulnerabilidad</w:t>
      </w:r>
    </w:p>
    <w:p w14:paraId="51BF0CAF" w14:textId="77777777" w:rsidR="004B39AE" w:rsidRDefault="004B39AE" w:rsidP="00DD5EE2">
      <w:pPr>
        <w:pStyle w:val="Prrafodelista"/>
        <w:numPr>
          <w:ilvl w:val="0"/>
          <w:numId w:val="15"/>
        </w:numPr>
        <w:spacing w:after="160" w:line="259" w:lineRule="auto"/>
      </w:pPr>
      <w:r w:rsidRPr="007F651B">
        <w:t xml:space="preserve"> Reorientar el programa de becas e incentivos para otorgarlas a alumnos de escasos recursos a fin de que concluyan sus estudios.   </w:t>
      </w:r>
    </w:p>
    <w:p w14:paraId="29567D80" w14:textId="77777777" w:rsidR="004B39AE" w:rsidRDefault="004B39AE" w:rsidP="00DD5EE2">
      <w:pPr>
        <w:pStyle w:val="Prrafodelista"/>
        <w:numPr>
          <w:ilvl w:val="0"/>
          <w:numId w:val="15"/>
        </w:numPr>
        <w:spacing w:after="160" w:line="259" w:lineRule="auto"/>
      </w:pPr>
      <w:r w:rsidRPr="007F651B">
        <w:t xml:space="preserve"> Ampliar la cobertura de los programas de becas y apoyos compensatorios hacia grupos y zonas vulnerables rurales e indígenas</w:t>
      </w:r>
    </w:p>
    <w:p w14:paraId="76196EDD" w14:textId="77777777" w:rsidR="004B39AE" w:rsidRDefault="004B39AE" w:rsidP="00DD5EE2">
      <w:pPr>
        <w:pStyle w:val="Prrafodelista"/>
        <w:numPr>
          <w:ilvl w:val="0"/>
          <w:numId w:val="15"/>
        </w:numPr>
        <w:spacing w:after="160" w:line="259" w:lineRule="auto"/>
      </w:pPr>
      <w:r w:rsidRPr="007F651B">
        <w:t>Realizar, al interior de las escuelas públicas, la entrega de útiles, mochilas y uniformes escolares gratuitos de nivel básico al inicio del ciclo escolar</w:t>
      </w:r>
    </w:p>
    <w:p w14:paraId="48BF0C8B" w14:textId="0C67A6FB" w:rsidR="004B39AE" w:rsidRPr="007F651B" w:rsidRDefault="004B39AE" w:rsidP="00A333E8">
      <w:pPr>
        <w:pStyle w:val="Prrafodelista"/>
        <w:spacing w:after="160" w:line="259" w:lineRule="auto"/>
      </w:pPr>
    </w:p>
    <w:p w14:paraId="64511EDD" w14:textId="20F82E37" w:rsidR="00C54C59" w:rsidRDefault="00C54C59">
      <w:pPr>
        <w:spacing w:after="0" w:line="240" w:lineRule="auto"/>
        <w:jc w:val="left"/>
      </w:pPr>
      <w:r>
        <w:br w:type="page"/>
      </w:r>
    </w:p>
    <w:p w14:paraId="0FE60CC3" w14:textId="5EEA2996" w:rsidR="004B39AE" w:rsidRPr="00FE324E" w:rsidRDefault="006D4057" w:rsidP="00FE324E">
      <w:pPr>
        <w:pStyle w:val="Ttulo2"/>
      </w:pPr>
      <w:bookmarkStart w:id="54" w:name="_Toc53409864"/>
      <w:r w:rsidRPr="00FE324E">
        <w:lastRenderedPageBreak/>
        <w:t>TEMA 3. PROGRAMAS DE APOYO A LA EDUCACIÓN BÁSICA</w:t>
      </w:r>
      <w:bookmarkEnd w:id="54"/>
    </w:p>
    <w:p w14:paraId="48A2AAF7" w14:textId="77777777" w:rsidR="006D4057" w:rsidRDefault="006D4057" w:rsidP="006D4057">
      <w:pPr>
        <w:rPr>
          <w:rStyle w:val="Textoennegrita"/>
        </w:rPr>
      </w:pPr>
      <w:r w:rsidRPr="00497CC1">
        <w:rPr>
          <w:rStyle w:val="Textoennegrita"/>
        </w:rPr>
        <w:t>Objetivo</w:t>
      </w:r>
    </w:p>
    <w:p w14:paraId="2385A916" w14:textId="1054E01F" w:rsidR="006D4057" w:rsidRPr="004B39AE" w:rsidRDefault="006D4057" w:rsidP="006D4057">
      <w:r w:rsidRPr="002B453F">
        <w:t>Impulsar en educación básica acciones de respaldo a la trayectoria escolar, permanencia y egreso de los estudiantes.</w:t>
      </w:r>
    </w:p>
    <w:p w14:paraId="59B48549" w14:textId="16BEBC57" w:rsidR="006D4057" w:rsidRDefault="006D4057" w:rsidP="006D4057">
      <w:pPr>
        <w:rPr>
          <w:rStyle w:val="Textoennegrita"/>
        </w:rPr>
      </w:pPr>
      <w:r>
        <w:rPr>
          <w:rStyle w:val="Textoennegrita"/>
        </w:rPr>
        <w:t>Estrategia</w:t>
      </w:r>
    </w:p>
    <w:p w14:paraId="2E4C0AA8" w14:textId="5EE6FB47" w:rsidR="006D4057" w:rsidRPr="006D4057" w:rsidRDefault="006D4057" w:rsidP="006D4057">
      <w:pPr>
        <w:rPr>
          <w:rStyle w:val="Textoennegrita"/>
          <w:b w:val="0"/>
          <w:bCs w:val="0"/>
        </w:rPr>
      </w:pPr>
      <w:r w:rsidRPr="002B453F">
        <w:t>Propiciar en los centros educativos ambientes que favorezcan los aprendizajes y propicien el desarrollo de los estudiantes a través de mecanismos de detección de la población escolar en riesgo de reprobación que permita la aplicación de estrategias de apoyo diferenciada</w:t>
      </w:r>
      <w:r>
        <w:t xml:space="preserve">. </w:t>
      </w:r>
    </w:p>
    <w:p w14:paraId="6CA53333" w14:textId="77777777" w:rsidR="006D4057" w:rsidRDefault="006D4057" w:rsidP="006D4057">
      <w:pPr>
        <w:rPr>
          <w:rStyle w:val="Textoennegrita"/>
        </w:rPr>
      </w:pPr>
      <w:r w:rsidRPr="00497CC1">
        <w:rPr>
          <w:rStyle w:val="Textoennegrita"/>
        </w:rPr>
        <w:t>Líneas de Acción</w:t>
      </w:r>
    </w:p>
    <w:p w14:paraId="45D7A81F" w14:textId="77777777" w:rsidR="006D4057" w:rsidRDefault="006D4057" w:rsidP="00DD5EE2">
      <w:pPr>
        <w:pStyle w:val="Prrafodelista"/>
        <w:numPr>
          <w:ilvl w:val="0"/>
          <w:numId w:val="16"/>
        </w:numPr>
        <w:spacing w:after="160" w:line="259" w:lineRule="auto"/>
      </w:pPr>
      <w:r w:rsidRPr="00B65E2D">
        <w:t>Brindar seguro escolar en caso de accidentes a los alumnos de educación básica.</w:t>
      </w:r>
    </w:p>
    <w:p w14:paraId="7D598779" w14:textId="77777777" w:rsidR="006D4057" w:rsidRDefault="006D4057" w:rsidP="00DD5EE2">
      <w:pPr>
        <w:pStyle w:val="Prrafodelista"/>
        <w:numPr>
          <w:ilvl w:val="0"/>
          <w:numId w:val="16"/>
        </w:numPr>
        <w:spacing w:after="160" w:line="259" w:lineRule="auto"/>
      </w:pPr>
      <w:r w:rsidRPr="00B65E2D">
        <w:t xml:space="preserve"> Impulsar la participación de los padres de familia en la formación integral de los alumnos de educación básica.</w:t>
      </w:r>
    </w:p>
    <w:p w14:paraId="6EAF2178" w14:textId="77777777" w:rsidR="006D4057" w:rsidRDefault="006D4057" w:rsidP="00DD5EE2">
      <w:pPr>
        <w:pStyle w:val="Prrafodelista"/>
        <w:numPr>
          <w:ilvl w:val="0"/>
          <w:numId w:val="16"/>
        </w:numPr>
        <w:spacing w:after="160" w:line="259" w:lineRule="auto"/>
      </w:pPr>
      <w:r w:rsidRPr="00B65E2D">
        <w:t>Promover la formación docente  y operación del Programa Educativo Telebachillerato Comunitario</w:t>
      </w:r>
      <w:r>
        <w:t>.</w:t>
      </w:r>
    </w:p>
    <w:p w14:paraId="4FA3E3D1" w14:textId="77777777" w:rsidR="006D4057" w:rsidRDefault="006D4057" w:rsidP="00DD5EE2">
      <w:pPr>
        <w:pStyle w:val="Prrafodelista"/>
        <w:numPr>
          <w:ilvl w:val="0"/>
          <w:numId w:val="16"/>
        </w:numPr>
        <w:spacing w:after="160" w:line="259" w:lineRule="auto"/>
      </w:pPr>
      <w:r w:rsidRPr="00B65E2D">
        <w:t>Impulsar la formación integral de los estudiantes de educación básica a través de acciones  formativas.</w:t>
      </w:r>
    </w:p>
    <w:p w14:paraId="5D67A011" w14:textId="77777777" w:rsidR="006D4057" w:rsidRDefault="006D4057" w:rsidP="00DD5EE2">
      <w:pPr>
        <w:pStyle w:val="Prrafodelista"/>
        <w:numPr>
          <w:ilvl w:val="0"/>
          <w:numId w:val="16"/>
        </w:numPr>
        <w:spacing w:after="160" w:line="259" w:lineRule="auto"/>
      </w:pPr>
      <w:r w:rsidRPr="00B65E2D">
        <w:t>Promover la operación de centros educativos de capacitación de artes y oficios para atención a grupos y zonas vulnerables.</w:t>
      </w:r>
    </w:p>
    <w:p w14:paraId="6B748F87" w14:textId="77777777" w:rsidR="006D4057" w:rsidRDefault="006D4057" w:rsidP="00DD5EE2">
      <w:pPr>
        <w:pStyle w:val="Prrafodelista"/>
        <w:numPr>
          <w:ilvl w:val="0"/>
          <w:numId w:val="16"/>
        </w:numPr>
        <w:spacing w:after="160" w:line="259" w:lineRule="auto"/>
      </w:pPr>
      <w:r>
        <w:t>Implementar el Programa de Seguridad Escolar para el fortalecimiento de valores, la tolerancia y la promoción de la paz social en las escuelas de todos los niveles educativos.</w:t>
      </w:r>
    </w:p>
    <w:p w14:paraId="71B328B3" w14:textId="77777777" w:rsidR="006D4057" w:rsidRDefault="006D4057" w:rsidP="00DD5EE2">
      <w:pPr>
        <w:pStyle w:val="Prrafodelista"/>
        <w:numPr>
          <w:ilvl w:val="0"/>
          <w:numId w:val="16"/>
        </w:numPr>
        <w:spacing w:after="160" w:line="259" w:lineRule="auto"/>
      </w:pPr>
      <w:r w:rsidRPr="00B65E2D">
        <w:t xml:space="preserve">Impulsar e implementar acciones permanentes en materia de promoción, protección y defensa de los Derechos Humanos, con la aplicación de planteamientos legales, estructurales, así como la constante formación de los Servidores Públicos fortaleciendo el ejercicio de los Derechos Humanos de los ciudadanos.  </w:t>
      </w:r>
    </w:p>
    <w:p w14:paraId="584A5581" w14:textId="178011D6" w:rsidR="00C54C59" w:rsidRDefault="00C54C59">
      <w:pPr>
        <w:spacing w:after="0" w:line="240" w:lineRule="auto"/>
        <w:jc w:val="left"/>
        <w:rPr>
          <w:lang w:val="es-MX" w:eastAsia="en-US"/>
        </w:rPr>
      </w:pPr>
      <w:r>
        <w:rPr>
          <w:lang w:val="es-MX" w:eastAsia="en-US"/>
        </w:rPr>
        <w:br w:type="page"/>
      </w:r>
    </w:p>
    <w:p w14:paraId="5B9ADC5C" w14:textId="0BBC728D" w:rsidR="004B39AE" w:rsidRPr="00FE324E" w:rsidRDefault="00622175" w:rsidP="00FE324E">
      <w:pPr>
        <w:pStyle w:val="Ttulo2"/>
      </w:pPr>
      <w:bookmarkStart w:id="55" w:name="_Toc53409865"/>
      <w:r w:rsidRPr="00FE324E">
        <w:lastRenderedPageBreak/>
        <w:t xml:space="preserve">TEMA 4. </w:t>
      </w:r>
      <w:r w:rsidR="00A745F8" w:rsidRPr="00FE324E">
        <w:t>FORTALECIMIENTO DE INSTITUCIONES FORMADORAS DE DOCENTES</w:t>
      </w:r>
      <w:bookmarkEnd w:id="55"/>
    </w:p>
    <w:p w14:paraId="6ACD486C" w14:textId="77777777" w:rsidR="00622175" w:rsidRDefault="00622175" w:rsidP="00622175">
      <w:pPr>
        <w:rPr>
          <w:rStyle w:val="Textoennegrita"/>
        </w:rPr>
      </w:pPr>
      <w:r w:rsidRPr="00497CC1">
        <w:rPr>
          <w:rStyle w:val="Textoennegrita"/>
        </w:rPr>
        <w:t>Objetivo</w:t>
      </w:r>
    </w:p>
    <w:p w14:paraId="60604E72" w14:textId="3ABFC073" w:rsidR="00622175" w:rsidRPr="00622175" w:rsidRDefault="00622175" w:rsidP="00622175">
      <w:r w:rsidRPr="00622175">
        <w:t>Mejorar el proceso de formación docente delos estudiantes de las escuelas normales de Quintana Roo</w:t>
      </w:r>
    </w:p>
    <w:p w14:paraId="69AE44F3" w14:textId="77777777" w:rsidR="00622175" w:rsidRDefault="00622175" w:rsidP="00622175">
      <w:pPr>
        <w:rPr>
          <w:rStyle w:val="Textoennegrita"/>
        </w:rPr>
      </w:pPr>
      <w:r>
        <w:rPr>
          <w:rStyle w:val="Textoennegrita"/>
        </w:rPr>
        <w:t>Estrategia</w:t>
      </w:r>
    </w:p>
    <w:p w14:paraId="5D9820CD" w14:textId="58663E4B" w:rsidR="00622175" w:rsidRPr="00D0670B" w:rsidRDefault="00D0670B" w:rsidP="00622175">
      <w:pPr>
        <w:rPr>
          <w:rStyle w:val="Textoennegrita"/>
          <w:b w:val="0"/>
        </w:rPr>
      </w:pPr>
      <w:r w:rsidRPr="00D0670B">
        <w:rPr>
          <w:rStyle w:val="Textoennegrita"/>
          <w:b w:val="0"/>
        </w:rPr>
        <w:t>Implementar un proyecto estatal que promueva la calidad educativa estableciendo como ejes fundamentales la gestión y el fortalecimiento institucional, la promoción de la investigación y el diseño curricular y formación docente</w:t>
      </w:r>
    </w:p>
    <w:p w14:paraId="302F4259" w14:textId="5C00A162" w:rsidR="00622175" w:rsidRDefault="00622175" w:rsidP="00622175">
      <w:pPr>
        <w:rPr>
          <w:rStyle w:val="Textoennegrita"/>
        </w:rPr>
      </w:pPr>
      <w:r w:rsidRPr="00497CC1">
        <w:rPr>
          <w:rStyle w:val="Textoennegrita"/>
        </w:rPr>
        <w:t>Líneas de Acción</w:t>
      </w:r>
    </w:p>
    <w:p w14:paraId="1F3C1EA5" w14:textId="01E2AE4D" w:rsidR="00A745F8" w:rsidRPr="00A745F8" w:rsidRDefault="00A745F8" w:rsidP="00DD5EE2">
      <w:pPr>
        <w:pStyle w:val="Prrafodelista"/>
        <w:numPr>
          <w:ilvl w:val="0"/>
          <w:numId w:val="17"/>
        </w:numPr>
        <w:spacing w:after="160" w:line="259" w:lineRule="auto"/>
        <w:rPr>
          <w:bCs/>
        </w:rPr>
      </w:pPr>
      <w:r w:rsidRPr="00A745F8">
        <w:rPr>
          <w:bCs/>
        </w:rPr>
        <w:t>Fortalecer los programas de asesoría tutoría y acompañamiento académico, programas de becas y apoyos a fin de mejorar el desempeño académico, permanencia escolar y la eficiencia terminal.</w:t>
      </w:r>
    </w:p>
    <w:p w14:paraId="59204ED1" w14:textId="76583AD4" w:rsidR="00A745F8" w:rsidRPr="00A745F8" w:rsidRDefault="00A745F8" w:rsidP="00DD5EE2">
      <w:pPr>
        <w:pStyle w:val="Prrafodelista"/>
        <w:numPr>
          <w:ilvl w:val="0"/>
          <w:numId w:val="17"/>
        </w:numPr>
        <w:spacing w:after="160" w:line="259" w:lineRule="auto"/>
        <w:rPr>
          <w:bCs/>
        </w:rPr>
      </w:pPr>
      <w:r w:rsidRPr="00A745F8">
        <w:rPr>
          <w:bCs/>
        </w:rPr>
        <w:t>Desarrollar una estrategia integral que permita ampliar la cobertura educativa de nivel superior en las instituciones públicas</w:t>
      </w:r>
    </w:p>
    <w:p w14:paraId="1E28EC4E" w14:textId="13B0FE84" w:rsidR="00A745F8" w:rsidRPr="00A745F8" w:rsidRDefault="00A745F8" w:rsidP="00DD5EE2">
      <w:pPr>
        <w:pStyle w:val="Prrafodelista"/>
        <w:numPr>
          <w:ilvl w:val="0"/>
          <w:numId w:val="17"/>
        </w:numPr>
        <w:spacing w:after="160" w:line="259" w:lineRule="auto"/>
        <w:rPr>
          <w:bCs/>
        </w:rPr>
      </w:pPr>
      <w:r w:rsidRPr="00A745F8">
        <w:rPr>
          <w:bCs/>
        </w:rPr>
        <w:t>Fortalecer la oferta educativa de las instituciones de educación superior para asegurar la pertinencia con base en las necesidades de la entidad</w:t>
      </w:r>
    </w:p>
    <w:p w14:paraId="0820CB79" w14:textId="74B919D8" w:rsidR="00A745F8" w:rsidRPr="00A745F8" w:rsidRDefault="00A745F8" w:rsidP="00DD5EE2">
      <w:pPr>
        <w:pStyle w:val="Prrafodelista"/>
        <w:numPr>
          <w:ilvl w:val="0"/>
          <w:numId w:val="17"/>
        </w:numPr>
        <w:spacing w:after="160" w:line="259" w:lineRule="auto"/>
        <w:rPr>
          <w:bCs/>
        </w:rPr>
      </w:pPr>
      <w:r w:rsidRPr="00A745F8">
        <w:rPr>
          <w:bCs/>
        </w:rPr>
        <w:t>Acreditar los planes y programas de educación superior a fin de garantizar su calidad.</w:t>
      </w:r>
    </w:p>
    <w:p w14:paraId="7C216F8C" w14:textId="102B704D" w:rsidR="00A745F8" w:rsidRPr="00A745F8" w:rsidRDefault="00A745F8" w:rsidP="00DD5EE2">
      <w:pPr>
        <w:pStyle w:val="Prrafodelista"/>
        <w:numPr>
          <w:ilvl w:val="0"/>
          <w:numId w:val="17"/>
        </w:numPr>
        <w:spacing w:after="160" w:line="259" w:lineRule="auto"/>
        <w:rPr>
          <w:bCs/>
        </w:rPr>
      </w:pPr>
      <w:r w:rsidRPr="00A745F8">
        <w:rPr>
          <w:bCs/>
        </w:rPr>
        <w:t>Fortalecer la investigación básica y aplicada con la participación de los estudiantes de educación superior.</w:t>
      </w:r>
    </w:p>
    <w:p w14:paraId="6E51D242" w14:textId="4FA3AB3A" w:rsidR="00A745F8" w:rsidRPr="00A745F8" w:rsidRDefault="00A745F8" w:rsidP="00DD5EE2">
      <w:pPr>
        <w:pStyle w:val="Prrafodelista"/>
        <w:numPr>
          <w:ilvl w:val="0"/>
          <w:numId w:val="17"/>
        </w:numPr>
        <w:spacing w:after="160" w:line="259" w:lineRule="auto"/>
        <w:rPr>
          <w:bCs/>
        </w:rPr>
      </w:pPr>
      <w:r w:rsidRPr="00A745F8">
        <w:rPr>
          <w:bCs/>
        </w:rPr>
        <w:t>Impulsar la vinculación con instituciones públicas y privadas para la realización  del servicio social, prácticas profesionales o su equivalente y modelo dual por parte de los estudiantes de educación superior.</w:t>
      </w:r>
    </w:p>
    <w:p w14:paraId="25A47F95" w14:textId="7C871555" w:rsidR="004B39AE" w:rsidRPr="00A333E8" w:rsidRDefault="00A745F8" w:rsidP="00DD5EE2">
      <w:pPr>
        <w:pStyle w:val="Prrafodelista"/>
        <w:numPr>
          <w:ilvl w:val="0"/>
          <w:numId w:val="17"/>
        </w:numPr>
        <w:spacing w:after="160" w:line="259" w:lineRule="auto"/>
        <w:rPr>
          <w:bCs/>
        </w:rPr>
      </w:pPr>
      <w:r w:rsidRPr="00A745F8">
        <w:rPr>
          <w:bCs/>
        </w:rPr>
        <w:t>Impulsar acciones de atención para mejorar la formación inicial y continua de docentes.</w:t>
      </w:r>
    </w:p>
    <w:p w14:paraId="69D661E0" w14:textId="65DAD8FA" w:rsidR="00C54C59" w:rsidRDefault="00C54C59">
      <w:pPr>
        <w:spacing w:after="0" w:line="240" w:lineRule="auto"/>
        <w:jc w:val="left"/>
        <w:rPr>
          <w:lang w:val="es-MX" w:eastAsia="en-US"/>
        </w:rPr>
      </w:pPr>
      <w:r>
        <w:rPr>
          <w:lang w:val="es-MX" w:eastAsia="en-US"/>
        </w:rPr>
        <w:br w:type="page"/>
      </w:r>
    </w:p>
    <w:p w14:paraId="758E262C" w14:textId="6DA39FE2" w:rsidR="009E3B2F" w:rsidRPr="00FE324E" w:rsidRDefault="009E3B2F" w:rsidP="00FE324E">
      <w:pPr>
        <w:pStyle w:val="Ttulo2"/>
      </w:pPr>
      <w:bookmarkStart w:id="56" w:name="_Toc53409866"/>
      <w:r w:rsidRPr="00FE324E">
        <w:lastRenderedPageBreak/>
        <w:t xml:space="preserve">Tema </w:t>
      </w:r>
      <w:bookmarkEnd w:id="52"/>
      <w:r w:rsidR="00A745F8" w:rsidRPr="00FE324E">
        <w:t>5. EDUCACIÓN MEDIA SUPERIOR</w:t>
      </w:r>
      <w:bookmarkEnd w:id="56"/>
    </w:p>
    <w:p w14:paraId="695B49C9" w14:textId="77777777" w:rsidR="009E3B2F" w:rsidRPr="00497CC1" w:rsidRDefault="009E3B2F" w:rsidP="009E3B2F">
      <w:pPr>
        <w:rPr>
          <w:rStyle w:val="Textoennegrita"/>
        </w:rPr>
      </w:pPr>
      <w:r w:rsidRPr="00497CC1">
        <w:rPr>
          <w:rStyle w:val="Textoennegrita"/>
        </w:rPr>
        <w:t>Objetivo</w:t>
      </w:r>
    </w:p>
    <w:p w14:paraId="6E2AA21F" w14:textId="77777777" w:rsidR="009E3B2F" w:rsidRPr="00582297" w:rsidRDefault="009E3B2F" w:rsidP="009E3B2F">
      <w:r w:rsidRPr="00582297">
        <w:t xml:space="preserve">Brindar una educación media superior de calidad relevante y pertinente centrada en el mejoramiento del desempeño escolar del estudiante. </w:t>
      </w:r>
    </w:p>
    <w:p w14:paraId="749A73FF" w14:textId="77777777" w:rsidR="009E3B2F" w:rsidRPr="00497CC1" w:rsidRDefault="009E3B2F" w:rsidP="009E3B2F">
      <w:pPr>
        <w:rPr>
          <w:rStyle w:val="Textoennegrita"/>
        </w:rPr>
      </w:pPr>
      <w:r w:rsidRPr="00497CC1">
        <w:rPr>
          <w:rStyle w:val="Textoennegrita"/>
        </w:rPr>
        <w:t>Estrategia</w:t>
      </w:r>
    </w:p>
    <w:p w14:paraId="6460FDD6" w14:textId="77777777" w:rsidR="009E3B2F" w:rsidRPr="00582297" w:rsidRDefault="009E3B2F" w:rsidP="009E3B2F">
      <w:r w:rsidRPr="00582297">
        <w:t>Promover el establecimiento de prácticas pedagógicas y habilidades socioemocionales que desarrollen la obtención de competencias para la vida y el trabajo, en los estudiantes de educación media superior haciendo énfasis en aquellos con problemas de aprendizaje y en riesgo de abandono escolar.</w:t>
      </w:r>
    </w:p>
    <w:p w14:paraId="77F6F2D9" w14:textId="77777777" w:rsidR="009E3B2F" w:rsidRPr="00497CC1" w:rsidRDefault="009E3B2F" w:rsidP="009E3B2F">
      <w:pPr>
        <w:rPr>
          <w:rStyle w:val="Textoennegrita"/>
        </w:rPr>
      </w:pPr>
      <w:r w:rsidRPr="00497CC1">
        <w:rPr>
          <w:rStyle w:val="Textoennegrita"/>
        </w:rPr>
        <w:t>Líneas de Acción</w:t>
      </w:r>
    </w:p>
    <w:p w14:paraId="57CF758D" w14:textId="77777777" w:rsidR="009E3B2F" w:rsidRPr="00582297" w:rsidRDefault="009E3B2F" w:rsidP="00DD5EE2">
      <w:pPr>
        <w:pStyle w:val="Prrafodelista"/>
        <w:numPr>
          <w:ilvl w:val="0"/>
          <w:numId w:val="5"/>
        </w:numPr>
      </w:pPr>
      <w:r w:rsidRPr="00582297">
        <w:t xml:space="preserve">Reorientar el programa de becas e incentivos para otorgarlas a alumnos de escasos recursos a fin de que concluyan sus estudios. </w:t>
      </w:r>
    </w:p>
    <w:p w14:paraId="4CDD92D7" w14:textId="77777777" w:rsidR="009E3B2F" w:rsidRPr="00582297" w:rsidRDefault="009E3B2F" w:rsidP="00DD5EE2">
      <w:pPr>
        <w:pStyle w:val="Prrafodelista"/>
        <w:numPr>
          <w:ilvl w:val="0"/>
          <w:numId w:val="5"/>
        </w:numPr>
      </w:pPr>
      <w:r w:rsidRPr="00582297">
        <w:t>Desarrollar una estrategia integral que permita ampliar la cobertura educativa de nivel medio superior en las instituciones públicas.</w:t>
      </w:r>
    </w:p>
    <w:p w14:paraId="6B571C2B" w14:textId="77777777" w:rsidR="009E3B2F" w:rsidRPr="00582297" w:rsidRDefault="009E3B2F" w:rsidP="00DD5EE2">
      <w:pPr>
        <w:pStyle w:val="Prrafodelista"/>
        <w:numPr>
          <w:ilvl w:val="0"/>
          <w:numId w:val="5"/>
        </w:numPr>
      </w:pPr>
      <w:r w:rsidRPr="00582297">
        <w:t xml:space="preserve">Implementar un programa para elevar la eficiencia terminal en la educación media superior. </w:t>
      </w:r>
    </w:p>
    <w:p w14:paraId="07E08434" w14:textId="77777777" w:rsidR="009E3B2F" w:rsidRPr="00582297" w:rsidRDefault="009E3B2F" w:rsidP="00DD5EE2">
      <w:pPr>
        <w:pStyle w:val="Prrafodelista"/>
        <w:numPr>
          <w:ilvl w:val="0"/>
          <w:numId w:val="5"/>
        </w:numPr>
      </w:pPr>
      <w:r w:rsidRPr="00582297">
        <w:t xml:space="preserve">Impulsar la calidad en los planteles de Educación Media Superior mediante evaluaciones y/o acreditaciones. </w:t>
      </w:r>
    </w:p>
    <w:p w14:paraId="4B3C65A1" w14:textId="77777777" w:rsidR="009E3B2F" w:rsidRPr="00582297" w:rsidRDefault="009E3B2F" w:rsidP="00DD5EE2">
      <w:pPr>
        <w:pStyle w:val="Prrafodelista"/>
        <w:numPr>
          <w:ilvl w:val="0"/>
          <w:numId w:val="5"/>
        </w:numPr>
      </w:pPr>
      <w:r w:rsidRPr="00582297">
        <w:t xml:space="preserve">Impulsar la participación de los padres de familia en la formación integral de los alumnos. </w:t>
      </w:r>
    </w:p>
    <w:p w14:paraId="6713A7CE" w14:textId="77777777" w:rsidR="009E3B2F" w:rsidRPr="00582297" w:rsidRDefault="009E3B2F" w:rsidP="00DD5EE2">
      <w:pPr>
        <w:pStyle w:val="Prrafodelista"/>
        <w:numPr>
          <w:ilvl w:val="0"/>
          <w:numId w:val="5"/>
        </w:numPr>
      </w:pPr>
      <w:r w:rsidRPr="00582297">
        <w:t xml:space="preserve">Impulsar estrategias para fortalecer la comprensión de lectura, escritura y pensamiento lógico matemático y demás áreas del conocimiento en escuelas de nivel medio superior. </w:t>
      </w:r>
    </w:p>
    <w:p w14:paraId="78196D43" w14:textId="77777777" w:rsidR="009E3B2F" w:rsidRPr="00582297" w:rsidRDefault="009E3B2F" w:rsidP="00DD5EE2">
      <w:pPr>
        <w:pStyle w:val="Prrafodelista"/>
        <w:numPr>
          <w:ilvl w:val="0"/>
          <w:numId w:val="5"/>
        </w:numPr>
      </w:pPr>
      <w:r w:rsidRPr="00582297">
        <w:t xml:space="preserve">Impulsar acciones de atención para mejorar la formación continua y desarrollo profesional de los docentes. </w:t>
      </w:r>
    </w:p>
    <w:p w14:paraId="0281A4F8" w14:textId="77777777" w:rsidR="009E3B2F" w:rsidRPr="00582297" w:rsidRDefault="009E3B2F" w:rsidP="00DD5EE2">
      <w:pPr>
        <w:pStyle w:val="Prrafodelista"/>
        <w:numPr>
          <w:ilvl w:val="0"/>
          <w:numId w:val="5"/>
        </w:numPr>
      </w:pPr>
      <w:r w:rsidRPr="00582297">
        <w:t xml:space="preserve">Impulsar la formación integral de los estudiantes en el nivel medio superior. </w:t>
      </w:r>
    </w:p>
    <w:p w14:paraId="42A27ADC" w14:textId="77777777" w:rsidR="009E3B2F" w:rsidRPr="00582297" w:rsidRDefault="009E3B2F" w:rsidP="00DD5EE2">
      <w:pPr>
        <w:pStyle w:val="Prrafodelista"/>
        <w:numPr>
          <w:ilvl w:val="0"/>
          <w:numId w:val="5"/>
        </w:numPr>
      </w:pPr>
      <w:r w:rsidRPr="00582297">
        <w:t xml:space="preserve">Impulsar el modelo mexicano de formación Dual para establecer un equilibrio armónico entre la formación teórica y la formación práctica de los estudiantes de bachillerato tecnológico, profesional técnico o profesional técnico bachiller de instituciones públicas de Educación Media Superior. </w:t>
      </w:r>
    </w:p>
    <w:p w14:paraId="6E502FAD" w14:textId="77777777" w:rsidR="009E3B2F" w:rsidRPr="00582297" w:rsidRDefault="009E3B2F" w:rsidP="00DD5EE2">
      <w:pPr>
        <w:pStyle w:val="Prrafodelista"/>
        <w:numPr>
          <w:ilvl w:val="0"/>
          <w:numId w:val="5"/>
        </w:numPr>
      </w:pPr>
      <w:r w:rsidRPr="00582297">
        <w:lastRenderedPageBreak/>
        <w:t xml:space="preserve">Impulsar los servicios de evaluación y certificación de competencias laborales, servicios tecnológicos y capacitación para facilitar la inserción y movilidad laboral de los alumnos y egresados de Educación Media Superior, así como de la población en general. </w:t>
      </w:r>
    </w:p>
    <w:p w14:paraId="1541E3F4" w14:textId="77777777" w:rsidR="009E3B2F" w:rsidRPr="00582297" w:rsidRDefault="009E3B2F" w:rsidP="00DD5EE2">
      <w:pPr>
        <w:pStyle w:val="Prrafodelista"/>
        <w:numPr>
          <w:ilvl w:val="0"/>
          <w:numId w:val="5"/>
        </w:numPr>
      </w:pPr>
      <w:r w:rsidRPr="00582297">
        <w:t>Implementar el Programa de Seguridad Escolar para el fortalecimiento de valores, la tolerancia y la promoción de la paz social en las escuelas de nivel medio superior.</w:t>
      </w:r>
    </w:p>
    <w:p w14:paraId="1BD2D4E5" w14:textId="77777777" w:rsidR="009E3B2F" w:rsidRPr="00582297" w:rsidRDefault="009E3B2F" w:rsidP="00DD5EE2">
      <w:pPr>
        <w:pStyle w:val="Prrafodelista"/>
        <w:numPr>
          <w:ilvl w:val="0"/>
          <w:numId w:val="5"/>
        </w:numPr>
      </w:pPr>
      <w:r w:rsidRPr="00582297">
        <w:t>Impulsar e implementar acciones permanentes en materia de promoción, protección y defensa de los Derechos Humanos, con la aplicación de planteamientos legales, estructurales, así como la constante formación de Servidores Públicos fortaleciendo el ejercicio de los Derechos Humanos de los Ciudadanos.</w:t>
      </w:r>
    </w:p>
    <w:p w14:paraId="023E1316" w14:textId="77777777" w:rsidR="009E3B2F" w:rsidRPr="00582297" w:rsidRDefault="009E3B2F" w:rsidP="00DD5EE2">
      <w:pPr>
        <w:pStyle w:val="Prrafodelista"/>
        <w:numPr>
          <w:ilvl w:val="0"/>
          <w:numId w:val="5"/>
        </w:numPr>
      </w:pPr>
      <w:r w:rsidRPr="00582297">
        <w:t>Atender las actividades administrativas, técnicas, jurídicas y de Staff.</w:t>
      </w:r>
    </w:p>
    <w:p w14:paraId="226EE7D2" w14:textId="2A2C0FAA" w:rsidR="00C54C59" w:rsidRDefault="00C54C59">
      <w:pPr>
        <w:spacing w:after="0" w:line="240" w:lineRule="auto"/>
        <w:jc w:val="left"/>
        <w:rPr>
          <w:rFonts w:eastAsia="Times New Roman" w:cs="Futura"/>
          <w:sz w:val="22"/>
        </w:rPr>
      </w:pPr>
      <w:r>
        <w:rPr>
          <w:rFonts w:eastAsia="Times New Roman" w:cs="Futura"/>
          <w:sz w:val="22"/>
        </w:rPr>
        <w:br w:type="page"/>
      </w:r>
    </w:p>
    <w:p w14:paraId="6D1E5183" w14:textId="02025D74" w:rsidR="009E3B2F" w:rsidRPr="00FE324E" w:rsidRDefault="00E80F3F" w:rsidP="00FE324E">
      <w:pPr>
        <w:pStyle w:val="Ttulo2"/>
      </w:pPr>
      <w:bookmarkStart w:id="57" w:name="_Toc486858644"/>
      <w:bookmarkStart w:id="58" w:name="_Toc53409867"/>
      <w:r w:rsidRPr="00FE324E">
        <w:lastRenderedPageBreak/>
        <w:t>Tema  6. E</w:t>
      </w:r>
      <w:r w:rsidR="009E3B2F" w:rsidRPr="00FE324E">
        <w:t>ducación superior</w:t>
      </w:r>
      <w:bookmarkEnd w:id="57"/>
      <w:bookmarkEnd w:id="58"/>
      <w:r w:rsidR="009E3B2F" w:rsidRPr="00FE324E">
        <w:t xml:space="preserve"> </w:t>
      </w:r>
    </w:p>
    <w:p w14:paraId="3F29EE0D" w14:textId="77777777" w:rsidR="009E3B2F" w:rsidRPr="00497CC1" w:rsidRDefault="009E3B2F" w:rsidP="009E3B2F">
      <w:pPr>
        <w:rPr>
          <w:rStyle w:val="Textoennegrita"/>
        </w:rPr>
      </w:pPr>
      <w:r w:rsidRPr="00497CC1">
        <w:rPr>
          <w:rStyle w:val="Textoennegrita"/>
        </w:rPr>
        <w:t>Objetivo</w:t>
      </w:r>
    </w:p>
    <w:p w14:paraId="469E2C15" w14:textId="77777777" w:rsidR="009E3B2F" w:rsidRPr="00582297" w:rsidRDefault="009E3B2F" w:rsidP="009E3B2F">
      <w:r w:rsidRPr="00582297">
        <w:t xml:space="preserve">Asegurar la calidad de la formación profesional a través de programas y proyectos que favorezcan la continuidad y conclusión de los estudiantes de educación superior, acorde a las necesidades que requiere el desarrollo social y económico del estado. </w:t>
      </w:r>
    </w:p>
    <w:p w14:paraId="3D0E06C8" w14:textId="77777777" w:rsidR="009E3B2F" w:rsidRPr="00582297" w:rsidRDefault="009E3B2F" w:rsidP="009E3B2F">
      <w:pPr>
        <w:rPr>
          <w:rStyle w:val="Textoennegrita"/>
        </w:rPr>
      </w:pPr>
      <w:r w:rsidRPr="00582297">
        <w:rPr>
          <w:rStyle w:val="Textoennegrita"/>
        </w:rPr>
        <w:t>Estrategia</w:t>
      </w:r>
    </w:p>
    <w:p w14:paraId="5E2708BC" w14:textId="77777777" w:rsidR="009E3B2F" w:rsidRPr="00582297" w:rsidRDefault="009E3B2F" w:rsidP="009E3B2F">
      <w:r w:rsidRPr="00582297">
        <w:t>Impulsar la ampliación de la oferta educativa pertinente de las instituciones de Educación Superior que aseguren la atención de la demanda en la entidad.</w:t>
      </w:r>
    </w:p>
    <w:p w14:paraId="1A870B96" w14:textId="77777777" w:rsidR="009E3B2F" w:rsidRPr="00541516" w:rsidRDefault="009E3B2F" w:rsidP="009E3B2F">
      <w:pPr>
        <w:rPr>
          <w:rStyle w:val="Textoennegrita"/>
        </w:rPr>
      </w:pPr>
      <w:r w:rsidRPr="00541516">
        <w:rPr>
          <w:rStyle w:val="Textoennegrita"/>
        </w:rPr>
        <w:t xml:space="preserve">Líneas de Acción </w:t>
      </w:r>
    </w:p>
    <w:p w14:paraId="49D43390" w14:textId="77777777" w:rsidR="009E3B2F" w:rsidRPr="00582297" w:rsidRDefault="009E3B2F" w:rsidP="00DD5EE2">
      <w:pPr>
        <w:pStyle w:val="Prrafodelista"/>
        <w:numPr>
          <w:ilvl w:val="0"/>
          <w:numId w:val="6"/>
        </w:numPr>
      </w:pPr>
      <w:r w:rsidRPr="00582297">
        <w:rPr>
          <w:rFonts w:ascii="Futura Std Condensed Light" w:eastAsia="Calibri" w:hAnsi="Futura Std Condensed Light" w:cs="Calibri"/>
          <w:sz w:val="22"/>
          <w:szCs w:val="20"/>
        </w:rPr>
        <w:t>R</w:t>
      </w:r>
      <w:r w:rsidRPr="00582297">
        <w:t>eorientar el programa de becas e incentivos para otorgarlas a alumnos de escasos recursos a fin de que concluyan sus estudios.</w:t>
      </w:r>
    </w:p>
    <w:p w14:paraId="6CCAEC62" w14:textId="77777777" w:rsidR="009E3B2F" w:rsidRPr="00582297" w:rsidRDefault="009E3B2F" w:rsidP="00DD5EE2">
      <w:pPr>
        <w:pStyle w:val="Prrafodelista"/>
        <w:numPr>
          <w:ilvl w:val="0"/>
          <w:numId w:val="6"/>
        </w:numPr>
      </w:pPr>
      <w:r w:rsidRPr="00582297">
        <w:t xml:space="preserve">Desarrollar una estrategia integral que permita ampliar la cobertura educativa de nivel superior en las instituciones públicas. </w:t>
      </w:r>
    </w:p>
    <w:p w14:paraId="3FDB59F9" w14:textId="77777777" w:rsidR="009E3B2F" w:rsidRPr="00582297" w:rsidRDefault="009E3B2F" w:rsidP="00DD5EE2">
      <w:pPr>
        <w:pStyle w:val="Prrafodelista"/>
        <w:numPr>
          <w:ilvl w:val="0"/>
          <w:numId w:val="6"/>
        </w:numPr>
      </w:pPr>
      <w:r w:rsidRPr="00582297">
        <w:t>Promover la educación multimodal (escolarizada, no escolarizada y mixta) como alternativa para la formación profesional.</w:t>
      </w:r>
    </w:p>
    <w:p w14:paraId="5D176E5C" w14:textId="77777777" w:rsidR="009E3B2F" w:rsidRPr="00582297" w:rsidRDefault="009E3B2F" w:rsidP="00DD5EE2">
      <w:pPr>
        <w:pStyle w:val="Prrafodelista"/>
        <w:numPr>
          <w:ilvl w:val="0"/>
          <w:numId w:val="6"/>
        </w:numPr>
      </w:pPr>
      <w:r w:rsidRPr="00582297">
        <w:t>Fortalecer los programas de asesoría, tutoría y acompañamiento académico, programas de becas y apoyos a fin de mejorar el desempeño académico, permanencia escolar, y la eficiencia terminal.</w:t>
      </w:r>
    </w:p>
    <w:p w14:paraId="66F1B582" w14:textId="77777777" w:rsidR="009E3B2F" w:rsidRPr="00582297" w:rsidRDefault="009E3B2F" w:rsidP="00DD5EE2">
      <w:pPr>
        <w:pStyle w:val="Prrafodelista"/>
        <w:numPr>
          <w:ilvl w:val="0"/>
          <w:numId w:val="6"/>
        </w:numPr>
      </w:pPr>
      <w:r w:rsidRPr="00582297">
        <w:t xml:space="preserve">Fortalecer la oferta educativa de las instituciones de educación superior para asegurar la pertinencia con base en las necesidades de la entidad. </w:t>
      </w:r>
    </w:p>
    <w:p w14:paraId="61CD2041" w14:textId="77777777" w:rsidR="009E3B2F" w:rsidRPr="00582297" w:rsidRDefault="009E3B2F" w:rsidP="00DD5EE2">
      <w:pPr>
        <w:pStyle w:val="Prrafodelista"/>
        <w:numPr>
          <w:ilvl w:val="0"/>
          <w:numId w:val="6"/>
        </w:numPr>
      </w:pPr>
      <w:r w:rsidRPr="00582297">
        <w:t>Impulsar la acreditación y evaluación de los planes y programas de estudio de educación superior por organismos externos reconocidos a nivel nacional e internacional.</w:t>
      </w:r>
    </w:p>
    <w:p w14:paraId="155B4A43" w14:textId="77777777" w:rsidR="009E3B2F" w:rsidRPr="00582297" w:rsidRDefault="009E3B2F" w:rsidP="00DD5EE2">
      <w:pPr>
        <w:pStyle w:val="Prrafodelista"/>
        <w:numPr>
          <w:ilvl w:val="0"/>
          <w:numId w:val="6"/>
        </w:numPr>
      </w:pPr>
      <w:r w:rsidRPr="00582297">
        <w:t xml:space="preserve">Fortalecer la investigación básica y aplicada con la participación de los estudiantes de educación superior. </w:t>
      </w:r>
    </w:p>
    <w:p w14:paraId="6A3CAE59" w14:textId="77777777" w:rsidR="009E3B2F" w:rsidRPr="00582297" w:rsidRDefault="009E3B2F" w:rsidP="00DD5EE2">
      <w:pPr>
        <w:pStyle w:val="Prrafodelista"/>
        <w:numPr>
          <w:ilvl w:val="0"/>
          <w:numId w:val="6"/>
        </w:numPr>
      </w:pPr>
      <w:r w:rsidRPr="00582297">
        <w:t>Impulsar la vinculación con instituciones públicas y privadas para la realización del servicio social, prácticas profesionales o su equivalente y modelo dual por parte de los estudiantes de educación superior.</w:t>
      </w:r>
    </w:p>
    <w:p w14:paraId="34F98D82" w14:textId="77777777" w:rsidR="009E3B2F" w:rsidRPr="00582297" w:rsidRDefault="009E3B2F" w:rsidP="00DD5EE2">
      <w:pPr>
        <w:pStyle w:val="Prrafodelista"/>
        <w:numPr>
          <w:ilvl w:val="0"/>
          <w:numId w:val="6"/>
        </w:numPr>
      </w:pPr>
      <w:r w:rsidRPr="00582297">
        <w:t xml:space="preserve">Implementar programas de formación y actualización docente al interior de las instituciones de educación superior. </w:t>
      </w:r>
    </w:p>
    <w:p w14:paraId="64B693C2" w14:textId="77777777" w:rsidR="009E3B2F" w:rsidRPr="00582297" w:rsidRDefault="009E3B2F" w:rsidP="00DD5EE2">
      <w:pPr>
        <w:pStyle w:val="Prrafodelista"/>
        <w:numPr>
          <w:ilvl w:val="0"/>
          <w:numId w:val="6"/>
        </w:numPr>
      </w:pPr>
      <w:r w:rsidRPr="00582297">
        <w:lastRenderedPageBreak/>
        <w:t>Implementar el Programa de Seguridad Escolar para el fortalecimiento de valores, la tolerancia y la promoción de la paz social en las escuelas</w:t>
      </w:r>
      <w:r w:rsidRPr="00582297">
        <w:rPr>
          <w:rFonts w:ascii="Futura Std Condensed Light" w:eastAsia="Calibri" w:hAnsi="Futura Std Condensed Light" w:cs="Calibri"/>
          <w:sz w:val="22"/>
          <w:szCs w:val="20"/>
        </w:rPr>
        <w:t>.</w:t>
      </w:r>
    </w:p>
    <w:p w14:paraId="4B4F6A05" w14:textId="77777777" w:rsidR="009E3B2F" w:rsidRPr="00582297" w:rsidRDefault="009E3B2F" w:rsidP="00DD5EE2">
      <w:pPr>
        <w:pStyle w:val="Prrafodelista"/>
        <w:numPr>
          <w:ilvl w:val="0"/>
          <w:numId w:val="6"/>
        </w:numPr>
      </w:pPr>
      <w:r w:rsidRPr="00582297">
        <w:t>Impulsar e implementar acciones permanentes en materia de promoción, protección y defensa de los Derechos Humanos, con la aplicación de planteamientos legales, estructurales, así como la constante formación de Servidores Públicos fortaleciendo el ejercicio de los Derechos Humanos de los Ciudadanos.</w:t>
      </w:r>
    </w:p>
    <w:p w14:paraId="40A314EA" w14:textId="77777777" w:rsidR="009E3B2F" w:rsidRPr="00582297" w:rsidRDefault="009E3B2F" w:rsidP="00DD5EE2">
      <w:pPr>
        <w:pStyle w:val="Prrafodelista"/>
        <w:numPr>
          <w:ilvl w:val="0"/>
          <w:numId w:val="6"/>
        </w:numPr>
      </w:pPr>
      <w:r w:rsidRPr="00582297">
        <w:t>Atender las actividades administrativas, técnicas, jurídicas y de Staff.</w:t>
      </w:r>
    </w:p>
    <w:p w14:paraId="26E7119F" w14:textId="1E1E8F4F" w:rsidR="00C54C59" w:rsidRDefault="00C54C59">
      <w:pPr>
        <w:spacing w:after="0" w:line="240" w:lineRule="auto"/>
        <w:jc w:val="left"/>
        <w:rPr>
          <w:sz w:val="22"/>
        </w:rPr>
      </w:pPr>
      <w:r>
        <w:rPr>
          <w:sz w:val="22"/>
        </w:rPr>
        <w:br w:type="page"/>
      </w:r>
    </w:p>
    <w:p w14:paraId="099BD3A3" w14:textId="6195CE9C" w:rsidR="009E3B2F" w:rsidRPr="00FE324E" w:rsidRDefault="00E80F3F" w:rsidP="00FE324E">
      <w:pPr>
        <w:pStyle w:val="Ttulo2"/>
      </w:pPr>
      <w:bookmarkStart w:id="59" w:name="_Toc486858645"/>
      <w:bookmarkStart w:id="60" w:name="_Toc53409868"/>
      <w:r w:rsidRPr="00FE324E">
        <w:lastRenderedPageBreak/>
        <w:t>Tema 7</w:t>
      </w:r>
      <w:r w:rsidR="009E3B2F" w:rsidRPr="00FE324E">
        <w:t>. Infraestructura Educativa</w:t>
      </w:r>
      <w:bookmarkEnd w:id="59"/>
      <w:bookmarkEnd w:id="60"/>
    </w:p>
    <w:p w14:paraId="3A12C3A5" w14:textId="77777777" w:rsidR="009E3B2F" w:rsidRPr="00497CC1" w:rsidRDefault="009E3B2F" w:rsidP="009E3B2F">
      <w:pPr>
        <w:rPr>
          <w:rStyle w:val="Textoennegrita"/>
        </w:rPr>
      </w:pPr>
      <w:r w:rsidRPr="00497CC1">
        <w:rPr>
          <w:rStyle w:val="Textoennegrita"/>
        </w:rPr>
        <w:t>Objetivo</w:t>
      </w:r>
    </w:p>
    <w:p w14:paraId="7CE869F4" w14:textId="77777777" w:rsidR="009E3B2F" w:rsidRPr="008917A4" w:rsidRDefault="009E3B2F" w:rsidP="009E3B2F">
      <w:pPr>
        <w:rPr>
          <w:rFonts w:eastAsia="Times New Roman"/>
          <w:bCs/>
          <w:color w:val="FF0000"/>
          <w:lang w:val="es-MX" w:eastAsia="en-US"/>
        </w:rPr>
      </w:pPr>
      <w:r>
        <w:rPr>
          <w:rFonts w:eastAsia="Times New Roman"/>
          <w:bCs/>
          <w:lang w:val="es-MX" w:eastAsia="en-US"/>
        </w:rPr>
        <w:t>Mejorar la infraestructura y equipamiento de las escuelas de los diferentes niveles educativos, a fin de contar con espacios que brinden una educación inclusiva de calidad en beneficio de los estudiantes del Estado</w:t>
      </w:r>
      <w:r>
        <w:rPr>
          <w:rFonts w:eastAsia="Times New Roman"/>
          <w:bCs/>
          <w:color w:val="FF0000"/>
          <w:lang w:val="es-MX" w:eastAsia="en-US"/>
        </w:rPr>
        <w:t>.</w:t>
      </w:r>
    </w:p>
    <w:p w14:paraId="7B35ADBF" w14:textId="77777777" w:rsidR="009E3B2F" w:rsidRPr="00497CC1" w:rsidRDefault="009E3B2F" w:rsidP="009E3B2F">
      <w:pPr>
        <w:rPr>
          <w:rStyle w:val="Textoennegrita"/>
        </w:rPr>
      </w:pPr>
      <w:r w:rsidRPr="00497CC1">
        <w:rPr>
          <w:rStyle w:val="Textoennegrita"/>
        </w:rPr>
        <w:t>Estrategia</w:t>
      </w:r>
    </w:p>
    <w:p w14:paraId="55577F2F" w14:textId="77777777" w:rsidR="009E3B2F" w:rsidRPr="004776A1" w:rsidRDefault="009E3B2F" w:rsidP="0021133B">
      <w:pPr>
        <w:rPr>
          <w:rFonts w:eastAsia="Times New Roman"/>
          <w:bCs/>
          <w:lang w:val="es-MX" w:eastAsia="en-US"/>
        </w:rPr>
      </w:pPr>
      <w:bookmarkStart w:id="61" w:name="_Toc41648913"/>
      <w:r w:rsidRPr="004776A1">
        <w:rPr>
          <w:rFonts w:eastAsia="Times New Roman"/>
          <w:bCs/>
          <w:lang w:val="es-MX" w:eastAsia="en-US"/>
        </w:rPr>
        <w:t>Ejecutar los programas de inversión del estado, cuyo objetivo sea la construcción, equipamiento, mantenimiento, rehabilitación y certificación de los planteles de educación en los diferentes niveles educativos a fin de asegurar la cobertura educativa, en zonas rurales, de crecimiento y/o vulnerables.</w:t>
      </w:r>
      <w:bookmarkEnd w:id="61"/>
    </w:p>
    <w:p w14:paraId="18B6FF39" w14:textId="77777777" w:rsidR="009E3B2F" w:rsidRPr="00497CC1" w:rsidRDefault="009E3B2F" w:rsidP="009E3B2F">
      <w:pPr>
        <w:rPr>
          <w:rStyle w:val="Textoennegrita"/>
        </w:rPr>
      </w:pPr>
      <w:r w:rsidRPr="00497CC1">
        <w:rPr>
          <w:rStyle w:val="Textoennegrita"/>
        </w:rPr>
        <w:t>Líneas de Acción</w:t>
      </w:r>
    </w:p>
    <w:p w14:paraId="5449D2AE" w14:textId="77777777" w:rsidR="000D054E" w:rsidRPr="000D054E" w:rsidRDefault="000D054E" w:rsidP="00DD5EE2">
      <w:pPr>
        <w:pStyle w:val="Prrafodelista"/>
        <w:numPr>
          <w:ilvl w:val="0"/>
          <w:numId w:val="7"/>
        </w:numPr>
      </w:pPr>
      <w:r w:rsidRPr="000D054E">
        <w:t>Emprender programas de intervención de escuelas públicas, en los diferentes niveles educativos, mediante el equipamiento y rehabilitación de las mismas para beneficio de la comunidad estudiantil de nuestro Estado.</w:t>
      </w:r>
    </w:p>
    <w:p w14:paraId="2F244B48" w14:textId="77777777" w:rsidR="000D054E" w:rsidRPr="000D054E" w:rsidRDefault="000D054E" w:rsidP="00DD5EE2">
      <w:pPr>
        <w:pStyle w:val="Prrafodelista"/>
        <w:numPr>
          <w:ilvl w:val="0"/>
          <w:numId w:val="7"/>
        </w:numPr>
      </w:pPr>
      <w:r w:rsidRPr="000D054E">
        <w:t>Implementar y actualizar permanentemente una base de datos de información del estado físico de las instalaciones que integran la infraestructura física educativa del estado, recopilando la información del estado que guarda los espacios educativos, con la finalidad de realizar diagnósticos y pronósticos de los mismos.</w:t>
      </w:r>
    </w:p>
    <w:p w14:paraId="1E68DC7B" w14:textId="77777777" w:rsidR="000D054E" w:rsidRPr="000D054E" w:rsidRDefault="000D054E" w:rsidP="00DD5EE2">
      <w:pPr>
        <w:pStyle w:val="Prrafodelista"/>
        <w:numPr>
          <w:ilvl w:val="0"/>
          <w:numId w:val="7"/>
        </w:numPr>
      </w:pPr>
      <w:r w:rsidRPr="000D054E">
        <w:t xml:space="preserve">Fortalecer la Contraloría Social con el apoyo de los padres de familia, con el fin de transparentar las acciones realizadas por el Instituto, en materia de Infraestructura Educativa. </w:t>
      </w:r>
    </w:p>
    <w:p w14:paraId="37DF0D90" w14:textId="77777777" w:rsidR="000D054E" w:rsidRDefault="000D054E" w:rsidP="00DD5EE2">
      <w:pPr>
        <w:pStyle w:val="Prrafodelista"/>
        <w:numPr>
          <w:ilvl w:val="0"/>
          <w:numId w:val="7"/>
        </w:numPr>
      </w:pPr>
      <w:r w:rsidRPr="00582297">
        <w:t>Habilitar las condiciones de infraestructura tecnológica y telecomunicaciones de las escuelas del Estado.</w:t>
      </w:r>
      <w:r w:rsidRPr="0075080F">
        <w:t xml:space="preserve"> </w:t>
      </w:r>
    </w:p>
    <w:p w14:paraId="03180D9B" w14:textId="77777777" w:rsidR="000D054E" w:rsidRPr="00582297" w:rsidRDefault="000D054E" w:rsidP="00DD5EE2">
      <w:pPr>
        <w:pStyle w:val="Prrafodelista"/>
        <w:numPr>
          <w:ilvl w:val="0"/>
          <w:numId w:val="7"/>
        </w:numPr>
      </w:pPr>
      <w:r w:rsidRPr="00582297">
        <w:t>Desarrollar los proyectos de construcción y rehabilitación, así como de equipamiento de los niveles básico, media superior y superior, previa solicitud de la instancia correspondiente, así como integrar los expedientes técnicos que deriven de ellos, en apego a los lineamientos establecidos en el marco normativo aplicable</w:t>
      </w:r>
    </w:p>
    <w:p w14:paraId="4CCEA0F1" w14:textId="77777777" w:rsidR="000D054E" w:rsidRDefault="000D054E" w:rsidP="00DD5EE2">
      <w:pPr>
        <w:pStyle w:val="Prrafodelista"/>
        <w:numPr>
          <w:ilvl w:val="0"/>
          <w:numId w:val="7"/>
        </w:numPr>
      </w:pPr>
      <w:r w:rsidRPr="00582297">
        <w:t>Dar seguimiento técnico y supervisar que las acciones de obra y equipamiento del programa de acciones específicas para 300 localidades cumpla con los lineamientos.</w:t>
      </w:r>
    </w:p>
    <w:p w14:paraId="2E0108C8" w14:textId="77777777" w:rsidR="000D054E" w:rsidRPr="00582297" w:rsidRDefault="000D054E" w:rsidP="00DD5EE2">
      <w:pPr>
        <w:pStyle w:val="Prrafodelista"/>
        <w:numPr>
          <w:ilvl w:val="0"/>
          <w:numId w:val="7"/>
        </w:numPr>
      </w:pPr>
      <w:r w:rsidRPr="00582297">
        <w:lastRenderedPageBreak/>
        <w:t>Construir y Rehabilitar, en colaboración con las instancias correspondientes, espacios educativos a fin de ampliar la cobertura de acuerdo a las necesidades y requerimiento básicos de calidad</w:t>
      </w:r>
    </w:p>
    <w:p w14:paraId="78BAB938" w14:textId="77777777" w:rsidR="000D054E" w:rsidRPr="00582297" w:rsidRDefault="000D054E" w:rsidP="00DD5EE2">
      <w:pPr>
        <w:pStyle w:val="Prrafodelista"/>
        <w:numPr>
          <w:ilvl w:val="0"/>
          <w:numId w:val="7"/>
        </w:numPr>
      </w:pPr>
      <w:r w:rsidRPr="00582297">
        <w:t>Hacer cumplir las normas de construcción y equipamiento de las escuelas, que sean emitidas por autoridad competente y por el Instituto, asegurando la calidad de los insumos utilizados en las acciones ejecutadas por el Instituto.</w:t>
      </w:r>
    </w:p>
    <w:p w14:paraId="2E608E02" w14:textId="77777777" w:rsidR="000D054E" w:rsidRPr="00582297" w:rsidRDefault="000D054E" w:rsidP="00DD5EE2">
      <w:pPr>
        <w:pStyle w:val="Prrafodelista"/>
        <w:numPr>
          <w:ilvl w:val="0"/>
          <w:numId w:val="7"/>
        </w:numPr>
      </w:pPr>
      <w:r w:rsidRPr="00582297">
        <w:t>Certificar que los espacios educativos públicos y privados que se construyan derivado de las necesidades de crecimiento, contengan los requerimientos básicos, como son calidad, seguridad, funcionalidad, oportunidad, equidad, sustentabilidad, resiliencia, pertinencia, integralidad, accesibilidad, inclusividad e higiene.</w:t>
      </w:r>
    </w:p>
    <w:p w14:paraId="717FFF53" w14:textId="697552BD" w:rsidR="000D054E" w:rsidRDefault="000D054E" w:rsidP="00DD5EE2">
      <w:pPr>
        <w:pStyle w:val="Prrafodelista"/>
        <w:numPr>
          <w:ilvl w:val="0"/>
          <w:numId w:val="7"/>
        </w:numPr>
      </w:pPr>
      <w:r w:rsidRPr="00582297">
        <w:t>Desarrollar el Programa Estatal de Certificación, logrando difundir los criterios para evaluar y dictaminar las escuelas públicas y privadas del Estado, conforme la normatividad de la materia.</w:t>
      </w:r>
    </w:p>
    <w:p w14:paraId="2205788D" w14:textId="5166D82C" w:rsidR="00927583" w:rsidRDefault="00927583" w:rsidP="00DD5EE2">
      <w:pPr>
        <w:pStyle w:val="Prrafodelista"/>
        <w:numPr>
          <w:ilvl w:val="0"/>
          <w:numId w:val="7"/>
        </w:numPr>
      </w:pPr>
      <w:r>
        <w:t xml:space="preserve">Desarrollar e implementar acciones para fortalecer el Modelo de Prevención Quintana Roo. </w:t>
      </w:r>
    </w:p>
    <w:p w14:paraId="4734AB6D" w14:textId="77777777" w:rsidR="003120E0" w:rsidRPr="00582297" w:rsidRDefault="003120E0" w:rsidP="00DD5EE2">
      <w:pPr>
        <w:pStyle w:val="Prrafodelista"/>
        <w:numPr>
          <w:ilvl w:val="0"/>
          <w:numId w:val="7"/>
        </w:numPr>
      </w:pPr>
      <w:r w:rsidRPr="00582297">
        <w:t>Impulsar e implementar acciones permanentes en materia de promoción, protección y defensa de los Derechos Humanos, con la aplicación de planteamientos legales, estructurales, así como la constante formación de Servidores Públicos fortaleciendo el ejercicio de los Derechos Humanos de los Ciudadanos.</w:t>
      </w:r>
    </w:p>
    <w:p w14:paraId="4E8B1FAE" w14:textId="77777777" w:rsidR="00115B6E" w:rsidRPr="00582297" w:rsidRDefault="00115B6E" w:rsidP="00DD5EE2">
      <w:pPr>
        <w:pStyle w:val="Prrafodelista"/>
        <w:numPr>
          <w:ilvl w:val="0"/>
          <w:numId w:val="7"/>
        </w:numPr>
      </w:pPr>
      <w:r w:rsidRPr="00582297">
        <w:t>Atender las actividades administrativas, técnicas, jurídicas y de Staff.</w:t>
      </w:r>
    </w:p>
    <w:p w14:paraId="4B27F148" w14:textId="0658471A" w:rsidR="00C54C59" w:rsidRDefault="00C54C59">
      <w:pPr>
        <w:spacing w:after="0" w:line="240" w:lineRule="auto"/>
        <w:jc w:val="left"/>
      </w:pPr>
      <w:r>
        <w:br w:type="page"/>
      </w:r>
    </w:p>
    <w:p w14:paraId="324A1383" w14:textId="4D94C029" w:rsidR="009E3B2F" w:rsidRPr="00FE324E" w:rsidRDefault="00E80F3F" w:rsidP="00FE324E">
      <w:pPr>
        <w:pStyle w:val="Ttulo2"/>
      </w:pPr>
      <w:bookmarkStart w:id="62" w:name="_Toc486858646"/>
      <w:bookmarkStart w:id="63" w:name="_Toc53409869"/>
      <w:r w:rsidRPr="00FE324E">
        <w:lastRenderedPageBreak/>
        <w:t>Tema 8</w:t>
      </w:r>
      <w:r w:rsidR="009E3B2F" w:rsidRPr="00FE324E">
        <w:t>. Rezago Educativo</w:t>
      </w:r>
      <w:bookmarkEnd w:id="62"/>
      <w:bookmarkEnd w:id="63"/>
      <w:r w:rsidR="009E3B2F" w:rsidRPr="00FE324E">
        <w:t xml:space="preserve"> </w:t>
      </w:r>
    </w:p>
    <w:p w14:paraId="5EDB6859" w14:textId="77777777" w:rsidR="009E3B2F" w:rsidRPr="00740DAA" w:rsidRDefault="009E3B2F" w:rsidP="009E3B2F">
      <w:pPr>
        <w:rPr>
          <w:b/>
          <w:bCs/>
        </w:rPr>
      </w:pPr>
      <w:r w:rsidRPr="00740DAA">
        <w:rPr>
          <w:b/>
          <w:bCs/>
        </w:rPr>
        <w:t>Objetivo</w:t>
      </w:r>
    </w:p>
    <w:p w14:paraId="223EFD6B" w14:textId="77777777" w:rsidR="009E3B2F" w:rsidRPr="00582297" w:rsidRDefault="009E3B2F" w:rsidP="009E3B2F">
      <w:pPr>
        <w:rPr>
          <w:b/>
          <w:bCs/>
          <w:sz w:val="26"/>
        </w:rPr>
      </w:pPr>
      <w:r w:rsidRPr="00582297">
        <w:t>Lograr que las personas de 15 años y más en rezago educativo en la entidad concluyan su educación básica</w:t>
      </w:r>
      <w:r w:rsidRPr="00582297">
        <w:rPr>
          <w:b/>
          <w:bCs/>
          <w:sz w:val="26"/>
        </w:rPr>
        <w:t xml:space="preserve"> </w:t>
      </w:r>
    </w:p>
    <w:p w14:paraId="658CB89A" w14:textId="77777777" w:rsidR="009E3B2F" w:rsidRPr="00740DAA" w:rsidRDefault="009E3B2F" w:rsidP="009E3B2F">
      <w:pPr>
        <w:rPr>
          <w:b/>
          <w:bCs/>
        </w:rPr>
      </w:pPr>
      <w:r w:rsidRPr="00740DAA">
        <w:rPr>
          <w:b/>
          <w:bCs/>
        </w:rPr>
        <w:t>Estrategia</w:t>
      </w:r>
    </w:p>
    <w:p w14:paraId="6292D7C4" w14:textId="77777777" w:rsidR="009E3B2F" w:rsidRPr="00582297" w:rsidRDefault="009E3B2F" w:rsidP="009E3B2F">
      <w:r w:rsidRPr="00582297">
        <w:t>Ampliar la cobertura de atención de jóvenes, adultos, adultos mayores en condiciones de rezago educativo con un enfoque inclusivo.</w:t>
      </w:r>
    </w:p>
    <w:p w14:paraId="366C62A7" w14:textId="77777777" w:rsidR="009E3B2F" w:rsidRPr="00497CC1" w:rsidRDefault="009E3B2F" w:rsidP="009E3B2F">
      <w:pPr>
        <w:rPr>
          <w:rStyle w:val="Textoennegrita"/>
        </w:rPr>
      </w:pPr>
      <w:r w:rsidRPr="00497CC1">
        <w:rPr>
          <w:rStyle w:val="Textoennegrita"/>
        </w:rPr>
        <w:t>Líneas de Acción</w:t>
      </w:r>
    </w:p>
    <w:p w14:paraId="77118272" w14:textId="77777777" w:rsidR="009E3B2F" w:rsidRPr="00582297" w:rsidRDefault="009E3B2F" w:rsidP="00DD5EE2">
      <w:pPr>
        <w:pStyle w:val="Prrafodelista"/>
        <w:numPr>
          <w:ilvl w:val="0"/>
          <w:numId w:val="8"/>
        </w:numPr>
      </w:pPr>
      <w:r w:rsidRPr="00582297">
        <w:t>Coordinar el programa de alfabetización y educación básica dirigido a jóvenes, adultos y adultos mayores en rezago educativo por medio de Tecnologías de la Información y Comunicación (TIC´s) con organizaciones de la sociedad civil y el Instituto Estatal para la Educación de Jóvenes y Adultos.</w:t>
      </w:r>
    </w:p>
    <w:p w14:paraId="75C65130" w14:textId="77777777" w:rsidR="009E3B2F" w:rsidRPr="00582297" w:rsidRDefault="009E3B2F" w:rsidP="00DD5EE2">
      <w:pPr>
        <w:pStyle w:val="Prrafodelista"/>
        <w:numPr>
          <w:ilvl w:val="0"/>
          <w:numId w:val="8"/>
        </w:numPr>
      </w:pPr>
      <w:r w:rsidRPr="00582297">
        <w:t>Coordinar el programa de certificación de educación básica para jóvenes, adultos y adultos mayores en rezago educativo.</w:t>
      </w:r>
    </w:p>
    <w:p w14:paraId="54258F5B" w14:textId="77777777" w:rsidR="009E3B2F" w:rsidRPr="00582297" w:rsidRDefault="009E3B2F" w:rsidP="00DD5EE2">
      <w:pPr>
        <w:pStyle w:val="Prrafodelista"/>
        <w:numPr>
          <w:ilvl w:val="0"/>
          <w:numId w:val="8"/>
        </w:numPr>
      </w:pPr>
      <w:r w:rsidRPr="00582297">
        <w:t xml:space="preserve">Coordinar en colaboración con el Instituto Estatal para la Educación de Jóvenes y Adultos la aplicación de un modelo de educación inclusiva dirigido a jóvenes, adultos y adultos mayores en rezago educativo </w:t>
      </w:r>
    </w:p>
    <w:p w14:paraId="3FF965B5" w14:textId="2F8F3118" w:rsidR="009E3B2F" w:rsidRDefault="009E3B2F" w:rsidP="00DD5EE2">
      <w:pPr>
        <w:pStyle w:val="Prrafodelista"/>
        <w:numPr>
          <w:ilvl w:val="0"/>
          <w:numId w:val="8"/>
        </w:numPr>
      </w:pPr>
      <w:r w:rsidRPr="00582297">
        <w:t>Celebrar Jornadas Estatales de incorporación y conclusión de educación básica dirigida a jóvenes, adultos y adultos mayores en rezago educativo</w:t>
      </w:r>
      <w:r w:rsidR="00D619BA">
        <w:t>.</w:t>
      </w:r>
    </w:p>
    <w:p w14:paraId="235B3DD6" w14:textId="6F67C0A9" w:rsidR="00927583" w:rsidRDefault="00927583" w:rsidP="00DD5EE2">
      <w:pPr>
        <w:pStyle w:val="Prrafodelista"/>
        <w:numPr>
          <w:ilvl w:val="0"/>
          <w:numId w:val="8"/>
        </w:numPr>
      </w:pPr>
      <w:r>
        <w:t>Desarrollar e implementar acciones para fortalecer el Modelo de Prevención Quintana Roo</w:t>
      </w:r>
    </w:p>
    <w:p w14:paraId="05BC26A2" w14:textId="2F6E5F3B" w:rsidR="00245FAC" w:rsidRDefault="00245FAC" w:rsidP="00DD5EE2">
      <w:pPr>
        <w:pStyle w:val="Prrafodelista"/>
        <w:numPr>
          <w:ilvl w:val="0"/>
          <w:numId w:val="8"/>
        </w:numPr>
      </w:pPr>
      <w:r w:rsidRPr="00582297">
        <w:t>Impulsar e implementar acciones permanentes en materia de promoción, protección y defensa de los Derechos Humanos, con la aplicación de planteamientos legales, estructurales, así como la constante formación de Servidores Públicos fortaleciendo el ejercicio de los Derechos Humanos de los Ciudadanos.</w:t>
      </w:r>
    </w:p>
    <w:p w14:paraId="5211EBB9" w14:textId="77777777" w:rsidR="00D619BA" w:rsidRPr="00582297" w:rsidRDefault="00D619BA" w:rsidP="00DD5EE2">
      <w:pPr>
        <w:pStyle w:val="Prrafodelista"/>
        <w:numPr>
          <w:ilvl w:val="0"/>
          <w:numId w:val="8"/>
        </w:numPr>
      </w:pPr>
      <w:r w:rsidRPr="00582297">
        <w:t>Atender las actividades administrativas, técnicas, jurídicas y de Staff.</w:t>
      </w:r>
    </w:p>
    <w:p w14:paraId="148D0994" w14:textId="6D7C8B05" w:rsidR="00C54C59" w:rsidRDefault="00C54C59">
      <w:pPr>
        <w:spacing w:after="0" w:line="240" w:lineRule="auto"/>
        <w:jc w:val="left"/>
      </w:pPr>
      <w:r>
        <w:br w:type="page"/>
      </w:r>
    </w:p>
    <w:p w14:paraId="751BA9BD" w14:textId="4BBBB9C5" w:rsidR="009E3B2F" w:rsidRPr="00FE324E" w:rsidRDefault="009E3B2F" w:rsidP="00FE324E">
      <w:pPr>
        <w:pStyle w:val="Ttulo2"/>
      </w:pPr>
      <w:bookmarkStart w:id="64" w:name="_Toc486858648"/>
      <w:bookmarkStart w:id="65" w:name="_Toc53409870"/>
      <w:r w:rsidRPr="00FE324E">
        <w:lastRenderedPageBreak/>
        <w:t xml:space="preserve">Tema </w:t>
      </w:r>
      <w:r w:rsidR="00E80F3F" w:rsidRPr="00FE324E">
        <w:t>9</w:t>
      </w:r>
      <w:r w:rsidR="009A0C8B" w:rsidRPr="00FE324E">
        <w:t xml:space="preserve">. </w:t>
      </w:r>
      <w:r w:rsidR="00F81BE3" w:rsidRPr="00FE324E">
        <w:t>Fomento a la investigación científica</w:t>
      </w:r>
      <w:bookmarkEnd w:id="64"/>
      <w:r w:rsidR="00F81BE3" w:rsidRPr="00FE324E">
        <w:t>, el desarrollo tecnológico, la innovación y el posgrado.</w:t>
      </w:r>
      <w:bookmarkEnd w:id="65"/>
      <w:r w:rsidR="00F81BE3" w:rsidRPr="00FE324E">
        <w:t xml:space="preserve"> </w:t>
      </w:r>
    </w:p>
    <w:p w14:paraId="414BB7DD" w14:textId="77777777" w:rsidR="009E3B2F" w:rsidRPr="00497CC1" w:rsidRDefault="009E3B2F" w:rsidP="009E3B2F">
      <w:pPr>
        <w:rPr>
          <w:rStyle w:val="Textoennegrita"/>
        </w:rPr>
      </w:pPr>
      <w:r w:rsidRPr="00497CC1">
        <w:rPr>
          <w:rStyle w:val="Textoennegrita"/>
        </w:rPr>
        <w:t>Objetivo</w:t>
      </w:r>
    </w:p>
    <w:p w14:paraId="7FEBF243" w14:textId="3E772EDD" w:rsidR="009E3B2F" w:rsidRDefault="009E3B2F" w:rsidP="00927583">
      <w:pPr>
        <w:spacing w:after="0"/>
      </w:pPr>
      <w:r w:rsidRPr="00541516">
        <w:t>Impulsar el desarrollo de la investigación científica, tecnológica y de la innovación para el incremento de los nivele</w:t>
      </w:r>
      <w:r w:rsidR="00927583">
        <w:t>s de competitividad del Estado.</w:t>
      </w:r>
    </w:p>
    <w:p w14:paraId="7D4DA847" w14:textId="77777777" w:rsidR="00927583" w:rsidRPr="00927583" w:rsidRDefault="00927583" w:rsidP="00927583">
      <w:pPr>
        <w:spacing w:after="0"/>
        <w:rPr>
          <w:rStyle w:val="Textoennegrita"/>
          <w:b w:val="0"/>
          <w:bCs w:val="0"/>
        </w:rPr>
      </w:pPr>
    </w:p>
    <w:p w14:paraId="19B9E4CF" w14:textId="77777777" w:rsidR="009E3B2F" w:rsidRPr="00497CC1" w:rsidRDefault="009E3B2F" w:rsidP="009E3B2F">
      <w:pPr>
        <w:rPr>
          <w:rStyle w:val="Textoennegrita"/>
        </w:rPr>
      </w:pPr>
      <w:r w:rsidRPr="00497CC1">
        <w:rPr>
          <w:rStyle w:val="Textoennegrita"/>
        </w:rPr>
        <w:t>Estrategia</w:t>
      </w:r>
    </w:p>
    <w:p w14:paraId="0B8BA568" w14:textId="77777777" w:rsidR="009E3B2F" w:rsidRPr="00541516" w:rsidRDefault="009E3B2F" w:rsidP="009E3B2F">
      <w:r w:rsidRPr="00541516">
        <w:t>Promover el fortalecimiento del Sistema Estatal Científico, Tecnológico y de Innovación del Estado.</w:t>
      </w:r>
    </w:p>
    <w:p w14:paraId="07552FD9" w14:textId="77777777" w:rsidR="009E3B2F" w:rsidRPr="00497CC1" w:rsidRDefault="009E3B2F" w:rsidP="009E3B2F">
      <w:pPr>
        <w:rPr>
          <w:rStyle w:val="Textoennegrita"/>
        </w:rPr>
      </w:pPr>
      <w:r w:rsidRPr="00497CC1">
        <w:rPr>
          <w:rStyle w:val="Textoennegrita"/>
        </w:rPr>
        <w:t>Líneas de Acción</w:t>
      </w:r>
    </w:p>
    <w:p w14:paraId="6A19399F" w14:textId="77777777" w:rsidR="009E3B2F" w:rsidRPr="00541516" w:rsidRDefault="009E3B2F" w:rsidP="00DD5EE2">
      <w:pPr>
        <w:pStyle w:val="Prrafodelista"/>
        <w:numPr>
          <w:ilvl w:val="0"/>
          <w:numId w:val="9"/>
        </w:numPr>
        <w:spacing w:after="0"/>
      </w:pPr>
      <w:r w:rsidRPr="00541516">
        <w:t>Propiciar mediante el uso del conocimiento científico y tecnológico, el desarrollo de las áreas y actividades identificadas como estratégicas para el Estado.</w:t>
      </w:r>
    </w:p>
    <w:p w14:paraId="64C485E4" w14:textId="77777777" w:rsidR="009E3B2F" w:rsidRPr="00541516" w:rsidRDefault="009E3B2F" w:rsidP="00DD5EE2">
      <w:pPr>
        <w:pStyle w:val="Prrafodelista"/>
        <w:numPr>
          <w:ilvl w:val="0"/>
          <w:numId w:val="9"/>
        </w:numPr>
        <w:spacing w:after="0"/>
      </w:pPr>
      <w:r w:rsidRPr="00541516">
        <w:t>Impulsar la formación de recursos humanos de alta especialidad en áreas identificadas como estratégicas para el desarrollo de la Entidad.</w:t>
      </w:r>
    </w:p>
    <w:p w14:paraId="625162B4" w14:textId="77777777" w:rsidR="009E3B2F" w:rsidRPr="00541516" w:rsidRDefault="009E3B2F" w:rsidP="00DD5EE2">
      <w:pPr>
        <w:pStyle w:val="Prrafodelista"/>
        <w:numPr>
          <w:ilvl w:val="0"/>
          <w:numId w:val="9"/>
        </w:numPr>
        <w:spacing w:after="0"/>
      </w:pPr>
      <w:r w:rsidRPr="00541516">
        <w:t xml:space="preserve">Impulsar la generación y transferencia de conocimiento para la solución de problemas locales. </w:t>
      </w:r>
    </w:p>
    <w:p w14:paraId="67447C4A" w14:textId="77777777" w:rsidR="009E3B2F" w:rsidRPr="00541516" w:rsidRDefault="009E3B2F" w:rsidP="00DD5EE2">
      <w:pPr>
        <w:pStyle w:val="Prrafodelista"/>
        <w:numPr>
          <w:ilvl w:val="0"/>
          <w:numId w:val="9"/>
        </w:numPr>
        <w:spacing w:after="0"/>
      </w:pPr>
      <w:r w:rsidRPr="00541516">
        <w:t>Promover la creación de infraestructura Científica, Tecnológica y de Innovación para la generación y transferencia de nuevo conocimiento.</w:t>
      </w:r>
    </w:p>
    <w:p w14:paraId="4961081C" w14:textId="77777777" w:rsidR="009E3B2F" w:rsidRPr="00541516" w:rsidRDefault="009E3B2F" w:rsidP="00DD5EE2">
      <w:pPr>
        <w:pStyle w:val="Prrafodelista"/>
        <w:numPr>
          <w:ilvl w:val="0"/>
          <w:numId w:val="9"/>
        </w:numPr>
        <w:spacing w:after="0"/>
      </w:pPr>
      <w:r w:rsidRPr="00541516">
        <w:t>Impulsar el desarrollo de Investigación científica y tecnológica con pertinencia social, resultado de la identificación de demandas, de los foros de consulta y de los trabajos realizados con grupos especializados en la materia.</w:t>
      </w:r>
    </w:p>
    <w:p w14:paraId="2A810339" w14:textId="77777777" w:rsidR="009E3B2F" w:rsidRPr="00541516" w:rsidRDefault="009E3B2F" w:rsidP="00DD5EE2">
      <w:pPr>
        <w:pStyle w:val="Prrafodelista"/>
        <w:numPr>
          <w:ilvl w:val="0"/>
          <w:numId w:val="9"/>
        </w:numPr>
        <w:spacing w:after="0"/>
      </w:pPr>
      <w:r w:rsidRPr="00541516">
        <w:t>Propiciar la vinculación entre las instituciones de educación superior, los centros de investigación, el sector productivo, el gobierno y la sociedad, incentivando la inversión pública y privada, hasta alcanzar, al menos, niveles similares a los nacionales.</w:t>
      </w:r>
    </w:p>
    <w:p w14:paraId="32656E82" w14:textId="77777777" w:rsidR="009E3B2F" w:rsidRPr="00541516" w:rsidRDefault="009E3B2F" w:rsidP="00DD5EE2">
      <w:pPr>
        <w:pStyle w:val="Prrafodelista"/>
        <w:numPr>
          <w:ilvl w:val="0"/>
          <w:numId w:val="9"/>
        </w:numPr>
        <w:spacing w:after="0"/>
      </w:pPr>
      <w:r w:rsidRPr="00541516">
        <w:t xml:space="preserve">Promover la Apropiación Social del Conocimiento. </w:t>
      </w:r>
    </w:p>
    <w:p w14:paraId="784D5208" w14:textId="4F829EFF" w:rsidR="009E3B2F" w:rsidRDefault="009E3B2F" w:rsidP="00DD5EE2">
      <w:pPr>
        <w:pStyle w:val="Prrafodelista"/>
        <w:numPr>
          <w:ilvl w:val="0"/>
          <w:numId w:val="9"/>
        </w:numPr>
        <w:spacing w:after="0"/>
      </w:pPr>
      <w:r w:rsidRPr="00541516">
        <w:t xml:space="preserve">Incentivar la participación de la sociedad en su conjunto, en la difusión y divulgación del conocimiento. </w:t>
      </w:r>
    </w:p>
    <w:p w14:paraId="611A87EF" w14:textId="5E6DF533" w:rsidR="00927583" w:rsidRDefault="00927583" w:rsidP="00DD5EE2">
      <w:pPr>
        <w:pStyle w:val="Prrafodelista"/>
        <w:numPr>
          <w:ilvl w:val="0"/>
          <w:numId w:val="9"/>
        </w:numPr>
        <w:spacing w:after="0"/>
      </w:pPr>
      <w:r>
        <w:t>Desarrollar e implementar acciones para fortalecer el Modelo de Prevención Quintana Roo</w:t>
      </w:r>
    </w:p>
    <w:p w14:paraId="19ECCB2B" w14:textId="6F795544" w:rsidR="00B82195" w:rsidRDefault="00B82195" w:rsidP="00DD5EE2">
      <w:pPr>
        <w:pStyle w:val="Prrafodelista"/>
        <w:numPr>
          <w:ilvl w:val="0"/>
          <w:numId w:val="9"/>
        </w:numPr>
      </w:pPr>
      <w:r w:rsidRPr="00582297">
        <w:lastRenderedPageBreak/>
        <w:t>Impulsar e implementar acciones permanentes en materia de promoción, protección y defensa de los Derechos Humanos, con la aplicación de planteamientos legales, estructurales, así como la constante formación de Servidores Públicos fortaleciendo el ejercicio de los Derechos Humanos de los Ciudadanos.</w:t>
      </w:r>
    </w:p>
    <w:p w14:paraId="7013FDA8" w14:textId="01289E5A" w:rsidR="009E3B2F" w:rsidRDefault="00D619BA" w:rsidP="00DD5EE2">
      <w:pPr>
        <w:pStyle w:val="Prrafodelista"/>
        <w:numPr>
          <w:ilvl w:val="0"/>
          <w:numId w:val="9"/>
        </w:numPr>
      </w:pPr>
      <w:r w:rsidRPr="00582297">
        <w:t>Atender las actividades administrativas, técnicas, jurídicas y de Staff</w:t>
      </w:r>
      <w:r w:rsidR="00A97817">
        <w:t>.</w:t>
      </w:r>
    </w:p>
    <w:p w14:paraId="0E4F8C35" w14:textId="3C7A4AD2" w:rsidR="00C54C59" w:rsidRDefault="00C54C59">
      <w:pPr>
        <w:spacing w:after="0" w:line="240" w:lineRule="auto"/>
        <w:jc w:val="left"/>
      </w:pPr>
      <w:r>
        <w:br w:type="page"/>
      </w:r>
    </w:p>
    <w:p w14:paraId="6BD2824C" w14:textId="29BCC71D" w:rsidR="009E3B2F" w:rsidRPr="00FE324E" w:rsidRDefault="009E3B2F" w:rsidP="00FE324E">
      <w:pPr>
        <w:pStyle w:val="Ttulo2"/>
      </w:pPr>
      <w:bookmarkStart w:id="66" w:name="_Toc486858649"/>
      <w:bookmarkStart w:id="67" w:name="_Toc53409871"/>
      <w:r w:rsidRPr="00FE324E">
        <w:lastRenderedPageBreak/>
        <w:t>T</w:t>
      </w:r>
      <w:r w:rsidR="00E80F3F" w:rsidRPr="00FE324E">
        <w:t>ema 10</w:t>
      </w:r>
      <w:r w:rsidRPr="00FE324E">
        <w:t xml:space="preserve">. </w:t>
      </w:r>
      <w:bookmarkEnd w:id="66"/>
      <w:r w:rsidRPr="00FE324E">
        <w:t xml:space="preserve">CAPACITACÍON </w:t>
      </w:r>
      <w:r w:rsidR="000860CF" w:rsidRPr="00FE324E">
        <w:t xml:space="preserve">Y CERTIFICACIÓN </w:t>
      </w:r>
      <w:r w:rsidRPr="00FE324E">
        <w:t>PARA Y EN EL TRABAJO</w:t>
      </w:r>
      <w:bookmarkEnd w:id="67"/>
    </w:p>
    <w:p w14:paraId="05DD804B" w14:textId="77777777" w:rsidR="009E3B2F" w:rsidRPr="00497CC1" w:rsidRDefault="009E3B2F" w:rsidP="009E3B2F">
      <w:pPr>
        <w:rPr>
          <w:rStyle w:val="Textoennegrita"/>
        </w:rPr>
      </w:pPr>
      <w:r w:rsidRPr="00497CC1">
        <w:rPr>
          <w:rStyle w:val="Textoennegrita"/>
        </w:rPr>
        <w:t xml:space="preserve">Objetivo: </w:t>
      </w:r>
    </w:p>
    <w:p w14:paraId="1D8F7944" w14:textId="77777777" w:rsidR="009E3B2F" w:rsidRPr="00541516" w:rsidRDefault="009E3B2F" w:rsidP="009E3B2F">
      <w:r w:rsidRPr="00541516">
        <w:t>Impulsar la adquisición de conocimientos, habilidades y destrezas relacionadas con un oficio calificado que permita mejorar la calidad de vida de las personas mediante la capacitación, evaluación y certificación.</w:t>
      </w:r>
    </w:p>
    <w:p w14:paraId="242BEC23" w14:textId="77777777" w:rsidR="009E3B2F" w:rsidRPr="00497CC1" w:rsidRDefault="009E3B2F" w:rsidP="009E3B2F">
      <w:pPr>
        <w:rPr>
          <w:rStyle w:val="Textoennegrita"/>
        </w:rPr>
      </w:pPr>
      <w:r w:rsidRPr="00497CC1">
        <w:rPr>
          <w:rStyle w:val="Textoennegrita"/>
        </w:rPr>
        <w:t>Estrategia:</w:t>
      </w:r>
    </w:p>
    <w:p w14:paraId="440ECAAA" w14:textId="77777777" w:rsidR="009E3B2F" w:rsidRPr="00541516" w:rsidRDefault="009E3B2F" w:rsidP="009E3B2F">
      <w:pPr>
        <w:rPr>
          <w:rFonts w:eastAsia="Times New Roman" w:cs="Futura"/>
          <w:sz w:val="26"/>
        </w:rPr>
      </w:pPr>
      <w:r w:rsidRPr="00541516">
        <w:t xml:space="preserve"> Brindar a la población entre 15 años y más cursos de capacitación, evaluaciones y certificaciones de calidad para formar mano de obra calificada, permitiendo con ello estar al nivel de desarrollo que actualmente se está exigiendo por medio de campañas de promoción y difusión.</w:t>
      </w:r>
      <w:r w:rsidRPr="00541516">
        <w:rPr>
          <w:rFonts w:eastAsia="Times New Roman" w:cs="Futura"/>
          <w:sz w:val="26"/>
        </w:rPr>
        <w:t xml:space="preserve"> </w:t>
      </w:r>
    </w:p>
    <w:p w14:paraId="3809ACCD" w14:textId="77777777" w:rsidR="009E3B2F" w:rsidRPr="00497CC1" w:rsidRDefault="009E3B2F" w:rsidP="009E3B2F">
      <w:pPr>
        <w:rPr>
          <w:rStyle w:val="Textoennegrita"/>
        </w:rPr>
      </w:pPr>
      <w:r w:rsidRPr="00497CC1">
        <w:rPr>
          <w:rStyle w:val="Textoennegrita"/>
        </w:rPr>
        <w:t>Líneas de Acción</w:t>
      </w:r>
    </w:p>
    <w:p w14:paraId="6636F79B" w14:textId="77777777" w:rsidR="009E3B2F" w:rsidRPr="00541516" w:rsidRDefault="009E3B2F" w:rsidP="00DD5EE2">
      <w:pPr>
        <w:pStyle w:val="Prrafodelista"/>
        <w:numPr>
          <w:ilvl w:val="0"/>
          <w:numId w:val="10"/>
        </w:numPr>
        <w:spacing w:after="120"/>
      </w:pPr>
      <w:r w:rsidRPr="00541516">
        <w:t xml:space="preserve">Implementar estrategias de promoción y difusión de la oferta educativa del Instituto a través de una campaña de publicidad realizada por la dirección de vinculación </w:t>
      </w:r>
    </w:p>
    <w:p w14:paraId="65C5EBEB" w14:textId="77777777" w:rsidR="009E3B2F" w:rsidRPr="00541516" w:rsidRDefault="009E3B2F" w:rsidP="00DD5EE2">
      <w:pPr>
        <w:pStyle w:val="Prrafodelista"/>
        <w:numPr>
          <w:ilvl w:val="0"/>
          <w:numId w:val="10"/>
        </w:numPr>
        <w:spacing w:after="120"/>
      </w:pPr>
      <w:r w:rsidRPr="00541516">
        <w:t xml:space="preserve">Impulsar programas de capacitación que generen el interés de la población de 15 años y más, para obtener conocimientos, habilidades y destrezas para el adecuado desempeño en su centro de trabajo o para autoemplearse. </w:t>
      </w:r>
    </w:p>
    <w:p w14:paraId="74F884D0" w14:textId="77777777" w:rsidR="009E3B2F" w:rsidRPr="00541516" w:rsidRDefault="009E3B2F" w:rsidP="00DD5EE2">
      <w:pPr>
        <w:pStyle w:val="Prrafodelista"/>
        <w:numPr>
          <w:ilvl w:val="0"/>
          <w:numId w:val="10"/>
        </w:numPr>
        <w:spacing w:after="120"/>
      </w:pPr>
      <w:r w:rsidRPr="00541516">
        <w:t>Impulsar programas de capacitación dirigidos a los trabajadores en activo de empresas, instituciones u organismos de los sectores productivos y de servicios privado, público y social que pretenden complementar, especializar y/o actualizarse en una determinada actividad laboral.</w:t>
      </w:r>
    </w:p>
    <w:p w14:paraId="7D0C15B9" w14:textId="77777777" w:rsidR="009E3B2F" w:rsidRPr="00541516" w:rsidRDefault="009E3B2F" w:rsidP="00DD5EE2">
      <w:pPr>
        <w:pStyle w:val="Prrafodelista"/>
        <w:numPr>
          <w:ilvl w:val="0"/>
          <w:numId w:val="10"/>
        </w:numPr>
        <w:spacing w:after="120"/>
      </w:pPr>
      <w:r w:rsidRPr="00541516">
        <w:t>Promover la certificación de los conocimientos, habilidades y destrezas correspondientes a una competencia ocupacional, adquiridos empíricamente a través de una evaluación.</w:t>
      </w:r>
    </w:p>
    <w:p w14:paraId="53AA4547" w14:textId="059B6D08" w:rsidR="009E3B2F" w:rsidRDefault="009E3B2F" w:rsidP="00DD5EE2">
      <w:pPr>
        <w:pStyle w:val="Prrafodelista"/>
        <w:numPr>
          <w:ilvl w:val="0"/>
          <w:numId w:val="10"/>
        </w:numPr>
        <w:spacing w:after="120"/>
      </w:pPr>
      <w:r w:rsidRPr="00541516">
        <w:t>Promover la certificación de los conocimientos, habilidades y destrezas requeridas, para que una persona realice cualquier actividad productiva, social o de gobierno, con un nivel de alto desempeño a través de los Estándares de Competencia Laboral.</w:t>
      </w:r>
    </w:p>
    <w:p w14:paraId="36B287ED" w14:textId="0D19E340" w:rsidR="00927583" w:rsidRDefault="00927583" w:rsidP="00DD5EE2">
      <w:pPr>
        <w:pStyle w:val="Prrafodelista"/>
        <w:numPr>
          <w:ilvl w:val="0"/>
          <w:numId w:val="10"/>
        </w:numPr>
        <w:spacing w:after="120"/>
      </w:pPr>
      <w:r>
        <w:t>Desarrollar e implementar acciones para fortalecer el Modelo de Prevención Quintana Roo</w:t>
      </w:r>
    </w:p>
    <w:p w14:paraId="4040A0CF" w14:textId="5E2E4A8A" w:rsidR="00A97817" w:rsidRDefault="00A97817" w:rsidP="00DD5EE2">
      <w:pPr>
        <w:pStyle w:val="Prrafodelista"/>
        <w:numPr>
          <w:ilvl w:val="0"/>
          <w:numId w:val="10"/>
        </w:numPr>
      </w:pPr>
      <w:r w:rsidRPr="00582297">
        <w:t xml:space="preserve">Impulsar e implementar acciones permanentes en materia de promoción, protección y defensa de los Derechos Humanos, con la aplicación de planteamientos legales, </w:t>
      </w:r>
      <w:r w:rsidRPr="00582297">
        <w:lastRenderedPageBreak/>
        <w:t>estructurales, así como la constante formación de Servidores Públicos fortaleciendo el ejercicio de los Derechos Humanos de los Ciudadanos.</w:t>
      </w:r>
    </w:p>
    <w:p w14:paraId="0F193D17" w14:textId="6E85652F" w:rsidR="00BD420A" w:rsidRDefault="00D619BA" w:rsidP="00B22E87">
      <w:pPr>
        <w:pStyle w:val="Prrafodelista"/>
        <w:numPr>
          <w:ilvl w:val="0"/>
          <w:numId w:val="10"/>
        </w:numPr>
      </w:pPr>
      <w:r w:rsidRPr="00582297">
        <w:t>Atender las actividades administrativas, técnicas, jurídicas y de Staff.</w:t>
      </w:r>
      <w:bookmarkEnd w:id="44"/>
      <w:bookmarkEnd w:id="45"/>
    </w:p>
    <w:p w14:paraId="0E87BCBB" w14:textId="0B7B5F8D" w:rsidR="00B22E87" w:rsidRDefault="00B22E87">
      <w:pPr>
        <w:spacing w:after="0" w:line="240" w:lineRule="auto"/>
        <w:jc w:val="left"/>
      </w:pPr>
      <w:r>
        <w:br w:type="page"/>
      </w:r>
    </w:p>
    <w:p w14:paraId="170D5527" w14:textId="7B691F89" w:rsidR="00B22E87" w:rsidRDefault="00B22E87" w:rsidP="00B22E87">
      <w:pPr>
        <w:ind w:left="360"/>
      </w:pPr>
    </w:p>
    <w:p w14:paraId="0AEBC67B" w14:textId="4685F40B" w:rsidR="00B22E87" w:rsidRDefault="00B22E87" w:rsidP="00B22E87">
      <w:pPr>
        <w:ind w:left="360"/>
      </w:pPr>
    </w:p>
    <w:p w14:paraId="0CF26A07" w14:textId="30D399DF" w:rsidR="00B22E87" w:rsidRDefault="00B22E87" w:rsidP="00B22E87">
      <w:pPr>
        <w:ind w:left="360"/>
      </w:pPr>
    </w:p>
    <w:p w14:paraId="037EAB81" w14:textId="2D6CEA2E" w:rsidR="00B22E87" w:rsidRDefault="00B22E87" w:rsidP="00B22E87">
      <w:pPr>
        <w:ind w:left="360"/>
      </w:pPr>
    </w:p>
    <w:p w14:paraId="4660A55A" w14:textId="77777777" w:rsidR="00B22E87" w:rsidRPr="00B22E87" w:rsidRDefault="00B22E87" w:rsidP="00B22E87">
      <w:pPr>
        <w:ind w:left="360"/>
      </w:pPr>
    </w:p>
    <w:p w14:paraId="3A3E081E" w14:textId="3038D391" w:rsidR="00C2741A" w:rsidRDefault="00695E2D" w:rsidP="00BD420A">
      <w:pPr>
        <w:spacing w:after="0" w:line="240" w:lineRule="auto"/>
        <w:jc w:val="left"/>
      </w:pPr>
      <w:r w:rsidRPr="008623D4">
        <w:rPr>
          <w:rFonts w:eastAsia="Times New Roman" w:cs="Times New Roman"/>
          <w:b/>
          <w:color w:val="4BACC6"/>
          <w:sz w:val="44"/>
          <w:szCs w:val="20"/>
        </w:rPr>
        <w:t xml:space="preserve">BASES PARA SU COORDINACIÓN </w:t>
      </w:r>
      <w:r w:rsidR="00954042" w:rsidRPr="008623D4">
        <w:rPr>
          <w:rFonts w:eastAsia="Times New Roman" w:cs="Times New Roman"/>
          <w:b/>
          <w:color w:val="4BACC6"/>
          <w:sz w:val="44"/>
          <w:szCs w:val="20"/>
        </w:rPr>
        <w:t xml:space="preserve">                       </w:t>
      </w:r>
      <w:r w:rsidRPr="008623D4">
        <w:rPr>
          <w:rFonts w:eastAsia="Times New Roman" w:cs="Times New Roman"/>
          <w:b/>
          <w:color w:val="4BACC6"/>
          <w:sz w:val="44"/>
          <w:szCs w:val="20"/>
        </w:rPr>
        <w:t>Y CONCERTACIÓN</w:t>
      </w:r>
      <w:r>
        <w:t xml:space="preserve"> </w:t>
      </w:r>
      <w:r>
        <w:br w:type="page"/>
      </w:r>
    </w:p>
    <w:p w14:paraId="07A336D5" w14:textId="77777777" w:rsidR="008623D4" w:rsidRDefault="008623D4" w:rsidP="00B1546F">
      <w:pPr>
        <w:pStyle w:val="Ttulo1"/>
      </w:pPr>
      <w:bookmarkStart w:id="68" w:name="_Toc477971060"/>
      <w:bookmarkStart w:id="69" w:name="_Toc486841609"/>
      <w:bookmarkStart w:id="70" w:name="_Toc486858148"/>
    </w:p>
    <w:p w14:paraId="0B43C4A6" w14:textId="4321ED8E" w:rsidR="00B1546F" w:rsidRDefault="00B1546F" w:rsidP="00B1546F">
      <w:pPr>
        <w:pStyle w:val="Ttulo1"/>
      </w:pPr>
      <w:bookmarkStart w:id="71" w:name="_Toc53409872"/>
      <w:r>
        <w:t xml:space="preserve">XI. </w:t>
      </w:r>
      <w:r w:rsidRPr="00F765C3">
        <w:t>BASES PARA SU COORDINACIÓN Y CONCERTACIÓN</w:t>
      </w:r>
      <w:bookmarkEnd w:id="71"/>
    </w:p>
    <w:p w14:paraId="41DBCD8D" w14:textId="77777777" w:rsidR="00B1546F" w:rsidRPr="00762EEF" w:rsidRDefault="00B1546F" w:rsidP="00B1546F">
      <w:r w:rsidRPr="00762EEF">
        <w:t>El presente Programa Sectorial de Educación Pública de Calidad tiene definidos instrumentos de coordinación y concertación necesarios para el cumplimiento de la entrega de los bienes y/o servicios establecidos.</w:t>
      </w:r>
    </w:p>
    <w:p w14:paraId="2869825E" w14:textId="77777777" w:rsidR="00B1546F" w:rsidRPr="00762EEF" w:rsidRDefault="00B1546F" w:rsidP="00B1546F">
      <w:r w:rsidRPr="00762EEF">
        <w:t>Los instrumentos jurídicos de coordinación de planeación democrática son convenios legales sustentados en el marco jurídico nacional, estatal, municipal, para llevar a cabo un programa o proyecto específico, como lo son:</w:t>
      </w:r>
    </w:p>
    <w:p w14:paraId="72BB06C5" w14:textId="77777777" w:rsidR="00B1546F" w:rsidRDefault="00B1546F" w:rsidP="00DD5EE2">
      <w:pPr>
        <w:pStyle w:val="Prrafodelista"/>
        <w:numPr>
          <w:ilvl w:val="0"/>
          <w:numId w:val="11"/>
        </w:numPr>
      </w:pPr>
      <w:r>
        <w:t>Convenios con el Gobierno Federal, Estatal y Municipal</w:t>
      </w:r>
    </w:p>
    <w:p w14:paraId="0BFF9D5E" w14:textId="77777777" w:rsidR="00B1546F" w:rsidRDefault="00B1546F" w:rsidP="00DD5EE2">
      <w:pPr>
        <w:pStyle w:val="Prrafodelista"/>
        <w:numPr>
          <w:ilvl w:val="0"/>
          <w:numId w:val="11"/>
        </w:numPr>
      </w:pPr>
      <w:r>
        <w:t>Convenios entre el Gobierno del Estado y la Federación</w:t>
      </w:r>
    </w:p>
    <w:p w14:paraId="6844E4E8" w14:textId="77777777" w:rsidR="00B1546F" w:rsidRDefault="00B1546F" w:rsidP="00DD5EE2">
      <w:pPr>
        <w:pStyle w:val="Prrafodelista"/>
        <w:numPr>
          <w:ilvl w:val="0"/>
          <w:numId w:val="11"/>
        </w:numPr>
      </w:pPr>
      <w:r>
        <w:t>Convenios entre la Secretaría de Educación y el Gobierno de uno o varios municipios.</w:t>
      </w:r>
    </w:p>
    <w:p w14:paraId="360E763E" w14:textId="77777777" w:rsidR="00B1546F" w:rsidRDefault="00B1546F" w:rsidP="00DD5EE2">
      <w:pPr>
        <w:pStyle w:val="Prrafodelista"/>
        <w:numPr>
          <w:ilvl w:val="0"/>
          <w:numId w:val="11"/>
        </w:numPr>
      </w:pPr>
      <w:r w:rsidRPr="00762EEF">
        <w:t>Dichos convenios son congruentes con la estructura del desarrollo estatal y nacional.</w:t>
      </w:r>
    </w:p>
    <w:p w14:paraId="63DAF9D2" w14:textId="77777777" w:rsidR="00B1546F" w:rsidRDefault="00B1546F" w:rsidP="00B1546F">
      <w:r w:rsidRPr="00762EEF">
        <w:t xml:space="preserve">El Programa Sectorial de Educación Pública de Calidad que coordina la Secretaría de Educación tiene vínculos con dependencias del Gobierno Federal, Estatal y Municipal, así como organismos descentralizados, y organizaciones de la sociedad civil y sector privado, los cuales se enlistan a continuación: </w:t>
      </w:r>
    </w:p>
    <w:p w14:paraId="62AECA33" w14:textId="45066082" w:rsidR="00230467" w:rsidRDefault="00230467">
      <w:pPr>
        <w:spacing w:after="0" w:line="240" w:lineRule="auto"/>
        <w:jc w:val="left"/>
      </w:pPr>
      <w:r>
        <w:br w:type="page"/>
      </w:r>
    </w:p>
    <w:p w14:paraId="200AD779" w14:textId="77777777" w:rsidR="00CF032B" w:rsidRDefault="00CF032B" w:rsidP="00B1546F">
      <w:pPr>
        <w:spacing w:after="0" w:line="240" w:lineRule="auto"/>
        <w:jc w:val="left"/>
      </w:pPr>
    </w:p>
    <w:tbl>
      <w:tblPr>
        <w:tblStyle w:val="TablaSectorial"/>
        <w:tblW w:w="0" w:type="auto"/>
        <w:tblLook w:val="04A0" w:firstRow="1" w:lastRow="0" w:firstColumn="1" w:lastColumn="0" w:noHBand="0" w:noVBand="1"/>
      </w:tblPr>
      <w:tblGrid>
        <w:gridCol w:w="2951"/>
        <w:gridCol w:w="2006"/>
        <w:gridCol w:w="3871"/>
      </w:tblGrid>
      <w:tr w:rsidR="00B1546F" w:rsidRPr="003B479E" w14:paraId="1F85A5C5" w14:textId="77777777" w:rsidTr="00FE324E">
        <w:trPr>
          <w:cnfStyle w:val="100000000000" w:firstRow="1" w:lastRow="0" w:firstColumn="0" w:lastColumn="0" w:oddVBand="0" w:evenVBand="0" w:oddHBand="0" w:evenHBand="0" w:firstRowFirstColumn="0" w:firstRowLastColumn="0" w:lastRowFirstColumn="0" w:lastRowLastColumn="0"/>
        </w:trPr>
        <w:tc>
          <w:tcPr>
            <w:tcW w:w="2951" w:type="dxa"/>
            <w:shd w:val="clear" w:color="auto" w:fill="A6A6A6" w:themeFill="background1" w:themeFillShade="A6"/>
          </w:tcPr>
          <w:p w14:paraId="668FE95B" w14:textId="77777777" w:rsidR="00B1546F" w:rsidRPr="003B479E" w:rsidRDefault="00B1546F" w:rsidP="005162E7">
            <w:pPr>
              <w:spacing w:after="0" w:line="240" w:lineRule="auto"/>
              <w:jc w:val="center"/>
              <w:rPr>
                <w:rFonts w:ascii="Futura Std Condensed Light" w:eastAsia="Calibri" w:hAnsi="Futura Std Condensed Light" w:cs="Calibri"/>
                <w:color w:val="auto"/>
                <w:szCs w:val="18"/>
              </w:rPr>
            </w:pPr>
            <w:r w:rsidRPr="003B479E">
              <w:rPr>
                <w:rFonts w:ascii="Futura Std Condensed Light" w:eastAsia="Calibri" w:hAnsi="Futura Std Condensed Light" w:cs="Calibri"/>
                <w:color w:val="auto"/>
                <w:szCs w:val="18"/>
              </w:rPr>
              <w:t>Dependencia o Entidad</w:t>
            </w:r>
          </w:p>
        </w:tc>
        <w:tc>
          <w:tcPr>
            <w:tcW w:w="2006" w:type="dxa"/>
            <w:shd w:val="clear" w:color="auto" w:fill="A6A6A6" w:themeFill="background1" w:themeFillShade="A6"/>
          </w:tcPr>
          <w:p w14:paraId="39F8384D" w14:textId="77777777" w:rsidR="00B1546F" w:rsidRPr="003B479E" w:rsidRDefault="00B1546F" w:rsidP="005162E7">
            <w:pPr>
              <w:spacing w:after="0" w:line="240" w:lineRule="auto"/>
              <w:jc w:val="center"/>
              <w:rPr>
                <w:rFonts w:ascii="Futura Std Condensed Light" w:eastAsia="Calibri" w:hAnsi="Futura Std Condensed Light" w:cs="Calibri"/>
                <w:color w:val="auto"/>
                <w:szCs w:val="18"/>
              </w:rPr>
            </w:pPr>
            <w:r w:rsidRPr="003B479E">
              <w:rPr>
                <w:rFonts w:ascii="Futura Std Condensed Light" w:eastAsia="Calibri" w:hAnsi="Futura Std Condensed Light" w:cs="Calibri"/>
                <w:color w:val="auto"/>
                <w:szCs w:val="18"/>
              </w:rPr>
              <w:t>Federal/Estatal / Municipal</w:t>
            </w:r>
          </w:p>
        </w:tc>
        <w:tc>
          <w:tcPr>
            <w:tcW w:w="3871" w:type="dxa"/>
            <w:shd w:val="clear" w:color="auto" w:fill="A6A6A6" w:themeFill="background1" w:themeFillShade="A6"/>
          </w:tcPr>
          <w:p w14:paraId="0294BF90" w14:textId="77777777" w:rsidR="00B1546F" w:rsidRPr="003B479E" w:rsidRDefault="00B1546F" w:rsidP="005162E7">
            <w:pPr>
              <w:spacing w:after="0" w:line="240" w:lineRule="auto"/>
              <w:rPr>
                <w:rFonts w:ascii="Futura Std Condensed Light" w:eastAsia="Calibri" w:hAnsi="Futura Std Condensed Light" w:cs="Calibri"/>
                <w:color w:val="auto"/>
                <w:szCs w:val="18"/>
              </w:rPr>
            </w:pPr>
            <w:r w:rsidRPr="003B479E">
              <w:rPr>
                <w:rFonts w:ascii="Futura Std Condensed Light" w:eastAsia="Calibri" w:hAnsi="Futura Std Condensed Light" w:cs="Calibri"/>
                <w:color w:val="auto"/>
                <w:szCs w:val="18"/>
              </w:rPr>
              <w:t>Participación en el Programa Sectorial de Educación Pública de Calidad.</w:t>
            </w:r>
          </w:p>
        </w:tc>
      </w:tr>
      <w:tr w:rsidR="00B1546F" w:rsidRPr="00F63D4B" w14:paraId="54C4A252" w14:textId="77777777" w:rsidTr="00FE324E">
        <w:tc>
          <w:tcPr>
            <w:tcW w:w="2951" w:type="dxa"/>
          </w:tcPr>
          <w:p w14:paraId="653541B8" w14:textId="77777777" w:rsidR="00B1546F" w:rsidRPr="003B479E" w:rsidRDefault="00B1546F" w:rsidP="003B479E">
            <w:pPr>
              <w:spacing w:after="0" w:line="240" w:lineRule="auto"/>
              <w:jc w:val="left"/>
              <w:rPr>
                <w:rFonts w:ascii="Futura Std Condensed Light" w:eastAsia="Calibri" w:hAnsi="Futura Std Condensed Light" w:cs="Calibri"/>
                <w:szCs w:val="18"/>
              </w:rPr>
            </w:pPr>
            <w:r w:rsidRPr="003B479E">
              <w:rPr>
                <w:rFonts w:ascii="Futura Std Condensed Light" w:eastAsia="Calibri" w:hAnsi="Futura Std Condensed Light" w:cs="Calibri"/>
                <w:szCs w:val="18"/>
              </w:rPr>
              <w:t>Secretaría de Educación Pública</w:t>
            </w:r>
          </w:p>
        </w:tc>
        <w:tc>
          <w:tcPr>
            <w:tcW w:w="2006" w:type="dxa"/>
          </w:tcPr>
          <w:p w14:paraId="472727CE" w14:textId="77777777" w:rsidR="00B1546F" w:rsidRPr="003B479E" w:rsidRDefault="00B1546F" w:rsidP="005162E7">
            <w:pPr>
              <w:spacing w:after="0" w:line="240" w:lineRule="auto"/>
              <w:jc w:val="center"/>
              <w:rPr>
                <w:rFonts w:ascii="Futura Std Condensed Light" w:eastAsia="Calibri" w:hAnsi="Futura Std Condensed Light" w:cs="Calibri"/>
                <w:szCs w:val="18"/>
              </w:rPr>
            </w:pPr>
            <w:r w:rsidRPr="003B479E">
              <w:rPr>
                <w:rFonts w:ascii="Futura Std Condensed Light" w:eastAsia="Calibri" w:hAnsi="Futura Std Condensed Light" w:cs="Calibri"/>
                <w:szCs w:val="18"/>
              </w:rPr>
              <w:t>Federal</w:t>
            </w:r>
          </w:p>
        </w:tc>
        <w:tc>
          <w:tcPr>
            <w:tcW w:w="3871" w:type="dxa"/>
          </w:tcPr>
          <w:p w14:paraId="442EDC42" w14:textId="77777777" w:rsidR="00B1546F" w:rsidRPr="003B479E" w:rsidRDefault="00B1546F" w:rsidP="003B479E">
            <w:pPr>
              <w:spacing w:after="0" w:line="240" w:lineRule="auto"/>
              <w:jc w:val="left"/>
              <w:rPr>
                <w:rFonts w:ascii="Futura Std Condensed Light" w:eastAsia="Calibri" w:hAnsi="Futura Std Condensed Light" w:cs="Calibri"/>
                <w:szCs w:val="18"/>
              </w:rPr>
            </w:pPr>
            <w:r w:rsidRPr="003B479E">
              <w:rPr>
                <w:rFonts w:ascii="Futura Std Condensed Light" w:eastAsia="Calibri" w:hAnsi="Futura Std Condensed Light" w:cs="Calibri"/>
                <w:szCs w:val="18"/>
              </w:rPr>
              <w:t>Dependencia rectora de la Educación en el País.</w:t>
            </w:r>
          </w:p>
        </w:tc>
      </w:tr>
      <w:tr w:rsidR="00B1546F" w:rsidRPr="00F63D4B" w14:paraId="1901E86E" w14:textId="77777777" w:rsidTr="00FE324E">
        <w:tc>
          <w:tcPr>
            <w:tcW w:w="2951" w:type="dxa"/>
          </w:tcPr>
          <w:p w14:paraId="16941588" w14:textId="77777777" w:rsidR="00B1546F" w:rsidRPr="003B479E" w:rsidRDefault="00B1546F" w:rsidP="003B479E">
            <w:pPr>
              <w:spacing w:after="0" w:line="240" w:lineRule="auto"/>
              <w:jc w:val="left"/>
              <w:rPr>
                <w:rFonts w:ascii="Futura Std Condensed Light" w:eastAsia="Calibri" w:hAnsi="Futura Std Condensed Light" w:cs="Calibri"/>
                <w:szCs w:val="18"/>
              </w:rPr>
            </w:pPr>
            <w:r w:rsidRPr="003B479E">
              <w:rPr>
                <w:rFonts w:ascii="Futura Std Condensed Light" w:eastAsia="Calibri" w:hAnsi="Futura Std Condensed Light" w:cs="Calibri" w:hint="eastAsia"/>
                <w:szCs w:val="18"/>
              </w:rPr>
              <w:t>Consejo Nacional de Fomento Educativo (CONAFE)</w:t>
            </w:r>
          </w:p>
        </w:tc>
        <w:tc>
          <w:tcPr>
            <w:tcW w:w="2006" w:type="dxa"/>
          </w:tcPr>
          <w:p w14:paraId="4A0AD1E8" w14:textId="77777777" w:rsidR="00B1546F" w:rsidRPr="003B479E" w:rsidRDefault="00B1546F" w:rsidP="005162E7">
            <w:pPr>
              <w:spacing w:after="0" w:line="240" w:lineRule="auto"/>
              <w:jc w:val="center"/>
              <w:rPr>
                <w:rFonts w:ascii="Futura Std Condensed Light" w:eastAsia="Calibri" w:hAnsi="Futura Std Condensed Light" w:cs="Calibri"/>
                <w:szCs w:val="18"/>
              </w:rPr>
            </w:pPr>
            <w:r w:rsidRPr="003B479E">
              <w:rPr>
                <w:rFonts w:ascii="Futura Std Condensed Light" w:eastAsia="Calibri" w:hAnsi="Futura Std Condensed Light" w:cs="Calibri"/>
                <w:szCs w:val="18"/>
              </w:rPr>
              <w:t>Federal</w:t>
            </w:r>
          </w:p>
        </w:tc>
        <w:tc>
          <w:tcPr>
            <w:tcW w:w="3871" w:type="dxa"/>
          </w:tcPr>
          <w:p w14:paraId="1C238068" w14:textId="77777777" w:rsidR="00B1546F" w:rsidRPr="003B479E" w:rsidRDefault="00B1546F" w:rsidP="003B479E">
            <w:pPr>
              <w:spacing w:after="0" w:line="240" w:lineRule="auto"/>
              <w:jc w:val="left"/>
              <w:rPr>
                <w:rFonts w:ascii="Futura Std Condensed Light" w:eastAsia="Calibri" w:hAnsi="Futura Std Condensed Light" w:cs="Calibri"/>
                <w:szCs w:val="18"/>
              </w:rPr>
            </w:pPr>
            <w:r w:rsidRPr="003B479E">
              <w:rPr>
                <w:rFonts w:ascii="Futura Std Condensed Light" w:eastAsia="Calibri" w:hAnsi="Futura Std Condensed Light" w:cs="Calibri" w:hint="eastAsia"/>
                <w:szCs w:val="18"/>
              </w:rPr>
              <w:t>Organismo que brinda servicios de educación inicial  y básica a niños (as) y jóvenes que habitan en sectores vulnerables del país.</w:t>
            </w:r>
          </w:p>
        </w:tc>
      </w:tr>
      <w:tr w:rsidR="00B1546F" w:rsidRPr="00F63D4B" w14:paraId="01640508" w14:textId="77777777" w:rsidTr="00FE324E">
        <w:trPr>
          <w:trHeight w:val="927"/>
        </w:trPr>
        <w:tc>
          <w:tcPr>
            <w:tcW w:w="2951" w:type="dxa"/>
          </w:tcPr>
          <w:p w14:paraId="793E84D8" w14:textId="77777777" w:rsidR="00B1546F" w:rsidRPr="003B479E" w:rsidRDefault="00B1546F" w:rsidP="003B479E">
            <w:pPr>
              <w:spacing w:after="0" w:line="240" w:lineRule="auto"/>
              <w:jc w:val="left"/>
              <w:rPr>
                <w:rFonts w:ascii="Futura Std Condensed Light" w:eastAsia="Calibri" w:hAnsi="Futura Std Condensed Light" w:cs="Calibri"/>
                <w:szCs w:val="18"/>
              </w:rPr>
            </w:pPr>
            <w:r w:rsidRPr="003B479E">
              <w:rPr>
                <w:rFonts w:ascii="Futura Std Condensed Light" w:eastAsia="Calibri" w:hAnsi="Futura Std Condensed Light" w:cs="Calibri"/>
                <w:szCs w:val="18"/>
              </w:rPr>
              <w:t>Instituto Nacional para la Educación de los Adultos</w:t>
            </w:r>
          </w:p>
        </w:tc>
        <w:tc>
          <w:tcPr>
            <w:tcW w:w="2006" w:type="dxa"/>
          </w:tcPr>
          <w:p w14:paraId="6E7B5E35" w14:textId="77777777" w:rsidR="00B1546F" w:rsidRPr="003B479E" w:rsidRDefault="00B1546F" w:rsidP="005162E7">
            <w:pPr>
              <w:spacing w:after="0" w:line="240" w:lineRule="auto"/>
              <w:jc w:val="center"/>
              <w:rPr>
                <w:rFonts w:ascii="Futura Std Condensed Light" w:eastAsia="Calibri" w:hAnsi="Futura Std Condensed Light" w:cs="Calibri"/>
                <w:szCs w:val="18"/>
              </w:rPr>
            </w:pPr>
            <w:r w:rsidRPr="003B479E">
              <w:rPr>
                <w:rFonts w:ascii="Futura Std Condensed Light" w:eastAsia="Calibri" w:hAnsi="Futura Std Condensed Light" w:cs="Calibri"/>
                <w:szCs w:val="18"/>
              </w:rPr>
              <w:t>Federal</w:t>
            </w:r>
          </w:p>
        </w:tc>
        <w:tc>
          <w:tcPr>
            <w:tcW w:w="3871" w:type="dxa"/>
          </w:tcPr>
          <w:p w14:paraId="0DDA0E51" w14:textId="77777777" w:rsidR="00B1546F" w:rsidRPr="003B479E" w:rsidRDefault="00B1546F" w:rsidP="000B09BA">
            <w:pPr>
              <w:spacing w:after="0" w:line="240" w:lineRule="auto"/>
              <w:jc w:val="left"/>
            </w:pPr>
            <w:bookmarkStart w:id="72" w:name="_Toc41648918"/>
            <w:r w:rsidRPr="000B09BA">
              <w:rPr>
                <w:rFonts w:ascii="Futura Std Condensed Light" w:eastAsia="Calibri" w:hAnsi="Futura Std Condensed Light" w:cs="Calibri"/>
                <w:szCs w:val="18"/>
              </w:rPr>
              <w:t>Dependencia educativa que atiende a personas mayores de 15 años que por alguna situación no tuvieron la oportunidad de aprender a leer o a escribir.</w:t>
            </w:r>
            <w:bookmarkEnd w:id="72"/>
          </w:p>
        </w:tc>
      </w:tr>
      <w:tr w:rsidR="00B1546F" w:rsidRPr="00F63D4B" w14:paraId="07A61910" w14:textId="77777777" w:rsidTr="00FE324E">
        <w:trPr>
          <w:trHeight w:val="2081"/>
        </w:trPr>
        <w:tc>
          <w:tcPr>
            <w:tcW w:w="2951" w:type="dxa"/>
          </w:tcPr>
          <w:p w14:paraId="7521C1F2" w14:textId="77777777" w:rsidR="00B1546F" w:rsidRPr="003B479E" w:rsidRDefault="00B1546F" w:rsidP="003B479E">
            <w:pPr>
              <w:spacing w:after="0" w:line="240" w:lineRule="auto"/>
              <w:jc w:val="left"/>
              <w:rPr>
                <w:rFonts w:ascii="Futura Std Condensed Light" w:eastAsia="Calibri" w:hAnsi="Futura Std Condensed Light" w:cs="Calibri"/>
                <w:szCs w:val="18"/>
              </w:rPr>
            </w:pPr>
            <w:r w:rsidRPr="003B479E">
              <w:rPr>
                <w:rFonts w:ascii="Futura Std Condensed Light" w:eastAsia="Calibri" w:hAnsi="Futura Std Condensed Light" w:cs="Calibri"/>
                <w:szCs w:val="18"/>
              </w:rPr>
              <w:t>Consejo Nacional de Ciencia y Tecnología (CONACYT)</w:t>
            </w:r>
          </w:p>
        </w:tc>
        <w:tc>
          <w:tcPr>
            <w:tcW w:w="2006" w:type="dxa"/>
          </w:tcPr>
          <w:p w14:paraId="2B1A4A0B" w14:textId="77777777" w:rsidR="00B1546F" w:rsidRPr="003B479E" w:rsidRDefault="00B1546F" w:rsidP="005162E7">
            <w:pPr>
              <w:spacing w:after="0" w:line="240" w:lineRule="auto"/>
              <w:jc w:val="center"/>
              <w:rPr>
                <w:rFonts w:ascii="Futura Std Condensed Light" w:eastAsia="Calibri" w:hAnsi="Futura Std Condensed Light" w:cs="Calibri"/>
                <w:szCs w:val="18"/>
              </w:rPr>
            </w:pPr>
            <w:r w:rsidRPr="003B479E">
              <w:rPr>
                <w:rFonts w:ascii="Futura Std Condensed Light" w:eastAsia="Calibri" w:hAnsi="Futura Std Condensed Light" w:cs="Calibri"/>
                <w:szCs w:val="18"/>
              </w:rPr>
              <w:t>Federal</w:t>
            </w:r>
          </w:p>
        </w:tc>
        <w:tc>
          <w:tcPr>
            <w:tcW w:w="3871" w:type="dxa"/>
          </w:tcPr>
          <w:p w14:paraId="2A974105" w14:textId="77777777" w:rsidR="00B1546F" w:rsidRPr="003B479E" w:rsidRDefault="00B1546F" w:rsidP="00E47626">
            <w:pPr>
              <w:spacing w:after="0" w:line="240" w:lineRule="auto"/>
              <w:jc w:val="left"/>
            </w:pPr>
            <w:bookmarkStart w:id="73" w:name="_Toc41648919"/>
            <w:r w:rsidRPr="00E47626">
              <w:rPr>
                <w:rFonts w:ascii="Futura Std Condensed Light" w:eastAsia="Calibri" w:hAnsi="Futura Std Condensed Light" w:cs="Calibri"/>
                <w:szCs w:val="18"/>
              </w:rPr>
              <w:t>Organismo público descentralizado especializado que articula  las políticas públicas del gobierno federal y promover el desarrollo de la investigación científica, el desarrollo tecnológico y la innovación a fin de impulsar la modernización tecnológica del país.</w:t>
            </w:r>
            <w:bookmarkEnd w:id="73"/>
          </w:p>
        </w:tc>
      </w:tr>
      <w:tr w:rsidR="00B1546F" w:rsidRPr="00F63D4B" w14:paraId="4200CB88" w14:textId="77777777" w:rsidTr="00FE324E">
        <w:trPr>
          <w:trHeight w:val="627"/>
        </w:trPr>
        <w:tc>
          <w:tcPr>
            <w:tcW w:w="2951" w:type="dxa"/>
          </w:tcPr>
          <w:p w14:paraId="0A1C2FCA" w14:textId="77777777" w:rsidR="00B1546F" w:rsidRPr="003B479E" w:rsidRDefault="00B1546F" w:rsidP="003B479E">
            <w:pPr>
              <w:spacing w:after="0" w:line="240" w:lineRule="auto"/>
              <w:jc w:val="left"/>
              <w:rPr>
                <w:rFonts w:ascii="Futura Std Condensed Light" w:eastAsia="Calibri" w:hAnsi="Futura Std Condensed Light" w:cs="Calibri"/>
                <w:szCs w:val="18"/>
              </w:rPr>
            </w:pPr>
            <w:r w:rsidRPr="003B479E">
              <w:rPr>
                <w:rFonts w:ascii="Futura Std Condensed Light" w:eastAsia="Calibri" w:hAnsi="Futura Std Condensed Light" w:cs="Calibri" w:hint="eastAsia"/>
                <w:szCs w:val="18"/>
              </w:rPr>
              <w:t xml:space="preserve">Secretaría de Desarrollo Social </w:t>
            </w:r>
          </w:p>
          <w:p w14:paraId="76621BF7" w14:textId="77777777" w:rsidR="00B1546F" w:rsidRPr="003B479E" w:rsidRDefault="00B1546F" w:rsidP="003B479E">
            <w:pPr>
              <w:spacing w:after="0" w:line="240" w:lineRule="auto"/>
              <w:jc w:val="left"/>
              <w:rPr>
                <w:rFonts w:ascii="Futura Std Condensed Light" w:eastAsia="Calibri" w:hAnsi="Futura Std Condensed Light" w:cs="Calibri"/>
                <w:szCs w:val="18"/>
              </w:rPr>
            </w:pPr>
          </w:p>
          <w:p w14:paraId="2CD7CCCA" w14:textId="77777777" w:rsidR="00B1546F" w:rsidRPr="003B479E" w:rsidRDefault="00B1546F" w:rsidP="003B479E">
            <w:pPr>
              <w:spacing w:after="0" w:line="240" w:lineRule="auto"/>
              <w:jc w:val="left"/>
              <w:rPr>
                <w:rFonts w:ascii="Futura Std Condensed Light" w:eastAsia="Calibri" w:hAnsi="Futura Std Condensed Light" w:cs="Calibri"/>
                <w:szCs w:val="18"/>
              </w:rPr>
            </w:pPr>
          </w:p>
        </w:tc>
        <w:tc>
          <w:tcPr>
            <w:tcW w:w="2006" w:type="dxa"/>
          </w:tcPr>
          <w:p w14:paraId="6DD8372C" w14:textId="77777777" w:rsidR="00B1546F" w:rsidRPr="003B479E" w:rsidRDefault="00B1546F" w:rsidP="005162E7">
            <w:pPr>
              <w:spacing w:after="0" w:line="240" w:lineRule="auto"/>
              <w:jc w:val="center"/>
              <w:rPr>
                <w:rFonts w:ascii="Futura Std Condensed Light" w:eastAsia="Calibri" w:hAnsi="Futura Std Condensed Light" w:cs="Calibri"/>
                <w:szCs w:val="18"/>
              </w:rPr>
            </w:pPr>
            <w:r w:rsidRPr="003B479E">
              <w:rPr>
                <w:rFonts w:ascii="Futura Std Condensed Light" w:eastAsia="Calibri" w:hAnsi="Futura Std Condensed Light" w:cs="Calibri"/>
                <w:szCs w:val="18"/>
              </w:rPr>
              <w:t>Estatal</w:t>
            </w:r>
          </w:p>
        </w:tc>
        <w:tc>
          <w:tcPr>
            <w:tcW w:w="3871" w:type="dxa"/>
          </w:tcPr>
          <w:p w14:paraId="1AC9925D" w14:textId="77777777" w:rsidR="00B1546F" w:rsidRPr="003B479E" w:rsidRDefault="00B1546F" w:rsidP="003B479E">
            <w:pPr>
              <w:spacing w:after="0" w:line="240" w:lineRule="auto"/>
              <w:rPr>
                <w:rFonts w:ascii="Futura Std Condensed Light" w:eastAsia="Calibri" w:hAnsi="Futura Std Condensed Light" w:cs="Calibri"/>
                <w:szCs w:val="18"/>
              </w:rPr>
            </w:pPr>
            <w:r w:rsidRPr="003B479E">
              <w:rPr>
                <w:rFonts w:ascii="Futura Std Condensed Light" w:eastAsia="Calibri" w:hAnsi="Futura Std Condensed Light" w:cs="Calibri" w:hint="eastAsia"/>
                <w:szCs w:val="18"/>
              </w:rPr>
              <w:t>Dependencia que atiende programas de desarrollo social que inciden en la Educación en el Estado</w:t>
            </w:r>
          </w:p>
        </w:tc>
      </w:tr>
      <w:tr w:rsidR="00B1546F" w:rsidRPr="00F63D4B" w14:paraId="504B9878" w14:textId="77777777" w:rsidTr="00FE324E">
        <w:trPr>
          <w:trHeight w:val="881"/>
        </w:trPr>
        <w:tc>
          <w:tcPr>
            <w:tcW w:w="2951" w:type="dxa"/>
          </w:tcPr>
          <w:p w14:paraId="338D00C4" w14:textId="77777777" w:rsidR="00B1546F" w:rsidRPr="003B479E" w:rsidRDefault="00B1546F" w:rsidP="003B479E">
            <w:pPr>
              <w:spacing w:after="0" w:line="240" w:lineRule="auto"/>
              <w:jc w:val="left"/>
              <w:rPr>
                <w:rFonts w:ascii="Futura Std Condensed Light" w:eastAsia="Calibri" w:hAnsi="Futura Std Condensed Light" w:cs="Calibri"/>
                <w:szCs w:val="18"/>
              </w:rPr>
            </w:pPr>
            <w:r w:rsidRPr="003B479E">
              <w:rPr>
                <w:rFonts w:ascii="Futura Std Condensed Light" w:eastAsia="Calibri" w:hAnsi="Futura Std Condensed Light" w:cs="Calibri"/>
                <w:szCs w:val="18"/>
              </w:rPr>
              <w:t>Secretaría de Obras Públicas</w:t>
            </w:r>
          </w:p>
        </w:tc>
        <w:tc>
          <w:tcPr>
            <w:tcW w:w="2006" w:type="dxa"/>
          </w:tcPr>
          <w:p w14:paraId="4363294F" w14:textId="77777777" w:rsidR="00B1546F" w:rsidRPr="003B479E" w:rsidRDefault="00B1546F" w:rsidP="005162E7">
            <w:pPr>
              <w:spacing w:after="0" w:line="240" w:lineRule="auto"/>
              <w:jc w:val="center"/>
              <w:rPr>
                <w:rFonts w:ascii="Futura Std Condensed Light" w:eastAsia="Calibri" w:hAnsi="Futura Std Condensed Light" w:cs="Calibri"/>
                <w:szCs w:val="18"/>
              </w:rPr>
            </w:pPr>
            <w:r w:rsidRPr="003B479E">
              <w:rPr>
                <w:rFonts w:ascii="Futura Std Condensed Light" w:eastAsia="Calibri" w:hAnsi="Futura Std Condensed Light" w:cs="Calibri"/>
                <w:szCs w:val="18"/>
              </w:rPr>
              <w:t>Estatal</w:t>
            </w:r>
          </w:p>
        </w:tc>
        <w:tc>
          <w:tcPr>
            <w:tcW w:w="3871" w:type="dxa"/>
          </w:tcPr>
          <w:p w14:paraId="4E3487D3" w14:textId="77777777" w:rsidR="00B1546F" w:rsidRPr="003B479E" w:rsidRDefault="00B1546F" w:rsidP="003B479E">
            <w:pPr>
              <w:spacing w:after="0" w:line="240" w:lineRule="auto"/>
              <w:rPr>
                <w:rFonts w:ascii="Futura Std Condensed Light" w:eastAsia="Calibri" w:hAnsi="Futura Std Condensed Light" w:cs="Calibri"/>
                <w:szCs w:val="18"/>
              </w:rPr>
            </w:pPr>
            <w:r w:rsidRPr="003B479E">
              <w:rPr>
                <w:rFonts w:ascii="Futura Std Condensed Light" w:eastAsia="Calibri" w:hAnsi="Futura Std Condensed Light" w:cs="Calibri"/>
                <w:szCs w:val="18"/>
              </w:rPr>
              <w:t xml:space="preserve">Dependencia que atiende programas relacionados con obras públicas. </w:t>
            </w:r>
          </w:p>
        </w:tc>
      </w:tr>
      <w:tr w:rsidR="00B1546F" w:rsidRPr="00F63D4B" w14:paraId="2398D059" w14:textId="77777777" w:rsidTr="00FE324E">
        <w:tc>
          <w:tcPr>
            <w:tcW w:w="2951" w:type="dxa"/>
          </w:tcPr>
          <w:p w14:paraId="7F25263B" w14:textId="77777777" w:rsidR="00B1546F" w:rsidRPr="003B479E" w:rsidRDefault="00B1546F" w:rsidP="003B479E">
            <w:pPr>
              <w:spacing w:after="0" w:line="240" w:lineRule="auto"/>
              <w:jc w:val="left"/>
              <w:rPr>
                <w:rFonts w:ascii="Futura Std Condensed Light" w:eastAsia="Calibri" w:hAnsi="Futura Std Condensed Light" w:cs="Calibri"/>
                <w:szCs w:val="18"/>
              </w:rPr>
            </w:pPr>
            <w:r w:rsidRPr="003B479E">
              <w:rPr>
                <w:rFonts w:ascii="Futura Std Condensed Light" w:eastAsia="Calibri" w:hAnsi="Futura Std Condensed Light" w:cs="Calibri" w:hint="eastAsia"/>
                <w:szCs w:val="18"/>
              </w:rPr>
              <w:t>Sistema para el Desarrollo Integral de la Familia del Estado de Quintana Roo (DIF)</w:t>
            </w:r>
          </w:p>
          <w:p w14:paraId="4F38A230" w14:textId="77777777" w:rsidR="00B1546F" w:rsidRPr="003B479E" w:rsidRDefault="00B1546F" w:rsidP="003B479E">
            <w:pPr>
              <w:spacing w:after="0" w:line="240" w:lineRule="auto"/>
              <w:jc w:val="left"/>
              <w:rPr>
                <w:rFonts w:ascii="Futura Std Condensed Light" w:eastAsia="Calibri" w:hAnsi="Futura Std Condensed Light" w:cs="Calibri"/>
                <w:szCs w:val="18"/>
              </w:rPr>
            </w:pPr>
          </w:p>
        </w:tc>
        <w:tc>
          <w:tcPr>
            <w:tcW w:w="2006" w:type="dxa"/>
          </w:tcPr>
          <w:p w14:paraId="4AB2F5E9" w14:textId="77777777" w:rsidR="00B1546F" w:rsidRPr="003B479E" w:rsidRDefault="00B1546F" w:rsidP="005162E7">
            <w:pPr>
              <w:spacing w:after="0" w:line="240" w:lineRule="auto"/>
              <w:jc w:val="center"/>
              <w:rPr>
                <w:rFonts w:ascii="Futura Std Condensed Light" w:eastAsia="Calibri" w:hAnsi="Futura Std Condensed Light" w:cs="Calibri"/>
                <w:szCs w:val="18"/>
              </w:rPr>
            </w:pPr>
            <w:r w:rsidRPr="003B479E">
              <w:rPr>
                <w:rFonts w:ascii="Futura Std Condensed Light" w:eastAsia="Calibri" w:hAnsi="Futura Std Condensed Light" w:cs="Calibri"/>
                <w:szCs w:val="18"/>
              </w:rPr>
              <w:t>Estatal</w:t>
            </w:r>
          </w:p>
        </w:tc>
        <w:tc>
          <w:tcPr>
            <w:tcW w:w="3871" w:type="dxa"/>
          </w:tcPr>
          <w:p w14:paraId="4E90C9C1" w14:textId="77777777" w:rsidR="00B1546F" w:rsidRPr="003B479E" w:rsidRDefault="00B1546F" w:rsidP="003B479E">
            <w:pPr>
              <w:spacing w:after="0" w:line="240" w:lineRule="auto"/>
              <w:rPr>
                <w:rFonts w:ascii="Futura Std Condensed Light" w:eastAsia="Calibri" w:hAnsi="Futura Std Condensed Light" w:cs="Calibri"/>
                <w:szCs w:val="18"/>
              </w:rPr>
            </w:pPr>
            <w:r w:rsidRPr="003B479E">
              <w:rPr>
                <w:rFonts w:ascii="Futura Std Condensed Light" w:eastAsia="Calibri" w:hAnsi="Futura Std Condensed Light" w:cs="Calibri" w:hint="eastAsia"/>
                <w:szCs w:val="18"/>
              </w:rPr>
              <w:t>Organismo Estatal que maneja Programas y Proyectos que inciden en la Educación en el Estado</w:t>
            </w:r>
            <w:r w:rsidRPr="003B479E">
              <w:rPr>
                <w:rFonts w:ascii="Futura Std Condensed Light" w:eastAsia="Calibri" w:hAnsi="Futura Std Condensed Light" w:cs="Calibri"/>
                <w:szCs w:val="18"/>
              </w:rPr>
              <w:t>.</w:t>
            </w:r>
          </w:p>
        </w:tc>
      </w:tr>
      <w:tr w:rsidR="000129E7" w:rsidRPr="00F63D4B" w14:paraId="5C1C0C91" w14:textId="77777777" w:rsidTr="00FE324E">
        <w:tc>
          <w:tcPr>
            <w:tcW w:w="2951" w:type="dxa"/>
          </w:tcPr>
          <w:p w14:paraId="4F7AB30E" w14:textId="149F452E" w:rsidR="000129E7" w:rsidRPr="003B479E" w:rsidRDefault="000129E7" w:rsidP="003B479E">
            <w:pPr>
              <w:spacing w:after="0" w:line="240" w:lineRule="auto"/>
              <w:jc w:val="left"/>
              <w:rPr>
                <w:rFonts w:ascii="Futura Std Condensed Light" w:eastAsia="Calibri" w:hAnsi="Futura Std Condensed Light" w:cs="Calibri"/>
                <w:szCs w:val="18"/>
              </w:rPr>
            </w:pPr>
            <w:r>
              <w:rPr>
                <w:rFonts w:ascii="Futura Std Condensed Light" w:eastAsia="Calibri" w:hAnsi="Futura Std Condensed Light" w:cs="Calibri"/>
                <w:szCs w:val="18"/>
              </w:rPr>
              <w:t>Servicios Educativos de Quintana Roo</w:t>
            </w:r>
          </w:p>
        </w:tc>
        <w:tc>
          <w:tcPr>
            <w:tcW w:w="2006" w:type="dxa"/>
          </w:tcPr>
          <w:p w14:paraId="3134010B" w14:textId="5CD14CEF" w:rsidR="000129E7" w:rsidRPr="003B479E" w:rsidRDefault="000129E7" w:rsidP="005162E7">
            <w:pPr>
              <w:spacing w:after="0" w:line="240" w:lineRule="auto"/>
              <w:jc w:val="center"/>
              <w:rPr>
                <w:rFonts w:ascii="Futura Std Condensed Light" w:eastAsia="Calibri" w:hAnsi="Futura Std Condensed Light" w:cs="Calibri"/>
                <w:szCs w:val="18"/>
              </w:rPr>
            </w:pPr>
            <w:r>
              <w:rPr>
                <w:rFonts w:ascii="Futura Std Condensed Light" w:eastAsia="Calibri" w:hAnsi="Futura Std Condensed Light" w:cs="Calibri"/>
                <w:szCs w:val="18"/>
              </w:rPr>
              <w:t>Estatal</w:t>
            </w:r>
          </w:p>
        </w:tc>
        <w:tc>
          <w:tcPr>
            <w:tcW w:w="3871" w:type="dxa"/>
          </w:tcPr>
          <w:p w14:paraId="3318DE7C" w14:textId="7EA075F7" w:rsidR="000129E7" w:rsidRPr="003B479E" w:rsidRDefault="000129E7" w:rsidP="003B479E">
            <w:pPr>
              <w:spacing w:after="0" w:line="240" w:lineRule="auto"/>
              <w:rPr>
                <w:rFonts w:ascii="Futura Std Condensed Light" w:eastAsia="Calibri" w:hAnsi="Futura Std Condensed Light" w:cs="Calibri"/>
                <w:szCs w:val="18"/>
              </w:rPr>
            </w:pPr>
            <w:r>
              <w:rPr>
                <w:rFonts w:ascii="Futura Std Condensed Light" w:eastAsia="Calibri" w:hAnsi="Futura Std Condensed Light" w:cs="Calibri"/>
                <w:szCs w:val="18"/>
              </w:rPr>
              <w:t xml:space="preserve">Organismo descentralizado que atiende a lo relativo </w:t>
            </w:r>
            <w:r w:rsidR="0021306B">
              <w:rPr>
                <w:rFonts w:ascii="Futura Std Condensed Light" w:eastAsia="Calibri" w:hAnsi="Futura Std Condensed Light" w:cs="Calibri"/>
                <w:szCs w:val="18"/>
              </w:rPr>
              <w:t>a la Educación Básica y Normal</w:t>
            </w:r>
          </w:p>
        </w:tc>
      </w:tr>
      <w:tr w:rsidR="00B1546F" w:rsidRPr="00F63D4B" w14:paraId="3F76BE78" w14:textId="77777777" w:rsidTr="00FE324E">
        <w:tc>
          <w:tcPr>
            <w:tcW w:w="2951" w:type="dxa"/>
          </w:tcPr>
          <w:p w14:paraId="387DBB00" w14:textId="77777777" w:rsidR="00B1546F" w:rsidRPr="003B479E" w:rsidRDefault="00B1546F" w:rsidP="003B479E">
            <w:pPr>
              <w:spacing w:after="0" w:line="240" w:lineRule="auto"/>
              <w:jc w:val="left"/>
              <w:rPr>
                <w:rFonts w:ascii="Futura Std Condensed Light" w:eastAsia="Calibri" w:hAnsi="Futura Std Condensed Light" w:cs="Calibri"/>
                <w:szCs w:val="18"/>
              </w:rPr>
            </w:pPr>
            <w:r w:rsidRPr="003B479E">
              <w:rPr>
                <w:rFonts w:ascii="Futura Std Condensed Light" w:eastAsia="Calibri" w:hAnsi="Futura Std Condensed Light" w:cs="Calibri" w:hint="eastAsia"/>
                <w:szCs w:val="18"/>
              </w:rPr>
              <w:t>Instituto de Infraestructura Física Educativa del Estado de Quintana Roo (IFEQROO)</w:t>
            </w:r>
          </w:p>
        </w:tc>
        <w:tc>
          <w:tcPr>
            <w:tcW w:w="2006" w:type="dxa"/>
          </w:tcPr>
          <w:p w14:paraId="4A7BD294" w14:textId="77777777" w:rsidR="00B1546F" w:rsidRPr="003B479E" w:rsidRDefault="00B1546F" w:rsidP="005162E7">
            <w:pPr>
              <w:spacing w:after="0" w:line="240" w:lineRule="auto"/>
              <w:jc w:val="center"/>
              <w:rPr>
                <w:rFonts w:ascii="Futura Std Condensed Light" w:eastAsia="Calibri" w:hAnsi="Futura Std Condensed Light" w:cs="Calibri"/>
                <w:szCs w:val="18"/>
              </w:rPr>
            </w:pPr>
            <w:r w:rsidRPr="003B479E">
              <w:rPr>
                <w:rFonts w:ascii="Futura Std Condensed Light" w:eastAsia="Calibri" w:hAnsi="Futura Std Condensed Light" w:cs="Calibri"/>
                <w:szCs w:val="18"/>
              </w:rPr>
              <w:t>Estatal</w:t>
            </w:r>
          </w:p>
        </w:tc>
        <w:tc>
          <w:tcPr>
            <w:tcW w:w="3871" w:type="dxa"/>
          </w:tcPr>
          <w:p w14:paraId="0B4A60F8" w14:textId="77777777" w:rsidR="00B1546F" w:rsidRPr="003B479E" w:rsidRDefault="00B1546F" w:rsidP="003B479E">
            <w:pPr>
              <w:spacing w:after="0" w:line="240" w:lineRule="auto"/>
              <w:rPr>
                <w:rFonts w:ascii="Futura Std Condensed Light" w:eastAsia="Calibri" w:hAnsi="Futura Std Condensed Light" w:cs="Calibri"/>
                <w:szCs w:val="18"/>
              </w:rPr>
            </w:pPr>
            <w:r w:rsidRPr="003B479E">
              <w:rPr>
                <w:rFonts w:ascii="Futura Std Condensed Light" w:eastAsia="Calibri" w:hAnsi="Futura Std Condensed Light" w:cs="Calibri"/>
                <w:szCs w:val="18"/>
              </w:rPr>
              <w:t>Organismo</w:t>
            </w:r>
            <w:r w:rsidRPr="003B479E">
              <w:rPr>
                <w:rFonts w:ascii="Futura Std Condensed Light" w:eastAsia="Calibri" w:hAnsi="Futura Std Condensed Light" w:cs="Calibri" w:hint="eastAsia"/>
                <w:szCs w:val="18"/>
              </w:rPr>
              <w:t xml:space="preserve"> que atiende lo referente a </w:t>
            </w:r>
            <w:r w:rsidRPr="003B479E">
              <w:rPr>
                <w:rFonts w:ascii="Futura Std Condensed Light" w:eastAsia="Calibri" w:hAnsi="Futura Std Condensed Light" w:cs="Calibri"/>
                <w:szCs w:val="18"/>
              </w:rPr>
              <w:t xml:space="preserve">ejecución de </w:t>
            </w:r>
            <w:r w:rsidRPr="003B479E">
              <w:rPr>
                <w:rFonts w:ascii="Futura Std Condensed Light" w:eastAsia="Calibri" w:hAnsi="Futura Std Condensed Light" w:cs="Calibri" w:hint="eastAsia"/>
                <w:szCs w:val="18"/>
              </w:rPr>
              <w:t>la infraestructura Educativa en el Estado</w:t>
            </w:r>
          </w:p>
        </w:tc>
      </w:tr>
      <w:tr w:rsidR="00B1546F" w:rsidRPr="00F63D4B" w14:paraId="3154E953" w14:textId="77777777" w:rsidTr="00FE324E">
        <w:tc>
          <w:tcPr>
            <w:tcW w:w="2951" w:type="dxa"/>
          </w:tcPr>
          <w:p w14:paraId="4975DA29" w14:textId="77777777" w:rsidR="00B1546F" w:rsidRPr="003B479E" w:rsidRDefault="00B1546F" w:rsidP="003B479E">
            <w:pPr>
              <w:spacing w:after="0" w:line="240" w:lineRule="auto"/>
              <w:jc w:val="left"/>
              <w:rPr>
                <w:rFonts w:ascii="Futura Std Condensed Light" w:eastAsia="Calibri" w:hAnsi="Futura Std Condensed Light" w:cs="Calibri"/>
                <w:szCs w:val="18"/>
              </w:rPr>
            </w:pPr>
            <w:r w:rsidRPr="003B479E">
              <w:rPr>
                <w:rFonts w:ascii="Futura Std Condensed Light" w:eastAsia="Calibri" w:hAnsi="Futura Std Condensed Light" w:cs="Calibri" w:hint="eastAsia"/>
                <w:szCs w:val="18"/>
              </w:rPr>
              <w:lastRenderedPageBreak/>
              <w:t>Instituto Estatal para la Educación de Jóvenes y Adultos (IEEA)</w:t>
            </w:r>
          </w:p>
        </w:tc>
        <w:tc>
          <w:tcPr>
            <w:tcW w:w="2006" w:type="dxa"/>
          </w:tcPr>
          <w:p w14:paraId="493F2532" w14:textId="77777777" w:rsidR="00B1546F" w:rsidRPr="003B479E" w:rsidRDefault="00B1546F" w:rsidP="005162E7">
            <w:pPr>
              <w:spacing w:after="0" w:line="240" w:lineRule="auto"/>
              <w:jc w:val="center"/>
              <w:rPr>
                <w:rFonts w:ascii="Futura Std Condensed Light" w:eastAsia="Calibri" w:hAnsi="Futura Std Condensed Light" w:cs="Calibri"/>
                <w:szCs w:val="18"/>
              </w:rPr>
            </w:pPr>
            <w:r w:rsidRPr="003B479E">
              <w:rPr>
                <w:rFonts w:ascii="Futura Std Condensed Light" w:eastAsia="Calibri" w:hAnsi="Futura Std Condensed Light" w:cs="Calibri"/>
                <w:szCs w:val="18"/>
              </w:rPr>
              <w:t>Estatal</w:t>
            </w:r>
          </w:p>
        </w:tc>
        <w:tc>
          <w:tcPr>
            <w:tcW w:w="3871" w:type="dxa"/>
          </w:tcPr>
          <w:p w14:paraId="1682C1E3" w14:textId="77777777" w:rsidR="00B1546F" w:rsidRPr="003B479E" w:rsidRDefault="00B1546F" w:rsidP="003B479E">
            <w:pPr>
              <w:spacing w:after="0" w:line="240" w:lineRule="auto"/>
              <w:rPr>
                <w:rFonts w:ascii="Futura Std Condensed Light" w:eastAsia="Calibri" w:hAnsi="Futura Std Condensed Light" w:cs="Calibri"/>
                <w:szCs w:val="18"/>
              </w:rPr>
            </w:pPr>
            <w:r w:rsidRPr="003B479E">
              <w:rPr>
                <w:rFonts w:ascii="Futura Std Condensed Light" w:eastAsia="Calibri" w:hAnsi="Futura Std Condensed Light" w:cs="Calibri" w:hint="eastAsia"/>
                <w:szCs w:val="18"/>
              </w:rPr>
              <w:t>Organismo Estatal que brinda una opción educativa a jóvenes y adultos</w:t>
            </w:r>
          </w:p>
        </w:tc>
      </w:tr>
      <w:tr w:rsidR="00B1546F" w:rsidRPr="00F63D4B" w14:paraId="41C7F2D2" w14:textId="77777777" w:rsidTr="00FE324E">
        <w:tc>
          <w:tcPr>
            <w:tcW w:w="2951" w:type="dxa"/>
          </w:tcPr>
          <w:p w14:paraId="2187D00C" w14:textId="77777777" w:rsidR="00B1546F" w:rsidRPr="003B479E" w:rsidRDefault="00B1546F" w:rsidP="003B479E">
            <w:pPr>
              <w:spacing w:after="0" w:line="240" w:lineRule="auto"/>
              <w:jc w:val="left"/>
              <w:rPr>
                <w:rFonts w:ascii="Futura Std Condensed Light" w:eastAsia="Calibri" w:hAnsi="Futura Std Condensed Light" w:cs="Calibri"/>
                <w:szCs w:val="18"/>
              </w:rPr>
            </w:pPr>
            <w:r w:rsidRPr="003B479E">
              <w:rPr>
                <w:rFonts w:ascii="Futura Std Condensed Light" w:eastAsia="Calibri" w:hAnsi="Futura Std Condensed Light" w:cs="Calibri" w:hint="eastAsia"/>
                <w:szCs w:val="18"/>
              </w:rPr>
              <w:t>Consejo Quintanarroense de Ciencia y Tecnología (COQCYT)</w:t>
            </w:r>
          </w:p>
        </w:tc>
        <w:tc>
          <w:tcPr>
            <w:tcW w:w="2006" w:type="dxa"/>
          </w:tcPr>
          <w:p w14:paraId="72452D5B" w14:textId="77777777" w:rsidR="00B1546F" w:rsidRPr="003B479E" w:rsidRDefault="00B1546F" w:rsidP="005162E7">
            <w:pPr>
              <w:spacing w:after="0" w:line="240" w:lineRule="auto"/>
              <w:jc w:val="center"/>
              <w:rPr>
                <w:rFonts w:ascii="Futura Std Condensed Light" w:eastAsia="Calibri" w:hAnsi="Futura Std Condensed Light" w:cs="Calibri"/>
                <w:szCs w:val="18"/>
              </w:rPr>
            </w:pPr>
            <w:r w:rsidRPr="003B479E">
              <w:rPr>
                <w:rFonts w:ascii="Futura Std Condensed Light" w:eastAsia="Calibri" w:hAnsi="Futura Std Condensed Light" w:cs="Calibri"/>
                <w:szCs w:val="18"/>
              </w:rPr>
              <w:t xml:space="preserve">Estatal </w:t>
            </w:r>
          </w:p>
        </w:tc>
        <w:tc>
          <w:tcPr>
            <w:tcW w:w="3871" w:type="dxa"/>
          </w:tcPr>
          <w:p w14:paraId="62E9E375" w14:textId="77777777" w:rsidR="00B1546F" w:rsidRPr="003B479E" w:rsidRDefault="00B1546F" w:rsidP="003B479E">
            <w:pPr>
              <w:spacing w:after="0" w:line="240" w:lineRule="auto"/>
              <w:rPr>
                <w:rFonts w:ascii="Futura Std Condensed Light" w:eastAsia="Calibri" w:hAnsi="Futura Std Condensed Light" w:cs="Calibri"/>
                <w:szCs w:val="18"/>
              </w:rPr>
            </w:pPr>
            <w:r w:rsidRPr="003B479E">
              <w:rPr>
                <w:rFonts w:ascii="Futura Std Condensed Light" w:eastAsia="Calibri" w:hAnsi="Futura Std Condensed Light" w:cs="Calibri" w:hint="eastAsia"/>
                <w:szCs w:val="18"/>
              </w:rPr>
              <w:t>Organismo que coordina, asesora, ejecuta y evalúa actividades relacionadas con la ciencia y la tecnología en el Estado</w:t>
            </w:r>
          </w:p>
        </w:tc>
      </w:tr>
      <w:tr w:rsidR="00B1546F" w:rsidRPr="00F63D4B" w14:paraId="218D3101" w14:textId="77777777" w:rsidTr="00FE324E">
        <w:tc>
          <w:tcPr>
            <w:tcW w:w="2951" w:type="dxa"/>
          </w:tcPr>
          <w:p w14:paraId="2EBB2AAC" w14:textId="77777777" w:rsidR="00B1546F" w:rsidRPr="003B479E" w:rsidRDefault="00B1546F" w:rsidP="003B479E">
            <w:pPr>
              <w:spacing w:after="0" w:line="240" w:lineRule="auto"/>
              <w:jc w:val="left"/>
              <w:rPr>
                <w:rFonts w:ascii="Futura Std Condensed Light" w:eastAsia="Calibri" w:hAnsi="Futura Std Condensed Light" w:cs="Calibri"/>
                <w:szCs w:val="18"/>
              </w:rPr>
            </w:pPr>
            <w:r w:rsidRPr="003B479E">
              <w:rPr>
                <w:rFonts w:ascii="Futura Std Condensed Light" w:eastAsia="Calibri" w:hAnsi="Futura Std Condensed Light" w:cs="Calibri" w:hint="eastAsia"/>
                <w:szCs w:val="18"/>
              </w:rPr>
              <w:t>Instituto de Capacitación para el Trabajo (ICAT)</w:t>
            </w:r>
          </w:p>
        </w:tc>
        <w:tc>
          <w:tcPr>
            <w:tcW w:w="2006" w:type="dxa"/>
          </w:tcPr>
          <w:p w14:paraId="5D60CDCB" w14:textId="77777777" w:rsidR="00B1546F" w:rsidRPr="003B479E" w:rsidRDefault="00B1546F" w:rsidP="005162E7">
            <w:pPr>
              <w:spacing w:after="0" w:line="240" w:lineRule="auto"/>
              <w:jc w:val="center"/>
              <w:rPr>
                <w:rFonts w:ascii="Futura Std Condensed Light" w:eastAsia="Calibri" w:hAnsi="Futura Std Condensed Light" w:cs="Calibri"/>
                <w:szCs w:val="18"/>
              </w:rPr>
            </w:pPr>
            <w:r w:rsidRPr="003B479E">
              <w:rPr>
                <w:rFonts w:ascii="Futura Std Condensed Light" w:eastAsia="Calibri" w:hAnsi="Futura Std Condensed Light" w:cs="Calibri"/>
                <w:szCs w:val="18"/>
              </w:rPr>
              <w:t>Estatal</w:t>
            </w:r>
          </w:p>
        </w:tc>
        <w:tc>
          <w:tcPr>
            <w:tcW w:w="3871" w:type="dxa"/>
          </w:tcPr>
          <w:p w14:paraId="65C3BF42" w14:textId="77777777" w:rsidR="00B1546F" w:rsidRPr="003B479E" w:rsidRDefault="00B1546F" w:rsidP="003B479E">
            <w:pPr>
              <w:spacing w:after="0" w:line="240" w:lineRule="auto"/>
              <w:rPr>
                <w:rFonts w:ascii="Futura Std Condensed Light" w:eastAsia="Calibri" w:hAnsi="Futura Std Condensed Light" w:cs="Calibri"/>
                <w:szCs w:val="18"/>
              </w:rPr>
            </w:pPr>
            <w:r w:rsidRPr="003B479E">
              <w:rPr>
                <w:rFonts w:ascii="Futura Std Condensed Light" w:eastAsia="Calibri" w:hAnsi="Futura Std Condensed Light" w:cs="Calibri" w:hint="eastAsia"/>
                <w:szCs w:val="18"/>
              </w:rPr>
              <w:t>Organismo que imparte capacitación formal para el trabajo.</w:t>
            </w:r>
          </w:p>
        </w:tc>
      </w:tr>
      <w:tr w:rsidR="00B1546F" w:rsidRPr="00F63D4B" w14:paraId="7F15E807" w14:textId="77777777" w:rsidTr="00FE324E">
        <w:tc>
          <w:tcPr>
            <w:tcW w:w="2951" w:type="dxa"/>
          </w:tcPr>
          <w:p w14:paraId="409DA7AA" w14:textId="77777777" w:rsidR="00B1546F" w:rsidRPr="003B479E" w:rsidRDefault="00B1546F" w:rsidP="003B479E">
            <w:pPr>
              <w:spacing w:after="0" w:line="240" w:lineRule="auto"/>
              <w:jc w:val="left"/>
              <w:rPr>
                <w:rFonts w:ascii="Futura Std Condensed Light" w:eastAsia="Calibri" w:hAnsi="Futura Std Condensed Light" w:cs="Calibri"/>
                <w:szCs w:val="18"/>
              </w:rPr>
            </w:pPr>
            <w:r w:rsidRPr="003B479E">
              <w:rPr>
                <w:rFonts w:ascii="Futura Std Condensed Light" w:eastAsia="Calibri" w:hAnsi="Futura Std Condensed Light" w:cs="Calibri"/>
                <w:szCs w:val="18"/>
              </w:rPr>
              <w:t>Colegio de Bachilleres del Estado de Quintana Roo (COBAQROO)</w:t>
            </w:r>
          </w:p>
        </w:tc>
        <w:tc>
          <w:tcPr>
            <w:tcW w:w="2006" w:type="dxa"/>
          </w:tcPr>
          <w:p w14:paraId="7B35F65A" w14:textId="77777777" w:rsidR="00B1546F" w:rsidRPr="003B479E" w:rsidRDefault="00B1546F" w:rsidP="005162E7">
            <w:pPr>
              <w:spacing w:after="0" w:line="240" w:lineRule="auto"/>
              <w:jc w:val="center"/>
              <w:rPr>
                <w:rFonts w:ascii="Futura Std Condensed Light" w:eastAsia="Calibri" w:hAnsi="Futura Std Condensed Light" w:cs="Calibri"/>
                <w:szCs w:val="18"/>
              </w:rPr>
            </w:pPr>
            <w:r w:rsidRPr="003B479E">
              <w:rPr>
                <w:rFonts w:ascii="Futura Std Condensed Light" w:eastAsia="Calibri" w:hAnsi="Futura Std Condensed Light" w:cs="Calibri"/>
                <w:szCs w:val="18"/>
              </w:rPr>
              <w:t>Estatal</w:t>
            </w:r>
          </w:p>
        </w:tc>
        <w:tc>
          <w:tcPr>
            <w:tcW w:w="3871" w:type="dxa"/>
          </w:tcPr>
          <w:p w14:paraId="6038D37A" w14:textId="77777777" w:rsidR="00B1546F" w:rsidRPr="003B479E" w:rsidRDefault="00B1546F" w:rsidP="003B479E">
            <w:pPr>
              <w:spacing w:after="0" w:line="240" w:lineRule="auto"/>
              <w:rPr>
                <w:rFonts w:ascii="Futura Std Condensed Light" w:eastAsia="Calibri" w:hAnsi="Futura Std Condensed Light" w:cs="Calibri"/>
                <w:szCs w:val="18"/>
              </w:rPr>
            </w:pPr>
            <w:r w:rsidRPr="003B479E">
              <w:rPr>
                <w:rFonts w:ascii="Futura Std Condensed Light" w:eastAsia="Calibri" w:hAnsi="Futura Std Condensed Light" w:cs="Calibri"/>
                <w:szCs w:val="18"/>
              </w:rPr>
              <w:t xml:space="preserve">Organismo descentralizado encargado de impartir educación media superior. </w:t>
            </w:r>
          </w:p>
        </w:tc>
      </w:tr>
      <w:tr w:rsidR="00B1546F" w:rsidRPr="00F63D4B" w14:paraId="324B99D2" w14:textId="77777777" w:rsidTr="00FE324E">
        <w:tc>
          <w:tcPr>
            <w:tcW w:w="2951" w:type="dxa"/>
          </w:tcPr>
          <w:p w14:paraId="0673464A" w14:textId="77777777" w:rsidR="00B1546F" w:rsidRPr="003B479E" w:rsidRDefault="00B1546F" w:rsidP="003B479E">
            <w:pPr>
              <w:spacing w:after="0" w:line="240" w:lineRule="auto"/>
              <w:jc w:val="left"/>
              <w:rPr>
                <w:rFonts w:ascii="Futura Std Condensed Light" w:eastAsia="Calibri" w:hAnsi="Futura Std Condensed Light" w:cs="Calibri"/>
                <w:szCs w:val="18"/>
              </w:rPr>
            </w:pPr>
            <w:r w:rsidRPr="003B479E">
              <w:rPr>
                <w:rFonts w:ascii="Futura Std Condensed Light" w:eastAsia="Calibri" w:hAnsi="Futura Std Condensed Light" w:cs="Calibri"/>
                <w:szCs w:val="18"/>
              </w:rPr>
              <w:t>Centro de Estudios de Bachillerato Técnico “Eva Sámano de López Mateos”</w:t>
            </w:r>
          </w:p>
          <w:p w14:paraId="0F5C2E2C" w14:textId="77777777" w:rsidR="00B1546F" w:rsidRPr="003B479E" w:rsidRDefault="00B1546F" w:rsidP="003B479E">
            <w:pPr>
              <w:spacing w:after="0" w:line="240" w:lineRule="auto"/>
              <w:jc w:val="left"/>
              <w:rPr>
                <w:rFonts w:ascii="Futura Std Condensed Light" w:eastAsia="Calibri" w:hAnsi="Futura Std Condensed Light" w:cs="Calibri"/>
                <w:szCs w:val="18"/>
              </w:rPr>
            </w:pPr>
          </w:p>
        </w:tc>
        <w:tc>
          <w:tcPr>
            <w:tcW w:w="2006" w:type="dxa"/>
          </w:tcPr>
          <w:p w14:paraId="5E6404AE" w14:textId="77777777" w:rsidR="00B1546F" w:rsidRPr="003B479E" w:rsidRDefault="00B1546F" w:rsidP="005162E7">
            <w:pPr>
              <w:spacing w:after="0" w:line="240" w:lineRule="auto"/>
              <w:jc w:val="center"/>
              <w:rPr>
                <w:rFonts w:ascii="Futura Std Condensed Light" w:eastAsia="Calibri" w:hAnsi="Futura Std Condensed Light" w:cs="Calibri"/>
                <w:szCs w:val="18"/>
              </w:rPr>
            </w:pPr>
            <w:r w:rsidRPr="003B479E">
              <w:rPr>
                <w:rFonts w:ascii="Futura Std Condensed Light" w:eastAsia="Calibri" w:hAnsi="Futura Std Condensed Light" w:cs="Calibri"/>
                <w:szCs w:val="18"/>
              </w:rPr>
              <w:t>Estatal</w:t>
            </w:r>
          </w:p>
        </w:tc>
        <w:tc>
          <w:tcPr>
            <w:tcW w:w="3871" w:type="dxa"/>
          </w:tcPr>
          <w:p w14:paraId="3E1477FA" w14:textId="77777777" w:rsidR="00B1546F" w:rsidRPr="003B479E" w:rsidRDefault="00B1546F" w:rsidP="003B479E">
            <w:pPr>
              <w:spacing w:after="0" w:line="240" w:lineRule="auto"/>
              <w:rPr>
                <w:rFonts w:ascii="Futura Std Condensed Light" w:eastAsia="Calibri" w:hAnsi="Futura Std Condensed Light" w:cs="Calibri"/>
                <w:szCs w:val="18"/>
              </w:rPr>
            </w:pPr>
            <w:r w:rsidRPr="003B479E">
              <w:rPr>
                <w:rFonts w:ascii="Futura Std Condensed Light" w:eastAsia="Calibri" w:hAnsi="Futura Std Condensed Light" w:cs="Calibri"/>
                <w:szCs w:val="18"/>
              </w:rPr>
              <w:t>Organismo descentralizado encargado de impartir educación media superior</w:t>
            </w:r>
          </w:p>
        </w:tc>
      </w:tr>
      <w:tr w:rsidR="00B1546F" w:rsidRPr="00F63D4B" w14:paraId="3139D8C8" w14:textId="77777777" w:rsidTr="00FE324E">
        <w:tc>
          <w:tcPr>
            <w:tcW w:w="2951" w:type="dxa"/>
          </w:tcPr>
          <w:p w14:paraId="1958EBA0" w14:textId="77777777" w:rsidR="00B1546F" w:rsidRPr="003B479E" w:rsidRDefault="00B1546F" w:rsidP="003B479E">
            <w:pPr>
              <w:spacing w:after="0" w:line="240" w:lineRule="auto"/>
              <w:jc w:val="left"/>
              <w:rPr>
                <w:rFonts w:ascii="Futura Std Condensed Light" w:eastAsia="Calibri" w:hAnsi="Futura Std Condensed Light" w:cs="Calibri"/>
                <w:szCs w:val="18"/>
              </w:rPr>
            </w:pPr>
            <w:r w:rsidRPr="003B479E">
              <w:rPr>
                <w:rFonts w:ascii="Futura Std Condensed Light" w:eastAsia="Calibri" w:hAnsi="Futura Std Condensed Light" w:cs="Calibri"/>
                <w:szCs w:val="18"/>
              </w:rPr>
              <w:t>Colegio de Estudios Científicos y Tecnológicos de Quintana Roo (CECYTE)</w:t>
            </w:r>
          </w:p>
          <w:p w14:paraId="035426E8" w14:textId="77777777" w:rsidR="00B1546F" w:rsidRPr="003B479E" w:rsidRDefault="00B1546F" w:rsidP="003B479E">
            <w:pPr>
              <w:spacing w:after="0" w:line="240" w:lineRule="auto"/>
              <w:jc w:val="left"/>
              <w:rPr>
                <w:rFonts w:ascii="Futura Std Condensed Light" w:eastAsia="Calibri" w:hAnsi="Futura Std Condensed Light" w:cs="Calibri"/>
                <w:szCs w:val="18"/>
              </w:rPr>
            </w:pPr>
          </w:p>
        </w:tc>
        <w:tc>
          <w:tcPr>
            <w:tcW w:w="2006" w:type="dxa"/>
          </w:tcPr>
          <w:p w14:paraId="4E653439" w14:textId="77777777" w:rsidR="00B1546F" w:rsidRPr="003B479E" w:rsidRDefault="00B1546F" w:rsidP="005162E7">
            <w:pPr>
              <w:spacing w:after="0" w:line="240" w:lineRule="auto"/>
              <w:jc w:val="center"/>
              <w:rPr>
                <w:rFonts w:ascii="Futura Std Condensed Light" w:eastAsia="Calibri" w:hAnsi="Futura Std Condensed Light" w:cs="Calibri"/>
                <w:szCs w:val="18"/>
              </w:rPr>
            </w:pPr>
            <w:r w:rsidRPr="003B479E">
              <w:rPr>
                <w:rFonts w:ascii="Futura Std Condensed Light" w:eastAsia="Calibri" w:hAnsi="Futura Std Condensed Light" w:cs="Calibri"/>
                <w:szCs w:val="18"/>
              </w:rPr>
              <w:t>Estatal</w:t>
            </w:r>
          </w:p>
        </w:tc>
        <w:tc>
          <w:tcPr>
            <w:tcW w:w="3871" w:type="dxa"/>
          </w:tcPr>
          <w:p w14:paraId="1B91536A" w14:textId="77777777" w:rsidR="00B1546F" w:rsidRPr="003B479E" w:rsidRDefault="00B1546F" w:rsidP="003B479E">
            <w:pPr>
              <w:spacing w:after="0" w:line="240" w:lineRule="auto"/>
              <w:rPr>
                <w:rFonts w:ascii="Futura Std Condensed Light" w:eastAsia="Calibri" w:hAnsi="Futura Std Condensed Light" w:cs="Calibri"/>
                <w:szCs w:val="18"/>
              </w:rPr>
            </w:pPr>
            <w:r w:rsidRPr="003B479E">
              <w:rPr>
                <w:rFonts w:ascii="Futura Std Condensed Light" w:eastAsia="Calibri" w:hAnsi="Futura Std Condensed Light" w:cs="Calibri"/>
                <w:szCs w:val="18"/>
              </w:rPr>
              <w:t>Organismo descentralizado encargado de impartir educación media superior</w:t>
            </w:r>
          </w:p>
        </w:tc>
      </w:tr>
      <w:tr w:rsidR="00B1546F" w:rsidRPr="00F63D4B" w14:paraId="3213F098" w14:textId="77777777" w:rsidTr="00FE324E">
        <w:tc>
          <w:tcPr>
            <w:tcW w:w="2951" w:type="dxa"/>
          </w:tcPr>
          <w:p w14:paraId="133E513E" w14:textId="77777777" w:rsidR="00B1546F" w:rsidRPr="003B479E" w:rsidRDefault="00B1546F" w:rsidP="003B479E">
            <w:pPr>
              <w:spacing w:after="0" w:line="240" w:lineRule="auto"/>
              <w:jc w:val="left"/>
              <w:rPr>
                <w:rFonts w:ascii="Futura Std Condensed Light" w:eastAsia="Calibri" w:hAnsi="Futura Std Condensed Light" w:cs="Calibri"/>
                <w:szCs w:val="20"/>
              </w:rPr>
            </w:pPr>
            <w:r w:rsidRPr="003B479E">
              <w:rPr>
                <w:rFonts w:ascii="Futura Std Condensed Light" w:eastAsia="Calibri" w:hAnsi="Futura Std Condensed Light" w:cs="Calibri"/>
                <w:szCs w:val="20"/>
              </w:rPr>
              <w:t>Colegio de Educación Profesional y Técnica del Estado de Quintana Roo (CONALEP)</w:t>
            </w:r>
          </w:p>
          <w:p w14:paraId="58BF702B" w14:textId="77777777" w:rsidR="00B1546F" w:rsidRPr="003B479E" w:rsidRDefault="00B1546F" w:rsidP="003B479E">
            <w:pPr>
              <w:spacing w:after="0" w:line="240" w:lineRule="auto"/>
              <w:jc w:val="left"/>
              <w:rPr>
                <w:rFonts w:ascii="Futura Std Condensed Light" w:eastAsia="Calibri" w:hAnsi="Futura Std Condensed Light" w:cs="Calibri"/>
                <w:szCs w:val="20"/>
              </w:rPr>
            </w:pPr>
          </w:p>
        </w:tc>
        <w:tc>
          <w:tcPr>
            <w:tcW w:w="2006" w:type="dxa"/>
          </w:tcPr>
          <w:p w14:paraId="433F07C0" w14:textId="77777777" w:rsidR="00B1546F" w:rsidRPr="003B479E" w:rsidRDefault="00B1546F" w:rsidP="005162E7">
            <w:pPr>
              <w:spacing w:after="0" w:line="240" w:lineRule="auto"/>
              <w:jc w:val="center"/>
              <w:rPr>
                <w:rFonts w:ascii="Futura Std Condensed Light" w:eastAsia="Calibri" w:hAnsi="Futura Std Condensed Light" w:cs="Calibri"/>
                <w:szCs w:val="20"/>
              </w:rPr>
            </w:pPr>
            <w:r w:rsidRPr="003B479E">
              <w:rPr>
                <w:rFonts w:ascii="Futura Std Condensed Light" w:eastAsia="Calibri" w:hAnsi="Futura Std Condensed Light" w:cs="Calibri"/>
                <w:szCs w:val="20"/>
              </w:rPr>
              <w:t>Estatal</w:t>
            </w:r>
          </w:p>
        </w:tc>
        <w:tc>
          <w:tcPr>
            <w:tcW w:w="3871" w:type="dxa"/>
          </w:tcPr>
          <w:p w14:paraId="64191A54" w14:textId="77777777" w:rsidR="00B1546F" w:rsidRPr="003B479E" w:rsidRDefault="00B1546F" w:rsidP="003B479E">
            <w:pPr>
              <w:spacing w:after="0" w:line="240" w:lineRule="auto"/>
              <w:rPr>
                <w:rFonts w:ascii="Futura Std Condensed Light" w:eastAsia="Calibri" w:hAnsi="Futura Std Condensed Light" w:cs="Calibri"/>
                <w:szCs w:val="20"/>
              </w:rPr>
            </w:pPr>
            <w:r w:rsidRPr="003B479E">
              <w:rPr>
                <w:rFonts w:ascii="Futura Std Condensed Light" w:eastAsia="Calibri" w:hAnsi="Futura Std Condensed Light" w:cs="Calibri"/>
                <w:szCs w:val="20"/>
              </w:rPr>
              <w:t>Organismo descentralizado encargado de impartir educación media superior</w:t>
            </w:r>
          </w:p>
        </w:tc>
      </w:tr>
      <w:tr w:rsidR="00B1546F" w:rsidRPr="00F63D4B" w14:paraId="04BEFF7A" w14:textId="77777777" w:rsidTr="00FE324E">
        <w:tc>
          <w:tcPr>
            <w:tcW w:w="2951" w:type="dxa"/>
          </w:tcPr>
          <w:p w14:paraId="4201B629" w14:textId="77777777" w:rsidR="00B1546F" w:rsidRPr="003B479E" w:rsidRDefault="00B1546F" w:rsidP="003B479E">
            <w:pPr>
              <w:spacing w:after="0" w:line="240" w:lineRule="auto"/>
              <w:jc w:val="left"/>
              <w:rPr>
                <w:rFonts w:ascii="Futura Std Condensed Light" w:eastAsia="Calibri" w:hAnsi="Futura Std Condensed Light" w:cs="Calibri"/>
                <w:szCs w:val="20"/>
              </w:rPr>
            </w:pPr>
            <w:r w:rsidRPr="003B479E">
              <w:rPr>
                <w:rFonts w:ascii="Futura Std Condensed Light" w:eastAsia="Calibri" w:hAnsi="Futura Std Condensed Light" w:cs="Calibri"/>
                <w:szCs w:val="20"/>
              </w:rPr>
              <w:t>Instituto Tecnológico Superior de Felipe Carrillo Puerto</w:t>
            </w:r>
          </w:p>
          <w:p w14:paraId="56B60C8C" w14:textId="77777777" w:rsidR="00B1546F" w:rsidRPr="003B479E" w:rsidRDefault="00B1546F" w:rsidP="003B479E">
            <w:pPr>
              <w:spacing w:after="0" w:line="240" w:lineRule="auto"/>
              <w:jc w:val="left"/>
              <w:rPr>
                <w:rFonts w:ascii="Futura Std Condensed Light" w:eastAsia="Calibri" w:hAnsi="Futura Std Condensed Light" w:cs="Calibri"/>
                <w:szCs w:val="20"/>
              </w:rPr>
            </w:pPr>
          </w:p>
        </w:tc>
        <w:tc>
          <w:tcPr>
            <w:tcW w:w="2006" w:type="dxa"/>
          </w:tcPr>
          <w:p w14:paraId="210C45E8" w14:textId="77777777" w:rsidR="00B1546F" w:rsidRPr="003B479E" w:rsidRDefault="00B1546F" w:rsidP="005162E7">
            <w:pPr>
              <w:spacing w:after="0" w:line="240" w:lineRule="auto"/>
              <w:jc w:val="center"/>
              <w:rPr>
                <w:rFonts w:ascii="Futura Std Condensed Light" w:eastAsia="Calibri" w:hAnsi="Futura Std Condensed Light" w:cs="Calibri"/>
                <w:szCs w:val="20"/>
              </w:rPr>
            </w:pPr>
            <w:r w:rsidRPr="003B479E">
              <w:rPr>
                <w:rFonts w:ascii="Futura Std Condensed Light" w:eastAsia="Calibri" w:hAnsi="Futura Std Condensed Light" w:cs="Calibri"/>
                <w:szCs w:val="20"/>
              </w:rPr>
              <w:t>Estatal</w:t>
            </w:r>
          </w:p>
        </w:tc>
        <w:tc>
          <w:tcPr>
            <w:tcW w:w="3871" w:type="dxa"/>
          </w:tcPr>
          <w:p w14:paraId="6EE29019" w14:textId="77777777" w:rsidR="00B1546F" w:rsidRPr="003B479E" w:rsidRDefault="00B1546F" w:rsidP="003B479E">
            <w:pPr>
              <w:spacing w:after="0" w:line="240" w:lineRule="auto"/>
              <w:rPr>
                <w:rFonts w:ascii="Futura Std Condensed Light" w:eastAsia="Calibri" w:hAnsi="Futura Std Condensed Light" w:cs="Calibri"/>
                <w:szCs w:val="20"/>
              </w:rPr>
            </w:pPr>
            <w:r w:rsidRPr="003B479E">
              <w:rPr>
                <w:rFonts w:ascii="Futura Std Condensed Light" w:eastAsia="Calibri" w:hAnsi="Futura Std Condensed Light" w:cs="Calibri"/>
                <w:szCs w:val="20"/>
              </w:rPr>
              <w:t>Organismo descentralizado que imparte educación superior</w:t>
            </w:r>
          </w:p>
        </w:tc>
      </w:tr>
      <w:tr w:rsidR="00B1546F" w:rsidRPr="00F63D4B" w14:paraId="51CB9254" w14:textId="77777777" w:rsidTr="00FE324E">
        <w:tc>
          <w:tcPr>
            <w:tcW w:w="2951" w:type="dxa"/>
          </w:tcPr>
          <w:p w14:paraId="2E5BB07B" w14:textId="77777777" w:rsidR="00B1546F" w:rsidRPr="003B479E" w:rsidRDefault="00B1546F" w:rsidP="003B479E">
            <w:pPr>
              <w:spacing w:after="0" w:line="240" w:lineRule="auto"/>
              <w:jc w:val="left"/>
              <w:rPr>
                <w:rFonts w:ascii="Futura Std Condensed Light" w:eastAsia="Calibri" w:hAnsi="Futura Std Condensed Light" w:cs="Calibri"/>
                <w:szCs w:val="20"/>
              </w:rPr>
            </w:pPr>
            <w:r w:rsidRPr="003B479E">
              <w:rPr>
                <w:rFonts w:ascii="Futura Std Condensed Light" w:eastAsia="Calibri" w:hAnsi="Futura Std Condensed Light" w:cs="Calibri"/>
                <w:szCs w:val="20"/>
              </w:rPr>
              <w:t>Universidad Tecnológica de Cancún</w:t>
            </w:r>
          </w:p>
          <w:p w14:paraId="0E8E2B43" w14:textId="77777777" w:rsidR="00B1546F" w:rsidRPr="003B479E" w:rsidRDefault="00B1546F" w:rsidP="003B479E">
            <w:pPr>
              <w:spacing w:after="0" w:line="240" w:lineRule="auto"/>
              <w:jc w:val="left"/>
              <w:rPr>
                <w:rFonts w:ascii="Futura Std Condensed Light" w:eastAsia="Calibri" w:hAnsi="Futura Std Condensed Light" w:cs="Calibri"/>
                <w:szCs w:val="20"/>
              </w:rPr>
            </w:pPr>
          </w:p>
        </w:tc>
        <w:tc>
          <w:tcPr>
            <w:tcW w:w="2006" w:type="dxa"/>
          </w:tcPr>
          <w:p w14:paraId="7F1E753D" w14:textId="77777777" w:rsidR="00B1546F" w:rsidRPr="003B479E" w:rsidRDefault="00B1546F" w:rsidP="005162E7">
            <w:pPr>
              <w:spacing w:after="0" w:line="240" w:lineRule="auto"/>
              <w:jc w:val="center"/>
              <w:rPr>
                <w:rFonts w:ascii="Futura Std Condensed Light" w:eastAsia="Calibri" w:hAnsi="Futura Std Condensed Light" w:cs="Calibri"/>
                <w:szCs w:val="20"/>
              </w:rPr>
            </w:pPr>
            <w:r w:rsidRPr="003B479E">
              <w:rPr>
                <w:rFonts w:ascii="Futura Std Condensed Light" w:eastAsia="Calibri" w:hAnsi="Futura Std Condensed Light" w:cs="Calibri"/>
                <w:szCs w:val="20"/>
              </w:rPr>
              <w:t>Estatal</w:t>
            </w:r>
          </w:p>
        </w:tc>
        <w:tc>
          <w:tcPr>
            <w:tcW w:w="3871" w:type="dxa"/>
          </w:tcPr>
          <w:p w14:paraId="4E84A570" w14:textId="77777777" w:rsidR="00B1546F" w:rsidRPr="003B479E" w:rsidRDefault="00B1546F" w:rsidP="003B479E">
            <w:pPr>
              <w:spacing w:after="0" w:line="240" w:lineRule="auto"/>
              <w:rPr>
                <w:rFonts w:ascii="Futura Std Condensed Light" w:eastAsia="Calibri" w:hAnsi="Futura Std Condensed Light" w:cs="Calibri"/>
                <w:szCs w:val="20"/>
              </w:rPr>
            </w:pPr>
            <w:r w:rsidRPr="003B479E">
              <w:rPr>
                <w:rFonts w:ascii="Futura Std Condensed Light" w:eastAsia="Calibri" w:hAnsi="Futura Std Condensed Light" w:cs="Calibri"/>
                <w:szCs w:val="20"/>
              </w:rPr>
              <w:t>Organismo descentralizado que imparte educación superior</w:t>
            </w:r>
          </w:p>
        </w:tc>
      </w:tr>
      <w:tr w:rsidR="00B1546F" w:rsidRPr="00F63D4B" w14:paraId="1D887E7C" w14:textId="77777777" w:rsidTr="00FE324E">
        <w:tc>
          <w:tcPr>
            <w:tcW w:w="2951" w:type="dxa"/>
          </w:tcPr>
          <w:p w14:paraId="09B975CA" w14:textId="77777777" w:rsidR="00B1546F" w:rsidRPr="003B479E" w:rsidRDefault="00B1546F" w:rsidP="003B479E">
            <w:pPr>
              <w:spacing w:after="0" w:line="240" w:lineRule="auto"/>
              <w:jc w:val="left"/>
              <w:rPr>
                <w:rFonts w:ascii="Futura Std Condensed Light" w:eastAsia="Calibri" w:hAnsi="Futura Std Condensed Light" w:cs="Calibri"/>
                <w:szCs w:val="20"/>
              </w:rPr>
            </w:pPr>
            <w:r w:rsidRPr="003B479E">
              <w:rPr>
                <w:rFonts w:ascii="Futura Std Condensed Light" w:eastAsia="Calibri" w:hAnsi="Futura Std Condensed Light" w:cs="Calibri"/>
                <w:szCs w:val="20"/>
              </w:rPr>
              <w:t>Universidad Tecnológica de la Riviera Maya</w:t>
            </w:r>
          </w:p>
          <w:p w14:paraId="2AE86E9F" w14:textId="77777777" w:rsidR="00B1546F" w:rsidRPr="003B479E" w:rsidRDefault="00B1546F" w:rsidP="003B479E">
            <w:pPr>
              <w:spacing w:after="0" w:line="240" w:lineRule="auto"/>
              <w:jc w:val="left"/>
              <w:rPr>
                <w:rFonts w:ascii="Futura Std Condensed Light" w:eastAsia="Calibri" w:hAnsi="Futura Std Condensed Light" w:cs="Calibri"/>
                <w:szCs w:val="20"/>
              </w:rPr>
            </w:pPr>
          </w:p>
        </w:tc>
        <w:tc>
          <w:tcPr>
            <w:tcW w:w="2006" w:type="dxa"/>
          </w:tcPr>
          <w:p w14:paraId="31E891FE" w14:textId="77777777" w:rsidR="00B1546F" w:rsidRPr="003B479E" w:rsidRDefault="00B1546F" w:rsidP="005162E7">
            <w:pPr>
              <w:spacing w:after="0" w:line="240" w:lineRule="auto"/>
              <w:jc w:val="center"/>
              <w:rPr>
                <w:rFonts w:ascii="Futura Std Condensed Light" w:eastAsia="Calibri" w:hAnsi="Futura Std Condensed Light" w:cs="Calibri"/>
                <w:szCs w:val="20"/>
              </w:rPr>
            </w:pPr>
            <w:r w:rsidRPr="003B479E">
              <w:rPr>
                <w:rFonts w:ascii="Futura Std Condensed Light" w:eastAsia="Calibri" w:hAnsi="Futura Std Condensed Light" w:cs="Calibri"/>
                <w:szCs w:val="20"/>
              </w:rPr>
              <w:t>Estatal</w:t>
            </w:r>
          </w:p>
        </w:tc>
        <w:tc>
          <w:tcPr>
            <w:tcW w:w="3871" w:type="dxa"/>
          </w:tcPr>
          <w:p w14:paraId="42359B02" w14:textId="77777777" w:rsidR="00B1546F" w:rsidRPr="003B479E" w:rsidRDefault="00B1546F" w:rsidP="003B479E">
            <w:pPr>
              <w:spacing w:after="0" w:line="240" w:lineRule="auto"/>
              <w:rPr>
                <w:rFonts w:ascii="Futura Std Condensed Light" w:eastAsia="Calibri" w:hAnsi="Futura Std Condensed Light" w:cs="Calibri"/>
                <w:szCs w:val="20"/>
              </w:rPr>
            </w:pPr>
            <w:r w:rsidRPr="003B479E">
              <w:rPr>
                <w:rFonts w:ascii="Futura Std Condensed Light" w:eastAsia="Calibri" w:hAnsi="Futura Std Condensed Light" w:cs="Calibri"/>
                <w:szCs w:val="20"/>
              </w:rPr>
              <w:t>Organismo descentralizado que imparte educación superior</w:t>
            </w:r>
          </w:p>
        </w:tc>
      </w:tr>
      <w:tr w:rsidR="00B1546F" w:rsidRPr="00F63D4B" w14:paraId="4C1E621C" w14:textId="77777777" w:rsidTr="00FE324E">
        <w:tc>
          <w:tcPr>
            <w:tcW w:w="2951" w:type="dxa"/>
          </w:tcPr>
          <w:p w14:paraId="18691DF6" w14:textId="77777777" w:rsidR="00B1546F" w:rsidRPr="003B479E" w:rsidRDefault="00B1546F" w:rsidP="003B479E">
            <w:pPr>
              <w:spacing w:after="0" w:line="240" w:lineRule="auto"/>
              <w:jc w:val="left"/>
              <w:rPr>
                <w:rFonts w:ascii="Futura Std Condensed Light" w:eastAsia="Calibri" w:hAnsi="Futura Std Condensed Light" w:cs="Calibri"/>
                <w:szCs w:val="20"/>
              </w:rPr>
            </w:pPr>
            <w:r w:rsidRPr="003B479E">
              <w:rPr>
                <w:rFonts w:ascii="Futura Std Condensed Light" w:eastAsia="Calibri" w:hAnsi="Futura Std Condensed Light" w:cs="Calibri"/>
                <w:szCs w:val="20"/>
              </w:rPr>
              <w:t>Universidad de Quintana Roo</w:t>
            </w:r>
          </w:p>
          <w:p w14:paraId="13AF21B7" w14:textId="77777777" w:rsidR="00B1546F" w:rsidRPr="003B479E" w:rsidRDefault="00B1546F" w:rsidP="003B479E">
            <w:pPr>
              <w:spacing w:after="0" w:line="240" w:lineRule="auto"/>
              <w:jc w:val="left"/>
              <w:rPr>
                <w:rFonts w:ascii="Futura Std Condensed Light" w:eastAsia="Calibri" w:hAnsi="Futura Std Condensed Light" w:cs="Calibri"/>
                <w:szCs w:val="20"/>
              </w:rPr>
            </w:pPr>
          </w:p>
        </w:tc>
        <w:tc>
          <w:tcPr>
            <w:tcW w:w="2006" w:type="dxa"/>
          </w:tcPr>
          <w:p w14:paraId="40AD1790" w14:textId="77777777" w:rsidR="00B1546F" w:rsidRPr="003B479E" w:rsidRDefault="00B1546F" w:rsidP="005162E7">
            <w:pPr>
              <w:spacing w:after="0" w:line="240" w:lineRule="auto"/>
              <w:jc w:val="center"/>
              <w:rPr>
                <w:rFonts w:ascii="Futura Std Condensed Light" w:eastAsia="Calibri" w:hAnsi="Futura Std Condensed Light" w:cs="Calibri"/>
                <w:szCs w:val="20"/>
              </w:rPr>
            </w:pPr>
            <w:r w:rsidRPr="003B479E">
              <w:rPr>
                <w:rFonts w:ascii="Futura Std Condensed Light" w:eastAsia="Calibri" w:hAnsi="Futura Std Condensed Light" w:cs="Calibri"/>
                <w:szCs w:val="20"/>
              </w:rPr>
              <w:t xml:space="preserve">Estatal </w:t>
            </w:r>
          </w:p>
        </w:tc>
        <w:tc>
          <w:tcPr>
            <w:tcW w:w="3871" w:type="dxa"/>
          </w:tcPr>
          <w:p w14:paraId="4B6DBDFD" w14:textId="77777777" w:rsidR="00B1546F" w:rsidRPr="003B479E" w:rsidRDefault="00B1546F" w:rsidP="003B479E">
            <w:pPr>
              <w:spacing w:after="0" w:line="240" w:lineRule="auto"/>
              <w:rPr>
                <w:rFonts w:ascii="Futura Std Condensed Light" w:eastAsia="Calibri" w:hAnsi="Futura Std Condensed Light" w:cs="Calibri"/>
                <w:szCs w:val="20"/>
              </w:rPr>
            </w:pPr>
            <w:r w:rsidRPr="003B479E">
              <w:rPr>
                <w:rFonts w:ascii="Futura Std Condensed Light" w:eastAsia="Calibri" w:hAnsi="Futura Std Condensed Light" w:cs="Calibri"/>
                <w:szCs w:val="20"/>
              </w:rPr>
              <w:t>Organismo descentralizado que imparte educación superior</w:t>
            </w:r>
          </w:p>
        </w:tc>
      </w:tr>
      <w:tr w:rsidR="00B1546F" w:rsidRPr="00F63D4B" w14:paraId="2F2A860B" w14:textId="77777777" w:rsidTr="00FE324E">
        <w:tc>
          <w:tcPr>
            <w:tcW w:w="2951" w:type="dxa"/>
          </w:tcPr>
          <w:p w14:paraId="44A6A5C9" w14:textId="77777777" w:rsidR="00B1546F" w:rsidRPr="003B479E" w:rsidRDefault="00B1546F" w:rsidP="003B479E">
            <w:pPr>
              <w:spacing w:after="0" w:line="240" w:lineRule="auto"/>
              <w:jc w:val="left"/>
              <w:rPr>
                <w:rFonts w:ascii="Futura Std Condensed Light" w:eastAsia="Calibri" w:hAnsi="Futura Std Condensed Light" w:cs="Calibri"/>
                <w:szCs w:val="20"/>
              </w:rPr>
            </w:pPr>
            <w:r w:rsidRPr="003B479E">
              <w:rPr>
                <w:rFonts w:ascii="Futura Std Condensed Light" w:eastAsia="Calibri" w:hAnsi="Futura Std Condensed Light" w:cs="Calibri"/>
                <w:szCs w:val="20"/>
              </w:rPr>
              <w:t>Universidad del Caribe</w:t>
            </w:r>
          </w:p>
          <w:p w14:paraId="4832F326" w14:textId="77777777" w:rsidR="00B1546F" w:rsidRPr="003B479E" w:rsidRDefault="00B1546F" w:rsidP="003B479E">
            <w:pPr>
              <w:spacing w:after="0" w:line="240" w:lineRule="auto"/>
              <w:jc w:val="left"/>
              <w:rPr>
                <w:rFonts w:ascii="Futura Std Condensed Light" w:eastAsia="Calibri" w:hAnsi="Futura Std Condensed Light" w:cs="Calibri"/>
                <w:szCs w:val="20"/>
              </w:rPr>
            </w:pPr>
          </w:p>
        </w:tc>
        <w:tc>
          <w:tcPr>
            <w:tcW w:w="2006" w:type="dxa"/>
          </w:tcPr>
          <w:p w14:paraId="65A6DE8E" w14:textId="77777777" w:rsidR="00B1546F" w:rsidRPr="003B479E" w:rsidRDefault="00B1546F" w:rsidP="005162E7">
            <w:pPr>
              <w:spacing w:after="0" w:line="240" w:lineRule="auto"/>
              <w:jc w:val="center"/>
              <w:rPr>
                <w:rFonts w:ascii="Futura Std Condensed Light" w:eastAsia="Calibri" w:hAnsi="Futura Std Condensed Light" w:cs="Calibri"/>
                <w:szCs w:val="20"/>
              </w:rPr>
            </w:pPr>
            <w:r w:rsidRPr="003B479E">
              <w:rPr>
                <w:rFonts w:ascii="Futura Std Condensed Light" w:eastAsia="Calibri" w:hAnsi="Futura Std Condensed Light" w:cs="Calibri"/>
                <w:szCs w:val="20"/>
              </w:rPr>
              <w:t>Estatal</w:t>
            </w:r>
          </w:p>
        </w:tc>
        <w:tc>
          <w:tcPr>
            <w:tcW w:w="3871" w:type="dxa"/>
          </w:tcPr>
          <w:p w14:paraId="4DB4E10D" w14:textId="77777777" w:rsidR="00B1546F" w:rsidRPr="003B479E" w:rsidRDefault="00B1546F" w:rsidP="003B479E">
            <w:pPr>
              <w:spacing w:after="0" w:line="240" w:lineRule="auto"/>
              <w:rPr>
                <w:rFonts w:ascii="Futura Std Condensed Light" w:eastAsia="Calibri" w:hAnsi="Futura Std Condensed Light" w:cs="Calibri"/>
                <w:szCs w:val="20"/>
              </w:rPr>
            </w:pPr>
            <w:r w:rsidRPr="003B479E">
              <w:rPr>
                <w:rFonts w:ascii="Futura Std Condensed Light" w:eastAsia="Calibri" w:hAnsi="Futura Std Condensed Light" w:cs="Calibri"/>
                <w:szCs w:val="20"/>
              </w:rPr>
              <w:t>Organismo descentralizado que imparte educación superior</w:t>
            </w:r>
          </w:p>
        </w:tc>
      </w:tr>
      <w:tr w:rsidR="00B1546F" w:rsidRPr="00F63D4B" w14:paraId="09DFA697" w14:textId="77777777" w:rsidTr="00FE324E">
        <w:tc>
          <w:tcPr>
            <w:tcW w:w="2951" w:type="dxa"/>
          </w:tcPr>
          <w:p w14:paraId="0D651111" w14:textId="77777777" w:rsidR="00B1546F" w:rsidRPr="003B479E" w:rsidRDefault="00B1546F" w:rsidP="003B479E">
            <w:pPr>
              <w:spacing w:after="0" w:line="240" w:lineRule="auto"/>
              <w:jc w:val="left"/>
              <w:rPr>
                <w:rFonts w:ascii="Futura Std Condensed Light" w:eastAsia="Calibri" w:hAnsi="Futura Std Condensed Light" w:cs="Calibri"/>
                <w:szCs w:val="20"/>
              </w:rPr>
            </w:pPr>
            <w:r w:rsidRPr="003B479E">
              <w:rPr>
                <w:rFonts w:ascii="Futura Std Condensed Light" w:eastAsia="Calibri" w:hAnsi="Futura Std Condensed Light" w:cs="Calibri"/>
                <w:szCs w:val="20"/>
              </w:rPr>
              <w:lastRenderedPageBreak/>
              <w:t>Universidad Intercultural Maya de Quintana Roo</w:t>
            </w:r>
          </w:p>
          <w:p w14:paraId="794C6E12" w14:textId="77777777" w:rsidR="00B1546F" w:rsidRPr="003B479E" w:rsidRDefault="00B1546F" w:rsidP="003B479E">
            <w:pPr>
              <w:pStyle w:val="Prrafodelista"/>
              <w:spacing w:after="0" w:line="240" w:lineRule="auto"/>
              <w:jc w:val="left"/>
              <w:rPr>
                <w:rFonts w:ascii="Myriad Pro" w:hAnsi="Myriad Pro" w:cs="Tahoma"/>
                <w:szCs w:val="20"/>
              </w:rPr>
            </w:pPr>
          </w:p>
        </w:tc>
        <w:tc>
          <w:tcPr>
            <w:tcW w:w="2006" w:type="dxa"/>
          </w:tcPr>
          <w:p w14:paraId="0427B1E3" w14:textId="77777777" w:rsidR="00B1546F" w:rsidRPr="003B479E" w:rsidRDefault="00B1546F" w:rsidP="005162E7">
            <w:pPr>
              <w:spacing w:after="0" w:line="240" w:lineRule="auto"/>
              <w:jc w:val="center"/>
              <w:rPr>
                <w:rFonts w:ascii="Futura Std Condensed Light" w:eastAsia="Calibri" w:hAnsi="Futura Std Condensed Light" w:cs="Calibri"/>
                <w:szCs w:val="20"/>
              </w:rPr>
            </w:pPr>
            <w:r w:rsidRPr="003B479E">
              <w:rPr>
                <w:rFonts w:ascii="Futura Std Condensed Light" w:eastAsia="Calibri" w:hAnsi="Futura Std Condensed Light" w:cs="Calibri"/>
                <w:szCs w:val="20"/>
              </w:rPr>
              <w:t>Estatal</w:t>
            </w:r>
          </w:p>
        </w:tc>
        <w:tc>
          <w:tcPr>
            <w:tcW w:w="3871" w:type="dxa"/>
          </w:tcPr>
          <w:p w14:paraId="01E002FF" w14:textId="77777777" w:rsidR="00B1546F" w:rsidRPr="003B479E" w:rsidRDefault="00B1546F" w:rsidP="003B479E">
            <w:pPr>
              <w:spacing w:after="0" w:line="240" w:lineRule="auto"/>
              <w:rPr>
                <w:rFonts w:ascii="Futura Std Condensed Light" w:eastAsia="Calibri" w:hAnsi="Futura Std Condensed Light" w:cs="Calibri"/>
                <w:szCs w:val="20"/>
              </w:rPr>
            </w:pPr>
            <w:r w:rsidRPr="003B479E">
              <w:rPr>
                <w:rFonts w:ascii="Futura Std Condensed Light" w:eastAsia="Calibri" w:hAnsi="Futura Std Condensed Light" w:cs="Calibri"/>
                <w:szCs w:val="20"/>
              </w:rPr>
              <w:t>Organismo descentralizado que imparte educación superior</w:t>
            </w:r>
          </w:p>
        </w:tc>
      </w:tr>
      <w:tr w:rsidR="00B1546F" w:rsidRPr="00F63D4B" w14:paraId="76910C47" w14:textId="77777777" w:rsidTr="00FE324E">
        <w:tc>
          <w:tcPr>
            <w:tcW w:w="2951" w:type="dxa"/>
          </w:tcPr>
          <w:p w14:paraId="640699F1" w14:textId="77777777" w:rsidR="00B1546F" w:rsidRPr="003B479E" w:rsidRDefault="00B1546F" w:rsidP="003B479E">
            <w:pPr>
              <w:spacing w:after="0" w:line="240" w:lineRule="auto"/>
              <w:jc w:val="left"/>
              <w:rPr>
                <w:rFonts w:ascii="Futura Std Condensed Light" w:eastAsia="Calibri" w:hAnsi="Futura Std Condensed Light" w:cs="Calibri"/>
                <w:szCs w:val="20"/>
              </w:rPr>
            </w:pPr>
            <w:r w:rsidRPr="003B479E">
              <w:rPr>
                <w:rFonts w:ascii="Futura Std Condensed Light" w:eastAsia="Calibri" w:hAnsi="Futura Std Condensed Light" w:cs="Calibri"/>
                <w:szCs w:val="20"/>
              </w:rPr>
              <w:t>Universidad Tecnológica de Chetumal</w:t>
            </w:r>
          </w:p>
        </w:tc>
        <w:tc>
          <w:tcPr>
            <w:tcW w:w="2006" w:type="dxa"/>
          </w:tcPr>
          <w:p w14:paraId="6C4C8E07" w14:textId="77777777" w:rsidR="00B1546F" w:rsidRPr="003B479E" w:rsidRDefault="00B1546F" w:rsidP="005162E7">
            <w:pPr>
              <w:spacing w:after="0" w:line="240" w:lineRule="auto"/>
              <w:jc w:val="center"/>
              <w:rPr>
                <w:rFonts w:ascii="Futura Std Condensed Light" w:eastAsia="Calibri" w:hAnsi="Futura Std Condensed Light" w:cs="Calibri"/>
                <w:szCs w:val="20"/>
              </w:rPr>
            </w:pPr>
            <w:r w:rsidRPr="003B479E">
              <w:rPr>
                <w:rFonts w:ascii="Futura Std Condensed Light" w:eastAsia="Calibri" w:hAnsi="Futura Std Condensed Light" w:cs="Calibri"/>
                <w:szCs w:val="20"/>
              </w:rPr>
              <w:t>Estatal</w:t>
            </w:r>
          </w:p>
          <w:p w14:paraId="4FF18B24" w14:textId="77777777" w:rsidR="00B1546F" w:rsidRPr="003B479E" w:rsidRDefault="00B1546F" w:rsidP="005162E7">
            <w:pPr>
              <w:spacing w:after="0" w:line="240" w:lineRule="auto"/>
              <w:jc w:val="center"/>
              <w:rPr>
                <w:rFonts w:ascii="Futura Std Condensed Light" w:eastAsia="Calibri" w:hAnsi="Futura Std Condensed Light" w:cs="Calibri"/>
                <w:szCs w:val="20"/>
              </w:rPr>
            </w:pPr>
          </w:p>
        </w:tc>
        <w:tc>
          <w:tcPr>
            <w:tcW w:w="3871" w:type="dxa"/>
          </w:tcPr>
          <w:p w14:paraId="0073D3CD" w14:textId="77777777" w:rsidR="00B1546F" w:rsidRPr="003B479E" w:rsidRDefault="00B1546F" w:rsidP="003B479E">
            <w:pPr>
              <w:spacing w:after="0" w:line="240" w:lineRule="auto"/>
              <w:rPr>
                <w:rFonts w:ascii="Futura Std Condensed Light" w:eastAsia="Calibri" w:hAnsi="Futura Std Condensed Light" w:cs="Calibri"/>
                <w:szCs w:val="20"/>
              </w:rPr>
            </w:pPr>
            <w:r w:rsidRPr="003B479E">
              <w:rPr>
                <w:rFonts w:ascii="Futura Std Condensed Light" w:eastAsia="Calibri" w:hAnsi="Futura Std Condensed Light" w:cs="Calibri"/>
                <w:szCs w:val="20"/>
              </w:rPr>
              <w:t>Organismo descentralizado que imparte educación superior</w:t>
            </w:r>
          </w:p>
        </w:tc>
      </w:tr>
      <w:tr w:rsidR="00B1546F" w:rsidRPr="00F63D4B" w14:paraId="136640BA" w14:textId="77777777" w:rsidTr="00FE324E">
        <w:tc>
          <w:tcPr>
            <w:tcW w:w="2951" w:type="dxa"/>
          </w:tcPr>
          <w:p w14:paraId="3590F176" w14:textId="77777777" w:rsidR="00B1546F" w:rsidRPr="003B479E" w:rsidRDefault="00B1546F" w:rsidP="003B479E">
            <w:pPr>
              <w:spacing w:after="0" w:line="240" w:lineRule="auto"/>
              <w:jc w:val="left"/>
              <w:rPr>
                <w:rFonts w:ascii="Futura Std Condensed Light" w:eastAsia="Calibri" w:hAnsi="Futura Std Condensed Light" w:cs="Calibri"/>
                <w:szCs w:val="20"/>
              </w:rPr>
            </w:pPr>
            <w:r w:rsidRPr="003B479E">
              <w:rPr>
                <w:rFonts w:ascii="Futura Std Condensed Light" w:eastAsia="Calibri" w:hAnsi="Futura Std Condensed Light" w:cs="Calibri"/>
                <w:szCs w:val="20"/>
              </w:rPr>
              <w:t>Universidad Politécnica de Bacalar</w:t>
            </w:r>
          </w:p>
          <w:p w14:paraId="148C1004" w14:textId="77777777" w:rsidR="00B1546F" w:rsidRPr="003B479E" w:rsidRDefault="00B1546F" w:rsidP="003B479E">
            <w:pPr>
              <w:spacing w:after="0" w:line="240" w:lineRule="auto"/>
              <w:jc w:val="left"/>
              <w:rPr>
                <w:rFonts w:ascii="Futura Std Condensed Light" w:eastAsia="Calibri" w:hAnsi="Futura Std Condensed Light" w:cs="Calibri"/>
                <w:szCs w:val="20"/>
              </w:rPr>
            </w:pPr>
          </w:p>
        </w:tc>
        <w:tc>
          <w:tcPr>
            <w:tcW w:w="2006" w:type="dxa"/>
          </w:tcPr>
          <w:p w14:paraId="5C4F1C41" w14:textId="77777777" w:rsidR="00B1546F" w:rsidRPr="003B479E" w:rsidRDefault="00B1546F" w:rsidP="005162E7">
            <w:pPr>
              <w:spacing w:after="0" w:line="240" w:lineRule="auto"/>
              <w:jc w:val="center"/>
              <w:rPr>
                <w:rFonts w:ascii="Futura Std Condensed Light" w:eastAsia="Calibri" w:hAnsi="Futura Std Condensed Light" w:cs="Calibri"/>
                <w:szCs w:val="20"/>
              </w:rPr>
            </w:pPr>
            <w:r w:rsidRPr="003B479E">
              <w:rPr>
                <w:rFonts w:ascii="Futura Std Condensed Light" w:eastAsia="Calibri" w:hAnsi="Futura Std Condensed Light" w:cs="Calibri"/>
                <w:szCs w:val="20"/>
              </w:rPr>
              <w:t>Estatal</w:t>
            </w:r>
          </w:p>
        </w:tc>
        <w:tc>
          <w:tcPr>
            <w:tcW w:w="3871" w:type="dxa"/>
          </w:tcPr>
          <w:p w14:paraId="61FBC94C" w14:textId="77777777" w:rsidR="00B1546F" w:rsidRPr="003B479E" w:rsidRDefault="00B1546F" w:rsidP="003B479E">
            <w:pPr>
              <w:spacing w:after="0" w:line="240" w:lineRule="auto"/>
              <w:rPr>
                <w:rFonts w:ascii="Futura Std Condensed Light" w:eastAsia="Calibri" w:hAnsi="Futura Std Condensed Light" w:cs="Calibri"/>
                <w:szCs w:val="20"/>
              </w:rPr>
            </w:pPr>
            <w:r w:rsidRPr="003B479E">
              <w:rPr>
                <w:rFonts w:ascii="Futura Std Condensed Light" w:eastAsia="Calibri" w:hAnsi="Futura Std Condensed Light" w:cs="Calibri"/>
                <w:szCs w:val="20"/>
              </w:rPr>
              <w:t>Organismo descentralizado que imparte educación superior</w:t>
            </w:r>
          </w:p>
        </w:tc>
      </w:tr>
      <w:tr w:rsidR="002F4931" w:rsidRPr="00F63D4B" w14:paraId="43E1F4BB" w14:textId="77777777" w:rsidTr="00FE324E">
        <w:tc>
          <w:tcPr>
            <w:tcW w:w="2951" w:type="dxa"/>
          </w:tcPr>
          <w:p w14:paraId="1D8BB12A" w14:textId="651AEC57" w:rsidR="002F4931" w:rsidRPr="003B479E" w:rsidRDefault="002F4931" w:rsidP="003B479E">
            <w:pPr>
              <w:spacing w:after="0" w:line="240" w:lineRule="auto"/>
              <w:jc w:val="left"/>
              <w:rPr>
                <w:rFonts w:ascii="Futura Std Condensed Light" w:eastAsia="Calibri" w:hAnsi="Futura Std Condensed Light" w:cs="Calibri"/>
                <w:szCs w:val="20"/>
              </w:rPr>
            </w:pPr>
            <w:r>
              <w:rPr>
                <w:rFonts w:ascii="Futura Std Condensed Light" w:eastAsia="Calibri" w:hAnsi="Futura Std Condensed Light" w:cs="Calibri"/>
                <w:szCs w:val="20"/>
              </w:rPr>
              <w:t>Universidad Politécnica de Quintana Roo</w:t>
            </w:r>
          </w:p>
        </w:tc>
        <w:tc>
          <w:tcPr>
            <w:tcW w:w="2006" w:type="dxa"/>
          </w:tcPr>
          <w:p w14:paraId="13184824" w14:textId="28B790A9" w:rsidR="002F4931" w:rsidRPr="003B479E" w:rsidRDefault="002F4931" w:rsidP="005162E7">
            <w:pPr>
              <w:spacing w:after="0" w:line="240" w:lineRule="auto"/>
              <w:jc w:val="center"/>
              <w:rPr>
                <w:rFonts w:ascii="Futura Std Condensed Light" w:eastAsia="Calibri" w:hAnsi="Futura Std Condensed Light" w:cs="Calibri"/>
                <w:szCs w:val="20"/>
              </w:rPr>
            </w:pPr>
            <w:r>
              <w:rPr>
                <w:rFonts w:ascii="Futura Std Condensed Light" w:eastAsia="Calibri" w:hAnsi="Futura Std Condensed Light" w:cs="Calibri"/>
                <w:szCs w:val="20"/>
              </w:rPr>
              <w:t>Estatal</w:t>
            </w:r>
          </w:p>
        </w:tc>
        <w:tc>
          <w:tcPr>
            <w:tcW w:w="3871" w:type="dxa"/>
          </w:tcPr>
          <w:p w14:paraId="2594432E" w14:textId="4E4A407E" w:rsidR="002F4931" w:rsidRPr="003B479E" w:rsidRDefault="002F4931" w:rsidP="003B479E">
            <w:pPr>
              <w:spacing w:after="0" w:line="240" w:lineRule="auto"/>
              <w:rPr>
                <w:rFonts w:ascii="Futura Std Condensed Light" w:eastAsia="Calibri" w:hAnsi="Futura Std Condensed Light" w:cs="Calibri"/>
                <w:szCs w:val="20"/>
              </w:rPr>
            </w:pPr>
            <w:r w:rsidRPr="003B479E">
              <w:rPr>
                <w:rFonts w:ascii="Futura Std Condensed Light" w:eastAsia="Calibri" w:hAnsi="Futura Std Condensed Light" w:cs="Calibri"/>
                <w:szCs w:val="20"/>
              </w:rPr>
              <w:t>Organismo descentralizado que imparte educación superior</w:t>
            </w:r>
          </w:p>
        </w:tc>
      </w:tr>
      <w:tr w:rsidR="00B1546F" w:rsidRPr="00F63D4B" w14:paraId="52F97A2C" w14:textId="77777777" w:rsidTr="00FE324E">
        <w:tc>
          <w:tcPr>
            <w:tcW w:w="2951" w:type="dxa"/>
          </w:tcPr>
          <w:p w14:paraId="54CDEA6C" w14:textId="77777777" w:rsidR="00B1546F" w:rsidRPr="003B479E" w:rsidRDefault="00B1546F" w:rsidP="003B479E">
            <w:pPr>
              <w:spacing w:after="0" w:line="240" w:lineRule="auto"/>
              <w:jc w:val="left"/>
              <w:rPr>
                <w:rFonts w:ascii="Futura Std Condensed Light" w:eastAsia="Calibri" w:hAnsi="Futura Std Condensed Light" w:cs="Calibri"/>
                <w:szCs w:val="20"/>
              </w:rPr>
            </w:pPr>
            <w:r w:rsidRPr="003B479E">
              <w:rPr>
                <w:rFonts w:ascii="Futura Std Condensed Light" w:eastAsia="Calibri" w:hAnsi="Futura Std Condensed Light" w:cs="Calibri"/>
                <w:szCs w:val="20"/>
              </w:rPr>
              <w:t xml:space="preserve">Asociación de Escuelas particulares en el Estado de Quintana Roo. </w:t>
            </w:r>
          </w:p>
        </w:tc>
        <w:tc>
          <w:tcPr>
            <w:tcW w:w="2006" w:type="dxa"/>
          </w:tcPr>
          <w:p w14:paraId="7AA71CAE" w14:textId="77777777" w:rsidR="00B1546F" w:rsidRPr="003B479E" w:rsidRDefault="00B1546F" w:rsidP="005162E7">
            <w:pPr>
              <w:spacing w:after="0" w:line="240" w:lineRule="auto"/>
              <w:jc w:val="center"/>
              <w:rPr>
                <w:rFonts w:ascii="Futura Std Condensed Light" w:eastAsia="Calibri" w:hAnsi="Futura Std Condensed Light" w:cs="Calibri"/>
                <w:szCs w:val="20"/>
              </w:rPr>
            </w:pPr>
            <w:r w:rsidRPr="003B479E">
              <w:rPr>
                <w:rFonts w:ascii="Futura Std Condensed Light" w:eastAsia="Calibri" w:hAnsi="Futura Std Condensed Light" w:cs="Calibri"/>
                <w:szCs w:val="20"/>
              </w:rPr>
              <w:t>Privado</w:t>
            </w:r>
          </w:p>
        </w:tc>
        <w:tc>
          <w:tcPr>
            <w:tcW w:w="3871" w:type="dxa"/>
          </w:tcPr>
          <w:p w14:paraId="78042B2E" w14:textId="77777777" w:rsidR="00B1546F" w:rsidRPr="003B479E" w:rsidRDefault="00B1546F" w:rsidP="003B479E">
            <w:pPr>
              <w:spacing w:after="0" w:line="240" w:lineRule="auto"/>
              <w:rPr>
                <w:rFonts w:ascii="Futura Std Condensed Light" w:eastAsia="Calibri" w:hAnsi="Futura Std Condensed Light" w:cs="Calibri"/>
                <w:szCs w:val="20"/>
              </w:rPr>
            </w:pPr>
            <w:r w:rsidRPr="003B479E">
              <w:rPr>
                <w:rFonts w:ascii="Futura Std Condensed Light" w:eastAsia="Calibri" w:hAnsi="Futura Std Condensed Light" w:cs="Calibri"/>
                <w:szCs w:val="20"/>
              </w:rPr>
              <w:t xml:space="preserve">Asociación civil que representa a las escuelas particulares en el Estado. </w:t>
            </w:r>
          </w:p>
        </w:tc>
      </w:tr>
      <w:tr w:rsidR="00B1546F" w:rsidRPr="00F63D4B" w14:paraId="49FB18F8" w14:textId="77777777" w:rsidTr="00FE324E">
        <w:tc>
          <w:tcPr>
            <w:tcW w:w="2951" w:type="dxa"/>
          </w:tcPr>
          <w:p w14:paraId="47D0CA91" w14:textId="77777777" w:rsidR="00B1546F" w:rsidRPr="003B479E" w:rsidRDefault="00B1546F" w:rsidP="003B479E">
            <w:pPr>
              <w:spacing w:after="0" w:line="240" w:lineRule="auto"/>
              <w:jc w:val="left"/>
              <w:rPr>
                <w:rFonts w:ascii="Futura Std Condensed Light" w:eastAsia="Calibri" w:hAnsi="Futura Std Condensed Light" w:cs="Calibri"/>
                <w:szCs w:val="20"/>
              </w:rPr>
            </w:pPr>
            <w:r w:rsidRPr="003B479E">
              <w:rPr>
                <w:rFonts w:ascii="Futura Std Condensed Light" w:eastAsia="Calibri" w:hAnsi="Futura Std Condensed Light" w:cs="Calibri" w:hint="eastAsia"/>
                <w:szCs w:val="20"/>
              </w:rPr>
              <w:t>Comisión para la Juventud y el Deporte de Quintana Roo (COJUDEQ)</w:t>
            </w:r>
          </w:p>
        </w:tc>
        <w:tc>
          <w:tcPr>
            <w:tcW w:w="2006" w:type="dxa"/>
          </w:tcPr>
          <w:p w14:paraId="2FF7FBB0" w14:textId="77777777" w:rsidR="00B1546F" w:rsidRPr="003B479E" w:rsidRDefault="00B1546F" w:rsidP="005162E7">
            <w:pPr>
              <w:spacing w:after="0" w:line="240" w:lineRule="auto"/>
              <w:jc w:val="center"/>
              <w:rPr>
                <w:rFonts w:ascii="Futura Std Condensed Light" w:eastAsia="Calibri" w:hAnsi="Futura Std Condensed Light" w:cs="Calibri"/>
                <w:szCs w:val="20"/>
              </w:rPr>
            </w:pPr>
            <w:r w:rsidRPr="003B479E">
              <w:rPr>
                <w:rFonts w:ascii="Futura Std Condensed Light" w:eastAsia="Calibri" w:hAnsi="Futura Std Condensed Light" w:cs="Calibri"/>
                <w:szCs w:val="20"/>
              </w:rPr>
              <w:t>Estatal</w:t>
            </w:r>
          </w:p>
        </w:tc>
        <w:tc>
          <w:tcPr>
            <w:tcW w:w="3871" w:type="dxa"/>
          </w:tcPr>
          <w:p w14:paraId="577F4EB3" w14:textId="77777777" w:rsidR="00B1546F" w:rsidRPr="003B479E" w:rsidRDefault="00B1546F" w:rsidP="003B479E">
            <w:pPr>
              <w:spacing w:after="0" w:line="240" w:lineRule="auto"/>
              <w:rPr>
                <w:rFonts w:ascii="Futura Std Condensed Light" w:eastAsia="Calibri" w:hAnsi="Futura Std Condensed Light" w:cs="Calibri"/>
                <w:szCs w:val="20"/>
              </w:rPr>
            </w:pPr>
            <w:r w:rsidRPr="003B479E">
              <w:rPr>
                <w:rFonts w:ascii="Futura Std Condensed Light" w:eastAsia="Calibri" w:hAnsi="Futura Std Condensed Light" w:cs="Calibri"/>
                <w:szCs w:val="20"/>
              </w:rPr>
              <w:t>O</w:t>
            </w:r>
            <w:r w:rsidRPr="003B479E">
              <w:rPr>
                <w:rFonts w:ascii="Futura Std Condensed Light" w:eastAsia="Calibri" w:hAnsi="Futura Std Condensed Light" w:cs="Calibri" w:hint="eastAsia"/>
                <w:szCs w:val="20"/>
              </w:rPr>
              <w:t>rganismo encargado de prestar atención y servicio integrales a la juventud y el d</w:t>
            </w:r>
            <w:r w:rsidRPr="003B479E">
              <w:rPr>
                <w:rFonts w:ascii="Futura Std Condensed Light" w:eastAsia="Calibri" w:hAnsi="Futura Std Condensed Light" w:cs="Calibri"/>
                <w:szCs w:val="20"/>
              </w:rPr>
              <w:t>e</w:t>
            </w:r>
            <w:r w:rsidRPr="003B479E">
              <w:rPr>
                <w:rFonts w:ascii="Futura Std Condensed Light" w:eastAsia="Calibri" w:hAnsi="Futura Std Condensed Light" w:cs="Calibri" w:hint="eastAsia"/>
                <w:szCs w:val="20"/>
              </w:rPr>
              <w:t>porte en el Estado</w:t>
            </w:r>
          </w:p>
        </w:tc>
      </w:tr>
      <w:tr w:rsidR="00B1546F" w:rsidRPr="00F63D4B" w14:paraId="428125CB" w14:textId="77777777" w:rsidTr="00FE324E">
        <w:tc>
          <w:tcPr>
            <w:tcW w:w="2951" w:type="dxa"/>
          </w:tcPr>
          <w:p w14:paraId="40F9CA2B" w14:textId="77777777" w:rsidR="00B1546F" w:rsidRPr="003B479E" w:rsidRDefault="00B1546F" w:rsidP="003B479E">
            <w:pPr>
              <w:spacing w:after="0" w:line="240" w:lineRule="auto"/>
              <w:jc w:val="left"/>
              <w:rPr>
                <w:rFonts w:ascii="Futura Std Condensed Light" w:eastAsia="Calibri" w:hAnsi="Futura Std Condensed Light" w:cs="Calibri"/>
                <w:szCs w:val="20"/>
              </w:rPr>
            </w:pPr>
            <w:r w:rsidRPr="003B479E">
              <w:rPr>
                <w:rFonts w:ascii="Futura Std Condensed Light" w:eastAsia="Calibri" w:hAnsi="Futura Std Condensed Light" w:cs="Calibri"/>
                <w:szCs w:val="20"/>
              </w:rPr>
              <w:t>Desarrolladores De Fraccionamientos</w:t>
            </w:r>
          </w:p>
        </w:tc>
        <w:tc>
          <w:tcPr>
            <w:tcW w:w="2006" w:type="dxa"/>
          </w:tcPr>
          <w:p w14:paraId="49CDB8ED" w14:textId="77777777" w:rsidR="00B1546F" w:rsidRPr="003B479E" w:rsidRDefault="00B1546F" w:rsidP="005162E7">
            <w:pPr>
              <w:spacing w:after="0" w:line="240" w:lineRule="auto"/>
              <w:jc w:val="center"/>
              <w:rPr>
                <w:rFonts w:ascii="Futura Std Condensed Light" w:eastAsia="Calibri" w:hAnsi="Futura Std Condensed Light" w:cs="Calibri"/>
                <w:szCs w:val="20"/>
              </w:rPr>
            </w:pPr>
            <w:r w:rsidRPr="003B479E">
              <w:rPr>
                <w:rFonts w:ascii="Futura Std Condensed Light" w:eastAsia="Calibri" w:hAnsi="Futura Std Condensed Light" w:cs="Calibri"/>
                <w:szCs w:val="20"/>
              </w:rPr>
              <w:t>Privado</w:t>
            </w:r>
          </w:p>
        </w:tc>
        <w:tc>
          <w:tcPr>
            <w:tcW w:w="3871" w:type="dxa"/>
          </w:tcPr>
          <w:p w14:paraId="743C25C0" w14:textId="77777777" w:rsidR="00B1546F" w:rsidRPr="003B479E" w:rsidRDefault="00B1546F" w:rsidP="003B479E">
            <w:pPr>
              <w:spacing w:after="0" w:line="240" w:lineRule="auto"/>
              <w:rPr>
                <w:rFonts w:ascii="Futura Std Condensed Light" w:eastAsia="Calibri" w:hAnsi="Futura Std Condensed Light" w:cs="Calibri"/>
                <w:szCs w:val="20"/>
              </w:rPr>
            </w:pPr>
            <w:r w:rsidRPr="003B479E">
              <w:rPr>
                <w:rFonts w:ascii="Futura Std Condensed Light" w:eastAsia="Calibri" w:hAnsi="Futura Std Condensed Light" w:cs="Calibri"/>
                <w:szCs w:val="20"/>
              </w:rPr>
              <w:t>Organismo privado que contribuye en la donación de los terrenos en los que se realizara la infraestructura educativa o bien donan la obra, completa y equipada.</w:t>
            </w:r>
          </w:p>
        </w:tc>
      </w:tr>
      <w:tr w:rsidR="00B1546F" w:rsidRPr="00F63D4B" w14:paraId="3A2C108C" w14:textId="77777777" w:rsidTr="00FE324E">
        <w:tc>
          <w:tcPr>
            <w:tcW w:w="2951" w:type="dxa"/>
          </w:tcPr>
          <w:p w14:paraId="6F93BE13" w14:textId="77777777" w:rsidR="00B1546F" w:rsidRPr="003B479E" w:rsidRDefault="00B1546F" w:rsidP="003B479E">
            <w:pPr>
              <w:spacing w:after="0" w:line="240" w:lineRule="auto"/>
              <w:jc w:val="left"/>
              <w:rPr>
                <w:rFonts w:ascii="Futura Std Condensed Light" w:eastAsia="Calibri" w:hAnsi="Futura Std Condensed Light" w:cs="Calibri"/>
                <w:szCs w:val="20"/>
              </w:rPr>
            </w:pPr>
            <w:r w:rsidRPr="003B479E">
              <w:rPr>
                <w:rFonts w:ascii="Futura Std Condensed Light" w:eastAsia="Calibri" w:hAnsi="Futura Std Condensed Light" w:cs="Calibri"/>
                <w:szCs w:val="20"/>
              </w:rPr>
              <w:t>Comités de Contraloría Social</w:t>
            </w:r>
            <w:r w:rsidRPr="003B479E">
              <w:rPr>
                <w:rFonts w:ascii="Arial" w:eastAsia="Calibri" w:hAnsi="Arial" w:cs="Arial"/>
                <w:color w:val="565656"/>
                <w:szCs w:val="20"/>
              </w:rPr>
              <w:t xml:space="preserve">  </w:t>
            </w:r>
          </w:p>
        </w:tc>
        <w:tc>
          <w:tcPr>
            <w:tcW w:w="2006" w:type="dxa"/>
          </w:tcPr>
          <w:p w14:paraId="11EFDD3C" w14:textId="77777777" w:rsidR="00B1546F" w:rsidRPr="003B479E" w:rsidRDefault="00B1546F" w:rsidP="005162E7">
            <w:pPr>
              <w:spacing w:after="0" w:line="240" w:lineRule="auto"/>
              <w:jc w:val="center"/>
              <w:rPr>
                <w:rFonts w:ascii="Futura Std Condensed Light" w:eastAsia="Calibri" w:hAnsi="Futura Std Condensed Light" w:cs="Calibri"/>
                <w:szCs w:val="20"/>
              </w:rPr>
            </w:pPr>
            <w:r w:rsidRPr="003B479E">
              <w:rPr>
                <w:rFonts w:ascii="Futura Std Condensed Light" w:eastAsia="Calibri" w:hAnsi="Futura Std Condensed Light" w:cs="Calibri"/>
                <w:szCs w:val="20"/>
              </w:rPr>
              <w:t>Social</w:t>
            </w:r>
          </w:p>
        </w:tc>
        <w:tc>
          <w:tcPr>
            <w:tcW w:w="3871" w:type="dxa"/>
          </w:tcPr>
          <w:p w14:paraId="3A0703DD" w14:textId="77777777" w:rsidR="00B1546F" w:rsidRPr="003B479E" w:rsidRDefault="00B1546F" w:rsidP="003B479E">
            <w:pPr>
              <w:spacing w:after="0" w:line="240" w:lineRule="auto"/>
              <w:rPr>
                <w:rFonts w:ascii="Futura Std Condensed Light" w:eastAsia="Calibri" w:hAnsi="Futura Std Condensed Light" w:cs="Calibri"/>
                <w:szCs w:val="20"/>
              </w:rPr>
            </w:pPr>
            <w:r w:rsidRPr="003B479E">
              <w:rPr>
                <w:rFonts w:ascii="Futura Std Condensed Light" w:eastAsia="Calibri" w:hAnsi="Futura Std Condensed Light" w:cs="Calibri"/>
                <w:szCs w:val="20"/>
              </w:rPr>
              <w:t>Organismo social que le da seguimiento al cumplimiento de la inversión en la obra que se encuentre en ejecución</w:t>
            </w:r>
          </w:p>
        </w:tc>
      </w:tr>
      <w:tr w:rsidR="00B1546F" w:rsidRPr="00F63D4B" w14:paraId="4A5283D5" w14:textId="77777777" w:rsidTr="00FE324E">
        <w:tc>
          <w:tcPr>
            <w:tcW w:w="2951" w:type="dxa"/>
          </w:tcPr>
          <w:p w14:paraId="4783ADD7" w14:textId="77777777" w:rsidR="00B1546F" w:rsidRPr="003B479E" w:rsidRDefault="00B1546F" w:rsidP="003B479E">
            <w:pPr>
              <w:spacing w:after="0" w:line="240" w:lineRule="auto"/>
              <w:jc w:val="left"/>
              <w:rPr>
                <w:rFonts w:ascii="Futura Std Condensed Light" w:eastAsia="Calibri" w:hAnsi="Futura Std Condensed Light" w:cs="Calibri"/>
                <w:szCs w:val="20"/>
              </w:rPr>
            </w:pPr>
            <w:r w:rsidRPr="003B479E">
              <w:rPr>
                <w:rFonts w:ascii="Futura Std Condensed Light" w:eastAsia="Calibri" w:hAnsi="Futura Std Condensed Light" w:cs="Calibri"/>
                <w:szCs w:val="20"/>
              </w:rPr>
              <w:t>Escuelas Privadas</w:t>
            </w:r>
          </w:p>
        </w:tc>
        <w:tc>
          <w:tcPr>
            <w:tcW w:w="2006" w:type="dxa"/>
          </w:tcPr>
          <w:p w14:paraId="21B0E8EC" w14:textId="77777777" w:rsidR="00B1546F" w:rsidRPr="003B479E" w:rsidRDefault="00B1546F" w:rsidP="005162E7">
            <w:pPr>
              <w:spacing w:after="0" w:line="240" w:lineRule="auto"/>
              <w:jc w:val="center"/>
              <w:rPr>
                <w:rFonts w:ascii="Futura Std Condensed Light" w:eastAsia="Calibri" w:hAnsi="Futura Std Condensed Light" w:cs="Calibri"/>
                <w:szCs w:val="20"/>
              </w:rPr>
            </w:pPr>
            <w:r w:rsidRPr="003B479E">
              <w:rPr>
                <w:rFonts w:ascii="Futura Std Condensed Light" w:eastAsia="Calibri" w:hAnsi="Futura Std Condensed Light" w:cs="Calibri"/>
                <w:szCs w:val="20"/>
              </w:rPr>
              <w:t>Privado</w:t>
            </w:r>
          </w:p>
        </w:tc>
        <w:tc>
          <w:tcPr>
            <w:tcW w:w="3871" w:type="dxa"/>
          </w:tcPr>
          <w:p w14:paraId="1AE47B15" w14:textId="77777777" w:rsidR="00B1546F" w:rsidRPr="003B479E" w:rsidRDefault="00B1546F" w:rsidP="003B479E">
            <w:pPr>
              <w:spacing w:after="0" w:line="240" w:lineRule="auto"/>
              <w:rPr>
                <w:rFonts w:ascii="Futura Std Condensed Light" w:eastAsia="Calibri" w:hAnsi="Futura Std Condensed Light" w:cs="Calibri"/>
                <w:szCs w:val="20"/>
              </w:rPr>
            </w:pPr>
            <w:r w:rsidRPr="003B479E">
              <w:rPr>
                <w:rFonts w:ascii="Futura Std Condensed Light" w:eastAsia="Calibri" w:hAnsi="Futura Std Condensed Light" w:cs="Calibri"/>
                <w:szCs w:val="20"/>
              </w:rPr>
              <w:t>Persona física o moral que da el servicio de educación en el estado, debiendo cumplir con los requisitos mínimos establecidos en la norma de la materia, en cuanto a la infraestructura física educativa.</w:t>
            </w:r>
          </w:p>
        </w:tc>
      </w:tr>
      <w:tr w:rsidR="00B1546F" w:rsidRPr="00F63D4B" w14:paraId="218855B6" w14:textId="77777777" w:rsidTr="00FE324E">
        <w:tc>
          <w:tcPr>
            <w:tcW w:w="2951" w:type="dxa"/>
          </w:tcPr>
          <w:p w14:paraId="5A986CDA" w14:textId="77777777" w:rsidR="00B1546F" w:rsidRPr="003B479E" w:rsidRDefault="00B1546F" w:rsidP="003B479E">
            <w:pPr>
              <w:spacing w:after="0" w:line="240" w:lineRule="auto"/>
              <w:jc w:val="left"/>
              <w:rPr>
                <w:rFonts w:ascii="Futura Std Condensed Light" w:eastAsia="Calibri" w:hAnsi="Futura Std Condensed Light" w:cs="Calibri"/>
                <w:szCs w:val="20"/>
              </w:rPr>
            </w:pPr>
            <w:r w:rsidRPr="003B479E">
              <w:rPr>
                <w:rFonts w:ascii="Futura Std Condensed Light" w:eastAsia="Calibri" w:hAnsi="Futura Std Condensed Light" w:cs="Calibri"/>
                <w:szCs w:val="20"/>
              </w:rPr>
              <w:t>Empresas Constructoras y proveedores</w:t>
            </w:r>
          </w:p>
        </w:tc>
        <w:tc>
          <w:tcPr>
            <w:tcW w:w="2006" w:type="dxa"/>
          </w:tcPr>
          <w:p w14:paraId="2494C54F" w14:textId="77777777" w:rsidR="00B1546F" w:rsidRPr="003B479E" w:rsidRDefault="00B1546F" w:rsidP="005162E7">
            <w:pPr>
              <w:spacing w:after="0" w:line="240" w:lineRule="auto"/>
              <w:jc w:val="center"/>
              <w:rPr>
                <w:rFonts w:ascii="Futura Std Condensed Light" w:eastAsia="Calibri" w:hAnsi="Futura Std Condensed Light" w:cs="Calibri"/>
                <w:szCs w:val="20"/>
              </w:rPr>
            </w:pPr>
            <w:r w:rsidRPr="003B479E">
              <w:rPr>
                <w:rFonts w:ascii="Futura Std Condensed Light" w:eastAsia="Calibri" w:hAnsi="Futura Std Condensed Light" w:cs="Calibri"/>
                <w:szCs w:val="20"/>
              </w:rPr>
              <w:t>Privado</w:t>
            </w:r>
          </w:p>
        </w:tc>
        <w:tc>
          <w:tcPr>
            <w:tcW w:w="3871" w:type="dxa"/>
          </w:tcPr>
          <w:p w14:paraId="7A622091" w14:textId="77777777" w:rsidR="00B1546F" w:rsidRPr="003B479E" w:rsidRDefault="00B1546F" w:rsidP="003B479E">
            <w:pPr>
              <w:spacing w:after="0" w:line="240" w:lineRule="auto"/>
              <w:rPr>
                <w:rFonts w:ascii="Futura Std Condensed Light" w:eastAsia="Calibri" w:hAnsi="Futura Std Condensed Light" w:cs="Calibri"/>
                <w:szCs w:val="20"/>
              </w:rPr>
            </w:pPr>
            <w:r w:rsidRPr="003B479E">
              <w:rPr>
                <w:rFonts w:ascii="Futura Std Condensed Light" w:eastAsia="Calibri" w:hAnsi="Futura Std Condensed Light" w:cs="Calibri"/>
                <w:szCs w:val="20"/>
              </w:rPr>
              <w:t>Organismo privado que participa en la ejecución de las acciones de rehabilitación, equipamiento y/o Construcción de los planteles</w:t>
            </w:r>
          </w:p>
        </w:tc>
      </w:tr>
      <w:tr w:rsidR="00B1546F" w:rsidRPr="00F63D4B" w14:paraId="7F159B55" w14:textId="77777777" w:rsidTr="00FE324E">
        <w:tc>
          <w:tcPr>
            <w:tcW w:w="2951" w:type="dxa"/>
          </w:tcPr>
          <w:p w14:paraId="064CE47D" w14:textId="77777777" w:rsidR="00B1546F" w:rsidRPr="00F63D4B" w:rsidRDefault="00B1546F" w:rsidP="005162E7">
            <w:pPr>
              <w:spacing w:after="0" w:line="240" w:lineRule="auto"/>
              <w:jc w:val="center"/>
              <w:rPr>
                <w:rFonts w:ascii="Futura Std Condensed Light" w:eastAsia="Calibri" w:hAnsi="Futura Std Condensed Light" w:cs="Calibri"/>
                <w:sz w:val="18"/>
                <w:szCs w:val="18"/>
              </w:rPr>
            </w:pPr>
            <w:r w:rsidRPr="00F63D4B">
              <w:rPr>
                <w:rFonts w:ascii="Futura Std Condensed Light" w:eastAsia="Calibri" w:hAnsi="Futura Std Condensed Light" w:cs="Calibri"/>
                <w:sz w:val="18"/>
                <w:szCs w:val="18"/>
              </w:rPr>
              <w:t>Representantes de los 11 municipios del Estado.</w:t>
            </w:r>
          </w:p>
        </w:tc>
        <w:tc>
          <w:tcPr>
            <w:tcW w:w="2006" w:type="dxa"/>
          </w:tcPr>
          <w:p w14:paraId="4EE639D2" w14:textId="77777777" w:rsidR="00B1546F" w:rsidRPr="00F63D4B" w:rsidRDefault="00B1546F" w:rsidP="005162E7">
            <w:pPr>
              <w:spacing w:after="0" w:line="240" w:lineRule="auto"/>
              <w:jc w:val="center"/>
              <w:rPr>
                <w:rFonts w:ascii="Futura Std Condensed Light" w:eastAsia="Calibri" w:hAnsi="Futura Std Condensed Light" w:cs="Calibri"/>
                <w:sz w:val="18"/>
                <w:szCs w:val="18"/>
              </w:rPr>
            </w:pPr>
            <w:r w:rsidRPr="00F63D4B">
              <w:rPr>
                <w:rFonts w:ascii="Futura Std Condensed Light" w:eastAsia="Calibri" w:hAnsi="Futura Std Condensed Light" w:cs="Calibri"/>
                <w:sz w:val="18"/>
                <w:szCs w:val="18"/>
              </w:rPr>
              <w:t>Municipal</w:t>
            </w:r>
          </w:p>
        </w:tc>
        <w:tc>
          <w:tcPr>
            <w:tcW w:w="3871" w:type="dxa"/>
          </w:tcPr>
          <w:p w14:paraId="7144FFC8" w14:textId="77777777" w:rsidR="00B1546F" w:rsidRPr="00F63D4B" w:rsidRDefault="00B1546F" w:rsidP="003B479E">
            <w:pPr>
              <w:spacing w:after="0" w:line="240" w:lineRule="auto"/>
              <w:rPr>
                <w:rFonts w:ascii="Futura Std Condensed Light" w:eastAsia="Calibri" w:hAnsi="Futura Std Condensed Light" w:cs="Calibri"/>
                <w:sz w:val="18"/>
                <w:szCs w:val="18"/>
              </w:rPr>
            </w:pPr>
            <w:r w:rsidRPr="00F63D4B">
              <w:rPr>
                <w:rFonts w:ascii="Futura Std Condensed Light" w:eastAsia="Calibri" w:hAnsi="Futura Std Condensed Light" w:cs="Calibri" w:hint="eastAsia"/>
                <w:sz w:val="18"/>
                <w:szCs w:val="18"/>
              </w:rPr>
              <w:t>Coordinan programas que se desarrollan en cada municipio, relacionados con la educación</w:t>
            </w:r>
            <w:r w:rsidRPr="00F63D4B">
              <w:rPr>
                <w:rFonts w:ascii="Futura Std Condensed Light" w:eastAsia="Calibri" w:hAnsi="Futura Std Condensed Light" w:cs="Calibri"/>
                <w:sz w:val="18"/>
                <w:szCs w:val="18"/>
              </w:rPr>
              <w:t>.</w:t>
            </w:r>
          </w:p>
        </w:tc>
      </w:tr>
      <w:bookmarkEnd w:id="68"/>
      <w:bookmarkEnd w:id="69"/>
      <w:bookmarkEnd w:id="70"/>
    </w:tbl>
    <w:p w14:paraId="49D25C6D" w14:textId="7D15B030" w:rsidR="00695E2D" w:rsidRDefault="005F7240" w:rsidP="00C87B33">
      <w:pPr>
        <w:rPr>
          <w:rFonts w:eastAsia="Times New Roman" w:cs="Futura"/>
        </w:rPr>
      </w:pPr>
      <w:r w:rsidRPr="00F765C3">
        <w:rPr>
          <w:rFonts w:eastAsia="Times New Roman" w:cs="Futura"/>
        </w:rPr>
        <w:br w:type="page"/>
      </w:r>
    </w:p>
    <w:p w14:paraId="200F8925" w14:textId="77777777" w:rsidR="00954042" w:rsidRDefault="00954042" w:rsidP="00695E2D">
      <w:pPr>
        <w:pStyle w:val="Ttulo"/>
      </w:pPr>
    </w:p>
    <w:p w14:paraId="26309AEA" w14:textId="1B8074F8" w:rsidR="00954042" w:rsidRDefault="0069403A" w:rsidP="00695E2D">
      <w:pPr>
        <w:pStyle w:val="Ttulo"/>
      </w:pPr>
      <w:r w:rsidRPr="0069403A">
        <w:t>CONTROL, SEGUIMIENTO, EVALUACIÓN Y ACTUALIZACIÓN</w:t>
      </w:r>
    </w:p>
    <w:p w14:paraId="2A141E92" w14:textId="77777777" w:rsidR="00954042" w:rsidRDefault="00954042">
      <w:pPr>
        <w:spacing w:after="0" w:line="240" w:lineRule="auto"/>
        <w:jc w:val="left"/>
        <w:rPr>
          <w:rFonts w:eastAsia="Times New Roman" w:cs="Times New Roman"/>
          <w:b/>
          <w:color w:val="4BACC6"/>
          <w:sz w:val="44"/>
          <w:szCs w:val="20"/>
        </w:rPr>
      </w:pPr>
      <w:r>
        <w:br w:type="page"/>
      </w:r>
    </w:p>
    <w:p w14:paraId="1288A4CF" w14:textId="77777777" w:rsidR="001A3495" w:rsidRDefault="001A3495" w:rsidP="00A51CF7">
      <w:pPr>
        <w:pStyle w:val="Ttulo1"/>
      </w:pPr>
      <w:bookmarkStart w:id="74" w:name="_Toc477971061"/>
      <w:bookmarkStart w:id="75" w:name="_Toc486841610"/>
      <w:bookmarkStart w:id="76" w:name="_Toc486858149"/>
    </w:p>
    <w:p w14:paraId="001C4BA8" w14:textId="67BB2BB5" w:rsidR="005F7240" w:rsidRPr="00A51CF7" w:rsidRDefault="0035377A" w:rsidP="00A51CF7">
      <w:pPr>
        <w:pStyle w:val="Ttulo1"/>
      </w:pPr>
      <w:bookmarkStart w:id="77" w:name="_Toc53409873"/>
      <w:r>
        <w:t xml:space="preserve">XII. </w:t>
      </w:r>
      <w:r w:rsidR="005F7240" w:rsidRPr="00F765C3">
        <w:t xml:space="preserve">CONTROL, SEGUIMIENTO, EVALUACIÓN Y </w:t>
      </w:r>
      <w:r w:rsidR="00416E1E" w:rsidRPr="00F765C3">
        <w:t>A</w:t>
      </w:r>
      <w:r w:rsidR="005F7240" w:rsidRPr="00F765C3">
        <w:t>CTUALIZACIÓN</w:t>
      </w:r>
      <w:bookmarkEnd w:id="74"/>
      <w:r w:rsidR="00A51CF7">
        <w:t>.</w:t>
      </w:r>
      <w:bookmarkEnd w:id="75"/>
      <w:bookmarkEnd w:id="76"/>
      <w:bookmarkEnd w:id="77"/>
    </w:p>
    <w:p w14:paraId="588F2739" w14:textId="77777777" w:rsidR="005F7240" w:rsidRPr="00BB6B17" w:rsidRDefault="005F7240" w:rsidP="002A329C">
      <w:pPr>
        <w:rPr>
          <w:b/>
          <w:bCs/>
        </w:rPr>
      </w:pPr>
      <w:r w:rsidRPr="00BB6B17">
        <w:rPr>
          <w:b/>
          <w:bCs/>
        </w:rPr>
        <w:t>Indicadores y Metas del Programa</w:t>
      </w:r>
    </w:p>
    <w:p w14:paraId="06E0A295" w14:textId="1ADB515A" w:rsidR="005F7240" w:rsidRPr="00BB6B17" w:rsidRDefault="005F7240" w:rsidP="002A329C">
      <w:r w:rsidRPr="00BB6B17">
        <w:t xml:space="preserve">Las metas comunican el nivel de desempeño esperado sobre el objetivo planteado, permiten establecer límites o niveles máximos de logro y enfocar las acciones hacia resultados. </w:t>
      </w:r>
    </w:p>
    <w:p w14:paraId="04FE5F59" w14:textId="0994C4ED" w:rsidR="00A773C6" w:rsidRPr="00BB6B17" w:rsidRDefault="00B60313" w:rsidP="002A329C">
      <w:r w:rsidRPr="00BB6B17">
        <w:t xml:space="preserve">En el Programa Sectorial de Educación Pública de Calidad </w:t>
      </w:r>
      <w:r w:rsidR="00061B5F" w:rsidRPr="00BB6B17">
        <w:t>2016-2022</w:t>
      </w:r>
      <w:r w:rsidR="00A773C6" w:rsidRPr="00BB6B17">
        <w:t xml:space="preserve"> se encuentra sustentado en el modelo de gestión para resultados, dando una pauta para consolidar el Presupuesto basado en resultados (PbR), </w:t>
      </w:r>
      <w:r w:rsidR="005F03DB" w:rsidRPr="00BB6B17">
        <w:t xml:space="preserve">mediante los 18 </w:t>
      </w:r>
      <w:r w:rsidR="00A773C6" w:rsidRPr="00BB6B17">
        <w:t>organismos descentralizados sectorizad</w:t>
      </w:r>
      <w:r w:rsidR="0014175A" w:rsidRPr="00BB6B17">
        <w:t xml:space="preserve">os a la Secretaría de Educación, los cuales </w:t>
      </w:r>
      <w:r w:rsidR="00A773C6" w:rsidRPr="00BB6B17">
        <w:t xml:space="preserve">orientarán sus Programas </w:t>
      </w:r>
      <w:r w:rsidR="00F72C04" w:rsidRPr="00BB6B17">
        <w:t>I</w:t>
      </w:r>
      <w:r w:rsidR="00A773C6" w:rsidRPr="00BB6B17">
        <w:t>nstitucionales de desarrollo a lo</w:t>
      </w:r>
      <w:r w:rsidR="004201CA" w:rsidRPr="00BB6B17">
        <w:t>s objetivos y metas sectoriales planteadas</w:t>
      </w:r>
      <w:r w:rsidR="00FD2C66" w:rsidRPr="00BB6B17">
        <w:t xml:space="preserve"> en el presente programa. </w:t>
      </w:r>
    </w:p>
    <w:p w14:paraId="2F8C6BDD" w14:textId="1B7C7A40" w:rsidR="00111571" w:rsidRPr="00BB6B17" w:rsidRDefault="00BB6B17" w:rsidP="001F1DEE">
      <w:r>
        <w:t xml:space="preserve">El </w:t>
      </w:r>
      <w:r w:rsidR="00A773C6" w:rsidRPr="00BB6B17">
        <w:t xml:space="preserve">Programa Sectorial de Educación Pública de Calidad 2016-2022 </w:t>
      </w:r>
      <w:r w:rsidR="009B17D5" w:rsidRPr="00BB6B17">
        <w:t xml:space="preserve">establece </w:t>
      </w:r>
      <w:r w:rsidR="00A52A6E" w:rsidRPr="00BB6B17">
        <w:t xml:space="preserve">indicadores </w:t>
      </w:r>
      <w:r w:rsidR="00A773C6" w:rsidRPr="00BB6B17">
        <w:t xml:space="preserve">estratégicos y de gestión </w:t>
      </w:r>
      <w:r w:rsidR="00C40A3C" w:rsidRPr="00BB6B17">
        <w:t>para sus siete objetivos y siete</w:t>
      </w:r>
      <w:r w:rsidR="00A52A6E" w:rsidRPr="00BB6B17">
        <w:t xml:space="preserve"> estrategias, los</w:t>
      </w:r>
      <w:r w:rsidR="00A773C6" w:rsidRPr="00BB6B17">
        <w:t xml:space="preserve"> cuales serán de utilidad para monitorear</w:t>
      </w:r>
      <w:r w:rsidR="00A52A6E" w:rsidRPr="00BB6B17">
        <w:t xml:space="preserve"> si las acciones para el logro de los resultados </w:t>
      </w:r>
      <w:r w:rsidR="004D743B" w:rsidRPr="00BB6B17">
        <w:t>están teniendo la incidencia esperada, así como reor</w:t>
      </w:r>
      <w:r w:rsidR="00A773C6" w:rsidRPr="00BB6B17">
        <w:t>ientarlas en</w:t>
      </w:r>
      <w:r w:rsidR="00F72C04" w:rsidRPr="00BB6B17">
        <w:t xml:space="preserve"> </w:t>
      </w:r>
      <w:r w:rsidR="00A773C6" w:rsidRPr="00BB6B17">
        <w:t xml:space="preserve">caso contrario, de esta manera se establecerá una evaluación a dicho programa, mediante la determinación sistemática y periódica del cumplimiento de objetivos, metas </w:t>
      </w:r>
      <w:r w:rsidR="006E3E1F">
        <w:t xml:space="preserve">y prioridades establecidas en la actualización </w:t>
      </w:r>
      <w:r w:rsidR="00A773C6" w:rsidRPr="00BB6B17">
        <w:t xml:space="preserve"> Plan Estatal de Desarrollo 2016-2022</w:t>
      </w:r>
      <w:r w:rsidR="00F57792" w:rsidRPr="00BB6B17">
        <w:t>.</w:t>
      </w:r>
    </w:p>
    <w:p w14:paraId="02CBA696" w14:textId="3EAE33B2" w:rsidR="001F1DEE" w:rsidRPr="00A25879" w:rsidRDefault="00F57792" w:rsidP="001F1DEE">
      <w:r w:rsidRPr="00BB6B17">
        <w:lastRenderedPageBreak/>
        <w:t xml:space="preserve">El seguimiento del Programa Sectorial se llevará a cabo mediante el Subcomité Sectorial de Educación Pública de Calidad dependiente de COPLADE, el cual es un órgano auxiliar </w:t>
      </w:r>
      <w:r w:rsidR="001F1DEE" w:rsidRPr="00BB6B17">
        <w:t>órgano que dará seguimiento a</w:t>
      </w:r>
      <w:r w:rsidR="0036340F" w:rsidRPr="00BB6B17">
        <w:t xml:space="preserve"> los avances en la ejecución de las acciones </w:t>
      </w:r>
      <w:r w:rsidR="001F1DEE" w:rsidRPr="00BB6B17">
        <w:t>plasmadas en el Plan Estatal de</w:t>
      </w:r>
      <w:r w:rsidR="001F1DEE" w:rsidRPr="00C40A3C">
        <w:rPr>
          <w:color w:val="FF0000"/>
        </w:rPr>
        <w:t xml:space="preserve"> </w:t>
      </w:r>
      <w:r w:rsidR="001F1DEE" w:rsidRPr="00A25879">
        <w:t>Desarrollo 2016-2022 del cual deriva el Programa Sectorial de Educación Pública de Calidad, a través de tres sesiones ord</w:t>
      </w:r>
      <w:r w:rsidR="00057DA9" w:rsidRPr="00A25879">
        <w:t xml:space="preserve">inarias durante cada ejercicio fiscal. </w:t>
      </w:r>
    </w:p>
    <w:p w14:paraId="49E5883E" w14:textId="287A170F" w:rsidR="00F57792" w:rsidRPr="00A25879" w:rsidRDefault="00111571" w:rsidP="002A329C">
      <w:r w:rsidRPr="00A25879">
        <w:t>La evaluación al desempeño que se realizará</w:t>
      </w:r>
      <w:r w:rsidR="00F72C04" w:rsidRPr="00A25879">
        <w:t xml:space="preserve"> </w:t>
      </w:r>
      <w:r w:rsidRPr="00A25879">
        <w:t xml:space="preserve">a todos los programas </w:t>
      </w:r>
      <w:r w:rsidR="00A25879">
        <w:t xml:space="preserve">presupuestarios </w:t>
      </w:r>
      <w:r w:rsidRPr="00A25879">
        <w:t>y proyectos que ej</w:t>
      </w:r>
      <w:r w:rsidR="00DF4D1C">
        <w:t>ecuten acciones contenidas en la</w:t>
      </w:r>
      <w:r w:rsidRPr="00A25879">
        <w:t xml:space="preserve"> presente </w:t>
      </w:r>
      <w:r w:rsidR="00DF4D1C">
        <w:t xml:space="preserve">actualización del </w:t>
      </w:r>
      <w:r w:rsidR="00AA6FB8">
        <w:t xml:space="preserve">Programa Sectorial, </w:t>
      </w:r>
      <w:r w:rsidRPr="00A25879">
        <w:t>es una herramienta indispensable para dar seguimiento</w:t>
      </w:r>
      <w:r w:rsidR="00801C59" w:rsidRPr="00A25879">
        <w:t xml:space="preserve">, mediante la cual se identificarán los logros, deficiencias y áreas de oportunidad para sostener eficientemente la mejora continua en la gestión y crear condiciones para la satisfacción de las necesidades y demandas del sector educativo. </w:t>
      </w:r>
    </w:p>
    <w:p w14:paraId="7AA18152" w14:textId="328A9F6A" w:rsidR="00AE5BFB" w:rsidRPr="00422F3D" w:rsidRDefault="00AE5BFB" w:rsidP="002A329C">
      <w:r w:rsidRPr="00422F3D">
        <w:t xml:space="preserve">Finalmente </w:t>
      </w:r>
      <w:r w:rsidR="00A800AF">
        <w:t xml:space="preserve">es importante mencionar que la actualización del </w:t>
      </w:r>
      <w:r w:rsidR="00BA4893" w:rsidRPr="00422F3D">
        <w:t xml:space="preserve"> Programa Sectorial de Educación Pública de C</w:t>
      </w:r>
      <w:r w:rsidR="00422F3D">
        <w:t>alidad 2016- 2022 se actualizó</w:t>
      </w:r>
      <w:r w:rsidR="00BA4893" w:rsidRPr="00422F3D">
        <w:t xml:space="preserve"> de acuerdo a lo estipulado en la Ley de Planeación para el Desarrollo del Estado de Quintana Roo, considerando el periodo que corresponde al segundo semestre del tercer año de la gestión administrativa,</w:t>
      </w:r>
      <w:r w:rsidR="00422F3D">
        <w:t xml:space="preserve"> y se actualizará </w:t>
      </w:r>
      <w:r w:rsidR="00333AB3">
        <w:t>nuevamente</w:t>
      </w:r>
      <w:r w:rsidR="00BA4893" w:rsidRPr="00422F3D">
        <w:t xml:space="preserve"> </w:t>
      </w:r>
      <w:r w:rsidR="00422F3D">
        <w:t xml:space="preserve">tal y como indica la normatividad, </w:t>
      </w:r>
      <w:r w:rsidR="00BA4893" w:rsidRPr="00422F3D">
        <w:t xml:space="preserve">el último semestre del sexto año de gobierno de la administración. </w:t>
      </w:r>
    </w:p>
    <w:p w14:paraId="3C366683" w14:textId="289DB7BC" w:rsidR="0035377A" w:rsidRPr="00C35F88" w:rsidRDefault="001B2B4B" w:rsidP="00B05DB2">
      <w:pPr>
        <w:pStyle w:val="Textoindependiente"/>
        <w:rPr>
          <w:rFonts w:eastAsia="Times New Roman" w:cs="Times New Roman"/>
          <w:b/>
          <w:color w:val="4BACC6"/>
        </w:rPr>
      </w:pPr>
      <w:r>
        <w:rPr>
          <w:rFonts w:eastAsia="Times New Roman" w:cs="Times New Roman"/>
          <w:b/>
          <w:color w:val="4BACC6"/>
        </w:rPr>
        <w:t>Cuadro 54</w:t>
      </w:r>
      <w:r w:rsidR="0035377A" w:rsidRPr="00C35F88">
        <w:rPr>
          <w:rFonts w:eastAsia="Times New Roman" w:cs="Times New Roman"/>
          <w:b/>
          <w:color w:val="4BACC6"/>
        </w:rPr>
        <w:t>. Indicadores y Metas del Programa</w:t>
      </w:r>
      <w:r w:rsidR="00792797" w:rsidRPr="00C35F88">
        <w:rPr>
          <w:rFonts w:eastAsia="Times New Roman" w:cs="Times New Roman"/>
          <w:b/>
          <w:color w:val="4BACC6"/>
        </w:rPr>
        <w:t xml:space="preserve"> Sectorial de Educación Pública de Calidad</w:t>
      </w:r>
    </w:p>
    <w:tbl>
      <w:tblPr>
        <w:tblStyle w:val="TablaSectorial"/>
        <w:tblW w:w="5000" w:type="pct"/>
        <w:tblLayout w:type="fixed"/>
        <w:tblLook w:val="0420" w:firstRow="1" w:lastRow="0" w:firstColumn="0" w:lastColumn="0" w:noHBand="0" w:noVBand="1"/>
      </w:tblPr>
      <w:tblGrid>
        <w:gridCol w:w="1243"/>
        <w:gridCol w:w="1243"/>
        <w:gridCol w:w="1097"/>
        <w:gridCol w:w="1093"/>
        <w:gridCol w:w="689"/>
        <w:gridCol w:w="687"/>
        <w:gridCol w:w="687"/>
        <w:gridCol w:w="687"/>
        <w:gridCol w:w="687"/>
        <w:gridCol w:w="671"/>
        <w:gridCol w:w="17"/>
        <w:gridCol w:w="736"/>
      </w:tblGrid>
      <w:tr w:rsidR="006E706B" w:rsidRPr="00EA78B8" w14:paraId="33C50A01" w14:textId="77777777" w:rsidTr="000D1A50">
        <w:trPr>
          <w:cnfStyle w:val="100000000000" w:firstRow="1" w:lastRow="0" w:firstColumn="0" w:lastColumn="0" w:oddVBand="0" w:evenVBand="0" w:oddHBand="0" w:evenHBand="0" w:firstRowFirstColumn="0" w:firstRowLastColumn="0" w:lastRowFirstColumn="0" w:lastRowLastColumn="0"/>
          <w:trHeight w:val="283"/>
        </w:trPr>
        <w:tc>
          <w:tcPr>
            <w:tcW w:w="652" w:type="pct"/>
            <w:shd w:val="clear" w:color="auto" w:fill="A6A6A6" w:themeFill="background1" w:themeFillShade="A6"/>
            <w:hideMark/>
          </w:tcPr>
          <w:p w14:paraId="4F9AF061" w14:textId="77777777" w:rsidR="0035377A" w:rsidRPr="00EA78B8" w:rsidRDefault="0035377A" w:rsidP="00C2741A">
            <w:pPr>
              <w:spacing w:after="0" w:line="240" w:lineRule="auto"/>
              <w:jc w:val="center"/>
              <w:rPr>
                <w:rFonts w:ascii="Futura Std Condensed Light" w:eastAsia="Calibri" w:hAnsi="Futura Std Condensed Light" w:cs="Calibri"/>
                <w:color w:val="auto"/>
                <w:sz w:val="18"/>
                <w:szCs w:val="16"/>
              </w:rPr>
            </w:pPr>
            <w:r w:rsidRPr="00EA78B8">
              <w:rPr>
                <w:rFonts w:ascii="Futura Std Condensed Light" w:eastAsia="Calibri" w:hAnsi="Futura Std Condensed Light" w:cs="Calibri"/>
                <w:color w:val="auto"/>
                <w:sz w:val="18"/>
                <w:szCs w:val="16"/>
              </w:rPr>
              <w:t>Objetivo/ Estrategia</w:t>
            </w:r>
          </w:p>
        </w:tc>
        <w:tc>
          <w:tcPr>
            <w:tcW w:w="652" w:type="pct"/>
            <w:shd w:val="clear" w:color="auto" w:fill="A6A6A6" w:themeFill="background1" w:themeFillShade="A6"/>
            <w:hideMark/>
          </w:tcPr>
          <w:p w14:paraId="06048764" w14:textId="77777777" w:rsidR="0035377A" w:rsidRPr="00EA78B8" w:rsidRDefault="0035377A" w:rsidP="00C2741A">
            <w:pPr>
              <w:spacing w:after="0" w:line="240" w:lineRule="auto"/>
              <w:jc w:val="center"/>
              <w:rPr>
                <w:rFonts w:ascii="Futura Std Condensed Light" w:eastAsia="Calibri" w:hAnsi="Futura Std Condensed Light" w:cs="Calibri"/>
                <w:color w:val="auto"/>
                <w:sz w:val="18"/>
                <w:szCs w:val="16"/>
              </w:rPr>
            </w:pPr>
            <w:r w:rsidRPr="00EA78B8">
              <w:rPr>
                <w:rFonts w:ascii="Futura Std Condensed Light" w:eastAsia="Calibri" w:hAnsi="Futura Std Condensed Light" w:cs="Calibri"/>
                <w:color w:val="auto"/>
                <w:sz w:val="18"/>
                <w:szCs w:val="16"/>
              </w:rPr>
              <w:t>Indicador</w:t>
            </w:r>
          </w:p>
        </w:tc>
        <w:tc>
          <w:tcPr>
            <w:tcW w:w="575" w:type="pct"/>
            <w:shd w:val="clear" w:color="auto" w:fill="A6A6A6" w:themeFill="background1" w:themeFillShade="A6"/>
            <w:hideMark/>
          </w:tcPr>
          <w:p w14:paraId="76CACC1C" w14:textId="77777777" w:rsidR="0035377A" w:rsidRPr="00EA78B8" w:rsidRDefault="0035377A" w:rsidP="00C2741A">
            <w:pPr>
              <w:spacing w:after="0" w:line="240" w:lineRule="auto"/>
              <w:jc w:val="center"/>
              <w:rPr>
                <w:rFonts w:ascii="Futura Std Condensed Light" w:eastAsia="Calibri" w:hAnsi="Futura Std Condensed Light" w:cs="Calibri"/>
                <w:color w:val="auto"/>
                <w:sz w:val="18"/>
                <w:szCs w:val="16"/>
              </w:rPr>
            </w:pPr>
            <w:r w:rsidRPr="00EA78B8">
              <w:rPr>
                <w:rFonts w:ascii="Futura Std Condensed Light" w:eastAsia="Calibri" w:hAnsi="Futura Std Condensed Light" w:cs="Calibri"/>
                <w:color w:val="auto"/>
                <w:sz w:val="18"/>
                <w:szCs w:val="16"/>
              </w:rPr>
              <w:t>Fuente</w:t>
            </w:r>
          </w:p>
        </w:tc>
        <w:tc>
          <w:tcPr>
            <w:tcW w:w="573" w:type="pct"/>
            <w:shd w:val="clear" w:color="auto" w:fill="A6A6A6" w:themeFill="background1" w:themeFillShade="A6"/>
            <w:hideMark/>
          </w:tcPr>
          <w:p w14:paraId="5D0544A2" w14:textId="77777777" w:rsidR="0035377A" w:rsidRPr="00EA78B8" w:rsidRDefault="0035377A" w:rsidP="00C2741A">
            <w:pPr>
              <w:spacing w:after="0" w:line="240" w:lineRule="auto"/>
              <w:jc w:val="center"/>
              <w:rPr>
                <w:rFonts w:ascii="Futura Std Condensed Light" w:eastAsia="Calibri" w:hAnsi="Futura Std Condensed Light" w:cs="Calibri"/>
                <w:color w:val="auto"/>
                <w:sz w:val="18"/>
                <w:szCs w:val="16"/>
              </w:rPr>
            </w:pPr>
            <w:r w:rsidRPr="00EA78B8">
              <w:rPr>
                <w:rFonts w:ascii="Futura Std Condensed Light" w:eastAsia="Calibri" w:hAnsi="Futura Std Condensed Light" w:cs="Calibri"/>
                <w:color w:val="auto"/>
                <w:sz w:val="18"/>
                <w:szCs w:val="16"/>
              </w:rPr>
              <w:t>Unidad de Medida</w:t>
            </w:r>
          </w:p>
        </w:tc>
        <w:tc>
          <w:tcPr>
            <w:tcW w:w="361" w:type="pct"/>
            <w:shd w:val="clear" w:color="auto" w:fill="A6A6A6" w:themeFill="background1" w:themeFillShade="A6"/>
            <w:hideMark/>
          </w:tcPr>
          <w:p w14:paraId="2E26DB6F" w14:textId="77777777" w:rsidR="0035377A" w:rsidRPr="00EA78B8" w:rsidRDefault="0035377A" w:rsidP="00C2741A">
            <w:pPr>
              <w:spacing w:after="0" w:line="240" w:lineRule="auto"/>
              <w:jc w:val="center"/>
              <w:rPr>
                <w:rFonts w:ascii="Futura Std Condensed Light" w:eastAsia="Calibri" w:hAnsi="Futura Std Condensed Light" w:cs="Calibri"/>
                <w:color w:val="auto"/>
                <w:sz w:val="18"/>
                <w:szCs w:val="16"/>
              </w:rPr>
            </w:pPr>
            <w:r w:rsidRPr="00EA78B8">
              <w:rPr>
                <w:rFonts w:ascii="Futura Std Condensed Light" w:eastAsia="Calibri" w:hAnsi="Futura Std Condensed Light" w:cs="Calibri"/>
                <w:color w:val="auto"/>
                <w:sz w:val="18"/>
                <w:szCs w:val="16"/>
              </w:rPr>
              <w:t>Línea Base</w:t>
            </w:r>
          </w:p>
        </w:tc>
        <w:tc>
          <w:tcPr>
            <w:tcW w:w="360" w:type="pct"/>
            <w:shd w:val="clear" w:color="auto" w:fill="A6A6A6" w:themeFill="background1" w:themeFillShade="A6"/>
            <w:hideMark/>
          </w:tcPr>
          <w:p w14:paraId="23BD1056" w14:textId="77777777" w:rsidR="0035377A" w:rsidRPr="00EA78B8" w:rsidRDefault="0035377A" w:rsidP="00C2741A">
            <w:pPr>
              <w:spacing w:after="0" w:line="240" w:lineRule="auto"/>
              <w:jc w:val="center"/>
              <w:rPr>
                <w:rFonts w:ascii="Futura Std Condensed Light" w:eastAsia="Calibri" w:hAnsi="Futura Std Condensed Light" w:cs="Calibri"/>
                <w:color w:val="auto"/>
                <w:sz w:val="18"/>
                <w:szCs w:val="16"/>
              </w:rPr>
            </w:pPr>
            <w:r w:rsidRPr="00EA78B8">
              <w:rPr>
                <w:rFonts w:ascii="Futura Std Condensed Light" w:eastAsia="Calibri" w:hAnsi="Futura Std Condensed Light" w:cs="Calibri"/>
                <w:color w:val="auto"/>
                <w:sz w:val="18"/>
                <w:szCs w:val="16"/>
              </w:rPr>
              <w:t>2017</w:t>
            </w:r>
          </w:p>
        </w:tc>
        <w:tc>
          <w:tcPr>
            <w:tcW w:w="360" w:type="pct"/>
            <w:shd w:val="clear" w:color="auto" w:fill="A6A6A6" w:themeFill="background1" w:themeFillShade="A6"/>
            <w:hideMark/>
          </w:tcPr>
          <w:p w14:paraId="27287302" w14:textId="77777777" w:rsidR="0035377A" w:rsidRPr="00EA78B8" w:rsidRDefault="0035377A" w:rsidP="00C2741A">
            <w:pPr>
              <w:spacing w:after="0" w:line="240" w:lineRule="auto"/>
              <w:jc w:val="center"/>
              <w:rPr>
                <w:rFonts w:ascii="Futura Std Condensed Light" w:eastAsia="Calibri" w:hAnsi="Futura Std Condensed Light" w:cs="Calibri"/>
                <w:color w:val="auto"/>
                <w:sz w:val="18"/>
                <w:szCs w:val="16"/>
              </w:rPr>
            </w:pPr>
            <w:r w:rsidRPr="00EA78B8">
              <w:rPr>
                <w:rFonts w:ascii="Futura Std Condensed Light" w:eastAsia="Calibri" w:hAnsi="Futura Std Condensed Light" w:cs="Calibri"/>
                <w:color w:val="auto"/>
                <w:sz w:val="18"/>
                <w:szCs w:val="16"/>
              </w:rPr>
              <w:t>2018</w:t>
            </w:r>
          </w:p>
        </w:tc>
        <w:tc>
          <w:tcPr>
            <w:tcW w:w="360" w:type="pct"/>
            <w:shd w:val="clear" w:color="auto" w:fill="A6A6A6" w:themeFill="background1" w:themeFillShade="A6"/>
            <w:hideMark/>
          </w:tcPr>
          <w:p w14:paraId="55D0DD4E" w14:textId="77777777" w:rsidR="0035377A" w:rsidRPr="00EA78B8" w:rsidRDefault="0035377A" w:rsidP="00C2741A">
            <w:pPr>
              <w:spacing w:after="0" w:line="240" w:lineRule="auto"/>
              <w:jc w:val="center"/>
              <w:rPr>
                <w:rFonts w:ascii="Futura Std Condensed Light" w:eastAsia="Calibri" w:hAnsi="Futura Std Condensed Light" w:cs="Calibri"/>
                <w:color w:val="auto"/>
                <w:sz w:val="18"/>
                <w:szCs w:val="16"/>
              </w:rPr>
            </w:pPr>
            <w:r w:rsidRPr="00EA78B8">
              <w:rPr>
                <w:rFonts w:ascii="Futura Std Condensed Light" w:eastAsia="Calibri" w:hAnsi="Futura Std Condensed Light" w:cs="Calibri"/>
                <w:color w:val="auto"/>
                <w:sz w:val="18"/>
                <w:szCs w:val="16"/>
              </w:rPr>
              <w:t>2019</w:t>
            </w:r>
          </w:p>
        </w:tc>
        <w:tc>
          <w:tcPr>
            <w:tcW w:w="360" w:type="pct"/>
            <w:shd w:val="clear" w:color="auto" w:fill="A6A6A6" w:themeFill="background1" w:themeFillShade="A6"/>
            <w:hideMark/>
          </w:tcPr>
          <w:p w14:paraId="48C6E169" w14:textId="77777777" w:rsidR="0035377A" w:rsidRPr="00EA78B8" w:rsidRDefault="0035377A" w:rsidP="00C2741A">
            <w:pPr>
              <w:spacing w:after="0" w:line="240" w:lineRule="auto"/>
              <w:jc w:val="center"/>
              <w:rPr>
                <w:rFonts w:ascii="Futura Std Condensed Light" w:eastAsia="Calibri" w:hAnsi="Futura Std Condensed Light" w:cs="Calibri"/>
                <w:color w:val="auto"/>
                <w:sz w:val="18"/>
                <w:szCs w:val="16"/>
              </w:rPr>
            </w:pPr>
            <w:r w:rsidRPr="00EA78B8">
              <w:rPr>
                <w:rFonts w:ascii="Futura Std Condensed Light" w:eastAsia="Calibri" w:hAnsi="Futura Std Condensed Light" w:cs="Calibri"/>
                <w:color w:val="auto"/>
                <w:sz w:val="18"/>
                <w:szCs w:val="16"/>
              </w:rPr>
              <w:t>2020</w:t>
            </w:r>
          </w:p>
        </w:tc>
        <w:tc>
          <w:tcPr>
            <w:tcW w:w="361" w:type="pct"/>
            <w:gridSpan w:val="2"/>
            <w:shd w:val="clear" w:color="auto" w:fill="A6A6A6" w:themeFill="background1" w:themeFillShade="A6"/>
            <w:hideMark/>
          </w:tcPr>
          <w:p w14:paraId="10C25E73" w14:textId="77777777" w:rsidR="0035377A" w:rsidRPr="00EA78B8" w:rsidRDefault="0035377A" w:rsidP="00C2741A">
            <w:pPr>
              <w:spacing w:after="0" w:line="240" w:lineRule="auto"/>
              <w:jc w:val="center"/>
              <w:rPr>
                <w:rFonts w:ascii="Futura Std Condensed Light" w:eastAsia="Calibri" w:hAnsi="Futura Std Condensed Light" w:cs="Calibri"/>
                <w:color w:val="auto"/>
                <w:sz w:val="18"/>
                <w:szCs w:val="16"/>
              </w:rPr>
            </w:pPr>
            <w:r w:rsidRPr="00EA78B8">
              <w:rPr>
                <w:rFonts w:ascii="Futura Std Condensed Light" w:eastAsia="Calibri" w:hAnsi="Futura Std Condensed Light" w:cs="Calibri"/>
                <w:color w:val="auto"/>
                <w:sz w:val="18"/>
                <w:szCs w:val="16"/>
              </w:rPr>
              <w:t>2021</w:t>
            </w:r>
          </w:p>
        </w:tc>
        <w:tc>
          <w:tcPr>
            <w:tcW w:w="386" w:type="pct"/>
            <w:shd w:val="clear" w:color="auto" w:fill="A6A6A6" w:themeFill="background1" w:themeFillShade="A6"/>
            <w:hideMark/>
          </w:tcPr>
          <w:p w14:paraId="0BAE2B6F" w14:textId="77777777" w:rsidR="0035377A" w:rsidRPr="00EA78B8" w:rsidRDefault="0035377A" w:rsidP="00C2741A">
            <w:pPr>
              <w:spacing w:after="0" w:line="240" w:lineRule="auto"/>
              <w:jc w:val="center"/>
              <w:rPr>
                <w:rFonts w:ascii="Futura Std Condensed Light" w:eastAsia="Calibri" w:hAnsi="Futura Std Condensed Light" w:cs="Calibri"/>
                <w:color w:val="auto"/>
                <w:sz w:val="18"/>
                <w:szCs w:val="16"/>
              </w:rPr>
            </w:pPr>
            <w:r w:rsidRPr="00EA78B8">
              <w:rPr>
                <w:rFonts w:ascii="Futura Std Condensed Light" w:eastAsia="Calibri" w:hAnsi="Futura Std Condensed Light" w:cs="Calibri"/>
                <w:color w:val="auto"/>
                <w:sz w:val="18"/>
                <w:szCs w:val="16"/>
              </w:rPr>
              <w:t>2022</w:t>
            </w:r>
          </w:p>
        </w:tc>
      </w:tr>
      <w:tr w:rsidR="006E706B" w:rsidRPr="00FE0757" w14:paraId="6F0067C1" w14:textId="77777777" w:rsidTr="002C5453">
        <w:trPr>
          <w:trHeight w:val="283"/>
        </w:trPr>
        <w:tc>
          <w:tcPr>
            <w:tcW w:w="652" w:type="pct"/>
            <w:vMerge w:val="restart"/>
            <w:hideMark/>
          </w:tcPr>
          <w:p w14:paraId="74384BEC" w14:textId="3257AD95" w:rsidR="00D21523" w:rsidRPr="000D1A50" w:rsidRDefault="00AB76C8" w:rsidP="00750148">
            <w:pPr>
              <w:spacing w:after="0" w:line="240" w:lineRule="auto"/>
              <w:jc w:val="center"/>
              <w:rPr>
                <w:rFonts w:ascii="Futura Std Condensed Light" w:eastAsia="Calibri" w:hAnsi="Futura Std Condensed Light" w:cs="Calibri"/>
                <w:sz w:val="18"/>
                <w:szCs w:val="20"/>
              </w:rPr>
            </w:pPr>
            <w:r w:rsidRPr="000D1A50">
              <w:rPr>
                <w:rFonts w:ascii="Futura Std Condensed Light" w:eastAsia="Calibri" w:hAnsi="Futura Std Condensed Light" w:cs="Calibri"/>
                <w:sz w:val="18"/>
                <w:szCs w:val="20"/>
              </w:rPr>
              <w:t>Objetivo 1.</w:t>
            </w:r>
            <w:r w:rsidR="003960DD">
              <w:rPr>
                <w:rFonts w:ascii="Futura Std Condensed Light" w:eastAsia="Calibri" w:hAnsi="Futura Std Condensed Light" w:cs="Calibri"/>
                <w:sz w:val="18"/>
                <w:szCs w:val="20"/>
              </w:rPr>
              <w:t xml:space="preserve"> Incrementar el logro académico</w:t>
            </w:r>
            <w:r w:rsidR="00D21523" w:rsidRPr="000D1A50">
              <w:rPr>
                <w:rFonts w:ascii="Futura Std Condensed Light" w:eastAsia="Calibri" w:hAnsi="Futura Std Condensed Light" w:cs="Calibri"/>
                <w:sz w:val="18"/>
                <w:szCs w:val="20"/>
              </w:rPr>
              <w:t xml:space="preserve"> de los estudiantes de educación básica para una educación integral e inclusiva de calidad.</w:t>
            </w:r>
          </w:p>
          <w:p w14:paraId="291DA98C" w14:textId="0A374C78" w:rsidR="00AB76C8" w:rsidRPr="000D1A50" w:rsidRDefault="00AB76C8" w:rsidP="003960DD">
            <w:pPr>
              <w:spacing w:after="0" w:line="240" w:lineRule="auto"/>
              <w:rPr>
                <w:rFonts w:ascii="Futura Std Condensed Light" w:eastAsia="Calibri" w:hAnsi="Futura Std Condensed Light" w:cs="Calibri"/>
                <w:color w:val="FF0000"/>
                <w:sz w:val="18"/>
                <w:szCs w:val="20"/>
              </w:rPr>
            </w:pPr>
          </w:p>
        </w:tc>
        <w:tc>
          <w:tcPr>
            <w:tcW w:w="652" w:type="pct"/>
            <w:hideMark/>
          </w:tcPr>
          <w:p w14:paraId="71FE29E3" w14:textId="61DA2118" w:rsidR="00AB76C8" w:rsidRPr="000D1A50" w:rsidRDefault="00750148" w:rsidP="00C2741A">
            <w:pPr>
              <w:spacing w:after="0" w:line="240" w:lineRule="auto"/>
              <w:jc w:val="center"/>
              <w:rPr>
                <w:rFonts w:ascii="Futura Std Condensed Light" w:eastAsia="Calibri" w:hAnsi="Futura Std Condensed Light" w:cs="Calibri"/>
                <w:sz w:val="18"/>
                <w:szCs w:val="20"/>
              </w:rPr>
            </w:pPr>
            <w:r w:rsidRPr="000D1A50">
              <w:rPr>
                <w:rFonts w:ascii="Futura Std Condensed Light" w:eastAsia="Calibri" w:hAnsi="Futura Std Condensed Light" w:cs="Calibri"/>
                <w:sz w:val="18"/>
                <w:szCs w:val="20"/>
              </w:rPr>
              <w:t>Porcentaje de alumnos de sexto grado de primaria que obtienen un promedio igual o mayor a 8</w:t>
            </w:r>
            <w:r w:rsidR="00250B12" w:rsidRPr="000D1A50">
              <w:rPr>
                <w:rFonts w:ascii="Futura Std Condensed Light" w:eastAsia="Calibri" w:hAnsi="Futura Std Condensed Light" w:cs="Calibri"/>
                <w:sz w:val="18"/>
                <w:szCs w:val="20"/>
              </w:rPr>
              <w:t xml:space="preserve"> en la asignatura de español</w:t>
            </w:r>
          </w:p>
        </w:tc>
        <w:tc>
          <w:tcPr>
            <w:tcW w:w="575" w:type="pct"/>
          </w:tcPr>
          <w:p w14:paraId="3E99D4FD" w14:textId="5CBB85DB" w:rsidR="00AB76C8" w:rsidRPr="000D1A50" w:rsidRDefault="00750148" w:rsidP="00C2741A">
            <w:pPr>
              <w:spacing w:after="0" w:line="240" w:lineRule="auto"/>
              <w:jc w:val="center"/>
              <w:rPr>
                <w:rFonts w:ascii="Futura Std Condensed Light" w:eastAsia="Calibri" w:hAnsi="Futura Std Condensed Light" w:cs="Calibri"/>
                <w:sz w:val="18"/>
                <w:szCs w:val="20"/>
              </w:rPr>
            </w:pPr>
            <w:r w:rsidRPr="000D1A50">
              <w:rPr>
                <w:rFonts w:ascii="Futura Std Condensed Light" w:eastAsia="Calibri" w:hAnsi="Futura Std Condensed Light" w:cs="Calibri"/>
                <w:sz w:val="18"/>
                <w:szCs w:val="20"/>
              </w:rPr>
              <w:t>Sistema de Control Escolar de Educación Básica SICEB, Secretaría de Educación de Quintana Roo, SEQ</w:t>
            </w:r>
          </w:p>
        </w:tc>
        <w:tc>
          <w:tcPr>
            <w:tcW w:w="573" w:type="pct"/>
            <w:hideMark/>
          </w:tcPr>
          <w:p w14:paraId="2E8CBA90" w14:textId="4ECFEF2B" w:rsidR="00AB76C8" w:rsidRPr="000D1A50" w:rsidRDefault="00AB76C8" w:rsidP="00C2741A">
            <w:pPr>
              <w:spacing w:after="0" w:line="240" w:lineRule="auto"/>
              <w:jc w:val="center"/>
              <w:rPr>
                <w:rFonts w:ascii="Futura Std Condensed Light" w:eastAsia="Calibri" w:hAnsi="Futura Std Condensed Light" w:cs="Calibri"/>
                <w:sz w:val="18"/>
                <w:szCs w:val="18"/>
              </w:rPr>
            </w:pPr>
            <w:r w:rsidRPr="000D1A50">
              <w:rPr>
                <w:rFonts w:ascii="Futura Std Condensed Light" w:eastAsia="Calibri" w:hAnsi="Futura Std Condensed Light" w:cs="Calibri"/>
                <w:sz w:val="18"/>
                <w:szCs w:val="18"/>
              </w:rPr>
              <w:t>Porcentaje</w:t>
            </w:r>
          </w:p>
        </w:tc>
        <w:tc>
          <w:tcPr>
            <w:tcW w:w="361" w:type="pct"/>
            <w:hideMark/>
          </w:tcPr>
          <w:p w14:paraId="67DDF92E" w14:textId="7EA02D8A" w:rsidR="00AB76C8" w:rsidRPr="000D1A50" w:rsidRDefault="00750148" w:rsidP="00C2741A">
            <w:pPr>
              <w:spacing w:after="0" w:line="240" w:lineRule="auto"/>
              <w:jc w:val="center"/>
              <w:rPr>
                <w:rFonts w:ascii="Futura Std Condensed Light" w:eastAsia="Calibri" w:hAnsi="Futura Std Condensed Light" w:cs="Calibri"/>
                <w:sz w:val="18"/>
                <w:szCs w:val="18"/>
              </w:rPr>
            </w:pPr>
            <w:r w:rsidRPr="000D1A50">
              <w:rPr>
                <w:rFonts w:ascii="Futura Std Condensed Light" w:eastAsia="Calibri" w:hAnsi="Futura Std Condensed Light" w:cs="Calibri"/>
                <w:sz w:val="18"/>
                <w:szCs w:val="18"/>
              </w:rPr>
              <w:t>55.05</w:t>
            </w:r>
          </w:p>
        </w:tc>
        <w:tc>
          <w:tcPr>
            <w:tcW w:w="360" w:type="pct"/>
            <w:hideMark/>
          </w:tcPr>
          <w:p w14:paraId="49AD55DE" w14:textId="19F0C6E7" w:rsidR="00AB76C8" w:rsidRPr="000D1A50" w:rsidRDefault="00750148" w:rsidP="00C2741A">
            <w:pPr>
              <w:spacing w:after="0" w:line="240" w:lineRule="auto"/>
              <w:jc w:val="center"/>
              <w:rPr>
                <w:rFonts w:ascii="Futura Std Condensed Light" w:eastAsia="Calibri" w:hAnsi="Futura Std Condensed Light" w:cs="Calibri"/>
                <w:color w:val="FF0000"/>
                <w:sz w:val="18"/>
                <w:szCs w:val="18"/>
              </w:rPr>
            </w:pPr>
            <w:r w:rsidRPr="000D1A50">
              <w:rPr>
                <w:rFonts w:ascii="Futura Std Condensed Light" w:eastAsia="Calibri" w:hAnsi="Futura Std Condensed Light" w:cs="Calibri"/>
                <w:sz w:val="18"/>
                <w:szCs w:val="18"/>
              </w:rPr>
              <w:t>55.57</w:t>
            </w:r>
          </w:p>
        </w:tc>
        <w:tc>
          <w:tcPr>
            <w:tcW w:w="360" w:type="pct"/>
            <w:hideMark/>
          </w:tcPr>
          <w:p w14:paraId="19C3FEAA" w14:textId="1992A972" w:rsidR="00AB76C8" w:rsidRPr="000D1A50" w:rsidRDefault="00750148" w:rsidP="00C2741A">
            <w:pPr>
              <w:spacing w:after="0" w:line="240" w:lineRule="auto"/>
              <w:jc w:val="center"/>
              <w:rPr>
                <w:rFonts w:ascii="Futura Std Condensed Light" w:eastAsia="Calibri" w:hAnsi="Futura Std Condensed Light" w:cs="Calibri"/>
                <w:color w:val="FF0000"/>
                <w:sz w:val="18"/>
                <w:szCs w:val="18"/>
              </w:rPr>
            </w:pPr>
            <w:r w:rsidRPr="000D1A50">
              <w:rPr>
                <w:rFonts w:ascii="Futura Std Condensed Light" w:eastAsia="Calibri" w:hAnsi="Futura Std Condensed Light" w:cs="Calibri"/>
                <w:sz w:val="18"/>
                <w:szCs w:val="18"/>
              </w:rPr>
              <w:t>58.83</w:t>
            </w:r>
          </w:p>
        </w:tc>
        <w:tc>
          <w:tcPr>
            <w:tcW w:w="360" w:type="pct"/>
            <w:hideMark/>
          </w:tcPr>
          <w:p w14:paraId="0F0D9182" w14:textId="7D4F0389" w:rsidR="00AB76C8" w:rsidRPr="000D1A50" w:rsidRDefault="00750148" w:rsidP="00C2741A">
            <w:pPr>
              <w:spacing w:after="0" w:line="240" w:lineRule="auto"/>
              <w:jc w:val="center"/>
              <w:rPr>
                <w:rFonts w:ascii="Futura Std Condensed Light" w:eastAsia="Calibri" w:hAnsi="Futura Std Condensed Light" w:cs="Calibri"/>
                <w:color w:val="FF0000"/>
                <w:sz w:val="18"/>
                <w:szCs w:val="18"/>
              </w:rPr>
            </w:pPr>
            <w:r w:rsidRPr="000D1A50">
              <w:rPr>
                <w:rFonts w:ascii="Futura Std Condensed Light" w:eastAsia="Calibri" w:hAnsi="Futura Std Condensed Light" w:cs="Calibri"/>
                <w:sz w:val="18"/>
                <w:szCs w:val="18"/>
              </w:rPr>
              <w:t>59.28</w:t>
            </w:r>
          </w:p>
        </w:tc>
        <w:tc>
          <w:tcPr>
            <w:tcW w:w="360" w:type="pct"/>
            <w:hideMark/>
          </w:tcPr>
          <w:p w14:paraId="1693E239" w14:textId="4091FC09" w:rsidR="00AB76C8" w:rsidRPr="000D1A50" w:rsidRDefault="00750148" w:rsidP="00C2741A">
            <w:pPr>
              <w:spacing w:after="0" w:line="240" w:lineRule="auto"/>
              <w:jc w:val="center"/>
              <w:rPr>
                <w:rFonts w:ascii="Futura Std Condensed Light" w:eastAsia="Calibri" w:hAnsi="Futura Std Condensed Light" w:cs="Calibri"/>
                <w:color w:val="FF0000"/>
                <w:sz w:val="18"/>
                <w:szCs w:val="18"/>
              </w:rPr>
            </w:pPr>
            <w:r w:rsidRPr="000D1A50">
              <w:rPr>
                <w:rFonts w:ascii="Futura Std Condensed Light" w:eastAsia="Calibri" w:hAnsi="Futura Std Condensed Light" w:cs="Calibri"/>
                <w:sz w:val="18"/>
                <w:szCs w:val="18"/>
              </w:rPr>
              <w:t>59.73</w:t>
            </w:r>
          </w:p>
        </w:tc>
        <w:tc>
          <w:tcPr>
            <w:tcW w:w="361" w:type="pct"/>
            <w:gridSpan w:val="2"/>
            <w:hideMark/>
          </w:tcPr>
          <w:p w14:paraId="425A6ED0" w14:textId="33F28DB0" w:rsidR="00AB76C8" w:rsidRPr="000D1A50" w:rsidRDefault="00750148" w:rsidP="00C2741A">
            <w:pPr>
              <w:spacing w:after="0" w:line="240" w:lineRule="auto"/>
              <w:jc w:val="center"/>
              <w:rPr>
                <w:rFonts w:ascii="Futura Std Condensed Light" w:eastAsia="Calibri" w:hAnsi="Futura Std Condensed Light" w:cs="Calibri"/>
                <w:color w:val="FF0000"/>
                <w:sz w:val="18"/>
                <w:szCs w:val="18"/>
              </w:rPr>
            </w:pPr>
            <w:r w:rsidRPr="000D1A50">
              <w:rPr>
                <w:rFonts w:ascii="Futura Std Condensed Light" w:eastAsia="Calibri" w:hAnsi="Futura Std Condensed Light" w:cs="Calibri"/>
                <w:sz w:val="18"/>
                <w:szCs w:val="18"/>
              </w:rPr>
              <w:t>60.19</w:t>
            </w:r>
          </w:p>
        </w:tc>
        <w:tc>
          <w:tcPr>
            <w:tcW w:w="386" w:type="pct"/>
            <w:hideMark/>
          </w:tcPr>
          <w:p w14:paraId="2259EDB1" w14:textId="4F53D283" w:rsidR="00AB76C8" w:rsidRPr="000D1A50" w:rsidRDefault="00750148" w:rsidP="00C2741A">
            <w:pPr>
              <w:spacing w:after="0" w:line="240" w:lineRule="auto"/>
              <w:jc w:val="center"/>
              <w:rPr>
                <w:rFonts w:ascii="Futura Std Condensed Light" w:eastAsia="Calibri" w:hAnsi="Futura Std Condensed Light" w:cs="Calibri"/>
                <w:color w:val="FF0000"/>
                <w:sz w:val="18"/>
                <w:szCs w:val="18"/>
              </w:rPr>
            </w:pPr>
            <w:r w:rsidRPr="000D1A50">
              <w:rPr>
                <w:rFonts w:ascii="Futura Std Condensed Light" w:eastAsia="Calibri" w:hAnsi="Futura Std Condensed Light" w:cs="Calibri"/>
                <w:sz w:val="18"/>
                <w:szCs w:val="18"/>
              </w:rPr>
              <w:t>60.65</w:t>
            </w:r>
          </w:p>
        </w:tc>
      </w:tr>
      <w:tr w:rsidR="00C05655" w:rsidRPr="00FE0757" w14:paraId="3B618440" w14:textId="77777777" w:rsidTr="002C5453">
        <w:trPr>
          <w:trHeight w:val="283"/>
        </w:trPr>
        <w:tc>
          <w:tcPr>
            <w:tcW w:w="652" w:type="pct"/>
            <w:vMerge/>
          </w:tcPr>
          <w:p w14:paraId="161F8913" w14:textId="77777777" w:rsidR="00C05655" w:rsidRPr="000D1A50" w:rsidRDefault="00C05655" w:rsidP="00C05655">
            <w:pPr>
              <w:spacing w:after="0" w:line="240" w:lineRule="auto"/>
              <w:rPr>
                <w:rFonts w:ascii="Futura Std Condensed Light" w:eastAsia="Calibri" w:hAnsi="Futura Std Condensed Light" w:cs="Calibri"/>
                <w:color w:val="FF0000"/>
                <w:sz w:val="18"/>
                <w:szCs w:val="20"/>
              </w:rPr>
            </w:pPr>
          </w:p>
        </w:tc>
        <w:tc>
          <w:tcPr>
            <w:tcW w:w="652" w:type="pct"/>
          </w:tcPr>
          <w:p w14:paraId="52DA4850" w14:textId="16ABCB41" w:rsidR="00C05655" w:rsidRPr="000D1A50" w:rsidRDefault="00250B12" w:rsidP="00C05655">
            <w:pPr>
              <w:spacing w:after="0" w:line="240" w:lineRule="auto"/>
              <w:jc w:val="center"/>
              <w:rPr>
                <w:rFonts w:ascii="Futura Std Condensed Light" w:eastAsia="Calibri" w:hAnsi="Futura Std Condensed Light" w:cs="Calibri"/>
                <w:color w:val="FF0000"/>
                <w:sz w:val="18"/>
                <w:szCs w:val="20"/>
              </w:rPr>
            </w:pPr>
            <w:r w:rsidRPr="000D1A50">
              <w:rPr>
                <w:rFonts w:ascii="Futura Std Condensed Light" w:eastAsia="Calibri" w:hAnsi="Futura Std Condensed Light" w:cs="Calibri"/>
                <w:sz w:val="18"/>
                <w:szCs w:val="20"/>
              </w:rPr>
              <w:t xml:space="preserve">Porcentaje de alumnos </w:t>
            </w:r>
            <w:r w:rsidRPr="000D1A50">
              <w:rPr>
                <w:rFonts w:ascii="Futura Std Condensed Light" w:eastAsia="Calibri" w:hAnsi="Futura Std Condensed Light" w:cs="Calibri"/>
                <w:sz w:val="18"/>
                <w:szCs w:val="20"/>
              </w:rPr>
              <w:lastRenderedPageBreak/>
              <w:t>de sexto grado de primaria que obtienen un promedio igual o mayor</w:t>
            </w:r>
            <w:r w:rsidR="00DF693C">
              <w:rPr>
                <w:rFonts w:ascii="Futura Std Condensed Light" w:eastAsia="Calibri" w:hAnsi="Futura Std Condensed Light" w:cs="Calibri"/>
                <w:sz w:val="18"/>
                <w:szCs w:val="20"/>
              </w:rPr>
              <w:t xml:space="preserve"> a 8 en la asignatura de matemáticas</w:t>
            </w:r>
          </w:p>
        </w:tc>
        <w:tc>
          <w:tcPr>
            <w:tcW w:w="575" w:type="pct"/>
          </w:tcPr>
          <w:p w14:paraId="1B14F790" w14:textId="0AE8AF2E" w:rsidR="00C05655" w:rsidRPr="000D1A50" w:rsidRDefault="00250B12" w:rsidP="00C05655">
            <w:pPr>
              <w:spacing w:after="0" w:line="240" w:lineRule="auto"/>
              <w:jc w:val="center"/>
              <w:rPr>
                <w:rFonts w:ascii="Futura Std Condensed Light" w:eastAsia="Calibri" w:hAnsi="Futura Std Condensed Light" w:cs="Calibri"/>
                <w:sz w:val="18"/>
                <w:szCs w:val="20"/>
              </w:rPr>
            </w:pPr>
            <w:r w:rsidRPr="000D1A50">
              <w:rPr>
                <w:rFonts w:ascii="Futura Std Condensed Light" w:eastAsia="Calibri" w:hAnsi="Futura Std Condensed Light" w:cs="Calibri"/>
                <w:sz w:val="18"/>
                <w:szCs w:val="20"/>
              </w:rPr>
              <w:lastRenderedPageBreak/>
              <w:t xml:space="preserve">Sistema de </w:t>
            </w:r>
            <w:r w:rsidRPr="000D1A50">
              <w:rPr>
                <w:rFonts w:ascii="Futura Std Condensed Light" w:eastAsia="Calibri" w:hAnsi="Futura Std Condensed Light" w:cs="Calibri"/>
                <w:sz w:val="18"/>
                <w:szCs w:val="20"/>
              </w:rPr>
              <w:lastRenderedPageBreak/>
              <w:t>Control Escolar de Educación Básica SICEB, Secretaría de Educación de Quintana Roo, SEQ</w:t>
            </w:r>
          </w:p>
        </w:tc>
        <w:tc>
          <w:tcPr>
            <w:tcW w:w="573" w:type="pct"/>
          </w:tcPr>
          <w:p w14:paraId="0E6A0244" w14:textId="10C1BEE2" w:rsidR="00C05655" w:rsidRPr="000D1A50" w:rsidRDefault="00C05655" w:rsidP="00C05655">
            <w:pPr>
              <w:spacing w:after="0" w:line="240" w:lineRule="auto"/>
              <w:jc w:val="center"/>
              <w:rPr>
                <w:rFonts w:ascii="Futura Std Condensed Light" w:eastAsia="Calibri" w:hAnsi="Futura Std Condensed Light" w:cs="Calibri"/>
                <w:sz w:val="18"/>
                <w:szCs w:val="18"/>
              </w:rPr>
            </w:pPr>
            <w:r w:rsidRPr="000D1A50">
              <w:rPr>
                <w:rFonts w:ascii="Futura Std Condensed Light" w:eastAsia="Calibri" w:hAnsi="Futura Std Condensed Light" w:cs="Calibri"/>
                <w:sz w:val="18"/>
                <w:szCs w:val="18"/>
              </w:rPr>
              <w:lastRenderedPageBreak/>
              <w:t>Porcentaje</w:t>
            </w:r>
          </w:p>
        </w:tc>
        <w:tc>
          <w:tcPr>
            <w:tcW w:w="361" w:type="pct"/>
          </w:tcPr>
          <w:p w14:paraId="13E5B1F7" w14:textId="3D4230A4" w:rsidR="00C05655" w:rsidRPr="000D1A50" w:rsidRDefault="00250B12" w:rsidP="007B63AB">
            <w:pPr>
              <w:spacing w:after="0" w:line="240" w:lineRule="auto"/>
              <w:jc w:val="center"/>
              <w:rPr>
                <w:rFonts w:ascii="Futura Std Condensed Light" w:eastAsia="Calibri" w:hAnsi="Futura Std Condensed Light" w:cs="Calibri"/>
                <w:color w:val="FF0000"/>
                <w:sz w:val="18"/>
                <w:szCs w:val="18"/>
              </w:rPr>
            </w:pPr>
            <w:r w:rsidRPr="000D1A50">
              <w:rPr>
                <w:rFonts w:ascii="Futura Std Condensed Light" w:eastAsia="Calibri" w:hAnsi="Futura Std Condensed Light" w:cs="Calibri"/>
                <w:sz w:val="18"/>
                <w:szCs w:val="18"/>
              </w:rPr>
              <w:t>46.99</w:t>
            </w:r>
          </w:p>
        </w:tc>
        <w:tc>
          <w:tcPr>
            <w:tcW w:w="360" w:type="pct"/>
          </w:tcPr>
          <w:p w14:paraId="6DE8FA3D" w14:textId="75D0E618" w:rsidR="006B7D7A" w:rsidRPr="000D1A50" w:rsidRDefault="006B7D7A" w:rsidP="00C05655">
            <w:pPr>
              <w:spacing w:after="0" w:line="240" w:lineRule="auto"/>
              <w:jc w:val="center"/>
              <w:rPr>
                <w:rFonts w:ascii="Futura Std Condensed Light" w:eastAsia="Calibri" w:hAnsi="Futura Std Condensed Light" w:cs="Calibri"/>
                <w:color w:val="FF0000"/>
                <w:sz w:val="18"/>
                <w:szCs w:val="18"/>
              </w:rPr>
            </w:pPr>
          </w:p>
          <w:p w14:paraId="6A1827E5" w14:textId="3BBF5BBA" w:rsidR="006B7D7A" w:rsidRPr="000D1A50" w:rsidRDefault="006B7D7A" w:rsidP="006B7D7A">
            <w:pPr>
              <w:rPr>
                <w:rFonts w:ascii="Futura Std Condensed Light" w:eastAsia="Calibri" w:hAnsi="Futura Std Condensed Light" w:cs="Calibri"/>
                <w:color w:val="FF0000"/>
                <w:sz w:val="18"/>
                <w:szCs w:val="18"/>
              </w:rPr>
            </w:pPr>
          </w:p>
          <w:p w14:paraId="040E4E08" w14:textId="77777777" w:rsidR="00250B12" w:rsidRPr="000D1A50" w:rsidRDefault="00250B12" w:rsidP="006B7D7A">
            <w:pPr>
              <w:rPr>
                <w:rFonts w:ascii="Futura Std Condensed Light" w:eastAsia="Calibri" w:hAnsi="Futura Std Condensed Light" w:cs="Calibri"/>
                <w:sz w:val="18"/>
                <w:szCs w:val="18"/>
              </w:rPr>
            </w:pPr>
          </w:p>
          <w:p w14:paraId="041C99A4" w14:textId="0BC44E7D" w:rsidR="00AC3D1B" w:rsidRPr="000D1A50" w:rsidRDefault="00250B12" w:rsidP="00250B12">
            <w:pPr>
              <w:jc w:val="center"/>
              <w:rPr>
                <w:rFonts w:ascii="Futura Std Condensed Light" w:eastAsia="Calibri" w:hAnsi="Futura Std Condensed Light" w:cs="Calibri"/>
                <w:color w:val="FF0000"/>
                <w:sz w:val="18"/>
                <w:szCs w:val="18"/>
              </w:rPr>
            </w:pPr>
            <w:r w:rsidRPr="000D1A50">
              <w:rPr>
                <w:rFonts w:ascii="Futura Std Condensed Light" w:eastAsia="Calibri" w:hAnsi="Futura Std Condensed Light" w:cs="Calibri"/>
                <w:sz w:val="18"/>
                <w:szCs w:val="18"/>
              </w:rPr>
              <w:t>47.53</w:t>
            </w:r>
          </w:p>
          <w:p w14:paraId="3F5FF92B" w14:textId="5FE6B345" w:rsidR="006B7D7A" w:rsidRPr="000D1A50" w:rsidRDefault="006B7D7A" w:rsidP="006B7D7A">
            <w:pPr>
              <w:rPr>
                <w:rFonts w:ascii="Futura Std Condensed Light" w:eastAsia="Calibri" w:hAnsi="Futura Std Condensed Light" w:cs="Calibri"/>
                <w:color w:val="FF0000"/>
                <w:sz w:val="18"/>
                <w:szCs w:val="18"/>
              </w:rPr>
            </w:pPr>
          </w:p>
          <w:p w14:paraId="3078574D" w14:textId="77777777" w:rsidR="00C05655" w:rsidRPr="000D1A50" w:rsidRDefault="00C05655" w:rsidP="006B7D7A">
            <w:pPr>
              <w:rPr>
                <w:rFonts w:ascii="Futura Std Condensed Light" w:eastAsia="Calibri" w:hAnsi="Futura Std Condensed Light" w:cs="Calibri"/>
                <w:color w:val="FF0000"/>
                <w:sz w:val="18"/>
                <w:szCs w:val="18"/>
              </w:rPr>
            </w:pPr>
          </w:p>
        </w:tc>
        <w:tc>
          <w:tcPr>
            <w:tcW w:w="360" w:type="pct"/>
          </w:tcPr>
          <w:p w14:paraId="1DD4E821" w14:textId="408D8173" w:rsidR="00C05655" w:rsidRPr="000D1A50" w:rsidRDefault="00250B12" w:rsidP="00BD420A">
            <w:pPr>
              <w:jc w:val="center"/>
              <w:rPr>
                <w:rFonts w:ascii="Futura Std Condensed Light" w:eastAsia="Calibri" w:hAnsi="Futura Std Condensed Light" w:cs="Calibri"/>
                <w:color w:val="FF0000"/>
                <w:sz w:val="18"/>
                <w:szCs w:val="18"/>
              </w:rPr>
            </w:pPr>
            <w:r w:rsidRPr="000D1A50">
              <w:rPr>
                <w:rFonts w:ascii="Futura Std Condensed Light" w:eastAsia="Calibri" w:hAnsi="Futura Std Condensed Light" w:cs="Calibri"/>
                <w:sz w:val="18"/>
                <w:szCs w:val="18"/>
              </w:rPr>
              <w:lastRenderedPageBreak/>
              <w:t>50.57</w:t>
            </w:r>
          </w:p>
        </w:tc>
        <w:tc>
          <w:tcPr>
            <w:tcW w:w="360" w:type="pct"/>
          </w:tcPr>
          <w:p w14:paraId="0BD9F81B" w14:textId="58B7BC23" w:rsidR="00C05655" w:rsidRPr="000D1A50" w:rsidRDefault="00250B12" w:rsidP="00C05655">
            <w:pPr>
              <w:spacing w:after="0" w:line="240" w:lineRule="auto"/>
              <w:jc w:val="center"/>
              <w:rPr>
                <w:rFonts w:ascii="Futura Std Condensed Light" w:eastAsia="Calibri" w:hAnsi="Futura Std Condensed Light" w:cs="Calibri"/>
                <w:color w:val="FF0000"/>
                <w:sz w:val="18"/>
                <w:szCs w:val="18"/>
              </w:rPr>
            </w:pPr>
            <w:r w:rsidRPr="000D1A50">
              <w:rPr>
                <w:rFonts w:ascii="Futura Std Condensed Light" w:eastAsia="Calibri" w:hAnsi="Futura Std Condensed Light" w:cs="Calibri"/>
                <w:sz w:val="18"/>
                <w:szCs w:val="18"/>
              </w:rPr>
              <w:t>50.97</w:t>
            </w:r>
          </w:p>
        </w:tc>
        <w:tc>
          <w:tcPr>
            <w:tcW w:w="360" w:type="pct"/>
          </w:tcPr>
          <w:p w14:paraId="440FED8A" w14:textId="34D1753E" w:rsidR="00C05655" w:rsidRPr="000D1A50" w:rsidRDefault="00250B12" w:rsidP="00C05655">
            <w:pPr>
              <w:spacing w:after="0" w:line="240" w:lineRule="auto"/>
              <w:jc w:val="center"/>
              <w:rPr>
                <w:rFonts w:ascii="Futura Std Condensed Light" w:eastAsia="Calibri" w:hAnsi="Futura Std Condensed Light" w:cs="Calibri"/>
                <w:color w:val="FF0000"/>
                <w:sz w:val="18"/>
                <w:szCs w:val="18"/>
              </w:rPr>
            </w:pPr>
            <w:r w:rsidRPr="000D1A50">
              <w:rPr>
                <w:rFonts w:ascii="Futura Std Condensed Light" w:eastAsia="Calibri" w:hAnsi="Futura Std Condensed Light" w:cs="Calibri"/>
                <w:sz w:val="18"/>
                <w:szCs w:val="18"/>
              </w:rPr>
              <w:t>51.37</w:t>
            </w:r>
          </w:p>
        </w:tc>
        <w:tc>
          <w:tcPr>
            <w:tcW w:w="361" w:type="pct"/>
            <w:gridSpan w:val="2"/>
          </w:tcPr>
          <w:p w14:paraId="321896C8" w14:textId="0A7A3FB4" w:rsidR="00C05655" w:rsidRPr="000D1A50" w:rsidRDefault="00250B12" w:rsidP="00C05655">
            <w:pPr>
              <w:spacing w:after="0" w:line="240" w:lineRule="auto"/>
              <w:jc w:val="center"/>
              <w:rPr>
                <w:rFonts w:ascii="Futura Std Condensed Light" w:eastAsia="Calibri" w:hAnsi="Futura Std Condensed Light" w:cs="Calibri"/>
                <w:color w:val="FF0000"/>
                <w:sz w:val="18"/>
                <w:szCs w:val="18"/>
              </w:rPr>
            </w:pPr>
            <w:r w:rsidRPr="000D1A50">
              <w:rPr>
                <w:rFonts w:ascii="Futura Std Condensed Light" w:eastAsia="Calibri" w:hAnsi="Futura Std Condensed Light" w:cs="Calibri"/>
                <w:sz w:val="18"/>
                <w:szCs w:val="18"/>
              </w:rPr>
              <w:t>51.78</w:t>
            </w:r>
          </w:p>
        </w:tc>
        <w:tc>
          <w:tcPr>
            <w:tcW w:w="386" w:type="pct"/>
          </w:tcPr>
          <w:p w14:paraId="745D53B7" w14:textId="02E73AE1" w:rsidR="00C05655" w:rsidRPr="000D1A50" w:rsidRDefault="00250B12" w:rsidP="00C05655">
            <w:pPr>
              <w:spacing w:after="0" w:line="240" w:lineRule="auto"/>
              <w:jc w:val="center"/>
              <w:rPr>
                <w:rFonts w:ascii="Futura Std Condensed Light" w:eastAsia="Calibri" w:hAnsi="Futura Std Condensed Light" w:cs="Calibri"/>
                <w:color w:val="FF0000"/>
                <w:sz w:val="18"/>
                <w:szCs w:val="18"/>
              </w:rPr>
            </w:pPr>
            <w:r w:rsidRPr="000D1A50">
              <w:rPr>
                <w:rFonts w:ascii="Futura Std Condensed Light" w:eastAsia="Calibri" w:hAnsi="Futura Std Condensed Light" w:cs="Calibri"/>
                <w:sz w:val="18"/>
                <w:szCs w:val="18"/>
              </w:rPr>
              <w:t>52.19</w:t>
            </w:r>
          </w:p>
        </w:tc>
      </w:tr>
      <w:tr w:rsidR="00B75B80" w:rsidRPr="00FE0757" w14:paraId="643DBF16" w14:textId="77777777" w:rsidTr="00BB6B17">
        <w:trPr>
          <w:trHeight w:val="283"/>
        </w:trPr>
        <w:tc>
          <w:tcPr>
            <w:tcW w:w="652" w:type="pct"/>
            <w:vMerge/>
          </w:tcPr>
          <w:p w14:paraId="1E50229C" w14:textId="77777777" w:rsidR="00B75B80" w:rsidRPr="000D1A50" w:rsidRDefault="00B75B80" w:rsidP="00B75B80">
            <w:pPr>
              <w:spacing w:after="0" w:line="240" w:lineRule="auto"/>
              <w:rPr>
                <w:rFonts w:ascii="Futura Std Condensed Light" w:eastAsia="Calibri" w:hAnsi="Futura Std Condensed Light" w:cs="Calibri"/>
                <w:color w:val="FF0000"/>
                <w:sz w:val="18"/>
                <w:szCs w:val="20"/>
              </w:rPr>
            </w:pPr>
          </w:p>
        </w:tc>
        <w:tc>
          <w:tcPr>
            <w:tcW w:w="652" w:type="pct"/>
            <w:vAlign w:val="top"/>
          </w:tcPr>
          <w:p w14:paraId="034C8A8D" w14:textId="480F4EA3" w:rsidR="00B75B80" w:rsidRPr="000D1A50" w:rsidRDefault="005739A1" w:rsidP="00B75B80">
            <w:pPr>
              <w:spacing w:after="0" w:line="240" w:lineRule="auto"/>
              <w:jc w:val="center"/>
              <w:rPr>
                <w:rFonts w:ascii="Futura Std Condensed Light" w:eastAsia="Calibri" w:hAnsi="Futura Std Condensed Light" w:cs="Calibri"/>
                <w:sz w:val="18"/>
                <w:szCs w:val="20"/>
              </w:rPr>
            </w:pPr>
            <w:r w:rsidRPr="000D1A50">
              <w:rPr>
                <w:rFonts w:ascii="Futura Std Condensed Light" w:eastAsia="Calibri" w:hAnsi="Futura Std Condensed Light" w:cs="Calibri"/>
                <w:sz w:val="18"/>
                <w:szCs w:val="20"/>
              </w:rPr>
              <w:t>Porcentaje de alumnos de tercer grado de secundaria que obtienen un promedio igual o mayor a 8 en la asignatura de español</w:t>
            </w:r>
          </w:p>
        </w:tc>
        <w:tc>
          <w:tcPr>
            <w:tcW w:w="575" w:type="pct"/>
          </w:tcPr>
          <w:p w14:paraId="2A6BE877" w14:textId="3AAE5667" w:rsidR="00B75B80" w:rsidRPr="000D1A50" w:rsidRDefault="005739A1" w:rsidP="00B75B80">
            <w:pPr>
              <w:spacing w:after="0" w:line="240" w:lineRule="auto"/>
              <w:jc w:val="center"/>
              <w:rPr>
                <w:rFonts w:ascii="Futura Std Condensed Light" w:eastAsia="Calibri" w:hAnsi="Futura Std Condensed Light" w:cs="Calibri"/>
                <w:sz w:val="18"/>
                <w:szCs w:val="20"/>
              </w:rPr>
            </w:pPr>
            <w:r w:rsidRPr="000D1A50">
              <w:rPr>
                <w:rFonts w:ascii="Futura Std Condensed Light" w:eastAsia="Calibri" w:hAnsi="Futura Std Condensed Light" w:cs="Calibri"/>
                <w:sz w:val="18"/>
                <w:szCs w:val="20"/>
              </w:rPr>
              <w:t>Sistema de Control Escolar de Educación Básica SICEB, Secretaría de Educación de Quintana Roo, SEQ</w:t>
            </w:r>
          </w:p>
        </w:tc>
        <w:tc>
          <w:tcPr>
            <w:tcW w:w="573" w:type="pct"/>
          </w:tcPr>
          <w:p w14:paraId="08C1DB47" w14:textId="040FBA0E" w:rsidR="00B75B80" w:rsidRPr="000D1A50" w:rsidRDefault="00B75B80" w:rsidP="00B75B80">
            <w:pPr>
              <w:spacing w:after="0" w:line="240" w:lineRule="auto"/>
              <w:jc w:val="center"/>
              <w:rPr>
                <w:rFonts w:ascii="Futura Std Condensed Light" w:eastAsia="Calibri" w:hAnsi="Futura Std Condensed Light" w:cs="Calibri"/>
                <w:sz w:val="18"/>
                <w:szCs w:val="18"/>
              </w:rPr>
            </w:pPr>
            <w:r w:rsidRPr="000D1A50">
              <w:rPr>
                <w:rFonts w:ascii="Futura Std Condensed Light" w:eastAsia="Calibri" w:hAnsi="Futura Std Condensed Light" w:cs="Calibri"/>
                <w:sz w:val="18"/>
                <w:szCs w:val="18"/>
              </w:rPr>
              <w:t>Porcentaje</w:t>
            </w:r>
          </w:p>
        </w:tc>
        <w:tc>
          <w:tcPr>
            <w:tcW w:w="361" w:type="pct"/>
          </w:tcPr>
          <w:p w14:paraId="1005E632" w14:textId="2AAE06E3" w:rsidR="00B75B80" w:rsidRPr="000D1A50" w:rsidRDefault="005739A1" w:rsidP="00B75B80">
            <w:pPr>
              <w:spacing w:after="0" w:line="240" w:lineRule="auto"/>
              <w:jc w:val="center"/>
              <w:rPr>
                <w:rFonts w:ascii="Futura Std Condensed Light" w:eastAsia="Calibri" w:hAnsi="Futura Std Condensed Light" w:cs="Calibri"/>
                <w:color w:val="FF0000"/>
                <w:sz w:val="18"/>
                <w:szCs w:val="18"/>
              </w:rPr>
            </w:pPr>
            <w:r w:rsidRPr="000D1A50">
              <w:rPr>
                <w:rFonts w:ascii="Futura Std Condensed Light" w:eastAsia="Calibri" w:hAnsi="Futura Std Condensed Light" w:cs="Calibri"/>
                <w:sz w:val="18"/>
                <w:szCs w:val="18"/>
              </w:rPr>
              <w:t>53.93</w:t>
            </w:r>
          </w:p>
        </w:tc>
        <w:tc>
          <w:tcPr>
            <w:tcW w:w="360" w:type="pct"/>
          </w:tcPr>
          <w:p w14:paraId="4D5CD6DE" w14:textId="57F913B0" w:rsidR="00B75B80" w:rsidRPr="000D1A50" w:rsidRDefault="005739A1" w:rsidP="00B75B80">
            <w:pPr>
              <w:spacing w:after="0" w:line="240" w:lineRule="auto"/>
              <w:jc w:val="center"/>
              <w:rPr>
                <w:rFonts w:ascii="Futura Std Condensed Light" w:eastAsia="Calibri" w:hAnsi="Futura Std Condensed Light" w:cs="Calibri"/>
                <w:color w:val="FF0000"/>
                <w:sz w:val="18"/>
                <w:szCs w:val="18"/>
              </w:rPr>
            </w:pPr>
            <w:r w:rsidRPr="000D1A50">
              <w:rPr>
                <w:rFonts w:ascii="Futura Std Condensed Light" w:eastAsia="Calibri" w:hAnsi="Futura Std Condensed Light" w:cs="Calibri"/>
                <w:sz w:val="18"/>
                <w:szCs w:val="18"/>
              </w:rPr>
              <w:t>54.68</w:t>
            </w:r>
          </w:p>
        </w:tc>
        <w:tc>
          <w:tcPr>
            <w:tcW w:w="360" w:type="pct"/>
          </w:tcPr>
          <w:p w14:paraId="489FBE89" w14:textId="1EA51F16" w:rsidR="005739A1" w:rsidRPr="000D1A50" w:rsidRDefault="005739A1" w:rsidP="00B75B80">
            <w:pPr>
              <w:rPr>
                <w:rFonts w:ascii="Futura Std Condensed Light" w:eastAsia="Calibri" w:hAnsi="Futura Std Condensed Light" w:cs="Calibri"/>
                <w:sz w:val="18"/>
                <w:szCs w:val="18"/>
              </w:rPr>
            </w:pPr>
          </w:p>
          <w:p w14:paraId="1EDCAD6C" w14:textId="64165AA1" w:rsidR="00B75B80" w:rsidRPr="000D1A50" w:rsidRDefault="005739A1" w:rsidP="005739A1">
            <w:pPr>
              <w:jc w:val="center"/>
              <w:rPr>
                <w:rFonts w:ascii="Futura Std Condensed Light" w:eastAsia="Calibri" w:hAnsi="Futura Std Condensed Light" w:cs="Calibri"/>
                <w:color w:val="FF0000"/>
                <w:sz w:val="18"/>
                <w:szCs w:val="18"/>
              </w:rPr>
            </w:pPr>
            <w:r w:rsidRPr="000D1A50">
              <w:rPr>
                <w:rFonts w:ascii="Futura Std Condensed Light" w:eastAsia="Calibri" w:hAnsi="Futura Std Condensed Light" w:cs="Calibri"/>
                <w:sz w:val="18"/>
                <w:szCs w:val="18"/>
              </w:rPr>
              <w:t>52.49</w:t>
            </w:r>
          </w:p>
          <w:p w14:paraId="7AC4290A" w14:textId="77777777" w:rsidR="00B75B80" w:rsidRPr="000D1A50" w:rsidRDefault="00B75B80" w:rsidP="00B75B80">
            <w:pPr>
              <w:rPr>
                <w:rFonts w:ascii="Futura Std Condensed Light" w:eastAsia="Calibri" w:hAnsi="Futura Std Condensed Light" w:cs="Calibri"/>
                <w:color w:val="FF0000"/>
                <w:sz w:val="18"/>
                <w:szCs w:val="18"/>
              </w:rPr>
            </w:pPr>
          </w:p>
        </w:tc>
        <w:tc>
          <w:tcPr>
            <w:tcW w:w="360" w:type="pct"/>
          </w:tcPr>
          <w:p w14:paraId="45C352BF" w14:textId="376F9690" w:rsidR="00B75B80" w:rsidRPr="000D1A50" w:rsidRDefault="005739A1" w:rsidP="00B75B80">
            <w:pPr>
              <w:spacing w:after="0" w:line="240" w:lineRule="auto"/>
              <w:jc w:val="center"/>
              <w:rPr>
                <w:rFonts w:ascii="Futura Std Condensed Light" w:eastAsia="Calibri" w:hAnsi="Futura Std Condensed Light" w:cs="Calibri"/>
                <w:color w:val="FF0000"/>
                <w:sz w:val="18"/>
                <w:szCs w:val="18"/>
              </w:rPr>
            </w:pPr>
            <w:r w:rsidRPr="000D1A50">
              <w:rPr>
                <w:rFonts w:ascii="Futura Std Condensed Light" w:eastAsia="Calibri" w:hAnsi="Futura Std Condensed Light" w:cs="Calibri"/>
                <w:sz w:val="18"/>
                <w:szCs w:val="18"/>
              </w:rPr>
              <w:t>56.82</w:t>
            </w:r>
          </w:p>
        </w:tc>
        <w:tc>
          <w:tcPr>
            <w:tcW w:w="360" w:type="pct"/>
          </w:tcPr>
          <w:p w14:paraId="39C82E0F" w14:textId="4FAE75C3" w:rsidR="00B75B80" w:rsidRPr="000D1A50" w:rsidRDefault="00B75B80" w:rsidP="00BD420A">
            <w:pPr>
              <w:rPr>
                <w:rFonts w:ascii="Futura Std Condensed Light" w:eastAsia="Calibri" w:hAnsi="Futura Std Condensed Light" w:cs="Calibri"/>
                <w:color w:val="FF0000"/>
                <w:sz w:val="18"/>
                <w:szCs w:val="18"/>
              </w:rPr>
            </w:pPr>
          </w:p>
          <w:p w14:paraId="2785FA64" w14:textId="45F8BF29" w:rsidR="00B75B80" w:rsidRPr="000D1A50" w:rsidRDefault="005739A1" w:rsidP="005739A1">
            <w:pPr>
              <w:jc w:val="center"/>
              <w:rPr>
                <w:rFonts w:ascii="Futura Std Condensed Light" w:eastAsia="Calibri" w:hAnsi="Futura Std Condensed Light" w:cs="Calibri"/>
                <w:color w:val="FF0000"/>
                <w:sz w:val="18"/>
                <w:szCs w:val="18"/>
              </w:rPr>
            </w:pPr>
            <w:r w:rsidRPr="000D1A50">
              <w:rPr>
                <w:rFonts w:ascii="Futura Std Condensed Light" w:eastAsia="Calibri" w:hAnsi="Futura Std Condensed Light" w:cs="Calibri"/>
                <w:sz w:val="18"/>
                <w:szCs w:val="18"/>
              </w:rPr>
              <w:t>57.21</w:t>
            </w:r>
          </w:p>
          <w:p w14:paraId="0DD6E9E0" w14:textId="08D6E270" w:rsidR="00B75B80" w:rsidRPr="000D1A50" w:rsidRDefault="00B75B80" w:rsidP="005739A1">
            <w:pPr>
              <w:jc w:val="center"/>
              <w:rPr>
                <w:rFonts w:ascii="Futura Std Condensed Light" w:eastAsia="Calibri" w:hAnsi="Futura Std Condensed Light" w:cs="Calibri"/>
                <w:color w:val="FF0000"/>
                <w:sz w:val="18"/>
                <w:szCs w:val="18"/>
              </w:rPr>
            </w:pPr>
          </w:p>
          <w:p w14:paraId="36B98EAC" w14:textId="77777777" w:rsidR="00B75B80" w:rsidRPr="000D1A50" w:rsidRDefault="00B75B80" w:rsidP="005739A1">
            <w:pPr>
              <w:jc w:val="center"/>
              <w:rPr>
                <w:rFonts w:ascii="Futura Std Condensed Light" w:eastAsia="Calibri" w:hAnsi="Futura Std Condensed Light" w:cs="Calibri"/>
                <w:color w:val="FF0000"/>
                <w:sz w:val="18"/>
                <w:szCs w:val="18"/>
              </w:rPr>
            </w:pPr>
          </w:p>
        </w:tc>
        <w:tc>
          <w:tcPr>
            <w:tcW w:w="361" w:type="pct"/>
            <w:gridSpan w:val="2"/>
          </w:tcPr>
          <w:p w14:paraId="476F6BD9" w14:textId="433EF7FE" w:rsidR="00B75B80" w:rsidRPr="000D1A50" w:rsidRDefault="005739A1" w:rsidP="00B75B80">
            <w:pPr>
              <w:spacing w:after="0" w:line="240" w:lineRule="auto"/>
              <w:jc w:val="center"/>
              <w:rPr>
                <w:rFonts w:ascii="Futura Std Condensed Light" w:eastAsia="Calibri" w:hAnsi="Futura Std Condensed Light" w:cs="Calibri"/>
                <w:color w:val="FF0000"/>
                <w:sz w:val="18"/>
                <w:szCs w:val="18"/>
              </w:rPr>
            </w:pPr>
            <w:r w:rsidRPr="000D1A50">
              <w:rPr>
                <w:rFonts w:ascii="Futura Std Condensed Light" w:eastAsia="Calibri" w:hAnsi="Futura Std Condensed Light" w:cs="Calibri"/>
                <w:sz w:val="18"/>
                <w:szCs w:val="18"/>
              </w:rPr>
              <w:t>57.61</w:t>
            </w:r>
          </w:p>
        </w:tc>
        <w:tc>
          <w:tcPr>
            <w:tcW w:w="386" w:type="pct"/>
          </w:tcPr>
          <w:p w14:paraId="18893EDF" w14:textId="78167848" w:rsidR="00B75B80" w:rsidRPr="000D1A50" w:rsidRDefault="005739A1" w:rsidP="00BD420A">
            <w:pPr>
              <w:spacing w:after="0" w:line="240" w:lineRule="auto"/>
              <w:jc w:val="center"/>
              <w:rPr>
                <w:rFonts w:ascii="Futura Std Condensed Light" w:eastAsia="Calibri" w:hAnsi="Futura Std Condensed Light" w:cs="Calibri"/>
                <w:color w:val="FF0000"/>
                <w:sz w:val="18"/>
                <w:szCs w:val="18"/>
              </w:rPr>
            </w:pPr>
            <w:r w:rsidRPr="000D1A50">
              <w:rPr>
                <w:rFonts w:ascii="Futura Std Condensed Light" w:eastAsia="Calibri" w:hAnsi="Futura Std Condensed Light" w:cs="Calibri"/>
                <w:sz w:val="18"/>
                <w:szCs w:val="18"/>
              </w:rPr>
              <w:t>58.01</w:t>
            </w:r>
          </w:p>
        </w:tc>
      </w:tr>
      <w:tr w:rsidR="00CB0990" w:rsidRPr="00FE0757" w14:paraId="56CE647F" w14:textId="77777777" w:rsidTr="003F4E09">
        <w:trPr>
          <w:trHeight w:val="2960"/>
        </w:trPr>
        <w:tc>
          <w:tcPr>
            <w:tcW w:w="652" w:type="pct"/>
            <w:vMerge/>
          </w:tcPr>
          <w:p w14:paraId="3581A355" w14:textId="77777777" w:rsidR="00CB0990" w:rsidRPr="000D1A50" w:rsidRDefault="00CB0990" w:rsidP="00CB0990">
            <w:pPr>
              <w:spacing w:after="0" w:line="240" w:lineRule="auto"/>
              <w:rPr>
                <w:rFonts w:ascii="Futura Std Condensed Light" w:eastAsia="Calibri" w:hAnsi="Futura Std Condensed Light" w:cs="Calibri"/>
                <w:szCs w:val="20"/>
              </w:rPr>
            </w:pPr>
          </w:p>
        </w:tc>
        <w:tc>
          <w:tcPr>
            <w:tcW w:w="652" w:type="pct"/>
          </w:tcPr>
          <w:p w14:paraId="4963BAD6" w14:textId="7496EEFD" w:rsidR="00CB0990" w:rsidRPr="000D1A50" w:rsidRDefault="00CB0990" w:rsidP="00CB0990">
            <w:pPr>
              <w:spacing w:after="0" w:line="240" w:lineRule="auto"/>
              <w:jc w:val="center"/>
              <w:rPr>
                <w:rFonts w:ascii="Futura Std Condensed Light" w:eastAsia="Calibri" w:hAnsi="Futura Std Condensed Light" w:cs="Calibri"/>
                <w:color w:val="FF0000"/>
                <w:sz w:val="18"/>
                <w:szCs w:val="20"/>
              </w:rPr>
            </w:pPr>
            <w:r w:rsidRPr="000D1A50">
              <w:rPr>
                <w:rFonts w:ascii="Futura Std Condensed Light" w:eastAsia="Calibri" w:hAnsi="Futura Std Condensed Light" w:cs="Calibri"/>
                <w:sz w:val="18"/>
                <w:szCs w:val="20"/>
              </w:rPr>
              <w:t xml:space="preserve">Porcentaje de alumnos de tercer grado de secundaria que obtienen un promedio igual o mayor a 8 </w:t>
            </w:r>
            <w:r w:rsidR="003F4E09">
              <w:rPr>
                <w:rFonts w:ascii="Futura Std Condensed Light" w:eastAsia="Calibri" w:hAnsi="Futura Std Condensed Light" w:cs="Calibri"/>
                <w:sz w:val="18"/>
                <w:szCs w:val="20"/>
              </w:rPr>
              <w:t>en la asignatura de matemáticas</w:t>
            </w:r>
          </w:p>
        </w:tc>
        <w:tc>
          <w:tcPr>
            <w:tcW w:w="575" w:type="pct"/>
          </w:tcPr>
          <w:p w14:paraId="12037E1C" w14:textId="27C54ED3" w:rsidR="00CB0990" w:rsidRPr="000D1A50" w:rsidRDefault="00CB0990" w:rsidP="00CB0990">
            <w:pPr>
              <w:spacing w:after="0" w:line="240" w:lineRule="auto"/>
              <w:jc w:val="center"/>
              <w:rPr>
                <w:rFonts w:ascii="Futura Std Condensed Light" w:eastAsia="Calibri" w:hAnsi="Futura Std Condensed Light" w:cs="Calibri"/>
                <w:color w:val="FF0000"/>
                <w:sz w:val="18"/>
                <w:szCs w:val="20"/>
              </w:rPr>
            </w:pPr>
            <w:r w:rsidRPr="000D1A50">
              <w:rPr>
                <w:rFonts w:ascii="Futura Std Condensed Light" w:eastAsia="Calibri" w:hAnsi="Futura Std Condensed Light" w:cs="Calibri"/>
                <w:sz w:val="18"/>
                <w:szCs w:val="20"/>
              </w:rPr>
              <w:t>Sistema de Control Escolar de Educación Básica SICEB, Secretaría de Educación de Quintana Roo, SEQ</w:t>
            </w:r>
          </w:p>
        </w:tc>
        <w:tc>
          <w:tcPr>
            <w:tcW w:w="573" w:type="pct"/>
          </w:tcPr>
          <w:p w14:paraId="2B09ADE6" w14:textId="37C31550" w:rsidR="00CB0990" w:rsidRPr="000D1A50" w:rsidRDefault="00CB0990" w:rsidP="00CB0990">
            <w:pPr>
              <w:spacing w:after="0" w:line="240" w:lineRule="auto"/>
              <w:jc w:val="center"/>
              <w:rPr>
                <w:rFonts w:ascii="Futura Std Condensed Light" w:eastAsia="Calibri" w:hAnsi="Futura Std Condensed Light" w:cs="Calibri"/>
                <w:sz w:val="18"/>
                <w:szCs w:val="20"/>
              </w:rPr>
            </w:pPr>
            <w:r w:rsidRPr="000D1A50">
              <w:rPr>
                <w:rFonts w:ascii="Futura Std Condensed Light" w:eastAsia="Calibri" w:hAnsi="Futura Std Condensed Light" w:cs="Calibri"/>
                <w:sz w:val="18"/>
                <w:szCs w:val="20"/>
              </w:rPr>
              <w:t>Porcentaje</w:t>
            </w:r>
          </w:p>
        </w:tc>
        <w:tc>
          <w:tcPr>
            <w:tcW w:w="361" w:type="pct"/>
          </w:tcPr>
          <w:p w14:paraId="2D610D19" w14:textId="095D0341" w:rsidR="00CB0990" w:rsidRPr="000D1A50" w:rsidRDefault="00D674F7" w:rsidP="00CB0990">
            <w:pPr>
              <w:spacing w:after="0" w:line="240" w:lineRule="auto"/>
              <w:jc w:val="center"/>
              <w:rPr>
                <w:rFonts w:ascii="Futura Std Condensed Light" w:eastAsia="Calibri" w:hAnsi="Futura Std Condensed Light" w:cs="Calibri"/>
                <w:sz w:val="18"/>
                <w:szCs w:val="20"/>
              </w:rPr>
            </w:pPr>
            <w:r w:rsidRPr="000D1A50">
              <w:rPr>
                <w:rFonts w:ascii="Futura Std Condensed Light" w:eastAsia="Calibri" w:hAnsi="Futura Std Condensed Light" w:cs="Calibri"/>
                <w:sz w:val="18"/>
                <w:szCs w:val="20"/>
              </w:rPr>
              <w:t>40.71</w:t>
            </w:r>
          </w:p>
        </w:tc>
        <w:tc>
          <w:tcPr>
            <w:tcW w:w="360" w:type="pct"/>
          </w:tcPr>
          <w:p w14:paraId="7F4048ED" w14:textId="033F4D5A" w:rsidR="00CB0990" w:rsidRPr="000D1A50" w:rsidRDefault="00D674F7" w:rsidP="00CB0990">
            <w:pPr>
              <w:spacing w:after="0" w:line="240" w:lineRule="auto"/>
              <w:jc w:val="center"/>
              <w:rPr>
                <w:rFonts w:ascii="Futura Std Condensed Light" w:eastAsia="Calibri" w:hAnsi="Futura Std Condensed Light" w:cs="Calibri"/>
                <w:color w:val="FF0000"/>
                <w:sz w:val="18"/>
                <w:szCs w:val="20"/>
              </w:rPr>
            </w:pPr>
            <w:r w:rsidRPr="000D1A50">
              <w:rPr>
                <w:rFonts w:ascii="Futura Std Condensed Light" w:eastAsia="Calibri" w:hAnsi="Futura Std Condensed Light" w:cs="Calibri"/>
                <w:sz w:val="18"/>
                <w:szCs w:val="20"/>
              </w:rPr>
              <w:t>42.55</w:t>
            </w:r>
          </w:p>
        </w:tc>
        <w:tc>
          <w:tcPr>
            <w:tcW w:w="360" w:type="pct"/>
          </w:tcPr>
          <w:p w14:paraId="603AABEC" w14:textId="428CBC08" w:rsidR="00CB0990" w:rsidRPr="000D1A50" w:rsidRDefault="00D674F7" w:rsidP="00CB0990">
            <w:pPr>
              <w:spacing w:after="0" w:line="240" w:lineRule="auto"/>
              <w:jc w:val="center"/>
              <w:rPr>
                <w:rFonts w:ascii="Futura Std Condensed Light" w:eastAsia="Calibri" w:hAnsi="Futura Std Condensed Light" w:cs="Calibri"/>
                <w:color w:val="FF0000"/>
                <w:sz w:val="18"/>
                <w:szCs w:val="20"/>
              </w:rPr>
            </w:pPr>
            <w:r w:rsidRPr="000D1A50">
              <w:rPr>
                <w:rFonts w:ascii="Futura Std Condensed Light" w:eastAsia="Calibri" w:hAnsi="Futura Std Condensed Light" w:cs="Calibri"/>
                <w:sz w:val="18"/>
                <w:szCs w:val="20"/>
              </w:rPr>
              <w:t>41.94</w:t>
            </w:r>
          </w:p>
        </w:tc>
        <w:tc>
          <w:tcPr>
            <w:tcW w:w="360" w:type="pct"/>
          </w:tcPr>
          <w:p w14:paraId="45E27871" w14:textId="3FC13327" w:rsidR="00CB0990" w:rsidRPr="000D1A50" w:rsidRDefault="00D674F7" w:rsidP="00CB0990">
            <w:pPr>
              <w:spacing w:after="0" w:line="240" w:lineRule="auto"/>
              <w:jc w:val="center"/>
              <w:rPr>
                <w:rFonts w:ascii="Futura Std Condensed Light" w:eastAsia="Calibri" w:hAnsi="Futura Std Condensed Light" w:cs="Calibri"/>
                <w:color w:val="FF0000"/>
                <w:sz w:val="18"/>
                <w:szCs w:val="20"/>
              </w:rPr>
            </w:pPr>
            <w:r w:rsidRPr="000D1A50">
              <w:rPr>
                <w:rFonts w:ascii="Futura Std Condensed Light" w:eastAsia="Calibri" w:hAnsi="Futura Std Condensed Light" w:cs="Calibri"/>
                <w:sz w:val="18"/>
                <w:szCs w:val="20"/>
              </w:rPr>
              <w:t>44.27</w:t>
            </w:r>
          </w:p>
        </w:tc>
        <w:tc>
          <w:tcPr>
            <w:tcW w:w="360" w:type="pct"/>
          </w:tcPr>
          <w:p w14:paraId="1C335C9F" w14:textId="62A490E2" w:rsidR="00CB0990" w:rsidRPr="000D1A50" w:rsidRDefault="00D674F7" w:rsidP="00CB0990">
            <w:pPr>
              <w:spacing w:after="0" w:line="240" w:lineRule="auto"/>
              <w:jc w:val="center"/>
              <w:rPr>
                <w:rFonts w:ascii="Futura Std Condensed Light" w:eastAsia="Calibri" w:hAnsi="Futura Std Condensed Light" w:cs="Calibri"/>
                <w:color w:val="FF0000"/>
                <w:sz w:val="18"/>
                <w:szCs w:val="20"/>
              </w:rPr>
            </w:pPr>
            <w:r w:rsidRPr="000D1A50">
              <w:rPr>
                <w:rFonts w:ascii="Futura Std Condensed Light" w:eastAsia="Calibri" w:hAnsi="Futura Std Condensed Light" w:cs="Calibri"/>
                <w:sz w:val="18"/>
                <w:szCs w:val="20"/>
              </w:rPr>
              <w:t>44.56</w:t>
            </w:r>
          </w:p>
        </w:tc>
        <w:tc>
          <w:tcPr>
            <w:tcW w:w="361" w:type="pct"/>
            <w:gridSpan w:val="2"/>
          </w:tcPr>
          <w:p w14:paraId="797503DE" w14:textId="7715B42F" w:rsidR="00CB0990" w:rsidRPr="000D1A50" w:rsidRDefault="00D674F7" w:rsidP="00CB0990">
            <w:pPr>
              <w:spacing w:after="0" w:line="240" w:lineRule="auto"/>
              <w:jc w:val="center"/>
              <w:rPr>
                <w:rFonts w:ascii="Futura Std Condensed Light" w:eastAsia="Calibri" w:hAnsi="Futura Std Condensed Light" w:cs="Calibri"/>
                <w:color w:val="FF0000"/>
                <w:sz w:val="18"/>
                <w:szCs w:val="20"/>
              </w:rPr>
            </w:pPr>
            <w:r w:rsidRPr="000D1A50">
              <w:rPr>
                <w:rFonts w:ascii="Futura Std Condensed Light" w:eastAsia="Calibri" w:hAnsi="Futura Std Condensed Light" w:cs="Calibri"/>
                <w:sz w:val="18"/>
                <w:szCs w:val="20"/>
              </w:rPr>
              <w:t>44.86</w:t>
            </w:r>
          </w:p>
        </w:tc>
        <w:tc>
          <w:tcPr>
            <w:tcW w:w="386" w:type="pct"/>
          </w:tcPr>
          <w:p w14:paraId="19226020" w14:textId="51189F68" w:rsidR="00CB0990" w:rsidRPr="000D1A50" w:rsidRDefault="00D674F7" w:rsidP="00CB0990">
            <w:pPr>
              <w:spacing w:after="0" w:line="240" w:lineRule="auto"/>
              <w:jc w:val="center"/>
              <w:rPr>
                <w:rFonts w:ascii="Futura Std Condensed Light" w:eastAsia="Calibri" w:hAnsi="Futura Std Condensed Light" w:cs="Calibri"/>
                <w:color w:val="FF0000"/>
                <w:sz w:val="18"/>
                <w:szCs w:val="20"/>
              </w:rPr>
            </w:pPr>
            <w:r w:rsidRPr="000D1A50">
              <w:rPr>
                <w:rFonts w:ascii="Futura Std Condensed Light" w:eastAsia="Calibri" w:hAnsi="Futura Std Condensed Light" w:cs="Calibri"/>
                <w:sz w:val="18"/>
                <w:szCs w:val="20"/>
              </w:rPr>
              <w:t>45.17</w:t>
            </w:r>
          </w:p>
        </w:tc>
      </w:tr>
      <w:tr w:rsidR="00CB0990" w:rsidRPr="00FE0757" w14:paraId="1469E798" w14:textId="77777777" w:rsidTr="003F4E09">
        <w:trPr>
          <w:trHeight w:val="550"/>
        </w:trPr>
        <w:tc>
          <w:tcPr>
            <w:tcW w:w="652" w:type="pct"/>
          </w:tcPr>
          <w:p w14:paraId="6C345D05" w14:textId="5C6EEADB" w:rsidR="00CB0990" w:rsidRPr="000D1A50" w:rsidRDefault="00CB0990" w:rsidP="00CB0990">
            <w:pPr>
              <w:spacing w:after="0" w:line="240" w:lineRule="auto"/>
              <w:jc w:val="center"/>
              <w:rPr>
                <w:rFonts w:ascii="Futura Std Condensed Light" w:eastAsia="Calibri" w:hAnsi="Futura Std Condensed Light" w:cs="Calibri"/>
                <w:sz w:val="18"/>
                <w:szCs w:val="20"/>
              </w:rPr>
            </w:pPr>
            <w:r w:rsidRPr="000D1A50">
              <w:rPr>
                <w:rFonts w:ascii="Futura Std Condensed Light" w:eastAsia="Calibri" w:hAnsi="Futura Std Condensed Light" w:cs="Calibri"/>
                <w:sz w:val="18"/>
                <w:szCs w:val="20"/>
              </w:rPr>
              <w:t xml:space="preserve">Estrategia 1. Impulsar </w:t>
            </w:r>
            <w:r w:rsidRPr="000D1A50">
              <w:rPr>
                <w:rFonts w:ascii="Futura Std Condensed Light" w:eastAsia="Calibri" w:hAnsi="Futura Std Condensed Light" w:cs="Calibri"/>
                <w:sz w:val="18"/>
                <w:szCs w:val="20"/>
              </w:rPr>
              <w:lastRenderedPageBreak/>
              <w:t xml:space="preserve">los modelos educativos y procesos pedagógicos centrados en el aprendizaje de los alumnos con propuestas didácticas innovadoras, actividades físicas, horarios ampliados y la utilización de materiales didácticos, para enfatizar el desarrollo de competencias asociadas al lenguaje, la comunicación y el pensamiento matemático en un marco de inclusión y equidad. </w:t>
            </w:r>
          </w:p>
        </w:tc>
        <w:tc>
          <w:tcPr>
            <w:tcW w:w="652" w:type="pct"/>
          </w:tcPr>
          <w:p w14:paraId="2FE185A6" w14:textId="20EDD84B" w:rsidR="00CB0990" w:rsidRPr="000D1A50" w:rsidRDefault="00416902" w:rsidP="00CB0990">
            <w:pPr>
              <w:spacing w:after="0" w:line="240" w:lineRule="auto"/>
              <w:jc w:val="center"/>
              <w:rPr>
                <w:rFonts w:ascii="Futura Std Condensed Light" w:eastAsia="Calibri" w:hAnsi="Futura Std Condensed Light" w:cs="Calibri"/>
                <w:color w:val="FF0000"/>
                <w:sz w:val="18"/>
                <w:szCs w:val="20"/>
              </w:rPr>
            </w:pPr>
            <w:r w:rsidRPr="00E250E5">
              <w:rPr>
                <w:rFonts w:ascii="Futura Std Condensed Light" w:hAnsi="Futura Std Condensed Light" w:cs="Arial"/>
                <w:szCs w:val="20"/>
              </w:rPr>
              <w:lastRenderedPageBreak/>
              <w:t xml:space="preserve"> </w:t>
            </w:r>
            <w:r w:rsidRPr="00416902">
              <w:rPr>
                <w:rFonts w:ascii="Futura Std Condensed Light" w:eastAsia="Calibri" w:hAnsi="Futura Std Condensed Light" w:cs="Calibri"/>
                <w:sz w:val="18"/>
                <w:szCs w:val="20"/>
              </w:rPr>
              <w:t>Tasa de aprobació</w:t>
            </w:r>
            <w:r w:rsidRPr="00416902">
              <w:rPr>
                <w:rFonts w:ascii="Futura Std Condensed Light" w:eastAsia="Calibri" w:hAnsi="Futura Std Condensed Light" w:cs="Calibri"/>
                <w:sz w:val="18"/>
                <w:szCs w:val="20"/>
              </w:rPr>
              <w:lastRenderedPageBreak/>
              <w:t>n de educación secundaria</w:t>
            </w:r>
          </w:p>
        </w:tc>
        <w:tc>
          <w:tcPr>
            <w:tcW w:w="575" w:type="pct"/>
          </w:tcPr>
          <w:p w14:paraId="79D0FC74" w14:textId="79D00037" w:rsidR="00CB0990" w:rsidRPr="000D1A50" w:rsidRDefault="00416902" w:rsidP="00CB0990">
            <w:pPr>
              <w:spacing w:after="0" w:line="240" w:lineRule="auto"/>
              <w:jc w:val="center"/>
              <w:rPr>
                <w:rFonts w:ascii="Futura Std Condensed Light" w:eastAsia="Calibri" w:hAnsi="Futura Std Condensed Light" w:cs="Calibri"/>
                <w:color w:val="FF0000"/>
                <w:sz w:val="18"/>
                <w:szCs w:val="20"/>
              </w:rPr>
            </w:pPr>
            <w:r w:rsidRPr="00416902">
              <w:rPr>
                <w:rFonts w:ascii="Futura Std Condensed Light" w:eastAsia="Calibri" w:hAnsi="Futura Std Condensed Light" w:cs="Calibri"/>
                <w:sz w:val="18"/>
                <w:szCs w:val="20"/>
              </w:rPr>
              <w:lastRenderedPageBreak/>
              <w:t xml:space="preserve">Estadísticas </w:t>
            </w:r>
            <w:r w:rsidRPr="00416902">
              <w:rPr>
                <w:rFonts w:ascii="Futura Std Condensed Light" w:eastAsia="Calibri" w:hAnsi="Futura Std Condensed Light" w:cs="Calibri"/>
                <w:sz w:val="18"/>
                <w:szCs w:val="20"/>
              </w:rPr>
              <w:lastRenderedPageBreak/>
              <w:t>continúas del formato 911 (inicio y fin de ciclo escolar), SEQ</w:t>
            </w:r>
            <w:r w:rsidRPr="00E250E5">
              <w:rPr>
                <w:rFonts w:ascii="Futura Std Condensed Light" w:hAnsi="Futura Std Condensed Light" w:cs="Arial"/>
                <w:szCs w:val="20"/>
              </w:rPr>
              <w:t>.</w:t>
            </w:r>
          </w:p>
        </w:tc>
        <w:tc>
          <w:tcPr>
            <w:tcW w:w="573" w:type="pct"/>
          </w:tcPr>
          <w:p w14:paraId="6171F576" w14:textId="002B7D75" w:rsidR="00CB0990" w:rsidRPr="000D1A50" w:rsidRDefault="00416902" w:rsidP="00CB0990">
            <w:pPr>
              <w:spacing w:after="0" w:line="240" w:lineRule="auto"/>
              <w:jc w:val="center"/>
              <w:rPr>
                <w:rFonts w:ascii="Futura Std Condensed Light" w:eastAsia="Calibri" w:hAnsi="Futura Std Condensed Light" w:cs="Calibri"/>
                <w:color w:val="FF0000"/>
                <w:sz w:val="18"/>
                <w:szCs w:val="20"/>
              </w:rPr>
            </w:pPr>
            <w:r w:rsidRPr="00416902">
              <w:rPr>
                <w:rFonts w:ascii="Futura Std Condensed Light" w:eastAsia="Calibri" w:hAnsi="Futura Std Condensed Light" w:cs="Calibri"/>
                <w:sz w:val="18"/>
                <w:szCs w:val="20"/>
              </w:rPr>
              <w:lastRenderedPageBreak/>
              <w:t>Porcentaje</w:t>
            </w:r>
          </w:p>
        </w:tc>
        <w:tc>
          <w:tcPr>
            <w:tcW w:w="361" w:type="pct"/>
          </w:tcPr>
          <w:p w14:paraId="6BE28B81" w14:textId="0842A79F" w:rsidR="00CB0990" w:rsidRPr="000D1A50" w:rsidRDefault="00416902" w:rsidP="00CB0990">
            <w:pPr>
              <w:spacing w:after="0" w:line="240" w:lineRule="auto"/>
              <w:jc w:val="center"/>
              <w:rPr>
                <w:rFonts w:ascii="Futura Std Condensed Light" w:eastAsia="Calibri" w:hAnsi="Futura Std Condensed Light" w:cs="Calibri"/>
                <w:color w:val="FF0000"/>
                <w:sz w:val="18"/>
                <w:szCs w:val="20"/>
              </w:rPr>
            </w:pPr>
            <w:r w:rsidRPr="00E250E5">
              <w:rPr>
                <w:rFonts w:ascii="Futura Std Condensed Light" w:hAnsi="Futura Std Condensed Light" w:cs="Arial"/>
                <w:szCs w:val="20"/>
              </w:rPr>
              <w:t>92.56</w:t>
            </w:r>
          </w:p>
        </w:tc>
        <w:tc>
          <w:tcPr>
            <w:tcW w:w="360" w:type="pct"/>
          </w:tcPr>
          <w:p w14:paraId="6D0EB352" w14:textId="57397A83" w:rsidR="00CB0990" w:rsidRPr="000D1A50" w:rsidRDefault="00416902" w:rsidP="00CB0990">
            <w:pPr>
              <w:spacing w:after="0" w:line="240" w:lineRule="auto"/>
              <w:jc w:val="center"/>
              <w:rPr>
                <w:rFonts w:ascii="Futura Std Condensed Light" w:eastAsia="Calibri" w:hAnsi="Futura Std Condensed Light" w:cs="Calibri"/>
                <w:color w:val="FF0000"/>
                <w:sz w:val="18"/>
                <w:szCs w:val="20"/>
              </w:rPr>
            </w:pPr>
            <w:r>
              <w:rPr>
                <w:rFonts w:ascii="Futura Std Condensed Light" w:hAnsi="Futura Std Condensed Light" w:cs="Arial"/>
                <w:szCs w:val="20"/>
              </w:rPr>
              <w:t>93.04</w:t>
            </w:r>
          </w:p>
        </w:tc>
        <w:tc>
          <w:tcPr>
            <w:tcW w:w="360" w:type="pct"/>
          </w:tcPr>
          <w:p w14:paraId="68023A83" w14:textId="7D739907" w:rsidR="00CB0990" w:rsidRPr="000D1A50" w:rsidRDefault="00416902" w:rsidP="00957E74">
            <w:pPr>
              <w:spacing w:after="0" w:line="240" w:lineRule="auto"/>
              <w:jc w:val="center"/>
              <w:rPr>
                <w:rFonts w:ascii="Futura Std Condensed Light" w:eastAsia="Calibri" w:hAnsi="Futura Std Condensed Light" w:cs="Calibri"/>
                <w:color w:val="FF0000"/>
                <w:sz w:val="18"/>
                <w:szCs w:val="20"/>
              </w:rPr>
            </w:pPr>
            <w:r>
              <w:rPr>
                <w:rFonts w:ascii="Futura Std Condensed Light" w:hAnsi="Futura Std Condensed Light" w:cs="Arial"/>
                <w:szCs w:val="20"/>
              </w:rPr>
              <w:t>92.66</w:t>
            </w:r>
          </w:p>
        </w:tc>
        <w:tc>
          <w:tcPr>
            <w:tcW w:w="360" w:type="pct"/>
          </w:tcPr>
          <w:p w14:paraId="388B98D2" w14:textId="413449F2" w:rsidR="00CB0990" w:rsidRPr="000D1A50" w:rsidRDefault="00416902" w:rsidP="00CB0990">
            <w:pPr>
              <w:spacing w:after="0" w:line="240" w:lineRule="auto"/>
              <w:jc w:val="center"/>
              <w:rPr>
                <w:rFonts w:ascii="Futura Std Condensed Light" w:eastAsia="Calibri" w:hAnsi="Futura Std Condensed Light" w:cs="Calibri"/>
                <w:color w:val="FF0000"/>
                <w:sz w:val="18"/>
                <w:szCs w:val="20"/>
              </w:rPr>
            </w:pPr>
            <w:r>
              <w:rPr>
                <w:rFonts w:ascii="Futura Std Condensed Light" w:hAnsi="Futura Std Condensed Light" w:cs="Arial"/>
                <w:szCs w:val="20"/>
              </w:rPr>
              <w:t>92.65</w:t>
            </w:r>
          </w:p>
        </w:tc>
        <w:tc>
          <w:tcPr>
            <w:tcW w:w="360" w:type="pct"/>
          </w:tcPr>
          <w:p w14:paraId="5E7272F9" w14:textId="366AFA0C" w:rsidR="00CB0990" w:rsidRPr="000D1A50" w:rsidRDefault="00416902" w:rsidP="00877BB2">
            <w:pPr>
              <w:spacing w:after="0" w:line="240" w:lineRule="auto"/>
              <w:jc w:val="center"/>
              <w:rPr>
                <w:rFonts w:ascii="Futura Std Condensed Light" w:eastAsia="Calibri" w:hAnsi="Futura Std Condensed Light" w:cs="Calibri"/>
                <w:color w:val="FF0000"/>
                <w:sz w:val="18"/>
                <w:szCs w:val="20"/>
              </w:rPr>
            </w:pPr>
            <w:r>
              <w:rPr>
                <w:rFonts w:ascii="Futura Std Condensed Light" w:hAnsi="Futura Std Condensed Light" w:cs="Arial"/>
                <w:szCs w:val="20"/>
              </w:rPr>
              <w:t>92.92</w:t>
            </w:r>
          </w:p>
        </w:tc>
        <w:tc>
          <w:tcPr>
            <w:tcW w:w="361" w:type="pct"/>
            <w:gridSpan w:val="2"/>
          </w:tcPr>
          <w:p w14:paraId="67B1AD9F" w14:textId="77283E7A" w:rsidR="00CB0990" w:rsidRPr="000D1A50" w:rsidRDefault="00416902" w:rsidP="00CB0990">
            <w:pPr>
              <w:spacing w:after="0" w:line="240" w:lineRule="auto"/>
              <w:jc w:val="center"/>
              <w:rPr>
                <w:rFonts w:ascii="Futura Std Condensed Light" w:eastAsia="Calibri" w:hAnsi="Futura Std Condensed Light" w:cs="Calibri"/>
                <w:color w:val="FF0000"/>
                <w:sz w:val="18"/>
                <w:szCs w:val="20"/>
              </w:rPr>
            </w:pPr>
            <w:r>
              <w:rPr>
                <w:rFonts w:ascii="Futura Std Condensed Light" w:hAnsi="Futura Std Condensed Light" w:cs="Arial"/>
                <w:szCs w:val="20"/>
              </w:rPr>
              <w:t>93.07</w:t>
            </w:r>
          </w:p>
        </w:tc>
        <w:tc>
          <w:tcPr>
            <w:tcW w:w="386" w:type="pct"/>
          </w:tcPr>
          <w:p w14:paraId="265E8D92" w14:textId="350B27D4" w:rsidR="00CB0990" w:rsidRPr="000D1A50" w:rsidRDefault="00416902" w:rsidP="00CB0990">
            <w:pPr>
              <w:spacing w:after="0" w:line="240" w:lineRule="auto"/>
              <w:jc w:val="center"/>
              <w:rPr>
                <w:rFonts w:ascii="Futura Std Condensed Light" w:eastAsia="Calibri" w:hAnsi="Futura Std Condensed Light" w:cs="Calibri"/>
                <w:color w:val="FF0000"/>
                <w:sz w:val="18"/>
                <w:szCs w:val="20"/>
              </w:rPr>
            </w:pPr>
            <w:r>
              <w:rPr>
                <w:rFonts w:ascii="Futura Std Condensed Light" w:hAnsi="Futura Std Condensed Light" w:cs="Arial"/>
                <w:szCs w:val="20"/>
              </w:rPr>
              <w:t>93.22</w:t>
            </w:r>
          </w:p>
        </w:tc>
      </w:tr>
      <w:tr w:rsidR="006354B6" w:rsidRPr="009B6622" w14:paraId="0459248B" w14:textId="77777777" w:rsidTr="002C5453">
        <w:trPr>
          <w:trHeight w:val="283"/>
        </w:trPr>
        <w:tc>
          <w:tcPr>
            <w:tcW w:w="652" w:type="pct"/>
          </w:tcPr>
          <w:p w14:paraId="5604F2FD" w14:textId="5A3CC022" w:rsidR="006354B6" w:rsidRPr="000D1A50" w:rsidRDefault="005A1B52" w:rsidP="005A1B52">
            <w:pPr>
              <w:jc w:val="center"/>
              <w:rPr>
                <w:rFonts w:ascii="Futura Std Condensed Light" w:eastAsia="Calibri" w:hAnsi="Futura Std Condensed Light" w:cs="Calibri"/>
                <w:sz w:val="18"/>
                <w:szCs w:val="20"/>
              </w:rPr>
            </w:pPr>
            <w:r w:rsidRPr="005A1B52">
              <w:rPr>
                <w:rFonts w:ascii="Futura Std Condensed Light" w:eastAsia="Calibri" w:hAnsi="Futura Std Condensed Light" w:cs="Calibri"/>
                <w:sz w:val="18"/>
                <w:szCs w:val="20"/>
              </w:rPr>
              <w:t>O</w:t>
            </w:r>
            <w:r>
              <w:rPr>
                <w:rFonts w:ascii="Futura Std Condensed Light" w:eastAsia="Calibri" w:hAnsi="Futura Std Condensed Light" w:cs="Calibri"/>
                <w:sz w:val="18"/>
                <w:szCs w:val="20"/>
              </w:rPr>
              <w:t xml:space="preserve">bjetivo 2. </w:t>
            </w:r>
            <w:r w:rsidRPr="005A1B52">
              <w:rPr>
                <w:rFonts w:ascii="Futura Std Condensed Light" w:eastAsia="Calibri" w:hAnsi="Futura Std Condensed Light" w:cs="Calibri"/>
                <w:sz w:val="18"/>
                <w:szCs w:val="20"/>
              </w:rPr>
              <w:t xml:space="preserve">Favorecer  la </w:t>
            </w:r>
            <w:r w:rsidRPr="005A1B52">
              <w:rPr>
                <w:rFonts w:ascii="Futura Std Condensed Light" w:eastAsia="Calibri" w:hAnsi="Futura Std Condensed Light" w:cs="Calibri"/>
                <w:sz w:val="18"/>
                <w:szCs w:val="20"/>
              </w:rPr>
              <w:lastRenderedPageBreak/>
              <w:t>permanencia y el egreso de los estudiantes de educación básica en el Sistema Educativo Estatal  median</w:t>
            </w:r>
            <w:r>
              <w:rPr>
                <w:rFonts w:ascii="Futura Std Condensed Light" w:eastAsia="Calibri" w:hAnsi="Futura Std Condensed Light" w:cs="Calibri"/>
                <w:sz w:val="18"/>
                <w:szCs w:val="20"/>
              </w:rPr>
              <w:t>te diversos apoyos compensatorio</w:t>
            </w:r>
          </w:p>
        </w:tc>
        <w:tc>
          <w:tcPr>
            <w:tcW w:w="652" w:type="pct"/>
          </w:tcPr>
          <w:p w14:paraId="16EAA968" w14:textId="4FF4AAFD" w:rsidR="006354B6" w:rsidRPr="000D1A50" w:rsidRDefault="005A1B52" w:rsidP="001B2B4B">
            <w:pPr>
              <w:spacing w:after="0" w:line="240" w:lineRule="auto"/>
              <w:jc w:val="center"/>
              <w:rPr>
                <w:rFonts w:ascii="Futura Std Condensed Light" w:eastAsia="Calibri" w:hAnsi="Futura Std Condensed Light" w:cs="Calibri"/>
                <w:sz w:val="18"/>
                <w:szCs w:val="20"/>
              </w:rPr>
            </w:pPr>
            <w:r w:rsidRPr="000D1A50">
              <w:rPr>
                <w:rFonts w:ascii="Futura Std Condensed Light" w:eastAsia="Calibri" w:hAnsi="Futura Std Condensed Light" w:cs="Calibri"/>
                <w:sz w:val="18"/>
                <w:szCs w:val="20"/>
              </w:rPr>
              <w:lastRenderedPageBreak/>
              <w:t xml:space="preserve">Tasa de eficiencia terminal de </w:t>
            </w:r>
            <w:r w:rsidRPr="000D1A50">
              <w:rPr>
                <w:rFonts w:ascii="Futura Std Condensed Light" w:eastAsia="Calibri" w:hAnsi="Futura Std Condensed Light" w:cs="Calibri"/>
                <w:sz w:val="18"/>
                <w:szCs w:val="20"/>
              </w:rPr>
              <w:lastRenderedPageBreak/>
              <w:t>educación básica</w:t>
            </w:r>
          </w:p>
        </w:tc>
        <w:tc>
          <w:tcPr>
            <w:tcW w:w="575" w:type="pct"/>
          </w:tcPr>
          <w:p w14:paraId="4371B7EC" w14:textId="61ACAA49" w:rsidR="006354B6" w:rsidRPr="000D1A50" w:rsidRDefault="008D745F" w:rsidP="001B2B4B">
            <w:pPr>
              <w:spacing w:after="0" w:line="240" w:lineRule="auto"/>
              <w:jc w:val="center"/>
              <w:rPr>
                <w:rFonts w:ascii="Futura Std Condensed Light" w:eastAsia="Calibri" w:hAnsi="Futura Std Condensed Light" w:cs="Calibri"/>
                <w:sz w:val="18"/>
                <w:szCs w:val="20"/>
              </w:rPr>
            </w:pPr>
            <w:r w:rsidRPr="000D1A50">
              <w:rPr>
                <w:rFonts w:ascii="Futura Std Condensed Light" w:eastAsia="Calibri" w:hAnsi="Futura Std Condensed Light" w:cs="Calibri"/>
                <w:sz w:val="18"/>
                <w:szCs w:val="20"/>
              </w:rPr>
              <w:lastRenderedPageBreak/>
              <w:t xml:space="preserve">Estadísticas continúas </w:t>
            </w:r>
            <w:r w:rsidRPr="000D1A50">
              <w:rPr>
                <w:rFonts w:ascii="Futura Std Condensed Light" w:eastAsia="Calibri" w:hAnsi="Futura Std Condensed Light" w:cs="Calibri"/>
                <w:sz w:val="18"/>
                <w:szCs w:val="20"/>
              </w:rPr>
              <w:lastRenderedPageBreak/>
              <w:t>del formato 911 de educación básica, inicio de ciclo escolar, SEQ</w:t>
            </w:r>
          </w:p>
        </w:tc>
        <w:tc>
          <w:tcPr>
            <w:tcW w:w="573" w:type="pct"/>
          </w:tcPr>
          <w:p w14:paraId="7CA9BAF6" w14:textId="0EF7CF7D" w:rsidR="006354B6" w:rsidRPr="000D1A50" w:rsidRDefault="008D745F" w:rsidP="001B2B4B">
            <w:pPr>
              <w:spacing w:after="0" w:line="240" w:lineRule="auto"/>
              <w:jc w:val="center"/>
              <w:rPr>
                <w:rFonts w:ascii="Futura Std Condensed Light" w:eastAsia="Calibri" w:hAnsi="Futura Std Condensed Light" w:cs="Calibri"/>
                <w:sz w:val="18"/>
                <w:szCs w:val="20"/>
              </w:rPr>
            </w:pPr>
            <w:r w:rsidRPr="000D1A50">
              <w:rPr>
                <w:rFonts w:ascii="Futura Std Condensed Light" w:eastAsia="Calibri" w:hAnsi="Futura Std Condensed Light" w:cs="Calibri"/>
                <w:sz w:val="18"/>
                <w:szCs w:val="20"/>
              </w:rPr>
              <w:lastRenderedPageBreak/>
              <w:t>Porcentaje</w:t>
            </w:r>
          </w:p>
        </w:tc>
        <w:tc>
          <w:tcPr>
            <w:tcW w:w="361" w:type="pct"/>
          </w:tcPr>
          <w:p w14:paraId="16767498" w14:textId="004B7606" w:rsidR="006354B6" w:rsidRPr="000D1A50" w:rsidRDefault="008D745F" w:rsidP="001B2B4B">
            <w:pPr>
              <w:spacing w:after="0" w:line="240" w:lineRule="auto"/>
              <w:jc w:val="center"/>
              <w:rPr>
                <w:rFonts w:ascii="Futura Std Condensed Light" w:eastAsia="Calibri" w:hAnsi="Futura Std Condensed Light" w:cs="Calibri"/>
                <w:sz w:val="18"/>
                <w:szCs w:val="20"/>
              </w:rPr>
            </w:pPr>
            <w:r w:rsidRPr="000D1A50">
              <w:rPr>
                <w:rFonts w:ascii="Futura Std Condensed Light" w:eastAsia="Calibri" w:hAnsi="Futura Std Condensed Light" w:cs="Calibri"/>
                <w:sz w:val="18"/>
                <w:szCs w:val="20"/>
              </w:rPr>
              <w:t>84.15</w:t>
            </w:r>
          </w:p>
        </w:tc>
        <w:tc>
          <w:tcPr>
            <w:tcW w:w="360" w:type="pct"/>
          </w:tcPr>
          <w:p w14:paraId="59639D32" w14:textId="50735356" w:rsidR="006354B6" w:rsidRPr="000D1A50" w:rsidRDefault="008D745F" w:rsidP="001B2B4B">
            <w:pPr>
              <w:spacing w:after="0" w:line="240" w:lineRule="auto"/>
              <w:jc w:val="center"/>
              <w:rPr>
                <w:rFonts w:ascii="Futura Std Condensed Light" w:eastAsia="Calibri" w:hAnsi="Futura Std Condensed Light" w:cs="Calibri"/>
                <w:color w:val="FF0000"/>
                <w:sz w:val="18"/>
                <w:szCs w:val="20"/>
              </w:rPr>
            </w:pPr>
            <w:r w:rsidRPr="000D1A50">
              <w:rPr>
                <w:rFonts w:ascii="Futura Std Condensed Light" w:eastAsia="Calibri" w:hAnsi="Futura Std Condensed Light" w:cs="Calibri"/>
                <w:sz w:val="18"/>
                <w:szCs w:val="20"/>
              </w:rPr>
              <w:t>84.18</w:t>
            </w:r>
          </w:p>
        </w:tc>
        <w:tc>
          <w:tcPr>
            <w:tcW w:w="360" w:type="pct"/>
          </w:tcPr>
          <w:p w14:paraId="5D9266EC" w14:textId="7D01E9AF" w:rsidR="006354B6" w:rsidRPr="000D1A50" w:rsidRDefault="008D745F" w:rsidP="001B2B4B">
            <w:pPr>
              <w:spacing w:after="0" w:line="240" w:lineRule="auto"/>
              <w:jc w:val="center"/>
              <w:rPr>
                <w:rFonts w:ascii="Futura Std Condensed Light" w:eastAsia="Calibri" w:hAnsi="Futura Std Condensed Light" w:cs="Calibri"/>
                <w:sz w:val="18"/>
                <w:szCs w:val="20"/>
              </w:rPr>
            </w:pPr>
            <w:r w:rsidRPr="000D1A50">
              <w:rPr>
                <w:rFonts w:ascii="Futura Std Condensed Light" w:eastAsia="Calibri" w:hAnsi="Futura Std Condensed Light" w:cs="Calibri"/>
                <w:sz w:val="18"/>
                <w:szCs w:val="20"/>
              </w:rPr>
              <w:t>89.74</w:t>
            </w:r>
          </w:p>
        </w:tc>
        <w:tc>
          <w:tcPr>
            <w:tcW w:w="360" w:type="pct"/>
          </w:tcPr>
          <w:p w14:paraId="54834AD1" w14:textId="1BEF82E1" w:rsidR="006354B6" w:rsidRPr="000D1A50" w:rsidRDefault="008D745F" w:rsidP="001B2B4B">
            <w:pPr>
              <w:spacing w:after="0" w:line="240" w:lineRule="auto"/>
              <w:jc w:val="center"/>
              <w:rPr>
                <w:rFonts w:ascii="Futura Std Condensed Light" w:eastAsia="Calibri" w:hAnsi="Futura Std Condensed Light" w:cs="Calibri"/>
                <w:sz w:val="18"/>
                <w:szCs w:val="20"/>
              </w:rPr>
            </w:pPr>
            <w:r w:rsidRPr="000D1A50">
              <w:rPr>
                <w:rFonts w:ascii="Futura Std Condensed Light" w:eastAsia="Calibri" w:hAnsi="Futura Std Condensed Light" w:cs="Calibri"/>
                <w:sz w:val="18"/>
                <w:szCs w:val="20"/>
              </w:rPr>
              <w:t>92.80</w:t>
            </w:r>
          </w:p>
        </w:tc>
        <w:tc>
          <w:tcPr>
            <w:tcW w:w="360" w:type="pct"/>
          </w:tcPr>
          <w:p w14:paraId="4BDA2105" w14:textId="26D03464" w:rsidR="006354B6" w:rsidRPr="000D1A50" w:rsidRDefault="008D745F" w:rsidP="001B2B4B">
            <w:pPr>
              <w:spacing w:after="0" w:line="240" w:lineRule="auto"/>
              <w:jc w:val="center"/>
              <w:rPr>
                <w:rFonts w:ascii="Futura Std Condensed Light" w:eastAsia="Calibri" w:hAnsi="Futura Std Condensed Light" w:cs="Calibri"/>
                <w:sz w:val="18"/>
                <w:szCs w:val="20"/>
              </w:rPr>
            </w:pPr>
            <w:r w:rsidRPr="000D1A50">
              <w:rPr>
                <w:rFonts w:ascii="Futura Std Condensed Light" w:eastAsia="Calibri" w:hAnsi="Futura Std Condensed Light" w:cs="Calibri"/>
                <w:sz w:val="18"/>
                <w:szCs w:val="20"/>
              </w:rPr>
              <w:t>93.28</w:t>
            </w:r>
          </w:p>
        </w:tc>
        <w:tc>
          <w:tcPr>
            <w:tcW w:w="361" w:type="pct"/>
            <w:gridSpan w:val="2"/>
          </w:tcPr>
          <w:p w14:paraId="0A31A8A4" w14:textId="6D9B83B7" w:rsidR="006354B6" w:rsidRPr="000D1A50" w:rsidRDefault="008D745F" w:rsidP="001B2B4B">
            <w:pPr>
              <w:spacing w:after="0" w:line="240" w:lineRule="auto"/>
              <w:jc w:val="center"/>
              <w:rPr>
                <w:rFonts w:ascii="Futura Std Condensed Light" w:eastAsia="Calibri" w:hAnsi="Futura Std Condensed Light" w:cs="Calibri"/>
                <w:sz w:val="18"/>
                <w:szCs w:val="20"/>
              </w:rPr>
            </w:pPr>
            <w:r w:rsidRPr="000D1A50">
              <w:rPr>
                <w:rFonts w:ascii="Futura Std Condensed Light" w:eastAsia="Calibri" w:hAnsi="Futura Std Condensed Light" w:cs="Calibri"/>
                <w:sz w:val="18"/>
                <w:szCs w:val="20"/>
              </w:rPr>
              <w:t>93.42</w:t>
            </w:r>
          </w:p>
        </w:tc>
        <w:tc>
          <w:tcPr>
            <w:tcW w:w="386" w:type="pct"/>
          </w:tcPr>
          <w:p w14:paraId="2E1F5DAB" w14:textId="1BF21C62" w:rsidR="006354B6" w:rsidRPr="000D1A50" w:rsidRDefault="008D745F" w:rsidP="001B2B4B">
            <w:pPr>
              <w:spacing w:after="0" w:line="240" w:lineRule="auto"/>
              <w:jc w:val="center"/>
              <w:rPr>
                <w:rFonts w:ascii="Futura Std Condensed Light" w:eastAsia="Calibri" w:hAnsi="Futura Std Condensed Light" w:cs="Calibri"/>
                <w:sz w:val="18"/>
                <w:szCs w:val="20"/>
              </w:rPr>
            </w:pPr>
            <w:r w:rsidRPr="000D1A50">
              <w:rPr>
                <w:rFonts w:ascii="Futura Std Condensed Light" w:eastAsia="Calibri" w:hAnsi="Futura Std Condensed Light" w:cs="Calibri"/>
                <w:sz w:val="18"/>
                <w:szCs w:val="20"/>
              </w:rPr>
              <w:t>93.67</w:t>
            </w:r>
          </w:p>
        </w:tc>
      </w:tr>
      <w:tr w:rsidR="00DE5976" w:rsidRPr="009B6622" w14:paraId="36F7329B" w14:textId="77777777" w:rsidTr="002C5453">
        <w:trPr>
          <w:trHeight w:val="283"/>
        </w:trPr>
        <w:tc>
          <w:tcPr>
            <w:tcW w:w="652" w:type="pct"/>
          </w:tcPr>
          <w:p w14:paraId="5C3594CD" w14:textId="05CCFCE2" w:rsidR="00DE5976" w:rsidRPr="005A1B52" w:rsidRDefault="00DE5976" w:rsidP="00DE5976">
            <w:pPr>
              <w:jc w:val="center"/>
              <w:rPr>
                <w:rFonts w:ascii="Futura Std Condensed Light" w:eastAsia="Calibri" w:hAnsi="Futura Std Condensed Light" w:cs="Calibri"/>
                <w:sz w:val="18"/>
                <w:szCs w:val="20"/>
              </w:rPr>
            </w:pPr>
            <w:r>
              <w:rPr>
                <w:rFonts w:ascii="Futura Std Condensed Light" w:eastAsia="Calibri" w:hAnsi="Futura Std Condensed Light" w:cs="Calibri"/>
                <w:sz w:val="18"/>
                <w:szCs w:val="20"/>
              </w:rPr>
              <w:t>Estrategia 2.</w:t>
            </w:r>
            <w:r w:rsidRPr="005A1B52">
              <w:rPr>
                <w:rFonts w:ascii="Futura Std Condensed Light" w:eastAsia="Calibri" w:hAnsi="Futura Std Condensed Light" w:cs="Calibri"/>
                <w:sz w:val="18"/>
                <w:szCs w:val="20"/>
              </w:rPr>
              <w:t xml:space="preserve"> Apoyar a los alumnos de educación básica mediante el otorgamiento de una beca y/o apoyos para favorecer la permanencia y conclusión de sus estudios, promoviendo la equidad en las </w:t>
            </w:r>
            <w:r w:rsidRPr="005A1B52">
              <w:rPr>
                <w:rFonts w:ascii="Futura Std Condensed Light" w:eastAsia="Calibri" w:hAnsi="Futura Std Condensed Light" w:cs="Calibri"/>
                <w:sz w:val="18"/>
                <w:szCs w:val="20"/>
              </w:rPr>
              <w:lastRenderedPageBreak/>
              <w:t>condiciones socioeconómicas.</w:t>
            </w:r>
          </w:p>
        </w:tc>
        <w:tc>
          <w:tcPr>
            <w:tcW w:w="652" w:type="pct"/>
          </w:tcPr>
          <w:p w14:paraId="0E9A55CA" w14:textId="58C3F084" w:rsidR="00DE5976" w:rsidRPr="000D1A50" w:rsidRDefault="00DE5976" w:rsidP="00DE5976">
            <w:pPr>
              <w:spacing w:after="0" w:line="240" w:lineRule="auto"/>
              <w:jc w:val="center"/>
              <w:rPr>
                <w:rFonts w:ascii="Futura Std Condensed Light" w:eastAsia="Calibri" w:hAnsi="Futura Std Condensed Light" w:cs="Calibri"/>
                <w:sz w:val="18"/>
                <w:szCs w:val="20"/>
              </w:rPr>
            </w:pPr>
            <w:r w:rsidRPr="00DE5976">
              <w:rPr>
                <w:rFonts w:ascii="Futura Std Condensed Light" w:eastAsia="Calibri" w:hAnsi="Futura Std Condensed Light" w:cs="Calibri"/>
                <w:sz w:val="18"/>
                <w:szCs w:val="20"/>
              </w:rPr>
              <w:lastRenderedPageBreak/>
              <w:t>Tasa de abandono escolar de secundaria</w:t>
            </w:r>
          </w:p>
        </w:tc>
        <w:tc>
          <w:tcPr>
            <w:tcW w:w="575" w:type="pct"/>
          </w:tcPr>
          <w:p w14:paraId="51D9EDA4" w14:textId="7BEE8B9D" w:rsidR="00DE5976" w:rsidRPr="000D1A50" w:rsidRDefault="00DE5976" w:rsidP="00DE5976">
            <w:pPr>
              <w:autoSpaceDE w:val="0"/>
              <w:autoSpaceDN w:val="0"/>
              <w:adjustRightInd w:val="0"/>
              <w:jc w:val="center"/>
              <w:rPr>
                <w:rFonts w:ascii="Futura Std Condensed Light" w:eastAsia="Calibri" w:hAnsi="Futura Std Condensed Light" w:cs="Calibri"/>
                <w:sz w:val="18"/>
                <w:szCs w:val="20"/>
              </w:rPr>
            </w:pPr>
            <w:r w:rsidRPr="00DE5976">
              <w:rPr>
                <w:rFonts w:ascii="Futura Std Condensed Light" w:eastAsia="Calibri" w:hAnsi="Futura Std Condensed Light" w:cs="Calibri"/>
                <w:sz w:val="18"/>
                <w:szCs w:val="20"/>
              </w:rPr>
              <w:t>Estadísticas continúas del formato 911 (inicio de ciclo escolar), SEQ</w:t>
            </w:r>
            <w:r w:rsidRPr="00BD022B">
              <w:rPr>
                <w:rFonts w:ascii="Futura Std Condensed Light" w:hAnsi="Futura Std Condensed Light" w:cs="Arial"/>
                <w:szCs w:val="20"/>
              </w:rPr>
              <w:t>.</w:t>
            </w:r>
          </w:p>
        </w:tc>
        <w:tc>
          <w:tcPr>
            <w:tcW w:w="573" w:type="pct"/>
          </w:tcPr>
          <w:p w14:paraId="307E7C74" w14:textId="51CF557A" w:rsidR="00DE5976" w:rsidRPr="000D1A50" w:rsidRDefault="00DE5976" w:rsidP="00DE5976">
            <w:pPr>
              <w:spacing w:after="0" w:line="240" w:lineRule="auto"/>
              <w:jc w:val="center"/>
              <w:rPr>
                <w:rFonts w:ascii="Futura Std Condensed Light" w:eastAsia="Calibri" w:hAnsi="Futura Std Condensed Light" w:cs="Calibri"/>
                <w:sz w:val="18"/>
                <w:szCs w:val="20"/>
              </w:rPr>
            </w:pPr>
            <w:r>
              <w:rPr>
                <w:rFonts w:ascii="Futura Std Condensed Light" w:eastAsia="Calibri" w:hAnsi="Futura Std Condensed Light" w:cs="Calibri"/>
                <w:sz w:val="18"/>
                <w:szCs w:val="20"/>
              </w:rPr>
              <w:t>Porcentaje</w:t>
            </w:r>
          </w:p>
        </w:tc>
        <w:tc>
          <w:tcPr>
            <w:tcW w:w="361" w:type="pct"/>
          </w:tcPr>
          <w:p w14:paraId="7F7939BD" w14:textId="3369DDE7" w:rsidR="00DE5976" w:rsidRPr="000D1A50" w:rsidRDefault="00DE5976" w:rsidP="00DE5976">
            <w:pPr>
              <w:spacing w:after="0" w:line="240" w:lineRule="auto"/>
              <w:jc w:val="center"/>
              <w:rPr>
                <w:rFonts w:ascii="Futura Std Condensed Light" w:eastAsia="Calibri" w:hAnsi="Futura Std Condensed Light" w:cs="Calibri"/>
                <w:sz w:val="18"/>
                <w:szCs w:val="20"/>
              </w:rPr>
            </w:pPr>
            <w:r w:rsidRPr="00BD022B">
              <w:rPr>
                <w:rFonts w:ascii="Futura Std Condensed Light" w:hAnsi="Futura Std Condensed Light" w:cs="Arial"/>
                <w:szCs w:val="20"/>
              </w:rPr>
              <w:t>4.18</w:t>
            </w:r>
          </w:p>
        </w:tc>
        <w:tc>
          <w:tcPr>
            <w:tcW w:w="360" w:type="pct"/>
          </w:tcPr>
          <w:p w14:paraId="68A9126D" w14:textId="476E9786" w:rsidR="00DE5976" w:rsidRPr="000D1A50" w:rsidRDefault="00DE5976" w:rsidP="00DE5976">
            <w:pPr>
              <w:spacing w:after="0" w:line="240" w:lineRule="auto"/>
              <w:jc w:val="center"/>
              <w:rPr>
                <w:rFonts w:ascii="Futura Std Condensed Light" w:eastAsia="Calibri" w:hAnsi="Futura Std Condensed Light" w:cs="Calibri"/>
                <w:color w:val="FF0000"/>
                <w:sz w:val="18"/>
                <w:szCs w:val="20"/>
              </w:rPr>
            </w:pPr>
            <w:r>
              <w:rPr>
                <w:rFonts w:ascii="Futura Std Condensed Light" w:hAnsi="Futura Std Condensed Light" w:cs="Arial"/>
                <w:szCs w:val="20"/>
              </w:rPr>
              <w:t>4.19</w:t>
            </w:r>
          </w:p>
        </w:tc>
        <w:tc>
          <w:tcPr>
            <w:tcW w:w="360" w:type="pct"/>
          </w:tcPr>
          <w:p w14:paraId="3934C8B9" w14:textId="76DF308D" w:rsidR="00DE5976" w:rsidRPr="000D1A50" w:rsidRDefault="00DE5976" w:rsidP="00DE5976">
            <w:pPr>
              <w:spacing w:after="0" w:line="240" w:lineRule="auto"/>
              <w:jc w:val="center"/>
              <w:rPr>
                <w:rFonts w:ascii="Futura Std Condensed Light" w:eastAsia="Calibri" w:hAnsi="Futura Std Condensed Light" w:cs="Calibri"/>
                <w:sz w:val="18"/>
                <w:szCs w:val="20"/>
              </w:rPr>
            </w:pPr>
            <w:r w:rsidRPr="00BD022B">
              <w:rPr>
                <w:rFonts w:ascii="Futura Std Condensed Light" w:hAnsi="Futura Std Condensed Light" w:cs="Arial"/>
                <w:szCs w:val="20"/>
              </w:rPr>
              <w:t>4.18</w:t>
            </w:r>
          </w:p>
        </w:tc>
        <w:tc>
          <w:tcPr>
            <w:tcW w:w="360" w:type="pct"/>
          </w:tcPr>
          <w:p w14:paraId="390534FA" w14:textId="2407EF38" w:rsidR="00DE5976" w:rsidRPr="000D1A50" w:rsidRDefault="00DE5976" w:rsidP="00DE5976">
            <w:pPr>
              <w:spacing w:after="0" w:line="240" w:lineRule="auto"/>
              <w:jc w:val="right"/>
              <w:rPr>
                <w:rFonts w:ascii="Futura Std Condensed Light" w:eastAsia="Calibri" w:hAnsi="Futura Std Condensed Light" w:cs="Calibri"/>
                <w:sz w:val="18"/>
                <w:szCs w:val="20"/>
              </w:rPr>
            </w:pPr>
            <w:r>
              <w:rPr>
                <w:rFonts w:ascii="Futura Std Condensed Light" w:hAnsi="Futura Std Condensed Light" w:cs="Arial"/>
                <w:szCs w:val="20"/>
              </w:rPr>
              <w:t>4.03</w:t>
            </w:r>
          </w:p>
        </w:tc>
        <w:tc>
          <w:tcPr>
            <w:tcW w:w="360" w:type="pct"/>
          </w:tcPr>
          <w:p w14:paraId="17CE3782" w14:textId="465A0CED" w:rsidR="00DE5976" w:rsidRPr="000D1A50" w:rsidRDefault="00DE5976" w:rsidP="00DE5976">
            <w:pPr>
              <w:spacing w:after="0" w:line="240" w:lineRule="auto"/>
              <w:jc w:val="center"/>
              <w:rPr>
                <w:rFonts w:ascii="Futura Std Condensed Light" w:eastAsia="Calibri" w:hAnsi="Futura Std Condensed Light" w:cs="Calibri"/>
                <w:sz w:val="18"/>
                <w:szCs w:val="20"/>
              </w:rPr>
            </w:pPr>
            <w:r>
              <w:rPr>
                <w:rFonts w:ascii="Futura Std Condensed Light" w:hAnsi="Futura Std Condensed Light" w:cs="Arial"/>
                <w:szCs w:val="20"/>
              </w:rPr>
              <w:t>3.98</w:t>
            </w:r>
          </w:p>
        </w:tc>
        <w:tc>
          <w:tcPr>
            <w:tcW w:w="361" w:type="pct"/>
            <w:gridSpan w:val="2"/>
          </w:tcPr>
          <w:p w14:paraId="5D344427" w14:textId="3B3BBB65" w:rsidR="00DE5976" w:rsidRPr="000D1A50" w:rsidRDefault="00DE5976" w:rsidP="00DE5976">
            <w:pPr>
              <w:spacing w:after="0" w:line="240" w:lineRule="auto"/>
              <w:jc w:val="center"/>
              <w:rPr>
                <w:rFonts w:ascii="Futura Std Condensed Light" w:eastAsia="Calibri" w:hAnsi="Futura Std Condensed Light" w:cs="Calibri"/>
                <w:sz w:val="18"/>
                <w:szCs w:val="20"/>
              </w:rPr>
            </w:pPr>
            <w:r>
              <w:rPr>
                <w:rFonts w:ascii="Futura Std Condensed Light" w:hAnsi="Futura Std Condensed Light" w:cs="Arial"/>
                <w:szCs w:val="20"/>
              </w:rPr>
              <w:t>3.93</w:t>
            </w:r>
          </w:p>
        </w:tc>
        <w:tc>
          <w:tcPr>
            <w:tcW w:w="386" w:type="pct"/>
          </w:tcPr>
          <w:p w14:paraId="39276269" w14:textId="4966CD61" w:rsidR="00DE5976" w:rsidRPr="000D1A50" w:rsidRDefault="00DE5976" w:rsidP="00DE5976">
            <w:pPr>
              <w:spacing w:after="0" w:line="240" w:lineRule="auto"/>
              <w:jc w:val="center"/>
              <w:rPr>
                <w:rFonts w:ascii="Futura Std Condensed Light" w:eastAsia="Calibri" w:hAnsi="Futura Std Condensed Light" w:cs="Calibri"/>
                <w:sz w:val="18"/>
                <w:szCs w:val="20"/>
              </w:rPr>
            </w:pPr>
            <w:r>
              <w:rPr>
                <w:rFonts w:ascii="Futura Std Condensed Light" w:hAnsi="Futura Std Condensed Light" w:cs="Arial"/>
                <w:szCs w:val="20"/>
              </w:rPr>
              <w:t>3.88</w:t>
            </w:r>
          </w:p>
        </w:tc>
      </w:tr>
      <w:tr w:rsidR="00DE5976" w:rsidRPr="009B6622" w14:paraId="04ABC008" w14:textId="77777777" w:rsidTr="002C5453">
        <w:trPr>
          <w:trHeight w:val="283"/>
        </w:trPr>
        <w:tc>
          <w:tcPr>
            <w:tcW w:w="652" w:type="pct"/>
          </w:tcPr>
          <w:p w14:paraId="386E39F1" w14:textId="3F5876E4" w:rsidR="00DE5976" w:rsidRDefault="00DE5976" w:rsidP="00DE5976">
            <w:pPr>
              <w:jc w:val="center"/>
              <w:rPr>
                <w:rFonts w:ascii="Futura Std Condensed Light" w:eastAsia="Calibri" w:hAnsi="Futura Std Condensed Light" w:cs="Calibri"/>
                <w:sz w:val="18"/>
                <w:szCs w:val="20"/>
              </w:rPr>
            </w:pPr>
            <w:r>
              <w:rPr>
                <w:rFonts w:ascii="Futura Std Condensed Light" w:eastAsia="Calibri" w:hAnsi="Futura Std Condensed Light" w:cs="Calibri"/>
                <w:sz w:val="18"/>
                <w:szCs w:val="20"/>
              </w:rPr>
              <w:t>Objetivo 3. I</w:t>
            </w:r>
            <w:r w:rsidRPr="005F310D">
              <w:rPr>
                <w:rFonts w:ascii="Futura Std Condensed Light" w:eastAsia="Calibri" w:hAnsi="Futura Std Condensed Light" w:cs="Calibri"/>
                <w:sz w:val="18"/>
                <w:szCs w:val="20"/>
              </w:rPr>
              <w:t>mpulsar en educación básica acciones de respaldo a la trayectoria escolar, permanencia y egreso de los estudiantes.</w:t>
            </w:r>
          </w:p>
        </w:tc>
        <w:tc>
          <w:tcPr>
            <w:tcW w:w="652" w:type="pct"/>
          </w:tcPr>
          <w:p w14:paraId="77B1A74B" w14:textId="5A6C2D62" w:rsidR="00DE5976" w:rsidRPr="000D1A50" w:rsidRDefault="00DE5976" w:rsidP="00DE5976">
            <w:pPr>
              <w:spacing w:after="0" w:line="240" w:lineRule="auto"/>
              <w:jc w:val="center"/>
              <w:rPr>
                <w:rFonts w:ascii="Futura Std Condensed Light" w:eastAsia="Calibri" w:hAnsi="Futura Std Condensed Light" w:cs="Calibri"/>
                <w:sz w:val="18"/>
                <w:szCs w:val="20"/>
              </w:rPr>
            </w:pPr>
            <w:r w:rsidRPr="00FB520D">
              <w:rPr>
                <w:rFonts w:ascii="Futura Std Condensed Light" w:eastAsia="Calibri" w:hAnsi="Futura Std Condensed Light" w:cs="Calibri"/>
                <w:sz w:val="18"/>
                <w:szCs w:val="20"/>
              </w:rPr>
              <w:t>Tasa de egreso de Educación Básica</w:t>
            </w:r>
          </w:p>
        </w:tc>
        <w:tc>
          <w:tcPr>
            <w:tcW w:w="575" w:type="pct"/>
          </w:tcPr>
          <w:p w14:paraId="756BD2CB" w14:textId="241F5B1C" w:rsidR="00DE5976" w:rsidRPr="000D1A50" w:rsidRDefault="00DE5976" w:rsidP="00DE5976">
            <w:pPr>
              <w:spacing w:after="0" w:line="240" w:lineRule="auto"/>
              <w:jc w:val="center"/>
              <w:rPr>
                <w:rFonts w:ascii="Futura Std Condensed Light" w:eastAsia="Calibri" w:hAnsi="Futura Std Condensed Light" w:cs="Calibri"/>
                <w:sz w:val="18"/>
                <w:szCs w:val="20"/>
              </w:rPr>
            </w:pPr>
            <w:r w:rsidRPr="00E23957">
              <w:rPr>
                <w:rFonts w:ascii="Futura Std Condensed Light" w:eastAsia="Calibri" w:hAnsi="Futura Std Condensed Light" w:cs="Calibri"/>
                <w:sz w:val="18"/>
                <w:szCs w:val="20"/>
              </w:rPr>
              <w:t>Estadísticas continúas del formato 911 (inicio de ciclo escolar), SEQ</w:t>
            </w:r>
            <w:r w:rsidRPr="0018535B">
              <w:rPr>
                <w:rFonts w:ascii="Futura Std Condensed Light" w:hAnsi="Futura Std Condensed Light" w:cs="Arial"/>
                <w:szCs w:val="20"/>
              </w:rPr>
              <w:t>.</w:t>
            </w:r>
          </w:p>
        </w:tc>
        <w:tc>
          <w:tcPr>
            <w:tcW w:w="573" w:type="pct"/>
          </w:tcPr>
          <w:p w14:paraId="44829AF9" w14:textId="4DA63671" w:rsidR="00DE5976" w:rsidRPr="000D1A50" w:rsidRDefault="00DE5976" w:rsidP="00DE5976">
            <w:pPr>
              <w:spacing w:after="0" w:line="240" w:lineRule="auto"/>
              <w:jc w:val="center"/>
              <w:rPr>
                <w:rFonts w:ascii="Futura Std Condensed Light" w:eastAsia="Calibri" w:hAnsi="Futura Std Condensed Light" w:cs="Calibri"/>
                <w:sz w:val="18"/>
                <w:szCs w:val="20"/>
              </w:rPr>
            </w:pPr>
            <w:r>
              <w:rPr>
                <w:rFonts w:ascii="Futura Std Condensed Light" w:eastAsia="Calibri" w:hAnsi="Futura Std Condensed Light" w:cs="Calibri"/>
                <w:sz w:val="18"/>
                <w:szCs w:val="20"/>
              </w:rPr>
              <w:t>Porcentaje</w:t>
            </w:r>
          </w:p>
        </w:tc>
        <w:tc>
          <w:tcPr>
            <w:tcW w:w="361" w:type="pct"/>
          </w:tcPr>
          <w:p w14:paraId="61802B94" w14:textId="1867185A" w:rsidR="00DE5976" w:rsidRPr="000D1A50" w:rsidRDefault="00DE5976" w:rsidP="00DE5976">
            <w:pPr>
              <w:spacing w:after="0" w:line="240" w:lineRule="auto"/>
              <w:jc w:val="center"/>
              <w:rPr>
                <w:rFonts w:ascii="Futura Std Condensed Light" w:eastAsia="Calibri" w:hAnsi="Futura Std Condensed Light" w:cs="Calibri"/>
                <w:sz w:val="18"/>
                <w:szCs w:val="20"/>
              </w:rPr>
            </w:pPr>
            <w:r>
              <w:rPr>
                <w:rFonts w:ascii="Futura Std Condensed Light" w:hAnsi="Futura Std Condensed Light" w:cs="Arial"/>
                <w:szCs w:val="20"/>
              </w:rPr>
              <w:t>93.06</w:t>
            </w:r>
          </w:p>
        </w:tc>
        <w:tc>
          <w:tcPr>
            <w:tcW w:w="360" w:type="pct"/>
          </w:tcPr>
          <w:p w14:paraId="0D14C6E7" w14:textId="34DC26E3" w:rsidR="00DE5976" w:rsidRPr="000D1A50" w:rsidRDefault="00DE5976" w:rsidP="00DE5976">
            <w:pPr>
              <w:spacing w:after="0" w:line="240" w:lineRule="auto"/>
              <w:jc w:val="center"/>
              <w:rPr>
                <w:rFonts w:ascii="Futura Std Condensed Light" w:eastAsia="Calibri" w:hAnsi="Futura Std Condensed Light" w:cs="Calibri"/>
                <w:color w:val="FF0000"/>
                <w:sz w:val="18"/>
                <w:szCs w:val="20"/>
              </w:rPr>
            </w:pPr>
            <w:r>
              <w:rPr>
                <w:rFonts w:ascii="Futura Std Condensed Light" w:hAnsi="Futura Std Condensed Light" w:cs="Arial"/>
                <w:szCs w:val="20"/>
              </w:rPr>
              <w:t>92.82</w:t>
            </w:r>
          </w:p>
        </w:tc>
        <w:tc>
          <w:tcPr>
            <w:tcW w:w="360" w:type="pct"/>
          </w:tcPr>
          <w:p w14:paraId="711F423D" w14:textId="2500FB81" w:rsidR="00DE5976" w:rsidRPr="000D1A50" w:rsidRDefault="00DE5976" w:rsidP="00DE5976">
            <w:pPr>
              <w:spacing w:after="0" w:line="240" w:lineRule="auto"/>
              <w:jc w:val="center"/>
              <w:rPr>
                <w:rFonts w:ascii="Futura Std Condensed Light" w:eastAsia="Calibri" w:hAnsi="Futura Std Condensed Light" w:cs="Calibri"/>
                <w:sz w:val="18"/>
                <w:szCs w:val="20"/>
              </w:rPr>
            </w:pPr>
            <w:r>
              <w:rPr>
                <w:rFonts w:ascii="Futura Std Condensed Light" w:hAnsi="Futura Std Condensed Light" w:cs="Arial"/>
                <w:szCs w:val="20"/>
              </w:rPr>
              <w:t>92.25</w:t>
            </w:r>
          </w:p>
        </w:tc>
        <w:tc>
          <w:tcPr>
            <w:tcW w:w="360" w:type="pct"/>
          </w:tcPr>
          <w:p w14:paraId="573D1273" w14:textId="4A591B7F" w:rsidR="00DE5976" w:rsidRPr="000D1A50" w:rsidRDefault="00DE5976" w:rsidP="00DE5976">
            <w:pPr>
              <w:spacing w:after="0" w:line="240" w:lineRule="auto"/>
              <w:jc w:val="center"/>
              <w:rPr>
                <w:rFonts w:ascii="Futura Std Condensed Light" w:eastAsia="Calibri" w:hAnsi="Futura Std Condensed Light" w:cs="Calibri"/>
                <w:sz w:val="18"/>
                <w:szCs w:val="20"/>
              </w:rPr>
            </w:pPr>
            <w:r>
              <w:rPr>
                <w:rFonts w:ascii="Futura Std Condensed Light" w:hAnsi="Futura Std Condensed Light" w:cs="Arial"/>
                <w:szCs w:val="20"/>
              </w:rPr>
              <w:t>92.69</w:t>
            </w:r>
          </w:p>
        </w:tc>
        <w:tc>
          <w:tcPr>
            <w:tcW w:w="360" w:type="pct"/>
          </w:tcPr>
          <w:p w14:paraId="5CF99C05" w14:textId="743BDE32" w:rsidR="00DE5976" w:rsidRPr="000D1A50" w:rsidRDefault="00DE5976" w:rsidP="00DE5976">
            <w:pPr>
              <w:spacing w:after="0" w:line="240" w:lineRule="auto"/>
              <w:jc w:val="center"/>
              <w:rPr>
                <w:rFonts w:ascii="Futura Std Condensed Light" w:eastAsia="Calibri" w:hAnsi="Futura Std Condensed Light" w:cs="Calibri"/>
                <w:sz w:val="18"/>
                <w:szCs w:val="20"/>
              </w:rPr>
            </w:pPr>
            <w:r>
              <w:rPr>
                <w:rFonts w:ascii="Futura Std Condensed Light" w:hAnsi="Futura Std Condensed Light" w:cs="Arial"/>
                <w:szCs w:val="20"/>
              </w:rPr>
              <w:t>92.81</w:t>
            </w:r>
          </w:p>
        </w:tc>
        <w:tc>
          <w:tcPr>
            <w:tcW w:w="361" w:type="pct"/>
            <w:gridSpan w:val="2"/>
          </w:tcPr>
          <w:p w14:paraId="6EE34846" w14:textId="64F51CB3" w:rsidR="00DE5976" w:rsidRPr="000D1A50" w:rsidRDefault="00DE5976" w:rsidP="00DE5976">
            <w:pPr>
              <w:spacing w:after="0" w:line="240" w:lineRule="auto"/>
              <w:jc w:val="center"/>
              <w:rPr>
                <w:rFonts w:ascii="Futura Std Condensed Light" w:eastAsia="Calibri" w:hAnsi="Futura Std Condensed Light" w:cs="Calibri"/>
                <w:sz w:val="18"/>
                <w:szCs w:val="20"/>
              </w:rPr>
            </w:pPr>
            <w:r>
              <w:rPr>
                <w:rFonts w:ascii="Futura Std Condensed Light" w:hAnsi="Futura Std Condensed Light" w:cs="Arial"/>
                <w:szCs w:val="20"/>
              </w:rPr>
              <w:t>92.95</w:t>
            </w:r>
          </w:p>
        </w:tc>
        <w:tc>
          <w:tcPr>
            <w:tcW w:w="386" w:type="pct"/>
          </w:tcPr>
          <w:p w14:paraId="2058AB2E" w14:textId="6A636BAE" w:rsidR="00DE5976" w:rsidRPr="000D1A50" w:rsidRDefault="00DE5976" w:rsidP="00DE5976">
            <w:pPr>
              <w:spacing w:after="0" w:line="240" w:lineRule="auto"/>
              <w:jc w:val="center"/>
              <w:rPr>
                <w:rFonts w:ascii="Futura Std Condensed Light" w:eastAsia="Calibri" w:hAnsi="Futura Std Condensed Light" w:cs="Calibri"/>
                <w:sz w:val="18"/>
                <w:szCs w:val="20"/>
              </w:rPr>
            </w:pPr>
            <w:r>
              <w:rPr>
                <w:rFonts w:ascii="Futura Std Condensed Light" w:hAnsi="Futura Std Condensed Light" w:cs="Arial"/>
                <w:szCs w:val="20"/>
              </w:rPr>
              <w:t>93.11</w:t>
            </w:r>
          </w:p>
        </w:tc>
      </w:tr>
      <w:tr w:rsidR="00DE5976" w:rsidRPr="009B6622" w14:paraId="43CF8653" w14:textId="77777777" w:rsidTr="002C5453">
        <w:trPr>
          <w:trHeight w:val="283"/>
        </w:trPr>
        <w:tc>
          <w:tcPr>
            <w:tcW w:w="652" w:type="pct"/>
          </w:tcPr>
          <w:p w14:paraId="7434A070" w14:textId="7F6F63D8" w:rsidR="00DE5976" w:rsidRDefault="00DE5976" w:rsidP="00DE5976">
            <w:pPr>
              <w:jc w:val="center"/>
              <w:rPr>
                <w:rFonts w:ascii="Futura Std Condensed Light" w:eastAsia="Calibri" w:hAnsi="Futura Std Condensed Light" w:cs="Calibri"/>
                <w:sz w:val="18"/>
                <w:szCs w:val="20"/>
              </w:rPr>
            </w:pPr>
            <w:r>
              <w:rPr>
                <w:rFonts w:ascii="Futura Std Condensed Light" w:eastAsia="Calibri" w:hAnsi="Futura Std Condensed Light" w:cs="Calibri"/>
                <w:sz w:val="18"/>
                <w:szCs w:val="20"/>
              </w:rPr>
              <w:t xml:space="preserve">Estrategia 3. </w:t>
            </w:r>
            <w:r w:rsidRPr="005F310D">
              <w:rPr>
                <w:rFonts w:ascii="Futura Std Condensed Light" w:eastAsia="Calibri" w:hAnsi="Futura Std Condensed Light" w:cs="Calibri"/>
                <w:sz w:val="18"/>
                <w:szCs w:val="20"/>
              </w:rPr>
              <w:t xml:space="preserve">Propiciar en los centros educativos ambientes que favorezcan los aprendizajes y propicien el desarrollo de los estudiantes a través de mecanismos de </w:t>
            </w:r>
            <w:r w:rsidRPr="005F310D">
              <w:rPr>
                <w:rFonts w:ascii="Futura Std Condensed Light" w:eastAsia="Calibri" w:hAnsi="Futura Std Condensed Light" w:cs="Calibri"/>
                <w:sz w:val="18"/>
                <w:szCs w:val="20"/>
              </w:rPr>
              <w:lastRenderedPageBreak/>
              <w:t>detección de la población escolar en riesgo de reprobación que permita la aplicación de estrategias de apoyo diferenciada.</w:t>
            </w:r>
          </w:p>
        </w:tc>
        <w:tc>
          <w:tcPr>
            <w:tcW w:w="652" w:type="pct"/>
          </w:tcPr>
          <w:p w14:paraId="21FBE2BF" w14:textId="4318499A" w:rsidR="00DE5976" w:rsidRPr="000D1A50" w:rsidRDefault="00DE5976" w:rsidP="00DE5976">
            <w:pPr>
              <w:spacing w:after="0" w:line="240" w:lineRule="auto"/>
              <w:jc w:val="center"/>
              <w:rPr>
                <w:rFonts w:ascii="Futura Std Condensed Light" w:eastAsia="Calibri" w:hAnsi="Futura Std Condensed Light" w:cs="Calibri"/>
                <w:sz w:val="18"/>
                <w:szCs w:val="20"/>
              </w:rPr>
            </w:pPr>
            <w:r w:rsidRPr="00FB520D">
              <w:rPr>
                <w:rFonts w:ascii="Futura Std Condensed Light" w:eastAsia="Calibri" w:hAnsi="Futura Std Condensed Light" w:cs="Calibri"/>
                <w:sz w:val="18"/>
                <w:szCs w:val="20"/>
              </w:rPr>
              <w:lastRenderedPageBreak/>
              <w:t>Tasa de reprobación de Educación Básica</w:t>
            </w:r>
          </w:p>
        </w:tc>
        <w:tc>
          <w:tcPr>
            <w:tcW w:w="575" w:type="pct"/>
          </w:tcPr>
          <w:p w14:paraId="712FA104" w14:textId="77777777" w:rsidR="00032970" w:rsidRPr="00032970" w:rsidRDefault="00032970" w:rsidP="00032970">
            <w:pPr>
              <w:spacing w:after="0" w:line="240" w:lineRule="auto"/>
              <w:jc w:val="center"/>
              <w:rPr>
                <w:rFonts w:ascii="Futura Std Condensed Light" w:eastAsia="Calibri" w:hAnsi="Futura Std Condensed Light" w:cs="Calibri"/>
                <w:sz w:val="18"/>
                <w:szCs w:val="20"/>
              </w:rPr>
            </w:pPr>
            <w:r w:rsidRPr="00032970">
              <w:rPr>
                <w:rFonts w:ascii="Futura Std Condensed Light" w:eastAsia="Calibri" w:hAnsi="Futura Std Condensed Light" w:cs="Calibri"/>
                <w:sz w:val="18"/>
                <w:szCs w:val="20"/>
              </w:rPr>
              <w:t>Estadísticas continúas del formato 911 (fin de ciclo escolar), SEQ.</w:t>
            </w:r>
          </w:p>
          <w:p w14:paraId="57368F2E" w14:textId="77777777" w:rsidR="00DE5976" w:rsidRPr="000D1A50" w:rsidRDefault="00DE5976" w:rsidP="00DE5976">
            <w:pPr>
              <w:spacing w:after="0" w:line="240" w:lineRule="auto"/>
              <w:jc w:val="center"/>
              <w:rPr>
                <w:rFonts w:ascii="Futura Std Condensed Light" w:eastAsia="Calibri" w:hAnsi="Futura Std Condensed Light" w:cs="Calibri"/>
                <w:sz w:val="18"/>
                <w:szCs w:val="20"/>
              </w:rPr>
            </w:pPr>
          </w:p>
        </w:tc>
        <w:tc>
          <w:tcPr>
            <w:tcW w:w="573" w:type="pct"/>
          </w:tcPr>
          <w:p w14:paraId="631FB0B9" w14:textId="08B8E0FE" w:rsidR="00DE5976" w:rsidRPr="000D1A50" w:rsidRDefault="00032970" w:rsidP="00DE5976">
            <w:pPr>
              <w:spacing w:after="0" w:line="240" w:lineRule="auto"/>
              <w:jc w:val="center"/>
              <w:rPr>
                <w:rFonts w:ascii="Futura Std Condensed Light" w:eastAsia="Calibri" w:hAnsi="Futura Std Condensed Light" w:cs="Calibri"/>
                <w:sz w:val="18"/>
                <w:szCs w:val="20"/>
              </w:rPr>
            </w:pPr>
            <w:r>
              <w:rPr>
                <w:rFonts w:ascii="Futura Std Condensed Light" w:eastAsia="Calibri" w:hAnsi="Futura Std Condensed Light" w:cs="Calibri"/>
                <w:sz w:val="18"/>
                <w:szCs w:val="20"/>
              </w:rPr>
              <w:t xml:space="preserve">Porcentaje </w:t>
            </w:r>
          </w:p>
        </w:tc>
        <w:tc>
          <w:tcPr>
            <w:tcW w:w="361" w:type="pct"/>
          </w:tcPr>
          <w:p w14:paraId="51CBA151" w14:textId="602A83FB" w:rsidR="00DE5976" w:rsidRPr="000D1A50" w:rsidRDefault="00032970" w:rsidP="00DE5976">
            <w:pPr>
              <w:spacing w:after="0" w:line="240" w:lineRule="auto"/>
              <w:jc w:val="center"/>
              <w:rPr>
                <w:rFonts w:ascii="Futura Std Condensed Light" w:eastAsia="Calibri" w:hAnsi="Futura Std Condensed Light" w:cs="Calibri"/>
                <w:sz w:val="18"/>
                <w:szCs w:val="20"/>
              </w:rPr>
            </w:pPr>
            <w:r w:rsidRPr="003D75F7">
              <w:rPr>
                <w:rFonts w:ascii="Futura Std Condensed Light" w:hAnsi="Futura Std Condensed Light" w:cs="Arial"/>
                <w:szCs w:val="20"/>
              </w:rPr>
              <w:t>3.52</w:t>
            </w:r>
          </w:p>
        </w:tc>
        <w:tc>
          <w:tcPr>
            <w:tcW w:w="360" w:type="pct"/>
          </w:tcPr>
          <w:p w14:paraId="0BF880C9" w14:textId="0ED39706" w:rsidR="00DE5976" w:rsidRPr="000D1A50" w:rsidRDefault="00032970" w:rsidP="00DE5976">
            <w:pPr>
              <w:spacing w:after="0" w:line="240" w:lineRule="auto"/>
              <w:jc w:val="center"/>
              <w:rPr>
                <w:rFonts w:ascii="Futura Std Condensed Light" w:eastAsia="Calibri" w:hAnsi="Futura Std Condensed Light" w:cs="Calibri"/>
                <w:color w:val="FF0000"/>
                <w:sz w:val="18"/>
                <w:szCs w:val="20"/>
              </w:rPr>
            </w:pPr>
            <w:r>
              <w:rPr>
                <w:rFonts w:ascii="Futura Std Condensed Light" w:hAnsi="Futura Std Condensed Light" w:cs="Arial"/>
                <w:szCs w:val="20"/>
              </w:rPr>
              <w:t>3.50</w:t>
            </w:r>
          </w:p>
        </w:tc>
        <w:tc>
          <w:tcPr>
            <w:tcW w:w="360" w:type="pct"/>
          </w:tcPr>
          <w:p w14:paraId="5771691F" w14:textId="10CCE091" w:rsidR="00DE5976" w:rsidRPr="000D1A50" w:rsidRDefault="00032970" w:rsidP="00DE5976">
            <w:pPr>
              <w:spacing w:after="0" w:line="240" w:lineRule="auto"/>
              <w:jc w:val="center"/>
              <w:rPr>
                <w:rFonts w:ascii="Futura Std Condensed Light" w:eastAsia="Calibri" w:hAnsi="Futura Std Condensed Light" w:cs="Calibri"/>
                <w:sz w:val="18"/>
                <w:szCs w:val="20"/>
              </w:rPr>
            </w:pPr>
            <w:r>
              <w:rPr>
                <w:rFonts w:ascii="Futura Std Condensed Light" w:hAnsi="Futura Std Condensed Light" w:cs="Arial"/>
                <w:szCs w:val="20"/>
              </w:rPr>
              <w:t>3.58</w:t>
            </w:r>
          </w:p>
        </w:tc>
        <w:tc>
          <w:tcPr>
            <w:tcW w:w="360" w:type="pct"/>
          </w:tcPr>
          <w:p w14:paraId="34DABCC1" w14:textId="05AA5FF6" w:rsidR="00DE5976" w:rsidRPr="000D1A50" w:rsidRDefault="00032970" w:rsidP="00DE5976">
            <w:pPr>
              <w:spacing w:after="0" w:line="240" w:lineRule="auto"/>
              <w:jc w:val="center"/>
              <w:rPr>
                <w:rFonts w:ascii="Futura Std Condensed Light" w:eastAsia="Calibri" w:hAnsi="Futura Std Condensed Light" w:cs="Calibri"/>
                <w:sz w:val="18"/>
                <w:szCs w:val="20"/>
              </w:rPr>
            </w:pPr>
            <w:r>
              <w:rPr>
                <w:rFonts w:ascii="Futura Std Condensed Light" w:hAnsi="Futura Std Condensed Light" w:cs="Arial"/>
                <w:szCs w:val="20"/>
              </w:rPr>
              <w:t>3.41</w:t>
            </w:r>
          </w:p>
        </w:tc>
        <w:tc>
          <w:tcPr>
            <w:tcW w:w="360" w:type="pct"/>
          </w:tcPr>
          <w:p w14:paraId="46880092" w14:textId="0974F953" w:rsidR="00DE5976" w:rsidRPr="000D1A50" w:rsidRDefault="00032970" w:rsidP="00DE5976">
            <w:pPr>
              <w:spacing w:after="0" w:line="240" w:lineRule="auto"/>
              <w:jc w:val="center"/>
              <w:rPr>
                <w:rFonts w:ascii="Futura Std Condensed Light" w:eastAsia="Calibri" w:hAnsi="Futura Std Condensed Light" w:cs="Calibri"/>
                <w:sz w:val="18"/>
                <w:szCs w:val="20"/>
              </w:rPr>
            </w:pPr>
            <w:r>
              <w:rPr>
                <w:rFonts w:ascii="Futura Std Condensed Light" w:hAnsi="Futura Std Condensed Light" w:cs="Arial"/>
                <w:szCs w:val="20"/>
              </w:rPr>
              <w:t>3.26</w:t>
            </w:r>
          </w:p>
        </w:tc>
        <w:tc>
          <w:tcPr>
            <w:tcW w:w="361" w:type="pct"/>
            <w:gridSpan w:val="2"/>
          </w:tcPr>
          <w:p w14:paraId="6A8AAD50" w14:textId="6321CAFA" w:rsidR="00DE5976" w:rsidRPr="000D1A50" w:rsidRDefault="00032970" w:rsidP="00DE5976">
            <w:pPr>
              <w:spacing w:after="0" w:line="240" w:lineRule="auto"/>
              <w:jc w:val="center"/>
              <w:rPr>
                <w:rFonts w:ascii="Futura Std Condensed Light" w:eastAsia="Calibri" w:hAnsi="Futura Std Condensed Light" w:cs="Calibri"/>
                <w:sz w:val="18"/>
                <w:szCs w:val="20"/>
              </w:rPr>
            </w:pPr>
            <w:r>
              <w:rPr>
                <w:rFonts w:ascii="Futura Std Condensed Light" w:hAnsi="Futura Std Condensed Light" w:cs="Arial"/>
                <w:szCs w:val="20"/>
              </w:rPr>
              <w:t>3.12</w:t>
            </w:r>
          </w:p>
        </w:tc>
        <w:tc>
          <w:tcPr>
            <w:tcW w:w="386" w:type="pct"/>
          </w:tcPr>
          <w:p w14:paraId="6527D2D1" w14:textId="0EDCC1F8" w:rsidR="00DE5976" w:rsidRPr="000D1A50" w:rsidRDefault="00032970" w:rsidP="00DE5976">
            <w:pPr>
              <w:spacing w:after="0" w:line="240" w:lineRule="auto"/>
              <w:jc w:val="center"/>
              <w:rPr>
                <w:rFonts w:ascii="Futura Std Condensed Light" w:eastAsia="Calibri" w:hAnsi="Futura Std Condensed Light" w:cs="Calibri"/>
                <w:sz w:val="18"/>
                <w:szCs w:val="20"/>
              </w:rPr>
            </w:pPr>
            <w:r>
              <w:rPr>
                <w:rFonts w:ascii="Futura Std Condensed Light" w:hAnsi="Futura Std Condensed Light" w:cs="Arial"/>
                <w:szCs w:val="20"/>
              </w:rPr>
              <w:t>2.99</w:t>
            </w:r>
          </w:p>
        </w:tc>
      </w:tr>
      <w:tr w:rsidR="00DE5976" w:rsidRPr="009B6622" w14:paraId="16431959" w14:textId="77777777" w:rsidTr="002C5453">
        <w:trPr>
          <w:trHeight w:val="283"/>
        </w:trPr>
        <w:tc>
          <w:tcPr>
            <w:tcW w:w="652" w:type="pct"/>
          </w:tcPr>
          <w:p w14:paraId="6763CFDE" w14:textId="4626CF0E" w:rsidR="00DE5976" w:rsidRDefault="00DE5976" w:rsidP="00DE5976">
            <w:pPr>
              <w:jc w:val="center"/>
              <w:rPr>
                <w:rFonts w:ascii="Futura Std Condensed Light" w:eastAsia="Calibri" w:hAnsi="Futura Std Condensed Light" w:cs="Calibri"/>
                <w:sz w:val="18"/>
                <w:szCs w:val="20"/>
              </w:rPr>
            </w:pPr>
            <w:r>
              <w:rPr>
                <w:rFonts w:ascii="Futura Std Condensed Light" w:eastAsia="Calibri" w:hAnsi="Futura Std Condensed Light" w:cs="Calibri"/>
                <w:sz w:val="18"/>
                <w:szCs w:val="20"/>
              </w:rPr>
              <w:t xml:space="preserve">Objetivo 4. </w:t>
            </w:r>
            <w:r w:rsidRPr="006D33DD">
              <w:rPr>
                <w:rFonts w:ascii="Futura Std Condensed Light" w:eastAsia="Calibri" w:hAnsi="Futura Std Condensed Light" w:cs="Calibri"/>
                <w:sz w:val="18"/>
                <w:szCs w:val="20"/>
              </w:rPr>
              <w:t>Mejorar el proceso de formación docente delos estudiantes de las escuelas normales de Quintana Roo</w:t>
            </w:r>
          </w:p>
        </w:tc>
        <w:tc>
          <w:tcPr>
            <w:tcW w:w="652" w:type="pct"/>
          </w:tcPr>
          <w:p w14:paraId="7B2A6CFC" w14:textId="0B64A1AC" w:rsidR="00DE5976" w:rsidRPr="00FB520D" w:rsidRDefault="00DE5976" w:rsidP="00DE5976">
            <w:pPr>
              <w:spacing w:after="0" w:line="240" w:lineRule="auto"/>
              <w:jc w:val="center"/>
              <w:rPr>
                <w:rFonts w:ascii="Futura Std Condensed Light" w:eastAsia="Calibri" w:hAnsi="Futura Std Condensed Light" w:cs="Calibri"/>
                <w:sz w:val="18"/>
                <w:szCs w:val="20"/>
              </w:rPr>
            </w:pPr>
            <w:r w:rsidRPr="00B82E13">
              <w:rPr>
                <w:rFonts w:ascii="Futura Std Condensed Light" w:eastAsia="Calibri" w:hAnsi="Futura Std Condensed Light" w:cs="Calibri"/>
                <w:sz w:val="18"/>
                <w:szCs w:val="20"/>
              </w:rPr>
              <w:t>Tasa de eficiencia terminal de educación normal</w:t>
            </w:r>
          </w:p>
        </w:tc>
        <w:tc>
          <w:tcPr>
            <w:tcW w:w="575" w:type="pct"/>
          </w:tcPr>
          <w:p w14:paraId="25A3EA9F" w14:textId="68CC7B3B" w:rsidR="00DE5976" w:rsidRPr="000D1A50" w:rsidRDefault="00DE5976" w:rsidP="00DE5976">
            <w:pPr>
              <w:spacing w:after="0" w:line="240" w:lineRule="auto"/>
              <w:jc w:val="center"/>
              <w:rPr>
                <w:rFonts w:ascii="Futura Std Condensed Light" w:eastAsia="Calibri" w:hAnsi="Futura Std Condensed Light" w:cs="Calibri"/>
                <w:sz w:val="18"/>
                <w:szCs w:val="20"/>
              </w:rPr>
            </w:pPr>
            <w:r w:rsidRPr="002B5F89">
              <w:rPr>
                <w:rFonts w:ascii="Futura Std Condensed Light" w:eastAsia="Calibri" w:hAnsi="Futura Std Condensed Light" w:cs="Calibri"/>
                <w:sz w:val="18"/>
                <w:szCs w:val="20"/>
              </w:rPr>
              <w:t>Estadísticas continúas del formato 911 de educación superior normal, inicio de ciclo escolar, SEQ.</w:t>
            </w:r>
          </w:p>
        </w:tc>
        <w:tc>
          <w:tcPr>
            <w:tcW w:w="573" w:type="pct"/>
          </w:tcPr>
          <w:p w14:paraId="1C6C9EF8" w14:textId="2F409BF8" w:rsidR="00DE5976" w:rsidRPr="000D1A50" w:rsidRDefault="00DE5976" w:rsidP="00DE5976">
            <w:pPr>
              <w:spacing w:after="0" w:line="240" w:lineRule="auto"/>
              <w:jc w:val="center"/>
              <w:rPr>
                <w:rFonts w:ascii="Futura Std Condensed Light" w:eastAsia="Calibri" w:hAnsi="Futura Std Condensed Light" w:cs="Calibri"/>
                <w:sz w:val="18"/>
                <w:szCs w:val="20"/>
              </w:rPr>
            </w:pPr>
            <w:r>
              <w:rPr>
                <w:rFonts w:ascii="Futura Std Condensed Light" w:eastAsia="Calibri" w:hAnsi="Futura Std Condensed Light" w:cs="Calibri"/>
                <w:sz w:val="18"/>
                <w:szCs w:val="20"/>
              </w:rPr>
              <w:t>Porcentaje</w:t>
            </w:r>
          </w:p>
        </w:tc>
        <w:tc>
          <w:tcPr>
            <w:tcW w:w="361" w:type="pct"/>
          </w:tcPr>
          <w:p w14:paraId="0E1B5555" w14:textId="5753CC1B" w:rsidR="00DE5976" w:rsidRPr="000D1A50" w:rsidRDefault="00DE5976" w:rsidP="00DE5976">
            <w:pPr>
              <w:spacing w:after="0" w:line="240" w:lineRule="auto"/>
              <w:jc w:val="center"/>
              <w:rPr>
                <w:rFonts w:ascii="Futura Std Condensed Light" w:eastAsia="Calibri" w:hAnsi="Futura Std Condensed Light" w:cs="Calibri"/>
                <w:sz w:val="18"/>
                <w:szCs w:val="20"/>
              </w:rPr>
            </w:pPr>
            <w:r>
              <w:rPr>
                <w:rFonts w:ascii="Futura Std Condensed Light" w:eastAsia="Calibri" w:hAnsi="Futura Std Condensed Light" w:cs="Calibri"/>
                <w:sz w:val="16"/>
                <w:szCs w:val="16"/>
              </w:rPr>
              <w:t>78.46</w:t>
            </w:r>
          </w:p>
        </w:tc>
        <w:tc>
          <w:tcPr>
            <w:tcW w:w="360" w:type="pct"/>
          </w:tcPr>
          <w:p w14:paraId="49A54B0F" w14:textId="76653A95" w:rsidR="00DE5976" w:rsidRPr="000D1A50" w:rsidRDefault="00DE5976" w:rsidP="00DE5976">
            <w:pPr>
              <w:spacing w:after="0" w:line="240" w:lineRule="auto"/>
              <w:jc w:val="center"/>
              <w:rPr>
                <w:rFonts w:ascii="Futura Std Condensed Light" w:eastAsia="Calibri" w:hAnsi="Futura Std Condensed Light" w:cs="Calibri"/>
                <w:color w:val="FF0000"/>
                <w:sz w:val="18"/>
                <w:szCs w:val="20"/>
              </w:rPr>
            </w:pPr>
            <w:r>
              <w:rPr>
                <w:rFonts w:ascii="Futura Std Condensed Light" w:eastAsia="Calibri" w:hAnsi="Futura Std Condensed Light" w:cs="Calibri"/>
                <w:sz w:val="16"/>
                <w:szCs w:val="16"/>
              </w:rPr>
              <w:t>81.38</w:t>
            </w:r>
          </w:p>
        </w:tc>
        <w:tc>
          <w:tcPr>
            <w:tcW w:w="360" w:type="pct"/>
          </w:tcPr>
          <w:p w14:paraId="653D6C98" w14:textId="7B51F3F4" w:rsidR="00DE5976" w:rsidRPr="000D1A50" w:rsidRDefault="00DE5976" w:rsidP="00DE5976">
            <w:pPr>
              <w:spacing w:after="0" w:line="240" w:lineRule="auto"/>
              <w:jc w:val="center"/>
              <w:rPr>
                <w:rFonts w:ascii="Futura Std Condensed Light" w:eastAsia="Calibri" w:hAnsi="Futura Std Condensed Light" w:cs="Calibri"/>
                <w:sz w:val="18"/>
                <w:szCs w:val="20"/>
              </w:rPr>
            </w:pPr>
            <w:r>
              <w:rPr>
                <w:rFonts w:ascii="Futura Std Condensed Light" w:eastAsia="Calibri" w:hAnsi="Futura Std Condensed Light" w:cs="Calibri"/>
                <w:sz w:val="16"/>
                <w:szCs w:val="16"/>
              </w:rPr>
              <w:t>71.85</w:t>
            </w:r>
          </w:p>
        </w:tc>
        <w:tc>
          <w:tcPr>
            <w:tcW w:w="360" w:type="pct"/>
          </w:tcPr>
          <w:p w14:paraId="007BDD83" w14:textId="6FB4894F" w:rsidR="00DE5976" w:rsidRPr="000D1A50" w:rsidRDefault="00DE5976" w:rsidP="00DE5976">
            <w:pPr>
              <w:spacing w:after="0" w:line="240" w:lineRule="auto"/>
              <w:jc w:val="center"/>
              <w:rPr>
                <w:rFonts w:ascii="Futura Std Condensed Light" w:eastAsia="Calibri" w:hAnsi="Futura Std Condensed Light" w:cs="Calibri"/>
                <w:sz w:val="18"/>
                <w:szCs w:val="20"/>
              </w:rPr>
            </w:pPr>
            <w:r>
              <w:rPr>
                <w:rFonts w:ascii="Futura Std Condensed Light" w:eastAsia="Calibri" w:hAnsi="Futura Std Condensed Light" w:cs="Calibri"/>
                <w:sz w:val="16"/>
                <w:szCs w:val="16"/>
              </w:rPr>
              <w:t>70.86</w:t>
            </w:r>
          </w:p>
        </w:tc>
        <w:tc>
          <w:tcPr>
            <w:tcW w:w="360" w:type="pct"/>
          </w:tcPr>
          <w:p w14:paraId="2AED9959" w14:textId="01131F0C" w:rsidR="00DE5976" w:rsidRPr="000D1A50" w:rsidRDefault="00DE5976" w:rsidP="00DE5976">
            <w:pPr>
              <w:spacing w:after="0" w:line="240" w:lineRule="auto"/>
              <w:jc w:val="center"/>
              <w:rPr>
                <w:rFonts w:ascii="Futura Std Condensed Light" w:eastAsia="Calibri" w:hAnsi="Futura Std Condensed Light" w:cs="Calibri"/>
                <w:sz w:val="18"/>
                <w:szCs w:val="20"/>
              </w:rPr>
            </w:pPr>
            <w:r>
              <w:rPr>
                <w:rFonts w:ascii="Futura Std Condensed Light" w:eastAsia="Calibri" w:hAnsi="Futura Std Condensed Light" w:cs="Calibri"/>
                <w:sz w:val="16"/>
                <w:szCs w:val="16"/>
              </w:rPr>
              <w:t>71.35</w:t>
            </w:r>
          </w:p>
        </w:tc>
        <w:tc>
          <w:tcPr>
            <w:tcW w:w="361" w:type="pct"/>
            <w:gridSpan w:val="2"/>
          </w:tcPr>
          <w:p w14:paraId="7820ABFE" w14:textId="237011E6" w:rsidR="00DE5976" w:rsidRPr="000D1A50" w:rsidRDefault="00DE5976" w:rsidP="00DE5976">
            <w:pPr>
              <w:spacing w:after="0" w:line="240" w:lineRule="auto"/>
              <w:jc w:val="center"/>
              <w:rPr>
                <w:rFonts w:ascii="Futura Std Condensed Light" w:eastAsia="Calibri" w:hAnsi="Futura Std Condensed Light" w:cs="Calibri"/>
                <w:sz w:val="18"/>
                <w:szCs w:val="20"/>
              </w:rPr>
            </w:pPr>
            <w:r>
              <w:rPr>
                <w:rFonts w:ascii="Futura Std Condensed Light" w:eastAsia="Calibri" w:hAnsi="Futura Std Condensed Light" w:cs="Calibri"/>
                <w:sz w:val="16"/>
                <w:szCs w:val="16"/>
              </w:rPr>
              <w:t>71.63</w:t>
            </w:r>
          </w:p>
        </w:tc>
        <w:tc>
          <w:tcPr>
            <w:tcW w:w="386" w:type="pct"/>
          </w:tcPr>
          <w:p w14:paraId="1873319D" w14:textId="2CB61099" w:rsidR="00DE5976" w:rsidRPr="000D1A50" w:rsidRDefault="00DE5976" w:rsidP="00DE5976">
            <w:pPr>
              <w:spacing w:after="0" w:line="240" w:lineRule="auto"/>
              <w:jc w:val="center"/>
              <w:rPr>
                <w:rFonts w:ascii="Futura Std Condensed Light" w:eastAsia="Calibri" w:hAnsi="Futura Std Condensed Light" w:cs="Calibri"/>
                <w:sz w:val="18"/>
                <w:szCs w:val="20"/>
              </w:rPr>
            </w:pPr>
            <w:r>
              <w:rPr>
                <w:rFonts w:ascii="Futura Std Condensed Light" w:eastAsia="Calibri" w:hAnsi="Futura Std Condensed Light" w:cs="Calibri"/>
                <w:sz w:val="16"/>
                <w:szCs w:val="16"/>
              </w:rPr>
              <w:t>72.20</w:t>
            </w:r>
          </w:p>
        </w:tc>
      </w:tr>
      <w:tr w:rsidR="00D0670B" w:rsidRPr="009B6622" w14:paraId="78BC6E1A" w14:textId="77777777" w:rsidTr="002C5453">
        <w:trPr>
          <w:trHeight w:val="283"/>
        </w:trPr>
        <w:tc>
          <w:tcPr>
            <w:tcW w:w="652" w:type="pct"/>
          </w:tcPr>
          <w:p w14:paraId="22095B8F" w14:textId="60D66AEA" w:rsidR="00D0670B" w:rsidRDefault="00D0670B" w:rsidP="00D0670B">
            <w:pPr>
              <w:jc w:val="center"/>
              <w:rPr>
                <w:rFonts w:ascii="Futura Std Condensed Light" w:eastAsia="Calibri" w:hAnsi="Futura Std Condensed Light" w:cs="Calibri"/>
                <w:sz w:val="18"/>
                <w:szCs w:val="20"/>
              </w:rPr>
            </w:pPr>
            <w:r w:rsidRPr="00D0670B">
              <w:rPr>
                <w:rFonts w:ascii="Futura Std Condensed Light" w:eastAsia="Calibri" w:hAnsi="Futura Std Condensed Light" w:cs="Calibri"/>
                <w:sz w:val="18"/>
                <w:szCs w:val="20"/>
              </w:rPr>
              <w:t xml:space="preserve">Estrategia 4. Implementar un proyecto estatal que promueva la calidad educativa estableciendo como ejes </w:t>
            </w:r>
            <w:r w:rsidRPr="00D0670B">
              <w:rPr>
                <w:rFonts w:ascii="Futura Std Condensed Light" w:eastAsia="Calibri" w:hAnsi="Futura Std Condensed Light" w:cs="Calibri"/>
                <w:sz w:val="18"/>
                <w:szCs w:val="20"/>
              </w:rPr>
              <w:lastRenderedPageBreak/>
              <w:t>fundamentales la gestión y el fortalecimiento institucional, la promoción de la investigación y el diseño curricular y formación docente</w:t>
            </w:r>
          </w:p>
        </w:tc>
        <w:tc>
          <w:tcPr>
            <w:tcW w:w="652" w:type="pct"/>
          </w:tcPr>
          <w:p w14:paraId="5C0A4EC5" w14:textId="29635EDA" w:rsidR="00D0670B" w:rsidRPr="00FB520D" w:rsidRDefault="00D0670B" w:rsidP="00D0670B">
            <w:pPr>
              <w:spacing w:after="0" w:line="240" w:lineRule="auto"/>
              <w:jc w:val="center"/>
              <w:rPr>
                <w:rFonts w:ascii="Futura Std Condensed Light" w:eastAsia="Calibri" w:hAnsi="Futura Std Condensed Light" w:cs="Calibri"/>
                <w:sz w:val="18"/>
                <w:szCs w:val="20"/>
              </w:rPr>
            </w:pPr>
            <w:r w:rsidRPr="00155E06">
              <w:rPr>
                <w:rFonts w:ascii="Futura Std Condensed Light" w:eastAsia="Calibri" w:hAnsi="Futura Std Condensed Light" w:cs="Calibri"/>
                <w:sz w:val="18"/>
                <w:szCs w:val="20"/>
              </w:rPr>
              <w:lastRenderedPageBreak/>
              <w:t xml:space="preserve">Porcentaje de egresados de Instituciones Formadoras de Docentes que resultan idóneos para el ingreso al </w:t>
            </w:r>
            <w:r w:rsidRPr="00155E06">
              <w:rPr>
                <w:rFonts w:ascii="Futura Std Condensed Light" w:eastAsia="Calibri" w:hAnsi="Futura Std Condensed Light" w:cs="Calibri"/>
                <w:sz w:val="18"/>
                <w:szCs w:val="20"/>
              </w:rPr>
              <w:lastRenderedPageBreak/>
              <w:t>Sistema para la Carrera de las Maestras y los Maestros</w:t>
            </w:r>
          </w:p>
        </w:tc>
        <w:tc>
          <w:tcPr>
            <w:tcW w:w="575" w:type="pct"/>
          </w:tcPr>
          <w:p w14:paraId="127CC2E5" w14:textId="401B4C43" w:rsidR="00D0670B" w:rsidRPr="000D1A50" w:rsidRDefault="00D0670B" w:rsidP="00D0670B">
            <w:pPr>
              <w:spacing w:after="0" w:line="240" w:lineRule="auto"/>
              <w:jc w:val="center"/>
              <w:rPr>
                <w:rFonts w:ascii="Futura Std Condensed Light" w:eastAsia="Calibri" w:hAnsi="Futura Std Condensed Light" w:cs="Calibri"/>
                <w:sz w:val="18"/>
                <w:szCs w:val="20"/>
              </w:rPr>
            </w:pPr>
            <w:r w:rsidRPr="00155E06">
              <w:rPr>
                <w:rFonts w:ascii="Futura Std Condensed Light" w:eastAsia="Calibri" w:hAnsi="Futura Std Condensed Light" w:cs="Calibri"/>
                <w:sz w:val="18"/>
                <w:szCs w:val="20"/>
              </w:rPr>
              <w:lastRenderedPageBreak/>
              <w:t>Información proporcionada por el Sistema para la Carrera de las Maestras y los Maestros</w:t>
            </w:r>
            <w:r>
              <w:rPr>
                <w:rFonts w:ascii="Futura Std Condensed Light" w:eastAsia="Calibri" w:hAnsi="Futura Std Condensed Light" w:cs="Calibri"/>
                <w:sz w:val="18"/>
                <w:szCs w:val="20"/>
              </w:rPr>
              <w:t>. SEP</w:t>
            </w:r>
          </w:p>
        </w:tc>
        <w:tc>
          <w:tcPr>
            <w:tcW w:w="573" w:type="pct"/>
          </w:tcPr>
          <w:p w14:paraId="574D912C" w14:textId="3867C0F3" w:rsidR="00D0670B" w:rsidRPr="000D1A50" w:rsidRDefault="00D0670B" w:rsidP="00D0670B">
            <w:pPr>
              <w:spacing w:after="0" w:line="240" w:lineRule="auto"/>
              <w:jc w:val="center"/>
              <w:rPr>
                <w:rFonts w:ascii="Futura Std Condensed Light" w:eastAsia="Calibri" w:hAnsi="Futura Std Condensed Light" w:cs="Calibri"/>
                <w:sz w:val="18"/>
                <w:szCs w:val="20"/>
              </w:rPr>
            </w:pPr>
            <w:r>
              <w:rPr>
                <w:rFonts w:ascii="Futura Std Condensed Light" w:eastAsia="Calibri" w:hAnsi="Futura Std Condensed Light" w:cs="Calibri"/>
                <w:sz w:val="18"/>
                <w:szCs w:val="20"/>
              </w:rPr>
              <w:t>Porcentaje</w:t>
            </w:r>
          </w:p>
        </w:tc>
        <w:tc>
          <w:tcPr>
            <w:tcW w:w="361" w:type="pct"/>
          </w:tcPr>
          <w:p w14:paraId="55C737D9" w14:textId="592FA10C" w:rsidR="00D0670B" w:rsidRPr="00155E06" w:rsidRDefault="00D0670B" w:rsidP="00D0670B">
            <w:pPr>
              <w:spacing w:after="0" w:line="240" w:lineRule="auto"/>
              <w:jc w:val="center"/>
              <w:rPr>
                <w:rFonts w:ascii="Futura Std Condensed Light" w:eastAsia="Calibri" w:hAnsi="Futura Std Condensed Light" w:cs="Calibri"/>
                <w:color w:val="auto"/>
                <w:sz w:val="18"/>
                <w:szCs w:val="20"/>
              </w:rPr>
            </w:pPr>
            <w:r w:rsidRPr="00155E06">
              <w:rPr>
                <w:rFonts w:ascii="Futura Std Condensed Light" w:eastAsia="Calibri" w:hAnsi="Futura Std Condensed Light" w:cs="Calibri"/>
                <w:color w:val="auto"/>
                <w:sz w:val="18"/>
                <w:szCs w:val="20"/>
              </w:rPr>
              <w:t>0</w:t>
            </w:r>
          </w:p>
        </w:tc>
        <w:tc>
          <w:tcPr>
            <w:tcW w:w="360" w:type="pct"/>
          </w:tcPr>
          <w:p w14:paraId="56B66B21" w14:textId="5CF2DD42" w:rsidR="00D0670B" w:rsidRPr="00155E06" w:rsidRDefault="00D0670B" w:rsidP="00D0670B">
            <w:pPr>
              <w:spacing w:after="0" w:line="240" w:lineRule="auto"/>
              <w:jc w:val="center"/>
              <w:rPr>
                <w:rFonts w:ascii="Futura Std Condensed Light" w:eastAsia="Calibri" w:hAnsi="Futura Std Condensed Light" w:cs="Calibri"/>
                <w:color w:val="auto"/>
                <w:sz w:val="18"/>
                <w:szCs w:val="20"/>
              </w:rPr>
            </w:pPr>
            <w:r w:rsidRPr="00155E06">
              <w:rPr>
                <w:rFonts w:ascii="Futura Std Condensed Light" w:eastAsia="Calibri" w:hAnsi="Futura Std Condensed Light" w:cs="Calibri"/>
                <w:color w:val="auto"/>
                <w:sz w:val="18"/>
                <w:szCs w:val="20"/>
              </w:rPr>
              <w:t>0</w:t>
            </w:r>
          </w:p>
        </w:tc>
        <w:tc>
          <w:tcPr>
            <w:tcW w:w="360" w:type="pct"/>
          </w:tcPr>
          <w:p w14:paraId="2F38AF06" w14:textId="45BF0CFA" w:rsidR="00D0670B" w:rsidRPr="000D1A50" w:rsidRDefault="00D0670B" w:rsidP="00D0670B">
            <w:pPr>
              <w:spacing w:after="0" w:line="240" w:lineRule="auto"/>
              <w:jc w:val="center"/>
              <w:rPr>
                <w:rFonts w:ascii="Futura Std Condensed Light" w:eastAsia="Calibri" w:hAnsi="Futura Std Condensed Light" w:cs="Calibri"/>
                <w:sz w:val="18"/>
                <w:szCs w:val="20"/>
              </w:rPr>
            </w:pPr>
            <w:r>
              <w:rPr>
                <w:rFonts w:ascii="Futura Std Condensed Light" w:eastAsia="Calibri" w:hAnsi="Futura Std Condensed Light" w:cs="Calibri"/>
                <w:sz w:val="18"/>
                <w:szCs w:val="20"/>
              </w:rPr>
              <w:t>0</w:t>
            </w:r>
          </w:p>
        </w:tc>
        <w:tc>
          <w:tcPr>
            <w:tcW w:w="360" w:type="pct"/>
          </w:tcPr>
          <w:p w14:paraId="2C9F5172" w14:textId="5AE840F0" w:rsidR="00D0670B" w:rsidRPr="000D1A50" w:rsidRDefault="00D0670B" w:rsidP="00D0670B">
            <w:pPr>
              <w:spacing w:after="0" w:line="240" w:lineRule="auto"/>
              <w:jc w:val="center"/>
              <w:rPr>
                <w:rFonts w:ascii="Futura Std Condensed Light" w:eastAsia="Calibri" w:hAnsi="Futura Std Condensed Light" w:cs="Calibri"/>
                <w:sz w:val="18"/>
                <w:szCs w:val="20"/>
              </w:rPr>
            </w:pPr>
            <w:r>
              <w:rPr>
                <w:rFonts w:ascii="Futura Std Condensed Light" w:eastAsia="Calibri" w:hAnsi="Futura Std Condensed Light" w:cs="Calibri"/>
                <w:sz w:val="18"/>
                <w:szCs w:val="20"/>
              </w:rPr>
              <w:t>0</w:t>
            </w:r>
          </w:p>
        </w:tc>
        <w:tc>
          <w:tcPr>
            <w:tcW w:w="360" w:type="pct"/>
          </w:tcPr>
          <w:p w14:paraId="77045B33" w14:textId="7EC3909B" w:rsidR="00D0670B" w:rsidRPr="000D1A50" w:rsidRDefault="00D0670B" w:rsidP="00D0670B">
            <w:pPr>
              <w:spacing w:after="0" w:line="240" w:lineRule="auto"/>
              <w:jc w:val="center"/>
              <w:rPr>
                <w:rFonts w:ascii="Futura Std Condensed Light" w:eastAsia="Calibri" w:hAnsi="Futura Std Condensed Light" w:cs="Calibri"/>
                <w:sz w:val="18"/>
                <w:szCs w:val="20"/>
              </w:rPr>
            </w:pPr>
            <w:r>
              <w:rPr>
                <w:rFonts w:ascii="Futura Std Condensed Light" w:eastAsia="Calibri" w:hAnsi="Futura Std Condensed Light" w:cs="Calibri"/>
                <w:sz w:val="18"/>
                <w:szCs w:val="20"/>
              </w:rPr>
              <w:t>40.0</w:t>
            </w:r>
          </w:p>
        </w:tc>
        <w:tc>
          <w:tcPr>
            <w:tcW w:w="361" w:type="pct"/>
            <w:gridSpan w:val="2"/>
          </w:tcPr>
          <w:p w14:paraId="7D2BBD18" w14:textId="601DB242" w:rsidR="00D0670B" w:rsidRPr="000D1A50" w:rsidRDefault="00D0670B" w:rsidP="00D0670B">
            <w:pPr>
              <w:spacing w:after="0" w:line="240" w:lineRule="auto"/>
              <w:jc w:val="center"/>
              <w:rPr>
                <w:rFonts w:ascii="Futura Std Condensed Light" w:eastAsia="Calibri" w:hAnsi="Futura Std Condensed Light" w:cs="Calibri"/>
                <w:sz w:val="18"/>
                <w:szCs w:val="20"/>
              </w:rPr>
            </w:pPr>
            <w:r>
              <w:rPr>
                <w:rFonts w:ascii="Futura Std Condensed Light" w:eastAsia="Calibri" w:hAnsi="Futura Std Condensed Light" w:cs="Calibri"/>
                <w:sz w:val="18"/>
                <w:szCs w:val="20"/>
              </w:rPr>
              <w:t>45.0</w:t>
            </w:r>
          </w:p>
        </w:tc>
        <w:tc>
          <w:tcPr>
            <w:tcW w:w="386" w:type="pct"/>
          </w:tcPr>
          <w:p w14:paraId="12022E71" w14:textId="11F49337" w:rsidR="00D0670B" w:rsidRPr="000D1A50" w:rsidRDefault="00D0670B" w:rsidP="00D0670B">
            <w:pPr>
              <w:spacing w:after="0" w:line="240" w:lineRule="auto"/>
              <w:jc w:val="center"/>
              <w:rPr>
                <w:rFonts w:ascii="Futura Std Condensed Light" w:eastAsia="Calibri" w:hAnsi="Futura Std Condensed Light" w:cs="Calibri"/>
                <w:sz w:val="18"/>
                <w:szCs w:val="20"/>
              </w:rPr>
            </w:pPr>
            <w:r>
              <w:rPr>
                <w:rFonts w:ascii="Futura Std Condensed Light" w:eastAsia="Calibri" w:hAnsi="Futura Std Condensed Light" w:cs="Calibri"/>
                <w:sz w:val="18"/>
                <w:szCs w:val="20"/>
              </w:rPr>
              <w:t>50.0</w:t>
            </w:r>
          </w:p>
        </w:tc>
      </w:tr>
      <w:tr w:rsidR="00D0670B" w:rsidRPr="009B6622" w14:paraId="155A14B4" w14:textId="77777777" w:rsidTr="002C5453">
        <w:trPr>
          <w:trHeight w:val="283"/>
        </w:trPr>
        <w:tc>
          <w:tcPr>
            <w:tcW w:w="652" w:type="pct"/>
          </w:tcPr>
          <w:p w14:paraId="0FBB5899" w14:textId="0D67D2AC" w:rsidR="00D0670B" w:rsidRPr="000D1A50" w:rsidRDefault="00D0670B" w:rsidP="00D0670B">
            <w:pPr>
              <w:jc w:val="center"/>
              <w:rPr>
                <w:rFonts w:ascii="Futura Std Condensed Light" w:eastAsia="Calibri" w:hAnsi="Futura Std Condensed Light" w:cs="Calibri"/>
                <w:sz w:val="18"/>
                <w:szCs w:val="20"/>
              </w:rPr>
            </w:pPr>
            <w:r>
              <w:rPr>
                <w:rFonts w:ascii="Futura Std Condensed Light" w:eastAsia="Calibri" w:hAnsi="Futura Std Condensed Light" w:cs="Calibri"/>
                <w:sz w:val="18"/>
                <w:szCs w:val="20"/>
              </w:rPr>
              <w:t>Objetivo 5</w:t>
            </w:r>
            <w:r w:rsidRPr="000D1A50">
              <w:rPr>
                <w:rFonts w:ascii="Futura Std Condensed Light" w:eastAsia="Calibri" w:hAnsi="Futura Std Condensed Light" w:cs="Calibri"/>
                <w:sz w:val="18"/>
                <w:szCs w:val="20"/>
              </w:rPr>
              <w:t>. Brindar una educación media superior de calidad relevante y pertinente centrada en el mejoramiento del desempeño escolar del estudiante.</w:t>
            </w:r>
          </w:p>
          <w:p w14:paraId="16D2D21E" w14:textId="1232DD23" w:rsidR="00D0670B" w:rsidRPr="000D1A50" w:rsidRDefault="00D0670B" w:rsidP="00D0670B">
            <w:pPr>
              <w:spacing w:after="0" w:line="240" w:lineRule="auto"/>
              <w:rPr>
                <w:rFonts w:ascii="Futura Std Condensed Light" w:eastAsia="Calibri" w:hAnsi="Futura Std Condensed Light" w:cs="Calibri"/>
                <w:sz w:val="18"/>
                <w:szCs w:val="20"/>
              </w:rPr>
            </w:pPr>
          </w:p>
        </w:tc>
        <w:tc>
          <w:tcPr>
            <w:tcW w:w="652" w:type="pct"/>
          </w:tcPr>
          <w:p w14:paraId="30D39840" w14:textId="50547256" w:rsidR="00D0670B" w:rsidRPr="000D1A50" w:rsidRDefault="00D0670B" w:rsidP="00D0670B">
            <w:pPr>
              <w:spacing w:after="0" w:line="240" w:lineRule="auto"/>
              <w:jc w:val="center"/>
              <w:rPr>
                <w:rFonts w:ascii="Futura Std Condensed Light" w:eastAsia="Calibri" w:hAnsi="Futura Std Condensed Light" w:cs="Calibri"/>
                <w:color w:val="FF0000"/>
                <w:sz w:val="18"/>
                <w:szCs w:val="20"/>
              </w:rPr>
            </w:pPr>
            <w:r w:rsidRPr="000D1A50">
              <w:rPr>
                <w:rFonts w:ascii="Futura Std Condensed Light" w:eastAsia="Calibri" w:hAnsi="Futura Std Condensed Light" w:cs="Calibri"/>
                <w:sz w:val="18"/>
                <w:szCs w:val="20"/>
              </w:rPr>
              <w:t>Porcentaje de los alumnos que concluyen  el último semestre de Educación Media Superior con un promedio mayor o igual a 8</w:t>
            </w:r>
          </w:p>
        </w:tc>
        <w:tc>
          <w:tcPr>
            <w:tcW w:w="575" w:type="pct"/>
          </w:tcPr>
          <w:p w14:paraId="40849070" w14:textId="3A443CFA" w:rsidR="00D0670B" w:rsidRPr="000D1A50" w:rsidRDefault="00D0670B" w:rsidP="00D0670B">
            <w:pPr>
              <w:spacing w:after="0" w:line="240" w:lineRule="auto"/>
              <w:jc w:val="center"/>
              <w:rPr>
                <w:rFonts w:ascii="Futura Std Condensed Light" w:eastAsia="Calibri" w:hAnsi="Futura Std Condensed Light" w:cs="Calibri"/>
                <w:color w:val="FF0000"/>
                <w:sz w:val="18"/>
                <w:szCs w:val="20"/>
              </w:rPr>
            </w:pPr>
            <w:r w:rsidRPr="000D1A50">
              <w:rPr>
                <w:rFonts w:ascii="Futura Std Condensed Light" w:eastAsia="Calibri" w:hAnsi="Futura Std Condensed Light" w:cs="Calibri"/>
                <w:sz w:val="18"/>
                <w:szCs w:val="20"/>
              </w:rPr>
              <w:t>Subsecretaría de Educación Media Superior y Superior</w:t>
            </w:r>
          </w:p>
        </w:tc>
        <w:tc>
          <w:tcPr>
            <w:tcW w:w="573" w:type="pct"/>
          </w:tcPr>
          <w:p w14:paraId="38A5F394" w14:textId="1DE05A1E" w:rsidR="00D0670B" w:rsidRPr="000D1A50" w:rsidRDefault="00D0670B" w:rsidP="00D0670B">
            <w:pPr>
              <w:spacing w:after="0" w:line="240" w:lineRule="auto"/>
              <w:jc w:val="center"/>
              <w:rPr>
                <w:rFonts w:ascii="Futura Std Condensed Light" w:eastAsia="Calibri" w:hAnsi="Futura Std Condensed Light" w:cs="Calibri"/>
                <w:sz w:val="18"/>
                <w:szCs w:val="20"/>
              </w:rPr>
            </w:pPr>
            <w:r w:rsidRPr="000D1A50">
              <w:rPr>
                <w:rFonts w:ascii="Futura Std Condensed Light" w:eastAsia="Calibri" w:hAnsi="Futura Std Condensed Light" w:cs="Calibri"/>
                <w:sz w:val="18"/>
                <w:szCs w:val="20"/>
              </w:rPr>
              <w:t>Porcentaje</w:t>
            </w:r>
          </w:p>
        </w:tc>
        <w:tc>
          <w:tcPr>
            <w:tcW w:w="361" w:type="pct"/>
          </w:tcPr>
          <w:p w14:paraId="517E34E7" w14:textId="646541F7" w:rsidR="00D0670B" w:rsidRPr="000D1A50" w:rsidRDefault="00D0670B" w:rsidP="00D0670B">
            <w:pPr>
              <w:spacing w:after="0" w:line="240" w:lineRule="auto"/>
              <w:jc w:val="center"/>
              <w:rPr>
                <w:rFonts w:ascii="Futura Std Condensed Light" w:eastAsia="Calibri" w:hAnsi="Futura Std Condensed Light" w:cs="Calibri"/>
                <w:color w:val="FF0000"/>
                <w:sz w:val="18"/>
                <w:szCs w:val="20"/>
              </w:rPr>
            </w:pPr>
            <w:r w:rsidRPr="000D1A50">
              <w:rPr>
                <w:rFonts w:ascii="Futura Std Condensed Light" w:eastAsia="Calibri" w:hAnsi="Futura Std Condensed Light" w:cs="Calibri"/>
                <w:sz w:val="18"/>
                <w:szCs w:val="20"/>
              </w:rPr>
              <w:t>57.15</w:t>
            </w:r>
          </w:p>
        </w:tc>
        <w:tc>
          <w:tcPr>
            <w:tcW w:w="360" w:type="pct"/>
          </w:tcPr>
          <w:p w14:paraId="71C06E56" w14:textId="5DB1C7D3" w:rsidR="00D0670B" w:rsidRPr="000D1A50" w:rsidRDefault="00D0670B" w:rsidP="00D0670B">
            <w:pPr>
              <w:spacing w:after="0" w:line="240" w:lineRule="auto"/>
              <w:jc w:val="center"/>
              <w:rPr>
                <w:rFonts w:ascii="Futura Std Condensed Light" w:eastAsia="Calibri" w:hAnsi="Futura Std Condensed Light" w:cs="Calibri"/>
                <w:color w:val="FF0000"/>
                <w:sz w:val="18"/>
                <w:szCs w:val="20"/>
              </w:rPr>
            </w:pPr>
          </w:p>
        </w:tc>
        <w:tc>
          <w:tcPr>
            <w:tcW w:w="360" w:type="pct"/>
          </w:tcPr>
          <w:p w14:paraId="7E55D312" w14:textId="373C9040" w:rsidR="00D0670B" w:rsidRPr="000D1A50" w:rsidRDefault="00D0670B" w:rsidP="00D0670B">
            <w:pPr>
              <w:spacing w:after="0" w:line="240" w:lineRule="auto"/>
              <w:jc w:val="center"/>
              <w:rPr>
                <w:rFonts w:ascii="Futura Std Condensed Light" w:eastAsia="Calibri" w:hAnsi="Futura Std Condensed Light" w:cs="Calibri"/>
                <w:color w:val="FF0000"/>
                <w:sz w:val="18"/>
                <w:szCs w:val="20"/>
              </w:rPr>
            </w:pPr>
            <w:r w:rsidRPr="000D1A50">
              <w:rPr>
                <w:rFonts w:ascii="Futura Std Condensed Light" w:eastAsia="Calibri" w:hAnsi="Futura Std Condensed Light" w:cs="Calibri"/>
                <w:sz w:val="18"/>
                <w:szCs w:val="20"/>
              </w:rPr>
              <w:t>57.15</w:t>
            </w:r>
          </w:p>
        </w:tc>
        <w:tc>
          <w:tcPr>
            <w:tcW w:w="360" w:type="pct"/>
          </w:tcPr>
          <w:p w14:paraId="3D8F6714" w14:textId="6295E112" w:rsidR="00D0670B" w:rsidRPr="000D1A50" w:rsidRDefault="00D0670B" w:rsidP="00D0670B">
            <w:pPr>
              <w:spacing w:after="0" w:line="240" w:lineRule="auto"/>
              <w:jc w:val="center"/>
              <w:rPr>
                <w:rFonts w:ascii="Futura Std Condensed Light" w:eastAsia="Calibri" w:hAnsi="Futura Std Condensed Light" w:cs="Calibri"/>
                <w:color w:val="FF0000"/>
                <w:sz w:val="18"/>
                <w:szCs w:val="20"/>
              </w:rPr>
            </w:pPr>
            <w:r w:rsidRPr="000D1A50">
              <w:rPr>
                <w:rFonts w:ascii="Futura Std Condensed Light" w:eastAsia="Calibri" w:hAnsi="Futura Std Condensed Light" w:cs="Calibri"/>
                <w:sz w:val="18"/>
                <w:szCs w:val="20"/>
              </w:rPr>
              <w:t>58.61</w:t>
            </w:r>
          </w:p>
        </w:tc>
        <w:tc>
          <w:tcPr>
            <w:tcW w:w="360" w:type="pct"/>
          </w:tcPr>
          <w:p w14:paraId="417248C0" w14:textId="0C9946F4" w:rsidR="00D0670B" w:rsidRPr="000D1A50" w:rsidRDefault="00D0670B" w:rsidP="00D0670B">
            <w:pPr>
              <w:spacing w:after="0" w:line="240" w:lineRule="auto"/>
              <w:jc w:val="center"/>
              <w:rPr>
                <w:rFonts w:ascii="Futura Std Condensed Light" w:eastAsia="Calibri" w:hAnsi="Futura Std Condensed Light" w:cs="Calibri"/>
                <w:color w:val="FF0000"/>
                <w:sz w:val="18"/>
                <w:szCs w:val="20"/>
              </w:rPr>
            </w:pPr>
            <w:r w:rsidRPr="000D1A50">
              <w:rPr>
                <w:rFonts w:ascii="Futura Std Condensed Light" w:eastAsia="Calibri" w:hAnsi="Futura Std Condensed Light" w:cs="Calibri"/>
                <w:sz w:val="18"/>
                <w:szCs w:val="20"/>
              </w:rPr>
              <w:t>58.90</w:t>
            </w:r>
          </w:p>
        </w:tc>
        <w:tc>
          <w:tcPr>
            <w:tcW w:w="361" w:type="pct"/>
            <w:gridSpan w:val="2"/>
          </w:tcPr>
          <w:p w14:paraId="585DC976" w14:textId="29B564E7" w:rsidR="00D0670B" w:rsidRPr="000D1A50" w:rsidRDefault="00D0670B" w:rsidP="00D0670B">
            <w:pPr>
              <w:spacing w:after="0" w:line="240" w:lineRule="auto"/>
              <w:jc w:val="center"/>
              <w:rPr>
                <w:rFonts w:ascii="Futura Std Condensed Light" w:eastAsia="Calibri" w:hAnsi="Futura Std Condensed Light" w:cs="Calibri"/>
                <w:color w:val="FF0000"/>
                <w:sz w:val="18"/>
                <w:szCs w:val="20"/>
              </w:rPr>
            </w:pPr>
            <w:r w:rsidRPr="000D1A50">
              <w:rPr>
                <w:rFonts w:ascii="Futura Std Condensed Light" w:eastAsia="Calibri" w:hAnsi="Futura Std Condensed Light" w:cs="Calibri"/>
                <w:sz w:val="18"/>
                <w:szCs w:val="20"/>
              </w:rPr>
              <w:t>59.30</w:t>
            </w:r>
          </w:p>
        </w:tc>
        <w:tc>
          <w:tcPr>
            <w:tcW w:w="386" w:type="pct"/>
          </w:tcPr>
          <w:p w14:paraId="21069A4C" w14:textId="0071FD63" w:rsidR="00D0670B" w:rsidRPr="000D1A50" w:rsidRDefault="00D0670B" w:rsidP="00D0670B">
            <w:pPr>
              <w:spacing w:after="0" w:line="240" w:lineRule="auto"/>
              <w:jc w:val="center"/>
              <w:rPr>
                <w:rFonts w:ascii="Futura Std Condensed Light" w:eastAsia="Calibri" w:hAnsi="Futura Std Condensed Light" w:cs="Calibri"/>
                <w:color w:val="FF0000"/>
                <w:sz w:val="18"/>
                <w:szCs w:val="20"/>
              </w:rPr>
            </w:pPr>
            <w:r w:rsidRPr="000D1A50">
              <w:rPr>
                <w:rFonts w:ascii="Futura Std Condensed Light" w:eastAsia="Calibri" w:hAnsi="Futura Std Condensed Light" w:cs="Calibri"/>
                <w:sz w:val="18"/>
                <w:szCs w:val="20"/>
              </w:rPr>
              <w:t>59.50</w:t>
            </w:r>
          </w:p>
        </w:tc>
      </w:tr>
      <w:tr w:rsidR="00D0670B" w:rsidRPr="009B6622" w14:paraId="3C4F39ED" w14:textId="77777777" w:rsidTr="002C5453">
        <w:trPr>
          <w:trHeight w:val="283"/>
        </w:trPr>
        <w:tc>
          <w:tcPr>
            <w:tcW w:w="652" w:type="pct"/>
          </w:tcPr>
          <w:p w14:paraId="7FC718DA" w14:textId="3EECF7B6" w:rsidR="00D0670B" w:rsidRPr="000D1A50" w:rsidRDefault="00D0670B" w:rsidP="00D0670B">
            <w:pPr>
              <w:spacing w:after="0"/>
              <w:jc w:val="center"/>
              <w:rPr>
                <w:rFonts w:ascii="Futura Std Condensed Light" w:eastAsia="Calibri" w:hAnsi="Futura Std Condensed Light" w:cs="Calibri"/>
                <w:sz w:val="18"/>
                <w:szCs w:val="20"/>
              </w:rPr>
            </w:pPr>
            <w:r>
              <w:rPr>
                <w:rFonts w:ascii="Futura Std Condensed Light" w:eastAsia="Calibri" w:hAnsi="Futura Std Condensed Light" w:cs="Calibri"/>
                <w:sz w:val="18"/>
                <w:szCs w:val="20"/>
              </w:rPr>
              <w:t>Estrategia 5</w:t>
            </w:r>
            <w:r w:rsidRPr="000D1A50">
              <w:rPr>
                <w:rFonts w:ascii="Futura Std Condensed Light" w:eastAsia="Calibri" w:hAnsi="Futura Std Condensed Light" w:cs="Calibri"/>
                <w:sz w:val="18"/>
                <w:szCs w:val="20"/>
              </w:rPr>
              <w:t xml:space="preserve">. Promover el establecimiento de prácticas </w:t>
            </w:r>
            <w:r w:rsidRPr="000D1A50">
              <w:rPr>
                <w:rFonts w:ascii="Futura Std Condensed Light" w:eastAsia="Calibri" w:hAnsi="Futura Std Condensed Light" w:cs="Calibri"/>
                <w:sz w:val="18"/>
                <w:szCs w:val="20"/>
              </w:rPr>
              <w:lastRenderedPageBreak/>
              <w:t>pedagógicas y habilidades socioemocionales que desarrollen la obtención de competencias para la vida y el trabajo, en los estudiantes de educación media superior, haciendo énfasis en aquellos con problemas de aprendizaje y en riesgo de abandono escolar.</w:t>
            </w:r>
          </w:p>
        </w:tc>
        <w:tc>
          <w:tcPr>
            <w:tcW w:w="652" w:type="pct"/>
          </w:tcPr>
          <w:p w14:paraId="14115D42" w14:textId="768C98AA" w:rsidR="00D0670B" w:rsidRPr="000D1A50" w:rsidRDefault="00D0670B" w:rsidP="00D0670B">
            <w:pPr>
              <w:spacing w:after="0" w:line="240" w:lineRule="auto"/>
              <w:jc w:val="center"/>
              <w:rPr>
                <w:rFonts w:ascii="Futura Std Condensed Light" w:eastAsia="Calibri" w:hAnsi="Futura Std Condensed Light" w:cs="Calibri"/>
                <w:color w:val="FF0000"/>
                <w:sz w:val="18"/>
                <w:szCs w:val="20"/>
              </w:rPr>
            </w:pPr>
            <w:r w:rsidRPr="000D1A50">
              <w:rPr>
                <w:rFonts w:ascii="Futura Std Condensed Light" w:eastAsia="Calibri" w:hAnsi="Futura Std Condensed Light" w:cs="Calibri"/>
                <w:sz w:val="18"/>
                <w:szCs w:val="20"/>
              </w:rPr>
              <w:lastRenderedPageBreak/>
              <w:t>Tasa de deserción total de educación media superior</w:t>
            </w:r>
          </w:p>
        </w:tc>
        <w:tc>
          <w:tcPr>
            <w:tcW w:w="575" w:type="pct"/>
          </w:tcPr>
          <w:p w14:paraId="79335C67" w14:textId="52F19E6F" w:rsidR="00D0670B" w:rsidRPr="000D1A50" w:rsidRDefault="00D0670B" w:rsidP="00D0670B">
            <w:pPr>
              <w:spacing w:after="0" w:line="240" w:lineRule="auto"/>
              <w:jc w:val="center"/>
              <w:rPr>
                <w:rFonts w:ascii="Futura Std Condensed Light" w:eastAsia="Calibri" w:hAnsi="Futura Std Condensed Light" w:cs="Calibri"/>
                <w:color w:val="FF0000"/>
                <w:sz w:val="18"/>
                <w:szCs w:val="20"/>
              </w:rPr>
            </w:pPr>
            <w:r w:rsidRPr="000D1A50">
              <w:rPr>
                <w:rFonts w:ascii="Futura Std Condensed Light" w:eastAsia="Calibri" w:hAnsi="Futura Std Condensed Light" w:cs="Calibri"/>
                <w:sz w:val="18"/>
                <w:szCs w:val="20"/>
              </w:rPr>
              <w:t xml:space="preserve">Estadísticas continúas del formato 911 (inicio y fin de los ciclos </w:t>
            </w:r>
            <w:r w:rsidRPr="000D1A50">
              <w:rPr>
                <w:rFonts w:ascii="Futura Std Condensed Light" w:eastAsia="Calibri" w:hAnsi="Futura Std Condensed Light" w:cs="Calibri"/>
                <w:sz w:val="18"/>
                <w:szCs w:val="20"/>
              </w:rPr>
              <w:lastRenderedPageBreak/>
              <w:t>escolares), SEQ.</w:t>
            </w:r>
          </w:p>
        </w:tc>
        <w:tc>
          <w:tcPr>
            <w:tcW w:w="573" w:type="pct"/>
          </w:tcPr>
          <w:p w14:paraId="426CDACC" w14:textId="48A5BC23" w:rsidR="00D0670B" w:rsidRPr="000D1A50" w:rsidRDefault="00D0670B" w:rsidP="00D0670B">
            <w:pPr>
              <w:spacing w:after="0" w:line="240" w:lineRule="auto"/>
              <w:jc w:val="center"/>
              <w:rPr>
                <w:rFonts w:ascii="Futura Std Condensed Light" w:eastAsia="Calibri" w:hAnsi="Futura Std Condensed Light" w:cs="Calibri"/>
                <w:color w:val="FF0000"/>
                <w:sz w:val="18"/>
                <w:szCs w:val="20"/>
              </w:rPr>
            </w:pPr>
            <w:r w:rsidRPr="000D1A50">
              <w:rPr>
                <w:rFonts w:ascii="Futura Std Condensed Light" w:eastAsia="Calibri" w:hAnsi="Futura Std Condensed Light" w:cs="Calibri"/>
                <w:sz w:val="18"/>
                <w:szCs w:val="20"/>
              </w:rPr>
              <w:lastRenderedPageBreak/>
              <w:t>Porcentaje</w:t>
            </w:r>
          </w:p>
        </w:tc>
        <w:tc>
          <w:tcPr>
            <w:tcW w:w="361" w:type="pct"/>
          </w:tcPr>
          <w:p w14:paraId="651295DB" w14:textId="2C7925DC" w:rsidR="00D0670B" w:rsidRPr="000D1A50" w:rsidRDefault="00D0670B" w:rsidP="00D0670B">
            <w:pPr>
              <w:spacing w:after="0" w:line="240" w:lineRule="auto"/>
              <w:jc w:val="center"/>
              <w:rPr>
                <w:rFonts w:ascii="Futura Std Condensed Light" w:eastAsia="Calibri" w:hAnsi="Futura Std Condensed Light" w:cs="Calibri"/>
                <w:color w:val="FF0000"/>
                <w:sz w:val="18"/>
                <w:szCs w:val="20"/>
              </w:rPr>
            </w:pPr>
            <w:r w:rsidRPr="000D1A50">
              <w:rPr>
                <w:rFonts w:ascii="Futura Std Condensed Light" w:eastAsia="Calibri" w:hAnsi="Futura Std Condensed Light" w:cs="Calibri"/>
                <w:sz w:val="18"/>
                <w:szCs w:val="20"/>
              </w:rPr>
              <w:t>13.05</w:t>
            </w:r>
          </w:p>
        </w:tc>
        <w:tc>
          <w:tcPr>
            <w:tcW w:w="360" w:type="pct"/>
          </w:tcPr>
          <w:p w14:paraId="150BD2EB" w14:textId="6663B330" w:rsidR="00D0670B" w:rsidRPr="000D1A50" w:rsidRDefault="00D0670B" w:rsidP="00D0670B">
            <w:pPr>
              <w:spacing w:after="0" w:line="240" w:lineRule="auto"/>
              <w:jc w:val="center"/>
              <w:rPr>
                <w:rFonts w:ascii="Futura Std Condensed Light" w:eastAsia="Calibri" w:hAnsi="Futura Std Condensed Light" w:cs="Calibri"/>
                <w:color w:val="FF0000"/>
                <w:sz w:val="18"/>
                <w:szCs w:val="20"/>
              </w:rPr>
            </w:pPr>
            <w:r w:rsidRPr="000D1A50">
              <w:rPr>
                <w:rFonts w:ascii="Futura Std Condensed Light" w:eastAsia="Calibri" w:hAnsi="Futura Std Condensed Light" w:cs="Calibri"/>
                <w:sz w:val="18"/>
                <w:szCs w:val="20"/>
              </w:rPr>
              <w:t>12.19</w:t>
            </w:r>
          </w:p>
        </w:tc>
        <w:tc>
          <w:tcPr>
            <w:tcW w:w="360" w:type="pct"/>
          </w:tcPr>
          <w:p w14:paraId="01A74B7B" w14:textId="1B49A69B" w:rsidR="00D0670B" w:rsidRPr="000D1A50" w:rsidRDefault="00D0670B" w:rsidP="00D0670B">
            <w:pPr>
              <w:spacing w:after="0" w:line="240" w:lineRule="auto"/>
              <w:jc w:val="center"/>
              <w:rPr>
                <w:rFonts w:ascii="Futura Std Condensed Light" w:eastAsia="Calibri" w:hAnsi="Futura Std Condensed Light" w:cs="Calibri"/>
                <w:color w:val="FF0000"/>
                <w:sz w:val="18"/>
                <w:szCs w:val="20"/>
              </w:rPr>
            </w:pPr>
            <w:r w:rsidRPr="000D1A50">
              <w:rPr>
                <w:rFonts w:ascii="Futura Std Condensed Light" w:eastAsia="Calibri" w:hAnsi="Futura Std Condensed Light" w:cs="Calibri"/>
                <w:sz w:val="18"/>
                <w:szCs w:val="20"/>
              </w:rPr>
              <w:t>7.72</w:t>
            </w:r>
          </w:p>
        </w:tc>
        <w:tc>
          <w:tcPr>
            <w:tcW w:w="360" w:type="pct"/>
          </w:tcPr>
          <w:p w14:paraId="0A075373" w14:textId="624FDD57" w:rsidR="00D0670B" w:rsidRPr="000D1A50" w:rsidRDefault="00D0670B" w:rsidP="00D0670B">
            <w:pPr>
              <w:spacing w:after="0" w:line="240" w:lineRule="auto"/>
              <w:jc w:val="center"/>
              <w:rPr>
                <w:rFonts w:ascii="Futura Std Condensed Light" w:eastAsia="Calibri" w:hAnsi="Futura Std Condensed Light" w:cs="Calibri"/>
                <w:color w:val="FF0000"/>
                <w:sz w:val="18"/>
                <w:szCs w:val="20"/>
              </w:rPr>
            </w:pPr>
            <w:r w:rsidRPr="000D1A50">
              <w:rPr>
                <w:rFonts w:ascii="Futura Std Condensed Light" w:eastAsia="Calibri" w:hAnsi="Futura Std Condensed Light" w:cs="Calibri"/>
                <w:sz w:val="18"/>
                <w:szCs w:val="20"/>
              </w:rPr>
              <w:t>10.17</w:t>
            </w:r>
          </w:p>
        </w:tc>
        <w:tc>
          <w:tcPr>
            <w:tcW w:w="360" w:type="pct"/>
          </w:tcPr>
          <w:p w14:paraId="56192B3C" w14:textId="68F050D0" w:rsidR="00D0670B" w:rsidRPr="000D1A50" w:rsidRDefault="00D0670B" w:rsidP="00D0670B">
            <w:pPr>
              <w:spacing w:after="0" w:line="240" w:lineRule="auto"/>
              <w:jc w:val="center"/>
              <w:rPr>
                <w:rFonts w:ascii="Futura Std Condensed Light" w:eastAsia="Calibri" w:hAnsi="Futura Std Condensed Light" w:cs="Calibri"/>
                <w:color w:val="FF0000"/>
                <w:sz w:val="18"/>
                <w:szCs w:val="20"/>
              </w:rPr>
            </w:pPr>
            <w:r w:rsidRPr="000D1A50">
              <w:rPr>
                <w:rFonts w:ascii="Futura Std Condensed Light" w:eastAsia="Calibri" w:hAnsi="Futura Std Condensed Light" w:cs="Calibri"/>
                <w:sz w:val="18"/>
                <w:szCs w:val="20"/>
              </w:rPr>
              <w:t>9.87</w:t>
            </w:r>
          </w:p>
        </w:tc>
        <w:tc>
          <w:tcPr>
            <w:tcW w:w="361" w:type="pct"/>
            <w:gridSpan w:val="2"/>
          </w:tcPr>
          <w:p w14:paraId="1E9C7494" w14:textId="13618553" w:rsidR="00D0670B" w:rsidRPr="000D1A50" w:rsidRDefault="00D0670B" w:rsidP="00D0670B">
            <w:pPr>
              <w:spacing w:after="0" w:line="240" w:lineRule="auto"/>
              <w:jc w:val="center"/>
              <w:rPr>
                <w:rFonts w:ascii="Futura Std Condensed Light" w:eastAsia="Calibri" w:hAnsi="Futura Std Condensed Light" w:cs="Calibri"/>
                <w:color w:val="FF0000"/>
                <w:sz w:val="18"/>
                <w:szCs w:val="20"/>
              </w:rPr>
            </w:pPr>
            <w:r w:rsidRPr="000D1A50">
              <w:rPr>
                <w:rFonts w:ascii="Futura Std Condensed Light" w:eastAsia="Calibri" w:hAnsi="Futura Std Condensed Light" w:cs="Calibri"/>
                <w:sz w:val="18"/>
                <w:szCs w:val="20"/>
              </w:rPr>
              <w:t>9.69</w:t>
            </w:r>
          </w:p>
        </w:tc>
        <w:tc>
          <w:tcPr>
            <w:tcW w:w="386" w:type="pct"/>
          </w:tcPr>
          <w:p w14:paraId="73311067" w14:textId="7B4917A2" w:rsidR="00D0670B" w:rsidRPr="000D1A50" w:rsidRDefault="00D0670B" w:rsidP="00D0670B">
            <w:pPr>
              <w:spacing w:after="0" w:line="240" w:lineRule="auto"/>
              <w:jc w:val="center"/>
              <w:rPr>
                <w:rFonts w:ascii="Futura Std Condensed Light" w:eastAsia="Calibri" w:hAnsi="Futura Std Condensed Light" w:cs="Calibri"/>
                <w:color w:val="FF0000"/>
                <w:sz w:val="18"/>
                <w:szCs w:val="20"/>
              </w:rPr>
            </w:pPr>
            <w:r w:rsidRPr="000D1A50">
              <w:rPr>
                <w:rFonts w:ascii="Futura Std Condensed Light" w:eastAsia="Calibri" w:hAnsi="Futura Std Condensed Light" w:cs="Calibri"/>
                <w:sz w:val="18"/>
                <w:szCs w:val="20"/>
              </w:rPr>
              <w:t>9.45</w:t>
            </w:r>
          </w:p>
        </w:tc>
      </w:tr>
      <w:tr w:rsidR="00D0670B" w:rsidRPr="009B6622" w14:paraId="7A64DC27" w14:textId="77777777" w:rsidTr="002C5453">
        <w:trPr>
          <w:trHeight w:val="283"/>
        </w:trPr>
        <w:tc>
          <w:tcPr>
            <w:tcW w:w="652" w:type="pct"/>
          </w:tcPr>
          <w:p w14:paraId="2C2ABB1E" w14:textId="22A84D01" w:rsidR="00D0670B" w:rsidRPr="000D1A50" w:rsidRDefault="00D0670B" w:rsidP="00D0670B">
            <w:pPr>
              <w:spacing w:after="0"/>
              <w:jc w:val="center"/>
              <w:rPr>
                <w:rFonts w:ascii="Futura Std Condensed Light" w:eastAsia="Calibri" w:hAnsi="Futura Std Condensed Light" w:cs="Calibri"/>
                <w:sz w:val="18"/>
                <w:szCs w:val="20"/>
              </w:rPr>
            </w:pPr>
            <w:r>
              <w:rPr>
                <w:rFonts w:ascii="Futura Std Condensed Light" w:eastAsia="Calibri" w:hAnsi="Futura Std Condensed Light" w:cs="Calibri"/>
                <w:sz w:val="18"/>
                <w:szCs w:val="20"/>
              </w:rPr>
              <w:t>Objetivo 6</w:t>
            </w:r>
            <w:r w:rsidRPr="000D1A50">
              <w:rPr>
                <w:rFonts w:ascii="Futura Std Condensed Light" w:eastAsia="Calibri" w:hAnsi="Futura Std Condensed Light" w:cs="Calibri"/>
                <w:sz w:val="18"/>
                <w:szCs w:val="20"/>
              </w:rPr>
              <w:t xml:space="preserve">. Asegurar la continuidad y conclusión de los estudiantes de educación superior a </w:t>
            </w:r>
            <w:r w:rsidRPr="000D1A50">
              <w:rPr>
                <w:rFonts w:ascii="Futura Std Condensed Light" w:eastAsia="Calibri" w:hAnsi="Futura Std Condensed Light" w:cs="Calibri"/>
                <w:sz w:val="18"/>
                <w:szCs w:val="20"/>
              </w:rPr>
              <w:lastRenderedPageBreak/>
              <w:t>través de programas y proyectos que favorezcan la calidad de la formación profesional, acorde a las necesidades que requiere el desarrollo social y económico del estado.</w:t>
            </w:r>
          </w:p>
          <w:p w14:paraId="0FBF1727" w14:textId="614B989D" w:rsidR="00D0670B" w:rsidRPr="000D1A50" w:rsidRDefault="00D0670B" w:rsidP="00D0670B">
            <w:pPr>
              <w:spacing w:after="0" w:line="240" w:lineRule="auto"/>
              <w:jc w:val="center"/>
              <w:rPr>
                <w:rFonts w:ascii="Futura Std Condensed Light" w:eastAsia="Calibri" w:hAnsi="Futura Std Condensed Light" w:cs="Calibri"/>
                <w:sz w:val="18"/>
                <w:szCs w:val="20"/>
              </w:rPr>
            </w:pPr>
          </w:p>
        </w:tc>
        <w:tc>
          <w:tcPr>
            <w:tcW w:w="652" w:type="pct"/>
          </w:tcPr>
          <w:p w14:paraId="30E7EC0A" w14:textId="1D14062C" w:rsidR="00D0670B" w:rsidRPr="000D1A50" w:rsidRDefault="00D0670B" w:rsidP="00D0670B">
            <w:pPr>
              <w:spacing w:after="0" w:line="240" w:lineRule="auto"/>
              <w:jc w:val="center"/>
              <w:rPr>
                <w:rFonts w:ascii="Futura Std Condensed Light" w:eastAsia="Calibri" w:hAnsi="Futura Std Condensed Light" w:cs="Calibri"/>
                <w:sz w:val="18"/>
                <w:szCs w:val="20"/>
              </w:rPr>
            </w:pPr>
            <w:r w:rsidRPr="000D1A50">
              <w:rPr>
                <w:rFonts w:ascii="Futura Std Condensed Light" w:eastAsia="Calibri" w:hAnsi="Futura Std Condensed Light" w:cs="Calibri"/>
                <w:sz w:val="18"/>
                <w:szCs w:val="20"/>
              </w:rPr>
              <w:lastRenderedPageBreak/>
              <w:t>Tasa de eficiencia terminal de educación superior</w:t>
            </w:r>
          </w:p>
        </w:tc>
        <w:tc>
          <w:tcPr>
            <w:tcW w:w="575" w:type="pct"/>
          </w:tcPr>
          <w:p w14:paraId="4C57104D" w14:textId="733494CD" w:rsidR="00D0670B" w:rsidRPr="000D1A50" w:rsidRDefault="00D0670B" w:rsidP="00D0670B">
            <w:pPr>
              <w:spacing w:after="0" w:line="240" w:lineRule="auto"/>
              <w:jc w:val="center"/>
              <w:rPr>
                <w:rFonts w:ascii="Futura Std Condensed Light" w:eastAsia="Calibri" w:hAnsi="Futura Std Condensed Light" w:cs="Calibri"/>
                <w:sz w:val="18"/>
                <w:szCs w:val="20"/>
              </w:rPr>
            </w:pPr>
            <w:r w:rsidRPr="000D1A50">
              <w:rPr>
                <w:rFonts w:ascii="Futura Std Condensed Light" w:eastAsia="Calibri" w:hAnsi="Futura Std Condensed Light" w:cs="Calibri"/>
                <w:sz w:val="18"/>
                <w:szCs w:val="20"/>
              </w:rPr>
              <w:t>Estadísticas continúas del formato 911 inicio de ciclo escolar, SEQ.</w:t>
            </w:r>
          </w:p>
        </w:tc>
        <w:tc>
          <w:tcPr>
            <w:tcW w:w="573" w:type="pct"/>
          </w:tcPr>
          <w:p w14:paraId="43193D8D" w14:textId="15A31C34" w:rsidR="00D0670B" w:rsidRPr="000D1A50" w:rsidRDefault="00D0670B" w:rsidP="00D0670B">
            <w:pPr>
              <w:spacing w:after="0" w:line="240" w:lineRule="auto"/>
              <w:jc w:val="center"/>
              <w:rPr>
                <w:rFonts w:ascii="Futura Std Condensed Light" w:eastAsia="Calibri" w:hAnsi="Futura Std Condensed Light" w:cs="Calibri"/>
                <w:sz w:val="18"/>
                <w:szCs w:val="20"/>
              </w:rPr>
            </w:pPr>
            <w:r w:rsidRPr="000D1A50">
              <w:rPr>
                <w:rFonts w:ascii="Futura Std Condensed Light" w:eastAsia="Calibri" w:hAnsi="Futura Std Condensed Light" w:cs="Calibri"/>
                <w:sz w:val="18"/>
                <w:szCs w:val="20"/>
              </w:rPr>
              <w:t>Porcentaje</w:t>
            </w:r>
          </w:p>
        </w:tc>
        <w:tc>
          <w:tcPr>
            <w:tcW w:w="361" w:type="pct"/>
          </w:tcPr>
          <w:p w14:paraId="3A5B336C" w14:textId="6DCFF6D8" w:rsidR="00D0670B" w:rsidRPr="000D1A50" w:rsidRDefault="00D0670B" w:rsidP="00D0670B">
            <w:pPr>
              <w:autoSpaceDE w:val="0"/>
              <w:autoSpaceDN w:val="0"/>
              <w:adjustRightInd w:val="0"/>
              <w:spacing w:after="0"/>
              <w:jc w:val="center"/>
              <w:rPr>
                <w:rFonts w:ascii="Futura Std Condensed Light" w:eastAsia="Calibri" w:hAnsi="Futura Std Condensed Light" w:cs="Calibri"/>
                <w:sz w:val="18"/>
                <w:szCs w:val="20"/>
              </w:rPr>
            </w:pPr>
            <w:r w:rsidRPr="000D1A50">
              <w:rPr>
                <w:rFonts w:ascii="Futura Std Condensed Light" w:eastAsia="Calibri" w:hAnsi="Futura Std Condensed Light" w:cs="Calibri"/>
                <w:sz w:val="18"/>
                <w:szCs w:val="20"/>
              </w:rPr>
              <w:t>68.98</w:t>
            </w:r>
          </w:p>
        </w:tc>
        <w:tc>
          <w:tcPr>
            <w:tcW w:w="360" w:type="pct"/>
          </w:tcPr>
          <w:p w14:paraId="57D090F9" w14:textId="72032282" w:rsidR="00D0670B" w:rsidRPr="000D1A50" w:rsidRDefault="00D0670B" w:rsidP="00D0670B">
            <w:pPr>
              <w:spacing w:after="0" w:line="240" w:lineRule="auto"/>
              <w:jc w:val="center"/>
              <w:rPr>
                <w:rFonts w:ascii="Futura Std Condensed Light" w:eastAsia="Calibri" w:hAnsi="Futura Std Condensed Light" w:cs="Calibri"/>
                <w:sz w:val="18"/>
                <w:szCs w:val="20"/>
              </w:rPr>
            </w:pPr>
            <w:r w:rsidRPr="000D1A50">
              <w:rPr>
                <w:rFonts w:ascii="Futura Std Condensed Light" w:eastAsia="Calibri" w:hAnsi="Futura Std Condensed Light" w:cs="Calibri"/>
                <w:sz w:val="18"/>
                <w:szCs w:val="20"/>
              </w:rPr>
              <w:t>68.40</w:t>
            </w:r>
          </w:p>
        </w:tc>
        <w:tc>
          <w:tcPr>
            <w:tcW w:w="360" w:type="pct"/>
          </w:tcPr>
          <w:p w14:paraId="77567905" w14:textId="2616F23D" w:rsidR="00D0670B" w:rsidRPr="000D1A50" w:rsidRDefault="00D0670B" w:rsidP="00D0670B">
            <w:pPr>
              <w:spacing w:after="0" w:line="240" w:lineRule="auto"/>
              <w:jc w:val="center"/>
              <w:rPr>
                <w:rFonts w:ascii="Futura Std Condensed Light" w:eastAsia="Calibri" w:hAnsi="Futura Std Condensed Light" w:cs="Calibri"/>
                <w:sz w:val="18"/>
                <w:szCs w:val="20"/>
              </w:rPr>
            </w:pPr>
            <w:r w:rsidRPr="000D1A50">
              <w:rPr>
                <w:rFonts w:ascii="Futura Std Condensed Light" w:eastAsia="Calibri" w:hAnsi="Futura Std Condensed Light" w:cs="Calibri"/>
                <w:sz w:val="18"/>
                <w:szCs w:val="20"/>
              </w:rPr>
              <w:t>62.27</w:t>
            </w:r>
          </w:p>
        </w:tc>
        <w:tc>
          <w:tcPr>
            <w:tcW w:w="360" w:type="pct"/>
          </w:tcPr>
          <w:p w14:paraId="4B6DA97B" w14:textId="57FAE70A" w:rsidR="00D0670B" w:rsidRPr="000D1A50" w:rsidRDefault="00D0670B" w:rsidP="00D0670B">
            <w:pPr>
              <w:spacing w:after="0" w:line="240" w:lineRule="auto"/>
              <w:jc w:val="center"/>
              <w:rPr>
                <w:rFonts w:ascii="Futura Std Condensed Light" w:eastAsia="Calibri" w:hAnsi="Futura Std Condensed Light" w:cs="Calibri"/>
                <w:sz w:val="18"/>
                <w:szCs w:val="20"/>
              </w:rPr>
            </w:pPr>
            <w:r w:rsidRPr="000D1A50">
              <w:rPr>
                <w:rFonts w:ascii="Futura Std Condensed Light" w:eastAsia="Calibri" w:hAnsi="Futura Std Condensed Light" w:cs="Calibri"/>
                <w:sz w:val="18"/>
                <w:szCs w:val="20"/>
              </w:rPr>
              <w:t>69.56</w:t>
            </w:r>
          </w:p>
        </w:tc>
        <w:tc>
          <w:tcPr>
            <w:tcW w:w="360" w:type="pct"/>
          </w:tcPr>
          <w:p w14:paraId="490BA67B" w14:textId="3E289031" w:rsidR="00D0670B" w:rsidRPr="000D1A50" w:rsidRDefault="00D0670B" w:rsidP="00D0670B">
            <w:pPr>
              <w:spacing w:after="0" w:line="240" w:lineRule="auto"/>
              <w:jc w:val="center"/>
              <w:rPr>
                <w:rFonts w:ascii="Futura Std Condensed Light" w:eastAsia="Calibri" w:hAnsi="Futura Std Condensed Light" w:cs="Calibri"/>
                <w:sz w:val="18"/>
                <w:szCs w:val="20"/>
              </w:rPr>
            </w:pPr>
            <w:r w:rsidRPr="000D1A50">
              <w:rPr>
                <w:rFonts w:ascii="Futura Std Condensed Light" w:eastAsia="Calibri" w:hAnsi="Futura Std Condensed Light" w:cs="Calibri"/>
                <w:sz w:val="18"/>
                <w:szCs w:val="20"/>
              </w:rPr>
              <w:t>69.75</w:t>
            </w:r>
          </w:p>
        </w:tc>
        <w:tc>
          <w:tcPr>
            <w:tcW w:w="352" w:type="pct"/>
          </w:tcPr>
          <w:p w14:paraId="5EFE8B82" w14:textId="28D75CAC" w:rsidR="00D0670B" w:rsidRPr="000D1A50" w:rsidRDefault="00D0670B" w:rsidP="00D0670B">
            <w:pPr>
              <w:spacing w:after="0" w:line="240" w:lineRule="auto"/>
              <w:jc w:val="center"/>
              <w:rPr>
                <w:rFonts w:ascii="Futura Std Condensed Light" w:eastAsia="Calibri" w:hAnsi="Futura Std Condensed Light" w:cs="Calibri"/>
                <w:sz w:val="18"/>
                <w:szCs w:val="20"/>
              </w:rPr>
            </w:pPr>
            <w:r w:rsidRPr="000D1A50">
              <w:rPr>
                <w:rFonts w:ascii="Futura Std Condensed Light" w:eastAsia="Calibri" w:hAnsi="Futura Std Condensed Light" w:cs="Calibri"/>
                <w:sz w:val="18"/>
                <w:szCs w:val="20"/>
              </w:rPr>
              <w:t>69.90</w:t>
            </w:r>
          </w:p>
        </w:tc>
        <w:tc>
          <w:tcPr>
            <w:tcW w:w="395" w:type="pct"/>
            <w:gridSpan w:val="2"/>
          </w:tcPr>
          <w:p w14:paraId="663AD75C" w14:textId="1A7CE4C2" w:rsidR="00D0670B" w:rsidRPr="000D1A50" w:rsidRDefault="00D0670B" w:rsidP="00D0670B">
            <w:pPr>
              <w:spacing w:after="0" w:line="240" w:lineRule="auto"/>
              <w:jc w:val="center"/>
              <w:rPr>
                <w:rFonts w:ascii="Futura Std Condensed Light" w:eastAsia="Calibri" w:hAnsi="Futura Std Condensed Light" w:cs="Calibri"/>
                <w:sz w:val="18"/>
                <w:szCs w:val="20"/>
              </w:rPr>
            </w:pPr>
            <w:r w:rsidRPr="000D1A50">
              <w:rPr>
                <w:rFonts w:ascii="Futura Std Condensed Light" w:eastAsia="Calibri" w:hAnsi="Futura Std Condensed Light" w:cs="Calibri"/>
                <w:sz w:val="18"/>
                <w:szCs w:val="20"/>
              </w:rPr>
              <w:t>70.03</w:t>
            </w:r>
          </w:p>
        </w:tc>
      </w:tr>
      <w:tr w:rsidR="00D0670B" w:rsidRPr="009B6622" w14:paraId="6AC26D49" w14:textId="77777777" w:rsidTr="000A39C5">
        <w:trPr>
          <w:trHeight w:val="1259"/>
        </w:trPr>
        <w:tc>
          <w:tcPr>
            <w:tcW w:w="652" w:type="pct"/>
          </w:tcPr>
          <w:p w14:paraId="07567EEC" w14:textId="1AD5F611" w:rsidR="00D0670B" w:rsidRPr="000D1A50" w:rsidRDefault="00D0670B" w:rsidP="00D0670B">
            <w:pPr>
              <w:spacing w:after="0"/>
              <w:jc w:val="center"/>
              <w:rPr>
                <w:rFonts w:ascii="Futura Std Condensed Light" w:eastAsia="Calibri" w:hAnsi="Futura Std Condensed Light" w:cs="Calibri"/>
                <w:sz w:val="18"/>
                <w:szCs w:val="20"/>
              </w:rPr>
            </w:pPr>
            <w:r>
              <w:rPr>
                <w:rFonts w:ascii="Futura Std Condensed Light" w:eastAsia="Calibri" w:hAnsi="Futura Std Condensed Light" w:cs="Calibri"/>
                <w:sz w:val="18"/>
                <w:szCs w:val="20"/>
              </w:rPr>
              <w:t>Estrategia 6</w:t>
            </w:r>
            <w:r w:rsidRPr="000D1A50">
              <w:rPr>
                <w:rFonts w:ascii="Futura Std Condensed Light" w:eastAsia="Calibri" w:hAnsi="Futura Std Condensed Light" w:cs="Calibri"/>
                <w:sz w:val="18"/>
                <w:szCs w:val="20"/>
              </w:rPr>
              <w:t xml:space="preserve">. Impulsar la ampliación de la oferta educativa pertinente de las instituciones de educación superior que aseguren la demanda de atención en la entidad. </w:t>
            </w:r>
          </w:p>
        </w:tc>
        <w:tc>
          <w:tcPr>
            <w:tcW w:w="652" w:type="pct"/>
          </w:tcPr>
          <w:p w14:paraId="1C4FD304" w14:textId="42A1FF66" w:rsidR="00D0670B" w:rsidRPr="000D1A50" w:rsidRDefault="00D0670B" w:rsidP="00D0670B">
            <w:pPr>
              <w:spacing w:after="0" w:line="240" w:lineRule="auto"/>
              <w:jc w:val="center"/>
              <w:rPr>
                <w:rFonts w:ascii="Futura Std Condensed Light" w:eastAsia="Calibri" w:hAnsi="Futura Std Condensed Light" w:cs="Calibri"/>
                <w:color w:val="FF0000"/>
                <w:sz w:val="18"/>
                <w:szCs w:val="20"/>
              </w:rPr>
            </w:pPr>
            <w:r w:rsidRPr="000D1A50">
              <w:rPr>
                <w:rFonts w:ascii="Futura Std Condensed Light" w:eastAsia="Calibri" w:hAnsi="Futura Std Condensed Light" w:cs="Calibri"/>
                <w:sz w:val="18"/>
                <w:szCs w:val="20"/>
              </w:rPr>
              <w:t>Tasa bruta de cobertura de educación superior</w:t>
            </w:r>
          </w:p>
        </w:tc>
        <w:tc>
          <w:tcPr>
            <w:tcW w:w="575" w:type="pct"/>
          </w:tcPr>
          <w:p w14:paraId="3D5F0B88" w14:textId="0D0E3107" w:rsidR="00D0670B" w:rsidRPr="000D1A50" w:rsidRDefault="00D0670B" w:rsidP="00D0670B">
            <w:pPr>
              <w:spacing w:after="0" w:line="240" w:lineRule="auto"/>
              <w:jc w:val="center"/>
              <w:rPr>
                <w:rFonts w:ascii="Futura Std Condensed Light" w:eastAsia="Calibri" w:hAnsi="Futura Std Condensed Light" w:cs="Calibri"/>
                <w:sz w:val="18"/>
                <w:szCs w:val="20"/>
              </w:rPr>
            </w:pPr>
            <w:r w:rsidRPr="000D1A50">
              <w:rPr>
                <w:rFonts w:ascii="Futura Std Condensed Light" w:eastAsia="Calibri" w:hAnsi="Futura Std Condensed Light" w:cs="Calibri"/>
                <w:sz w:val="18"/>
                <w:szCs w:val="20"/>
              </w:rPr>
              <w:t>Estadísticas continúas del formato 911, inicio de ciclo escolar, SEQ. Proyecciones de población por edad desplegada, entidad federativa (Quintana Roo) 1970-2050, CONAPO.</w:t>
            </w:r>
          </w:p>
        </w:tc>
        <w:tc>
          <w:tcPr>
            <w:tcW w:w="573" w:type="pct"/>
          </w:tcPr>
          <w:p w14:paraId="024A3A66" w14:textId="38D4D3F0" w:rsidR="00D0670B" w:rsidRPr="000D1A50" w:rsidRDefault="00D0670B" w:rsidP="00D0670B">
            <w:pPr>
              <w:spacing w:after="0" w:line="240" w:lineRule="auto"/>
              <w:jc w:val="center"/>
              <w:rPr>
                <w:rFonts w:ascii="Futura Std Condensed Light" w:eastAsia="Calibri" w:hAnsi="Futura Std Condensed Light" w:cs="Calibri"/>
                <w:color w:val="FF0000"/>
                <w:sz w:val="18"/>
                <w:szCs w:val="20"/>
              </w:rPr>
            </w:pPr>
            <w:r w:rsidRPr="000D1A50">
              <w:rPr>
                <w:rFonts w:ascii="Futura Std Condensed Light" w:eastAsia="Calibri" w:hAnsi="Futura Std Condensed Light" w:cs="Calibri"/>
                <w:sz w:val="18"/>
                <w:szCs w:val="20"/>
              </w:rPr>
              <w:t>Porcentaje</w:t>
            </w:r>
          </w:p>
        </w:tc>
        <w:tc>
          <w:tcPr>
            <w:tcW w:w="361" w:type="pct"/>
          </w:tcPr>
          <w:p w14:paraId="44FAC7C6" w14:textId="77777777" w:rsidR="00BD420A" w:rsidRDefault="00BD420A" w:rsidP="00BD420A">
            <w:pPr>
              <w:autoSpaceDE w:val="0"/>
              <w:autoSpaceDN w:val="0"/>
              <w:adjustRightInd w:val="0"/>
              <w:jc w:val="center"/>
              <w:rPr>
                <w:rFonts w:ascii="Futura Std Condensed Light" w:eastAsia="Calibri" w:hAnsi="Futura Std Condensed Light" w:cs="Calibri"/>
                <w:sz w:val="18"/>
                <w:szCs w:val="20"/>
              </w:rPr>
            </w:pPr>
          </w:p>
          <w:p w14:paraId="74AF144C" w14:textId="5F75CB07" w:rsidR="00D0670B" w:rsidRPr="000D1A50" w:rsidRDefault="00D0670B" w:rsidP="00BD420A">
            <w:pPr>
              <w:autoSpaceDE w:val="0"/>
              <w:autoSpaceDN w:val="0"/>
              <w:adjustRightInd w:val="0"/>
              <w:jc w:val="center"/>
              <w:rPr>
                <w:rFonts w:ascii="Futura Std Condensed Light" w:eastAsia="Calibri" w:hAnsi="Futura Std Condensed Light" w:cs="Calibri"/>
                <w:color w:val="FF0000"/>
                <w:sz w:val="18"/>
                <w:szCs w:val="20"/>
              </w:rPr>
            </w:pPr>
            <w:r w:rsidRPr="000D1A50">
              <w:rPr>
                <w:rFonts w:ascii="Futura Std Condensed Light" w:eastAsia="Calibri" w:hAnsi="Futura Std Condensed Light" w:cs="Calibri"/>
                <w:sz w:val="18"/>
                <w:szCs w:val="20"/>
              </w:rPr>
              <w:t>26.06</w:t>
            </w:r>
          </w:p>
        </w:tc>
        <w:tc>
          <w:tcPr>
            <w:tcW w:w="360" w:type="pct"/>
          </w:tcPr>
          <w:p w14:paraId="7BAA9F1E" w14:textId="79B18655" w:rsidR="00D0670B" w:rsidRPr="000D1A50" w:rsidRDefault="00D0670B" w:rsidP="00D0670B">
            <w:pPr>
              <w:spacing w:after="0" w:line="240" w:lineRule="auto"/>
              <w:jc w:val="center"/>
              <w:rPr>
                <w:rFonts w:ascii="Futura Std Condensed Light" w:eastAsia="Calibri" w:hAnsi="Futura Std Condensed Light" w:cs="Calibri"/>
                <w:color w:val="FF0000"/>
                <w:sz w:val="18"/>
                <w:szCs w:val="20"/>
              </w:rPr>
            </w:pPr>
            <w:r w:rsidRPr="000D1A50">
              <w:rPr>
                <w:rFonts w:ascii="Futura Std Condensed Light" w:eastAsia="Calibri" w:hAnsi="Futura Std Condensed Light" w:cs="Calibri"/>
                <w:sz w:val="18"/>
                <w:szCs w:val="20"/>
              </w:rPr>
              <w:t>28.15</w:t>
            </w:r>
          </w:p>
        </w:tc>
        <w:tc>
          <w:tcPr>
            <w:tcW w:w="360" w:type="pct"/>
          </w:tcPr>
          <w:p w14:paraId="5BA74E3D" w14:textId="2BC91571" w:rsidR="00D0670B" w:rsidRPr="000D1A50" w:rsidRDefault="00D0670B" w:rsidP="00D0670B">
            <w:pPr>
              <w:spacing w:after="0" w:line="240" w:lineRule="auto"/>
              <w:jc w:val="center"/>
              <w:rPr>
                <w:rFonts w:ascii="Futura Std Condensed Light" w:eastAsia="Calibri" w:hAnsi="Futura Std Condensed Light" w:cs="Calibri"/>
                <w:color w:val="FF0000"/>
                <w:sz w:val="18"/>
                <w:szCs w:val="20"/>
              </w:rPr>
            </w:pPr>
            <w:r w:rsidRPr="000D1A50">
              <w:rPr>
                <w:rFonts w:ascii="Futura Std Condensed Light" w:eastAsia="Calibri" w:hAnsi="Futura Std Condensed Light" w:cs="Calibri"/>
                <w:sz w:val="18"/>
                <w:szCs w:val="20"/>
              </w:rPr>
              <w:t>29.52</w:t>
            </w:r>
          </w:p>
        </w:tc>
        <w:tc>
          <w:tcPr>
            <w:tcW w:w="360" w:type="pct"/>
          </w:tcPr>
          <w:p w14:paraId="3C715C3E" w14:textId="3B2D13A5" w:rsidR="00D0670B" w:rsidRPr="000D1A50" w:rsidRDefault="00D0670B" w:rsidP="00D0670B">
            <w:pPr>
              <w:spacing w:after="0" w:line="240" w:lineRule="auto"/>
              <w:rPr>
                <w:rFonts w:ascii="Futura Std Condensed Light" w:eastAsia="Calibri" w:hAnsi="Futura Std Condensed Light" w:cs="Calibri"/>
                <w:color w:val="FF0000"/>
                <w:sz w:val="18"/>
                <w:szCs w:val="20"/>
              </w:rPr>
            </w:pPr>
            <w:r w:rsidRPr="000D1A50">
              <w:rPr>
                <w:rFonts w:ascii="Futura Std Condensed Light" w:eastAsia="Calibri" w:hAnsi="Futura Std Condensed Light" w:cs="Calibri"/>
                <w:sz w:val="18"/>
                <w:szCs w:val="20"/>
              </w:rPr>
              <w:t>31.83</w:t>
            </w:r>
          </w:p>
        </w:tc>
        <w:tc>
          <w:tcPr>
            <w:tcW w:w="360" w:type="pct"/>
          </w:tcPr>
          <w:p w14:paraId="63EC8772" w14:textId="6F05AD4D" w:rsidR="00D0670B" w:rsidRPr="000D1A50" w:rsidRDefault="00D0670B" w:rsidP="00D0670B">
            <w:pPr>
              <w:spacing w:after="0" w:line="240" w:lineRule="auto"/>
              <w:rPr>
                <w:rFonts w:ascii="Futura Std Condensed Light" w:eastAsia="Calibri" w:hAnsi="Futura Std Condensed Light" w:cs="Calibri"/>
                <w:color w:val="FF0000"/>
                <w:sz w:val="18"/>
                <w:szCs w:val="20"/>
              </w:rPr>
            </w:pPr>
            <w:r w:rsidRPr="000D1A50">
              <w:rPr>
                <w:rFonts w:ascii="Futura Std Condensed Light" w:eastAsia="Calibri" w:hAnsi="Futura Std Condensed Light" w:cs="Calibri"/>
                <w:sz w:val="18"/>
                <w:szCs w:val="20"/>
              </w:rPr>
              <w:t>32.57</w:t>
            </w:r>
          </w:p>
        </w:tc>
        <w:tc>
          <w:tcPr>
            <w:tcW w:w="361" w:type="pct"/>
            <w:gridSpan w:val="2"/>
          </w:tcPr>
          <w:p w14:paraId="041500DA" w14:textId="3AB2B478" w:rsidR="00D0670B" w:rsidRPr="000D1A50" w:rsidRDefault="00D0670B" w:rsidP="00D0670B">
            <w:pPr>
              <w:spacing w:after="0" w:line="240" w:lineRule="auto"/>
              <w:jc w:val="center"/>
              <w:rPr>
                <w:rFonts w:ascii="Futura Std Condensed Light" w:eastAsia="Calibri" w:hAnsi="Futura Std Condensed Light" w:cs="Calibri"/>
                <w:color w:val="FF0000"/>
                <w:sz w:val="18"/>
                <w:szCs w:val="20"/>
              </w:rPr>
            </w:pPr>
            <w:r w:rsidRPr="000D1A50">
              <w:rPr>
                <w:rFonts w:ascii="Futura Std Condensed Light" w:eastAsia="Calibri" w:hAnsi="Futura Std Condensed Light" w:cs="Calibri"/>
                <w:sz w:val="18"/>
                <w:szCs w:val="20"/>
              </w:rPr>
              <w:t>33.93</w:t>
            </w:r>
          </w:p>
        </w:tc>
        <w:tc>
          <w:tcPr>
            <w:tcW w:w="386" w:type="pct"/>
          </w:tcPr>
          <w:p w14:paraId="34CE55E8" w14:textId="2EE4FE0C" w:rsidR="00D0670B" w:rsidRPr="000D1A50" w:rsidRDefault="00D0670B" w:rsidP="00D0670B">
            <w:pPr>
              <w:spacing w:after="0" w:line="240" w:lineRule="auto"/>
              <w:jc w:val="center"/>
              <w:rPr>
                <w:rFonts w:ascii="Futura Std Condensed Light" w:eastAsia="Calibri" w:hAnsi="Futura Std Condensed Light" w:cs="Calibri"/>
                <w:color w:val="FF0000"/>
                <w:sz w:val="18"/>
                <w:szCs w:val="20"/>
              </w:rPr>
            </w:pPr>
            <w:r w:rsidRPr="000D1A50">
              <w:rPr>
                <w:rFonts w:ascii="Futura Std Condensed Light" w:eastAsia="Calibri" w:hAnsi="Futura Std Condensed Light" w:cs="Calibri"/>
                <w:sz w:val="18"/>
                <w:szCs w:val="20"/>
              </w:rPr>
              <w:t>35.28</w:t>
            </w:r>
          </w:p>
        </w:tc>
      </w:tr>
      <w:tr w:rsidR="00D0670B" w:rsidRPr="009B6622" w14:paraId="7E3E04CD" w14:textId="77777777" w:rsidTr="002C5453">
        <w:trPr>
          <w:trHeight w:val="283"/>
        </w:trPr>
        <w:tc>
          <w:tcPr>
            <w:tcW w:w="652" w:type="pct"/>
          </w:tcPr>
          <w:p w14:paraId="447118C0" w14:textId="15B49087" w:rsidR="00D0670B" w:rsidRPr="000D1A50" w:rsidRDefault="00D0670B" w:rsidP="00D0670B">
            <w:pPr>
              <w:jc w:val="center"/>
              <w:rPr>
                <w:rFonts w:ascii="Futura Std Condensed Light" w:eastAsia="Calibri" w:hAnsi="Futura Std Condensed Light" w:cs="Calibri"/>
                <w:sz w:val="18"/>
                <w:szCs w:val="20"/>
              </w:rPr>
            </w:pPr>
            <w:r w:rsidRPr="00F10BA4">
              <w:rPr>
                <w:rFonts w:ascii="Futura Std Condensed Light" w:eastAsia="Calibri" w:hAnsi="Futura Std Condensed Light" w:cs="Calibri"/>
                <w:sz w:val="18"/>
                <w:szCs w:val="20"/>
              </w:rPr>
              <w:lastRenderedPageBreak/>
              <w:t>Objetivo 7</w:t>
            </w:r>
            <w:r>
              <w:rPr>
                <w:rFonts w:ascii="Futura Std Condensed Light" w:eastAsia="Calibri" w:hAnsi="Futura Std Condensed Light" w:cs="Calibri"/>
                <w:sz w:val="18"/>
                <w:szCs w:val="20"/>
              </w:rPr>
              <w:t>.</w:t>
            </w:r>
            <w:r w:rsidRPr="000A39C5">
              <w:rPr>
                <w:rFonts w:ascii="Futura Std Condensed Light" w:eastAsia="Calibri" w:hAnsi="Futura Std Condensed Light" w:cs="Calibri"/>
                <w:sz w:val="18"/>
                <w:szCs w:val="20"/>
              </w:rPr>
              <w:t>Mejorar la infraestructura y equipamiento de las escuelas de los diferentes niveles educativos, a fin de contar con espacios que brinden una educación inclusiva de calidad en beneficio de los estudiantes del Estado</w:t>
            </w:r>
            <w:r w:rsidRPr="00DE53EE">
              <w:rPr>
                <w:rFonts w:eastAsia="Times New Roman"/>
                <w:bCs/>
                <w:lang w:val="es-MX" w:eastAsia="en-US"/>
              </w:rPr>
              <w:t>.</w:t>
            </w:r>
          </w:p>
        </w:tc>
        <w:tc>
          <w:tcPr>
            <w:tcW w:w="652" w:type="pct"/>
          </w:tcPr>
          <w:p w14:paraId="41CF624E" w14:textId="394FC48D" w:rsidR="00D0670B" w:rsidRPr="000D1A50" w:rsidRDefault="00D0670B" w:rsidP="00D0670B">
            <w:pPr>
              <w:spacing w:after="0"/>
              <w:jc w:val="center"/>
              <w:rPr>
                <w:rFonts w:ascii="Futura Std Condensed Light" w:eastAsia="Calibri" w:hAnsi="Futura Std Condensed Light" w:cs="Calibri"/>
                <w:sz w:val="18"/>
                <w:szCs w:val="20"/>
              </w:rPr>
            </w:pPr>
            <w:r w:rsidRPr="000D1A50">
              <w:rPr>
                <w:rFonts w:ascii="Futura Std Condensed Light" w:eastAsia="Calibri" w:hAnsi="Futura Std Condensed Light" w:cs="Calibri"/>
                <w:sz w:val="18"/>
                <w:szCs w:val="20"/>
              </w:rPr>
              <w:t>Porcentaje de inmuebles atendidos con infraestructura física o equipamiento</w:t>
            </w:r>
          </w:p>
        </w:tc>
        <w:tc>
          <w:tcPr>
            <w:tcW w:w="575" w:type="pct"/>
          </w:tcPr>
          <w:p w14:paraId="4BFB1B09" w14:textId="0E37E806" w:rsidR="00D0670B" w:rsidRPr="000D1A50" w:rsidRDefault="00D0670B" w:rsidP="00D0670B">
            <w:pPr>
              <w:spacing w:after="0"/>
              <w:jc w:val="center"/>
              <w:rPr>
                <w:rFonts w:ascii="Futura Std Condensed Light" w:eastAsia="Calibri" w:hAnsi="Futura Std Condensed Light" w:cs="Calibri"/>
                <w:sz w:val="18"/>
                <w:szCs w:val="20"/>
              </w:rPr>
            </w:pPr>
            <w:r w:rsidRPr="000D1A50">
              <w:rPr>
                <w:rFonts w:ascii="Futura Std Condensed Light" w:eastAsia="Calibri" w:hAnsi="Futura Std Condensed Light" w:cs="Calibri"/>
                <w:sz w:val="18"/>
                <w:szCs w:val="20"/>
              </w:rPr>
              <w:t>Instituto de Infraestructura Física Educativa del Estado de Quintana Roo</w:t>
            </w:r>
          </w:p>
        </w:tc>
        <w:tc>
          <w:tcPr>
            <w:tcW w:w="573" w:type="pct"/>
          </w:tcPr>
          <w:p w14:paraId="7B48F3CB" w14:textId="6573B343" w:rsidR="00D0670B" w:rsidRPr="000D1A50" w:rsidRDefault="00D0670B" w:rsidP="00D0670B">
            <w:pPr>
              <w:spacing w:after="0"/>
              <w:jc w:val="center"/>
              <w:rPr>
                <w:rFonts w:ascii="Futura Std Condensed Light" w:eastAsia="Calibri" w:hAnsi="Futura Std Condensed Light" w:cs="Calibri"/>
                <w:sz w:val="18"/>
                <w:szCs w:val="20"/>
              </w:rPr>
            </w:pPr>
            <w:r w:rsidRPr="000D1A50">
              <w:rPr>
                <w:rFonts w:ascii="Futura Std Condensed Light" w:eastAsia="Calibri" w:hAnsi="Futura Std Condensed Light" w:cs="Calibri"/>
                <w:sz w:val="18"/>
                <w:szCs w:val="20"/>
              </w:rPr>
              <w:t>Porcentaje</w:t>
            </w:r>
          </w:p>
        </w:tc>
        <w:tc>
          <w:tcPr>
            <w:tcW w:w="361" w:type="pct"/>
          </w:tcPr>
          <w:p w14:paraId="38BDB68C" w14:textId="1842377C" w:rsidR="00D0670B" w:rsidRPr="00BD420A" w:rsidRDefault="00D0670B" w:rsidP="00BD420A">
            <w:pPr>
              <w:autoSpaceDE w:val="0"/>
              <w:autoSpaceDN w:val="0"/>
              <w:adjustRightInd w:val="0"/>
              <w:jc w:val="center"/>
              <w:rPr>
                <w:rFonts w:ascii="Futura Std Condensed Light" w:eastAsia="Calibri" w:hAnsi="Futura Std Condensed Light" w:cs="Calibri"/>
                <w:sz w:val="18"/>
                <w:szCs w:val="20"/>
              </w:rPr>
            </w:pPr>
            <w:r w:rsidRPr="00BD420A">
              <w:rPr>
                <w:rFonts w:ascii="Futura Std Condensed Light" w:eastAsia="Calibri" w:hAnsi="Futura Std Condensed Light" w:cs="Calibri"/>
                <w:sz w:val="18"/>
                <w:szCs w:val="20"/>
              </w:rPr>
              <w:t>28.84</w:t>
            </w:r>
          </w:p>
        </w:tc>
        <w:tc>
          <w:tcPr>
            <w:tcW w:w="360" w:type="pct"/>
          </w:tcPr>
          <w:p w14:paraId="6110DFD1" w14:textId="76765E8D" w:rsidR="00D0670B" w:rsidRPr="00BD420A" w:rsidRDefault="00D0670B" w:rsidP="00BD420A">
            <w:pPr>
              <w:spacing w:after="0" w:line="240" w:lineRule="auto"/>
              <w:jc w:val="center"/>
              <w:rPr>
                <w:rFonts w:ascii="Futura Std Condensed Light" w:eastAsia="Calibri" w:hAnsi="Futura Std Condensed Light" w:cs="Calibri"/>
                <w:sz w:val="18"/>
                <w:szCs w:val="20"/>
              </w:rPr>
            </w:pPr>
            <w:r w:rsidRPr="00BD420A">
              <w:rPr>
                <w:rFonts w:ascii="Futura Std Condensed Light" w:eastAsia="Calibri" w:hAnsi="Futura Std Condensed Light" w:cs="Calibri"/>
                <w:sz w:val="18"/>
                <w:szCs w:val="20"/>
              </w:rPr>
              <w:t>33.59</w:t>
            </w:r>
          </w:p>
        </w:tc>
        <w:tc>
          <w:tcPr>
            <w:tcW w:w="360" w:type="pct"/>
          </w:tcPr>
          <w:p w14:paraId="5F672F4A" w14:textId="0BC4BD64" w:rsidR="00D0670B" w:rsidRPr="00BD420A" w:rsidRDefault="00D0670B" w:rsidP="00BD420A">
            <w:pPr>
              <w:spacing w:after="0" w:line="240" w:lineRule="auto"/>
              <w:jc w:val="center"/>
              <w:rPr>
                <w:rFonts w:ascii="Futura Std Condensed Light" w:eastAsia="Calibri" w:hAnsi="Futura Std Condensed Light" w:cs="Calibri"/>
                <w:sz w:val="18"/>
                <w:szCs w:val="20"/>
              </w:rPr>
            </w:pPr>
            <w:r w:rsidRPr="00BD420A">
              <w:rPr>
                <w:rFonts w:ascii="Futura Std Condensed Light" w:eastAsia="Calibri" w:hAnsi="Futura Std Condensed Light" w:cs="Calibri"/>
                <w:sz w:val="18"/>
                <w:szCs w:val="20"/>
              </w:rPr>
              <w:t>27.63</w:t>
            </w:r>
          </w:p>
        </w:tc>
        <w:tc>
          <w:tcPr>
            <w:tcW w:w="360" w:type="pct"/>
          </w:tcPr>
          <w:p w14:paraId="148E05F9" w14:textId="5BD91702" w:rsidR="00D0670B" w:rsidRPr="00BD420A" w:rsidRDefault="00D0670B" w:rsidP="00BD420A">
            <w:pPr>
              <w:spacing w:after="0" w:line="240" w:lineRule="auto"/>
              <w:jc w:val="center"/>
              <w:rPr>
                <w:rFonts w:ascii="Futura Std Condensed Light" w:eastAsia="Calibri" w:hAnsi="Futura Std Condensed Light" w:cs="Calibri"/>
                <w:sz w:val="18"/>
                <w:szCs w:val="20"/>
              </w:rPr>
            </w:pPr>
            <w:r w:rsidRPr="00BD420A">
              <w:rPr>
                <w:rFonts w:ascii="Futura Std Condensed Light" w:eastAsia="Calibri" w:hAnsi="Futura Std Condensed Light" w:cs="Calibri"/>
                <w:sz w:val="18"/>
                <w:szCs w:val="20"/>
              </w:rPr>
              <w:t>29.30</w:t>
            </w:r>
          </w:p>
        </w:tc>
        <w:tc>
          <w:tcPr>
            <w:tcW w:w="360" w:type="pct"/>
          </w:tcPr>
          <w:p w14:paraId="2787DE00" w14:textId="68394C38" w:rsidR="00D0670B" w:rsidRPr="00BD420A" w:rsidRDefault="00D0670B" w:rsidP="00BD420A">
            <w:pPr>
              <w:spacing w:after="0" w:line="240" w:lineRule="auto"/>
              <w:jc w:val="center"/>
              <w:rPr>
                <w:rFonts w:ascii="Futura Std Condensed Light" w:eastAsia="Calibri" w:hAnsi="Futura Std Condensed Light" w:cs="Calibri"/>
                <w:sz w:val="18"/>
                <w:szCs w:val="20"/>
              </w:rPr>
            </w:pPr>
            <w:r w:rsidRPr="00BD420A">
              <w:rPr>
                <w:rFonts w:ascii="Futura Std Condensed Light" w:eastAsia="Calibri" w:hAnsi="Futura Std Condensed Light" w:cs="Calibri"/>
                <w:sz w:val="18"/>
                <w:szCs w:val="20"/>
              </w:rPr>
              <w:t>30.97</w:t>
            </w:r>
          </w:p>
        </w:tc>
        <w:tc>
          <w:tcPr>
            <w:tcW w:w="361" w:type="pct"/>
            <w:gridSpan w:val="2"/>
          </w:tcPr>
          <w:p w14:paraId="225C76DA" w14:textId="5DCFF4D8" w:rsidR="00D0670B" w:rsidRPr="00BD420A" w:rsidRDefault="00D0670B" w:rsidP="00BD420A">
            <w:pPr>
              <w:spacing w:after="0" w:line="240" w:lineRule="auto"/>
              <w:jc w:val="center"/>
              <w:rPr>
                <w:rFonts w:ascii="Futura Std Condensed Light" w:eastAsia="Calibri" w:hAnsi="Futura Std Condensed Light" w:cs="Calibri"/>
                <w:sz w:val="18"/>
                <w:szCs w:val="20"/>
              </w:rPr>
            </w:pPr>
            <w:r w:rsidRPr="00BD420A">
              <w:rPr>
                <w:rFonts w:ascii="Futura Std Condensed Light" w:eastAsia="Calibri" w:hAnsi="Futura Std Condensed Light" w:cs="Calibri"/>
                <w:sz w:val="18"/>
                <w:szCs w:val="20"/>
              </w:rPr>
              <w:t>31.65</w:t>
            </w:r>
          </w:p>
        </w:tc>
        <w:tc>
          <w:tcPr>
            <w:tcW w:w="386" w:type="pct"/>
          </w:tcPr>
          <w:p w14:paraId="50483C4C" w14:textId="29633984" w:rsidR="00D0670B" w:rsidRPr="00BD420A" w:rsidRDefault="00D0670B" w:rsidP="00BD420A">
            <w:pPr>
              <w:spacing w:after="0" w:line="240" w:lineRule="auto"/>
              <w:jc w:val="center"/>
              <w:rPr>
                <w:rFonts w:ascii="Futura Std Condensed Light" w:eastAsia="Calibri" w:hAnsi="Futura Std Condensed Light" w:cs="Calibri"/>
                <w:sz w:val="18"/>
                <w:szCs w:val="20"/>
              </w:rPr>
            </w:pPr>
            <w:r w:rsidRPr="00BD420A">
              <w:rPr>
                <w:rFonts w:ascii="Futura Std Condensed Light" w:eastAsia="Calibri" w:hAnsi="Futura Std Condensed Light" w:cs="Calibri"/>
                <w:sz w:val="18"/>
                <w:szCs w:val="20"/>
              </w:rPr>
              <w:t>32.91</w:t>
            </w:r>
          </w:p>
        </w:tc>
      </w:tr>
      <w:tr w:rsidR="00D0670B" w:rsidRPr="009B6622" w14:paraId="2BC2E60B" w14:textId="77777777" w:rsidTr="002C5453">
        <w:trPr>
          <w:trHeight w:val="283"/>
        </w:trPr>
        <w:tc>
          <w:tcPr>
            <w:tcW w:w="652" w:type="pct"/>
          </w:tcPr>
          <w:p w14:paraId="77E857C8" w14:textId="0276432E" w:rsidR="00D0670B" w:rsidRPr="000D1A50" w:rsidRDefault="00D0670B" w:rsidP="00D0670B">
            <w:pPr>
              <w:spacing w:after="0"/>
              <w:jc w:val="center"/>
              <w:rPr>
                <w:rFonts w:ascii="Futura Std Condensed Light" w:eastAsia="Calibri" w:hAnsi="Futura Std Condensed Light" w:cs="Calibri"/>
                <w:sz w:val="18"/>
                <w:szCs w:val="20"/>
              </w:rPr>
            </w:pPr>
            <w:r w:rsidRPr="000D1A50">
              <w:rPr>
                <w:rFonts w:ascii="Futura Std Condensed Light" w:eastAsia="Calibri" w:hAnsi="Futura Std Condensed Light" w:cs="Calibri"/>
                <w:sz w:val="18"/>
                <w:szCs w:val="20"/>
              </w:rPr>
              <w:t xml:space="preserve">Estrategia </w:t>
            </w:r>
            <w:r>
              <w:rPr>
                <w:rFonts w:ascii="Futura Std Condensed Light" w:eastAsia="Calibri" w:hAnsi="Futura Std Condensed Light" w:cs="Calibri"/>
                <w:sz w:val="18"/>
                <w:szCs w:val="20"/>
              </w:rPr>
              <w:t>7.</w:t>
            </w:r>
            <w:r w:rsidRPr="00AB71DA">
              <w:rPr>
                <w:rFonts w:ascii="Futura Std Condensed Light" w:eastAsia="Calibri" w:hAnsi="Futura Std Condensed Light" w:cs="Calibri"/>
                <w:sz w:val="18"/>
                <w:szCs w:val="20"/>
              </w:rPr>
              <w:t xml:space="preserve"> Ejecutar los programas de inversión del estado, cuyo objetivo sea la construcción, equipamiento, mantenimiento, </w:t>
            </w:r>
            <w:r w:rsidRPr="00AB71DA">
              <w:rPr>
                <w:rFonts w:ascii="Futura Std Condensed Light" w:eastAsia="Calibri" w:hAnsi="Futura Std Condensed Light" w:cs="Calibri"/>
                <w:sz w:val="18"/>
                <w:szCs w:val="20"/>
              </w:rPr>
              <w:lastRenderedPageBreak/>
              <w:t>rehabilitación y certificación de los planteles de educación en los diferentes niveles educativos a fin de asegurar la cobertura educativa, en zonas rurales, de crecimiento y/o vulnerables.</w:t>
            </w:r>
            <w:r>
              <w:rPr>
                <w:rFonts w:ascii="Futura Std Condensed Light" w:eastAsia="Calibri" w:hAnsi="Futura Std Condensed Light" w:cs="Calibri"/>
                <w:sz w:val="18"/>
                <w:szCs w:val="20"/>
              </w:rPr>
              <w:t xml:space="preserve"> </w:t>
            </w:r>
            <w:r w:rsidRPr="000D1A50">
              <w:rPr>
                <w:rFonts w:ascii="Futura Std Condensed Light" w:eastAsia="Calibri" w:hAnsi="Futura Std Condensed Light" w:cs="Calibri"/>
                <w:sz w:val="18"/>
                <w:szCs w:val="20"/>
              </w:rPr>
              <w:t xml:space="preserve"> </w:t>
            </w:r>
          </w:p>
        </w:tc>
        <w:tc>
          <w:tcPr>
            <w:tcW w:w="652" w:type="pct"/>
          </w:tcPr>
          <w:p w14:paraId="277C8519" w14:textId="5920B74B" w:rsidR="00D0670B" w:rsidRPr="000D1A50" w:rsidRDefault="00D0670B" w:rsidP="00D0670B">
            <w:pPr>
              <w:spacing w:after="0"/>
              <w:jc w:val="center"/>
              <w:rPr>
                <w:rFonts w:ascii="Futura Std Condensed Light" w:eastAsia="Calibri" w:hAnsi="Futura Std Condensed Light" w:cs="Calibri"/>
                <w:sz w:val="18"/>
                <w:szCs w:val="20"/>
              </w:rPr>
            </w:pPr>
            <w:r w:rsidRPr="000D1A50">
              <w:rPr>
                <w:rFonts w:ascii="Futura Std Condensed Light" w:eastAsia="Calibri" w:hAnsi="Futura Std Condensed Light" w:cs="Calibri"/>
                <w:sz w:val="18"/>
                <w:szCs w:val="20"/>
              </w:rPr>
              <w:lastRenderedPageBreak/>
              <w:t>Porcentaje de escuelas de educación básica ejecutadas (obra, equipamiento o certificación)</w:t>
            </w:r>
          </w:p>
        </w:tc>
        <w:tc>
          <w:tcPr>
            <w:tcW w:w="575" w:type="pct"/>
          </w:tcPr>
          <w:p w14:paraId="6F0AEA38" w14:textId="62BEEE58" w:rsidR="00D0670B" w:rsidRPr="000D1A50" w:rsidRDefault="00D0670B" w:rsidP="00D0670B">
            <w:pPr>
              <w:spacing w:after="0"/>
              <w:jc w:val="center"/>
              <w:rPr>
                <w:rFonts w:ascii="Futura Std Condensed Light" w:eastAsia="Calibri" w:hAnsi="Futura Std Condensed Light" w:cs="Calibri"/>
                <w:sz w:val="18"/>
                <w:szCs w:val="20"/>
              </w:rPr>
            </w:pPr>
            <w:r w:rsidRPr="000D1A50">
              <w:rPr>
                <w:rFonts w:ascii="Futura Std Condensed Light" w:eastAsia="Calibri" w:hAnsi="Futura Std Condensed Light" w:cs="Calibri"/>
                <w:sz w:val="18"/>
                <w:szCs w:val="20"/>
              </w:rPr>
              <w:t>Instituto de Infraestructura Física Educativa del Estado de Quintana Roo.</w:t>
            </w:r>
          </w:p>
        </w:tc>
        <w:tc>
          <w:tcPr>
            <w:tcW w:w="573" w:type="pct"/>
          </w:tcPr>
          <w:p w14:paraId="10C853E4" w14:textId="6B122828" w:rsidR="00D0670B" w:rsidRPr="000D1A50" w:rsidRDefault="00D0670B" w:rsidP="00D0670B">
            <w:pPr>
              <w:spacing w:after="0"/>
              <w:jc w:val="center"/>
              <w:rPr>
                <w:rFonts w:ascii="Futura Std Condensed Light" w:eastAsia="Calibri" w:hAnsi="Futura Std Condensed Light" w:cs="Calibri"/>
                <w:sz w:val="18"/>
                <w:szCs w:val="20"/>
              </w:rPr>
            </w:pPr>
            <w:r w:rsidRPr="000D1A50">
              <w:rPr>
                <w:rFonts w:ascii="Futura Std Condensed Light" w:eastAsia="Calibri" w:hAnsi="Futura Std Condensed Light" w:cs="Calibri"/>
                <w:sz w:val="18"/>
                <w:szCs w:val="20"/>
              </w:rPr>
              <w:t>Porcentaje</w:t>
            </w:r>
          </w:p>
        </w:tc>
        <w:tc>
          <w:tcPr>
            <w:tcW w:w="361" w:type="pct"/>
          </w:tcPr>
          <w:p w14:paraId="70471AE1" w14:textId="1EFA3AF9" w:rsidR="00D0670B" w:rsidRPr="00BD420A" w:rsidRDefault="00D0670B" w:rsidP="00BD420A">
            <w:pPr>
              <w:autoSpaceDE w:val="0"/>
              <w:autoSpaceDN w:val="0"/>
              <w:adjustRightInd w:val="0"/>
              <w:jc w:val="center"/>
              <w:rPr>
                <w:rFonts w:ascii="Futura Std Condensed Light" w:eastAsia="Calibri" w:hAnsi="Futura Std Condensed Light" w:cs="Calibri"/>
                <w:sz w:val="18"/>
                <w:szCs w:val="20"/>
              </w:rPr>
            </w:pPr>
            <w:r w:rsidRPr="00BD420A">
              <w:rPr>
                <w:rFonts w:ascii="Futura Std Condensed Light" w:eastAsia="Calibri" w:hAnsi="Futura Std Condensed Light" w:cs="Calibri"/>
                <w:sz w:val="18"/>
                <w:szCs w:val="20"/>
              </w:rPr>
              <w:t>25.28</w:t>
            </w:r>
          </w:p>
        </w:tc>
        <w:tc>
          <w:tcPr>
            <w:tcW w:w="360" w:type="pct"/>
          </w:tcPr>
          <w:p w14:paraId="72DF2DC2" w14:textId="0D53D70C" w:rsidR="00D0670B" w:rsidRPr="00BD420A" w:rsidRDefault="00D0670B" w:rsidP="00BD420A">
            <w:pPr>
              <w:autoSpaceDE w:val="0"/>
              <w:autoSpaceDN w:val="0"/>
              <w:adjustRightInd w:val="0"/>
              <w:jc w:val="center"/>
              <w:rPr>
                <w:rFonts w:ascii="Futura Std Condensed Light" w:eastAsia="Calibri" w:hAnsi="Futura Std Condensed Light" w:cs="Calibri"/>
                <w:sz w:val="18"/>
                <w:szCs w:val="20"/>
              </w:rPr>
            </w:pPr>
            <w:r w:rsidRPr="00BD420A">
              <w:rPr>
                <w:rFonts w:ascii="Futura Std Condensed Light" w:eastAsia="Calibri" w:hAnsi="Futura Std Condensed Light" w:cs="Calibri"/>
                <w:sz w:val="18"/>
                <w:szCs w:val="20"/>
              </w:rPr>
              <w:t>31.64</w:t>
            </w:r>
          </w:p>
        </w:tc>
        <w:tc>
          <w:tcPr>
            <w:tcW w:w="360" w:type="pct"/>
          </w:tcPr>
          <w:p w14:paraId="76EB6DC6" w14:textId="3FFD66F7" w:rsidR="00D0670B" w:rsidRPr="00BD420A" w:rsidRDefault="00D0670B" w:rsidP="00BD420A">
            <w:pPr>
              <w:autoSpaceDE w:val="0"/>
              <w:autoSpaceDN w:val="0"/>
              <w:adjustRightInd w:val="0"/>
              <w:jc w:val="center"/>
              <w:rPr>
                <w:rFonts w:ascii="Futura Std Condensed Light" w:eastAsia="Calibri" w:hAnsi="Futura Std Condensed Light" w:cs="Calibri"/>
                <w:sz w:val="18"/>
                <w:szCs w:val="20"/>
              </w:rPr>
            </w:pPr>
            <w:r w:rsidRPr="00BD420A">
              <w:rPr>
                <w:rFonts w:ascii="Futura Std Condensed Light" w:eastAsia="Calibri" w:hAnsi="Futura Std Condensed Light" w:cs="Calibri"/>
                <w:sz w:val="18"/>
                <w:szCs w:val="20"/>
              </w:rPr>
              <w:t>26.00</w:t>
            </w:r>
          </w:p>
        </w:tc>
        <w:tc>
          <w:tcPr>
            <w:tcW w:w="360" w:type="pct"/>
          </w:tcPr>
          <w:p w14:paraId="40DF4056" w14:textId="1851AB26" w:rsidR="00D0670B" w:rsidRPr="00BD420A" w:rsidRDefault="00D0670B" w:rsidP="00BD420A">
            <w:pPr>
              <w:autoSpaceDE w:val="0"/>
              <w:autoSpaceDN w:val="0"/>
              <w:adjustRightInd w:val="0"/>
              <w:jc w:val="center"/>
              <w:rPr>
                <w:rFonts w:ascii="Futura Std Condensed Light" w:eastAsia="Calibri" w:hAnsi="Futura Std Condensed Light" w:cs="Calibri"/>
                <w:sz w:val="18"/>
                <w:szCs w:val="20"/>
              </w:rPr>
            </w:pPr>
            <w:r w:rsidRPr="00BD420A">
              <w:rPr>
                <w:rFonts w:ascii="Futura Std Condensed Light" w:eastAsia="Calibri" w:hAnsi="Futura Std Condensed Light" w:cs="Calibri"/>
                <w:sz w:val="18"/>
                <w:szCs w:val="20"/>
              </w:rPr>
              <w:t>33.84</w:t>
            </w:r>
          </w:p>
        </w:tc>
        <w:tc>
          <w:tcPr>
            <w:tcW w:w="360" w:type="pct"/>
          </w:tcPr>
          <w:p w14:paraId="4FB40360" w14:textId="536508A7" w:rsidR="00D0670B" w:rsidRPr="00BD420A" w:rsidRDefault="00D0670B" w:rsidP="00BD420A">
            <w:pPr>
              <w:autoSpaceDE w:val="0"/>
              <w:autoSpaceDN w:val="0"/>
              <w:adjustRightInd w:val="0"/>
              <w:jc w:val="center"/>
              <w:rPr>
                <w:rFonts w:ascii="Futura Std Condensed Light" w:eastAsia="Calibri" w:hAnsi="Futura Std Condensed Light" w:cs="Calibri"/>
                <w:sz w:val="18"/>
                <w:szCs w:val="20"/>
              </w:rPr>
            </w:pPr>
            <w:r w:rsidRPr="00BD420A">
              <w:rPr>
                <w:rFonts w:ascii="Futura Std Condensed Light" w:eastAsia="Calibri" w:hAnsi="Futura Std Condensed Light" w:cs="Calibri"/>
                <w:sz w:val="18"/>
                <w:szCs w:val="20"/>
              </w:rPr>
              <w:t>36.88</w:t>
            </w:r>
          </w:p>
        </w:tc>
        <w:tc>
          <w:tcPr>
            <w:tcW w:w="361" w:type="pct"/>
            <w:gridSpan w:val="2"/>
          </w:tcPr>
          <w:p w14:paraId="47F25570" w14:textId="1C043010" w:rsidR="00D0670B" w:rsidRPr="00BD420A" w:rsidRDefault="00D0670B" w:rsidP="00BD420A">
            <w:pPr>
              <w:autoSpaceDE w:val="0"/>
              <w:autoSpaceDN w:val="0"/>
              <w:adjustRightInd w:val="0"/>
              <w:jc w:val="center"/>
              <w:rPr>
                <w:rFonts w:ascii="Futura Std Condensed Light" w:eastAsia="Calibri" w:hAnsi="Futura Std Condensed Light" w:cs="Calibri"/>
                <w:sz w:val="18"/>
                <w:szCs w:val="20"/>
              </w:rPr>
            </w:pPr>
            <w:r w:rsidRPr="00BD420A">
              <w:rPr>
                <w:rFonts w:ascii="Futura Std Condensed Light" w:eastAsia="Calibri" w:hAnsi="Futura Std Condensed Light" w:cs="Calibri"/>
                <w:sz w:val="18"/>
                <w:szCs w:val="20"/>
              </w:rPr>
              <w:t>33.15</w:t>
            </w:r>
          </w:p>
        </w:tc>
        <w:tc>
          <w:tcPr>
            <w:tcW w:w="386" w:type="pct"/>
          </w:tcPr>
          <w:p w14:paraId="36C4822E" w14:textId="18D52527" w:rsidR="00D0670B" w:rsidRPr="00BD420A" w:rsidRDefault="00D0670B" w:rsidP="00BD420A">
            <w:pPr>
              <w:autoSpaceDE w:val="0"/>
              <w:autoSpaceDN w:val="0"/>
              <w:adjustRightInd w:val="0"/>
              <w:jc w:val="center"/>
              <w:rPr>
                <w:rFonts w:ascii="Futura Std Condensed Light" w:eastAsia="Calibri" w:hAnsi="Futura Std Condensed Light" w:cs="Calibri"/>
                <w:sz w:val="18"/>
                <w:szCs w:val="20"/>
              </w:rPr>
            </w:pPr>
            <w:r w:rsidRPr="00BD420A">
              <w:rPr>
                <w:rFonts w:ascii="Futura Std Condensed Light" w:eastAsia="Calibri" w:hAnsi="Futura Std Condensed Light" w:cs="Calibri"/>
                <w:sz w:val="18"/>
                <w:szCs w:val="20"/>
              </w:rPr>
              <w:t>34.53</w:t>
            </w:r>
          </w:p>
        </w:tc>
      </w:tr>
      <w:tr w:rsidR="00D0670B" w:rsidRPr="00FE0757" w14:paraId="0A6D73D1" w14:textId="77777777" w:rsidTr="002C5453">
        <w:trPr>
          <w:trHeight w:val="283"/>
        </w:trPr>
        <w:tc>
          <w:tcPr>
            <w:tcW w:w="652" w:type="pct"/>
          </w:tcPr>
          <w:p w14:paraId="549E3A3B" w14:textId="0CD43BAB" w:rsidR="00D0670B" w:rsidRPr="000D1A50" w:rsidRDefault="00D0670B" w:rsidP="00D0670B">
            <w:pPr>
              <w:spacing w:after="0"/>
              <w:ind w:left="57" w:right="57"/>
              <w:jc w:val="center"/>
              <w:rPr>
                <w:rFonts w:ascii="Futura Std Condensed Light" w:eastAsia="Calibri" w:hAnsi="Futura Std Condensed Light" w:cs="Calibri"/>
                <w:sz w:val="18"/>
                <w:szCs w:val="20"/>
              </w:rPr>
            </w:pPr>
            <w:r>
              <w:rPr>
                <w:rFonts w:ascii="Futura Std Condensed Light" w:eastAsia="Calibri" w:hAnsi="Futura Std Condensed Light" w:cs="Calibri"/>
                <w:sz w:val="18"/>
                <w:szCs w:val="20"/>
              </w:rPr>
              <w:t>Objetivo 8</w:t>
            </w:r>
            <w:r w:rsidRPr="000D1A50">
              <w:rPr>
                <w:rFonts w:ascii="Futura Std Condensed Light" w:eastAsia="Calibri" w:hAnsi="Futura Std Condensed Light" w:cs="Calibri"/>
                <w:sz w:val="18"/>
                <w:szCs w:val="20"/>
              </w:rPr>
              <w:t>. Lograr que las personas de 15 años y más en rezago educativo en la entidad concluyan su educación básica</w:t>
            </w:r>
            <w:r w:rsidRPr="000D1A50">
              <w:rPr>
                <w:rFonts w:ascii="Futura Std Condensed Light" w:eastAsia="Calibri" w:hAnsi="Futura Std Condensed Light" w:cs="Calibri"/>
                <w:b/>
                <w:bCs/>
                <w:sz w:val="18"/>
                <w:szCs w:val="20"/>
                <w:lang w:val="es-MX"/>
              </w:rPr>
              <w:t>.</w:t>
            </w:r>
          </w:p>
        </w:tc>
        <w:tc>
          <w:tcPr>
            <w:tcW w:w="652" w:type="pct"/>
          </w:tcPr>
          <w:p w14:paraId="552CC7D8" w14:textId="6E1CBB1C" w:rsidR="00D0670B" w:rsidRPr="000D1A50" w:rsidRDefault="00D0670B" w:rsidP="00D0670B">
            <w:pPr>
              <w:spacing w:after="0" w:line="240" w:lineRule="auto"/>
              <w:jc w:val="center"/>
              <w:rPr>
                <w:rFonts w:ascii="Futura Std Condensed Light" w:eastAsia="Calibri" w:hAnsi="Futura Std Condensed Light" w:cs="Calibri"/>
                <w:sz w:val="18"/>
                <w:szCs w:val="20"/>
              </w:rPr>
            </w:pPr>
            <w:r w:rsidRPr="000D1A50">
              <w:rPr>
                <w:rFonts w:ascii="Futura Std Condensed Light" w:eastAsia="Calibri" w:hAnsi="Futura Std Condensed Light" w:cs="Calibri"/>
                <w:sz w:val="18"/>
                <w:szCs w:val="20"/>
              </w:rPr>
              <w:t>Tasa de rezago educativo de la población de 15 años y más</w:t>
            </w:r>
          </w:p>
        </w:tc>
        <w:tc>
          <w:tcPr>
            <w:tcW w:w="575" w:type="pct"/>
          </w:tcPr>
          <w:p w14:paraId="31FB7E37" w14:textId="749B6AA7" w:rsidR="00D0670B" w:rsidRPr="000D1A50" w:rsidRDefault="00D0670B" w:rsidP="00D0670B">
            <w:pPr>
              <w:spacing w:after="0" w:line="240" w:lineRule="auto"/>
              <w:jc w:val="center"/>
              <w:rPr>
                <w:rFonts w:ascii="Futura Std Condensed Light" w:eastAsia="Calibri" w:hAnsi="Futura Std Condensed Light" w:cs="Calibri"/>
                <w:sz w:val="18"/>
                <w:szCs w:val="20"/>
              </w:rPr>
            </w:pPr>
            <w:r w:rsidRPr="000D1A50">
              <w:rPr>
                <w:rFonts w:ascii="Futura Std Condensed Light" w:eastAsia="Calibri" w:hAnsi="Futura Std Condensed Light" w:cs="Calibri"/>
                <w:sz w:val="18"/>
                <w:szCs w:val="20"/>
              </w:rPr>
              <w:t>Subdirección de Información y Estadística del Instituto Nacional para la Educación de los Adultos, INEA.</w:t>
            </w:r>
          </w:p>
        </w:tc>
        <w:tc>
          <w:tcPr>
            <w:tcW w:w="573" w:type="pct"/>
          </w:tcPr>
          <w:p w14:paraId="1825C82B" w14:textId="095781FB" w:rsidR="00D0670B" w:rsidRPr="000D1A50" w:rsidRDefault="00D0670B" w:rsidP="00D0670B">
            <w:pPr>
              <w:spacing w:after="0" w:line="240" w:lineRule="auto"/>
              <w:jc w:val="center"/>
              <w:rPr>
                <w:rFonts w:ascii="Futura Std Condensed Light" w:eastAsia="Calibri" w:hAnsi="Futura Std Condensed Light" w:cs="Calibri"/>
                <w:sz w:val="18"/>
                <w:szCs w:val="20"/>
              </w:rPr>
            </w:pPr>
            <w:r w:rsidRPr="000D1A50">
              <w:rPr>
                <w:rFonts w:ascii="Futura Std Condensed Light" w:eastAsia="Calibri" w:hAnsi="Futura Std Condensed Light" w:cs="Calibri"/>
                <w:sz w:val="18"/>
                <w:szCs w:val="20"/>
              </w:rPr>
              <w:t>Porcentaje</w:t>
            </w:r>
          </w:p>
        </w:tc>
        <w:tc>
          <w:tcPr>
            <w:tcW w:w="361" w:type="pct"/>
          </w:tcPr>
          <w:p w14:paraId="7C7CD855" w14:textId="7D2230A7" w:rsidR="00D0670B" w:rsidRPr="000D1A50" w:rsidRDefault="00D0670B" w:rsidP="00D0670B">
            <w:pPr>
              <w:spacing w:after="0" w:line="240" w:lineRule="auto"/>
              <w:jc w:val="center"/>
              <w:rPr>
                <w:rFonts w:ascii="Futura Std Condensed Light" w:eastAsia="Calibri" w:hAnsi="Futura Std Condensed Light" w:cs="Calibri"/>
                <w:sz w:val="18"/>
                <w:szCs w:val="20"/>
              </w:rPr>
            </w:pPr>
            <w:r w:rsidRPr="000D1A50">
              <w:rPr>
                <w:rFonts w:ascii="Futura Std Condensed Light" w:eastAsia="Calibri" w:hAnsi="Futura Std Condensed Light" w:cs="Calibri"/>
                <w:sz w:val="18"/>
                <w:szCs w:val="20"/>
              </w:rPr>
              <w:t>28.0</w:t>
            </w:r>
          </w:p>
        </w:tc>
        <w:tc>
          <w:tcPr>
            <w:tcW w:w="360" w:type="pct"/>
          </w:tcPr>
          <w:p w14:paraId="5C84365B" w14:textId="77777777" w:rsidR="00D0670B" w:rsidRPr="000D1A50" w:rsidRDefault="00D0670B" w:rsidP="00D0670B">
            <w:pPr>
              <w:spacing w:after="0" w:line="240" w:lineRule="auto"/>
              <w:jc w:val="center"/>
              <w:rPr>
                <w:rFonts w:ascii="Futura Std Condensed Light" w:eastAsia="Calibri" w:hAnsi="Futura Std Condensed Light" w:cs="Calibri"/>
                <w:sz w:val="18"/>
                <w:szCs w:val="20"/>
              </w:rPr>
            </w:pPr>
          </w:p>
        </w:tc>
        <w:tc>
          <w:tcPr>
            <w:tcW w:w="360" w:type="pct"/>
          </w:tcPr>
          <w:p w14:paraId="5726161A" w14:textId="77777777" w:rsidR="00D0670B" w:rsidRPr="000D1A50" w:rsidRDefault="00D0670B" w:rsidP="00D0670B">
            <w:pPr>
              <w:spacing w:after="0" w:line="240" w:lineRule="auto"/>
              <w:jc w:val="center"/>
              <w:rPr>
                <w:rFonts w:ascii="Futura Std Condensed Light" w:eastAsia="Calibri" w:hAnsi="Futura Std Condensed Light" w:cs="Calibri"/>
                <w:sz w:val="18"/>
                <w:szCs w:val="20"/>
              </w:rPr>
            </w:pPr>
          </w:p>
        </w:tc>
        <w:tc>
          <w:tcPr>
            <w:tcW w:w="360" w:type="pct"/>
          </w:tcPr>
          <w:p w14:paraId="6B2AC380" w14:textId="77777777" w:rsidR="00D0670B" w:rsidRPr="000D1A50" w:rsidRDefault="00D0670B" w:rsidP="00D0670B">
            <w:pPr>
              <w:spacing w:after="0" w:line="240" w:lineRule="auto"/>
              <w:jc w:val="center"/>
              <w:rPr>
                <w:rFonts w:ascii="Futura Std Condensed Light" w:eastAsia="Calibri" w:hAnsi="Futura Std Condensed Light" w:cs="Calibri"/>
                <w:sz w:val="18"/>
                <w:szCs w:val="20"/>
              </w:rPr>
            </w:pPr>
          </w:p>
        </w:tc>
        <w:tc>
          <w:tcPr>
            <w:tcW w:w="360" w:type="pct"/>
          </w:tcPr>
          <w:p w14:paraId="629B0075" w14:textId="776126E8" w:rsidR="00D0670B" w:rsidRPr="000D1A50" w:rsidRDefault="00D0670B" w:rsidP="00D0670B">
            <w:pPr>
              <w:spacing w:after="0" w:line="240" w:lineRule="auto"/>
              <w:jc w:val="center"/>
              <w:rPr>
                <w:rFonts w:ascii="Futura Std Condensed Light" w:eastAsia="Calibri" w:hAnsi="Futura Std Condensed Light" w:cs="Calibri"/>
                <w:sz w:val="18"/>
                <w:szCs w:val="20"/>
              </w:rPr>
            </w:pPr>
            <w:r w:rsidRPr="000D1A50">
              <w:rPr>
                <w:rFonts w:ascii="Futura Std Condensed Light" w:eastAsia="Calibri" w:hAnsi="Futura Std Condensed Light" w:cs="Calibri"/>
                <w:sz w:val="18"/>
                <w:szCs w:val="20"/>
              </w:rPr>
              <w:t>22.4</w:t>
            </w:r>
          </w:p>
        </w:tc>
        <w:tc>
          <w:tcPr>
            <w:tcW w:w="361" w:type="pct"/>
            <w:gridSpan w:val="2"/>
          </w:tcPr>
          <w:p w14:paraId="6F6D6530" w14:textId="77777777" w:rsidR="00D0670B" w:rsidRPr="000D1A50" w:rsidRDefault="00D0670B" w:rsidP="00D0670B">
            <w:pPr>
              <w:spacing w:after="0" w:line="240" w:lineRule="auto"/>
              <w:jc w:val="center"/>
              <w:rPr>
                <w:rFonts w:ascii="Futura Std Condensed Light" w:eastAsia="Calibri" w:hAnsi="Futura Std Condensed Light" w:cs="Calibri"/>
                <w:sz w:val="18"/>
                <w:szCs w:val="20"/>
              </w:rPr>
            </w:pPr>
          </w:p>
        </w:tc>
        <w:tc>
          <w:tcPr>
            <w:tcW w:w="386" w:type="pct"/>
          </w:tcPr>
          <w:p w14:paraId="52CFD6BA" w14:textId="77777777" w:rsidR="00D0670B" w:rsidRPr="000D1A50" w:rsidRDefault="00D0670B" w:rsidP="00D0670B">
            <w:pPr>
              <w:spacing w:after="0" w:line="240" w:lineRule="auto"/>
              <w:jc w:val="center"/>
              <w:rPr>
                <w:rFonts w:ascii="Futura Std Condensed Light" w:eastAsia="Calibri" w:hAnsi="Futura Std Condensed Light" w:cs="Calibri"/>
                <w:sz w:val="18"/>
                <w:szCs w:val="20"/>
              </w:rPr>
            </w:pPr>
          </w:p>
        </w:tc>
      </w:tr>
      <w:tr w:rsidR="00D0670B" w:rsidRPr="00FE0757" w14:paraId="201569D6" w14:textId="77777777" w:rsidTr="002C5453">
        <w:trPr>
          <w:trHeight w:val="1043"/>
        </w:trPr>
        <w:tc>
          <w:tcPr>
            <w:tcW w:w="652" w:type="pct"/>
          </w:tcPr>
          <w:p w14:paraId="719BFBBD" w14:textId="362A77E9" w:rsidR="00D0670B" w:rsidRPr="000D1A50" w:rsidRDefault="00D0670B" w:rsidP="00D0670B">
            <w:pPr>
              <w:spacing w:after="0"/>
              <w:jc w:val="center"/>
              <w:rPr>
                <w:rFonts w:ascii="Futura Std Condensed Light" w:eastAsia="Calibri" w:hAnsi="Futura Std Condensed Light" w:cs="Calibri"/>
                <w:sz w:val="18"/>
                <w:szCs w:val="20"/>
              </w:rPr>
            </w:pPr>
            <w:r>
              <w:rPr>
                <w:rFonts w:ascii="Futura Std Condensed Light" w:eastAsia="Calibri" w:hAnsi="Futura Std Condensed Light" w:cs="Calibri"/>
                <w:sz w:val="18"/>
                <w:szCs w:val="20"/>
              </w:rPr>
              <w:t>Estrategia 8</w:t>
            </w:r>
            <w:r w:rsidRPr="000D1A50">
              <w:rPr>
                <w:rFonts w:ascii="Futura Std Condensed Light" w:eastAsia="Calibri" w:hAnsi="Futura Std Condensed Light" w:cs="Calibri"/>
                <w:sz w:val="18"/>
                <w:szCs w:val="20"/>
              </w:rPr>
              <w:t xml:space="preserve">. Ampliar la cobertura </w:t>
            </w:r>
            <w:r w:rsidRPr="000D1A50">
              <w:rPr>
                <w:rFonts w:ascii="Futura Std Condensed Light" w:eastAsia="Calibri" w:hAnsi="Futura Std Condensed Light" w:cs="Calibri"/>
                <w:sz w:val="18"/>
                <w:szCs w:val="20"/>
              </w:rPr>
              <w:lastRenderedPageBreak/>
              <w:t xml:space="preserve">de atención de jóvenes, adultos, adultos mayores en condiciones de rezago educativo con un enfoque inclusivo. </w:t>
            </w:r>
          </w:p>
        </w:tc>
        <w:tc>
          <w:tcPr>
            <w:tcW w:w="652" w:type="pct"/>
          </w:tcPr>
          <w:p w14:paraId="08158011" w14:textId="0DDE8F19" w:rsidR="00D0670B" w:rsidRPr="000D1A50" w:rsidRDefault="00D0670B" w:rsidP="00D0670B">
            <w:pPr>
              <w:spacing w:after="0" w:line="240" w:lineRule="auto"/>
              <w:jc w:val="center"/>
              <w:rPr>
                <w:rFonts w:ascii="Futura Std Condensed Light" w:eastAsia="Calibri" w:hAnsi="Futura Std Condensed Light" w:cs="Calibri"/>
                <w:sz w:val="18"/>
                <w:szCs w:val="20"/>
              </w:rPr>
            </w:pPr>
            <w:r w:rsidRPr="000D1A50">
              <w:rPr>
                <w:rFonts w:ascii="Futura Std Condensed Light" w:eastAsia="Calibri" w:hAnsi="Futura Std Condensed Light" w:cs="Calibri"/>
                <w:sz w:val="18"/>
                <w:szCs w:val="20"/>
              </w:rPr>
              <w:lastRenderedPageBreak/>
              <w:t xml:space="preserve">Tasa de atención del rezago educativo de la </w:t>
            </w:r>
            <w:r w:rsidRPr="000D1A50">
              <w:rPr>
                <w:rFonts w:ascii="Futura Std Condensed Light" w:eastAsia="Calibri" w:hAnsi="Futura Std Condensed Light" w:cs="Calibri"/>
                <w:sz w:val="18"/>
                <w:szCs w:val="20"/>
              </w:rPr>
              <w:lastRenderedPageBreak/>
              <w:t>población de 15 años o más</w:t>
            </w:r>
          </w:p>
        </w:tc>
        <w:tc>
          <w:tcPr>
            <w:tcW w:w="575" w:type="pct"/>
          </w:tcPr>
          <w:p w14:paraId="3BDED023" w14:textId="4C3935C7" w:rsidR="00D0670B" w:rsidRPr="000D1A50" w:rsidRDefault="00D0670B" w:rsidP="00D0670B">
            <w:pPr>
              <w:spacing w:after="0" w:line="240" w:lineRule="auto"/>
              <w:jc w:val="center"/>
              <w:rPr>
                <w:rFonts w:ascii="Futura Std Condensed Light" w:eastAsia="Calibri" w:hAnsi="Futura Std Condensed Light" w:cs="Calibri"/>
                <w:sz w:val="18"/>
                <w:szCs w:val="20"/>
              </w:rPr>
            </w:pPr>
            <w:r w:rsidRPr="000D1A50">
              <w:rPr>
                <w:rFonts w:ascii="Futura Std Condensed Light" w:eastAsia="Calibri" w:hAnsi="Futura Std Condensed Light" w:cs="Calibri"/>
                <w:sz w:val="18"/>
                <w:szCs w:val="20"/>
              </w:rPr>
              <w:lastRenderedPageBreak/>
              <w:t xml:space="preserve">Instituto Estatal para la Educación de los </w:t>
            </w:r>
            <w:r w:rsidRPr="000D1A50">
              <w:rPr>
                <w:rFonts w:ascii="Futura Std Condensed Light" w:eastAsia="Calibri" w:hAnsi="Futura Std Condensed Light" w:cs="Calibri"/>
                <w:sz w:val="18"/>
                <w:szCs w:val="20"/>
              </w:rPr>
              <w:lastRenderedPageBreak/>
              <w:t>Adultos, IEEA.</w:t>
            </w:r>
          </w:p>
        </w:tc>
        <w:tc>
          <w:tcPr>
            <w:tcW w:w="573" w:type="pct"/>
          </w:tcPr>
          <w:p w14:paraId="6DE39EE3" w14:textId="419CE483" w:rsidR="00D0670B" w:rsidRPr="000D1A50" w:rsidRDefault="00D0670B" w:rsidP="00D0670B">
            <w:pPr>
              <w:spacing w:after="0" w:line="240" w:lineRule="auto"/>
              <w:jc w:val="center"/>
              <w:rPr>
                <w:rFonts w:ascii="Futura Std Condensed Light" w:eastAsia="Calibri" w:hAnsi="Futura Std Condensed Light" w:cs="Calibri"/>
                <w:sz w:val="18"/>
                <w:szCs w:val="20"/>
              </w:rPr>
            </w:pPr>
            <w:r w:rsidRPr="000D1A50">
              <w:rPr>
                <w:rFonts w:ascii="Futura Std Condensed Light" w:eastAsia="Calibri" w:hAnsi="Futura Std Condensed Light" w:cs="Calibri"/>
                <w:sz w:val="18"/>
                <w:szCs w:val="20"/>
              </w:rPr>
              <w:lastRenderedPageBreak/>
              <w:t>Porcentaje</w:t>
            </w:r>
          </w:p>
        </w:tc>
        <w:tc>
          <w:tcPr>
            <w:tcW w:w="361" w:type="pct"/>
          </w:tcPr>
          <w:p w14:paraId="505351F1" w14:textId="3FF68A2B" w:rsidR="00D0670B" w:rsidRPr="000D1A50" w:rsidRDefault="00D0670B" w:rsidP="00D0670B">
            <w:pPr>
              <w:spacing w:after="0" w:line="240" w:lineRule="auto"/>
              <w:jc w:val="center"/>
              <w:rPr>
                <w:rFonts w:ascii="Futura Std Condensed Light" w:eastAsia="Calibri" w:hAnsi="Futura Std Condensed Light" w:cs="Calibri"/>
                <w:sz w:val="18"/>
                <w:szCs w:val="20"/>
              </w:rPr>
            </w:pPr>
            <w:r w:rsidRPr="000D1A50">
              <w:rPr>
                <w:rFonts w:ascii="Futura Std Condensed Light" w:eastAsia="Calibri" w:hAnsi="Futura Std Condensed Light" w:cs="Calibri"/>
                <w:sz w:val="18"/>
                <w:szCs w:val="20"/>
              </w:rPr>
              <w:t>7.04</w:t>
            </w:r>
          </w:p>
        </w:tc>
        <w:tc>
          <w:tcPr>
            <w:tcW w:w="360" w:type="pct"/>
          </w:tcPr>
          <w:p w14:paraId="277B5E8C" w14:textId="2D9F29DD" w:rsidR="00D0670B" w:rsidRPr="000D1A50" w:rsidRDefault="00D0670B" w:rsidP="00D0670B">
            <w:pPr>
              <w:spacing w:after="0" w:line="240" w:lineRule="auto"/>
              <w:jc w:val="center"/>
              <w:rPr>
                <w:rFonts w:ascii="Futura Std Condensed Light" w:eastAsia="Calibri" w:hAnsi="Futura Std Condensed Light" w:cs="Calibri"/>
                <w:sz w:val="18"/>
                <w:szCs w:val="20"/>
              </w:rPr>
            </w:pPr>
            <w:r w:rsidRPr="000D1A50">
              <w:rPr>
                <w:rFonts w:ascii="Futura Std Condensed Light" w:eastAsia="Calibri" w:hAnsi="Futura Std Condensed Light" w:cs="Calibri"/>
                <w:sz w:val="18"/>
                <w:szCs w:val="20"/>
              </w:rPr>
              <w:t>7.24</w:t>
            </w:r>
          </w:p>
        </w:tc>
        <w:tc>
          <w:tcPr>
            <w:tcW w:w="360" w:type="pct"/>
          </w:tcPr>
          <w:p w14:paraId="42E6EC16" w14:textId="7E6DDA37" w:rsidR="00D0670B" w:rsidRPr="000D1A50" w:rsidRDefault="00D0670B" w:rsidP="00D0670B">
            <w:pPr>
              <w:spacing w:after="0" w:line="240" w:lineRule="auto"/>
              <w:jc w:val="center"/>
              <w:rPr>
                <w:rFonts w:ascii="Futura Std Condensed Light" w:eastAsia="Calibri" w:hAnsi="Futura Std Condensed Light" w:cs="Calibri"/>
                <w:sz w:val="18"/>
                <w:szCs w:val="20"/>
              </w:rPr>
            </w:pPr>
            <w:r w:rsidRPr="000D1A50">
              <w:rPr>
                <w:rFonts w:ascii="Futura Std Condensed Light" w:eastAsia="Calibri" w:hAnsi="Futura Std Condensed Light" w:cs="Calibri"/>
                <w:sz w:val="18"/>
                <w:szCs w:val="20"/>
              </w:rPr>
              <w:t>7.44</w:t>
            </w:r>
          </w:p>
        </w:tc>
        <w:tc>
          <w:tcPr>
            <w:tcW w:w="360" w:type="pct"/>
          </w:tcPr>
          <w:p w14:paraId="2FFBEFEB" w14:textId="032783C7" w:rsidR="00D0670B" w:rsidRPr="000D1A50" w:rsidRDefault="00D0670B" w:rsidP="00D0670B">
            <w:pPr>
              <w:spacing w:after="0" w:line="240" w:lineRule="auto"/>
              <w:jc w:val="center"/>
              <w:rPr>
                <w:rFonts w:ascii="Futura Std Condensed Light" w:eastAsia="Calibri" w:hAnsi="Futura Std Condensed Light" w:cs="Calibri"/>
                <w:sz w:val="18"/>
                <w:szCs w:val="20"/>
              </w:rPr>
            </w:pPr>
            <w:r w:rsidRPr="000D1A50">
              <w:rPr>
                <w:rFonts w:ascii="Futura Std Condensed Light" w:eastAsia="Calibri" w:hAnsi="Futura Std Condensed Light" w:cs="Calibri"/>
                <w:sz w:val="18"/>
                <w:szCs w:val="20"/>
              </w:rPr>
              <w:t>7.64</w:t>
            </w:r>
          </w:p>
        </w:tc>
        <w:tc>
          <w:tcPr>
            <w:tcW w:w="360" w:type="pct"/>
          </w:tcPr>
          <w:p w14:paraId="6F2FE1BC" w14:textId="62505A23" w:rsidR="00D0670B" w:rsidRPr="000D1A50" w:rsidRDefault="00D0670B" w:rsidP="00D0670B">
            <w:pPr>
              <w:spacing w:after="0" w:line="240" w:lineRule="auto"/>
              <w:jc w:val="center"/>
              <w:rPr>
                <w:rFonts w:ascii="Futura Std Condensed Light" w:eastAsia="Calibri" w:hAnsi="Futura Std Condensed Light" w:cs="Calibri"/>
                <w:sz w:val="18"/>
                <w:szCs w:val="20"/>
              </w:rPr>
            </w:pPr>
            <w:r w:rsidRPr="000D1A50">
              <w:rPr>
                <w:rFonts w:ascii="Futura Std Condensed Light" w:eastAsia="Calibri" w:hAnsi="Futura Std Condensed Light" w:cs="Calibri"/>
                <w:sz w:val="18"/>
                <w:szCs w:val="20"/>
              </w:rPr>
              <w:t>7.84</w:t>
            </w:r>
          </w:p>
        </w:tc>
        <w:tc>
          <w:tcPr>
            <w:tcW w:w="361" w:type="pct"/>
            <w:gridSpan w:val="2"/>
          </w:tcPr>
          <w:p w14:paraId="1AF3E18F" w14:textId="07C4038B" w:rsidR="00D0670B" w:rsidRPr="000D1A50" w:rsidRDefault="00D0670B" w:rsidP="00D0670B">
            <w:pPr>
              <w:spacing w:after="0" w:line="240" w:lineRule="auto"/>
              <w:jc w:val="center"/>
              <w:rPr>
                <w:rFonts w:ascii="Futura Std Condensed Light" w:eastAsia="Calibri" w:hAnsi="Futura Std Condensed Light" w:cs="Calibri"/>
                <w:sz w:val="18"/>
                <w:szCs w:val="20"/>
              </w:rPr>
            </w:pPr>
            <w:r w:rsidRPr="000D1A50">
              <w:rPr>
                <w:rFonts w:ascii="Futura Std Condensed Light" w:eastAsia="Calibri" w:hAnsi="Futura Std Condensed Light" w:cs="Calibri"/>
                <w:sz w:val="18"/>
                <w:szCs w:val="20"/>
              </w:rPr>
              <w:t>8.04</w:t>
            </w:r>
          </w:p>
        </w:tc>
        <w:tc>
          <w:tcPr>
            <w:tcW w:w="386" w:type="pct"/>
          </w:tcPr>
          <w:p w14:paraId="1920F2F5" w14:textId="0E68EA1C" w:rsidR="00D0670B" w:rsidRPr="000D1A50" w:rsidRDefault="00D0670B" w:rsidP="00D0670B">
            <w:pPr>
              <w:spacing w:after="0" w:line="240" w:lineRule="auto"/>
              <w:jc w:val="center"/>
              <w:rPr>
                <w:rFonts w:ascii="Futura Std Condensed Light" w:eastAsia="Calibri" w:hAnsi="Futura Std Condensed Light" w:cs="Calibri"/>
                <w:sz w:val="18"/>
                <w:szCs w:val="20"/>
              </w:rPr>
            </w:pPr>
            <w:r w:rsidRPr="000D1A50">
              <w:rPr>
                <w:rFonts w:ascii="Futura Std Condensed Light" w:eastAsia="Calibri" w:hAnsi="Futura Std Condensed Light" w:cs="Calibri"/>
                <w:sz w:val="18"/>
                <w:szCs w:val="20"/>
              </w:rPr>
              <w:t>8.24</w:t>
            </w:r>
          </w:p>
        </w:tc>
      </w:tr>
      <w:tr w:rsidR="00D0670B" w:rsidRPr="00866C63" w14:paraId="3A2905E5" w14:textId="77777777" w:rsidTr="002C5453">
        <w:trPr>
          <w:trHeight w:val="283"/>
        </w:trPr>
        <w:tc>
          <w:tcPr>
            <w:tcW w:w="652" w:type="pct"/>
          </w:tcPr>
          <w:p w14:paraId="4ACF3C0B" w14:textId="74404F0A" w:rsidR="00D0670B" w:rsidRPr="000D1A50" w:rsidRDefault="00D0670B" w:rsidP="00D0670B">
            <w:pPr>
              <w:spacing w:after="0"/>
              <w:jc w:val="center"/>
              <w:rPr>
                <w:rFonts w:ascii="Futura Std Condensed Light" w:eastAsia="Calibri" w:hAnsi="Futura Std Condensed Light" w:cs="Calibri"/>
                <w:sz w:val="18"/>
                <w:szCs w:val="20"/>
              </w:rPr>
            </w:pPr>
            <w:r>
              <w:rPr>
                <w:rFonts w:ascii="Futura Std Condensed Light" w:eastAsia="Calibri" w:hAnsi="Futura Std Condensed Light" w:cs="Calibri"/>
                <w:sz w:val="18"/>
                <w:szCs w:val="20"/>
              </w:rPr>
              <w:t>Objetivo 9</w:t>
            </w:r>
            <w:r w:rsidRPr="000D1A50">
              <w:rPr>
                <w:rFonts w:ascii="Futura Std Condensed Light" w:eastAsia="Calibri" w:hAnsi="Futura Std Condensed Light" w:cs="Calibri"/>
                <w:sz w:val="18"/>
                <w:szCs w:val="20"/>
              </w:rPr>
              <w:t>. Impulsar el desarrollo de la investigación científica, tecnológica y de la innovación para el incremento de los niveles de competitividad del Estado</w:t>
            </w:r>
          </w:p>
        </w:tc>
        <w:tc>
          <w:tcPr>
            <w:tcW w:w="652" w:type="pct"/>
          </w:tcPr>
          <w:p w14:paraId="0B3F5A99" w14:textId="2A7F66F1" w:rsidR="00D0670B" w:rsidRPr="000D1A50" w:rsidRDefault="00D0670B" w:rsidP="00D0670B">
            <w:pPr>
              <w:spacing w:after="0" w:line="240" w:lineRule="auto"/>
              <w:jc w:val="center"/>
              <w:rPr>
                <w:rFonts w:ascii="Futura Std Condensed Light" w:hAnsi="Futura Std Condensed Light" w:cs="Arial"/>
                <w:color w:val="FF0000"/>
                <w:szCs w:val="20"/>
              </w:rPr>
            </w:pPr>
            <w:r w:rsidRPr="00C15CB2">
              <w:rPr>
                <w:rFonts w:ascii="Futura Std Condensed Light" w:eastAsia="Calibri" w:hAnsi="Futura Std Condensed Light" w:cs="Calibri"/>
                <w:sz w:val="18"/>
                <w:szCs w:val="20"/>
              </w:rPr>
              <w:t>Participación del COQCYT en el financiamiento al Gasto en Investigación, Desarrollo tecnológico e innovación en el Estado*</w:t>
            </w:r>
          </w:p>
        </w:tc>
        <w:tc>
          <w:tcPr>
            <w:tcW w:w="575" w:type="pct"/>
          </w:tcPr>
          <w:p w14:paraId="188368F1" w14:textId="55181E85" w:rsidR="00D0670B" w:rsidRPr="000D1A50" w:rsidRDefault="00D0670B" w:rsidP="00D0670B">
            <w:pPr>
              <w:spacing w:after="0" w:line="240" w:lineRule="auto"/>
              <w:jc w:val="center"/>
              <w:rPr>
                <w:rFonts w:ascii="Futura Std Condensed Light" w:hAnsi="Futura Std Condensed Light" w:cs="Arial"/>
                <w:color w:val="FF0000"/>
                <w:szCs w:val="20"/>
              </w:rPr>
            </w:pPr>
            <w:r w:rsidRPr="00495397">
              <w:rPr>
                <w:rFonts w:ascii="Futura Std Condensed Light" w:eastAsiaTheme="minorHAnsi" w:hAnsi="Futura Std Condensed Light" w:cs="Arial"/>
                <w:sz w:val="18"/>
                <w:szCs w:val="20"/>
                <w:lang w:val="es-MX" w:eastAsia="en-US"/>
              </w:rPr>
              <w:t>Consejo Quintanarroense de Ciencia y Tecnología, COQCYT</w:t>
            </w:r>
          </w:p>
        </w:tc>
        <w:tc>
          <w:tcPr>
            <w:tcW w:w="573" w:type="pct"/>
          </w:tcPr>
          <w:p w14:paraId="045D925D" w14:textId="46619D37" w:rsidR="00D0670B" w:rsidRPr="000D1A50" w:rsidRDefault="00D0670B" w:rsidP="00D0670B">
            <w:pPr>
              <w:spacing w:after="0" w:line="240" w:lineRule="auto"/>
              <w:jc w:val="center"/>
              <w:rPr>
                <w:rFonts w:ascii="Futura Std Condensed Light" w:eastAsia="Calibri" w:hAnsi="Futura Std Condensed Light" w:cs="Calibri"/>
                <w:color w:val="FF0000"/>
                <w:szCs w:val="20"/>
              </w:rPr>
            </w:pPr>
            <w:r w:rsidRPr="00547E5B">
              <w:rPr>
                <w:rFonts w:ascii="Futura Std Condensed Light" w:eastAsiaTheme="minorHAnsi" w:hAnsi="Futura Std Condensed Light" w:cs="Arial"/>
                <w:sz w:val="18"/>
                <w:szCs w:val="20"/>
                <w:lang w:val="es-MX" w:eastAsia="en-US"/>
              </w:rPr>
              <w:t>Porcentaje</w:t>
            </w:r>
          </w:p>
        </w:tc>
        <w:tc>
          <w:tcPr>
            <w:tcW w:w="361" w:type="pct"/>
          </w:tcPr>
          <w:p w14:paraId="14C49EBA" w14:textId="4D59A960" w:rsidR="00D0670B" w:rsidRPr="000D1A50" w:rsidRDefault="00D0670B" w:rsidP="00D0670B">
            <w:pPr>
              <w:spacing w:after="0" w:line="240" w:lineRule="auto"/>
              <w:jc w:val="center"/>
              <w:rPr>
                <w:rFonts w:ascii="Futura Std Condensed Light" w:eastAsia="Calibri" w:hAnsi="Futura Std Condensed Light" w:cs="Calibri"/>
                <w:color w:val="FF0000"/>
                <w:szCs w:val="20"/>
              </w:rPr>
            </w:pPr>
            <w:r>
              <w:rPr>
                <w:rFonts w:ascii="Futura Std Condensed Light" w:eastAsiaTheme="minorHAnsi" w:hAnsi="Futura Std Condensed Light" w:cs="Arial"/>
                <w:sz w:val="18"/>
                <w:szCs w:val="20"/>
                <w:lang w:val="es-MX" w:eastAsia="en-US"/>
              </w:rPr>
              <w:t>3.00</w:t>
            </w:r>
          </w:p>
        </w:tc>
        <w:tc>
          <w:tcPr>
            <w:tcW w:w="360" w:type="pct"/>
          </w:tcPr>
          <w:p w14:paraId="560A0E1A" w14:textId="5363995D" w:rsidR="00D0670B" w:rsidRPr="000D1A50" w:rsidRDefault="00D0670B" w:rsidP="00D0670B">
            <w:pPr>
              <w:spacing w:after="0" w:line="240" w:lineRule="auto"/>
              <w:jc w:val="center"/>
              <w:rPr>
                <w:rFonts w:ascii="Futura Std Condensed Light" w:eastAsia="Calibri" w:hAnsi="Futura Std Condensed Light" w:cs="Calibri"/>
                <w:color w:val="FF0000"/>
                <w:szCs w:val="20"/>
              </w:rPr>
            </w:pPr>
            <w:r>
              <w:rPr>
                <w:rFonts w:ascii="Futura Std Condensed Light" w:eastAsiaTheme="minorHAnsi" w:hAnsi="Futura Std Condensed Light" w:cs="Arial"/>
                <w:sz w:val="18"/>
                <w:szCs w:val="20"/>
                <w:lang w:val="es-MX" w:eastAsia="en-US"/>
              </w:rPr>
              <w:t>3.16</w:t>
            </w:r>
          </w:p>
        </w:tc>
        <w:tc>
          <w:tcPr>
            <w:tcW w:w="360" w:type="pct"/>
          </w:tcPr>
          <w:p w14:paraId="5ACBCEB0" w14:textId="076A03FC" w:rsidR="00D0670B" w:rsidRPr="000D1A50" w:rsidRDefault="00D0670B" w:rsidP="00D0670B">
            <w:pPr>
              <w:spacing w:after="0" w:line="240" w:lineRule="auto"/>
              <w:jc w:val="center"/>
              <w:rPr>
                <w:rFonts w:ascii="Futura Std Condensed Light" w:eastAsia="Calibri" w:hAnsi="Futura Std Condensed Light" w:cs="Calibri"/>
                <w:color w:val="FF0000"/>
                <w:szCs w:val="20"/>
              </w:rPr>
            </w:pPr>
            <w:r>
              <w:rPr>
                <w:rFonts w:ascii="Futura Std Condensed Light" w:eastAsiaTheme="minorHAnsi" w:hAnsi="Futura Std Condensed Light" w:cs="Arial"/>
                <w:sz w:val="18"/>
                <w:szCs w:val="20"/>
                <w:lang w:val="es-MX" w:eastAsia="en-US"/>
              </w:rPr>
              <w:t>4.38</w:t>
            </w:r>
          </w:p>
        </w:tc>
        <w:tc>
          <w:tcPr>
            <w:tcW w:w="360" w:type="pct"/>
          </w:tcPr>
          <w:p w14:paraId="57C52E92" w14:textId="2C79E47D" w:rsidR="00D0670B" w:rsidRPr="000D1A50" w:rsidRDefault="00D0670B" w:rsidP="00D0670B">
            <w:pPr>
              <w:spacing w:after="0" w:line="240" w:lineRule="auto"/>
              <w:jc w:val="center"/>
              <w:rPr>
                <w:rFonts w:ascii="Futura Std Condensed Light" w:eastAsia="Calibri" w:hAnsi="Futura Std Condensed Light" w:cs="Calibri"/>
                <w:color w:val="FF0000"/>
                <w:szCs w:val="20"/>
              </w:rPr>
            </w:pPr>
            <w:r>
              <w:rPr>
                <w:rFonts w:ascii="Futura Std Condensed Light" w:eastAsiaTheme="minorHAnsi" w:hAnsi="Futura Std Condensed Light" w:cs="Arial"/>
                <w:sz w:val="18"/>
                <w:szCs w:val="20"/>
                <w:lang w:val="es-MX" w:eastAsia="en-US"/>
              </w:rPr>
              <w:t>11.29</w:t>
            </w:r>
          </w:p>
        </w:tc>
        <w:tc>
          <w:tcPr>
            <w:tcW w:w="360" w:type="pct"/>
          </w:tcPr>
          <w:p w14:paraId="429881D0" w14:textId="7A439CA7" w:rsidR="00D0670B" w:rsidRPr="000D1A50" w:rsidRDefault="00D0670B" w:rsidP="00D0670B">
            <w:pPr>
              <w:spacing w:after="0" w:line="240" w:lineRule="auto"/>
              <w:jc w:val="center"/>
              <w:rPr>
                <w:rFonts w:ascii="Futura Std Condensed Light" w:eastAsia="Calibri" w:hAnsi="Futura Std Condensed Light" w:cs="Calibri"/>
                <w:color w:val="FF0000"/>
                <w:szCs w:val="20"/>
              </w:rPr>
            </w:pPr>
            <w:r>
              <w:rPr>
                <w:rFonts w:ascii="Futura Std Condensed Light" w:eastAsiaTheme="minorHAnsi" w:hAnsi="Futura Std Condensed Light" w:cs="Arial"/>
                <w:sz w:val="18"/>
                <w:szCs w:val="20"/>
                <w:lang w:val="es-MX" w:eastAsia="en-US"/>
              </w:rPr>
              <w:t>22.59</w:t>
            </w:r>
          </w:p>
        </w:tc>
        <w:tc>
          <w:tcPr>
            <w:tcW w:w="361" w:type="pct"/>
            <w:gridSpan w:val="2"/>
          </w:tcPr>
          <w:p w14:paraId="6FB8DC2E" w14:textId="46F21E03" w:rsidR="00D0670B" w:rsidRPr="000D1A50" w:rsidRDefault="00D0670B" w:rsidP="00D0670B">
            <w:pPr>
              <w:spacing w:after="0" w:line="240" w:lineRule="auto"/>
              <w:jc w:val="center"/>
              <w:rPr>
                <w:rFonts w:ascii="Futura Std Condensed Light" w:eastAsia="Calibri" w:hAnsi="Futura Std Condensed Light" w:cs="Calibri"/>
                <w:color w:val="FF0000"/>
                <w:szCs w:val="20"/>
              </w:rPr>
            </w:pPr>
            <w:r>
              <w:rPr>
                <w:rFonts w:ascii="Futura Std Condensed Light" w:eastAsiaTheme="minorHAnsi" w:hAnsi="Futura Std Condensed Light" w:cs="Arial"/>
                <w:sz w:val="18"/>
                <w:szCs w:val="20"/>
                <w:lang w:val="es-MX" w:eastAsia="en-US"/>
              </w:rPr>
              <w:t>26.20</w:t>
            </w:r>
          </w:p>
        </w:tc>
        <w:tc>
          <w:tcPr>
            <w:tcW w:w="386" w:type="pct"/>
          </w:tcPr>
          <w:p w14:paraId="21E3C5D3" w14:textId="413DBDF4" w:rsidR="00D0670B" w:rsidRPr="000D1A50" w:rsidRDefault="00D0670B" w:rsidP="00D0670B">
            <w:pPr>
              <w:spacing w:after="0" w:line="240" w:lineRule="auto"/>
              <w:jc w:val="center"/>
              <w:rPr>
                <w:rFonts w:ascii="Futura Std Condensed Light" w:eastAsia="Calibri" w:hAnsi="Futura Std Condensed Light" w:cs="Calibri"/>
                <w:color w:val="FF0000"/>
                <w:szCs w:val="20"/>
              </w:rPr>
            </w:pPr>
            <w:r>
              <w:rPr>
                <w:rFonts w:ascii="Futura Std Condensed Light" w:eastAsiaTheme="minorHAnsi" w:hAnsi="Futura Std Condensed Light" w:cs="Arial"/>
                <w:sz w:val="18"/>
                <w:szCs w:val="20"/>
                <w:lang w:val="es-MX" w:eastAsia="en-US"/>
              </w:rPr>
              <w:t>26.72</w:t>
            </w:r>
          </w:p>
        </w:tc>
      </w:tr>
      <w:tr w:rsidR="00D0670B" w:rsidRPr="00866C63" w14:paraId="031DC3A8" w14:textId="77777777" w:rsidTr="00375DE5">
        <w:trPr>
          <w:trHeight w:val="283"/>
        </w:trPr>
        <w:tc>
          <w:tcPr>
            <w:tcW w:w="652" w:type="pct"/>
          </w:tcPr>
          <w:p w14:paraId="4CB9AFC0" w14:textId="10AE9DCB" w:rsidR="00D0670B" w:rsidRPr="000D1A50" w:rsidRDefault="00D0670B" w:rsidP="00D0670B">
            <w:pPr>
              <w:spacing w:after="0"/>
              <w:jc w:val="center"/>
              <w:rPr>
                <w:rFonts w:ascii="Futura Std Condensed Light" w:eastAsia="Calibri" w:hAnsi="Futura Std Condensed Light" w:cs="Calibri"/>
                <w:sz w:val="18"/>
                <w:szCs w:val="20"/>
              </w:rPr>
            </w:pPr>
            <w:r>
              <w:rPr>
                <w:rFonts w:ascii="Futura Std Condensed Light" w:eastAsia="Calibri" w:hAnsi="Futura Std Condensed Light" w:cs="Calibri"/>
                <w:sz w:val="18"/>
                <w:szCs w:val="20"/>
              </w:rPr>
              <w:t>Estrategia 9</w:t>
            </w:r>
            <w:r w:rsidRPr="000D1A50">
              <w:rPr>
                <w:rFonts w:ascii="Futura Std Condensed Light" w:eastAsia="Calibri" w:hAnsi="Futura Std Condensed Light" w:cs="Calibri"/>
                <w:sz w:val="18"/>
                <w:szCs w:val="20"/>
              </w:rPr>
              <w:t xml:space="preserve">. Promover el fortalecimiento del Sistema Estatal Científico, Tecnológico y de </w:t>
            </w:r>
            <w:r w:rsidRPr="000D1A50">
              <w:rPr>
                <w:rFonts w:ascii="Futura Std Condensed Light" w:eastAsia="Calibri" w:hAnsi="Futura Std Condensed Light" w:cs="Calibri"/>
                <w:sz w:val="18"/>
                <w:szCs w:val="20"/>
              </w:rPr>
              <w:lastRenderedPageBreak/>
              <w:t>Innovación del Estado.</w:t>
            </w:r>
          </w:p>
        </w:tc>
        <w:tc>
          <w:tcPr>
            <w:tcW w:w="652" w:type="pct"/>
            <w:vAlign w:val="top"/>
          </w:tcPr>
          <w:p w14:paraId="3E4908FA" w14:textId="77777777" w:rsidR="00D0670B" w:rsidRPr="000D1A50" w:rsidRDefault="00D0670B" w:rsidP="00D0670B">
            <w:pPr>
              <w:spacing w:after="0" w:line="240" w:lineRule="auto"/>
              <w:jc w:val="center"/>
              <w:rPr>
                <w:rFonts w:ascii="Futura Std Condensed Light" w:eastAsia="Calibri" w:hAnsi="Futura Std Condensed Light" w:cs="Calibri"/>
                <w:color w:val="FF0000"/>
                <w:szCs w:val="20"/>
              </w:rPr>
            </w:pPr>
          </w:p>
          <w:p w14:paraId="70CD8109" w14:textId="77777777" w:rsidR="00D0670B" w:rsidRPr="000D1A50" w:rsidRDefault="00D0670B" w:rsidP="00D0670B">
            <w:pPr>
              <w:spacing w:after="0" w:line="240" w:lineRule="auto"/>
              <w:jc w:val="center"/>
              <w:rPr>
                <w:rFonts w:ascii="Futura Std Condensed Light" w:eastAsia="Calibri" w:hAnsi="Futura Std Condensed Light" w:cs="Calibri"/>
                <w:color w:val="FF0000"/>
                <w:szCs w:val="20"/>
              </w:rPr>
            </w:pPr>
          </w:p>
          <w:p w14:paraId="16DC2D2F" w14:textId="77777777" w:rsidR="00D0670B" w:rsidRPr="000D1A50" w:rsidRDefault="00D0670B" w:rsidP="00D0670B">
            <w:pPr>
              <w:spacing w:after="0" w:line="240" w:lineRule="auto"/>
              <w:jc w:val="center"/>
              <w:rPr>
                <w:rFonts w:ascii="Futura Std Condensed Light" w:eastAsia="Calibri" w:hAnsi="Futura Std Condensed Light" w:cs="Calibri"/>
                <w:color w:val="FF0000"/>
                <w:szCs w:val="20"/>
              </w:rPr>
            </w:pPr>
          </w:p>
          <w:p w14:paraId="251343B5" w14:textId="759F11CC" w:rsidR="00D0670B" w:rsidRPr="000D1A50" w:rsidRDefault="00D0670B" w:rsidP="00D0670B">
            <w:pPr>
              <w:spacing w:after="0" w:line="240" w:lineRule="auto"/>
              <w:jc w:val="center"/>
              <w:rPr>
                <w:rFonts w:ascii="Futura Std Condensed Light" w:eastAsia="Calibri" w:hAnsi="Futura Std Condensed Light" w:cs="Calibri"/>
                <w:color w:val="FF0000"/>
                <w:szCs w:val="20"/>
              </w:rPr>
            </w:pPr>
            <w:r w:rsidRPr="004A2E47">
              <w:rPr>
                <w:rFonts w:ascii="Futura Std Condensed Light" w:eastAsia="Calibri" w:hAnsi="Futura Std Condensed Light" w:cs="Calibri"/>
                <w:sz w:val="18"/>
                <w:szCs w:val="22"/>
              </w:rPr>
              <w:t>Proporción de becarios quintanarroenses en Programas Nacionales de Posgrados de calidad</w:t>
            </w:r>
          </w:p>
          <w:p w14:paraId="0A984985" w14:textId="1E7F141C" w:rsidR="00D0670B" w:rsidRPr="000D1A50" w:rsidRDefault="00D0670B" w:rsidP="00D0670B">
            <w:pPr>
              <w:spacing w:after="0" w:line="240" w:lineRule="auto"/>
              <w:jc w:val="center"/>
              <w:rPr>
                <w:rFonts w:ascii="Futura Std Condensed Light" w:eastAsia="Calibri" w:hAnsi="Futura Std Condensed Light" w:cs="Calibri"/>
                <w:color w:val="FF0000"/>
                <w:szCs w:val="20"/>
              </w:rPr>
            </w:pPr>
            <w:r w:rsidRPr="000D1A50">
              <w:rPr>
                <w:rFonts w:ascii="Futura Std Condensed Light" w:eastAsia="Calibri" w:hAnsi="Futura Std Condensed Light" w:cs="Calibri"/>
                <w:color w:val="FF0000"/>
                <w:szCs w:val="20"/>
              </w:rPr>
              <w:lastRenderedPageBreak/>
              <w:t xml:space="preserve">. </w:t>
            </w:r>
          </w:p>
        </w:tc>
        <w:tc>
          <w:tcPr>
            <w:tcW w:w="575" w:type="pct"/>
          </w:tcPr>
          <w:p w14:paraId="0F4934F5" w14:textId="3D0A9A83" w:rsidR="00D0670B" w:rsidRPr="000D1A50" w:rsidRDefault="00D0670B" w:rsidP="00D0670B">
            <w:pPr>
              <w:spacing w:after="0" w:line="240" w:lineRule="auto"/>
              <w:jc w:val="center"/>
              <w:rPr>
                <w:rFonts w:ascii="Futura Std Condensed Light" w:eastAsia="Calibri" w:hAnsi="Futura Std Condensed Light" w:cs="Calibri"/>
                <w:color w:val="FF0000"/>
                <w:szCs w:val="20"/>
              </w:rPr>
            </w:pPr>
            <w:r w:rsidRPr="00495397">
              <w:rPr>
                <w:rFonts w:ascii="Futura Std Condensed Light" w:eastAsiaTheme="minorHAnsi" w:hAnsi="Futura Std Condensed Light" w:cs="Arial"/>
                <w:sz w:val="18"/>
                <w:szCs w:val="20"/>
                <w:lang w:val="es-MX" w:eastAsia="en-US"/>
              </w:rPr>
              <w:lastRenderedPageBreak/>
              <w:t>Consejo Quintanarroense de Ciencia y Tecnología, COQCYT</w:t>
            </w:r>
          </w:p>
        </w:tc>
        <w:tc>
          <w:tcPr>
            <w:tcW w:w="573" w:type="pct"/>
          </w:tcPr>
          <w:p w14:paraId="068152FB" w14:textId="6ED8C7C6" w:rsidR="00D0670B" w:rsidRPr="000D1A50" w:rsidRDefault="00D0670B" w:rsidP="00D0670B">
            <w:pPr>
              <w:spacing w:after="0" w:line="240" w:lineRule="auto"/>
              <w:jc w:val="center"/>
              <w:rPr>
                <w:rFonts w:ascii="Futura Std Condensed Light" w:eastAsia="Calibri" w:hAnsi="Futura Std Condensed Light" w:cs="Calibri"/>
                <w:color w:val="FF0000"/>
                <w:szCs w:val="20"/>
              </w:rPr>
            </w:pPr>
            <w:r w:rsidRPr="00547E5B">
              <w:rPr>
                <w:rFonts w:ascii="Futura Std Condensed Light" w:eastAsiaTheme="minorHAnsi" w:hAnsi="Futura Std Condensed Light" w:cs="Arial"/>
                <w:sz w:val="18"/>
                <w:szCs w:val="20"/>
                <w:lang w:val="es-MX" w:eastAsia="en-US"/>
              </w:rPr>
              <w:t>Porcentaje</w:t>
            </w:r>
          </w:p>
        </w:tc>
        <w:tc>
          <w:tcPr>
            <w:tcW w:w="361" w:type="pct"/>
          </w:tcPr>
          <w:p w14:paraId="2A590E99" w14:textId="356D1192" w:rsidR="00D0670B" w:rsidRPr="000D1A50" w:rsidRDefault="00D0670B" w:rsidP="00D0670B">
            <w:pPr>
              <w:spacing w:after="0" w:line="240" w:lineRule="auto"/>
              <w:jc w:val="center"/>
              <w:rPr>
                <w:rFonts w:ascii="Futura Std Condensed Light" w:eastAsia="Calibri" w:hAnsi="Futura Std Condensed Light" w:cs="Calibri"/>
                <w:color w:val="FF0000"/>
                <w:szCs w:val="20"/>
              </w:rPr>
            </w:pPr>
            <w:r>
              <w:rPr>
                <w:rFonts w:ascii="Futura Std Condensed Light" w:eastAsiaTheme="minorHAnsi" w:hAnsi="Futura Std Condensed Light" w:cs="Arial"/>
                <w:sz w:val="18"/>
                <w:szCs w:val="20"/>
                <w:lang w:val="es-MX" w:eastAsia="en-US"/>
              </w:rPr>
              <w:t>0.56</w:t>
            </w:r>
          </w:p>
        </w:tc>
        <w:tc>
          <w:tcPr>
            <w:tcW w:w="360" w:type="pct"/>
          </w:tcPr>
          <w:p w14:paraId="3591CBE4" w14:textId="3AABE12E" w:rsidR="00D0670B" w:rsidRPr="000D1A50" w:rsidRDefault="00D0670B" w:rsidP="00D0670B">
            <w:pPr>
              <w:spacing w:after="0" w:line="240" w:lineRule="auto"/>
              <w:jc w:val="center"/>
              <w:rPr>
                <w:rFonts w:ascii="Futura Std Condensed Light" w:eastAsia="Calibri" w:hAnsi="Futura Std Condensed Light" w:cs="Calibri"/>
                <w:color w:val="FF0000"/>
                <w:szCs w:val="20"/>
              </w:rPr>
            </w:pPr>
            <w:r>
              <w:rPr>
                <w:rFonts w:ascii="Futura Std Condensed Light" w:eastAsiaTheme="minorHAnsi" w:hAnsi="Futura Std Condensed Light" w:cs="Arial"/>
                <w:sz w:val="18"/>
                <w:szCs w:val="20"/>
                <w:lang w:val="es-MX" w:eastAsia="en-US"/>
              </w:rPr>
              <w:t>0.78</w:t>
            </w:r>
          </w:p>
        </w:tc>
        <w:tc>
          <w:tcPr>
            <w:tcW w:w="360" w:type="pct"/>
          </w:tcPr>
          <w:p w14:paraId="3547A82B" w14:textId="32298683" w:rsidR="00D0670B" w:rsidRPr="000D1A50" w:rsidRDefault="00D0670B" w:rsidP="00D0670B">
            <w:pPr>
              <w:spacing w:after="0" w:line="240" w:lineRule="auto"/>
              <w:jc w:val="center"/>
              <w:rPr>
                <w:rFonts w:ascii="Futura Std Condensed Light" w:eastAsia="Calibri" w:hAnsi="Futura Std Condensed Light" w:cs="Calibri"/>
                <w:color w:val="FF0000"/>
                <w:szCs w:val="20"/>
              </w:rPr>
            </w:pPr>
            <w:r>
              <w:rPr>
                <w:rFonts w:ascii="Futura Std Condensed Light" w:eastAsiaTheme="minorHAnsi" w:hAnsi="Futura Std Condensed Light" w:cs="Arial"/>
                <w:sz w:val="18"/>
                <w:szCs w:val="20"/>
                <w:lang w:val="es-MX" w:eastAsia="en-US"/>
              </w:rPr>
              <w:t>0.87</w:t>
            </w:r>
          </w:p>
        </w:tc>
        <w:tc>
          <w:tcPr>
            <w:tcW w:w="360" w:type="pct"/>
          </w:tcPr>
          <w:p w14:paraId="190B5842" w14:textId="4934FB65" w:rsidR="00D0670B" w:rsidRPr="000D1A50" w:rsidRDefault="00D0670B" w:rsidP="00D0670B">
            <w:pPr>
              <w:spacing w:after="0" w:line="240" w:lineRule="auto"/>
              <w:jc w:val="center"/>
              <w:rPr>
                <w:rFonts w:ascii="Futura Std Condensed Light" w:eastAsia="Calibri" w:hAnsi="Futura Std Condensed Light" w:cs="Calibri"/>
                <w:color w:val="FF0000"/>
                <w:szCs w:val="20"/>
              </w:rPr>
            </w:pPr>
            <w:r>
              <w:rPr>
                <w:rFonts w:ascii="Futura Std Condensed Light" w:eastAsiaTheme="minorHAnsi" w:hAnsi="Futura Std Condensed Light" w:cs="Arial"/>
                <w:sz w:val="18"/>
                <w:szCs w:val="20"/>
                <w:lang w:val="es-MX" w:eastAsia="en-US"/>
              </w:rPr>
              <w:t>0.92</w:t>
            </w:r>
          </w:p>
        </w:tc>
        <w:tc>
          <w:tcPr>
            <w:tcW w:w="360" w:type="pct"/>
          </w:tcPr>
          <w:p w14:paraId="63459F43" w14:textId="02C7B2A3" w:rsidR="00D0670B" w:rsidRPr="000D1A50" w:rsidRDefault="00D0670B" w:rsidP="00D0670B">
            <w:pPr>
              <w:spacing w:after="0" w:line="240" w:lineRule="auto"/>
              <w:jc w:val="center"/>
              <w:rPr>
                <w:rFonts w:ascii="Futura Std Condensed Light" w:eastAsia="Calibri" w:hAnsi="Futura Std Condensed Light" w:cs="Calibri"/>
                <w:color w:val="FF0000"/>
                <w:szCs w:val="20"/>
              </w:rPr>
            </w:pPr>
            <w:r>
              <w:rPr>
                <w:rFonts w:ascii="Futura Std Condensed Light" w:eastAsiaTheme="minorHAnsi" w:hAnsi="Futura Std Condensed Light" w:cs="Arial"/>
                <w:sz w:val="18"/>
                <w:szCs w:val="20"/>
                <w:lang w:val="es-MX" w:eastAsia="en-US"/>
              </w:rPr>
              <w:t>0.97</w:t>
            </w:r>
          </w:p>
        </w:tc>
        <w:tc>
          <w:tcPr>
            <w:tcW w:w="361" w:type="pct"/>
            <w:gridSpan w:val="2"/>
          </w:tcPr>
          <w:p w14:paraId="00FBAB87" w14:textId="4DCAF863" w:rsidR="00D0670B" w:rsidRPr="000D1A50" w:rsidRDefault="00D0670B" w:rsidP="00D0670B">
            <w:pPr>
              <w:spacing w:after="0" w:line="240" w:lineRule="auto"/>
              <w:jc w:val="center"/>
              <w:rPr>
                <w:rFonts w:ascii="Futura Std Condensed Light" w:eastAsia="Calibri" w:hAnsi="Futura Std Condensed Light" w:cs="Calibri"/>
                <w:color w:val="FF0000"/>
                <w:szCs w:val="20"/>
              </w:rPr>
            </w:pPr>
            <w:r>
              <w:rPr>
                <w:rFonts w:ascii="Futura Std Condensed Light" w:eastAsiaTheme="minorHAnsi" w:hAnsi="Futura Std Condensed Light" w:cs="Arial"/>
                <w:sz w:val="18"/>
                <w:szCs w:val="20"/>
                <w:lang w:val="es-MX" w:eastAsia="en-US"/>
              </w:rPr>
              <w:t>0.57</w:t>
            </w:r>
          </w:p>
        </w:tc>
        <w:tc>
          <w:tcPr>
            <w:tcW w:w="386" w:type="pct"/>
          </w:tcPr>
          <w:p w14:paraId="51F019E2" w14:textId="24228FD8" w:rsidR="00D0670B" w:rsidRPr="000D1A50" w:rsidRDefault="00D0670B" w:rsidP="00D0670B">
            <w:pPr>
              <w:spacing w:after="0" w:line="240" w:lineRule="auto"/>
              <w:jc w:val="center"/>
              <w:rPr>
                <w:rFonts w:ascii="Futura Std Condensed Light" w:eastAsia="Calibri" w:hAnsi="Futura Std Condensed Light" w:cs="Calibri"/>
                <w:color w:val="FF0000"/>
                <w:szCs w:val="20"/>
              </w:rPr>
            </w:pPr>
            <w:r>
              <w:rPr>
                <w:rFonts w:ascii="Futura Std Condensed Light" w:eastAsiaTheme="minorHAnsi" w:hAnsi="Futura Std Condensed Light" w:cs="Arial"/>
                <w:sz w:val="18"/>
                <w:szCs w:val="20"/>
                <w:lang w:val="es-MX" w:eastAsia="en-US"/>
              </w:rPr>
              <w:t>0.58</w:t>
            </w:r>
          </w:p>
        </w:tc>
      </w:tr>
      <w:tr w:rsidR="00D0670B" w:rsidRPr="00866C63" w14:paraId="11A2C136" w14:textId="77777777" w:rsidTr="002C5453">
        <w:trPr>
          <w:trHeight w:val="283"/>
        </w:trPr>
        <w:tc>
          <w:tcPr>
            <w:tcW w:w="652" w:type="pct"/>
          </w:tcPr>
          <w:p w14:paraId="083BC67B" w14:textId="4F42BFB4" w:rsidR="00D0670B" w:rsidRPr="000D1A50" w:rsidRDefault="00D0670B" w:rsidP="00D0670B">
            <w:pPr>
              <w:spacing w:after="0"/>
              <w:jc w:val="center"/>
              <w:rPr>
                <w:rFonts w:ascii="Futura Std Condensed Light" w:eastAsia="Calibri" w:hAnsi="Futura Std Condensed Light" w:cs="Calibri"/>
                <w:sz w:val="18"/>
                <w:szCs w:val="20"/>
              </w:rPr>
            </w:pPr>
            <w:r>
              <w:rPr>
                <w:rFonts w:ascii="Futura Std Condensed Light" w:eastAsia="Calibri" w:hAnsi="Futura Std Condensed Light" w:cs="Calibri"/>
                <w:sz w:val="18"/>
                <w:szCs w:val="20"/>
              </w:rPr>
              <w:t>Objetivo 10</w:t>
            </w:r>
            <w:r w:rsidRPr="000D1A50">
              <w:rPr>
                <w:rFonts w:ascii="Futura Std Condensed Light" w:eastAsia="Calibri" w:hAnsi="Futura Std Condensed Light" w:cs="Calibri"/>
                <w:sz w:val="18"/>
                <w:szCs w:val="20"/>
              </w:rPr>
              <w:t>. Impulsar la adquisición de conocimientos, habilidades y destrezas relacionadas con un oficio calificado que permita mejorar la calidad de vida de las personas mediante la capacitación, evaluación y certificación.</w:t>
            </w:r>
          </w:p>
          <w:p w14:paraId="3DC2617A" w14:textId="1659A5D6" w:rsidR="00D0670B" w:rsidRPr="000D1A50" w:rsidRDefault="00D0670B" w:rsidP="00D0670B">
            <w:pPr>
              <w:spacing w:after="0"/>
              <w:jc w:val="center"/>
              <w:rPr>
                <w:rFonts w:ascii="Futura Std Condensed Light" w:eastAsia="Calibri" w:hAnsi="Futura Std Condensed Light" w:cs="Calibri"/>
                <w:sz w:val="18"/>
                <w:szCs w:val="20"/>
              </w:rPr>
            </w:pPr>
          </w:p>
        </w:tc>
        <w:tc>
          <w:tcPr>
            <w:tcW w:w="652" w:type="pct"/>
          </w:tcPr>
          <w:p w14:paraId="65226A06" w14:textId="7DECE122" w:rsidR="00D0670B" w:rsidRPr="000D1A50" w:rsidRDefault="00F634E8" w:rsidP="00F634E8">
            <w:pPr>
              <w:spacing w:after="0" w:line="240" w:lineRule="auto"/>
              <w:jc w:val="center"/>
              <w:rPr>
                <w:rFonts w:ascii="Futura Std Condensed Light" w:eastAsia="Calibri" w:hAnsi="Futura Std Condensed Light" w:cs="Calibri"/>
                <w:color w:val="FF0000"/>
                <w:szCs w:val="20"/>
              </w:rPr>
            </w:pPr>
            <w:r>
              <w:rPr>
                <w:rFonts w:ascii="Futura Std Condensed Light" w:eastAsia="Calibri" w:hAnsi="Futura Std Condensed Light" w:cs="Calibri"/>
                <w:sz w:val="18"/>
                <w:szCs w:val="20"/>
              </w:rPr>
              <w:t>Porcentaje de población</w:t>
            </w:r>
            <w:r w:rsidR="00D0670B" w:rsidRPr="007518CA">
              <w:rPr>
                <w:rFonts w:ascii="Futura Std Condensed Light" w:eastAsia="Calibri" w:hAnsi="Futura Std Condensed Light" w:cs="Calibri"/>
                <w:sz w:val="18"/>
                <w:szCs w:val="20"/>
              </w:rPr>
              <w:t xml:space="preserve"> de 15 a 65 años</w:t>
            </w:r>
            <w:r>
              <w:rPr>
                <w:rFonts w:ascii="Futura Std Condensed Light" w:eastAsia="Calibri" w:hAnsi="Futura Std Condensed Light" w:cs="Calibri"/>
                <w:sz w:val="18"/>
                <w:szCs w:val="20"/>
              </w:rPr>
              <w:t xml:space="preserve"> y más,</w:t>
            </w:r>
            <w:r w:rsidR="00D0670B" w:rsidRPr="007518CA">
              <w:rPr>
                <w:rFonts w:ascii="Futura Std Condensed Light" w:eastAsia="Calibri" w:hAnsi="Futura Std Condensed Light" w:cs="Calibri"/>
                <w:sz w:val="18"/>
                <w:szCs w:val="20"/>
              </w:rPr>
              <w:t xml:space="preserve"> </w:t>
            </w:r>
            <w:r>
              <w:rPr>
                <w:rFonts w:ascii="Futura Std Condensed Light" w:eastAsia="Calibri" w:hAnsi="Futura Std Condensed Light" w:cs="Calibri"/>
                <w:sz w:val="18"/>
                <w:szCs w:val="20"/>
              </w:rPr>
              <w:t>egresados en los programas de capacitación y/o proceso</w:t>
            </w:r>
            <w:r w:rsidR="0071411A">
              <w:rPr>
                <w:rFonts w:ascii="Futura Std Condensed Light" w:eastAsia="Calibri" w:hAnsi="Futura Std Condensed Light" w:cs="Calibri"/>
                <w:sz w:val="18"/>
                <w:szCs w:val="20"/>
              </w:rPr>
              <w:t>s</w:t>
            </w:r>
            <w:r>
              <w:rPr>
                <w:rFonts w:ascii="Futura Std Condensed Light" w:eastAsia="Calibri" w:hAnsi="Futura Std Condensed Light" w:cs="Calibri"/>
                <w:sz w:val="18"/>
                <w:szCs w:val="20"/>
              </w:rPr>
              <w:t xml:space="preserve"> de evaluación, obtienen su documento oficial. </w:t>
            </w:r>
          </w:p>
        </w:tc>
        <w:tc>
          <w:tcPr>
            <w:tcW w:w="575" w:type="pct"/>
          </w:tcPr>
          <w:p w14:paraId="744A46D0" w14:textId="0F81B5C5" w:rsidR="00D0670B" w:rsidRPr="000D1A50" w:rsidRDefault="00D0670B" w:rsidP="00D0670B">
            <w:pPr>
              <w:spacing w:after="0" w:line="240" w:lineRule="auto"/>
              <w:jc w:val="center"/>
              <w:rPr>
                <w:rFonts w:ascii="Futura Std Condensed Light" w:eastAsia="Calibri" w:hAnsi="Futura Std Condensed Light" w:cs="Calibri"/>
                <w:color w:val="FF0000"/>
                <w:szCs w:val="20"/>
              </w:rPr>
            </w:pPr>
            <w:r w:rsidRPr="00687F34">
              <w:rPr>
                <w:rFonts w:ascii="Futura Std Condensed Light" w:eastAsia="Calibri" w:hAnsi="Futura Std Condensed Light" w:cs="Calibri"/>
                <w:sz w:val="18"/>
                <w:szCs w:val="20"/>
              </w:rPr>
              <w:t>Instituto de Capacitación para el Trabajo, ICAT. Proyecciones de Población del Consejo Nacional de Población, CONAPO. Subdirección de Información y Estadística del Instituto Nacional para la Educación de los Adultos, INEA..</w:t>
            </w:r>
          </w:p>
        </w:tc>
        <w:tc>
          <w:tcPr>
            <w:tcW w:w="573" w:type="pct"/>
          </w:tcPr>
          <w:p w14:paraId="608B8336" w14:textId="1B37C694" w:rsidR="00D0670B" w:rsidRPr="000D1A50" w:rsidRDefault="00D0670B" w:rsidP="00D0670B">
            <w:pPr>
              <w:spacing w:after="0" w:line="240" w:lineRule="auto"/>
              <w:jc w:val="center"/>
              <w:rPr>
                <w:rFonts w:ascii="Futura Std Condensed Light" w:eastAsia="Calibri" w:hAnsi="Futura Std Condensed Light" w:cs="Calibri"/>
                <w:color w:val="FF0000"/>
                <w:szCs w:val="20"/>
              </w:rPr>
            </w:pPr>
            <w:r w:rsidRPr="000201E8">
              <w:rPr>
                <w:rFonts w:ascii="Futura Std Condensed Light" w:eastAsia="Calibri" w:hAnsi="Futura Std Condensed Light" w:cs="Calibri"/>
                <w:sz w:val="18"/>
                <w:szCs w:val="20"/>
              </w:rPr>
              <w:t>Porcentaje</w:t>
            </w:r>
          </w:p>
        </w:tc>
        <w:tc>
          <w:tcPr>
            <w:tcW w:w="361" w:type="pct"/>
          </w:tcPr>
          <w:p w14:paraId="63358CF3" w14:textId="29F18099" w:rsidR="00D0670B" w:rsidRPr="000D1A50" w:rsidRDefault="00D0670B" w:rsidP="00D0670B">
            <w:pPr>
              <w:spacing w:after="0" w:line="240" w:lineRule="auto"/>
              <w:jc w:val="center"/>
              <w:rPr>
                <w:rFonts w:ascii="Futura Std Condensed Light" w:eastAsia="Calibri" w:hAnsi="Futura Std Condensed Light" w:cs="Calibri"/>
                <w:color w:val="FF0000"/>
                <w:szCs w:val="20"/>
              </w:rPr>
            </w:pPr>
            <w:r>
              <w:rPr>
                <w:rFonts w:ascii="Futura Std Condensed Light" w:eastAsia="Calibri" w:hAnsi="Futura Std Condensed Light" w:cs="Calibri"/>
                <w:sz w:val="18"/>
                <w:szCs w:val="18"/>
              </w:rPr>
              <w:t>2.71</w:t>
            </w:r>
          </w:p>
        </w:tc>
        <w:tc>
          <w:tcPr>
            <w:tcW w:w="360" w:type="pct"/>
          </w:tcPr>
          <w:p w14:paraId="186D3A6B" w14:textId="7E85352F" w:rsidR="00D0670B" w:rsidRPr="000D1A50" w:rsidRDefault="00AE1348" w:rsidP="00D0670B">
            <w:pPr>
              <w:spacing w:after="0" w:line="240" w:lineRule="auto"/>
              <w:jc w:val="center"/>
              <w:rPr>
                <w:rFonts w:ascii="Futura Std Condensed Light" w:eastAsia="Calibri" w:hAnsi="Futura Std Condensed Light" w:cs="Calibri"/>
                <w:color w:val="FF0000"/>
                <w:szCs w:val="20"/>
              </w:rPr>
            </w:pPr>
            <w:r>
              <w:rPr>
                <w:rFonts w:ascii="Futura Std Condensed Light" w:eastAsia="Calibri" w:hAnsi="Futura Std Condensed Light" w:cs="Calibri"/>
                <w:sz w:val="18"/>
                <w:szCs w:val="18"/>
              </w:rPr>
              <w:t>2.88</w:t>
            </w:r>
          </w:p>
        </w:tc>
        <w:tc>
          <w:tcPr>
            <w:tcW w:w="360" w:type="pct"/>
          </w:tcPr>
          <w:p w14:paraId="3166E32E" w14:textId="2C521254" w:rsidR="00D0670B" w:rsidRPr="000D1A50" w:rsidRDefault="00AE1348" w:rsidP="00D0670B">
            <w:pPr>
              <w:spacing w:after="0" w:line="240" w:lineRule="auto"/>
              <w:jc w:val="center"/>
              <w:rPr>
                <w:rFonts w:ascii="Futura Std Condensed Light" w:eastAsia="Calibri" w:hAnsi="Futura Std Condensed Light" w:cs="Calibri"/>
                <w:color w:val="FF0000"/>
                <w:szCs w:val="20"/>
              </w:rPr>
            </w:pPr>
            <w:r>
              <w:rPr>
                <w:rFonts w:ascii="Futura Std Condensed Light" w:eastAsia="Calibri" w:hAnsi="Futura Std Condensed Light" w:cs="Calibri"/>
                <w:sz w:val="18"/>
                <w:szCs w:val="18"/>
              </w:rPr>
              <w:t>3.25</w:t>
            </w:r>
          </w:p>
        </w:tc>
        <w:tc>
          <w:tcPr>
            <w:tcW w:w="360" w:type="pct"/>
          </w:tcPr>
          <w:p w14:paraId="53261A0D" w14:textId="20E92B49" w:rsidR="00D0670B" w:rsidRPr="000D1A50" w:rsidRDefault="00AE1348" w:rsidP="00D0670B">
            <w:pPr>
              <w:spacing w:after="0" w:line="240" w:lineRule="auto"/>
              <w:jc w:val="center"/>
              <w:rPr>
                <w:rFonts w:ascii="Futura Std Condensed Light" w:eastAsia="Calibri" w:hAnsi="Futura Std Condensed Light" w:cs="Calibri"/>
                <w:color w:val="FF0000"/>
                <w:szCs w:val="20"/>
              </w:rPr>
            </w:pPr>
            <w:r>
              <w:rPr>
                <w:rFonts w:ascii="Futura Std Condensed Light" w:eastAsia="Calibri" w:hAnsi="Futura Std Condensed Light" w:cs="Calibri"/>
                <w:sz w:val="18"/>
                <w:szCs w:val="18"/>
              </w:rPr>
              <w:t>3.54</w:t>
            </w:r>
          </w:p>
        </w:tc>
        <w:tc>
          <w:tcPr>
            <w:tcW w:w="360" w:type="pct"/>
          </w:tcPr>
          <w:p w14:paraId="77C2435B" w14:textId="6A991390" w:rsidR="00D0670B" w:rsidRPr="000D1A50" w:rsidRDefault="00AE1348" w:rsidP="00D0670B">
            <w:pPr>
              <w:spacing w:after="0" w:line="240" w:lineRule="auto"/>
              <w:jc w:val="center"/>
              <w:rPr>
                <w:rFonts w:ascii="Futura Std Condensed Light" w:eastAsia="Calibri" w:hAnsi="Futura Std Condensed Light" w:cs="Calibri"/>
                <w:color w:val="FF0000"/>
                <w:szCs w:val="20"/>
              </w:rPr>
            </w:pPr>
            <w:r>
              <w:rPr>
                <w:rFonts w:ascii="Futura Std Condensed Light" w:eastAsia="Calibri" w:hAnsi="Futura Std Condensed Light" w:cs="Calibri"/>
                <w:sz w:val="18"/>
                <w:szCs w:val="18"/>
              </w:rPr>
              <w:t>1.95</w:t>
            </w:r>
          </w:p>
        </w:tc>
        <w:tc>
          <w:tcPr>
            <w:tcW w:w="361" w:type="pct"/>
            <w:gridSpan w:val="2"/>
          </w:tcPr>
          <w:p w14:paraId="729EE3B4" w14:textId="1F25480C" w:rsidR="00D0670B" w:rsidRPr="000D1A50" w:rsidRDefault="00AE1348" w:rsidP="00D0670B">
            <w:pPr>
              <w:spacing w:after="0" w:line="240" w:lineRule="auto"/>
              <w:jc w:val="center"/>
              <w:rPr>
                <w:rFonts w:ascii="Futura Std Condensed Light" w:eastAsia="Calibri" w:hAnsi="Futura Std Condensed Light" w:cs="Calibri"/>
                <w:color w:val="FF0000"/>
                <w:szCs w:val="20"/>
              </w:rPr>
            </w:pPr>
            <w:r>
              <w:rPr>
                <w:rFonts w:ascii="Futura Std Condensed Light" w:eastAsia="Calibri" w:hAnsi="Futura Std Condensed Light" w:cs="Calibri"/>
                <w:sz w:val="18"/>
                <w:szCs w:val="18"/>
              </w:rPr>
              <w:t>2.07</w:t>
            </w:r>
          </w:p>
        </w:tc>
        <w:tc>
          <w:tcPr>
            <w:tcW w:w="386" w:type="pct"/>
          </w:tcPr>
          <w:p w14:paraId="54927516" w14:textId="3175297D" w:rsidR="00D0670B" w:rsidRPr="000D1A50" w:rsidRDefault="00AE1348" w:rsidP="00D0670B">
            <w:pPr>
              <w:spacing w:after="0" w:line="240" w:lineRule="auto"/>
              <w:jc w:val="center"/>
              <w:rPr>
                <w:rFonts w:ascii="Futura Std Condensed Light" w:eastAsia="Calibri" w:hAnsi="Futura Std Condensed Light" w:cs="Calibri"/>
                <w:color w:val="FF0000"/>
                <w:szCs w:val="20"/>
              </w:rPr>
            </w:pPr>
            <w:r>
              <w:rPr>
                <w:rFonts w:ascii="Futura Std Condensed Light" w:eastAsia="Calibri" w:hAnsi="Futura Std Condensed Light" w:cs="Calibri"/>
                <w:sz w:val="18"/>
                <w:szCs w:val="18"/>
              </w:rPr>
              <w:t>2.30</w:t>
            </w:r>
          </w:p>
        </w:tc>
      </w:tr>
      <w:tr w:rsidR="00D0670B" w:rsidRPr="00687F34" w14:paraId="7C2EDE40" w14:textId="77777777" w:rsidTr="002C5453">
        <w:trPr>
          <w:trHeight w:val="283"/>
        </w:trPr>
        <w:tc>
          <w:tcPr>
            <w:tcW w:w="652" w:type="pct"/>
          </w:tcPr>
          <w:p w14:paraId="42076829" w14:textId="0B5EAC82" w:rsidR="00D0670B" w:rsidRPr="000D1A50" w:rsidRDefault="00D0670B" w:rsidP="00D0670B">
            <w:pPr>
              <w:spacing w:after="0"/>
              <w:jc w:val="center"/>
              <w:rPr>
                <w:rFonts w:ascii="Futura Std Condensed Light" w:eastAsia="Calibri" w:hAnsi="Futura Std Condensed Light" w:cs="Calibri"/>
                <w:sz w:val="18"/>
                <w:szCs w:val="20"/>
              </w:rPr>
            </w:pPr>
            <w:r>
              <w:rPr>
                <w:rFonts w:ascii="Futura Std Condensed Light" w:eastAsia="Calibri" w:hAnsi="Futura Std Condensed Light" w:cs="Calibri"/>
                <w:sz w:val="18"/>
                <w:szCs w:val="20"/>
              </w:rPr>
              <w:t>Estrategia 10</w:t>
            </w:r>
            <w:r w:rsidRPr="000D1A50">
              <w:rPr>
                <w:rFonts w:ascii="Futura Std Condensed Light" w:eastAsia="Calibri" w:hAnsi="Futura Std Condensed Light" w:cs="Calibri"/>
                <w:sz w:val="18"/>
                <w:szCs w:val="20"/>
              </w:rPr>
              <w:t>. Brindar a la población entre 15 años y más cursos de capacitación, evaluacion</w:t>
            </w:r>
            <w:r w:rsidRPr="000D1A50">
              <w:rPr>
                <w:rFonts w:ascii="Futura Std Condensed Light" w:eastAsia="Calibri" w:hAnsi="Futura Std Condensed Light" w:cs="Calibri"/>
                <w:sz w:val="18"/>
                <w:szCs w:val="20"/>
              </w:rPr>
              <w:lastRenderedPageBreak/>
              <w:t>es y certificaciones de calidad para formar mano de obra calificada, permitiendo con ello estar al nivel de desarrollo que actualmente se está exigiendo por medio de campañas de promoción y difusión</w:t>
            </w:r>
          </w:p>
          <w:p w14:paraId="29F1C0B5" w14:textId="5AEBACE2" w:rsidR="00D0670B" w:rsidRPr="000D1A50" w:rsidRDefault="00D0670B" w:rsidP="00D0670B">
            <w:pPr>
              <w:spacing w:after="0"/>
              <w:jc w:val="center"/>
              <w:rPr>
                <w:rFonts w:ascii="Futura Std Condensed Light" w:eastAsia="Calibri" w:hAnsi="Futura Std Condensed Light" w:cs="Calibri"/>
                <w:sz w:val="18"/>
                <w:szCs w:val="20"/>
              </w:rPr>
            </w:pPr>
          </w:p>
        </w:tc>
        <w:tc>
          <w:tcPr>
            <w:tcW w:w="652" w:type="pct"/>
          </w:tcPr>
          <w:p w14:paraId="3A7AA4C3" w14:textId="1F9A48C7" w:rsidR="00D0670B" w:rsidRPr="000D1A50" w:rsidRDefault="00D0670B" w:rsidP="000543F9">
            <w:pPr>
              <w:spacing w:after="0" w:line="240" w:lineRule="auto"/>
              <w:jc w:val="center"/>
              <w:rPr>
                <w:rFonts w:ascii="Futura Std Condensed Light" w:eastAsia="Calibri" w:hAnsi="Futura Std Condensed Light" w:cs="Calibri"/>
                <w:color w:val="FF0000"/>
                <w:szCs w:val="20"/>
              </w:rPr>
            </w:pPr>
            <w:r w:rsidRPr="00687F34">
              <w:rPr>
                <w:rFonts w:ascii="Futura Std Condensed Light" w:eastAsia="Calibri" w:hAnsi="Futura Std Condensed Light" w:cs="Calibri"/>
                <w:sz w:val="18"/>
                <w:szCs w:val="20"/>
              </w:rPr>
              <w:lastRenderedPageBreak/>
              <w:t xml:space="preserve">Porcentaje </w:t>
            </w:r>
            <w:r w:rsidR="000543F9">
              <w:rPr>
                <w:rFonts w:ascii="Futura Std Condensed Light" w:eastAsia="Calibri" w:hAnsi="Futura Std Condensed Light" w:cs="Calibri"/>
                <w:sz w:val="18"/>
                <w:szCs w:val="20"/>
              </w:rPr>
              <w:t xml:space="preserve">de personas </w:t>
            </w:r>
            <w:r w:rsidRPr="00687F34">
              <w:rPr>
                <w:rFonts w:ascii="Futura Std Condensed Light" w:eastAsia="Calibri" w:hAnsi="Futura Std Condensed Light" w:cs="Calibri"/>
                <w:sz w:val="18"/>
                <w:szCs w:val="20"/>
              </w:rPr>
              <w:t>de 1</w:t>
            </w:r>
            <w:r w:rsidR="000543F9">
              <w:rPr>
                <w:rFonts w:ascii="Futura Std Condensed Light" w:eastAsia="Calibri" w:hAnsi="Futura Std Condensed Light" w:cs="Calibri"/>
                <w:sz w:val="18"/>
                <w:szCs w:val="20"/>
              </w:rPr>
              <w:t xml:space="preserve">5 a 65 años  y más que concluyen </w:t>
            </w:r>
            <w:r w:rsidRPr="00687F34">
              <w:rPr>
                <w:rFonts w:ascii="Futura Std Condensed Light" w:eastAsia="Calibri" w:hAnsi="Futura Std Condensed Light" w:cs="Calibri"/>
                <w:sz w:val="18"/>
                <w:szCs w:val="20"/>
              </w:rPr>
              <w:t>satisfactoriamente los cursos</w:t>
            </w:r>
            <w:r w:rsidR="000543F9">
              <w:rPr>
                <w:rFonts w:ascii="Futura Std Condensed Light" w:eastAsia="Calibri" w:hAnsi="Futura Std Condensed Light" w:cs="Calibri"/>
                <w:sz w:val="18"/>
                <w:szCs w:val="20"/>
              </w:rPr>
              <w:t xml:space="preserve"> de capacitación y </w:t>
            </w:r>
            <w:r w:rsidR="000543F9">
              <w:rPr>
                <w:rFonts w:ascii="Futura Std Condensed Light" w:eastAsia="Calibri" w:hAnsi="Futura Std Condensed Light" w:cs="Calibri"/>
                <w:sz w:val="18"/>
                <w:szCs w:val="20"/>
              </w:rPr>
              <w:lastRenderedPageBreak/>
              <w:t>procesos de evaluación</w:t>
            </w:r>
            <w:r w:rsidRPr="00687F34">
              <w:rPr>
                <w:rFonts w:ascii="Futura Std Condensed Light" w:eastAsia="Calibri" w:hAnsi="Futura Std Condensed Light" w:cs="Calibri"/>
                <w:sz w:val="18"/>
                <w:szCs w:val="20"/>
              </w:rPr>
              <w:t xml:space="preserve"> para y en el trabajo. </w:t>
            </w:r>
          </w:p>
        </w:tc>
        <w:tc>
          <w:tcPr>
            <w:tcW w:w="575" w:type="pct"/>
          </w:tcPr>
          <w:p w14:paraId="0E0FB1D9" w14:textId="0C9F734B" w:rsidR="00D0670B" w:rsidRPr="000D1A50" w:rsidRDefault="00D0670B" w:rsidP="00D0670B">
            <w:pPr>
              <w:spacing w:after="0" w:line="240" w:lineRule="auto"/>
              <w:jc w:val="center"/>
              <w:rPr>
                <w:rFonts w:ascii="Futura Std Condensed Light" w:eastAsia="Calibri" w:hAnsi="Futura Std Condensed Light" w:cs="Calibri"/>
                <w:color w:val="FF0000"/>
                <w:szCs w:val="20"/>
              </w:rPr>
            </w:pPr>
            <w:r w:rsidRPr="000D1A50">
              <w:rPr>
                <w:rFonts w:ascii="Futura Std Condensed Light" w:eastAsia="Calibri" w:hAnsi="Futura Std Condensed Light" w:cs="Calibri"/>
                <w:color w:val="FF0000"/>
                <w:szCs w:val="20"/>
              </w:rPr>
              <w:lastRenderedPageBreak/>
              <w:t xml:space="preserve">. </w:t>
            </w:r>
            <w:r w:rsidRPr="00687F34">
              <w:rPr>
                <w:rFonts w:ascii="Futura Std Condensed Light" w:eastAsia="Calibri" w:hAnsi="Futura Std Condensed Light" w:cs="Calibri"/>
                <w:sz w:val="18"/>
                <w:szCs w:val="20"/>
              </w:rPr>
              <w:t>Instituto de Capacitación para el Trabajo, ICAT.</w:t>
            </w:r>
          </w:p>
        </w:tc>
        <w:tc>
          <w:tcPr>
            <w:tcW w:w="573" w:type="pct"/>
          </w:tcPr>
          <w:p w14:paraId="0B267F9E" w14:textId="497159B7" w:rsidR="00D0670B" w:rsidRPr="00687F34" w:rsidRDefault="00D0670B" w:rsidP="00D0670B">
            <w:pPr>
              <w:spacing w:after="0" w:line="240" w:lineRule="auto"/>
              <w:rPr>
                <w:rFonts w:ascii="Futura Std Condensed Light" w:eastAsia="Calibri" w:hAnsi="Futura Std Condensed Light" w:cs="Calibri"/>
                <w:sz w:val="18"/>
                <w:szCs w:val="20"/>
              </w:rPr>
            </w:pPr>
            <w:r w:rsidRPr="00687F34">
              <w:rPr>
                <w:rFonts w:ascii="Futura Std Condensed Light" w:eastAsia="Calibri" w:hAnsi="Futura Std Condensed Light" w:cs="Calibri"/>
                <w:sz w:val="18"/>
                <w:szCs w:val="20"/>
              </w:rPr>
              <w:t>Porcentaje</w:t>
            </w:r>
          </w:p>
        </w:tc>
        <w:tc>
          <w:tcPr>
            <w:tcW w:w="361" w:type="pct"/>
          </w:tcPr>
          <w:p w14:paraId="5EFA8333" w14:textId="2CDF693C" w:rsidR="00D0670B" w:rsidRPr="00687F34" w:rsidRDefault="00D0670B" w:rsidP="00D0670B">
            <w:pPr>
              <w:spacing w:after="0" w:line="240" w:lineRule="auto"/>
              <w:jc w:val="center"/>
              <w:rPr>
                <w:rFonts w:ascii="Futura Std Condensed Light" w:eastAsia="Calibri" w:hAnsi="Futura Std Condensed Light" w:cs="Calibri"/>
                <w:sz w:val="18"/>
                <w:szCs w:val="20"/>
              </w:rPr>
            </w:pPr>
            <w:r w:rsidRPr="00687F34">
              <w:rPr>
                <w:rFonts w:ascii="Futura Std Condensed Light" w:eastAsia="Calibri" w:hAnsi="Futura Std Condensed Light" w:cs="Calibri"/>
                <w:sz w:val="18"/>
                <w:szCs w:val="20"/>
              </w:rPr>
              <w:t>77.85</w:t>
            </w:r>
          </w:p>
        </w:tc>
        <w:tc>
          <w:tcPr>
            <w:tcW w:w="360" w:type="pct"/>
          </w:tcPr>
          <w:p w14:paraId="4B881B36" w14:textId="795FD0A9" w:rsidR="00D0670B" w:rsidRPr="00687F34" w:rsidRDefault="00D0670B" w:rsidP="00D0670B">
            <w:pPr>
              <w:spacing w:after="0" w:line="240" w:lineRule="auto"/>
              <w:jc w:val="center"/>
              <w:rPr>
                <w:rFonts w:ascii="Futura Std Condensed Light" w:eastAsia="Calibri" w:hAnsi="Futura Std Condensed Light" w:cs="Calibri"/>
                <w:sz w:val="18"/>
                <w:szCs w:val="20"/>
              </w:rPr>
            </w:pPr>
            <w:r w:rsidRPr="00687F34">
              <w:rPr>
                <w:rFonts w:ascii="Futura Std Condensed Light" w:eastAsia="Calibri" w:hAnsi="Futura Std Condensed Light" w:cs="Calibri"/>
                <w:sz w:val="18"/>
                <w:szCs w:val="20"/>
              </w:rPr>
              <w:t>83.19</w:t>
            </w:r>
          </w:p>
        </w:tc>
        <w:tc>
          <w:tcPr>
            <w:tcW w:w="360" w:type="pct"/>
          </w:tcPr>
          <w:p w14:paraId="3F88BEBC" w14:textId="3297B31A" w:rsidR="00D0670B" w:rsidRPr="00687F34" w:rsidRDefault="00D0670B" w:rsidP="00D0670B">
            <w:pPr>
              <w:spacing w:after="0" w:line="240" w:lineRule="auto"/>
              <w:jc w:val="center"/>
              <w:rPr>
                <w:rFonts w:ascii="Futura Std Condensed Light" w:eastAsia="Calibri" w:hAnsi="Futura Std Condensed Light" w:cs="Calibri"/>
                <w:sz w:val="18"/>
                <w:szCs w:val="20"/>
              </w:rPr>
            </w:pPr>
            <w:r w:rsidRPr="00687F34">
              <w:rPr>
                <w:rFonts w:ascii="Futura Std Condensed Light" w:eastAsia="Calibri" w:hAnsi="Futura Std Condensed Light" w:cs="Calibri"/>
                <w:sz w:val="18"/>
                <w:szCs w:val="20"/>
              </w:rPr>
              <w:t>83.01</w:t>
            </w:r>
          </w:p>
        </w:tc>
        <w:tc>
          <w:tcPr>
            <w:tcW w:w="360" w:type="pct"/>
          </w:tcPr>
          <w:p w14:paraId="7C09FD26" w14:textId="4D1B7633" w:rsidR="00D0670B" w:rsidRPr="00687F34" w:rsidRDefault="00D0670B" w:rsidP="00D0670B">
            <w:pPr>
              <w:spacing w:after="0" w:line="240" w:lineRule="auto"/>
              <w:jc w:val="center"/>
              <w:rPr>
                <w:rFonts w:ascii="Futura Std Condensed Light" w:eastAsia="Calibri" w:hAnsi="Futura Std Condensed Light" w:cs="Calibri"/>
                <w:sz w:val="18"/>
                <w:szCs w:val="20"/>
              </w:rPr>
            </w:pPr>
            <w:r w:rsidRPr="00687F34">
              <w:rPr>
                <w:rFonts w:ascii="Futura Std Condensed Light" w:eastAsia="Calibri" w:hAnsi="Futura Std Condensed Light" w:cs="Calibri"/>
                <w:sz w:val="18"/>
                <w:szCs w:val="20"/>
              </w:rPr>
              <w:t>81.92</w:t>
            </w:r>
          </w:p>
        </w:tc>
        <w:tc>
          <w:tcPr>
            <w:tcW w:w="360" w:type="pct"/>
          </w:tcPr>
          <w:p w14:paraId="26418641" w14:textId="1C61781B" w:rsidR="00D0670B" w:rsidRPr="00687F34" w:rsidRDefault="000543F9" w:rsidP="00D0670B">
            <w:pPr>
              <w:spacing w:after="0" w:line="240" w:lineRule="auto"/>
              <w:jc w:val="center"/>
              <w:rPr>
                <w:rFonts w:ascii="Futura Std Condensed Light" w:eastAsia="Calibri" w:hAnsi="Futura Std Condensed Light" w:cs="Calibri"/>
                <w:sz w:val="18"/>
                <w:szCs w:val="20"/>
              </w:rPr>
            </w:pPr>
            <w:r>
              <w:rPr>
                <w:rFonts w:ascii="Futura Std Condensed Light" w:eastAsia="Calibri" w:hAnsi="Futura Std Condensed Light" w:cs="Calibri"/>
                <w:sz w:val="18"/>
                <w:szCs w:val="20"/>
              </w:rPr>
              <w:t>75.00</w:t>
            </w:r>
          </w:p>
        </w:tc>
        <w:tc>
          <w:tcPr>
            <w:tcW w:w="361" w:type="pct"/>
            <w:gridSpan w:val="2"/>
          </w:tcPr>
          <w:p w14:paraId="3AC8315F" w14:textId="2294F50C" w:rsidR="00D0670B" w:rsidRPr="00687F34" w:rsidRDefault="000543F9" w:rsidP="00D0670B">
            <w:pPr>
              <w:spacing w:after="0" w:line="240" w:lineRule="auto"/>
              <w:jc w:val="center"/>
              <w:rPr>
                <w:rFonts w:ascii="Futura Std Condensed Light" w:eastAsia="Calibri" w:hAnsi="Futura Std Condensed Light" w:cs="Calibri"/>
                <w:sz w:val="18"/>
                <w:szCs w:val="20"/>
              </w:rPr>
            </w:pPr>
            <w:r>
              <w:rPr>
                <w:rFonts w:ascii="Futura Std Condensed Light" w:eastAsia="Calibri" w:hAnsi="Futura Std Condensed Light" w:cs="Calibri"/>
                <w:sz w:val="18"/>
                <w:szCs w:val="20"/>
              </w:rPr>
              <w:t>75.83</w:t>
            </w:r>
          </w:p>
        </w:tc>
        <w:tc>
          <w:tcPr>
            <w:tcW w:w="386" w:type="pct"/>
          </w:tcPr>
          <w:p w14:paraId="2D1AE779" w14:textId="380D4F42" w:rsidR="00D0670B" w:rsidRPr="00687F34" w:rsidRDefault="000543F9" w:rsidP="00D0670B">
            <w:pPr>
              <w:spacing w:after="0" w:line="240" w:lineRule="auto"/>
              <w:jc w:val="center"/>
              <w:rPr>
                <w:rFonts w:ascii="Futura Std Condensed Light" w:eastAsia="Calibri" w:hAnsi="Futura Std Condensed Light" w:cs="Calibri"/>
                <w:sz w:val="18"/>
                <w:szCs w:val="20"/>
              </w:rPr>
            </w:pPr>
            <w:r>
              <w:rPr>
                <w:rFonts w:ascii="Futura Std Condensed Light" w:eastAsia="Calibri" w:hAnsi="Futura Std Condensed Light" w:cs="Calibri"/>
                <w:sz w:val="18"/>
                <w:szCs w:val="20"/>
              </w:rPr>
              <w:t>76.67</w:t>
            </w:r>
          </w:p>
        </w:tc>
      </w:tr>
    </w:tbl>
    <w:p w14:paraId="670E73F0" w14:textId="6BE3DFEF" w:rsidR="00C2741A" w:rsidRPr="003735DF" w:rsidRDefault="00BD62B1" w:rsidP="002C5453">
      <w:pPr>
        <w:pStyle w:val="Textonotapie"/>
        <w:rPr>
          <w:szCs w:val="16"/>
        </w:rPr>
      </w:pPr>
      <w:r w:rsidRPr="003735DF">
        <w:rPr>
          <w:rFonts w:ascii="Futura T OT" w:eastAsia="Calibri" w:hAnsi="Futura T OT"/>
          <w:szCs w:val="16"/>
        </w:rPr>
        <w:t>Fuente:</w:t>
      </w:r>
      <w:r w:rsidR="00A27609" w:rsidRPr="003735DF">
        <w:rPr>
          <w:rFonts w:ascii="Futura T OT" w:eastAsia="Calibri" w:hAnsi="Futura T OT"/>
          <w:szCs w:val="16"/>
        </w:rPr>
        <w:t xml:space="preserve"> </w:t>
      </w:r>
      <w:r w:rsidR="00AA46F4" w:rsidRPr="003735DF">
        <w:rPr>
          <w:rFonts w:ascii="Futura T OT" w:eastAsia="Calibri" w:hAnsi="Futura T OT"/>
          <w:szCs w:val="16"/>
        </w:rPr>
        <w:t>Elaboración Propia. Dirección de Planeación. Sec</w:t>
      </w:r>
      <w:r w:rsidR="00D05C5B" w:rsidRPr="003735DF">
        <w:rPr>
          <w:rFonts w:ascii="Futura T OT" w:eastAsia="Calibri" w:hAnsi="Futura T OT"/>
          <w:szCs w:val="16"/>
        </w:rPr>
        <w:t>retaría de Educación de Quintana Roo.</w:t>
      </w:r>
      <w:r w:rsidR="00D05C5B" w:rsidRPr="003735DF">
        <w:rPr>
          <w:szCs w:val="16"/>
        </w:rPr>
        <w:t xml:space="preserve"> </w:t>
      </w:r>
      <w:r w:rsidR="00C2741A" w:rsidRPr="003735DF">
        <w:rPr>
          <w:rFonts w:eastAsia="Times New Roman" w:cs="Futura"/>
          <w:szCs w:val="16"/>
        </w:rPr>
        <w:br w:type="page"/>
      </w:r>
    </w:p>
    <w:p w14:paraId="42315289" w14:textId="77777777" w:rsidR="002A329C" w:rsidRDefault="002A329C" w:rsidP="0069403A">
      <w:pPr>
        <w:pStyle w:val="Ttulo"/>
      </w:pPr>
    </w:p>
    <w:p w14:paraId="354CF278" w14:textId="58F146A5" w:rsidR="002A329C" w:rsidRDefault="0069403A" w:rsidP="0069403A">
      <w:pPr>
        <w:pStyle w:val="Ttulo"/>
      </w:pPr>
      <w:r w:rsidRPr="0069403A">
        <w:t>MECANISMOS DE FINANCIAMIENTO</w:t>
      </w:r>
      <w:r w:rsidRPr="00695E2D">
        <w:t xml:space="preserve"> </w:t>
      </w:r>
    </w:p>
    <w:p w14:paraId="3B2FFF88" w14:textId="77777777" w:rsidR="002A329C" w:rsidRDefault="002A329C">
      <w:pPr>
        <w:spacing w:after="0" w:line="240" w:lineRule="auto"/>
        <w:jc w:val="left"/>
        <w:rPr>
          <w:rFonts w:eastAsia="Times New Roman" w:cs="Times New Roman"/>
          <w:b/>
          <w:color w:val="4BACC6"/>
          <w:sz w:val="44"/>
          <w:szCs w:val="20"/>
        </w:rPr>
      </w:pPr>
      <w:r>
        <w:br w:type="page"/>
      </w:r>
    </w:p>
    <w:p w14:paraId="405779A9" w14:textId="77777777" w:rsidR="001A3495" w:rsidRDefault="001A3495" w:rsidP="00C2741A">
      <w:pPr>
        <w:pStyle w:val="Ttulo1"/>
      </w:pPr>
      <w:bookmarkStart w:id="78" w:name="_Toc486841611"/>
      <w:bookmarkStart w:id="79" w:name="_Toc486858150"/>
      <w:bookmarkStart w:id="80" w:name="_Toc477971062"/>
    </w:p>
    <w:p w14:paraId="7DC5E33D" w14:textId="77101DE3" w:rsidR="00C2741A" w:rsidRDefault="00C2741A" w:rsidP="00C2741A">
      <w:pPr>
        <w:pStyle w:val="Ttulo1"/>
      </w:pPr>
      <w:bookmarkStart w:id="81" w:name="_Toc53409874"/>
      <w:r>
        <w:t xml:space="preserve">XIII. </w:t>
      </w:r>
      <w:r w:rsidRPr="00F765C3">
        <w:t>MECANISMOS DE FINANCIAMIENTO</w:t>
      </w:r>
      <w:bookmarkEnd w:id="78"/>
      <w:bookmarkEnd w:id="79"/>
      <w:bookmarkEnd w:id="81"/>
      <w:r w:rsidRPr="00F765C3">
        <w:t xml:space="preserve"> </w:t>
      </w:r>
      <w:bookmarkEnd w:id="80"/>
    </w:p>
    <w:p w14:paraId="4D54AA92" w14:textId="296BFF56" w:rsidR="00D27F34" w:rsidRPr="006E2FD5" w:rsidRDefault="00D27F34" w:rsidP="002A329C">
      <w:r w:rsidRPr="006E2FD5">
        <w:t xml:space="preserve">El funcionamiento y operación del Sector </w:t>
      </w:r>
      <w:r w:rsidR="00CC1EF5" w:rsidRPr="00CC1EF5">
        <w:t>Ed</w:t>
      </w:r>
      <w:r w:rsidRPr="00CC1EF5">
        <w:t>ucativo se</w:t>
      </w:r>
      <w:r w:rsidRPr="006E2FD5">
        <w:t xml:space="preserve"> financia con recursos provenientes del Ramo 23,</w:t>
      </w:r>
      <w:r w:rsidR="00FD5D74">
        <w:t xml:space="preserve"> Ramo 28,</w:t>
      </w:r>
      <w:r w:rsidRPr="006E2FD5">
        <w:t xml:space="preserve"> Ramo 33, Ramo 11, Ramo 38, Recursos Estatales y Municipales, que se describen a continuación:</w:t>
      </w:r>
    </w:p>
    <w:p w14:paraId="2F0A94B3" w14:textId="77777777" w:rsidR="00FD5D74" w:rsidRDefault="00FD5D74" w:rsidP="002A329C">
      <w:r w:rsidRPr="00FD5D74">
        <w:rPr>
          <w:b/>
        </w:rPr>
        <w:t>RAMO 28. PARTICIPACIONES A ENTIDADES FEDERATIVAS.</w:t>
      </w:r>
      <w:r>
        <w:t xml:space="preserve"> </w:t>
      </w:r>
    </w:p>
    <w:p w14:paraId="260C0526" w14:textId="77777777" w:rsidR="00FD5D74" w:rsidRDefault="00FD5D74" w:rsidP="002A329C">
      <w:r>
        <w:t xml:space="preserve">El Ramo General 28 Participaciones a Entidades Federativas y Municipios, se refiere a los recursos que se transfieren a las entidades federativas y a los municipios, correspondientes a las participaciones en ingresos federales e incentivos económicos, de acuerdo con la Ley de Coordinación Fiscal y los Convenios de Adhesión al Sistema Nacional de Coordinación Fiscal y sus anexos, así como de conformidad con los Convenios de Colaboración Administrativa en Materia Fiscal Federal y sus anexos. Los recursos del Ramo General 28 no están etiquetados, es decir, no tienen un destino específico en el gasto de los gobiernos locales. Su carácter principal es resarcitorio; por lo que, tiene como fin asignar los recursos de manera proporcional a la participación de las entidades en la actividad económica y la recaudación. </w:t>
      </w:r>
    </w:p>
    <w:p w14:paraId="630992C6" w14:textId="77777777" w:rsidR="00FD5D74" w:rsidRDefault="00FD5D74" w:rsidP="002A329C">
      <w:r>
        <w:t>Las participaciones en ingresos federales y los incentivos que se entregan a las entidades federativas y municipios, se hace a través de los fondos siguientes:</w:t>
      </w:r>
    </w:p>
    <w:p w14:paraId="259F52D9" w14:textId="77777777" w:rsidR="00F72B02" w:rsidRDefault="00FD5D74" w:rsidP="00F72B02">
      <w:pPr>
        <w:spacing w:after="0"/>
      </w:pPr>
      <w:r>
        <w:t xml:space="preserve"> • Fondo General de Participaciones</w:t>
      </w:r>
    </w:p>
    <w:p w14:paraId="267F3640" w14:textId="08E71F10" w:rsidR="00FD5D74" w:rsidRDefault="00FD5D74" w:rsidP="00F72B02">
      <w:pPr>
        <w:spacing w:after="0"/>
      </w:pPr>
      <w:r>
        <w:t xml:space="preserve"> • Fondo de Fomento Municipal </w:t>
      </w:r>
    </w:p>
    <w:p w14:paraId="0F386DA2" w14:textId="77777777" w:rsidR="00FD5D74" w:rsidRDefault="00FD5D74" w:rsidP="00F72B02">
      <w:pPr>
        <w:spacing w:after="0"/>
      </w:pPr>
      <w:r>
        <w:t xml:space="preserve">• Impuesto Especial sobre Producción y Servicios </w:t>
      </w:r>
    </w:p>
    <w:p w14:paraId="59FF251A" w14:textId="77777777" w:rsidR="00FD5D74" w:rsidRDefault="00FD5D74" w:rsidP="00F72B02">
      <w:pPr>
        <w:spacing w:after="0"/>
      </w:pPr>
      <w:r>
        <w:lastRenderedPageBreak/>
        <w:t>• Fondo de Fiscalización y Recaudación</w:t>
      </w:r>
    </w:p>
    <w:p w14:paraId="29DB6955" w14:textId="77777777" w:rsidR="00FD5D74" w:rsidRDefault="00FD5D74" w:rsidP="00F72B02">
      <w:pPr>
        <w:spacing w:after="0"/>
      </w:pPr>
      <w:r>
        <w:t xml:space="preserve"> • Fondo de Compensación</w:t>
      </w:r>
    </w:p>
    <w:p w14:paraId="4960450A" w14:textId="77777777" w:rsidR="00FD5D74" w:rsidRDefault="00FD5D74" w:rsidP="00F72B02">
      <w:pPr>
        <w:spacing w:after="0"/>
      </w:pPr>
      <w:r>
        <w:t xml:space="preserve"> • 9/11 de la recaudación por concepto de las cuotas establecidas en el artículo 2°-A, fracción II, de la Ley del Impuesto Especial sobre Producción y Servicios</w:t>
      </w:r>
    </w:p>
    <w:p w14:paraId="4AE1636A" w14:textId="77777777" w:rsidR="00FD5D74" w:rsidRDefault="00FD5D74" w:rsidP="00F72B02">
      <w:pPr>
        <w:spacing w:after="0"/>
      </w:pPr>
      <w:r>
        <w:t xml:space="preserve"> • Fondo de Extracción de Hidrocarburos • Fondo de Compensación del Impuesto sobre Automóviles Nuevos </w:t>
      </w:r>
    </w:p>
    <w:p w14:paraId="55493D64" w14:textId="77777777" w:rsidR="00FD5D74" w:rsidRDefault="00FD5D74" w:rsidP="00F72B02">
      <w:pPr>
        <w:spacing w:after="0"/>
      </w:pPr>
      <w:r>
        <w:t xml:space="preserve">• 0.136 por ciento de la Recaudación Federal Participable </w:t>
      </w:r>
    </w:p>
    <w:p w14:paraId="00488704" w14:textId="4D7CB578" w:rsidR="00F72B02" w:rsidRDefault="00FD5D74" w:rsidP="00F72B02">
      <w:pPr>
        <w:spacing w:after="0"/>
      </w:pPr>
      <w:r>
        <w:t xml:space="preserve">• La transferencia del Fondo Mexicano del Petróleo para la Estabilización y el Desarrollo </w:t>
      </w:r>
    </w:p>
    <w:p w14:paraId="68E752F6" w14:textId="77777777" w:rsidR="00F72B02" w:rsidRDefault="00FD5D74" w:rsidP="00F72B02">
      <w:pPr>
        <w:spacing w:after="0"/>
      </w:pPr>
      <w:r>
        <w:t xml:space="preserve">• El Fondo de Compensación del Régimen de Pequeños Contribuyentes y del Régimen de Intermedios </w:t>
      </w:r>
    </w:p>
    <w:p w14:paraId="5C464309" w14:textId="77777777" w:rsidR="00F72B02" w:rsidRDefault="00FD5D74" w:rsidP="00F72B02">
      <w:pPr>
        <w:spacing w:after="0"/>
      </w:pPr>
      <w:r>
        <w:t xml:space="preserve">• 100 por ciento de la recaudación que se obtenga del Impuesto sobre la Renta que efectivamente se entere a la Federación. </w:t>
      </w:r>
    </w:p>
    <w:p w14:paraId="3ADC2CBC" w14:textId="77777777" w:rsidR="00F72B02" w:rsidRDefault="00F72B02" w:rsidP="002A329C">
      <w:pPr>
        <w:rPr>
          <w:rStyle w:val="Textoennegrita"/>
        </w:rPr>
      </w:pPr>
    </w:p>
    <w:p w14:paraId="44207696" w14:textId="79C5F886" w:rsidR="00D27F34" w:rsidRPr="002A329C" w:rsidRDefault="00D27F34" w:rsidP="002A329C">
      <w:pPr>
        <w:rPr>
          <w:rStyle w:val="Textoennegrita"/>
        </w:rPr>
      </w:pPr>
      <w:r w:rsidRPr="002A329C">
        <w:rPr>
          <w:rStyle w:val="Textoennegrita"/>
        </w:rPr>
        <w:t>RAMO 33: FONDO DE APORTACIONES FEDERALES PARA ENTIDADES FEDERATIVAS Y MUNICIPIOS</w:t>
      </w:r>
      <w:r w:rsidR="00CC1EF5" w:rsidRPr="00CC1EF5">
        <w:rPr>
          <w:rStyle w:val="Textoennegrita"/>
        </w:rPr>
        <w:t>.</w:t>
      </w:r>
    </w:p>
    <w:p w14:paraId="2C722046" w14:textId="49A8AC10" w:rsidR="00D27F34" w:rsidRPr="006E2FD5" w:rsidRDefault="00D27F34" w:rsidP="002A329C">
      <w:r w:rsidRPr="00CC1EF5">
        <w:t>Tienen como marco normativo la L</w:t>
      </w:r>
      <w:r w:rsidR="00CC1EF5" w:rsidRPr="00CC1EF5">
        <w:t>ey de Coordinación Fiscal (LCF)</w:t>
      </w:r>
      <w:r w:rsidRPr="00CC1EF5">
        <w:t>, donde</w:t>
      </w:r>
      <w:r w:rsidRPr="006E2FD5">
        <w:t xml:space="preserve"> se establecen las f</w:t>
      </w:r>
      <w:r w:rsidRPr="006E2FD5">
        <w:rPr>
          <w:rFonts w:hint="eastAsia"/>
        </w:rPr>
        <w:t>ó</w:t>
      </w:r>
      <w:r w:rsidRPr="006E2FD5">
        <w:t>rmulas y procedimientos para distribuir entre las entidades federativas los recursos de sus ocho fondos constitutivos</w:t>
      </w:r>
    </w:p>
    <w:p w14:paraId="314CF7B8" w14:textId="77777777" w:rsidR="00D27F34" w:rsidRPr="006E2FD5" w:rsidRDefault="00D27F34" w:rsidP="002A329C">
      <w:r w:rsidRPr="006E2FD5">
        <w:t>Fondo de Aportaciones para la N</w:t>
      </w:r>
      <w:r w:rsidRPr="006E2FD5">
        <w:rPr>
          <w:rFonts w:hint="eastAsia"/>
        </w:rPr>
        <w:t>ó</w:t>
      </w:r>
      <w:r w:rsidRPr="006E2FD5">
        <w:t>mina Educativa y Gasto Operativo (FONE). El monto de este fondo se determina en el Presupuesto de Egresos de la Federación. Estos recursos se deben destinar a prestar los servicios de educaci</w:t>
      </w:r>
      <w:r w:rsidRPr="006E2FD5">
        <w:rPr>
          <w:rFonts w:hint="eastAsia"/>
        </w:rPr>
        <w:t>ó</w:t>
      </w:r>
      <w:r w:rsidRPr="006E2FD5">
        <w:t>n inicial, b</w:t>
      </w:r>
      <w:r w:rsidRPr="006E2FD5">
        <w:rPr>
          <w:rFonts w:hint="eastAsia"/>
        </w:rPr>
        <w:t>á</w:t>
      </w:r>
      <w:r w:rsidRPr="006E2FD5">
        <w:t>sica incluyendo la ind</w:t>
      </w:r>
      <w:r w:rsidRPr="006E2FD5">
        <w:rPr>
          <w:rFonts w:hint="eastAsia"/>
        </w:rPr>
        <w:t>í</w:t>
      </w:r>
      <w:r w:rsidRPr="006E2FD5">
        <w:t>gena, especial, as</w:t>
      </w:r>
      <w:r w:rsidRPr="006E2FD5">
        <w:rPr>
          <w:rFonts w:hint="eastAsia"/>
        </w:rPr>
        <w:t>í</w:t>
      </w:r>
      <w:r w:rsidRPr="006E2FD5">
        <w:t xml:space="preserve"> como la normal y dem</w:t>
      </w:r>
      <w:r w:rsidRPr="006E2FD5">
        <w:rPr>
          <w:rFonts w:hint="eastAsia"/>
        </w:rPr>
        <w:t>á</w:t>
      </w:r>
      <w:r w:rsidRPr="006E2FD5">
        <w:t>s para la formaci</w:t>
      </w:r>
      <w:r w:rsidRPr="006E2FD5">
        <w:rPr>
          <w:rFonts w:hint="eastAsia"/>
        </w:rPr>
        <w:t>ó</w:t>
      </w:r>
      <w:r w:rsidRPr="006E2FD5">
        <w:t>n de maestros; prestar los servicios de formaci</w:t>
      </w:r>
      <w:r w:rsidRPr="006E2FD5">
        <w:rPr>
          <w:rFonts w:hint="eastAsia"/>
        </w:rPr>
        <w:t>ó</w:t>
      </w:r>
      <w:r w:rsidRPr="006E2FD5">
        <w:t>n, actualizaci</w:t>
      </w:r>
      <w:r w:rsidRPr="006E2FD5">
        <w:rPr>
          <w:rFonts w:hint="eastAsia"/>
        </w:rPr>
        <w:t>ó</w:t>
      </w:r>
      <w:r w:rsidRPr="006E2FD5">
        <w:t>n, capacitaci</w:t>
      </w:r>
      <w:r w:rsidRPr="006E2FD5">
        <w:rPr>
          <w:rFonts w:hint="eastAsia"/>
        </w:rPr>
        <w:t>ó</w:t>
      </w:r>
      <w:r w:rsidRPr="006E2FD5">
        <w:t>n y superaci</w:t>
      </w:r>
      <w:r w:rsidRPr="006E2FD5">
        <w:rPr>
          <w:rFonts w:hint="eastAsia"/>
        </w:rPr>
        <w:t>ó</w:t>
      </w:r>
      <w:r w:rsidRPr="006E2FD5">
        <w:t>n profesional para los maestros de educaci</w:t>
      </w:r>
      <w:r w:rsidRPr="006E2FD5">
        <w:rPr>
          <w:rFonts w:hint="eastAsia"/>
        </w:rPr>
        <w:t>ó</w:t>
      </w:r>
      <w:r w:rsidRPr="006E2FD5">
        <w:t>n b</w:t>
      </w:r>
      <w:r w:rsidRPr="006E2FD5">
        <w:rPr>
          <w:rFonts w:hint="eastAsia"/>
        </w:rPr>
        <w:t>á</w:t>
      </w:r>
      <w:r w:rsidRPr="006E2FD5">
        <w:t>sica; as</w:t>
      </w:r>
      <w:r w:rsidRPr="006E2FD5">
        <w:rPr>
          <w:rFonts w:hint="eastAsia"/>
        </w:rPr>
        <w:t>í</w:t>
      </w:r>
      <w:r w:rsidRPr="006E2FD5">
        <w:t xml:space="preserve"> como el resto de atribuciones establecidas en el Art</w:t>
      </w:r>
      <w:r w:rsidRPr="006E2FD5">
        <w:rPr>
          <w:rFonts w:hint="eastAsia"/>
        </w:rPr>
        <w:t>í</w:t>
      </w:r>
      <w:r w:rsidRPr="006E2FD5">
        <w:t>culo 13 de la Ley General de Educaci</w:t>
      </w:r>
      <w:r w:rsidRPr="006E2FD5">
        <w:rPr>
          <w:rFonts w:hint="eastAsia"/>
        </w:rPr>
        <w:t>ó</w:t>
      </w:r>
      <w:r w:rsidRPr="006E2FD5">
        <w:t>n.</w:t>
      </w:r>
    </w:p>
    <w:p w14:paraId="70C822F6" w14:textId="77777777" w:rsidR="00D27F34" w:rsidRPr="002A329C" w:rsidRDefault="00D27F34" w:rsidP="002A329C">
      <w:pPr>
        <w:rPr>
          <w:rStyle w:val="Textoennegrita"/>
        </w:rPr>
      </w:pPr>
      <w:r w:rsidRPr="002A329C">
        <w:rPr>
          <w:rStyle w:val="Textoennegrita"/>
        </w:rPr>
        <w:t xml:space="preserve">Fondo de Aportaciones para la Infraestructura Social (FAIS). </w:t>
      </w:r>
    </w:p>
    <w:p w14:paraId="48F21E65" w14:textId="61C088C0" w:rsidR="00D27F34" w:rsidRDefault="00D27F34" w:rsidP="002A329C">
      <w:r w:rsidRPr="006E2FD5">
        <w:t>Estos recursos se destinan exclusivamente al financiamiento de obras, acciones sociales b</w:t>
      </w:r>
      <w:r w:rsidRPr="006E2FD5">
        <w:rPr>
          <w:rFonts w:hint="eastAsia"/>
        </w:rPr>
        <w:t>á</w:t>
      </w:r>
      <w:r w:rsidRPr="006E2FD5">
        <w:t>sicas y a inversiones que beneficien directamente a poblaci</w:t>
      </w:r>
      <w:r w:rsidRPr="006E2FD5">
        <w:rPr>
          <w:rFonts w:hint="eastAsia"/>
        </w:rPr>
        <w:t>ó</w:t>
      </w:r>
      <w:r w:rsidRPr="006E2FD5">
        <w:t>n en pobreza extrema, localidades con alto o muy alto nivel de rezago social conforme a lo previsto en la Ley General de Desarrollo Social, y en las zonas de atenci</w:t>
      </w:r>
      <w:r w:rsidRPr="006E2FD5">
        <w:rPr>
          <w:rFonts w:hint="eastAsia"/>
        </w:rPr>
        <w:t>ó</w:t>
      </w:r>
      <w:r w:rsidRPr="006E2FD5">
        <w:t>n prioritaria.</w:t>
      </w:r>
    </w:p>
    <w:p w14:paraId="324B1F44" w14:textId="77777777" w:rsidR="00FC0F42" w:rsidRPr="006E2FD5" w:rsidRDefault="00FC0F42" w:rsidP="002A329C"/>
    <w:p w14:paraId="0B84D93E" w14:textId="77777777" w:rsidR="00D27F34" w:rsidRPr="002A329C" w:rsidRDefault="00D27F34" w:rsidP="002A329C">
      <w:pPr>
        <w:rPr>
          <w:rStyle w:val="Textoennegrita"/>
        </w:rPr>
      </w:pPr>
      <w:r w:rsidRPr="002A329C">
        <w:rPr>
          <w:rStyle w:val="Textoennegrita"/>
        </w:rPr>
        <w:lastRenderedPageBreak/>
        <w:t xml:space="preserve">Fondo de Aportaciones al Fortalecimiento de los Municipios y Demarcaciones Territoriales del Distrito Federal (FORTAMUNDF). </w:t>
      </w:r>
    </w:p>
    <w:p w14:paraId="028EDD1E" w14:textId="77777777" w:rsidR="00D27F34" w:rsidRPr="006E2FD5" w:rsidRDefault="00D27F34" w:rsidP="002A329C">
      <w:r w:rsidRPr="006E2FD5">
        <w:t>Estos se destinar</w:t>
      </w:r>
      <w:r w:rsidRPr="006E2FD5">
        <w:rPr>
          <w:rFonts w:hint="eastAsia"/>
        </w:rPr>
        <w:t>á</w:t>
      </w:r>
      <w:r w:rsidRPr="006E2FD5">
        <w:t>n exclusivamente a la satisfacci</w:t>
      </w:r>
      <w:r w:rsidRPr="006E2FD5">
        <w:rPr>
          <w:rFonts w:hint="eastAsia"/>
        </w:rPr>
        <w:t>ó</w:t>
      </w:r>
      <w:r w:rsidRPr="006E2FD5">
        <w:t>n de los requerimientos de los municipios y de las demarcaciones de la Ciudad de M</w:t>
      </w:r>
      <w:r w:rsidRPr="006E2FD5">
        <w:rPr>
          <w:rFonts w:hint="eastAsia"/>
        </w:rPr>
        <w:t>é</w:t>
      </w:r>
      <w:r w:rsidRPr="006E2FD5">
        <w:t xml:space="preserve">xico, dando prioridad a los siguientes aspectos: </w:t>
      </w:r>
    </w:p>
    <w:p w14:paraId="3DC58737" w14:textId="2DB698BB" w:rsidR="00D27F34" w:rsidRPr="005852BB" w:rsidRDefault="005852BB" w:rsidP="00DD5EE2">
      <w:pPr>
        <w:pStyle w:val="Prrafodelista"/>
        <w:numPr>
          <w:ilvl w:val="0"/>
          <w:numId w:val="12"/>
        </w:numPr>
      </w:pPr>
      <w:r w:rsidRPr="005852BB">
        <w:t>C</w:t>
      </w:r>
      <w:r w:rsidR="00D27F34" w:rsidRPr="005852BB">
        <w:t xml:space="preserve">umplimiento de sus obligaciones financieras; </w:t>
      </w:r>
    </w:p>
    <w:p w14:paraId="5DE10F1D" w14:textId="243FDDC7" w:rsidR="00D27F34" w:rsidRPr="005852BB" w:rsidRDefault="005852BB" w:rsidP="00DD5EE2">
      <w:pPr>
        <w:pStyle w:val="Prrafodelista"/>
        <w:numPr>
          <w:ilvl w:val="0"/>
          <w:numId w:val="12"/>
        </w:numPr>
      </w:pPr>
      <w:r w:rsidRPr="005852BB">
        <w:t>P</w:t>
      </w:r>
      <w:r w:rsidR="00D27F34" w:rsidRPr="005852BB">
        <w:t xml:space="preserve">ago de derechos y aprovechamientos por concepto de agua; y </w:t>
      </w:r>
    </w:p>
    <w:p w14:paraId="1E0DBCFB" w14:textId="1D33FA97" w:rsidR="00D27F34" w:rsidRDefault="005852BB" w:rsidP="00DD5EE2">
      <w:pPr>
        <w:pStyle w:val="Prrafodelista"/>
        <w:numPr>
          <w:ilvl w:val="0"/>
          <w:numId w:val="12"/>
        </w:numPr>
      </w:pPr>
      <w:r w:rsidRPr="005852BB">
        <w:t>A</w:t>
      </w:r>
      <w:r w:rsidR="00D27F34" w:rsidRPr="005852BB">
        <w:t>tenci</w:t>
      </w:r>
      <w:r w:rsidR="00D27F34" w:rsidRPr="005852BB">
        <w:rPr>
          <w:rFonts w:hint="eastAsia"/>
        </w:rPr>
        <w:t>ó</w:t>
      </w:r>
      <w:r w:rsidR="00D27F34" w:rsidRPr="005852BB">
        <w:t>n</w:t>
      </w:r>
      <w:r w:rsidR="00D27F34" w:rsidRPr="00D27F34">
        <w:t xml:space="preserve"> de las necesidades directamente vinculadas a la seguridad p</w:t>
      </w:r>
      <w:r w:rsidR="00D27F34" w:rsidRPr="00D27F34">
        <w:rPr>
          <w:rFonts w:hint="eastAsia"/>
        </w:rPr>
        <w:t>ú</w:t>
      </w:r>
      <w:r w:rsidR="00D27F34" w:rsidRPr="00D27F34">
        <w:t>blica de sus habitantes.</w:t>
      </w:r>
    </w:p>
    <w:p w14:paraId="6E2138E9" w14:textId="77777777" w:rsidR="00DE4867" w:rsidRDefault="00DE4867" w:rsidP="00DE4867">
      <w:pPr>
        <w:pStyle w:val="Prrafodelista"/>
      </w:pPr>
    </w:p>
    <w:p w14:paraId="10179CD0" w14:textId="77777777" w:rsidR="00D27F34" w:rsidRPr="002A329C" w:rsidRDefault="00D27F34" w:rsidP="002A329C">
      <w:pPr>
        <w:rPr>
          <w:rStyle w:val="Textoennegrita"/>
        </w:rPr>
      </w:pPr>
      <w:r w:rsidRPr="002A329C">
        <w:rPr>
          <w:rStyle w:val="Textoennegrita"/>
        </w:rPr>
        <w:t>Fondo de Aportaciones M</w:t>
      </w:r>
      <w:r w:rsidRPr="002A329C">
        <w:rPr>
          <w:rStyle w:val="Textoennegrita"/>
          <w:rFonts w:hint="eastAsia"/>
        </w:rPr>
        <w:t>ú</w:t>
      </w:r>
      <w:r w:rsidRPr="002A329C">
        <w:rPr>
          <w:rStyle w:val="Textoennegrita"/>
        </w:rPr>
        <w:t xml:space="preserve">ltiples (FAM). </w:t>
      </w:r>
    </w:p>
    <w:p w14:paraId="0DED1457" w14:textId="77777777" w:rsidR="00D27F34" w:rsidRPr="002A329C" w:rsidRDefault="00D27F34" w:rsidP="002A329C">
      <w:pPr>
        <w:rPr>
          <w:rStyle w:val="Textoennegrita"/>
        </w:rPr>
      </w:pPr>
      <w:r w:rsidRPr="002A329C">
        <w:rPr>
          <w:rStyle w:val="Textoennegrita"/>
        </w:rPr>
        <w:t>Estos recursos deben destinarse exclusivamente a los siguientes prop</w:t>
      </w:r>
      <w:r w:rsidRPr="002A329C">
        <w:rPr>
          <w:rStyle w:val="Textoennegrita"/>
          <w:rFonts w:hint="eastAsia"/>
        </w:rPr>
        <w:t>ó</w:t>
      </w:r>
      <w:r w:rsidRPr="002A329C">
        <w:rPr>
          <w:rStyle w:val="Textoennegrita"/>
        </w:rPr>
        <w:t>sitos:</w:t>
      </w:r>
    </w:p>
    <w:p w14:paraId="7D37E908" w14:textId="05B66BF2" w:rsidR="00D27F34" w:rsidRPr="00D27F34" w:rsidRDefault="00D27F34" w:rsidP="00DD5EE2">
      <w:pPr>
        <w:pStyle w:val="Prrafodelista"/>
        <w:numPr>
          <w:ilvl w:val="0"/>
          <w:numId w:val="13"/>
        </w:numPr>
      </w:pPr>
      <w:r>
        <w:t>C</w:t>
      </w:r>
      <w:r w:rsidRPr="00D27F34">
        <w:t>onstrucci</w:t>
      </w:r>
      <w:r w:rsidRPr="00D27F34">
        <w:rPr>
          <w:rFonts w:hint="eastAsia"/>
        </w:rPr>
        <w:t>ó</w:t>
      </w:r>
      <w:r w:rsidRPr="00D27F34">
        <w:t>n, equipamiento y rehabilitaci</w:t>
      </w:r>
      <w:r w:rsidRPr="00D27F34">
        <w:rPr>
          <w:rFonts w:hint="eastAsia"/>
        </w:rPr>
        <w:t>ó</w:t>
      </w:r>
      <w:r w:rsidRPr="00D27F34">
        <w:t>n de infraestructura f</w:t>
      </w:r>
      <w:r w:rsidRPr="00D27F34">
        <w:rPr>
          <w:rFonts w:hint="eastAsia"/>
        </w:rPr>
        <w:t>í</w:t>
      </w:r>
      <w:r w:rsidRPr="00D27F34">
        <w:t>sica de los niveles de educaci</w:t>
      </w:r>
      <w:r w:rsidRPr="00D27F34">
        <w:rPr>
          <w:rFonts w:hint="eastAsia"/>
        </w:rPr>
        <w:t>ó</w:t>
      </w:r>
      <w:r w:rsidRPr="00D27F34">
        <w:t>n b</w:t>
      </w:r>
      <w:r w:rsidRPr="00D27F34">
        <w:rPr>
          <w:rFonts w:hint="eastAsia"/>
        </w:rPr>
        <w:t>á</w:t>
      </w:r>
      <w:r w:rsidRPr="00D27F34">
        <w:t>sica, media superior y superior en su modalidad universitaria seg</w:t>
      </w:r>
      <w:r w:rsidRPr="00D27F34">
        <w:rPr>
          <w:rFonts w:hint="eastAsia"/>
        </w:rPr>
        <w:t>ú</w:t>
      </w:r>
      <w:r>
        <w:t>n las necesidades de cada nivel.</w:t>
      </w:r>
    </w:p>
    <w:p w14:paraId="7AC4AFC2" w14:textId="77777777" w:rsidR="00D27F34" w:rsidRPr="002A329C" w:rsidRDefault="00D27F34" w:rsidP="002A329C">
      <w:pPr>
        <w:rPr>
          <w:rStyle w:val="Textoennegrita"/>
        </w:rPr>
      </w:pPr>
      <w:r w:rsidRPr="002A329C">
        <w:rPr>
          <w:rStyle w:val="Textoennegrita"/>
        </w:rPr>
        <w:t>Fondo de Aportaciones para la Educaci</w:t>
      </w:r>
      <w:r w:rsidRPr="002A329C">
        <w:rPr>
          <w:rStyle w:val="Textoennegrita"/>
          <w:rFonts w:hint="eastAsia"/>
        </w:rPr>
        <w:t>ó</w:t>
      </w:r>
      <w:r w:rsidRPr="002A329C">
        <w:rPr>
          <w:rStyle w:val="Textoennegrita"/>
        </w:rPr>
        <w:t>n Tecnol</w:t>
      </w:r>
      <w:r w:rsidRPr="002A329C">
        <w:rPr>
          <w:rStyle w:val="Textoennegrita"/>
          <w:rFonts w:hint="eastAsia"/>
        </w:rPr>
        <w:t>ó</w:t>
      </w:r>
      <w:r w:rsidRPr="002A329C">
        <w:rPr>
          <w:rStyle w:val="Textoennegrita"/>
        </w:rPr>
        <w:t xml:space="preserve">gica y de los Adultos (FAETA). </w:t>
      </w:r>
    </w:p>
    <w:p w14:paraId="6697A873" w14:textId="77777777" w:rsidR="00D27F34" w:rsidRPr="006E2FD5" w:rsidRDefault="00D27F34" w:rsidP="002A329C">
      <w:r w:rsidRPr="006E2FD5">
        <w:t>El monto de este fondo se determina en el Presupuesto de Egresos de la Federación. Estos recursos se deben destinar a la prestaci</w:t>
      </w:r>
      <w:r w:rsidRPr="006E2FD5">
        <w:rPr>
          <w:rFonts w:hint="eastAsia"/>
        </w:rPr>
        <w:t>ó</w:t>
      </w:r>
      <w:r w:rsidRPr="006E2FD5">
        <w:t>n de servicios de educaci</w:t>
      </w:r>
      <w:r w:rsidRPr="006E2FD5">
        <w:rPr>
          <w:rFonts w:hint="eastAsia"/>
        </w:rPr>
        <w:t>ó</w:t>
      </w:r>
      <w:r w:rsidRPr="006E2FD5">
        <w:t>n tecnol</w:t>
      </w:r>
      <w:r w:rsidRPr="006E2FD5">
        <w:rPr>
          <w:rFonts w:hint="eastAsia"/>
        </w:rPr>
        <w:t>ó</w:t>
      </w:r>
      <w:r w:rsidRPr="006E2FD5">
        <w:t>gica y de educaci</w:t>
      </w:r>
      <w:r w:rsidRPr="006E2FD5">
        <w:rPr>
          <w:rFonts w:hint="eastAsia"/>
        </w:rPr>
        <w:t>ó</w:t>
      </w:r>
      <w:r w:rsidRPr="006E2FD5">
        <w:t>n para adultos, cuya operaci</w:t>
      </w:r>
      <w:r w:rsidRPr="006E2FD5">
        <w:rPr>
          <w:rFonts w:hint="eastAsia"/>
        </w:rPr>
        <w:t>ó</w:t>
      </w:r>
      <w:r w:rsidRPr="006E2FD5">
        <w:t>n asuman los estados de conformidad con los convenios de coordinaci</w:t>
      </w:r>
      <w:r w:rsidRPr="006E2FD5">
        <w:rPr>
          <w:rFonts w:hint="eastAsia"/>
        </w:rPr>
        <w:t>ó</w:t>
      </w:r>
      <w:r w:rsidRPr="006E2FD5">
        <w:t>n suscritos con el Ejecutivo Federal, para la transferencia de recursos humanos, materiales y financieros necesarios para la prestaci</w:t>
      </w:r>
      <w:r w:rsidRPr="006E2FD5">
        <w:rPr>
          <w:rFonts w:hint="eastAsia"/>
        </w:rPr>
        <w:t>ó</w:t>
      </w:r>
      <w:r w:rsidRPr="006E2FD5">
        <w:t>n de dichos servicios.</w:t>
      </w:r>
    </w:p>
    <w:p w14:paraId="63263119" w14:textId="77777777" w:rsidR="00D27F34" w:rsidRPr="002A329C" w:rsidRDefault="00D27F34" w:rsidP="002A329C">
      <w:pPr>
        <w:rPr>
          <w:rStyle w:val="Textoennegrita"/>
        </w:rPr>
      </w:pPr>
      <w:r w:rsidRPr="002A329C">
        <w:rPr>
          <w:rStyle w:val="Textoennegrita"/>
        </w:rPr>
        <w:t xml:space="preserve">Fondo de Aportaciones para el Fortalecimiento de las Entidades Federativas (FAFEF). </w:t>
      </w:r>
    </w:p>
    <w:p w14:paraId="4B366672" w14:textId="77777777" w:rsidR="00D27F34" w:rsidRPr="006E2FD5" w:rsidRDefault="00D27F34" w:rsidP="002A329C">
      <w:r w:rsidRPr="006E2FD5">
        <w:t>El monto de este fondo se determina en el Presupuesto de Egresos de la Federación. Estos recursos se destinar</w:t>
      </w:r>
      <w:r w:rsidRPr="006E2FD5">
        <w:rPr>
          <w:rFonts w:hint="eastAsia"/>
        </w:rPr>
        <w:t>á</w:t>
      </w:r>
      <w:r w:rsidRPr="006E2FD5">
        <w:t xml:space="preserve">n exclusivamente a lo siguiente: </w:t>
      </w:r>
    </w:p>
    <w:p w14:paraId="0104FF81" w14:textId="5F76EB0D" w:rsidR="00D27F34" w:rsidRPr="005852BB" w:rsidRDefault="005852BB" w:rsidP="00DD5EE2">
      <w:pPr>
        <w:pStyle w:val="Prrafodelista"/>
        <w:numPr>
          <w:ilvl w:val="0"/>
          <w:numId w:val="13"/>
        </w:numPr>
      </w:pPr>
      <w:r w:rsidRPr="005852BB">
        <w:t>I</w:t>
      </w:r>
      <w:r w:rsidR="00D27F34" w:rsidRPr="005852BB">
        <w:t>nversi</w:t>
      </w:r>
      <w:r w:rsidR="00D27F34" w:rsidRPr="005852BB">
        <w:rPr>
          <w:rFonts w:hint="eastAsia"/>
        </w:rPr>
        <w:t>ó</w:t>
      </w:r>
      <w:r w:rsidR="00D27F34" w:rsidRPr="005852BB">
        <w:t>n en infraestructura f</w:t>
      </w:r>
      <w:r w:rsidR="00D27F34" w:rsidRPr="005852BB">
        <w:rPr>
          <w:rFonts w:hint="eastAsia"/>
        </w:rPr>
        <w:t>í</w:t>
      </w:r>
      <w:r w:rsidR="00D27F34" w:rsidRPr="005852BB">
        <w:t xml:space="preserve">sica; </w:t>
      </w:r>
    </w:p>
    <w:p w14:paraId="37CAB468" w14:textId="37FB35BA" w:rsidR="00D27F34" w:rsidRPr="005852BB" w:rsidRDefault="005852BB" w:rsidP="00DD5EE2">
      <w:pPr>
        <w:pStyle w:val="Prrafodelista"/>
        <w:numPr>
          <w:ilvl w:val="0"/>
          <w:numId w:val="13"/>
        </w:numPr>
      </w:pPr>
      <w:r w:rsidRPr="005852BB">
        <w:t>F</w:t>
      </w:r>
      <w:r w:rsidR="00D27F34" w:rsidRPr="005852BB">
        <w:t>ortalecimiento de proyectos de investigaci</w:t>
      </w:r>
      <w:r w:rsidR="00D27F34" w:rsidRPr="005852BB">
        <w:rPr>
          <w:rFonts w:hint="eastAsia"/>
        </w:rPr>
        <w:t>ó</w:t>
      </w:r>
      <w:r w:rsidR="00D27F34" w:rsidRPr="005852BB">
        <w:t>n cient</w:t>
      </w:r>
      <w:r w:rsidR="00D27F34" w:rsidRPr="005852BB">
        <w:rPr>
          <w:rFonts w:hint="eastAsia"/>
        </w:rPr>
        <w:t>í</w:t>
      </w:r>
      <w:r w:rsidR="00D27F34" w:rsidRPr="005852BB">
        <w:t>fica y desarrollo tecnol</w:t>
      </w:r>
      <w:r w:rsidR="00D27F34" w:rsidRPr="005852BB">
        <w:rPr>
          <w:rFonts w:hint="eastAsia"/>
        </w:rPr>
        <w:t>ó</w:t>
      </w:r>
      <w:r w:rsidR="00D27F34" w:rsidRPr="005852BB">
        <w:t xml:space="preserve">gico; </w:t>
      </w:r>
    </w:p>
    <w:p w14:paraId="180C53D8" w14:textId="77777777" w:rsidR="000C697D" w:rsidRDefault="005852BB" w:rsidP="00DD5EE2">
      <w:pPr>
        <w:pStyle w:val="Prrafodelista"/>
        <w:numPr>
          <w:ilvl w:val="0"/>
          <w:numId w:val="13"/>
        </w:numPr>
      </w:pPr>
      <w:r w:rsidRPr="005852BB">
        <w:lastRenderedPageBreak/>
        <w:t>A</w:t>
      </w:r>
      <w:r w:rsidR="00D27F34" w:rsidRPr="005852BB">
        <w:t>poyar la educaci</w:t>
      </w:r>
      <w:r w:rsidR="00D27F34" w:rsidRPr="005852BB">
        <w:rPr>
          <w:rFonts w:hint="eastAsia"/>
        </w:rPr>
        <w:t>ó</w:t>
      </w:r>
      <w:r w:rsidR="00D27F34" w:rsidRPr="005852BB">
        <w:t>n</w:t>
      </w:r>
      <w:r w:rsidR="00D27F34" w:rsidRPr="00573EC2">
        <w:t xml:space="preserve"> p</w:t>
      </w:r>
      <w:r w:rsidR="00D27F34" w:rsidRPr="00573EC2">
        <w:rPr>
          <w:rFonts w:hint="eastAsia"/>
        </w:rPr>
        <w:t>ú</w:t>
      </w:r>
      <w:r w:rsidR="00D27F34" w:rsidRPr="00573EC2">
        <w:t xml:space="preserve">blica; </w:t>
      </w:r>
    </w:p>
    <w:p w14:paraId="08F4F97C" w14:textId="72CDD41A" w:rsidR="00FC0F42" w:rsidRDefault="00FC0F42" w:rsidP="000C697D">
      <w:pPr>
        <w:rPr>
          <w:rStyle w:val="Textoennegrita"/>
        </w:rPr>
      </w:pPr>
    </w:p>
    <w:p w14:paraId="207D4120" w14:textId="7F3C3F34" w:rsidR="00D27F34" w:rsidRPr="000C697D" w:rsidRDefault="00D27F34" w:rsidP="000C697D">
      <w:pPr>
        <w:rPr>
          <w:rStyle w:val="Textoennegrita"/>
          <w:b w:val="0"/>
          <w:bCs w:val="0"/>
        </w:rPr>
      </w:pPr>
      <w:r w:rsidRPr="002A329C">
        <w:rPr>
          <w:rStyle w:val="Textoennegrita"/>
        </w:rPr>
        <w:t>RAMO 23 PROVISIONES SALARIALES Y ECON</w:t>
      </w:r>
      <w:r w:rsidRPr="002A329C">
        <w:rPr>
          <w:rStyle w:val="Textoennegrita"/>
          <w:rFonts w:hint="eastAsia"/>
        </w:rPr>
        <w:t>Ó</w:t>
      </w:r>
      <w:r w:rsidR="005852BB">
        <w:rPr>
          <w:rStyle w:val="Textoennegrita"/>
        </w:rPr>
        <w:t xml:space="preserve">MICAS </w:t>
      </w:r>
    </w:p>
    <w:p w14:paraId="15D94F0A" w14:textId="77777777" w:rsidR="005852BB" w:rsidRPr="005852BB" w:rsidRDefault="005852BB" w:rsidP="005852BB">
      <w:pPr>
        <w:spacing w:after="0" w:line="240" w:lineRule="auto"/>
        <w:jc w:val="left"/>
        <w:rPr>
          <w:rStyle w:val="Textoennegrita"/>
          <w:rFonts w:eastAsia="Times New Roman" w:cs="Futura"/>
          <w:bCs w:val="0"/>
        </w:rPr>
      </w:pPr>
    </w:p>
    <w:p w14:paraId="00382698" w14:textId="148D8AC2" w:rsidR="00D27F34" w:rsidRPr="006E2FD5" w:rsidRDefault="005852BB" w:rsidP="002A329C">
      <w:r w:rsidRPr="005852BB">
        <w:t>Este r</w:t>
      </w:r>
      <w:r w:rsidR="00D27F34" w:rsidRPr="005852BB">
        <w:t xml:space="preserve">amo </w:t>
      </w:r>
      <w:r w:rsidR="00D27F34" w:rsidRPr="006E2FD5">
        <w:t>incluye recursos del Fondo Regional, el Fondo Metropolitano, los Proyectos de Desarrollo Regional y el Fondo para el Fortalecimiento de la Infraestructura Estatal y Municipal.</w:t>
      </w:r>
    </w:p>
    <w:p w14:paraId="052D5104" w14:textId="77777777" w:rsidR="00D27F34" w:rsidRPr="006E2FD5" w:rsidRDefault="00D27F34" w:rsidP="002A329C">
      <w:r w:rsidRPr="006E2FD5">
        <w:t>Los Proyectos de Desarrollo Regional se destinan a proyectos de inversi</w:t>
      </w:r>
      <w:r w:rsidRPr="006E2FD5">
        <w:rPr>
          <w:rFonts w:hint="eastAsia"/>
        </w:rPr>
        <w:t>ó</w:t>
      </w:r>
      <w:r w:rsidRPr="006E2FD5">
        <w:t>n en infraestructura y su equipamiento con impacto en el desarrollo regional.</w:t>
      </w:r>
    </w:p>
    <w:p w14:paraId="46CFBF94" w14:textId="46AD55A5" w:rsidR="00573EC2" w:rsidRPr="006E2FD5" w:rsidRDefault="00D27F34" w:rsidP="002A329C">
      <w:r w:rsidRPr="006E2FD5">
        <w:t>El Fondo para el Fortalecimiento de la Infraestructura Estatal y Municipal se destina a los proyectos de obra p</w:t>
      </w:r>
      <w:r w:rsidRPr="006E2FD5">
        <w:rPr>
          <w:rFonts w:hint="eastAsia"/>
        </w:rPr>
        <w:t>ú</w:t>
      </w:r>
      <w:r w:rsidRPr="006E2FD5">
        <w:t>blica de pavimentaci</w:t>
      </w:r>
      <w:r w:rsidRPr="006E2FD5">
        <w:rPr>
          <w:rFonts w:hint="eastAsia"/>
        </w:rPr>
        <w:t>ó</w:t>
      </w:r>
      <w:r w:rsidRPr="006E2FD5">
        <w:t>n, mantenimiento de v</w:t>
      </w:r>
      <w:r w:rsidRPr="006E2FD5">
        <w:rPr>
          <w:rFonts w:hint="eastAsia"/>
        </w:rPr>
        <w:t>í</w:t>
      </w:r>
      <w:r w:rsidRPr="006E2FD5">
        <w:t>as, drenaje y alcantarillado, alumbrado, rehabilitaci</w:t>
      </w:r>
      <w:r w:rsidRPr="006E2FD5">
        <w:rPr>
          <w:rFonts w:hint="eastAsia"/>
        </w:rPr>
        <w:t>ó</w:t>
      </w:r>
      <w:r w:rsidRPr="006E2FD5">
        <w:t>n de espacios educativos, culturales, deportivos, entre otros, cuyos recursos de destinar</w:t>
      </w:r>
      <w:r w:rsidRPr="006E2FD5">
        <w:rPr>
          <w:rFonts w:hint="eastAsia"/>
        </w:rPr>
        <w:t>á</w:t>
      </w:r>
      <w:r w:rsidRPr="006E2FD5">
        <w:t>n a las entidades federativas, municipios y demarcaciones territoriales de la</w:t>
      </w:r>
      <w:r w:rsidR="00573EC2" w:rsidRPr="006E2FD5">
        <w:t xml:space="preserve"> </w:t>
      </w:r>
      <w:r w:rsidRPr="006E2FD5">
        <w:t>Ciudad de M</w:t>
      </w:r>
      <w:r w:rsidRPr="006E2FD5">
        <w:rPr>
          <w:rFonts w:hint="eastAsia"/>
        </w:rPr>
        <w:t>é</w:t>
      </w:r>
      <w:r w:rsidRPr="006E2FD5">
        <w:t>xico, sujet</w:t>
      </w:r>
      <w:r w:rsidRPr="006E2FD5">
        <w:rPr>
          <w:rFonts w:hint="eastAsia"/>
        </w:rPr>
        <w:t>á</w:t>
      </w:r>
      <w:r w:rsidRPr="006E2FD5">
        <w:t xml:space="preserve">ndose a lo establecido en el Decreto </w:t>
      </w:r>
      <w:r w:rsidRPr="005852BB">
        <w:t xml:space="preserve">de </w:t>
      </w:r>
      <w:r w:rsidR="005852BB" w:rsidRPr="005852BB">
        <w:t xml:space="preserve">Presupuesto de Egresos Federal </w:t>
      </w:r>
      <w:r w:rsidRPr="006E2FD5">
        <w:t xml:space="preserve"> p</w:t>
      </w:r>
      <w:r w:rsidR="00573EC2" w:rsidRPr="006E2FD5">
        <w:t>ara ejercicio fiscal aplicable.</w:t>
      </w:r>
    </w:p>
    <w:p w14:paraId="31AD2113" w14:textId="2AF56C41" w:rsidR="00D27F34" w:rsidRPr="002A329C" w:rsidRDefault="00D27F34" w:rsidP="002A329C">
      <w:pPr>
        <w:rPr>
          <w:rStyle w:val="Textoennegrita"/>
        </w:rPr>
      </w:pPr>
      <w:r w:rsidRPr="002A329C">
        <w:rPr>
          <w:rStyle w:val="Textoennegrita"/>
        </w:rPr>
        <w:t>RAMO 11. EDUCACIÓN PÚBLICA.</w:t>
      </w:r>
    </w:p>
    <w:p w14:paraId="59DAA2A1" w14:textId="1977D6B9" w:rsidR="00D27F34" w:rsidRPr="002A329C" w:rsidRDefault="00F45F82" w:rsidP="002A329C">
      <w:pPr>
        <w:rPr>
          <w:rStyle w:val="Textoennegrita"/>
        </w:rPr>
      </w:pPr>
      <w:r>
        <w:rPr>
          <w:rStyle w:val="Textoennegrita"/>
        </w:rPr>
        <w:t xml:space="preserve">Programa Desarrollo de </w:t>
      </w:r>
      <w:r w:rsidR="00DE4867">
        <w:rPr>
          <w:rStyle w:val="Textoennegrita"/>
        </w:rPr>
        <w:t xml:space="preserve"> Aprendizajes Significativos de Educación Básica</w:t>
      </w:r>
    </w:p>
    <w:p w14:paraId="3423BE17" w14:textId="5951F9CF" w:rsidR="00DE4867" w:rsidRPr="00DE4867" w:rsidRDefault="00D27F34" w:rsidP="00DE4867">
      <w:pPr>
        <w:pStyle w:val="texto0"/>
        <w:spacing w:line="276" w:lineRule="auto"/>
        <w:ind w:firstLine="0"/>
        <w:rPr>
          <w:rFonts w:ascii="Futura T OT" w:eastAsiaTheme="minorEastAsia" w:hAnsi="Futura T OT" w:cstheme="minorBidi"/>
          <w:color w:val="595959"/>
          <w:sz w:val="24"/>
          <w:szCs w:val="24"/>
          <w:lang w:val="es-ES_tradnl" w:eastAsia="es-ES"/>
        </w:rPr>
      </w:pPr>
      <w:r w:rsidRPr="00DE4867">
        <w:rPr>
          <w:rFonts w:ascii="Futura T OT" w:eastAsiaTheme="minorEastAsia" w:hAnsi="Futura T OT" w:cstheme="minorBidi"/>
          <w:color w:val="595959"/>
          <w:sz w:val="24"/>
          <w:szCs w:val="24"/>
          <w:lang w:val="es-ES_tradnl" w:eastAsia="es-ES"/>
        </w:rPr>
        <w:t xml:space="preserve">Recursos destinados </w:t>
      </w:r>
      <w:r w:rsidR="00DE4867" w:rsidRPr="00DE4867">
        <w:rPr>
          <w:rFonts w:ascii="Futura T OT" w:eastAsiaTheme="minorEastAsia" w:hAnsi="Futura T OT" w:cstheme="minorBidi"/>
          <w:color w:val="595959"/>
          <w:sz w:val="24"/>
          <w:szCs w:val="24"/>
          <w:lang w:val="es-ES_tradnl" w:eastAsia="es-ES"/>
        </w:rPr>
        <w:t>a escuelas públicas de educación básica focal</w:t>
      </w:r>
      <w:r w:rsidR="00DE4867">
        <w:rPr>
          <w:rFonts w:ascii="Futura T OT" w:eastAsiaTheme="minorEastAsia" w:hAnsi="Futura T OT" w:cstheme="minorBidi"/>
          <w:color w:val="595959"/>
          <w:sz w:val="24"/>
          <w:szCs w:val="24"/>
          <w:lang w:val="es-ES_tradnl" w:eastAsia="es-ES"/>
        </w:rPr>
        <w:t>izadas e incorporadas por la Autoridad Educativa Local</w:t>
      </w:r>
      <w:r w:rsidR="00DE4867" w:rsidRPr="00DE4867">
        <w:rPr>
          <w:rFonts w:ascii="Futura T OT" w:eastAsiaTheme="minorEastAsia" w:hAnsi="Futura T OT" w:cstheme="minorBidi"/>
          <w:color w:val="595959"/>
          <w:sz w:val="24"/>
          <w:szCs w:val="24"/>
          <w:lang w:val="es-ES_tradnl" w:eastAsia="es-ES"/>
        </w:rPr>
        <w:t>, que concentren la mayor cantidad de alumnos/as, con niveles de logro académico más bajo en lenguaje y comunicación y/o pensamiento matemático y científico, cívica, ética e historia; con base en evaluaciones recientes; priorizando aquellas que se encuentren ubicadas en comunidades con alto índice de pobreza extrema, violencia</w:t>
      </w:r>
      <w:r w:rsidR="005E6EC4">
        <w:rPr>
          <w:rFonts w:ascii="Futura T OT" w:eastAsiaTheme="minorEastAsia" w:hAnsi="Futura T OT" w:cstheme="minorBidi"/>
          <w:color w:val="595959"/>
          <w:sz w:val="24"/>
          <w:szCs w:val="24"/>
          <w:lang w:val="es-ES_tradnl" w:eastAsia="es-ES"/>
        </w:rPr>
        <w:t xml:space="preserve"> </w:t>
      </w:r>
      <w:r w:rsidR="00DE4867" w:rsidRPr="00DE4867">
        <w:rPr>
          <w:rFonts w:ascii="Futura T OT" w:eastAsiaTheme="minorEastAsia" w:hAnsi="Futura T OT" w:cstheme="minorBidi"/>
          <w:color w:val="595959"/>
          <w:sz w:val="24"/>
          <w:szCs w:val="24"/>
          <w:lang w:val="es-ES_tradnl" w:eastAsia="es-ES"/>
        </w:rPr>
        <w:t>y/o zonas indígenas.</w:t>
      </w:r>
    </w:p>
    <w:p w14:paraId="48E76C30" w14:textId="63A88A8C" w:rsidR="00D27F34" w:rsidRPr="002A329C" w:rsidRDefault="00D27F34" w:rsidP="002A329C">
      <w:pPr>
        <w:rPr>
          <w:rStyle w:val="Textoennegrita"/>
        </w:rPr>
      </w:pPr>
      <w:r w:rsidRPr="002A329C">
        <w:rPr>
          <w:rStyle w:val="Textoennegrita"/>
        </w:rPr>
        <w:t xml:space="preserve">Programa Nacional de </w:t>
      </w:r>
      <w:r w:rsidR="002A329C">
        <w:rPr>
          <w:rStyle w:val="Textoennegrita"/>
        </w:rPr>
        <w:t>I</w:t>
      </w:r>
      <w:r w:rsidR="002A329C" w:rsidRPr="002A329C">
        <w:rPr>
          <w:rStyle w:val="Textoennegrita"/>
        </w:rPr>
        <w:t>nglés</w:t>
      </w:r>
      <w:r w:rsidRPr="002A329C">
        <w:rPr>
          <w:rStyle w:val="Textoennegrita"/>
        </w:rPr>
        <w:t xml:space="preserve">. </w:t>
      </w:r>
    </w:p>
    <w:p w14:paraId="712E46D3" w14:textId="20497E69" w:rsidR="00D27F34" w:rsidRPr="006E2FD5" w:rsidRDefault="00D27F34" w:rsidP="00DE4867">
      <w:r w:rsidRPr="006E2FD5">
        <w:t xml:space="preserve">Recursos destinados para </w:t>
      </w:r>
      <w:r w:rsidR="00DE4867">
        <w:t>f</w:t>
      </w:r>
      <w:r w:rsidR="00DE4867" w:rsidRPr="00DE4867">
        <w:t>ortalecer a las escuelas públicas de nivel preescolar, primarias regulares, secundarias generales y técnicas, focalizadas y/o seleccionadas por las AEL, para impartir una lengua extranjera (inglés), mediante el establecimiento de condiciones técnicas y pedagógicas, beneficiando a las escuelas públicas de educación básica de organización completa, multigrado, indígenas, de jornada regular y/o de tiempo completo.</w:t>
      </w:r>
    </w:p>
    <w:p w14:paraId="1760013E" w14:textId="35F99A1A" w:rsidR="00D27F34" w:rsidRPr="002A329C" w:rsidRDefault="00297773" w:rsidP="002A329C">
      <w:pPr>
        <w:rPr>
          <w:rStyle w:val="Textoennegrita"/>
        </w:rPr>
      </w:pPr>
      <w:r>
        <w:rPr>
          <w:rStyle w:val="Textoennegrita"/>
        </w:rPr>
        <w:lastRenderedPageBreak/>
        <w:t xml:space="preserve">Programa Fortalecimiento de los Servicios de Educación Especial </w:t>
      </w:r>
    </w:p>
    <w:p w14:paraId="591C7346" w14:textId="3BD18C97" w:rsidR="00D27F34" w:rsidRDefault="00D27F34" w:rsidP="002A329C">
      <w:r w:rsidRPr="006E2FD5">
        <w:t xml:space="preserve">Recursos destinados a </w:t>
      </w:r>
      <w:r w:rsidR="00297773">
        <w:t>c</w:t>
      </w:r>
      <w:r w:rsidR="00297773" w:rsidRPr="00297773">
        <w:t>ontribuir al fortalecimiento de los servicios de educación especial que atienden alumnado con discapacidad y aptitudes sobresalientes que enfrenta barreras para el aprendizaje y la participación, en educación básica.</w:t>
      </w:r>
    </w:p>
    <w:p w14:paraId="710B605C" w14:textId="2181C7D7" w:rsidR="0007296B" w:rsidRDefault="00F45F82" w:rsidP="0007296B">
      <w:pPr>
        <w:rPr>
          <w:rStyle w:val="Textoennegrita"/>
        </w:rPr>
      </w:pPr>
      <w:r>
        <w:rPr>
          <w:rStyle w:val="Textoennegrita"/>
        </w:rPr>
        <w:t xml:space="preserve">Programa Atención a la Diversidad de la </w:t>
      </w:r>
      <w:r w:rsidR="0007296B">
        <w:rPr>
          <w:rStyle w:val="Textoennegrita"/>
        </w:rPr>
        <w:t xml:space="preserve"> Educación Indígena</w:t>
      </w:r>
    </w:p>
    <w:p w14:paraId="54396AF8" w14:textId="34BC33C7" w:rsidR="0007296B" w:rsidRDefault="0007296B" w:rsidP="0007296B">
      <w:r w:rsidRPr="006E2FD5">
        <w:t>Recursos destinados</w:t>
      </w:r>
      <w:r>
        <w:t xml:space="preserve"> a c</w:t>
      </w:r>
      <w:r w:rsidRPr="0007296B">
        <w:t>ontribuir a la permanencia, desarrollo y conclusión del grado y nivel académico de las niñas, niños, adolescentes y jóvenes estudiantes, de 5 a 29 años de edad, pertenecientes a los pueblos y comunidades indígenas y afromexicanas, inscritos en escuelas públicas de los niveles básico, medio superior, superior y maestría, por medio de servicios de alimentación, hospedaje, becas y actividades complementarias, priorizando aquellos que no tienen opciones educativas en su comunidad, con la finalidad de mejorar el acceso a la educación y disminuir el rezago educativo de esta población.</w:t>
      </w:r>
    </w:p>
    <w:p w14:paraId="331B27AB" w14:textId="77777777" w:rsidR="0007296B" w:rsidRDefault="0007296B" w:rsidP="0007296B"/>
    <w:p w14:paraId="6868844B" w14:textId="77777777" w:rsidR="00D27F34" w:rsidRPr="002A329C" w:rsidRDefault="00D27F34" w:rsidP="002A329C">
      <w:pPr>
        <w:rPr>
          <w:rStyle w:val="Textoennegrita"/>
        </w:rPr>
      </w:pPr>
      <w:r w:rsidRPr="002A329C">
        <w:rPr>
          <w:rStyle w:val="Textoennegrita"/>
        </w:rPr>
        <w:t>Programa Escuelas de Tiempo Completo.</w:t>
      </w:r>
    </w:p>
    <w:p w14:paraId="0CA82D42" w14:textId="5396D7C0" w:rsidR="00D27F34" w:rsidRPr="006E2FD5" w:rsidRDefault="00D27F34" w:rsidP="002A329C">
      <w:r w:rsidRPr="006E2FD5">
        <w:t xml:space="preserve">Recursos destinados a establecer </w:t>
      </w:r>
      <w:r w:rsidR="00FD5710" w:rsidRPr="00FD5710">
        <w:t>de forma gradual y progresiva de acuerdo con la suficiencia presupuestaria, escuelas con horario completo en educación básica, con jornadas de entre 6 y 8 horas diarias, para promover un mejor aprovechamiento del tiempo disponible, generar un mayor desempeño académico y el desarrollo de actividades que podrán estar relacionadas con el conocimiento del civismo, humanidades, ciencia y tecnología, artes, en especial la música, la educación física y la protección al medio ambiente.</w:t>
      </w:r>
    </w:p>
    <w:p w14:paraId="2ADCE1B1" w14:textId="77777777" w:rsidR="00D27F34" w:rsidRPr="002A329C" w:rsidRDefault="00D27F34" w:rsidP="002A329C">
      <w:pPr>
        <w:rPr>
          <w:rStyle w:val="Textoennegrita"/>
        </w:rPr>
      </w:pPr>
      <w:r w:rsidRPr="002A329C">
        <w:rPr>
          <w:rStyle w:val="Textoennegrita"/>
        </w:rPr>
        <w:t>Programa Nacional de Convivencia Escolar.</w:t>
      </w:r>
    </w:p>
    <w:p w14:paraId="76CB1D49" w14:textId="6DF99AB4" w:rsidR="00D27F34" w:rsidRDefault="00D27F34" w:rsidP="002A329C">
      <w:r w:rsidRPr="006E2FD5">
        <w:t xml:space="preserve">Recursos destinados a </w:t>
      </w:r>
      <w:r w:rsidR="006E0D01">
        <w:t>f</w:t>
      </w:r>
      <w:r w:rsidR="006E0D01" w:rsidRPr="006E0D01">
        <w:t>avorecer el establecimiento de ambientes de convivencia escolar pacífica, inclusiva y democrática que coadyuven a prevenir situaciones de discriminación y de acoso escolar en escuelas públicas de Educación Básica que participen en el PNCE, contribuyendo a la mejora del clima escolar y el impulso de una cultura de paz.</w:t>
      </w:r>
    </w:p>
    <w:p w14:paraId="1BB0EFDE" w14:textId="0A56EDB4" w:rsidR="00264E76" w:rsidRPr="00140688" w:rsidRDefault="00264E76" w:rsidP="002A329C">
      <w:pPr>
        <w:rPr>
          <w:rStyle w:val="Textoennegrita"/>
        </w:rPr>
      </w:pPr>
      <w:r w:rsidRPr="00140688">
        <w:rPr>
          <w:rStyle w:val="Textoennegrita"/>
        </w:rPr>
        <w:t xml:space="preserve">Programa </w:t>
      </w:r>
      <w:r w:rsidR="00140688" w:rsidRPr="00140688">
        <w:rPr>
          <w:rStyle w:val="Textoennegrita"/>
        </w:rPr>
        <w:t>Atención Educativa de la Población Escolar Migrante</w:t>
      </w:r>
    </w:p>
    <w:p w14:paraId="7EED942B" w14:textId="6D29CAC6" w:rsidR="00264E76" w:rsidRPr="006E2FD5" w:rsidRDefault="00264E76" w:rsidP="002A329C">
      <w:r>
        <w:lastRenderedPageBreak/>
        <w:t>Recursos destinados a f</w:t>
      </w:r>
      <w:r w:rsidRPr="00264E76">
        <w:t>avorecer el acceso de la población migrante a la educación básica en los centros de educación migrante.</w:t>
      </w:r>
    </w:p>
    <w:p w14:paraId="692F7F7D" w14:textId="1AE1D8F2" w:rsidR="00D27F34" w:rsidRDefault="00D27F34" w:rsidP="002A329C">
      <w:pPr>
        <w:rPr>
          <w:rStyle w:val="Textoennegrita"/>
        </w:rPr>
      </w:pPr>
      <w:r w:rsidRPr="002A329C">
        <w:rPr>
          <w:rStyle w:val="Textoennegrita"/>
        </w:rPr>
        <w:t>Programa para el Desarrollo Profesional Docente.</w:t>
      </w:r>
    </w:p>
    <w:p w14:paraId="654C802C" w14:textId="7D4FFAB1" w:rsidR="00D43454" w:rsidRDefault="00D43454" w:rsidP="00D43454">
      <w:r>
        <w:t>Recursos destinados  a  fortalecer el perfil necesario para el desempeño de las funciones de los  profesores de tiempo completo, personal docente y personal con funciones de . dirección, supervisión o asesoría técnico pedagógica, mediante el acceso y/o conclusión de programas de formación, actualización académica, capacitación</w:t>
      </w:r>
      <w:r w:rsidR="00A24400">
        <w:t xml:space="preserve">. </w:t>
      </w:r>
    </w:p>
    <w:p w14:paraId="586E9D87" w14:textId="1F0E7437" w:rsidR="007F6976" w:rsidRPr="007F6976" w:rsidRDefault="001A3F45" w:rsidP="00D43454">
      <w:pPr>
        <w:rPr>
          <w:b/>
        </w:rPr>
      </w:pPr>
      <w:r>
        <w:rPr>
          <w:b/>
        </w:rPr>
        <w:t>Programa</w:t>
      </w:r>
      <w:r w:rsidR="007F6976" w:rsidRPr="007F6976">
        <w:rPr>
          <w:b/>
        </w:rPr>
        <w:t xml:space="preserve"> Expansión de la Educación Inicial</w:t>
      </w:r>
    </w:p>
    <w:p w14:paraId="3B7F91F4" w14:textId="2AAEE96B" w:rsidR="007F6976" w:rsidRDefault="007F6976" w:rsidP="007F6976">
      <w:r>
        <w:t xml:space="preserve">Recursos destinados a ampliar la cobertura de los servicios de educación inicial a través de modalidades escolarizadas y no escolarizadas. </w:t>
      </w:r>
    </w:p>
    <w:p w14:paraId="133D683E" w14:textId="0E167AB7" w:rsidR="00D56745" w:rsidRPr="0001093B" w:rsidRDefault="00D56745" w:rsidP="007F6976">
      <w:pPr>
        <w:rPr>
          <w:b/>
        </w:rPr>
      </w:pPr>
      <w:r w:rsidRPr="0001093B">
        <w:rPr>
          <w:b/>
        </w:rPr>
        <w:t xml:space="preserve">Estrategia </w:t>
      </w:r>
      <w:r w:rsidR="0001093B" w:rsidRPr="0001093B">
        <w:rPr>
          <w:b/>
        </w:rPr>
        <w:t xml:space="preserve">para el Desarrollo Institucional de la Escuela Normal </w:t>
      </w:r>
    </w:p>
    <w:p w14:paraId="0F6E819F" w14:textId="6A581E0B" w:rsidR="0001093B" w:rsidRDefault="00125337" w:rsidP="00125337">
      <w:r>
        <w:t>Apoyar a las Instituciones de Educación Superior Públicas con recursos financieros necesarios para desarrollar sus capacidades académicas y de gestión, a fin de contar con programas educativos evaluables de técnico superior universitario y · licenciatura, con calidad reconocida por las instancias responsables de otorgar · dicho reconocimiento.</w:t>
      </w:r>
    </w:p>
    <w:p w14:paraId="647162C8" w14:textId="77777777" w:rsidR="00FC0F42" w:rsidRPr="00FC0F42" w:rsidRDefault="00FC0F42" w:rsidP="00FC0F42">
      <w:pPr>
        <w:rPr>
          <w:b/>
        </w:rPr>
      </w:pPr>
      <w:r w:rsidRPr="00FC0F42">
        <w:rPr>
          <w:b/>
        </w:rPr>
        <w:t xml:space="preserve">Subsidios federales para organismos descentralizados estatales. </w:t>
      </w:r>
    </w:p>
    <w:p w14:paraId="51858382" w14:textId="74E3DBBA" w:rsidR="00FC0F42" w:rsidRPr="00125337" w:rsidRDefault="00FC0F42" w:rsidP="00FC0F42">
      <w:pPr>
        <w:rPr>
          <w:b/>
          <w:bCs/>
        </w:rPr>
      </w:pPr>
      <w:r>
        <w:t>Entrega recursos federales a las secretarías de finanzas estatales para que éstas los entreguen a organismos descentralizados estatales (ODE) de educación media superior (EMS), superior (ES) y de formación para el trabajo (FT) que operan en los estados.</w:t>
      </w:r>
    </w:p>
    <w:p w14:paraId="08D241D8" w14:textId="77777777" w:rsidR="00D27F34" w:rsidRPr="002A329C" w:rsidRDefault="00D27F34" w:rsidP="002A329C">
      <w:pPr>
        <w:rPr>
          <w:rStyle w:val="Textoennegrita"/>
        </w:rPr>
      </w:pPr>
      <w:r w:rsidRPr="002A329C">
        <w:rPr>
          <w:rStyle w:val="Textoennegrita"/>
        </w:rPr>
        <w:t>RAMO 38 FONDO DEL CONSEJO NACIONAL DE CIENCIA Y TECNOLOGÍA (FEDERAL)</w:t>
      </w:r>
    </w:p>
    <w:p w14:paraId="3F910C27" w14:textId="5D2CD6AA" w:rsidR="00364E7E" w:rsidRDefault="00D27F34" w:rsidP="00B5191B">
      <w:pPr>
        <w:rPr>
          <w:rStyle w:val="Textoennegrita"/>
        </w:rPr>
      </w:pPr>
      <w:r w:rsidRPr="006E2FD5">
        <w:t xml:space="preserve">Los recursos de este </w:t>
      </w:r>
      <w:r w:rsidR="00F141D7" w:rsidRPr="00F141D7">
        <w:t>r</w:t>
      </w:r>
      <w:r w:rsidRPr="00F141D7">
        <w:t xml:space="preserve">amo </w:t>
      </w:r>
      <w:r w:rsidRPr="006E2FD5">
        <w:t>contribuyen a que la inversión nacional en investigación científica y desarrollo tecnológico crezca anualmente, con la concurrencia de recursos provenientes de todos los actores involucrados en el tema. Con este propósito, el presupuesto asignado a los programas sustantivos del Ramo 38, se destina principalmente a proyectos que incidan en el Gasto en Investigación Científica y Desarrollo Experimental, con la finalidad de disminuir la brecha que existe con relación a</w:t>
      </w:r>
      <w:r w:rsidR="00573EC2" w:rsidRPr="006E2FD5">
        <w:t xml:space="preserve"> otros países socios de México.</w:t>
      </w:r>
      <w:r w:rsidR="00364E7E">
        <w:rPr>
          <w:rStyle w:val="Textoennegrita"/>
        </w:rPr>
        <w:br w:type="page"/>
      </w:r>
    </w:p>
    <w:p w14:paraId="64767DEA" w14:textId="763324E4" w:rsidR="00D27F34" w:rsidRPr="002A329C" w:rsidRDefault="00D27F34" w:rsidP="002A329C">
      <w:pPr>
        <w:rPr>
          <w:rStyle w:val="Textoennegrita"/>
        </w:rPr>
      </w:pPr>
      <w:r w:rsidRPr="002A329C">
        <w:rPr>
          <w:rStyle w:val="Textoennegrita"/>
        </w:rPr>
        <w:lastRenderedPageBreak/>
        <w:t>RECURSOS DE LIBRE DISPOSICIÓN DE ORIGEN ESTATAL:</w:t>
      </w:r>
    </w:p>
    <w:p w14:paraId="397F7C87" w14:textId="67B1D07E" w:rsidR="00D27F34" w:rsidRPr="006E2FD5" w:rsidRDefault="00D27F34" w:rsidP="002A329C">
      <w:r w:rsidRPr="006E2FD5">
        <w:t xml:space="preserve">Ingresos que el Estado destina para el fortalecimiento de la infraestructura educativa, equipamiento y operación de los </w:t>
      </w:r>
      <w:r w:rsidR="00573EC2" w:rsidRPr="006E2FD5">
        <w:t>organismos educativos.</w:t>
      </w:r>
    </w:p>
    <w:p w14:paraId="6AD9115F" w14:textId="77777777" w:rsidR="00D27F34" w:rsidRPr="002A329C" w:rsidRDefault="00D27F34" w:rsidP="002A329C">
      <w:pPr>
        <w:rPr>
          <w:rStyle w:val="Textoennegrita"/>
        </w:rPr>
      </w:pPr>
      <w:r w:rsidRPr="002A329C">
        <w:rPr>
          <w:rStyle w:val="Textoennegrita"/>
        </w:rPr>
        <w:t>INGRESOS PROPIOS.</w:t>
      </w:r>
    </w:p>
    <w:p w14:paraId="4F449907" w14:textId="1284738E" w:rsidR="00D27F34" w:rsidRPr="006E2FD5" w:rsidRDefault="00D27F34" w:rsidP="002A329C">
      <w:r w:rsidRPr="006E2FD5">
        <w:t>Ingresos que recaudan los organismos por concepto servicios prestados a la ciudadanía en apego a los objetivos del decreto de creación. Estos recursos se destinan para el fortalecimiento de la infraestructura educa</w:t>
      </w:r>
      <w:r w:rsidR="00573EC2" w:rsidRPr="006E2FD5">
        <w:t>tiva, equipamiento y operación.</w:t>
      </w:r>
    </w:p>
    <w:p w14:paraId="15AF75EA" w14:textId="251F139D" w:rsidR="00D27F34" w:rsidRDefault="00D27F34" w:rsidP="002A329C">
      <w:r w:rsidRPr="006E2FD5">
        <w:t xml:space="preserve">Así como los </w:t>
      </w:r>
      <w:r w:rsidR="002A329C" w:rsidRPr="006E2FD5">
        <w:t>instrumentos de</w:t>
      </w:r>
      <w:r w:rsidRPr="006E2FD5">
        <w:t xml:space="preserve"> concertación que la federación, el estado, municipio, organismos públicos y privados tengan a bien convenir con el Sector Educativo. La ejecución de los diferentes proyectos y metas dependerá de la disponibilidad financiera y a las políticas presupuestales prevalecientes en los años de </w:t>
      </w:r>
      <w:r w:rsidR="000F4D10">
        <w:t xml:space="preserve">vigencia de la actualización del </w:t>
      </w:r>
      <w:r w:rsidR="00B636FA">
        <w:t>Programa Sectorial de Educación Pública de Calidad 2016-2022.</w:t>
      </w:r>
    </w:p>
    <w:p w14:paraId="344044E1" w14:textId="4B7FA8CA" w:rsidR="00686716" w:rsidRPr="00686716" w:rsidRDefault="00686716" w:rsidP="002A329C">
      <w:pPr>
        <w:rPr>
          <w:rStyle w:val="Textoennegrita"/>
        </w:rPr>
      </w:pPr>
      <w:r w:rsidRPr="00686716">
        <w:rPr>
          <w:rStyle w:val="Textoennegrita"/>
        </w:rPr>
        <w:t xml:space="preserve">Capacitación para el Trabajo </w:t>
      </w:r>
    </w:p>
    <w:p w14:paraId="7AFD67EA" w14:textId="622D08F5" w:rsidR="00686716" w:rsidRPr="00686716" w:rsidRDefault="00686716" w:rsidP="00686716">
      <w:r w:rsidRPr="00686716">
        <w:t>Los recursos presupuestados en el Ramo 11 en el cual se canalizan los recursos al Programa Federal U006 “Subsidios federales para organismos descentralizados estatales” de la Secretaría de Educación Pública (SEP) y  según acuerdo estipulado en Anexo de Ejecución entre la Federación, el Estado de Quintana Roo</w:t>
      </w:r>
      <w:r>
        <w:t xml:space="preserve"> y el</w:t>
      </w:r>
      <w:r w:rsidRPr="00686716">
        <w:t xml:space="preserve"> Instituto</w:t>
      </w:r>
      <w:r>
        <w:t xml:space="preserve"> de Capacitación para el Trabajo</w:t>
      </w:r>
      <w:r w:rsidRPr="00686716">
        <w:t>, se conforma para su financiamiento con el 60% de recursos que provienen de la federación los cuales transfiere a la Secretaría de Finanzas y Planeación del Estado de Quintana Roo, el Estado de Quintana Roo en contraparte aporta el  40%  de origen Estatal y en conjunto con la aportación Federal se transfieren el 100% al Instituto de Capacitación para el Trabajo del Estado de Quintana Roo el cual cuenta con el Programa Estatal de “Capacitación y Certificación para y en el Trabajo”, en este mismo sentido este Instituto recauda Ingresos Propios proveniente de la venta de servicios que ofrece al sector privado, organizaciones civiles, dependencias federales, estatales y municipales así como también a la ciudadanía que lo solicite.</w:t>
      </w:r>
    </w:p>
    <w:p w14:paraId="66887B62" w14:textId="77777777" w:rsidR="00686716" w:rsidRPr="001824D0" w:rsidRDefault="00686716" w:rsidP="00686716">
      <w:pPr>
        <w:rPr>
          <w:rStyle w:val="Textoennegrita"/>
        </w:rPr>
      </w:pPr>
      <w:r w:rsidRPr="001824D0">
        <w:rPr>
          <w:rStyle w:val="Textoennegrita"/>
        </w:rPr>
        <w:t>Programa: Capacitación y Certificación para y en el trabajo</w:t>
      </w:r>
    </w:p>
    <w:p w14:paraId="1CF256B7" w14:textId="74DB5F61" w:rsidR="00686716" w:rsidRPr="00686716" w:rsidRDefault="00686716" w:rsidP="00686716">
      <w:r w:rsidRPr="00686716">
        <w:t xml:space="preserve">En conformidad son recursos Federales (60%) y Estatales (40%) los cuales se destinan para promover en el Estado de Quintana Roo servicios educativos del tipo medio superior </w:t>
      </w:r>
      <w:r w:rsidRPr="00686716">
        <w:lastRenderedPageBreak/>
        <w:t>dentro del sistema nacional de bachillerato, así como para fortalecer la Capacitación y Certificación para y en el Trabajo, las transferencias monetarias se erogan por los conceptos de servicios personales y gastos de operación necesarios para la prestación de servicios de capacitación y certificación a la población. En cuanto a los Ingresos Propios son recursos que recaudan los organismos descentralizados por concepto de servicios prestados a la ciudadanía en apego a los objetivos del decreto de creación, estos recursos se destinan para el fortalecimiento</w:t>
      </w:r>
      <w:r w:rsidR="00B3477C">
        <w:t xml:space="preserve"> de la operación y equipamiento.</w:t>
      </w:r>
    </w:p>
    <w:p w14:paraId="5DA49C98" w14:textId="22AA810D" w:rsidR="002D5438" w:rsidRDefault="002D5438">
      <w:pPr>
        <w:spacing w:after="0" w:line="240" w:lineRule="auto"/>
        <w:jc w:val="left"/>
      </w:pPr>
      <w:r>
        <w:br w:type="page"/>
      </w:r>
    </w:p>
    <w:p w14:paraId="0225A512" w14:textId="77777777" w:rsidR="00611A83" w:rsidRDefault="00611A83" w:rsidP="00C77D72">
      <w:pPr>
        <w:spacing w:after="0"/>
        <w:jc w:val="left"/>
      </w:pPr>
    </w:p>
    <w:p w14:paraId="061B6A62" w14:textId="77777777" w:rsidR="0022467E" w:rsidRDefault="0022467E" w:rsidP="00C77D72">
      <w:pPr>
        <w:spacing w:after="0"/>
        <w:jc w:val="left"/>
        <w:rPr>
          <w:rFonts w:eastAsia="Times New Roman" w:cs="Times New Roman"/>
          <w:b/>
          <w:color w:val="4BACC6"/>
          <w:sz w:val="44"/>
          <w:szCs w:val="20"/>
        </w:rPr>
      </w:pPr>
    </w:p>
    <w:p w14:paraId="78A50104" w14:textId="77777777" w:rsidR="0022467E" w:rsidRDefault="0022467E" w:rsidP="00C77D72">
      <w:pPr>
        <w:spacing w:after="0"/>
        <w:jc w:val="left"/>
        <w:rPr>
          <w:rFonts w:eastAsia="Times New Roman" w:cs="Times New Roman"/>
          <w:b/>
          <w:color w:val="4BACC6"/>
          <w:sz w:val="44"/>
          <w:szCs w:val="20"/>
        </w:rPr>
      </w:pPr>
    </w:p>
    <w:p w14:paraId="64F673CB" w14:textId="77777777" w:rsidR="0022467E" w:rsidRDefault="0022467E" w:rsidP="00C77D72">
      <w:pPr>
        <w:spacing w:after="0"/>
        <w:jc w:val="left"/>
        <w:rPr>
          <w:rFonts w:eastAsia="Times New Roman" w:cs="Times New Roman"/>
          <w:b/>
          <w:color w:val="4BACC6"/>
          <w:sz w:val="44"/>
          <w:szCs w:val="20"/>
        </w:rPr>
      </w:pPr>
    </w:p>
    <w:p w14:paraId="521265A3" w14:textId="77777777" w:rsidR="0022467E" w:rsidRDefault="0022467E" w:rsidP="00C77D72">
      <w:pPr>
        <w:spacing w:after="0"/>
        <w:jc w:val="left"/>
        <w:rPr>
          <w:rFonts w:eastAsia="Times New Roman" w:cs="Times New Roman"/>
          <w:b/>
          <w:color w:val="4BACC6"/>
          <w:sz w:val="44"/>
          <w:szCs w:val="20"/>
        </w:rPr>
      </w:pPr>
    </w:p>
    <w:p w14:paraId="587BA3F8" w14:textId="77777777" w:rsidR="0022467E" w:rsidRDefault="0022467E" w:rsidP="00C77D72">
      <w:pPr>
        <w:spacing w:after="0"/>
        <w:jc w:val="left"/>
        <w:rPr>
          <w:rFonts w:eastAsia="Times New Roman" w:cs="Times New Roman"/>
          <w:b/>
          <w:color w:val="4BACC6"/>
          <w:sz w:val="44"/>
          <w:szCs w:val="20"/>
        </w:rPr>
      </w:pPr>
    </w:p>
    <w:p w14:paraId="2DBF4CFD" w14:textId="545EEB74" w:rsidR="00C2741A" w:rsidRPr="0025230D" w:rsidRDefault="00C2741A" w:rsidP="00C77D72">
      <w:pPr>
        <w:spacing w:after="0"/>
        <w:jc w:val="left"/>
      </w:pPr>
      <w:r w:rsidRPr="00C77D72">
        <w:rPr>
          <w:rFonts w:eastAsia="Times New Roman" w:cs="Times New Roman"/>
          <w:b/>
          <w:color w:val="4BACC6"/>
          <w:sz w:val="44"/>
          <w:szCs w:val="20"/>
        </w:rPr>
        <w:t>ANEXOS</w:t>
      </w:r>
    </w:p>
    <w:p w14:paraId="6F12052A" w14:textId="1A29C65B" w:rsidR="00DD10FA" w:rsidRDefault="00DD10FA">
      <w:pPr>
        <w:spacing w:after="0" w:line="240" w:lineRule="auto"/>
        <w:jc w:val="left"/>
        <w:rPr>
          <w:rFonts w:ascii="Futura" w:hAnsi="Futura" w:cs="Futura" w:hint="eastAsia"/>
          <w:color w:val="595959" w:themeColor="text1" w:themeTint="A6"/>
        </w:rPr>
      </w:pPr>
      <w:r>
        <w:rPr>
          <w:rFonts w:ascii="Futura" w:hAnsi="Futura" w:cs="Futura"/>
          <w:color w:val="595959" w:themeColor="text1" w:themeTint="A6"/>
        </w:rPr>
        <w:br w:type="page"/>
      </w:r>
    </w:p>
    <w:p w14:paraId="3DAA9ABE" w14:textId="7812BCA3" w:rsidR="00424A8D" w:rsidRPr="00416E1E" w:rsidRDefault="00424A8D" w:rsidP="00424A8D">
      <w:pPr>
        <w:pStyle w:val="Ttulo1"/>
      </w:pPr>
      <w:bookmarkStart w:id="82" w:name="_Toc477971064"/>
      <w:bookmarkStart w:id="83" w:name="_Toc486841612"/>
      <w:bookmarkStart w:id="84" w:name="_Toc486858151"/>
      <w:bookmarkStart w:id="85" w:name="_Toc53409875"/>
      <w:bookmarkStart w:id="86" w:name="_Toc477971065"/>
      <w:r w:rsidRPr="00416E1E">
        <w:lastRenderedPageBreak/>
        <w:t>Anexo 1. Fichas de Indicadores del PED</w:t>
      </w:r>
      <w:bookmarkEnd w:id="82"/>
      <w:bookmarkEnd w:id="83"/>
      <w:bookmarkEnd w:id="84"/>
      <w:bookmarkEnd w:id="85"/>
    </w:p>
    <w:p w14:paraId="27DCE69C" w14:textId="1C8D17E4" w:rsidR="00985066" w:rsidRPr="006E2FD5" w:rsidRDefault="00424A8D" w:rsidP="002A329C">
      <w:r w:rsidRPr="006E2FD5">
        <w:t xml:space="preserve">A </w:t>
      </w:r>
      <w:r w:rsidR="002A329C" w:rsidRPr="006E2FD5">
        <w:t>continuación,</w:t>
      </w:r>
      <w:r w:rsidRPr="006E2FD5">
        <w:t xml:space="preserve"> se presentan las fichas técnicas de cada indicador</w:t>
      </w:r>
      <w:r w:rsidR="00945EB7">
        <w:t xml:space="preserve"> de la actualización del </w:t>
      </w:r>
      <w:r w:rsidR="00EC5AE8">
        <w:t xml:space="preserve"> Plan Estatal de Desarrollo 2016 -2022 </w:t>
      </w:r>
      <w:r w:rsidRPr="006E2FD5">
        <w:t xml:space="preserve">correspondiente a atender </w:t>
      </w:r>
      <w:r w:rsidR="00F92A8F">
        <w:t>a través de la</w:t>
      </w:r>
      <w:r w:rsidR="00346090" w:rsidRPr="006E2FD5">
        <w:t xml:space="preserve"> presente </w:t>
      </w:r>
      <w:r w:rsidR="00945EB7">
        <w:t xml:space="preserve">actualización del </w:t>
      </w:r>
      <w:r w:rsidR="00346090" w:rsidRPr="006E2FD5">
        <w:t xml:space="preserve">Programa Sectorial de Educación Pública de Calidad. </w:t>
      </w:r>
    </w:p>
    <w:p w14:paraId="4B8E98A1" w14:textId="77777777" w:rsidR="00EC5AE8" w:rsidRPr="00FB4D0E" w:rsidRDefault="00EC5AE8" w:rsidP="00DD5EE2">
      <w:pPr>
        <w:pStyle w:val="Prrafodelista"/>
        <w:numPr>
          <w:ilvl w:val="0"/>
          <w:numId w:val="2"/>
        </w:numPr>
        <w:rPr>
          <w:rFonts w:eastAsia="Times New Roman" w:cs="Futura"/>
          <w:b/>
        </w:rPr>
      </w:pPr>
      <w:bookmarkStart w:id="87" w:name="_Toc486841613"/>
      <w:bookmarkStart w:id="88" w:name="_Toc486858152"/>
      <w:r>
        <w:rPr>
          <w:rFonts w:eastAsia="Times New Roman" w:cs="Futura"/>
          <w:b/>
        </w:rPr>
        <w:t>Cobertura Estatal de Educación Básica.</w:t>
      </w:r>
    </w:p>
    <w:tbl>
      <w:tblPr>
        <w:tblW w:w="48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664"/>
        <w:gridCol w:w="7520"/>
      </w:tblGrid>
      <w:tr w:rsidR="00EC5AE8" w:rsidRPr="00EA78B8" w14:paraId="7B8BD5ED" w14:textId="77777777" w:rsidTr="00EA78B8">
        <w:trPr>
          <w:trHeight w:val="283"/>
          <w:tblHeader/>
          <w:jc w:val="center"/>
        </w:trPr>
        <w:tc>
          <w:tcPr>
            <w:tcW w:w="906" w:type="pct"/>
            <w:shd w:val="clear" w:color="auto" w:fill="A6A6A6" w:themeFill="background1" w:themeFillShade="A6"/>
            <w:vAlign w:val="center"/>
            <w:hideMark/>
          </w:tcPr>
          <w:p w14:paraId="388244C3" w14:textId="77777777" w:rsidR="00EC5AE8" w:rsidRPr="00A76D49" w:rsidRDefault="00EC5AE8" w:rsidP="00EA78B8">
            <w:pPr>
              <w:spacing w:after="0" w:line="240" w:lineRule="auto"/>
              <w:jc w:val="left"/>
              <w:rPr>
                <w:rFonts w:ascii="Futura Std Condensed Light" w:eastAsia="Calibri" w:hAnsi="Futura Std Condensed Light" w:cs="Calibri"/>
                <w:b/>
                <w:sz w:val="20"/>
                <w:szCs w:val="18"/>
              </w:rPr>
            </w:pPr>
            <w:r w:rsidRPr="00A76D49">
              <w:rPr>
                <w:rFonts w:ascii="Futura Std Condensed Light" w:eastAsia="Calibri" w:hAnsi="Futura Std Condensed Light" w:cs="Calibri"/>
                <w:b/>
                <w:sz w:val="20"/>
                <w:szCs w:val="18"/>
              </w:rPr>
              <w:t>Elemento</w:t>
            </w:r>
          </w:p>
        </w:tc>
        <w:tc>
          <w:tcPr>
            <w:tcW w:w="4094" w:type="pct"/>
            <w:shd w:val="clear" w:color="auto" w:fill="A6A6A6" w:themeFill="background1" w:themeFillShade="A6"/>
            <w:vAlign w:val="center"/>
            <w:hideMark/>
          </w:tcPr>
          <w:p w14:paraId="7894B25F" w14:textId="77777777" w:rsidR="00EC5AE8" w:rsidRPr="00A76D49" w:rsidRDefault="00EC5AE8" w:rsidP="00EA78B8">
            <w:pPr>
              <w:spacing w:after="0" w:line="240" w:lineRule="auto"/>
              <w:jc w:val="left"/>
              <w:rPr>
                <w:rFonts w:ascii="Futura Std Condensed Light" w:eastAsia="Calibri" w:hAnsi="Futura Std Condensed Light" w:cs="Calibri"/>
                <w:b/>
                <w:sz w:val="20"/>
                <w:szCs w:val="18"/>
              </w:rPr>
            </w:pPr>
            <w:r w:rsidRPr="00A76D49">
              <w:rPr>
                <w:rFonts w:ascii="Futura Std Condensed Light" w:eastAsia="Calibri" w:hAnsi="Futura Std Condensed Light" w:cs="Calibri"/>
                <w:b/>
                <w:sz w:val="20"/>
                <w:szCs w:val="18"/>
              </w:rPr>
              <w:t>Características</w:t>
            </w:r>
          </w:p>
        </w:tc>
      </w:tr>
      <w:tr w:rsidR="00EC5AE8" w:rsidRPr="004335DB" w14:paraId="547FD184" w14:textId="77777777" w:rsidTr="005162E7">
        <w:trPr>
          <w:trHeight w:val="283"/>
          <w:jc w:val="center"/>
        </w:trPr>
        <w:tc>
          <w:tcPr>
            <w:tcW w:w="906" w:type="pct"/>
            <w:shd w:val="clear" w:color="auto" w:fill="auto"/>
            <w:vAlign w:val="center"/>
            <w:hideMark/>
          </w:tcPr>
          <w:p w14:paraId="3E9AE932" w14:textId="77777777" w:rsidR="00EC5AE8" w:rsidRPr="00EA78B8" w:rsidRDefault="00EC5AE8" w:rsidP="005162E7">
            <w:pPr>
              <w:spacing w:after="0" w:line="240" w:lineRule="auto"/>
              <w:rPr>
                <w:rFonts w:ascii="Futura Std Condensed Light" w:eastAsia="Calibri" w:hAnsi="Futura Std Condensed Light" w:cs="Calibri"/>
                <w:sz w:val="20"/>
                <w:szCs w:val="18"/>
              </w:rPr>
            </w:pPr>
            <w:r w:rsidRPr="00EA78B8">
              <w:rPr>
                <w:rFonts w:ascii="Futura Std Condensed Light" w:eastAsia="Calibri" w:hAnsi="Futura Std Condensed Light" w:cs="Calibri"/>
                <w:sz w:val="20"/>
                <w:szCs w:val="18"/>
              </w:rPr>
              <w:t>Indicador:</w:t>
            </w:r>
          </w:p>
        </w:tc>
        <w:tc>
          <w:tcPr>
            <w:tcW w:w="4094" w:type="pct"/>
            <w:shd w:val="clear" w:color="auto" w:fill="auto"/>
            <w:vAlign w:val="center"/>
          </w:tcPr>
          <w:p w14:paraId="57F105FE" w14:textId="77777777" w:rsidR="00EC5AE8" w:rsidRPr="00EA78B8" w:rsidRDefault="00EC5AE8" w:rsidP="005162E7">
            <w:pPr>
              <w:spacing w:after="0" w:line="240" w:lineRule="auto"/>
              <w:rPr>
                <w:rFonts w:ascii="Futura Std Condensed Light" w:eastAsia="Calibri" w:hAnsi="Futura Std Condensed Light" w:cs="Calibri"/>
                <w:sz w:val="20"/>
                <w:szCs w:val="18"/>
              </w:rPr>
            </w:pPr>
            <w:r w:rsidRPr="00EA78B8">
              <w:rPr>
                <w:rFonts w:ascii="Futura Std Condensed Light" w:eastAsia="Calibri" w:hAnsi="Futura Std Condensed Light" w:cs="Calibri"/>
                <w:sz w:val="20"/>
                <w:szCs w:val="18"/>
              </w:rPr>
              <w:t>Tasa bruta de cobertura estatal de Educación Básica.</w:t>
            </w:r>
          </w:p>
        </w:tc>
      </w:tr>
      <w:tr w:rsidR="00EC5AE8" w:rsidRPr="004335DB" w14:paraId="35E337CB" w14:textId="77777777" w:rsidTr="005162E7">
        <w:trPr>
          <w:trHeight w:val="579"/>
          <w:jc w:val="center"/>
        </w:trPr>
        <w:tc>
          <w:tcPr>
            <w:tcW w:w="906" w:type="pct"/>
            <w:shd w:val="clear" w:color="auto" w:fill="auto"/>
            <w:vAlign w:val="center"/>
          </w:tcPr>
          <w:p w14:paraId="4695928A" w14:textId="77777777" w:rsidR="00EC5AE8" w:rsidRPr="00EA78B8" w:rsidRDefault="00EC5AE8" w:rsidP="005162E7">
            <w:pPr>
              <w:spacing w:after="0" w:line="240" w:lineRule="auto"/>
              <w:rPr>
                <w:rFonts w:ascii="Futura Std Condensed Light" w:eastAsia="Calibri" w:hAnsi="Futura Std Condensed Light" w:cs="Calibri"/>
                <w:sz w:val="20"/>
                <w:szCs w:val="18"/>
              </w:rPr>
            </w:pPr>
            <w:r w:rsidRPr="00EA78B8">
              <w:rPr>
                <w:rFonts w:ascii="Futura Std Condensed Light" w:eastAsia="Calibri" w:hAnsi="Futura Std Condensed Light" w:cs="Calibri"/>
                <w:sz w:val="20"/>
                <w:szCs w:val="18"/>
              </w:rPr>
              <w:t>Objetivo PED:</w:t>
            </w:r>
          </w:p>
        </w:tc>
        <w:tc>
          <w:tcPr>
            <w:tcW w:w="4094" w:type="pct"/>
            <w:shd w:val="clear" w:color="auto" w:fill="auto"/>
            <w:vAlign w:val="center"/>
          </w:tcPr>
          <w:p w14:paraId="73238CF3" w14:textId="77777777" w:rsidR="00EC5AE8" w:rsidRPr="00EA78B8" w:rsidRDefault="00EC5AE8" w:rsidP="005162E7">
            <w:pPr>
              <w:spacing w:after="0" w:line="240" w:lineRule="auto"/>
              <w:rPr>
                <w:rFonts w:ascii="Futura Std Condensed Light" w:eastAsia="Calibri" w:hAnsi="Futura Std Condensed Light" w:cs="Calibri"/>
                <w:sz w:val="20"/>
                <w:szCs w:val="18"/>
              </w:rPr>
            </w:pPr>
            <w:r w:rsidRPr="00EA78B8">
              <w:rPr>
                <w:rFonts w:ascii="Futura Std Condensed Light" w:eastAsia="Calibri" w:hAnsi="Futura Std Condensed Light" w:cs="Calibri"/>
                <w:sz w:val="20"/>
                <w:szCs w:val="18"/>
              </w:rPr>
              <w:t>Garantizar el acceso y permanencia a una educación inclusiva y de calidad en todos los niveles educativos que promueva en los educandos aprendizajes para la vida.</w:t>
            </w:r>
          </w:p>
        </w:tc>
      </w:tr>
      <w:tr w:rsidR="00EC5AE8" w:rsidRPr="004335DB" w14:paraId="35E7B627" w14:textId="77777777" w:rsidTr="005162E7">
        <w:trPr>
          <w:trHeight w:val="283"/>
          <w:jc w:val="center"/>
        </w:trPr>
        <w:tc>
          <w:tcPr>
            <w:tcW w:w="906" w:type="pct"/>
            <w:shd w:val="clear" w:color="auto" w:fill="auto"/>
            <w:vAlign w:val="center"/>
            <w:hideMark/>
          </w:tcPr>
          <w:p w14:paraId="68E047C7" w14:textId="77777777" w:rsidR="00EC5AE8" w:rsidRPr="00EA78B8" w:rsidRDefault="00EC5AE8" w:rsidP="005162E7">
            <w:pPr>
              <w:spacing w:after="0" w:line="240" w:lineRule="auto"/>
              <w:rPr>
                <w:rFonts w:ascii="Futura Std Condensed Light" w:eastAsia="Calibri" w:hAnsi="Futura Std Condensed Light" w:cs="Calibri"/>
                <w:sz w:val="20"/>
                <w:szCs w:val="18"/>
              </w:rPr>
            </w:pPr>
            <w:r w:rsidRPr="00EA78B8">
              <w:rPr>
                <w:rFonts w:ascii="Futura Std Condensed Light" w:eastAsia="Calibri" w:hAnsi="Futura Std Condensed Light" w:cs="Calibri"/>
                <w:sz w:val="20"/>
                <w:szCs w:val="18"/>
              </w:rPr>
              <w:t>Descripción:</w:t>
            </w:r>
          </w:p>
        </w:tc>
        <w:tc>
          <w:tcPr>
            <w:tcW w:w="4094" w:type="pct"/>
            <w:shd w:val="clear" w:color="auto" w:fill="auto"/>
            <w:vAlign w:val="center"/>
          </w:tcPr>
          <w:p w14:paraId="7F2E7FBF" w14:textId="77777777" w:rsidR="00EC5AE8" w:rsidRPr="00EA78B8" w:rsidRDefault="00EC5AE8" w:rsidP="005162E7">
            <w:pPr>
              <w:spacing w:after="0" w:line="240" w:lineRule="auto"/>
              <w:rPr>
                <w:rFonts w:ascii="Futura Std Condensed Light" w:eastAsia="Calibri" w:hAnsi="Futura Std Condensed Light" w:cs="Calibri"/>
                <w:sz w:val="20"/>
                <w:szCs w:val="18"/>
              </w:rPr>
            </w:pPr>
            <w:r w:rsidRPr="00EA78B8">
              <w:rPr>
                <w:rFonts w:ascii="Futura Std Condensed Light" w:eastAsia="Calibri" w:hAnsi="Futura Std Condensed Light" w:cs="Calibri"/>
                <w:sz w:val="20"/>
                <w:szCs w:val="18"/>
              </w:rPr>
              <w:t>Este indicador muestra el porcentaje de alumnos inscritos o matriculados en educación básica (preescolar, primaria y secundaria) al inicio del ciclo escolar, con respecto a la población estatal en edad normativa (3 a 14 años) para cursar el nivel educativo.</w:t>
            </w:r>
          </w:p>
        </w:tc>
      </w:tr>
      <w:tr w:rsidR="00EC5AE8" w:rsidRPr="004335DB" w14:paraId="34F968C8" w14:textId="77777777" w:rsidTr="005162E7">
        <w:trPr>
          <w:trHeight w:val="283"/>
          <w:jc w:val="center"/>
        </w:trPr>
        <w:tc>
          <w:tcPr>
            <w:tcW w:w="906" w:type="pct"/>
            <w:shd w:val="clear" w:color="auto" w:fill="auto"/>
            <w:vAlign w:val="center"/>
            <w:hideMark/>
          </w:tcPr>
          <w:p w14:paraId="1543C213" w14:textId="77777777" w:rsidR="00EC5AE8" w:rsidRPr="00EA78B8" w:rsidRDefault="00EC5AE8" w:rsidP="005162E7">
            <w:pPr>
              <w:spacing w:after="0" w:line="240" w:lineRule="auto"/>
              <w:rPr>
                <w:rFonts w:ascii="Futura Std Condensed Light" w:eastAsia="Calibri" w:hAnsi="Futura Std Condensed Light" w:cs="Calibri"/>
                <w:sz w:val="20"/>
                <w:szCs w:val="18"/>
              </w:rPr>
            </w:pPr>
            <w:r w:rsidRPr="00EA78B8">
              <w:rPr>
                <w:rFonts w:ascii="Futura Std Condensed Light" w:eastAsia="Calibri" w:hAnsi="Futura Std Condensed Light" w:cs="Calibri"/>
                <w:sz w:val="20"/>
                <w:szCs w:val="18"/>
              </w:rPr>
              <w:t>Método de cálculo:</w:t>
            </w:r>
          </w:p>
        </w:tc>
        <w:tc>
          <w:tcPr>
            <w:tcW w:w="4094" w:type="pct"/>
            <w:shd w:val="clear" w:color="auto" w:fill="auto"/>
            <w:vAlign w:val="center"/>
          </w:tcPr>
          <w:p w14:paraId="63790674" w14:textId="77777777" w:rsidR="00EC5AE8" w:rsidRPr="00EA78B8" w:rsidRDefault="00EC5AE8" w:rsidP="005162E7">
            <w:pPr>
              <w:spacing w:after="0" w:line="240" w:lineRule="auto"/>
              <w:rPr>
                <w:rFonts w:ascii="Futura Std Condensed Light" w:eastAsia="Calibri" w:hAnsi="Futura Std Condensed Light" w:cs="Calibri"/>
                <w:sz w:val="20"/>
                <w:szCs w:val="18"/>
              </w:rPr>
            </w:pPr>
            <w:r w:rsidRPr="00EA78B8">
              <w:rPr>
                <w:rFonts w:ascii="Futura Std Condensed Light" w:eastAsia="Calibri" w:hAnsi="Futura Std Condensed Light" w:cs="Calibri"/>
                <w:sz w:val="20"/>
                <w:szCs w:val="18"/>
              </w:rPr>
              <w:t>(Total de alumnos matriculados en educación básica al inicio del ciclo escolar t / Población estatal a mitad del año t en edad idónea o típica para cursar educación básica, 3 a 14 años) X 100</w:t>
            </w:r>
          </w:p>
        </w:tc>
      </w:tr>
      <w:tr w:rsidR="00EC5AE8" w:rsidRPr="004335DB" w14:paraId="22F46243" w14:textId="77777777" w:rsidTr="005162E7">
        <w:trPr>
          <w:trHeight w:val="283"/>
          <w:jc w:val="center"/>
        </w:trPr>
        <w:tc>
          <w:tcPr>
            <w:tcW w:w="906" w:type="pct"/>
            <w:shd w:val="clear" w:color="auto" w:fill="auto"/>
            <w:vAlign w:val="center"/>
            <w:hideMark/>
          </w:tcPr>
          <w:p w14:paraId="5F3595EC" w14:textId="77777777" w:rsidR="00EC5AE8" w:rsidRPr="00EA78B8" w:rsidRDefault="00EC5AE8" w:rsidP="005162E7">
            <w:pPr>
              <w:spacing w:after="0" w:line="240" w:lineRule="auto"/>
              <w:rPr>
                <w:rFonts w:ascii="Futura Std Condensed Light" w:eastAsia="Calibri" w:hAnsi="Futura Std Condensed Light" w:cs="Calibri"/>
                <w:sz w:val="20"/>
                <w:szCs w:val="18"/>
              </w:rPr>
            </w:pPr>
            <w:r w:rsidRPr="00EA78B8">
              <w:rPr>
                <w:rFonts w:ascii="Futura Std Condensed Light" w:eastAsia="Calibri" w:hAnsi="Futura Std Condensed Light" w:cs="Calibri"/>
                <w:sz w:val="20"/>
                <w:szCs w:val="18"/>
              </w:rPr>
              <w:t>Periodicidad:</w:t>
            </w:r>
          </w:p>
        </w:tc>
        <w:tc>
          <w:tcPr>
            <w:tcW w:w="4094" w:type="pct"/>
            <w:shd w:val="clear" w:color="auto" w:fill="auto"/>
            <w:vAlign w:val="center"/>
            <w:hideMark/>
          </w:tcPr>
          <w:p w14:paraId="25C573B3" w14:textId="77777777" w:rsidR="00EC5AE8" w:rsidRPr="00EA78B8" w:rsidRDefault="00EC5AE8" w:rsidP="005162E7">
            <w:pPr>
              <w:spacing w:after="0" w:line="240" w:lineRule="auto"/>
              <w:rPr>
                <w:rFonts w:ascii="Futura Std Condensed Light" w:eastAsia="Calibri" w:hAnsi="Futura Std Condensed Light" w:cs="Calibri"/>
                <w:sz w:val="20"/>
                <w:szCs w:val="18"/>
              </w:rPr>
            </w:pPr>
            <w:r w:rsidRPr="00EA78B8">
              <w:rPr>
                <w:rFonts w:ascii="Futura Std Condensed Light" w:eastAsia="Calibri" w:hAnsi="Futura Std Condensed Light" w:cs="Calibri"/>
                <w:sz w:val="20"/>
                <w:szCs w:val="18"/>
              </w:rPr>
              <w:t>Anual</w:t>
            </w:r>
          </w:p>
        </w:tc>
      </w:tr>
      <w:tr w:rsidR="00EC5AE8" w:rsidRPr="004335DB" w14:paraId="60654F49" w14:textId="77777777" w:rsidTr="005162E7">
        <w:trPr>
          <w:trHeight w:val="283"/>
          <w:jc w:val="center"/>
        </w:trPr>
        <w:tc>
          <w:tcPr>
            <w:tcW w:w="906" w:type="pct"/>
            <w:shd w:val="clear" w:color="auto" w:fill="auto"/>
            <w:vAlign w:val="center"/>
            <w:hideMark/>
          </w:tcPr>
          <w:p w14:paraId="146A5BB7" w14:textId="77777777" w:rsidR="00EC5AE8" w:rsidRPr="00EA78B8" w:rsidRDefault="00EC5AE8" w:rsidP="005162E7">
            <w:pPr>
              <w:spacing w:after="0" w:line="240" w:lineRule="auto"/>
              <w:rPr>
                <w:rFonts w:ascii="Futura Std Condensed Light" w:eastAsia="Calibri" w:hAnsi="Futura Std Condensed Light" w:cs="Calibri"/>
                <w:sz w:val="20"/>
                <w:szCs w:val="18"/>
              </w:rPr>
            </w:pPr>
            <w:r w:rsidRPr="00EA78B8">
              <w:rPr>
                <w:rFonts w:ascii="Futura Std Condensed Light" w:eastAsia="Calibri" w:hAnsi="Futura Std Condensed Light" w:cs="Calibri"/>
                <w:sz w:val="20"/>
                <w:szCs w:val="18"/>
              </w:rPr>
              <w:t>Fuente:</w:t>
            </w:r>
          </w:p>
        </w:tc>
        <w:tc>
          <w:tcPr>
            <w:tcW w:w="4094" w:type="pct"/>
            <w:shd w:val="clear" w:color="auto" w:fill="auto"/>
            <w:vAlign w:val="center"/>
            <w:hideMark/>
          </w:tcPr>
          <w:p w14:paraId="4F4D37DF" w14:textId="77777777" w:rsidR="00EC5AE8" w:rsidRPr="00EA78B8" w:rsidRDefault="00EC5AE8" w:rsidP="005162E7">
            <w:pPr>
              <w:spacing w:after="0" w:line="240" w:lineRule="auto"/>
              <w:rPr>
                <w:rFonts w:ascii="Futura Std Condensed Light" w:eastAsia="Calibri" w:hAnsi="Futura Std Condensed Light" w:cs="Calibri"/>
                <w:sz w:val="20"/>
                <w:szCs w:val="18"/>
              </w:rPr>
            </w:pPr>
            <w:r w:rsidRPr="00EA78B8">
              <w:rPr>
                <w:rFonts w:ascii="Futura Std Condensed Light" w:eastAsia="Calibri" w:hAnsi="Futura Std Condensed Light" w:cs="Calibri"/>
                <w:sz w:val="20"/>
                <w:szCs w:val="18"/>
              </w:rPr>
              <w:t>Estadísticas continúas del formato 911, matrícula de inicio de ciclo escolar, SEQ. Proyecciones de población por edad desplegada, entidad federativa (Quintana Roo) 1970-2050, CONAPO.</w:t>
            </w:r>
          </w:p>
        </w:tc>
      </w:tr>
      <w:tr w:rsidR="00EC5AE8" w:rsidRPr="004335DB" w14:paraId="522054A1" w14:textId="77777777" w:rsidTr="005162E7">
        <w:trPr>
          <w:trHeight w:val="283"/>
          <w:jc w:val="center"/>
        </w:trPr>
        <w:tc>
          <w:tcPr>
            <w:tcW w:w="906" w:type="pct"/>
            <w:shd w:val="clear" w:color="auto" w:fill="auto"/>
            <w:vAlign w:val="center"/>
            <w:hideMark/>
          </w:tcPr>
          <w:p w14:paraId="299F853A" w14:textId="77777777" w:rsidR="00EC5AE8" w:rsidRPr="00EA78B8" w:rsidRDefault="00EC5AE8" w:rsidP="005162E7">
            <w:pPr>
              <w:spacing w:after="0" w:line="240" w:lineRule="auto"/>
              <w:rPr>
                <w:rFonts w:ascii="Futura Std Condensed Light" w:eastAsia="Calibri" w:hAnsi="Futura Std Condensed Light" w:cs="Calibri"/>
                <w:sz w:val="20"/>
                <w:szCs w:val="18"/>
              </w:rPr>
            </w:pPr>
            <w:r w:rsidRPr="00EA78B8">
              <w:rPr>
                <w:rFonts w:ascii="Futura Std Condensed Light" w:eastAsia="Calibri" w:hAnsi="Futura Std Condensed Light" w:cs="Calibri"/>
                <w:sz w:val="20"/>
                <w:szCs w:val="18"/>
              </w:rPr>
              <w:t>Dimensión:</w:t>
            </w:r>
          </w:p>
        </w:tc>
        <w:tc>
          <w:tcPr>
            <w:tcW w:w="4094" w:type="pct"/>
            <w:shd w:val="clear" w:color="auto" w:fill="auto"/>
            <w:vAlign w:val="center"/>
            <w:hideMark/>
          </w:tcPr>
          <w:p w14:paraId="67C6D683" w14:textId="77777777" w:rsidR="00EC5AE8" w:rsidRPr="00EA78B8" w:rsidRDefault="00EC5AE8" w:rsidP="005162E7">
            <w:pPr>
              <w:spacing w:after="0" w:line="240" w:lineRule="auto"/>
              <w:rPr>
                <w:rFonts w:ascii="Futura Std Condensed Light" w:eastAsia="Calibri" w:hAnsi="Futura Std Condensed Light" w:cs="Calibri"/>
                <w:sz w:val="20"/>
                <w:szCs w:val="18"/>
              </w:rPr>
            </w:pPr>
            <w:r w:rsidRPr="00EA78B8">
              <w:rPr>
                <w:rFonts w:ascii="Futura Std Condensed Light" w:eastAsia="Calibri" w:hAnsi="Futura Std Condensed Light" w:cs="Calibri"/>
                <w:sz w:val="20"/>
                <w:szCs w:val="18"/>
              </w:rPr>
              <w:t xml:space="preserve">Eficacia </w:t>
            </w:r>
          </w:p>
        </w:tc>
      </w:tr>
      <w:tr w:rsidR="00EC5AE8" w:rsidRPr="004335DB" w14:paraId="488C045A" w14:textId="77777777" w:rsidTr="005162E7">
        <w:trPr>
          <w:trHeight w:val="283"/>
          <w:jc w:val="center"/>
        </w:trPr>
        <w:tc>
          <w:tcPr>
            <w:tcW w:w="906" w:type="pct"/>
            <w:shd w:val="clear" w:color="auto" w:fill="auto"/>
            <w:vAlign w:val="center"/>
            <w:hideMark/>
          </w:tcPr>
          <w:p w14:paraId="3D5B73B0" w14:textId="77777777" w:rsidR="00EC5AE8" w:rsidRPr="00EA78B8" w:rsidRDefault="00EC5AE8" w:rsidP="005162E7">
            <w:pPr>
              <w:spacing w:after="0" w:line="240" w:lineRule="auto"/>
              <w:rPr>
                <w:rFonts w:ascii="Futura Std Condensed Light" w:eastAsia="Calibri" w:hAnsi="Futura Std Condensed Light" w:cs="Calibri"/>
                <w:sz w:val="20"/>
                <w:szCs w:val="18"/>
              </w:rPr>
            </w:pPr>
            <w:r w:rsidRPr="00EA78B8">
              <w:rPr>
                <w:rFonts w:ascii="Futura Std Condensed Light" w:eastAsia="Calibri" w:hAnsi="Futura Std Condensed Light" w:cs="Calibri"/>
                <w:sz w:val="20"/>
                <w:szCs w:val="18"/>
              </w:rPr>
              <w:t>Referencias adicionales:</w:t>
            </w:r>
          </w:p>
        </w:tc>
        <w:tc>
          <w:tcPr>
            <w:tcW w:w="4094" w:type="pct"/>
            <w:shd w:val="clear" w:color="auto" w:fill="auto"/>
            <w:vAlign w:val="center"/>
          </w:tcPr>
          <w:p w14:paraId="7872008C" w14:textId="77777777" w:rsidR="00EC5AE8" w:rsidRPr="00EA78B8" w:rsidRDefault="00EC5AE8" w:rsidP="005162E7">
            <w:pPr>
              <w:spacing w:after="0" w:line="240" w:lineRule="auto"/>
              <w:rPr>
                <w:rFonts w:ascii="Futura Std Condensed Light" w:eastAsia="Calibri" w:hAnsi="Futura Std Condensed Light" w:cs="Calibri"/>
                <w:sz w:val="20"/>
                <w:szCs w:val="18"/>
              </w:rPr>
            </w:pPr>
          </w:p>
        </w:tc>
      </w:tr>
    </w:tbl>
    <w:p w14:paraId="3B56730D" w14:textId="673C5C03" w:rsidR="00A76D49" w:rsidRPr="0022467E" w:rsidRDefault="00EC5AE8" w:rsidP="0022467E">
      <w:pPr>
        <w:pStyle w:val="Textonotapie"/>
        <w:rPr>
          <w:rFonts w:ascii="Futura T OT" w:eastAsia="MS PGothic" w:hAnsi="Futura T OT"/>
          <w:szCs w:val="16"/>
          <w:lang w:val="es-ES_tradnl" w:eastAsia="es-ES"/>
        </w:rPr>
      </w:pPr>
      <w:r w:rsidRPr="00DF2DEE">
        <w:rPr>
          <w:rFonts w:ascii="Futura T OT" w:eastAsia="MS PGothic" w:hAnsi="Futura T OT"/>
          <w:szCs w:val="16"/>
          <w:lang w:val="es-ES_tradnl" w:eastAsia="es-ES"/>
        </w:rPr>
        <w:t>Fuente: Elaboración propia</w:t>
      </w:r>
      <w:r w:rsidR="00F01FD1">
        <w:rPr>
          <w:rFonts w:ascii="Futura T OT" w:eastAsia="MS PGothic" w:hAnsi="Futura T OT"/>
          <w:szCs w:val="16"/>
          <w:lang w:val="es-ES_tradnl" w:eastAsia="es-ES"/>
        </w:rPr>
        <w:t>, Dirección de P</w:t>
      </w:r>
      <w:r>
        <w:rPr>
          <w:rFonts w:ascii="Futura T OT" w:eastAsia="MS PGothic" w:hAnsi="Futura T OT"/>
          <w:szCs w:val="16"/>
          <w:lang w:val="es-ES_tradnl" w:eastAsia="es-ES"/>
        </w:rPr>
        <w:t>laneación, SEQ</w:t>
      </w:r>
      <w:r w:rsidRPr="00DF2DEE">
        <w:rPr>
          <w:rFonts w:ascii="Futura T OT" w:eastAsia="MS PGothic" w:hAnsi="Futura T OT"/>
          <w:szCs w:val="16"/>
          <w:lang w:val="es-ES_tradnl" w:eastAsia="es-ES"/>
        </w:rPr>
        <w:t>.</w:t>
      </w:r>
      <w:r w:rsidRPr="004335DB">
        <w:rPr>
          <w:rFonts w:ascii="Futura T OT" w:eastAsia="MS PGothic" w:hAnsi="Futura T OT"/>
          <w:szCs w:val="16"/>
          <w:lang w:val="es-ES_tradnl" w:eastAsia="es-ES"/>
        </w:rPr>
        <w:t xml:space="preserve"> </w:t>
      </w:r>
    </w:p>
    <w:p w14:paraId="527AE5F2" w14:textId="77777777" w:rsidR="00EC5AE8" w:rsidRPr="002A329C" w:rsidRDefault="00EC5AE8" w:rsidP="00DD5EE2">
      <w:pPr>
        <w:pStyle w:val="Prrafodelista"/>
        <w:numPr>
          <w:ilvl w:val="0"/>
          <w:numId w:val="2"/>
        </w:numPr>
        <w:spacing w:after="0"/>
        <w:rPr>
          <w:rFonts w:ascii="Futura Std Condensed Light" w:hAnsi="Futura Std Condensed Light"/>
        </w:rPr>
      </w:pPr>
      <w:r>
        <w:rPr>
          <w:rFonts w:eastAsia="Times New Roman" w:cs="Futura"/>
          <w:b/>
        </w:rPr>
        <w:t>Cobertura Estatal de Educación Media Superior</w:t>
      </w:r>
    </w:p>
    <w:tbl>
      <w:tblPr>
        <w:tblW w:w="48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664"/>
        <w:gridCol w:w="7520"/>
      </w:tblGrid>
      <w:tr w:rsidR="00EC5AE8" w:rsidRPr="00EA78B8" w14:paraId="133EE2DF" w14:textId="77777777" w:rsidTr="00EA78B8">
        <w:trPr>
          <w:trHeight w:val="283"/>
          <w:tblHeader/>
          <w:jc w:val="center"/>
        </w:trPr>
        <w:tc>
          <w:tcPr>
            <w:tcW w:w="906" w:type="pct"/>
            <w:shd w:val="clear" w:color="auto" w:fill="A6A6A6" w:themeFill="background1" w:themeFillShade="A6"/>
            <w:vAlign w:val="center"/>
            <w:hideMark/>
          </w:tcPr>
          <w:p w14:paraId="4FD458B8" w14:textId="77777777" w:rsidR="00EC5AE8" w:rsidRPr="00A76D49" w:rsidRDefault="00EC5AE8" w:rsidP="00EA78B8">
            <w:pPr>
              <w:spacing w:after="0" w:line="240" w:lineRule="auto"/>
              <w:jc w:val="left"/>
              <w:rPr>
                <w:rFonts w:ascii="Futura Std Condensed Light" w:eastAsia="Calibri" w:hAnsi="Futura Std Condensed Light" w:cs="Calibri"/>
                <w:b/>
                <w:sz w:val="20"/>
                <w:szCs w:val="18"/>
              </w:rPr>
            </w:pPr>
            <w:r w:rsidRPr="00A76D49">
              <w:rPr>
                <w:rFonts w:ascii="Futura Std Condensed Light" w:eastAsia="Calibri" w:hAnsi="Futura Std Condensed Light" w:cs="Calibri"/>
                <w:b/>
                <w:sz w:val="20"/>
                <w:szCs w:val="18"/>
              </w:rPr>
              <w:t>Elemento</w:t>
            </w:r>
          </w:p>
        </w:tc>
        <w:tc>
          <w:tcPr>
            <w:tcW w:w="4094" w:type="pct"/>
            <w:shd w:val="clear" w:color="auto" w:fill="A6A6A6" w:themeFill="background1" w:themeFillShade="A6"/>
            <w:vAlign w:val="center"/>
            <w:hideMark/>
          </w:tcPr>
          <w:p w14:paraId="205C6296" w14:textId="77777777" w:rsidR="00EC5AE8" w:rsidRPr="00A76D49" w:rsidRDefault="00EC5AE8" w:rsidP="00EA78B8">
            <w:pPr>
              <w:spacing w:after="0" w:line="240" w:lineRule="auto"/>
              <w:jc w:val="left"/>
              <w:rPr>
                <w:rFonts w:ascii="Futura Std Condensed Light" w:eastAsia="Calibri" w:hAnsi="Futura Std Condensed Light" w:cs="Calibri"/>
                <w:b/>
                <w:sz w:val="20"/>
                <w:szCs w:val="18"/>
              </w:rPr>
            </w:pPr>
            <w:r w:rsidRPr="00A76D49">
              <w:rPr>
                <w:rFonts w:ascii="Futura Std Condensed Light" w:eastAsia="Calibri" w:hAnsi="Futura Std Condensed Light" w:cs="Calibri"/>
                <w:b/>
                <w:sz w:val="20"/>
                <w:szCs w:val="18"/>
              </w:rPr>
              <w:t>Características</w:t>
            </w:r>
          </w:p>
        </w:tc>
      </w:tr>
      <w:tr w:rsidR="00EC5AE8" w:rsidRPr="004335DB" w14:paraId="540D5C3C" w14:textId="77777777" w:rsidTr="005162E7">
        <w:trPr>
          <w:trHeight w:val="283"/>
          <w:jc w:val="center"/>
        </w:trPr>
        <w:tc>
          <w:tcPr>
            <w:tcW w:w="906" w:type="pct"/>
            <w:shd w:val="clear" w:color="auto" w:fill="auto"/>
            <w:vAlign w:val="center"/>
            <w:hideMark/>
          </w:tcPr>
          <w:p w14:paraId="6E923856" w14:textId="77777777" w:rsidR="00EC5AE8" w:rsidRPr="00EA78B8" w:rsidRDefault="00EC5AE8" w:rsidP="005162E7">
            <w:pPr>
              <w:spacing w:after="0" w:line="240" w:lineRule="auto"/>
              <w:rPr>
                <w:rFonts w:ascii="Futura Std Condensed Light" w:eastAsia="Calibri" w:hAnsi="Futura Std Condensed Light" w:cs="Calibri"/>
                <w:sz w:val="20"/>
                <w:szCs w:val="18"/>
              </w:rPr>
            </w:pPr>
            <w:r w:rsidRPr="00EA78B8">
              <w:rPr>
                <w:rFonts w:ascii="Futura Std Condensed Light" w:eastAsia="Calibri" w:hAnsi="Futura Std Condensed Light" w:cs="Calibri"/>
                <w:sz w:val="20"/>
                <w:szCs w:val="18"/>
              </w:rPr>
              <w:t>Indicador:</w:t>
            </w:r>
          </w:p>
        </w:tc>
        <w:tc>
          <w:tcPr>
            <w:tcW w:w="4094" w:type="pct"/>
            <w:shd w:val="clear" w:color="auto" w:fill="auto"/>
            <w:vAlign w:val="center"/>
          </w:tcPr>
          <w:p w14:paraId="7A882556" w14:textId="77777777" w:rsidR="00EC5AE8" w:rsidRPr="00EA78B8" w:rsidRDefault="00EC5AE8" w:rsidP="005162E7">
            <w:pPr>
              <w:spacing w:after="0" w:line="240" w:lineRule="auto"/>
              <w:rPr>
                <w:rFonts w:ascii="Futura Std Condensed Light" w:eastAsia="Calibri" w:hAnsi="Futura Std Condensed Light" w:cs="Calibri"/>
                <w:sz w:val="20"/>
                <w:szCs w:val="18"/>
              </w:rPr>
            </w:pPr>
            <w:r w:rsidRPr="00EA78B8">
              <w:rPr>
                <w:rFonts w:ascii="Futura Std Condensed Light" w:eastAsia="Calibri" w:hAnsi="Futura Std Condensed Light" w:cs="Calibri"/>
                <w:sz w:val="20"/>
                <w:szCs w:val="18"/>
              </w:rPr>
              <w:t>Tasa bruta de cobertura estatal de Educación Media Superior.</w:t>
            </w:r>
          </w:p>
        </w:tc>
      </w:tr>
      <w:tr w:rsidR="00EC5AE8" w:rsidRPr="004335DB" w14:paraId="1BA5F0CF" w14:textId="77777777" w:rsidTr="005162E7">
        <w:trPr>
          <w:trHeight w:val="283"/>
          <w:jc w:val="center"/>
        </w:trPr>
        <w:tc>
          <w:tcPr>
            <w:tcW w:w="906" w:type="pct"/>
            <w:shd w:val="clear" w:color="auto" w:fill="auto"/>
            <w:vAlign w:val="center"/>
          </w:tcPr>
          <w:p w14:paraId="1F985DB7" w14:textId="77777777" w:rsidR="00EC5AE8" w:rsidRPr="00EA78B8" w:rsidRDefault="00EC5AE8" w:rsidP="005162E7">
            <w:pPr>
              <w:spacing w:after="0" w:line="240" w:lineRule="auto"/>
              <w:rPr>
                <w:rFonts w:ascii="Futura Std Condensed Light" w:eastAsia="Calibri" w:hAnsi="Futura Std Condensed Light" w:cs="Calibri"/>
                <w:sz w:val="20"/>
                <w:szCs w:val="18"/>
              </w:rPr>
            </w:pPr>
            <w:r w:rsidRPr="00EA78B8">
              <w:rPr>
                <w:rFonts w:ascii="Futura Std Condensed Light" w:eastAsia="Calibri" w:hAnsi="Futura Std Condensed Light" w:cs="Calibri"/>
                <w:sz w:val="20"/>
                <w:szCs w:val="18"/>
              </w:rPr>
              <w:t>Objetivo PED:</w:t>
            </w:r>
          </w:p>
        </w:tc>
        <w:tc>
          <w:tcPr>
            <w:tcW w:w="4094" w:type="pct"/>
            <w:shd w:val="clear" w:color="auto" w:fill="auto"/>
            <w:vAlign w:val="center"/>
          </w:tcPr>
          <w:p w14:paraId="334FE8E2" w14:textId="77777777" w:rsidR="00EC5AE8" w:rsidRPr="00EA78B8" w:rsidRDefault="00EC5AE8" w:rsidP="005162E7">
            <w:pPr>
              <w:spacing w:after="0" w:line="240" w:lineRule="auto"/>
              <w:rPr>
                <w:rFonts w:ascii="Futura Std Condensed Light" w:eastAsia="Calibri" w:hAnsi="Futura Std Condensed Light" w:cs="Calibri"/>
                <w:sz w:val="20"/>
                <w:szCs w:val="18"/>
              </w:rPr>
            </w:pPr>
            <w:r w:rsidRPr="00EA78B8">
              <w:rPr>
                <w:rFonts w:ascii="Futura Std Condensed Light" w:eastAsia="Calibri" w:hAnsi="Futura Std Condensed Light" w:cs="Calibri"/>
                <w:sz w:val="20"/>
                <w:szCs w:val="18"/>
              </w:rPr>
              <w:t>Garantizar el acceso y permanencia a una educación inclusiva y de calidad en todos los niveles educativos que promueva en los educandos aprendizajes para la vida.</w:t>
            </w:r>
          </w:p>
        </w:tc>
      </w:tr>
      <w:tr w:rsidR="00EC5AE8" w:rsidRPr="00EC5AE8" w14:paraId="35CB3A59" w14:textId="77777777" w:rsidTr="00EC5AE8">
        <w:trPr>
          <w:trHeight w:val="283"/>
          <w:jc w:val="center"/>
        </w:trPr>
        <w:tc>
          <w:tcPr>
            <w:tcW w:w="906" w:type="pct"/>
            <w:shd w:val="clear" w:color="auto" w:fill="auto"/>
            <w:vAlign w:val="center"/>
            <w:hideMark/>
          </w:tcPr>
          <w:p w14:paraId="4813EC59" w14:textId="77777777" w:rsidR="00EC5AE8" w:rsidRPr="00EA78B8" w:rsidRDefault="00EC5AE8" w:rsidP="005162E7">
            <w:pPr>
              <w:spacing w:after="0" w:line="240" w:lineRule="auto"/>
              <w:rPr>
                <w:rFonts w:ascii="Futura Std Condensed Light" w:eastAsia="Calibri" w:hAnsi="Futura Std Condensed Light" w:cs="Calibri"/>
                <w:sz w:val="20"/>
                <w:szCs w:val="18"/>
              </w:rPr>
            </w:pPr>
            <w:r w:rsidRPr="00EA78B8">
              <w:rPr>
                <w:rFonts w:ascii="Futura Std Condensed Light" w:eastAsia="Calibri" w:hAnsi="Futura Std Condensed Light" w:cs="Calibri"/>
                <w:sz w:val="20"/>
                <w:szCs w:val="18"/>
              </w:rPr>
              <w:t>Descripción:</w:t>
            </w:r>
          </w:p>
        </w:tc>
        <w:tc>
          <w:tcPr>
            <w:tcW w:w="4094" w:type="pct"/>
            <w:shd w:val="clear" w:color="auto" w:fill="auto"/>
            <w:vAlign w:val="center"/>
          </w:tcPr>
          <w:p w14:paraId="3F5EE02F" w14:textId="77777777" w:rsidR="00EC5AE8" w:rsidRPr="00EA78B8" w:rsidRDefault="00EC5AE8" w:rsidP="005162E7">
            <w:pPr>
              <w:spacing w:after="0" w:line="240" w:lineRule="auto"/>
              <w:rPr>
                <w:rFonts w:ascii="Futura Std Condensed Light" w:eastAsia="Calibri" w:hAnsi="Futura Std Condensed Light" w:cs="Calibri"/>
                <w:sz w:val="20"/>
                <w:szCs w:val="18"/>
              </w:rPr>
            </w:pPr>
            <w:r w:rsidRPr="00EA78B8">
              <w:rPr>
                <w:rFonts w:ascii="Futura Std Condensed Light" w:eastAsia="Calibri" w:hAnsi="Futura Std Condensed Light" w:cs="Calibri"/>
                <w:sz w:val="20"/>
                <w:szCs w:val="18"/>
              </w:rPr>
              <w:t>Este indicador muestra el porcentaje de alumnos inscritos o matriculados en educación media superior al inicio del ciclo escolar, con respecto a la población estatal en edad normativa (15 a 17 años) para cursar el nivel educativo.</w:t>
            </w:r>
          </w:p>
        </w:tc>
      </w:tr>
      <w:tr w:rsidR="00EC5AE8" w:rsidRPr="00EC5AE8" w14:paraId="24D23795" w14:textId="77777777" w:rsidTr="00EC5AE8">
        <w:trPr>
          <w:trHeight w:val="283"/>
          <w:jc w:val="center"/>
        </w:trPr>
        <w:tc>
          <w:tcPr>
            <w:tcW w:w="906" w:type="pct"/>
            <w:shd w:val="clear" w:color="auto" w:fill="auto"/>
            <w:vAlign w:val="center"/>
            <w:hideMark/>
          </w:tcPr>
          <w:p w14:paraId="508A48EA" w14:textId="77777777" w:rsidR="00EC5AE8" w:rsidRPr="00EA78B8" w:rsidRDefault="00EC5AE8" w:rsidP="005162E7">
            <w:pPr>
              <w:spacing w:after="0" w:line="240" w:lineRule="auto"/>
              <w:rPr>
                <w:rFonts w:ascii="Futura Std Condensed Light" w:eastAsia="Calibri" w:hAnsi="Futura Std Condensed Light" w:cs="Calibri"/>
                <w:sz w:val="20"/>
                <w:szCs w:val="18"/>
              </w:rPr>
            </w:pPr>
            <w:r w:rsidRPr="00EA78B8">
              <w:rPr>
                <w:rFonts w:ascii="Futura Std Condensed Light" w:eastAsia="Calibri" w:hAnsi="Futura Std Condensed Light" w:cs="Calibri"/>
                <w:sz w:val="20"/>
                <w:szCs w:val="18"/>
              </w:rPr>
              <w:lastRenderedPageBreak/>
              <w:t>Método de cálculo:</w:t>
            </w:r>
          </w:p>
        </w:tc>
        <w:tc>
          <w:tcPr>
            <w:tcW w:w="4094" w:type="pct"/>
            <w:shd w:val="clear" w:color="auto" w:fill="auto"/>
            <w:vAlign w:val="center"/>
          </w:tcPr>
          <w:p w14:paraId="641C1804" w14:textId="77777777" w:rsidR="00EC5AE8" w:rsidRPr="00EA78B8" w:rsidRDefault="00EC5AE8" w:rsidP="005162E7">
            <w:pPr>
              <w:spacing w:after="0" w:line="240" w:lineRule="auto"/>
              <w:rPr>
                <w:rFonts w:ascii="Futura Std Condensed Light" w:eastAsia="Calibri" w:hAnsi="Futura Std Condensed Light" w:cs="Calibri"/>
                <w:sz w:val="20"/>
                <w:szCs w:val="18"/>
              </w:rPr>
            </w:pPr>
            <w:r w:rsidRPr="00EA78B8">
              <w:rPr>
                <w:rFonts w:ascii="Futura Std Condensed Light" w:eastAsia="Calibri" w:hAnsi="Futura Std Condensed Light" w:cs="Calibri"/>
                <w:sz w:val="20"/>
                <w:szCs w:val="18"/>
              </w:rPr>
              <w:t>(Total de alumnos matriculados en educación media superior al inicio del ciclo escolar t / Población estatal a mitad del año t en edad idónea o típica para cursar educación media superior, 15 a 17 años) X 100</w:t>
            </w:r>
          </w:p>
        </w:tc>
      </w:tr>
      <w:tr w:rsidR="00EC5AE8" w:rsidRPr="00EC5AE8" w14:paraId="0FCF0D52" w14:textId="77777777" w:rsidTr="00EA78B8">
        <w:trPr>
          <w:trHeight w:val="283"/>
          <w:jc w:val="center"/>
        </w:trPr>
        <w:tc>
          <w:tcPr>
            <w:tcW w:w="906" w:type="pct"/>
            <w:shd w:val="clear" w:color="auto" w:fill="A6A6A6" w:themeFill="background1" w:themeFillShade="A6"/>
            <w:vAlign w:val="center"/>
            <w:hideMark/>
          </w:tcPr>
          <w:p w14:paraId="2FAB18B6" w14:textId="77777777" w:rsidR="00EC5AE8" w:rsidRPr="00EA78B8" w:rsidRDefault="00EC5AE8" w:rsidP="005162E7">
            <w:pPr>
              <w:spacing w:after="0" w:line="240" w:lineRule="auto"/>
              <w:rPr>
                <w:rFonts w:ascii="Futura Std Condensed Light" w:eastAsia="Calibri" w:hAnsi="Futura Std Condensed Light" w:cs="Calibri"/>
                <w:sz w:val="20"/>
                <w:szCs w:val="20"/>
              </w:rPr>
            </w:pPr>
            <w:r w:rsidRPr="00EA78B8">
              <w:rPr>
                <w:rFonts w:ascii="Futura Std Condensed Light" w:eastAsia="Calibri" w:hAnsi="Futura Std Condensed Light" w:cs="Calibri"/>
                <w:sz w:val="20"/>
                <w:szCs w:val="20"/>
              </w:rPr>
              <w:t>Periodicidad:</w:t>
            </w:r>
          </w:p>
        </w:tc>
        <w:tc>
          <w:tcPr>
            <w:tcW w:w="4094" w:type="pct"/>
            <w:shd w:val="clear" w:color="auto" w:fill="A6A6A6" w:themeFill="background1" w:themeFillShade="A6"/>
            <w:vAlign w:val="center"/>
          </w:tcPr>
          <w:p w14:paraId="51DFBFD4" w14:textId="77777777" w:rsidR="00EC5AE8" w:rsidRPr="00EA78B8" w:rsidRDefault="00EC5AE8" w:rsidP="005162E7">
            <w:pPr>
              <w:spacing w:after="0" w:line="240" w:lineRule="auto"/>
              <w:rPr>
                <w:rFonts w:ascii="Futura Std Condensed Light" w:eastAsia="Calibri" w:hAnsi="Futura Std Condensed Light" w:cs="Calibri"/>
                <w:sz w:val="20"/>
                <w:szCs w:val="20"/>
              </w:rPr>
            </w:pPr>
            <w:r w:rsidRPr="00EA78B8">
              <w:rPr>
                <w:rFonts w:ascii="Futura Std Condensed Light" w:eastAsia="Calibri" w:hAnsi="Futura Std Condensed Light" w:cs="Calibri"/>
                <w:sz w:val="20"/>
                <w:szCs w:val="20"/>
              </w:rPr>
              <w:t>Anual</w:t>
            </w:r>
          </w:p>
        </w:tc>
      </w:tr>
      <w:tr w:rsidR="00EC5AE8" w:rsidRPr="00EC5AE8" w14:paraId="22C84BE7" w14:textId="77777777" w:rsidTr="00EC5AE8">
        <w:trPr>
          <w:trHeight w:val="283"/>
          <w:jc w:val="center"/>
        </w:trPr>
        <w:tc>
          <w:tcPr>
            <w:tcW w:w="906" w:type="pct"/>
            <w:shd w:val="clear" w:color="auto" w:fill="auto"/>
            <w:vAlign w:val="center"/>
            <w:hideMark/>
          </w:tcPr>
          <w:p w14:paraId="153ECC72" w14:textId="77777777" w:rsidR="00EC5AE8" w:rsidRPr="00EA78B8" w:rsidRDefault="00EC5AE8" w:rsidP="005162E7">
            <w:pPr>
              <w:spacing w:after="0" w:line="240" w:lineRule="auto"/>
              <w:rPr>
                <w:rFonts w:ascii="Futura Std Condensed Light" w:eastAsia="Calibri" w:hAnsi="Futura Std Condensed Light" w:cs="Calibri"/>
                <w:sz w:val="20"/>
                <w:szCs w:val="20"/>
              </w:rPr>
            </w:pPr>
            <w:r w:rsidRPr="00EA78B8">
              <w:rPr>
                <w:rFonts w:ascii="Futura Std Condensed Light" w:eastAsia="Calibri" w:hAnsi="Futura Std Condensed Light" w:cs="Calibri"/>
                <w:sz w:val="20"/>
                <w:szCs w:val="20"/>
              </w:rPr>
              <w:t>Fuente:</w:t>
            </w:r>
          </w:p>
        </w:tc>
        <w:tc>
          <w:tcPr>
            <w:tcW w:w="4094" w:type="pct"/>
            <w:shd w:val="clear" w:color="auto" w:fill="auto"/>
            <w:vAlign w:val="center"/>
          </w:tcPr>
          <w:p w14:paraId="2535FA19" w14:textId="77777777" w:rsidR="00EC5AE8" w:rsidRPr="00EA78B8" w:rsidRDefault="00EC5AE8" w:rsidP="005162E7">
            <w:pPr>
              <w:spacing w:after="0" w:line="240" w:lineRule="auto"/>
              <w:rPr>
                <w:rFonts w:ascii="Futura Std Condensed Light" w:eastAsia="Calibri" w:hAnsi="Futura Std Condensed Light" w:cs="Calibri"/>
                <w:sz w:val="20"/>
                <w:szCs w:val="20"/>
              </w:rPr>
            </w:pPr>
            <w:r w:rsidRPr="00EA78B8">
              <w:rPr>
                <w:rFonts w:ascii="Futura Std Condensed Light" w:eastAsia="Calibri" w:hAnsi="Futura Std Condensed Light" w:cs="Calibri"/>
                <w:sz w:val="20"/>
                <w:szCs w:val="20"/>
              </w:rPr>
              <w:t>Estadísticas continúas del formato 911, matrícula de inicio de ciclo escolar, SEQ. Proyecciones de población por edad desplegada, entidad federativa (Quintana Roo) 1970-2050, CONAPO.</w:t>
            </w:r>
          </w:p>
        </w:tc>
      </w:tr>
      <w:tr w:rsidR="00EC5AE8" w:rsidRPr="00EC5AE8" w14:paraId="72B9FE56" w14:textId="77777777" w:rsidTr="005162E7">
        <w:trPr>
          <w:trHeight w:val="283"/>
          <w:jc w:val="center"/>
        </w:trPr>
        <w:tc>
          <w:tcPr>
            <w:tcW w:w="906" w:type="pct"/>
            <w:shd w:val="clear" w:color="auto" w:fill="auto"/>
            <w:vAlign w:val="center"/>
            <w:hideMark/>
          </w:tcPr>
          <w:p w14:paraId="7914A6F2" w14:textId="77777777" w:rsidR="00EC5AE8" w:rsidRPr="00EA78B8" w:rsidRDefault="00EC5AE8" w:rsidP="005162E7">
            <w:pPr>
              <w:spacing w:after="0" w:line="240" w:lineRule="auto"/>
              <w:rPr>
                <w:rFonts w:ascii="Futura Std Condensed Light" w:eastAsia="Calibri" w:hAnsi="Futura Std Condensed Light" w:cs="Calibri"/>
                <w:sz w:val="20"/>
                <w:szCs w:val="20"/>
              </w:rPr>
            </w:pPr>
            <w:r w:rsidRPr="00EA78B8">
              <w:rPr>
                <w:rFonts w:ascii="Futura Std Condensed Light" w:eastAsia="Calibri" w:hAnsi="Futura Std Condensed Light" w:cs="Calibri"/>
                <w:sz w:val="20"/>
                <w:szCs w:val="20"/>
              </w:rPr>
              <w:t>Dimensión:</w:t>
            </w:r>
          </w:p>
        </w:tc>
        <w:tc>
          <w:tcPr>
            <w:tcW w:w="4094" w:type="pct"/>
            <w:shd w:val="clear" w:color="auto" w:fill="auto"/>
            <w:vAlign w:val="center"/>
            <w:hideMark/>
          </w:tcPr>
          <w:p w14:paraId="28557D70" w14:textId="77777777" w:rsidR="00EC5AE8" w:rsidRPr="00EA78B8" w:rsidRDefault="00EC5AE8" w:rsidP="005162E7">
            <w:pPr>
              <w:spacing w:after="0" w:line="240" w:lineRule="auto"/>
              <w:rPr>
                <w:rFonts w:ascii="Futura Std Condensed Light" w:eastAsia="Calibri" w:hAnsi="Futura Std Condensed Light" w:cs="Calibri"/>
                <w:sz w:val="20"/>
                <w:szCs w:val="20"/>
              </w:rPr>
            </w:pPr>
            <w:r w:rsidRPr="00EA78B8">
              <w:rPr>
                <w:rFonts w:ascii="Futura Std Condensed Light" w:eastAsia="Calibri" w:hAnsi="Futura Std Condensed Light" w:cs="Calibri"/>
                <w:sz w:val="20"/>
                <w:szCs w:val="20"/>
              </w:rPr>
              <w:t xml:space="preserve">Eficacia </w:t>
            </w:r>
          </w:p>
        </w:tc>
      </w:tr>
      <w:tr w:rsidR="00EC5AE8" w:rsidRPr="00EC5AE8" w14:paraId="7CA4894A" w14:textId="77777777" w:rsidTr="005162E7">
        <w:trPr>
          <w:trHeight w:val="283"/>
          <w:jc w:val="center"/>
        </w:trPr>
        <w:tc>
          <w:tcPr>
            <w:tcW w:w="906" w:type="pct"/>
            <w:shd w:val="clear" w:color="auto" w:fill="auto"/>
            <w:vAlign w:val="center"/>
            <w:hideMark/>
          </w:tcPr>
          <w:p w14:paraId="645F2279" w14:textId="77777777" w:rsidR="00EC5AE8" w:rsidRPr="00EA78B8" w:rsidRDefault="00EC5AE8" w:rsidP="005162E7">
            <w:pPr>
              <w:spacing w:after="0" w:line="240" w:lineRule="auto"/>
              <w:rPr>
                <w:rFonts w:ascii="Futura Std Condensed Light" w:eastAsia="Calibri" w:hAnsi="Futura Std Condensed Light" w:cs="Calibri"/>
                <w:sz w:val="20"/>
                <w:szCs w:val="20"/>
              </w:rPr>
            </w:pPr>
            <w:r w:rsidRPr="00EA78B8">
              <w:rPr>
                <w:rFonts w:ascii="Futura Std Condensed Light" w:eastAsia="Calibri" w:hAnsi="Futura Std Condensed Light" w:cs="Calibri"/>
                <w:sz w:val="20"/>
                <w:szCs w:val="20"/>
              </w:rPr>
              <w:t>Referencias adicionales:</w:t>
            </w:r>
          </w:p>
        </w:tc>
        <w:tc>
          <w:tcPr>
            <w:tcW w:w="4094" w:type="pct"/>
            <w:shd w:val="clear" w:color="auto" w:fill="auto"/>
            <w:vAlign w:val="center"/>
            <w:hideMark/>
          </w:tcPr>
          <w:p w14:paraId="30BA7844" w14:textId="77777777" w:rsidR="00EC5AE8" w:rsidRPr="00EA78B8" w:rsidRDefault="00EC5AE8" w:rsidP="005162E7">
            <w:pPr>
              <w:spacing w:after="0" w:line="240" w:lineRule="auto"/>
              <w:rPr>
                <w:rFonts w:ascii="Futura Std Condensed Light" w:eastAsia="Calibri" w:hAnsi="Futura Std Condensed Light" w:cs="Calibri"/>
                <w:sz w:val="20"/>
                <w:szCs w:val="20"/>
              </w:rPr>
            </w:pPr>
          </w:p>
        </w:tc>
      </w:tr>
    </w:tbl>
    <w:p w14:paraId="57F47240" w14:textId="5C00E48B" w:rsidR="00EA78B8" w:rsidRDefault="00EC5AE8" w:rsidP="0022467E">
      <w:pPr>
        <w:pStyle w:val="Textonotapie"/>
        <w:rPr>
          <w:rFonts w:ascii="Futura T OT" w:eastAsia="MS PGothic" w:hAnsi="Futura T OT"/>
          <w:szCs w:val="16"/>
          <w:lang w:val="es-ES_tradnl" w:eastAsia="es-ES"/>
        </w:rPr>
      </w:pPr>
      <w:r w:rsidRPr="00EC5AE8">
        <w:rPr>
          <w:rFonts w:ascii="Futura T OT" w:eastAsia="MS PGothic" w:hAnsi="Futura T OT"/>
          <w:szCs w:val="16"/>
          <w:lang w:val="es-ES_tradnl" w:eastAsia="es-ES"/>
        </w:rPr>
        <w:t xml:space="preserve">Fuente: Elaboración propia, Dirección de planeación, SEQ. </w:t>
      </w:r>
    </w:p>
    <w:p w14:paraId="294C95E5" w14:textId="77777777" w:rsidR="00A0470B" w:rsidRPr="00F01FD1" w:rsidRDefault="00A0470B" w:rsidP="0022467E">
      <w:pPr>
        <w:pStyle w:val="Textonotapie"/>
        <w:rPr>
          <w:rFonts w:ascii="Futura T OT" w:eastAsia="MS PGothic" w:hAnsi="Futura T OT"/>
          <w:szCs w:val="16"/>
          <w:lang w:val="es-ES_tradnl" w:eastAsia="es-ES"/>
        </w:rPr>
      </w:pPr>
    </w:p>
    <w:p w14:paraId="527EBB49" w14:textId="77777777" w:rsidR="00EC5AE8" w:rsidRPr="00EC5AE8" w:rsidRDefault="00EC5AE8" w:rsidP="00DD5EE2">
      <w:pPr>
        <w:pStyle w:val="Prrafodelista"/>
        <w:numPr>
          <w:ilvl w:val="0"/>
          <w:numId w:val="2"/>
        </w:numPr>
        <w:spacing w:after="0"/>
        <w:rPr>
          <w:rFonts w:eastAsia="Times New Roman" w:cs="Futura"/>
          <w:b/>
        </w:rPr>
      </w:pPr>
      <w:r w:rsidRPr="00EC5AE8">
        <w:rPr>
          <w:rFonts w:eastAsia="Times New Roman" w:cs="Futura"/>
          <w:b/>
        </w:rPr>
        <w:t>Cobertura Estatal de Educación Superior</w:t>
      </w:r>
    </w:p>
    <w:tbl>
      <w:tblPr>
        <w:tblW w:w="48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664"/>
        <w:gridCol w:w="7520"/>
      </w:tblGrid>
      <w:tr w:rsidR="00EC5AE8" w:rsidRPr="00EA78B8" w14:paraId="3F8D5BAA" w14:textId="77777777" w:rsidTr="00EA78B8">
        <w:trPr>
          <w:trHeight w:val="283"/>
          <w:tblHeader/>
          <w:jc w:val="center"/>
        </w:trPr>
        <w:tc>
          <w:tcPr>
            <w:tcW w:w="906" w:type="pct"/>
            <w:shd w:val="clear" w:color="auto" w:fill="A6A6A6" w:themeFill="background1" w:themeFillShade="A6"/>
            <w:vAlign w:val="center"/>
            <w:hideMark/>
          </w:tcPr>
          <w:p w14:paraId="62E3C75E" w14:textId="77777777" w:rsidR="00EC5AE8" w:rsidRPr="00A76D49" w:rsidRDefault="00EC5AE8" w:rsidP="005162E7">
            <w:pPr>
              <w:spacing w:after="0" w:line="240" w:lineRule="auto"/>
              <w:rPr>
                <w:rFonts w:ascii="Futura Std Condensed Light" w:eastAsia="Calibri" w:hAnsi="Futura Std Condensed Light" w:cs="Calibri"/>
                <w:b/>
                <w:sz w:val="20"/>
                <w:szCs w:val="18"/>
              </w:rPr>
            </w:pPr>
            <w:r w:rsidRPr="00A76D49">
              <w:rPr>
                <w:rFonts w:ascii="Futura Std Condensed Light" w:eastAsia="Calibri" w:hAnsi="Futura Std Condensed Light" w:cs="Calibri"/>
                <w:b/>
                <w:sz w:val="20"/>
                <w:szCs w:val="18"/>
              </w:rPr>
              <w:t>Elemento</w:t>
            </w:r>
          </w:p>
        </w:tc>
        <w:tc>
          <w:tcPr>
            <w:tcW w:w="4094" w:type="pct"/>
            <w:shd w:val="clear" w:color="auto" w:fill="A6A6A6" w:themeFill="background1" w:themeFillShade="A6"/>
            <w:vAlign w:val="center"/>
            <w:hideMark/>
          </w:tcPr>
          <w:p w14:paraId="576457E9" w14:textId="77777777" w:rsidR="00EC5AE8" w:rsidRPr="00A76D49" w:rsidRDefault="00EC5AE8" w:rsidP="005162E7">
            <w:pPr>
              <w:spacing w:after="0" w:line="240" w:lineRule="auto"/>
              <w:rPr>
                <w:rFonts w:ascii="Futura Std Condensed Light" w:eastAsia="Calibri" w:hAnsi="Futura Std Condensed Light" w:cs="Calibri"/>
                <w:b/>
                <w:sz w:val="20"/>
                <w:szCs w:val="18"/>
              </w:rPr>
            </w:pPr>
            <w:r w:rsidRPr="00A76D49">
              <w:rPr>
                <w:rFonts w:ascii="Futura Std Condensed Light" w:eastAsia="Calibri" w:hAnsi="Futura Std Condensed Light" w:cs="Calibri"/>
                <w:b/>
                <w:sz w:val="20"/>
                <w:szCs w:val="18"/>
              </w:rPr>
              <w:t>Características</w:t>
            </w:r>
          </w:p>
        </w:tc>
      </w:tr>
      <w:tr w:rsidR="00EC5AE8" w:rsidRPr="00EC5AE8" w14:paraId="6188FEAE" w14:textId="77777777" w:rsidTr="005162E7">
        <w:trPr>
          <w:trHeight w:val="283"/>
          <w:jc w:val="center"/>
        </w:trPr>
        <w:tc>
          <w:tcPr>
            <w:tcW w:w="906" w:type="pct"/>
            <w:shd w:val="clear" w:color="auto" w:fill="auto"/>
            <w:vAlign w:val="center"/>
            <w:hideMark/>
          </w:tcPr>
          <w:p w14:paraId="2D025051" w14:textId="77777777" w:rsidR="00EC5AE8" w:rsidRPr="00EA78B8" w:rsidRDefault="00EC5AE8" w:rsidP="005162E7">
            <w:pPr>
              <w:spacing w:after="0" w:line="240" w:lineRule="auto"/>
              <w:rPr>
                <w:rFonts w:ascii="Futura Std Condensed Light" w:eastAsia="Calibri" w:hAnsi="Futura Std Condensed Light" w:cs="Calibri"/>
                <w:sz w:val="20"/>
                <w:szCs w:val="18"/>
              </w:rPr>
            </w:pPr>
            <w:r w:rsidRPr="00EA78B8">
              <w:rPr>
                <w:rFonts w:ascii="Futura Std Condensed Light" w:eastAsia="Calibri" w:hAnsi="Futura Std Condensed Light" w:cs="Calibri"/>
                <w:sz w:val="20"/>
                <w:szCs w:val="18"/>
              </w:rPr>
              <w:t>Indicador:</w:t>
            </w:r>
          </w:p>
        </w:tc>
        <w:tc>
          <w:tcPr>
            <w:tcW w:w="4094" w:type="pct"/>
            <w:shd w:val="clear" w:color="auto" w:fill="auto"/>
            <w:vAlign w:val="center"/>
          </w:tcPr>
          <w:p w14:paraId="4CCFF8CF" w14:textId="77777777" w:rsidR="00EC5AE8" w:rsidRPr="00EA78B8" w:rsidRDefault="00EC5AE8" w:rsidP="005162E7">
            <w:pPr>
              <w:spacing w:after="0" w:line="240" w:lineRule="auto"/>
              <w:rPr>
                <w:rFonts w:ascii="Futura Std Condensed Light" w:eastAsia="Calibri" w:hAnsi="Futura Std Condensed Light" w:cs="Calibri"/>
                <w:sz w:val="20"/>
                <w:szCs w:val="18"/>
              </w:rPr>
            </w:pPr>
            <w:r w:rsidRPr="00EA78B8">
              <w:rPr>
                <w:rFonts w:ascii="Futura Std Condensed Light" w:eastAsia="Calibri" w:hAnsi="Futura Std Condensed Light" w:cs="Calibri"/>
                <w:sz w:val="20"/>
                <w:szCs w:val="18"/>
              </w:rPr>
              <w:t>Tasa bruta de cobertura estatal de Educación Superior.</w:t>
            </w:r>
          </w:p>
        </w:tc>
      </w:tr>
      <w:tr w:rsidR="00EC5AE8" w:rsidRPr="00EC5AE8" w14:paraId="247FD37B" w14:textId="77777777" w:rsidTr="005162E7">
        <w:trPr>
          <w:trHeight w:val="283"/>
          <w:jc w:val="center"/>
        </w:trPr>
        <w:tc>
          <w:tcPr>
            <w:tcW w:w="906" w:type="pct"/>
            <w:shd w:val="clear" w:color="auto" w:fill="auto"/>
            <w:vAlign w:val="center"/>
          </w:tcPr>
          <w:p w14:paraId="5F9F3F1D" w14:textId="77777777" w:rsidR="00EC5AE8" w:rsidRPr="00EA78B8" w:rsidRDefault="00EC5AE8" w:rsidP="005162E7">
            <w:pPr>
              <w:spacing w:after="0" w:line="240" w:lineRule="auto"/>
              <w:rPr>
                <w:rFonts w:ascii="Futura Std Condensed Light" w:eastAsia="Calibri" w:hAnsi="Futura Std Condensed Light" w:cs="Calibri"/>
                <w:sz w:val="20"/>
                <w:szCs w:val="18"/>
              </w:rPr>
            </w:pPr>
            <w:r w:rsidRPr="00EA78B8">
              <w:rPr>
                <w:rFonts w:ascii="Futura Std Condensed Light" w:eastAsia="Calibri" w:hAnsi="Futura Std Condensed Light" w:cs="Calibri"/>
                <w:sz w:val="20"/>
                <w:szCs w:val="18"/>
              </w:rPr>
              <w:t>Objetivo PED:</w:t>
            </w:r>
          </w:p>
        </w:tc>
        <w:tc>
          <w:tcPr>
            <w:tcW w:w="4094" w:type="pct"/>
            <w:shd w:val="clear" w:color="auto" w:fill="auto"/>
            <w:vAlign w:val="center"/>
          </w:tcPr>
          <w:p w14:paraId="7B451692" w14:textId="77777777" w:rsidR="00EC5AE8" w:rsidRPr="00EA78B8" w:rsidRDefault="00EC5AE8" w:rsidP="005162E7">
            <w:pPr>
              <w:spacing w:after="0" w:line="240" w:lineRule="auto"/>
              <w:rPr>
                <w:rFonts w:ascii="Futura Std Condensed Light" w:eastAsia="Calibri" w:hAnsi="Futura Std Condensed Light" w:cs="Calibri"/>
                <w:sz w:val="20"/>
                <w:szCs w:val="18"/>
              </w:rPr>
            </w:pPr>
            <w:r w:rsidRPr="00EA78B8">
              <w:rPr>
                <w:rFonts w:ascii="Futura Std Condensed Light" w:eastAsia="Calibri" w:hAnsi="Futura Std Condensed Light" w:cs="Calibri"/>
                <w:sz w:val="20"/>
                <w:szCs w:val="18"/>
              </w:rPr>
              <w:t>Garantizar el acceso y permanencia a una educación inclusiva y de calidad en todos los niveles educativos que promueva en los educandos aprendizajes para la vida.</w:t>
            </w:r>
          </w:p>
        </w:tc>
      </w:tr>
      <w:tr w:rsidR="00EC5AE8" w:rsidRPr="00EC5AE8" w14:paraId="31EEABC2" w14:textId="77777777" w:rsidTr="005162E7">
        <w:trPr>
          <w:trHeight w:val="283"/>
          <w:jc w:val="center"/>
        </w:trPr>
        <w:tc>
          <w:tcPr>
            <w:tcW w:w="906" w:type="pct"/>
            <w:shd w:val="clear" w:color="auto" w:fill="auto"/>
            <w:vAlign w:val="center"/>
            <w:hideMark/>
          </w:tcPr>
          <w:p w14:paraId="56E0D3A6" w14:textId="77777777" w:rsidR="00EC5AE8" w:rsidRPr="00EA78B8" w:rsidRDefault="00EC5AE8" w:rsidP="005162E7">
            <w:pPr>
              <w:spacing w:after="0" w:line="240" w:lineRule="auto"/>
              <w:rPr>
                <w:rFonts w:ascii="Futura Std Condensed Light" w:eastAsia="Calibri" w:hAnsi="Futura Std Condensed Light" w:cs="Calibri"/>
                <w:sz w:val="20"/>
                <w:szCs w:val="18"/>
              </w:rPr>
            </w:pPr>
            <w:r w:rsidRPr="00EA78B8">
              <w:rPr>
                <w:rFonts w:ascii="Futura Std Condensed Light" w:eastAsia="Calibri" w:hAnsi="Futura Std Condensed Light" w:cs="Calibri"/>
                <w:sz w:val="20"/>
                <w:szCs w:val="18"/>
              </w:rPr>
              <w:t>Descripción:</w:t>
            </w:r>
          </w:p>
        </w:tc>
        <w:tc>
          <w:tcPr>
            <w:tcW w:w="4094" w:type="pct"/>
            <w:shd w:val="clear" w:color="auto" w:fill="auto"/>
            <w:vAlign w:val="center"/>
          </w:tcPr>
          <w:p w14:paraId="0A246977" w14:textId="77777777" w:rsidR="00EC5AE8" w:rsidRPr="00EA78B8" w:rsidRDefault="00EC5AE8" w:rsidP="005162E7">
            <w:pPr>
              <w:spacing w:after="0" w:line="240" w:lineRule="auto"/>
              <w:rPr>
                <w:rFonts w:ascii="Futura Std Condensed Light" w:eastAsia="Calibri" w:hAnsi="Futura Std Condensed Light" w:cs="Calibri"/>
                <w:sz w:val="20"/>
                <w:szCs w:val="18"/>
              </w:rPr>
            </w:pPr>
            <w:r w:rsidRPr="00EA78B8">
              <w:rPr>
                <w:rFonts w:ascii="Futura Std Condensed Light" w:eastAsia="Calibri" w:hAnsi="Futura Std Condensed Light" w:cs="Calibri"/>
                <w:sz w:val="20"/>
                <w:szCs w:val="18"/>
              </w:rPr>
              <w:t>Este indicador muestra el porcentaje de alumnos inscritos o matriculados en educación superior al inicio del ciclo escolar, con respecto a la población estatal en edad normativa (18 a 22 años) para cursar el nivel educativo.</w:t>
            </w:r>
          </w:p>
        </w:tc>
      </w:tr>
      <w:tr w:rsidR="00EC5AE8" w:rsidRPr="00EC5AE8" w14:paraId="19FAE2DE" w14:textId="77777777" w:rsidTr="005162E7">
        <w:trPr>
          <w:trHeight w:val="283"/>
          <w:jc w:val="center"/>
        </w:trPr>
        <w:tc>
          <w:tcPr>
            <w:tcW w:w="906" w:type="pct"/>
            <w:shd w:val="clear" w:color="auto" w:fill="auto"/>
            <w:vAlign w:val="center"/>
            <w:hideMark/>
          </w:tcPr>
          <w:p w14:paraId="2C400DCA" w14:textId="77777777" w:rsidR="00EC5AE8" w:rsidRPr="00EA78B8" w:rsidRDefault="00EC5AE8" w:rsidP="005162E7">
            <w:pPr>
              <w:spacing w:after="0" w:line="240" w:lineRule="auto"/>
              <w:rPr>
                <w:rFonts w:ascii="Futura Std Condensed Light" w:eastAsia="Calibri" w:hAnsi="Futura Std Condensed Light" w:cs="Calibri"/>
                <w:sz w:val="20"/>
                <w:szCs w:val="18"/>
              </w:rPr>
            </w:pPr>
            <w:r w:rsidRPr="00EA78B8">
              <w:rPr>
                <w:rFonts w:ascii="Futura Std Condensed Light" w:eastAsia="Calibri" w:hAnsi="Futura Std Condensed Light" w:cs="Calibri"/>
                <w:sz w:val="20"/>
                <w:szCs w:val="18"/>
              </w:rPr>
              <w:t>Método de cálculo:</w:t>
            </w:r>
          </w:p>
        </w:tc>
        <w:tc>
          <w:tcPr>
            <w:tcW w:w="4094" w:type="pct"/>
            <w:shd w:val="clear" w:color="auto" w:fill="auto"/>
            <w:vAlign w:val="center"/>
          </w:tcPr>
          <w:p w14:paraId="305DCFD5" w14:textId="77777777" w:rsidR="00EC5AE8" w:rsidRPr="00EA78B8" w:rsidRDefault="00EC5AE8" w:rsidP="005162E7">
            <w:pPr>
              <w:spacing w:after="0" w:line="240" w:lineRule="auto"/>
              <w:rPr>
                <w:rFonts w:ascii="Futura Std Condensed Light" w:eastAsia="Calibri" w:hAnsi="Futura Std Condensed Light" w:cs="Calibri"/>
                <w:sz w:val="20"/>
                <w:szCs w:val="18"/>
              </w:rPr>
            </w:pPr>
            <w:r w:rsidRPr="00EA78B8">
              <w:rPr>
                <w:rFonts w:ascii="Futura Std Condensed Light" w:eastAsia="Calibri" w:hAnsi="Futura Std Condensed Light" w:cs="Calibri"/>
                <w:sz w:val="20"/>
                <w:szCs w:val="18"/>
              </w:rPr>
              <w:t>(Total de alumnos matriculados en educación superior al inicio del ciclo escolar t / Población estatal a mitad del año t en edad idónea o típica para cursar educación superior, 18 a 22 años) X 100</w:t>
            </w:r>
          </w:p>
        </w:tc>
      </w:tr>
      <w:tr w:rsidR="00EC5AE8" w:rsidRPr="00EC5AE8" w14:paraId="74328AE7" w14:textId="77777777" w:rsidTr="005162E7">
        <w:trPr>
          <w:trHeight w:val="283"/>
          <w:jc w:val="center"/>
        </w:trPr>
        <w:tc>
          <w:tcPr>
            <w:tcW w:w="906" w:type="pct"/>
            <w:shd w:val="clear" w:color="auto" w:fill="auto"/>
            <w:vAlign w:val="center"/>
            <w:hideMark/>
          </w:tcPr>
          <w:p w14:paraId="48DE12E0" w14:textId="77777777" w:rsidR="00EC5AE8" w:rsidRPr="00EA78B8" w:rsidRDefault="00EC5AE8" w:rsidP="005162E7">
            <w:pPr>
              <w:spacing w:after="0" w:line="240" w:lineRule="auto"/>
              <w:rPr>
                <w:rFonts w:ascii="Futura Std Condensed Light" w:eastAsia="Calibri" w:hAnsi="Futura Std Condensed Light" w:cs="Calibri"/>
                <w:sz w:val="20"/>
                <w:szCs w:val="18"/>
              </w:rPr>
            </w:pPr>
            <w:r w:rsidRPr="00EA78B8">
              <w:rPr>
                <w:rFonts w:ascii="Futura Std Condensed Light" w:eastAsia="Calibri" w:hAnsi="Futura Std Condensed Light" w:cs="Calibri"/>
                <w:sz w:val="20"/>
                <w:szCs w:val="18"/>
              </w:rPr>
              <w:t>Periodicidad:</w:t>
            </w:r>
          </w:p>
        </w:tc>
        <w:tc>
          <w:tcPr>
            <w:tcW w:w="4094" w:type="pct"/>
            <w:shd w:val="clear" w:color="auto" w:fill="auto"/>
            <w:vAlign w:val="center"/>
          </w:tcPr>
          <w:p w14:paraId="0A86E602" w14:textId="77777777" w:rsidR="00EC5AE8" w:rsidRPr="00EA78B8" w:rsidRDefault="00EC5AE8" w:rsidP="005162E7">
            <w:pPr>
              <w:spacing w:after="0" w:line="240" w:lineRule="auto"/>
              <w:rPr>
                <w:rFonts w:ascii="Futura Std Condensed Light" w:eastAsia="Calibri" w:hAnsi="Futura Std Condensed Light" w:cs="Calibri"/>
                <w:sz w:val="20"/>
                <w:szCs w:val="18"/>
              </w:rPr>
            </w:pPr>
            <w:r w:rsidRPr="00EA78B8">
              <w:rPr>
                <w:rFonts w:ascii="Futura Std Condensed Light" w:eastAsia="Calibri" w:hAnsi="Futura Std Condensed Light" w:cs="Calibri"/>
                <w:sz w:val="20"/>
                <w:szCs w:val="18"/>
              </w:rPr>
              <w:t>Anual</w:t>
            </w:r>
          </w:p>
        </w:tc>
      </w:tr>
      <w:tr w:rsidR="00EC5AE8" w:rsidRPr="00EC5AE8" w14:paraId="2E069970" w14:textId="77777777" w:rsidTr="005162E7">
        <w:trPr>
          <w:trHeight w:val="283"/>
          <w:jc w:val="center"/>
        </w:trPr>
        <w:tc>
          <w:tcPr>
            <w:tcW w:w="906" w:type="pct"/>
            <w:shd w:val="clear" w:color="auto" w:fill="auto"/>
            <w:vAlign w:val="center"/>
            <w:hideMark/>
          </w:tcPr>
          <w:p w14:paraId="5207B841" w14:textId="77777777" w:rsidR="00EC5AE8" w:rsidRPr="00EA78B8" w:rsidRDefault="00EC5AE8" w:rsidP="005162E7">
            <w:pPr>
              <w:spacing w:after="0" w:line="240" w:lineRule="auto"/>
              <w:rPr>
                <w:rFonts w:ascii="Futura Std Condensed Light" w:eastAsia="Calibri" w:hAnsi="Futura Std Condensed Light" w:cs="Calibri"/>
                <w:sz w:val="20"/>
                <w:szCs w:val="18"/>
              </w:rPr>
            </w:pPr>
            <w:r w:rsidRPr="00EA78B8">
              <w:rPr>
                <w:rFonts w:ascii="Futura Std Condensed Light" w:eastAsia="Calibri" w:hAnsi="Futura Std Condensed Light" w:cs="Calibri"/>
                <w:sz w:val="20"/>
                <w:szCs w:val="18"/>
              </w:rPr>
              <w:t>Fuente:</w:t>
            </w:r>
          </w:p>
        </w:tc>
        <w:tc>
          <w:tcPr>
            <w:tcW w:w="4094" w:type="pct"/>
            <w:shd w:val="clear" w:color="auto" w:fill="auto"/>
            <w:vAlign w:val="center"/>
          </w:tcPr>
          <w:p w14:paraId="0D3464AB" w14:textId="77777777" w:rsidR="00EC5AE8" w:rsidRPr="00EA78B8" w:rsidRDefault="00EC5AE8" w:rsidP="005162E7">
            <w:pPr>
              <w:spacing w:after="0" w:line="240" w:lineRule="auto"/>
              <w:rPr>
                <w:rFonts w:ascii="Futura Std Condensed Light" w:eastAsia="Calibri" w:hAnsi="Futura Std Condensed Light" w:cs="Calibri"/>
                <w:sz w:val="20"/>
                <w:szCs w:val="18"/>
              </w:rPr>
            </w:pPr>
            <w:r w:rsidRPr="00EA78B8">
              <w:rPr>
                <w:rFonts w:ascii="Futura Std Condensed Light" w:eastAsia="Calibri" w:hAnsi="Futura Std Condensed Light" w:cs="Calibri"/>
                <w:sz w:val="20"/>
                <w:szCs w:val="18"/>
              </w:rPr>
              <w:t>Estadísticas continúas del formato 911, matrícula de inicio de ciclo escolar, SEQ. Proyecciones de población por edad desplegada, entidad federativa (Quintana Roo) 1970-2050, CONAPO.</w:t>
            </w:r>
          </w:p>
        </w:tc>
      </w:tr>
      <w:tr w:rsidR="00EC5AE8" w:rsidRPr="00EC5AE8" w14:paraId="4F01D344" w14:textId="77777777" w:rsidTr="005162E7">
        <w:trPr>
          <w:trHeight w:val="283"/>
          <w:jc w:val="center"/>
        </w:trPr>
        <w:tc>
          <w:tcPr>
            <w:tcW w:w="906" w:type="pct"/>
            <w:shd w:val="clear" w:color="auto" w:fill="auto"/>
            <w:vAlign w:val="center"/>
            <w:hideMark/>
          </w:tcPr>
          <w:p w14:paraId="4E3922B2" w14:textId="77777777" w:rsidR="00EC5AE8" w:rsidRPr="00EA78B8" w:rsidRDefault="00EC5AE8" w:rsidP="005162E7">
            <w:pPr>
              <w:spacing w:after="0" w:line="240" w:lineRule="auto"/>
              <w:rPr>
                <w:rFonts w:ascii="Futura Std Condensed Light" w:eastAsia="Calibri" w:hAnsi="Futura Std Condensed Light" w:cs="Calibri"/>
                <w:sz w:val="20"/>
                <w:szCs w:val="18"/>
              </w:rPr>
            </w:pPr>
            <w:r w:rsidRPr="00EA78B8">
              <w:rPr>
                <w:rFonts w:ascii="Futura Std Condensed Light" w:eastAsia="Calibri" w:hAnsi="Futura Std Condensed Light" w:cs="Calibri"/>
                <w:sz w:val="20"/>
                <w:szCs w:val="18"/>
              </w:rPr>
              <w:t>Dimensión:</w:t>
            </w:r>
          </w:p>
        </w:tc>
        <w:tc>
          <w:tcPr>
            <w:tcW w:w="4094" w:type="pct"/>
            <w:shd w:val="clear" w:color="auto" w:fill="auto"/>
            <w:vAlign w:val="center"/>
            <w:hideMark/>
          </w:tcPr>
          <w:p w14:paraId="00F4EBAC" w14:textId="77777777" w:rsidR="00EC5AE8" w:rsidRPr="00EA78B8" w:rsidRDefault="00EC5AE8" w:rsidP="005162E7">
            <w:pPr>
              <w:spacing w:after="0" w:line="240" w:lineRule="auto"/>
              <w:rPr>
                <w:rFonts w:ascii="Futura Std Condensed Light" w:eastAsia="Calibri" w:hAnsi="Futura Std Condensed Light" w:cs="Calibri"/>
                <w:sz w:val="20"/>
                <w:szCs w:val="18"/>
              </w:rPr>
            </w:pPr>
            <w:r w:rsidRPr="00EA78B8">
              <w:rPr>
                <w:rFonts w:ascii="Futura Std Condensed Light" w:eastAsia="Calibri" w:hAnsi="Futura Std Condensed Light" w:cs="Calibri"/>
                <w:sz w:val="20"/>
                <w:szCs w:val="18"/>
              </w:rPr>
              <w:t xml:space="preserve">Eficacia </w:t>
            </w:r>
          </w:p>
        </w:tc>
      </w:tr>
      <w:tr w:rsidR="00EC5AE8" w:rsidRPr="004335DB" w14:paraId="3488A535" w14:textId="77777777" w:rsidTr="005162E7">
        <w:trPr>
          <w:trHeight w:val="283"/>
          <w:jc w:val="center"/>
        </w:trPr>
        <w:tc>
          <w:tcPr>
            <w:tcW w:w="906" w:type="pct"/>
            <w:shd w:val="clear" w:color="auto" w:fill="auto"/>
            <w:vAlign w:val="center"/>
            <w:hideMark/>
          </w:tcPr>
          <w:p w14:paraId="1412B0DF" w14:textId="77777777" w:rsidR="00EC5AE8" w:rsidRPr="00EA78B8" w:rsidRDefault="00EC5AE8" w:rsidP="005162E7">
            <w:pPr>
              <w:spacing w:after="0" w:line="240" w:lineRule="auto"/>
              <w:rPr>
                <w:rFonts w:ascii="Futura Std Condensed Light" w:eastAsia="Calibri" w:hAnsi="Futura Std Condensed Light" w:cs="Calibri"/>
                <w:sz w:val="20"/>
                <w:szCs w:val="18"/>
              </w:rPr>
            </w:pPr>
            <w:r w:rsidRPr="00EA78B8">
              <w:rPr>
                <w:rFonts w:ascii="Futura Std Condensed Light" w:eastAsia="Calibri" w:hAnsi="Futura Std Condensed Light" w:cs="Calibri"/>
                <w:sz w:val="20"/>
                <w:szCs w:val="18"/>
              </w:rPr>
              <w:t>Referencias adicionales:</w:t>
            </w:r>
          </w:p>
        </w:tc>
        <w:tc>
          <w:tcPr>
            <w:tcW w:w="4094" w:type="pct"/>
            <w:shd w:val="clear" w:color="auto" w:fill="auto"/>
            <w:vAlign w:val="center"/>
          </w:tcPr>
          <w:p w14:paraId="2C181FCC" w14:textId="77777777" w:rsidR="00EC5AE8" w:rsidRPr="00EA78B8" w:rsidRDefault="00EC5AE8" w:rsidP="005162E7">
            <w:pPr>
              <w:spacing w:after="0" w:line="240" w:lineRule="auto"/>
              <w:rPr>
                <w:rFonts w:ascii="Futura Std Condensed Light" w:eastAsia="Calibri" w:hAnsi="Futura Std Condensed Light" w:cs="Calibri"/>
                <w:sz w:val="20"/>
                <w:szCs w:val="18"/>
              </w:rPr>
            </w:pPr>
          </w:p>
        </w:tc>
      </w:tr>
    </w:tbl>
    <w:bookmarkEnd w:id="86"/>
    <w:bookmarkEnd w:id="87"/>
    <w:bookmarkEnd w:id="88"/>
    <w:p w14:paraId="4863C604" w14:textId="77777777" w:rsidR="00452B8D" w:rsidRDefault="00452B8D" w:rsidP="00452B8D">
      <w:pPr>
        <w:pStyle w:val="Textonotapie"/>
        <w:rPr>
          <w:rFonts w:ascii="Futura T OT" w:eastAsia="MS PGothic" w:hAnsi="Futura T OT"/>
          <w:szCs w:val="16"/>
          <w:lang w:val="es-ES_tradnl" w:eastAsia="es-ES"/>
        </w:rPr>
      </w:pPr>
      <w:r w:rsidRPr="00DF2DEE">
        <w:rPr>
          <w:rFonts w:ascii="Futura T OT" w:eastAsia="MS PGothic" w:hAnsi="Futura T OT"/>
          <w:szCs w:val="16"/>
          <w:lang w:val="es-ES_tradnl" w:eastAsia="es-ES"/>
        </w:rPr>
        <w:t>Fuente: Elaboración propia</w:t>
      </w:r>
      <w:r>
        <w:rPr>
          <w:rFonts w:ascii="Futura T OT" w:eastAsia="MS PGothic" w:hAnsi="Futura T OT"/>
          <w:szCs w:val="16"/>
          <w:lang w:val="es-ES_tradnl" w:eastAsia="es-ES"/>
        </w:rPr>
        <w:t>, Dirección de Planeación, SEQ</w:t>
      </w:r>
      <w:r w:rsidRPr="00DF2DEE">
        <w:rPr>
          <w:rFonts w:ascii="Futura T OT" w:eastAsia="MS PGothic" w:hAnsi="Futura T OT"/>
          <w:szCs w:val="16"/>
          <w:lang w:val="es-ES_tradnl" w:eastAsia="es-ES"/>
        </w:rPr>
        <w:t>.</w:t>
      </w:r>
      <w:r w:rsidRPr="004335DB">
        <w:rPr>
          <w:rFonts w:ascii="Futura T OT" w:eastAsia="MS PGothic" w:hAnsi="Futura T OT"/>
          <w:szCs w:val="16"/>
          <w:lang w:val="es-ES_tradnl" w:eastAsia="es-ES"/>
        </w:rPr>
        <w:t xml:space="preserve"> </w:t>
      </w:r>
    </w:p>
    <w:p w14:paraId="1A564170" w14:textId="6E9AE572" w:rsidR="00364E7E" w:rsidRDefault="00364E7E">
      <w:pPr>
        <w:spacing w:after="0" w:line="240" w:lineRule="auto"/>
        <w:jc w:val="left"/>
        <w:rPr>
          <w:lang w:eastAsia="en-US"/>
        </w:rPr>
      </w:pPr>
      <w:r>
        <w:rPr>
          <w:lang w:eastAsia="en-US"/>
        </w:rPr>
        <w:br w:type="page"/>
      </w:r>
    </w:p>
    <w:p w14:paraId="02E8701B" w14:textId="0ACFCFB4" w:rsidR="004C4CAC" w:rsidRPr="004C4CAC" w:rsidRDefault="004C4CAC" w:rsidP="004C4CAC">
      <w:pPr>
        <w:pStyle w:val="Ttulo1"/>
      </w:pPr>
      <w:bookmarkStart w:id="89" w:name="_Toc53409876"/>
      <w:r>
        <w:lastRenderedPageBreak/>
        <w:t>Anexo 2. Fichas de Indicadores del PROGRAMA</w:t>
      </w:r>
      <w:bookmarkEnd w:id="89"/>
      <w:r>
        <w:t xml:space="preserve"> </w:t>
      </w:r>
    </w:p>
    <w:p w14:paraId="17BFA841" w14:textId="301CBAD1" w:rsidR="00CC2A89" w:rsidRDefault="00C2741A" w:rsidP="004C4CAC">
      <w:pPr>
        <w:pStyle w:val="Textoindependiente"/>
      </w:pPr>
      <w:r w:rsidRPr="00A76D49">
        <w:t xml:space="preserve">A </w:t>
      </w:r>
      <w:r w:rsidR="000F014E" w:rsidRPr="00A76D49">
        <w:t>continuación,</w:t>
      </w:r>
      <w:r w:rsidRPr="00A76D49">
        <w:t xml:space="preserve"> se presentan las fichas técnicas de los indicadores propuestos para dar seguimiento a los objetivos y estrategias establ</w:t>
      </w:r>
      <w:r w:rsidR="00A52872" w:rsidRPr="00A76D49">
        <w:t>ecidos en el presente Programa Sectorial d</w:t>
      </w:r>
      <w:r w:rsidR="00FB4D0E" w:rsidRPr="00A76D49">
        <w:t>e Educació</w:t>
      </w:r>
      <w:r w:rsidR="004C4CAC" w:rsidRPr="00A76D49">
        <w:t>n Pública de Calidad 2016-2022.</w:t>
      </w:r>
    </w:p>
    <w:p w14:paraId="3F41EFB4" w14:textId="7222670F" w:rsidR="00256EC3" w:rsidRPr="00256EC3" w:rsidRDefault="00256EC3" w:rsidP="00256EC3">
      <w:r w:rsidRPr="00256EC3">
        <w:rPr>
          <w:b/>
        </w:rPr>
        <w:t>Objetivo 1</w:t>
      </w:r>
      <w:r w:rsidRPr="00256EC3">
        <w:t>. I</w:t>
      </w:r>
      <w:r w:rsidR="005C18EB">
        <w:t>ncrementar el logro académico</w:t>
      </w:r>
      <w:r w:rsidRPr="00256EC3">
        <w:t xml:space="preserve"> de los estudiantes de educación básica para una educación integral e inclusiva de calidad.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1816"/>
        <w:gridCol w:w="7721"/>
      </w:tblGrid>
      <w:tr w:rsidR="00256EC3" w:rsidRPr="0069403A" w14:paraId="5F876F4B" w14:textId="77777777" w:rsidTr="00BF600C">
        <w:trPr>
          <w:trHeight w:val="283"/>
        </w:trPr>
        <w:tc>
          <w:tcPr>
            <w:tcW w:w="952" w:type="pct"/>
            <w:shd w:val="clear" w:color="auto" w:fill="BFBFBF" w:themeFill="background1" w:themeFillShade="BF"/>
            <w:tcMar>
              <w:top w:w="72" w:type="dxa"/>
              <w:left w:w="144" w:type="dxa"/>
              <w:bottom w:w="72" w:type="dxa"/>
              <w:right w:w="144" w:type="dxa"/>
            </w:tcMar>
            <w:hideMark/>
          </w:tcPr>
          <w:p w14:paraId="5F95AF12" w14:textId="77777777" w:rsidR="00256EC3" w:rsidRPr="006E77E1" w:rsidRDefault="00256EC3" w:rsidP="00652479">
            <w:pPr>
              <w:spacing w:after="0" w:line="240" w:lineRule="auto"/>
              <w:rPr>
                <w:rFonts w:ascii="Futura Std Condensed Light" w:eastAsia="Calibri" w:hAnsi="Futura Std Condensed Light" w:cs="Calibri"/>
                <w:sz w:val="18"/>
                <w:szCs w:val="18"/>
              </w:rPr>
            </w:pPr>
            <w:r w:rsidRPr="006E77E1">
              <w:rPr>
                <w:rFonts w:ascii="Futura Std Condensed Light" w:eastAsia="Calibri" w:hAnsi="Futura Std Condensed Light" w:cs="Calibri"/>
                <w:sz w:val="18"/>
                <w:szCs w:val="18"/>
              </w:rPr>
              <w:t>Elemento</w:t>
            </w:r>
          </w:p>
        </w:tc>
        <w:tc>
          <w:tcPr>
            <w:tcW w:w="4048" w:type="pct"/>
            <w:tcBorders>
              <w:bottom w:val="single" w:sz="4" w:space="0" w:color="auto"/>
            </w:tcBorders>
            <w:shd w:val="clear" w:color="auto" w:fill="BFBFBF" w:themeFill="background1" w:themeFillShade="BF"/>
            <w:tcMar>
              <w:top w:w="72" w:type="dxa"/>
              <w:left w:w="144" w:type="dxa"/>
              <w:bottom w:w="72" w:type="dxa"/>
              <w:right w:w="144" w:type="dxa"/>
            </w:tcMar>
            <w:hideMark/>
          </w:tcPr>
          <w:p w14:paraId="0C6A27D9" w14:textId="77777777" w:rsidR="00256EC3" w:rsidRPr="006E77E1" w:rsidRDefault="00256EC3" w:rsidP="00652479">
            <w:pPr>
              <w:spacing w:after="0" w:line="240" w:lineRule="auto"/>
              <w:rPr>
                <w:rFonts w:ascii="Futura Std Condensed Light" w:eastAsia="Calibri" w:hAnsi="Futura Std Condensed Light" w:cs="Calibri"/>
                <w:sz w:val="18"/>
                <w:szCs w:val="18"/>
              </w:rPr>
            </w:pPr>
            <w:r w:rsidRPr="006E77E1">
              <w:rPr>
                <w:rFonts w:ascii="Futura Std Condensed Light" w:eastAsia="Calibri" w:hAnsi="Futura Std Condensed Light" w:cs="Calibri"/>
                <w:sz w:val="18"/>
                <w:szCs w:val="18"/>
              </w:rPr>
              <w:t>Características</w:t>
            </w:r>
          </w:p>
        </w:tc>
      </w:tr>
      <w:tr w:rsidR="00256EC3" w:rsidRPr="0069403A" w14:paraId="17370497" w14:textId="77777777" w:rsidTr="00652479">
        <w:trPr>
          <w:trHeight w:val="283"/>
        </w:trPr>
        <w:tc>
          <w:tcPr>
            <w:tcW w:w="952" w:type="pct"/>
            <w:shd w:val="clear" w:color="auto" w:fill="FFFFFF" w:themeFill="background1"/>
            <w:tcMar>
              <w:top w:w="72" w:type="dxa"/>
              <w:left w:w="144" w:type="dxa"/>
              <w:bottom w:w="72" w:type="dxa"/>
              <w:right w:w="144" w:type="dxa"/>
            </w:tcMar>
            <w:hideMark/>
          </w:tcPr>
          <w:p w14:paraId="69C58AAD" w14:textId="77777777" w:rsidR="00256EC3" w:rsidRPr="006E77E1" w:rsidRDefault="00256EC3" w:rsidP="00652479">
            <w:pPr>
              <w:spacing w:after="0" w:line="240" w:lineRule="auto"/>
              <w:rPr>
                <w:rFonts w:ascii="Futura Std Condensed Light" w:eastAsia="Calibri" w:hAnsi="Futura Std Condensed Light" w:cs="Calibri"/>
                <w:sz w:val="18"/>
                <w:szCs w:val="18"/>
              </w:rPr>
            </w:pPr>
            <w:r w:rsidRPr="006E77E1">
              <w:rPr>
                <w:rFonts w:ascii="Futura Std Condensed Light" w:eastAsia="Calibri" w:hAnsi="Futura Std Condensed Light" w:cs="Calibri"/>
                <w:sz w:val="18"/>
                <w:szCs w:val="18"/>
              </w:rPr>
              <w:t>Indicador:</w:t>
            </w:r>
          </w:p>
        </w:tc>
        <w:tc>
          <w:tcPr>
            <w:tcW w:w="4048" w:type="pct"/>
            <w:shd w:val="clear" w:color="auto" w:fill="FFFFFF" w:themeFill="background1"/>
            <w:tcMar>
              <w:top w:w="72" w:type="dxa"/>
              <w:left w:w="144" w:type="dxa"/>
              <w:bottom w:w="72" w:type="dxa"/>
              <w:right w:w="144" w:type="dxa"/>
            </w:tcMar>
            <w:hideMark/>
          </w:tcPr>
          <w:p w14:paraId="5A660768" w14:textId="77777777" w:rsidR="00256EC3" w:rsidRPr="006E77E1" w:rsidRDefault="00256EC3" w:rsidP="00652479">
            <w:pPr>
              <w:spacing w:after="0" w:line="240" w:lineRule="auto"/>
              <w:rPr>
                <w:rFonts w:ascii="Futura Std Condensed Light" w:eastAsia="Calibri" w:hAnsi="Futura Std Condensed Light" w:cs="Calibri"/>
                <w:sz w:val="18"/>
                <w:szCs w:val="18"/>
              </w:rPr>
            </w:pPr>
            <w:r w:rsidRPr="006E77E1">
              <w:rPr>
                <w:rFonts w:ascii="Futura Std Condensed Light" w:eastAsia="Calibri" w:hAnsi="Futura Std Condensed Light" w:cs="Calibri"/>
                <w:sz w:val="18"/>
                <w:szCs w:val="18"/>
              </w:rPr>
              <w:t>Porcentaje de alumnos de sexto grado de primaria que obtienen un promedio igual o mayor a 8 en la asignatura de español.</w:t>
            </w:r>
          </w:p>
        </w:tc>
      </w:tr>
      <w:tr w:rsidR="00256EC3" w:rsidRPr="0069403A" w14:paraId="79BF03AC" w14:textId="77777777" w:rsidTr="00652479">
        <w:trPr>
          <w:trHeight w:val="283"/>
        </w:trPr>
        <w:tc>
          <w:tcPr>
            <w:tcW w:w="952" w:type="pct"/>
            <w:shd w:val="clear" w:color="auto" w:fill="FFFFFF" w:themeFill="background1"/>
            <w:tcMar>
              <w:top w:w="72" w:type="dxa"/>
              <w:left w:w="144" w:type="dxa"/>
              <w:bottom w:w="72" w:type="dxa"/>
              <w:right w:w="144" w:type="dxa"/>
            </w:tcMar>
          </w:tcPr>
          <w:p w14:paraId="34B7C63C" w14:textId="6D82E383" w:rsidR="00256EC3" w:rsidRPr="006E77E1" w:rsidRDefault="00B84F7E" w:rsidP="00652479">
            <w:pPr>
              <w:spacing w:after="0" w:line="240" w:lineRule="auto"/>
              <w:rPr>
                <w:rFonts w:ascii="Futura Std Condensed Light" w:eastAsia="Calibri" w:hAnsi="Futura Std Condensed Light" w:cs="Calibri"/>
                <w:sz w:val="18"/>
                <w:szCs w:val="18"/>
              </w:rPr>
            </w:pPr>
            <w:r>
              <w:rPr>
                <w:rFonts w:ascii="Futura Std Condensed Light" w:eastAsia="Calibri" w:hAnsi="Futura Std Condensed Light" w:cs="Calibri"/>
                <w:sz w:val="18"/>
                <w:szCs w:val="18"/>
              </w:rPr>
              <w:t>Objetivo 1</w:t>
            </w:r>
            <w:r w:rsidR="00A84F9D">
              <w:rPr>
                <w:rFonts w:ascii="Futura Std Condensed Light" w:eastAsia="Calibri" w:hAnsi="Futura Std Condensed Light" w:cs="Calibri"/>
                <w:sz w:val="18"/>
                <w:szCs w:val="18"/>
              </w:rPr>
              <w:t>:</w:t>
            </w:r>
          </w:p>
        </w:tc>
        <w:tc>
          <w:tcPr>
            <w:tcW w:w="4048" w:type="pct"/>
            <w:shd w:val="clear" w:color="auto" w:fill="FFFFFF" w:themeFill="background1"/>
            <w:tcMar>
              <w:top w:w="72" w:type="dxa"/>
              <w:left w:w="144" w:type="dxa"/>
              <w:bottom w:w="72" w:type="dxa"/>
              <w:right w:w="144" w:type="dxa"/>
            </w:tcMar>
          </w:tcPr>
          <w:p w14:paraId="093CBA2D" w14:textId="04D03F6F" w:rsidR="00256EC3" w:rsidRPr="006E77E1" w:rsidRDefault="005C18EB" w:rsidP="00652479">
            <w:pPr>
              <w:spacing w:after="0" w:line="240" w:lineRule="auto"/>
              <w:rPr>
                <w:rFonts w:ascii="Futura Std Condensed Light" w:eastAsia="Calibri" w:hAnsi="Futura Std Condensed Light" w:cs="Calibri"/>
                <w:sz w:val="18"/>
                <w:szCs w:val="18"/>
              </w:rPr>
            </w:pPr>
            <w:r>
              <w:rPr>
                <w:rFonts w:ascii="Futura Std Condensed Light" w:eastAsia="Calibri" w:hAnsi="Futura Std Condensed Light" w:cs="Calibri"/>
                <w:sz w:val="18"/>
                <w:szCs w:val="18"/>
              </w:rPr>
              <w:t>Incrementar el logro académico</w:t>
            </w:r>
            <w:r w:rsidR="00256EC3" w:rsidRPr="006E77E1">
              <w:rPr>
                <w:rFonts w:ascii="Futura Std Condensed Light" w:eastAsia="Calibri" w:hAnsi="Futura Std Condensed Light" w:cs="Calibri"/>
                <w:sz w:val="18"/>
                <w:szCs w:val="18"/>
              </w:rPr>
              <w:t xml:space="preserve"> de los estudiantes de educación básica para una educación integral e incl</w:t>
            </w:r>
            <w:bookmarkStart w:id="90" w:name="_GoBack"/>
            <w:bookmarkEnd w:id="90"/>
            <w:r w:rsidR="00256EC3" w:rsidRPr="006E77E1">
              <w:rPr>
                <w:rFonts w:ascii="Futura Std Condensed Light" w:eastAsia="Calibri" w:hAnsi="Futura Std Condensed Light" w:cs="Calibri"/>
                <w:sz w:val="18"/>
                <w:szCs w:val="18"/>
              </w:rPr>
              <w:t>usiva de calidad.</w:t>
            </w:r>
          </w:p>
        </w:tc>
      </w:tr>
      <w:tr w:rsidR="00256EC3" w:rsidRPr="0069403A" w14:paraId="76358650" w14:textId="77777777" w:rsidTr="00652479">
        <w:trPr>
          <w:trHeight w:val="283"/>
        </w:trPr>
        <w:tc>
          <w:tcPr>
            <w:tcW w:w="952" w:type="pct"/>
            <w:shd w:val="clear" w:color="auto" w:fill="FFFFFF" w:themeFill="background1"/>
            <w:tcMar>
              <w:top w:w="72" w:type="dxa"/>
              <w:left w:w="144" w:type="dxa"/>
              <w:bottom w:w="72" w:type="dxa"/>
              <w:right w:w="144" w:type="dxa"/>
            </w:tcMar>
            <w:hideMark/>
          </w:tcPr>
          <w:p w14:paraId="2FFCC796" w14:textId="77777777" w:rsidR="00256EC3" w:rsidRPr="006E77E1" w:rsidRDefault="00256EC3" w:rsidP="00652479">
            <w:pPr>
              <w:spacing w:after="0" w:line="240" w:lineRule="auto"/>
              <w:rPr>
                <w:rFonts w:ascii="Futura Std Condensed Light" w:eastAsia="Calibri" w:hAnsi="Futura Std Condensed Light" w:cs="Calibri"/>
                <w:sz w:val="18"/>
                <w:szCs w:val="18"/>
              </w:rPr>
            </w:pPr>
            <w:r w:rsidRPr="006E77E1">
              <w:rPr>
                <w:rFonts w:ascii="Futura Std Condensed Light" w:eastAsia="Calibri" w:hAnsi="Futura Std Condensed Light" w:cs="Calibri"/>
                <w:sz w:val="18"/>
                <w:szCs w:val="18"/>
              </w:rPr>
              <w:t>Descripción:</w:t>
            </w:r>
          </w:p>
        </w:tc>
        <w:tc>
          <w:tcPr>
            <w:tcW w:w="4048" w:type="pct"/>
            <w:shd w:val="clear" w:color="auto" w:fill="FFFFFF" w:themeFill="background1"/>
            <w:tcMar>
              <w:top w:w="72" w:type="dxa"/>
              <w:left w:w="144" w:type="dxa"/>
              <w:bottom w:w="72" w:type="dxa"/>
              <w:right w:w="144" w:type="dxa"/>
            </w:tcMar>
            <w:hideMark/>
          </w:tcPr>
          <w:p w14:paraId="0F8180C4" w14:textId="77777777" w:rsidR="00256EC3" w:rsidRPr="006E77E1" w:rsidRDefault="00256EC3" w:rsidP="00652479">
            <w:pPr>
              <w:spacing w:after="0" w:line="240" w:lineRule="auto"/>
              <w:rPr>
                <w:rFonts w:ascii="Futura Std Condensed Light" w:eastAsia="Calibri" w:hAnsi="Futura Std Condensed Light" w:cs="Calibri"/>
                <w:sz w:val="18"/>
                <w:szCs w:val="18"/>
              </w:rPr>
            </w:pPr>
            <w:r w:rsidRPr="006E77E1">
              <w:rPr>
                <w:rFonts w:ascii="Futura Std Condensed Light" w:eastAsia="Calibri" w:hAnsi="Futura Std Condensed Light" w:cs="Calibri"/>
                <w:sz w:val="18"/>
                <w:szCs w:val="18"/>
              </w:rPr>
              <w:t>Este indicador refleja el porcentaje de alumnos de sexto grado de primaria de las escuelas públicas en las modalidades general e indígena, que obtienen un promedio general igual o mayor a 8 en la asignatura de español; respecto al total de alumnos en las modalidades mencionadas que concluyen el sexto grado de educación primaria.</w:t>
            </w:r>
          </w:p>
        </w:tc>
      </w:tr>
      <w:tr w:rsidR="00256EC3" w:rsidRPr="0069403A" w14:paraId="6D0E377C" w14:textId="77777777" w:rsidTr="00BF600C">
        <w:trPr>
          <w:trHeight w:val="283"/>
        </w:trPr>
        <w:tc>
          <w:tcPr>
            <w:tcW w:w="952" w:type="pct"/>
            <w:shd w:val="clear" w:color="auto" w:fill="FFFFFF" w:themeFill="background1"/>
            <w:tcMar>
              <w:top w:w="72" w:type="dxa"/>
              <w:left w:w="144" w:type="dxa"/>
              <w:bottom w:w="72" w:type="dxa"/>
              <w:right w:w="144" w:type="dxa"/>
            </w:tcMar>
            <w:hideMark/>
          </w:tcPr>
          <w:p w14:paraId="7E6EA438" w14:textId="77777777" w:rsidR="00256EC3" w:rsidRPr="006E77E1" w:rsidRDefault="00256EC3" w:rsidP="00652479">
            <w:pPr>
              <w:spacing w:after="0" w:line="240" w:lineRule="auto"/>
              <w:rPr>
                <w:rFonts w:ascii="Futura Std Condensed Light" w:eastAsia="Calibri" w:hAnsi="Futura Std Condensed Light" w:cs="Calibri"/>
                <w:sz w:val="18"/>
                <w:szCs w:val="18"/>
              </w:rPr>
            </w:pPr>
            <w:r w:rsidRPr="006E77E1">
              <w:rPr>
                <w:rFonts w:ascii="Futura Std Condensed Light" w:eastAsia="Calibri" w:hAnsi="Futura Std Condensed Light" w:cs="Calibri"/>
                <w:sz w:val="18"/>
                <w:szCs w:val="18"/>
              </w:rPr>
              <w:t>Método de cálculo:</w:t>
            </w:r>
          </w:p>
        </w:tc>
        <w:tc>
          <w:tcPr>
            <w:tcW w:w="4048" w:type="pct"/>
            <w:tcBorders>
              <w:bottom w:val="single" w:sz="4" w:space="0" w:color="auto"/>
            </w:tcBorders>
            <w:shd w:val="clear" w:color="auto" w:fill="FFFFFF" w:themeFill="background1"/>
            <w:tcMar>
              <w:top w:w="72" w:type="dxa"/>
              <w:left w:w="144" w:type="dxa"/>
              <w:bottom w:w="72" w:type="dxa"/>
              <w:right w:w="144" w:type="dxa"/>
            </w:tcMar>
            <w:hideMark/>
          </w:tcPr>
          <w:p w14:paraId="759EED9B" w14:textId="77777777" w:rsidR="00256EC3" w:rsidRPr="006E77E1" w:rsidRDefault="00256EC3" w:rsidP="00652479">
            <w:pPr>
              <w:spacing w:after="0" w:line="240" w:lineRule="auto"/>
              <w:rPr>
                <w:rFonts w:ascii="Futura Std Condensed Light" w:eastAsia="Calibri" w:hAnsi="Futura Std Condensed Light" w:cs="Calibri"/>
                <w:sz w:val="18"/>
                <w:szCs w:val="18"/>
              </w:rPr>
            </w:pPr>
            <w:r w:rsidRPr="006E77E1">
              <w:rPr>
                <w:rFonts w:ascii="Futura Std Condensed Light" w:eastAsia="Calibri" w:hAnsi="Futura Std Condensed Light" w:cs="Calibri"/>
                <w:sz w:val="18"/>
                <w:szCs w:val="18"/>
              </w:rPr>
              <w:t>(Número de alumnos de sexto grado de primaria con promedio igual o mayor a 8 en la asignatura de español / Total de alumnos que concluyen el sexto grado de primaria) x 100.</w:t>
            </w:r>
          </w:p>
        </w:tc>
      </w:tr>
      <w:tr w:rsidR="00256EC3" w:rsidRPr="0069403A" w14:paraId="3E785316" w14:textId="77777777" w:rsidTr="00BF600C">
        <w:trPr>
          <w:trHeight w:val="283"/>
        </w:trPr>
        <w:tc>
          <w:tcPr>
            <w:tcW w:w="952" w:type="pct"/>
            <w:shd w:val="clear" w:color="auto" w:fill="FFFFFF" w:themeFill="background1"/>
            <w:tcMar>
              <w:top w:w="72" w:type="dxa"/>
              <w:left w:w="144" w:type="dxa"/>
              <w:bottom w:w="72" w:type="dxa"/>
              <w:right w:w="144" w:type="dxa"/>
            </w:tcMar>
            <w:hideMark/>
          </w:tcPr>
          <w:p w14:paraId="55738AB4" w14:textId="77777777" w:rsidR="00256EC3" w:rsidRPr="006E77E1" w:rsidRDefault="00256EC3" w:rsidP="00652479">
            <w:pPr>
              <w:spacing w:after="0" w:line="240" w:lineRule="auto"/>
              <w:rPr>
                <w:rFonts w:ascii="Futura Std Condensed Light" w:eastAsia="Calibri" w:hAnsi="Futura Std Condensed Light" w:cs="Calibri"/>
                <w:sz w:val="18"/>
                <w:szCs w:val="18"/>
              </w:rPr>
            </w:pPr>
            <w:r w:rsidRPr="006E77E1">
              <w:rPr>
                <w:rFonts w:ascii="Futura Std Condensed Light" w:eastAsia="Calibri" w:hAnsi="Futura Std Condensed Light" w:cs="Calibri"/>
                <w:sz w:val="18"/>
                <w:szCs w:val="18"/>
              </w:rPr>
              <w:t>Periodicidad:</w:t>
            </w:r>
          </w:p>
        </w:tc>
        <w:tc>
          <w:tcPr>
            <w:tcW w:w="4048" w:type="pct"/>
            <w:tcBorders>
              <w:top w:val="single" w:sz="4" w:space="0" w:color="auto"/>
            </w:tcBorders>
            <w:shd w:val="clear" w:color="auto" w:fill="FFFFFF" w:themeFill="background1"/>
            <w:tcMar>
              <w:top w:w="72" w:type="dxa"/>
              <w:left w:w="144" w:type="dxa"/>
              <w:bottom w:w="72" w:type="dxa"/>
              <w:right w:w="144" w:type="dxa"/>
            </w:tcMar>
            <w:hideMark/>
          </w:tcPr>
          <w:p w14:paraId="4C9D0291" w14:textId="77777777" w:rsidR="00256EC3" w:rsidRPr="006E77E1" w:rsidRDefault="00256EC3" w:rsidP="00652479">
            <w:pPr>
              <w:spacing w:after="0" w:line="240" w:lineRule="auto"/>
              <w:rPr>
                <w:rFonts w:ascii="Futura Std Condensed Light" w:eastAsia="Calibri" w:hAnsi="Futura Std Condensed Light" w:cs="Calibri"/>
                <w:sz w:val="18"/>
                <w:szCs w:val="18"/>
              </w:rPr>
            </w:pPr>
            <w:r w:rsidRPr="006E77E1">
              <w:rPr>
                <w:rFonts w:ascii="Futura Std Condensed Light" w:eastAsia="Calibri" w:hAnsi="Futura Std Condensed Light" w:cs="Calibri"/>
                <w:sz w:val="18"/>
                <w:szCs w:val="18"/>
              </w:rPr>
              <w:t>Anual.</w:t>
            </w:r>
          </w:p>
        </w:tc>
      </w:tr>
      <w:tr w:rsidR="00256EC3" w:rsidRPr="0069403A" w14:paraId="3BD9008C" w14:textId="77777777" w:rsidTr="00652479">
        <w:trPr>
          <w:trHeight w:val="283"/>
        </w:trPr>
        <w:tc>
          <w:tcPr>
            <w:tcW w:w="952" w:type="pct"/>
            <w:shd w:val="clear" w:color="auto" w:fill="FFFFFF" w:themeFill="background1"/>
            <w:tcMar>
              <w:top w:w="72" w:type="dxa"/>
              <w:left w:w="144" w:type="dxa"/>
              <w:bottom w:w="72" w:type="dxa"/>
              <w:right w:w="144" w:type="dxa"/>
            </w:tcMar>
            <w:hideMark/>
          </w:tcPr>
          <w:p w14:paraId="291847BD" w14:textId="77777777" w:rsidR="00256EC3" w:rsidRPr="006E77E1" w:rsidRDefault="00256EC3" w:rsidP="00652479">
            <w:pPr>
              <w:spacing w:after="0" w:line="240" w:lineRule="auto"/>
              <w:rPr>
                <w:rFonts w:ascii="Futura Std Condensed Light" w:eastAsia="Calibri" w:hAnsi="Futura Std Condensed Light" w:cs="Calibri"/>
                <w:sz w:val="18"/>
                <w:szCs w:val="18"/>
              </w:rPr>
            </w:pPr>
            <w:r w:rsidRPr="006E77E1">
              <w:rPr>
                <w:rFonts w:ascii="Futura Std Condensed Light" w:eastAsia="Calibri" w:hAnsi="Futura Std Condensed Light" w:cs="Calibri"/>
                <w:sz w:val="18"/>
                <w:szCs w:val="18"/>
              </w:rPr>
              <w:t>Fuente:</w:t>
            </w:r>
          </w:p>
        </w:tc>
        <w:tc>
          <w:tcPr>
            <w:tcW w:w="4048" w:type="pct"/>
            <w:shd w:val="clear" w:color="auto" w:fill="FFFFFF" w:themeFill="background1"/>
            <w:tcMar>
              <w:top w:w="72" w:type="dxa"/>
              <w:left w:w="144" w:type="dxa"/>
              <w:bottom w:w="72" w:type="dxa"/>
              <w:right w:w="144" w:type="dxa"/>
            </w:tcMar>
            <w:hideMark/>
          </w:tcPr>
          <w:p w14:paraId="2384E1D9" w14:textId="77777777" w:rsidR="00256EC3" w:rsidRPr="006E77E1" w:rsidRDefault="00256EC3" w:rsidP="00652479">
            <w:pPr>
              <w:spacing w:after="0" w:line="240" w:lineRule="auto"/>
              <w:rPr>
                <w:rFonts w:ascii="Futura Std Condensed Light" w:eastAsia="Calibri" w:hAnsi="Futura Std Condensed Light" w:cs="Calibri"/>
                <w:sz w:val="18"/>
                <w:szCs w:val="18"/>
              </w:rPr>
            </w:pPr>
            <w:r w:rsidRPr="006E77E1">
              <w:rPr>
                <w:rFonts w:ascii="Futura Std Condensed Light" w:eastAsia="Calibri" w:hAnsi="Futura Std Condensed Light" w:cs="Calibri"/>
                <w:sz w:val="18"/>
                <w:szCs w:val="18"/>
              </w:rPr>
              <w:t>Sistema de Control Escolar de Educación Básica SICEB, Secretaría de Educación de Quintana Roo, SEQ.</w:t>
            </w:r>
          </w:p>
        </w:tc>
      </w:tr>
      <w:tr w:rsidR="00256EC3" w:rsidRPr="0069403A" w14:paraId="53E3BC8F" w14:textId="77777777" w:rsidTr="00652479">
        <w:trPr>
          <w:trHeight w:val="283"/>
        </w:trPr>
        <w:tc>
          <w:tcPr>
            <w:tcW w:w="952" w:type="pct"/>
            <w:shd w:val="clear" w:color="auto" w:fill="FFFFFF" w:themeFill="background1"/>
            <w:tcMar>
              <w:top w:w="72" w:type="dxa"/>
              <w:left w:w="144" w:type="dxa"/>
              <w:bottom w:w="72" w:type="dxa"/>
              <w:right w:w="144" w:type="dxa"/>
            </w:tcMar>
            <w:hideMark/>
          </w:tcPr>
          <w:p w14:paraId="0EF6D5FA" w14:textId="77777777" w:rsidR="00256EC3" w:rsidRPr="006E77E1" w:rsidRDefault="00256EC3" w:rsidP="00652479">
            <w:pPr>
              <w:spacing w:after="0" w:line="240" w:lineRule="auto"/>
              <w:rPr>
                <w:rFonts w:ascii="Futura Std Condensed Light" w:eastAsia="Calibri" w:hAnsi="Futura Std Condensed Light" w:cs="Calibri"/>
                <w:sz w:val="18"/>
                <w:szCs w:val="18"/>
              </w:rPr>
            </w:pPr>
            <w:r w:rsidRPr="006E77E1">
              <w:rPr>
                <w:rFonts w:ascii="Futura Std Condensed Light" w:eastAsia="Calibri" w:hAnsi="Futura Std Condensed Light" w:cs="Calibri"/>
                <w:sz w:val="18"/>
                <w:szCs w:val="18"/>
              </w:rPr>
              <w:t>Dimensión:</w:t>
            </w:r>
          </w:p>
        </w:tc>
        <w:tc>
          <w:tcPr>
            <w:tcW w:w="4048" w:type="pct"/>
            <w:shd w:val="clear" w:color="auto" w:fill="FFFFFF" w:themeFill="background1"/>
            <w:tcMar>
              <w:top w:w="72" w:type="dxa"/>
              <w:left w:w="144" w:type="dxa"/>
              <w:bottom w:w="72" w:type="dxa"/>
              <w:right w:w="144" w:type="dxa"/>
            </w:tcMar>
            <w:hideMark/>
          </w:tcPr>
          <w:p w14:paraId="2E7B8681" w14:textId="77777777" w:rsidR="00256EC3" w:rsidRPr="006E77E1" w:rsidRDefault="00256EC3" w:rsidP="00652479">
            <w:pPr>
              <w:spacing w:after="0" w:line="240" w:lineRule="auto"/>
              <w:rPr>
                <w:rFonts w:ascii="Futura Std Condensed Light" w:eastAsia="Calibri" w:hAnsi="Futura Std Condensed Light" w:cs="Calibri"/>
                <w:sz w:val="18"/>
                <w:szCs w:val="18"/>
              </w:rPr>
            </w:pPr>
            <w:r w:rsidRPr="006E77E1">
              <w:rPr>
                <w:rFonts w:ascii="Futura Std Condensed Light" w:eastAsia="Calibri" w:hAnsi="Futura Std Condensed Light" w:cs="Calibri"/>
                <w:sz w:val="18"/>
                <w:szCs w:val="18"/>
              </w:rPr>
              <w:t>Eficiencia.</w:t>
            </w:r>
          </w:p>
        </w:tc>
      </w:tr>
      <w:tr w:rsidR="00256EC3" w:rsidRPr="0069403A" w14:paraId="4F86C421" w14:textId="77777777" w:rsidTr="00652479">
        <w:trPr>
          <w:trHeight w:val="283"/>
        </w:trPr>
        <w:tc>
          <w:tcPr>
            <w:tcW w:w="952" w:type="pct"/>
            <w:shd w:val="clear" w:color="auto" w:fill="FFFFFF" w:themeFill="background1"/>
            <w:tcMar>
              <w:top w:w="72" w:type="dxa"/>
              <w:left w:w="144" w:type="dxa"/>
              <w:bottom w:w="72" w:type="dxa"/>
              <w:right w:w="144" w:type="dxa"/>
            </w:tcMar>
            <w:hideMark/>
          </w:tcPr>
          <w:p w14:paraId="62C58E8B" w14:textId="77777777" w:rsidR="00256EC3" w:rsidRPr="006E77E1" w:rsidRDefault="00256EC3" w:rsidP="00652479">
            <w:pPr>
              <w:spacing w:after="0" w:line="240" w:lineRule="auto"/>
              <w:rPr>
                <w:rFonts w:ascii="Futura Std Condensed Light" w:eastAsia="Calibri" w:hAnsi="Futura Std Condensed Light" w:cs="Calibri"/>
                <w:sz w:val="18"/>
                <w:szCs w:val="18"/>
              </w:rPr>
            </w:pPr>
            <w:r w:rsidRPr="006E77E1">
              <w:rPr>
                <w:rFonts w:ascii="Futura Std Condensed Light" w:eastAsia="Calibri" w:hAnsi="Futura Std Condensed Light" w:cs="Calibri"/>
                <w:sz w:val="18"/>
                <w:szCs w:val="18"/>
              </w:rPr>
              <w:t>Referencias adicionales:</w:t>
            </w:r>
          </w:p>
        </w:tc>
        <w:tc>
          <w:tcPr>
            <w:tcW w:w="4048" w:type="pct"/>
            <w:shd w:val="clear" w:color="auto" w:fill="FFFFFF" w:themeFill="background1"/>
            <w:tcMar>
              <w:top w:w="72" w:type="dxa"/>
              <w:left w:w="144" w:type="dxa"/>
              <w:bottom w:w="72" w:type="dxa"/>
              <w:right w:w="144" w:type="dxa"/>
            </w:tcMar>
            <w:hideMark/>
          </w:tcPr>
          <w:p w14:paraId="4FFA471B" w14:textId="77777777" w:rsidR="00256EC3" w:rsidRPr="006E77E1" w:rsidRDefault="00256EC3" w:rsidP="00652479">
            <w:pPr>
              <w:spacing w:after="0" w:line="240" w:lineRule="auto"/>
              <w:rPr>
                <w:rFonts w:ascii="Futura Std Condensed Light" w:eastAsia="Calibri" w:hAnsi="Futura Std Condensed Light" w:cs="Calibri"/>
                <w:sz w:val="18"/>
                <w:szCs w:val="18"/>
              </w:rPr>
            </w:pPr>
          </w:p>
        </w:tc>
      </w:tr>
    </w:tbl>
    <w:p w14:paraId="001F005B" w14:textId="6FFD3900" w:rsidR="009D52D8" w:rsidRDefault="009D52D8" w:rsidP="00256EC3">
      <w:pPr>
        <w:rPr>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1816"/>
        <w:gridCol w:w="7721"/>
      </w:tblGrid>
      <w:tr w:rsidR="00256EC3" w:rsidRPr="006E77E1" w14:paraId="71781A8B" w14:textId="77777777" w:rsidTr="00652479">
        <w:trPr>
          <w:trHeight w:val="283"/>
        </w:trPr>
        <w:tc>
          <w:tcPr>
            <w:tcW w:w="952" w:type="pct"/>
            <w:shd w:val="clear" w:color="auto" w:fill="BFBFBF" w:themeFill="background1" w:themeFillShade="BF"/>
            <w:tcMar>
              <w:top w:w="72" w:type="dxa"/>
              <w:left w:w="144" w:type="dxa"/>
              <w:bottom w:w="72" w:type="dxa"/>
              <w:right w:w="144" w:type="dxa"/>
            </w:tcMar>
            <w:hideMark/>
          </w:tcPr>
          <w:p w14:paraId="405D58C8" w14:textId="77777777" w:rsidR="00256EC3" w:rsidRPr="006E77E1" w:rsidRDefault="00256EC3" w:rsidP="00652479">
            <w:pPr>
              <w:spacing w:after="0" w:line="240" w:lineRule="auto"/>
              <w:rPr>
                <w:rFonts w:ascii="Futura Std Condensed Light" w:eastAsia="Calibri" w:hAnsi="Futura Std Condensed Light" w:cs="Calibri"/>
                <w:sz w:val="18"/>
                <w:szCs w:val="18"/>
              </w:rPr>
            </w:pPr>
            <w:r w:rsidRPr="006E77E1">
              <w:rPr>
                <w:rFonts w:ascii="Futura Std Condensed Light" w:eastAsia="Calibri" w:hAnsi="Futura Std Condensed Light" w:cs="Calibri"/>
                <w:sz w:val="18"/>
                <w:szCs w:val="18"/>
              </w:rPr>
              <w:t>Elemento</w:t>
            </w:r>
          </w:p>
        </w:tc>
        <w:tc>
          <w:tcPr>
            <w:tcW w:w="4048" w:type="pct"/>
            <w:shd w:val="clear" w:color="auto" w:fill="BFBFBF" w:themeFill="background1" w:themeFillShade="BF"/>
            <w:tcMar>
              <w:top w:w="72" w:type="dxa"/>
              <w:left w:w="144" w:type="dxa"/>
              <w:bottom w:w="72" w:type="dxa"/>
              <w:right w:w="144" w:type="dxa"/>
            </w:tcMar>
            <w:hideMark/>
          </w:tcPr>
          <w:p w14:paraId="5823D390" w14:textId="77777777" w:rsidR="00256EC3" w:rsidRPr="006E77E1" w:rsidRDefault="00256EC3" w:rsidP="00652479">
            <w:pPr>
              <w:spacing w:after="0" w:line="240" w:lineRule="auto"/>
              <w:rPr>
                <w:rFonts w:ascii="Futura Std Condensed Light" w:eastAsia="Calibri" w:hAnsi="Futura Std Condensed Light" w:cs="Calibri"/>
                <w:sz w:val="18"/>
                <w:szCs w:val="18"/>
              </w:rPr>
            </w:pPr>
            <w:r w:rsidRPr="006E77E1">
              <w:rPr>
                <w:rFonts w:ascii="Futura Std Condensed Light" w:eastAsia="Calibri" w:hAnsi="Futura Std Condensed Light" w:cs="Calibri"/>
                <w:sz w:val="18"/>
                <w:szCs w:val="18"/>
              </w:rPr>
              <w:t>Características</w:t>
            </w:r>
          </w:p>
        </w:tc>
      </w:tr>
      <w:tr w:rsidR="00256EC3" w:rsidRPr="006E77E1" w14:paraId="0EAD6BB5" w14:textId="77777777" w:rsidTr="00652479">
        <w:trPr>
          <w:trHeight w:val="283"/>
        </w:trPr>
        <w:tc>
          <w:tcPr>
            <w:tcW w:w="952" w:type="pct"/>
            <w:shd w:val="clear" w:color="auto" w:fill="FFFFFF" w:themeFill="background1"/>
            <w:tcMar>
              <w:top w:w="72" w:type="dxa"/>
              <w:left w:w="144" w:type="dxa"/>
              <w:bottom w:w="72" w:type="dxa"/>
              <w:right w:w="144" w:type="dxa"/>
            </w:tcMar>
            <w:hideMark/>
          </w:tcPr>
          <w:p w14:paraId="279F4188" w14:textId="77777777" w:rsidR="00256EC3" w:rsidRPr="006E77E1" w:rsidRDefault="00256EC3" w:rsidP="00652479">
            <w:pPr>
              <w:spacing w:after="0" w:line="240" w:lineRule="auto"/>
              <w:rPr>
                <w:rFonts w:ascii="Futura Std Condensed Light" w:eastAsia="Calibri" w:hAnsi="Futura Std Condensed Light" w:cs="Calibri"/>
                <w:sz w:val="18"/>
                <w:szCs w:val="18"/>
              </w:rPr>
            </w:pPr>
            <w:r w:rsidRPr="006E77E1">
              <w:rPr>
                <w:rFonts w:ascii="Futura Std Condensed Light" w:eastAsia="Calibri" w:hAnsi="Futura Std Condensed Light" w:cs="Calibri"/>
                <w:sz w:val="18"/>
                <w:szCs w:val="18"/>
              </w:rPr>
              <w:t>Indicador:</w:t>
            </w:r>
          </w:p>
        </w:tc>
        <w:tc>
          <w:tcPr>
            <w:tcW w:w="4048" w:type="pct"/>
            <w:shd w:val="clear" w:color="auto" w:fill="FFFFFF" w:themeFill="background1"/>
            <w:tcMar>
              <w:top w:w="72" w:type="dxa"/>
              <w:left w:w="144" w:type="dxa"/>
              <w:bottom w:w="72" w:type="dxa"/>
              <w:right w:w="144" w:type="dxa"/>
            </w:tcMar>
            <w:hideMark/>
          </w:tcPr>
          <w:p w14:paraId="23A1BBC6" w14:textId="77777777" w:rsidR="00256EC3" w:rsidRPr="006E77E1" w:rsidRDefault="00256EC3" w:rsidP="00652479">
            <w:pPr>
              <w:spacing w:after="0" w:line="240" w:lineRule="auto"/>
              <w:rPr>
                <w:rFonts w:ascii="Futura Std Condensed Light" w:eastAsia="Calibri" w:hAnsi="Futura Std Condensed Light" w:cs="Calibri"/>
                <w:sz w:val="18"/>
                <w:szCs w:val="18"/>
              </w:rPr>
            </w:pPr>
            <w:r w:rsidRPr="006E77E1">
              <w:rPr>
                <w:rFonts w:ascii="Futura Std Condensed Light" w:eastAsia="Calibri" w:hAnsi="Futura Std Condensed Light" w:cs="Calibri"/>
                <w:sz w:val="18"/>
                <w:szCs w:val="18"/>
              </w:rPr>
              <w:t>Porcentaje de alumnos de sexto grado de primaria que obtienen un promedio igual o mayor a 8 en la asignatura de matemáticas.</w:t>
            </w:r>
          </w:p>
        </w:tc>
      </w:tr>
      <w:tr w:rsidR="00256EC3" w:rsidRPr="006E77E1" w14:paraId="0E1782EB" w14:textId="77777777" w:rsidTr="00652479">
        <w:trPr>
          <w:trHeight w:val="283"/>
        </w:trPr>
        <w:tc>
          <w:tcPr>
            <w:tcW w:w="952" w:type="pct"/>
            <w:shd w:val="clear" w:color="auto" w:fill="FFFFFF" w:themeFill="background1"/>
            <w:tcMar>
              <w:top w:w="72" w:type="dxa"/>
              <w:left w:w="144" w:type="dxa"/>
              <w:bottom w:w="72" w:type="dxa"/>
              <w:right w:w="144" w:type="dxa"/>
            </w:tcMar>
          </w:tcPr>
          <w:p w14:paraId="2E09AAE3" w14:textId="6256B831" w:rsidR="00256EC3" w:rsidRPr="006E77E1" w:rsidRDefault="00A84F9D" w:rsidP="00652479">
            <w:pPr>
              <w:spacing w:after="0" w:line="240" w:lineRule="auto"/>
              <w:rPr>
                <w:rFonts w:ascii="Futura Std Condensed Light" w:eastAsia="Calibri" w:hAnsi="Futura Std Condensed Light" w:cs="Calibri"/>
                <w:sz w:val="18"/>
                <w:szCs w:val="18"/>
              </w:rPr>
            </w:pPr>
            <w:r>
              <w:rPr>
                <w:rFonts w:ascii="Futura Std Condensed Light" w:eastAsia="Calibri" w:hAnsi="Futura Std Condensed Light" w:cs="Calibri"/>
                <w:sz w:val="18"/>
                <w:szCs w:val="18"/>
              </w:rPr>
              <w:t>Objetivo PSE:</w:t>
            </w:r>
          </w:p>
        </w:tc>
        <w:tc>
          <w:tcPr>
            <w:tcW w:w="4048" w:type="pct"/>
            <w:shd w:val="clear" w:color="auto" w:fill="FFFFFF" w:themeFill="background1"/>
            <w:tcMar>
              <w:top w:w="72" w:type="dxa"/>
              <w:left w:w="144" w:type="dxa"/>
              <w:bottom w:w="72" w:type="dxa"/>
              <w:right w:w="144" w:type="dxa"/>
            </w:tcMar>
          </w:tcPr>
          <w:p w14:paraId="43ED9FC8" w14:textId="77777777" w:rsidR="00256EC3" w:rsidRPr="006E77E1" w:rsidRDefault="00256EC3" w:rsidP="00652479">
            <w:pPr>
              <w:spacing w:after="0" w:line="240" w:lineRule="auto"/>
              <w:rPr>
                <w:rFonts w:ascii="Futura Std Condensed Light" w:eastAsia="Calibri" w:hAnsi="Futura Std Condensed Light" w:cs="Calibri"/>
                <w:sz w:val="18"/>
                <w:szCs w:val="18"/>
              </w:rPr>
            </w:pPr>
            <w:r w:rsidRPr="006E77E1">
              <w:rPr>
                <w:rFonts w:ascii="Futura Std Condensed Light" w:eastAsia="Calibri" w:hAnsi="Futura Std Condensed Light" w:cs="Calibri"/>
                <w:sz w:val="18"/>
                <w:szCs w:val="18"/>
              </w:rPr>
              <w:t>Incrementar el desempeño escolar de los estudiantes de educación básica para una educación integral e inclusiva de calidad.</w:t>
            </w:r>
          </w:p>
        </w:tc>
      </w:tr>
      <w:tr w:rsidR="00256EC3" w:rsidRPr="006E77E1" w14:paraId="032DACCC" w14:textId="77777777" w:rsidTr="00652479">
        <w:trPr>
          <w:trHeight w:val="283"/>
        </w:trPr>
        <w:tc>
          <w:tcPr>
            <w:tcW w:w="952" w:type="pct"/>
            <w:shd w:val="clear" w:color="auto" w:fill="FFFFFF" w:themeFill="background1"/>
            <w:tcMar>
              <w:top w:w="72" w:type="dxa"/>
              <w:left w:w="144" w:type="dxa"/>
              <w:bottom w:w="72" w:type="dxa"/>
              <w:right w:w="144" w:type="dxa"/>
            </w:tcMar>
            <w:hideMark/>
          </w:tcPr>
          <w:p w14:paraId="37061AE2" w14:textId="77777777" w:rsidR="00256EC3" w:rsidRPr="006E77E1" w:rsidRDefault="00256EC3" w:rsidP="00652479">
            <w:pPr>
              <w:spacing w:after="0" w:line="240" w:lineRule="auto"/>
              <w:rPr>
                <w:rFonts w:ascii="Futura Std Condensed Light" w:eastAsia="Calibri" w:hAnsi="Futura Std Condensed Light" w:cs="Calibri"/>
                <w:sz w:val="18"/>
                <w:szCs w:val="18"/>
              </w:rPr>
            </w:pPr>
            <w:r w:rsidRPr="006E77E1">
              <w:rPr>
                <w:rFonts w:ascii="Futura Std Condensed Light" w:eastAsia="Calibri" w:hAnsi="Futura Std Condensed Light" w:cs="Calibri"/>
                <w:sz w:val="18"/>
                <w:szCs w:val="18"/>
              </w:rPr>
              <w:t>Descripción:</w:t>
            </w:r>
          </w:p>
        </w:tc>
        <w:tc>
          <w:tcPr>
            <w:tcW w:w="4048" w:type="pct"/>
            <w:shd w:val="clear" w:color="auto" w:fill="FFFFFF" w:themeFill="background1"/>
            <w:tcMar>
              <w:top w:w="72" w:type="dxa"/>
              <w:left w:w="144" w:type="dxa"/>
              <w:bottom w:w="72" w:type="dxa"/>
              <w:right w:w="144" w:type="dxa"/>
            </w:tcMar>
            <w:hideMark/>
          </w:tcPr>
          <w:p w14:paraId="00421BB5" w14:textId="77777777" w:rsidR="00256EC3" w:rsidRPr="006E77E1" w:rsidRDefault="00256EC3" w:rsidP="00652479">
            <w:pPr>
              <w:spacing w:after="0" w:line="240" w:lineRule="auto"/>
              <w:rPr>
                <w:rFonts w:ascii="Futura Std Condensed Light" w:eastAsia="Calibri" w:hAnsi="Futura Std Condensed Light" w:cs="Calibri"/>
                <w:sz w:val="18"/>
                <w:szCs w:val="18"/>
              </w:rPr>
            </w:pPr>
            <w:r w:rsidRPr="006E77E1">
              <w:rPr>
                <w:rFonts w:ascii="Futura Std Condensed Light" w:eastAsia="Calibri" w:hAnsi="Futura Std Condensed Light" w:cs="Calibri"/>
                <w:sz w:val="18"/>
                <w:szCs w:val="18"/>
              </w:rPr>
              <w:t xml:space="preserve">Este indicador refleja el porcentaje de alumnos de sexto grado de primaria de las escuelas públicas en las modalidades general e indígena, que obtienen un promedio </w:t>
            </w:r>
            <w:r w:rsidRPr="006E77E1">
              <w:rPr>
                <w:rFonts w:ascii="Futura Std Condensed Light" w:eastAsia="Calibri" w:hAnsi="Futura Std Condensed Light" w:cs="Calibri"/>
                <w:sz w:val="18"/>
                <w:szCs w:val="18"/>
              </w:rPr>
              <w:lastRenderedPageBreak/>
              <w:t>general igual o mayor a 8 en la asignatura de matemáticas; respecto al total de alumnos en las modalidades mencionadas que concluyen el sexto grado de educación primaria.</w:t>
            </w:r>
          </w:p>
        </w:tc>
      </w:tr>
      <w:tr w:rsidR="00256EC3" w:rsidRPr="006E77E1" w14:paraId="5AA01F89" w14:textId="77777777" w:rsidTr="00652479">
        <w:trPr>
          <w:trHeight w:val="283"/>
        </w:trPr>
        <w:tc>
          <w:tcPr>
            <w:tcW w:w="952" w:type="pct"/>
            <w:shd w:val="clear" w:color="auto" w:fill="FFFFFF" w:themeFill="background1"/>
            <w:tcMar>
              <w:top w:w="72" w:type="dxa"/>
              <w:left w:w="144" w:type="dxa"/>
              <w:bottom w:w="72" w:type="dxa"/>
              <w:right w:w="144" w:type="dxa"/>
            </w:tcMar>
            <w:hideMark/>
          </w:tcPr>
          <w:p w14:paraId="0A4AD0E0" w14:textId="77777777" w:rsidR="00256EC3" w:rsidRPr="006E77E1" w:rsidRDefault="00256EC3" w:rsidP="00652479">
            <w:pPr>
              <w:spacing w:after="0" w:line="240" w:lineRule="auto"/>
              <w:rPr>
                <w:rFonts w:ascii="Futura Std Condensed Light" w:eastAsia="Calibri" w:hAnsi="Futura Std Condensed Light" w:cs="Calibri"/>
                <w:sz w:val="18"/>
                <w:szCs w:val="18"/>
              </w:rPr>
            </w:pPr>
            <w:r w:rsidRPr="006E77E1">
              <w:rPr>
                <w:rFonts w:ascii="Futura Std Condensed Light" w:eastAsia="Calibri" w:hAnsi="Futura Std Condensed Light" w:cs="Calibri"/>
                <w:sz w:val="18"/>
                <w:szCs w:val="18"/>
              </w:rPr>
              <w:lastRenderedPageBreak/>
              <w:t>Método de cálculo:</w:t>
            </w:r>
          </w:p>
        </w:tc>
        <w:tc>
          <w:tcPr>
            <w:tcW w:w="4048" w:type="pct"/>
            <w:shd w:val="clear" w:color="auto" w:fill="FFFFFF" w:themeFill="background1"/>
            <w:tcMar>
              <w:top w:w="72" w:type="dxa"/>
              <w:left w:w="144" w:type="dxa"/>
              <w:bottom w:w="72" w:type="dxa"/>
              <w:right w:w="144" w:type="dxa"/>
            </w:tcMar>
            <w:hideMark/>
          </w:tcPr>
          <w:p w14:paraId="733BDD27" w14:textId="77777777" w:rsidR="00256EC3" w:rsidRPr="006E77E1" w:rsidRDefault="00256EC3" w:rsidP="00652479">
            <w:pPr>
              <w:spacing w:after="0" w:line="240" w:lineRule="auto"/>
              <w:rPr>
                <w:rFonts w:ascii="Futura Std Condensed Light" w:eastAsia="Calibri" w:hAnsi="Futura Std Condensed Light" w:cs="Calibri"/>
                <w:sz w:val="18"/>
                <w:szCs w:val="18"/>
              </w:rPr>
            </w:pPr>
            <w:r w:rsidRPr="006E77E1">
              <w:rPr>
                <w:rFonts w:ascii="Futura Std Condensed Light" w:eastAsia="Calibri" w:hAnsi="Futura Std Condensed Light" w:cs="Calibri"/>
                <w:sz w:val="18"/>
                <w:szCs w:val="18"/>
              </w:rPr>
              <w:t>(Número de alumnos de sexto grado de primaria con promedio igual o mayor a 8 en la asignatura de matemáticas / Total de alumnos que concluyen el sexto grado de primaria) x 100.</w:t>
            </w:r>
          </w:p>
        </w:tc>
      </w:tr>
      <w:tr w:rsidR="00256EC3" w:rsidRPr="006E77E1" w14:paraId="3F490C53" w14:textId="77777777" w:rsidTr="00652479">
        <w:trPr>
          <w:trHeight w:val="283"/>
        </w:trPr>
        <w:tc>
          <w:tcPr>
            <w:tcW w:w="952" w:type="pct"/>
            <w:shd w:val="clear" w:color="auto" w:fill="FFFFFF" w:themeFill="background1"/>
            <w:tcMar>
              <w:top w:w="72" w:type="dxa"/>
              <w:left w:w="144" w:type="dxa"/>
              <w:bottom w:w="72" w:type="dxa"/>
              <w:right w:w="144" w:type="dxa"/>
            </w:tcMar>
            <w:hideMark/>
          </w:tcPr>
          <w:p w14:paraId="4BE69E77" w14:textId="77777777" w:rsidR="00256EC3" w:rsidRPr="006E77E1" w:rsidRDefault="00256EC3" w:rsidP="00652479">
            <w:pPr>
              <w:spacing w:after="0" w:line="240" w:lineRule="auto"/>
              <w:rPr>
                <w:rFonts w:ascii="Futura Std Condensed Light" w:eastAsia="Calibri" w:hAnsi="Futura Std Condensed Light" w:cs="Calibri"/>
                <w:sz w:val="18"/>
                <w:szCs w:val="18"/>
              </w:rPr>
            </w:pPr>
            <w:r w:rsidRPr="006E77E1">
              <w:rPr>
                <w:rFonts w:ascii="Futura Std Condensed Light" w:eastAsia="Calibri" w:hAnsi="Futura Std Condensed Light" w:cs="Calibri"/>
                <w:sz w:val="18"/>
                <w:szCs w:val="18"/>
              </w:rPr>
              <w:t>Periodicidad:</w:t>
            </w:r>
          </w:p>
        </w:tc>
        <w:tc>
          <w:tcPr>
            <w:tcW w:w="4048" w:type="pct"/>
            <w:shd w:val="clear" w:color="auto" w:fill="FFFFFF" w:themeFill="background1"/>
            <w:tcMar>
              <w:top w:w="72" w:type="dxa"/>
              <w:left w:w="144" w:type="dxa"/>
              <w:bottom w:w="72" w:type="dxa"/>
              <w:right w:w="144" w:type="dxa"/>
            </w:tcMar>
            <w:hideMark/>
          </w:tcPr>
          <w:p w14:paraId="695A10F2" w14:textId="77777777" w:rsidR="00256EC3" w:rsidRPr="006E77E1" w:rsidRDefault="00256EC3" w:rsidP="00652479">
            <w:pPr>
              <w:spacing w:after="0" w:line="240" w:lineRule="auto"/>
              <w:rPr>
                <w:rFonts w:ascii="Futura Std Condensed Light" w:eastAsia="Calibri" w:hAnsi="Futura Std Condensed Light" w:cs="Calibri"/>
                <w:sz w:val="18"/>
                <w:szCs w:val="18"/>
              </w:rPr>
            </w:pPr>
            <w:r w:rsidRPr="006E77E1">
              <w:rPr>
                <w:rFonts w:ascii="Futura Std Condensed Light" w:eastAsia="Calibri" w:hAnsi="Futura Std Condensed Light" w:cs="Calibri"/>
                <w:sz w:val="18"/>
                <w:szCs w:val="18"/>
              </w:rPr>
              <w:t>Anual.</w:t>
            </w:r>
          </w:p>
        </w:tc>
      </w:tr>
      <w:tr w:rsidR="00256EC3" w:rsidRPr="006E77E1" w14:paraId="500B7B2C" w14:textId="77777777" w:rsidTr="00652479">
        <w:trPr>
          <w:trHeight w:val="283"/>
        </w:trPr>
        <w:tc>
          <w:tcPr>
            <w:tcW w:w="952" w:type="pct"/>
            <w:shd w:val="clear" w:color="auto" w:fill="FFFFFF" w:themeFill="background1"/>
            <w:tcMar>
              <w:top w:w="72" w:type="dxa"/>
              <w:left w:w="144" w:type="dxa"/>
              <w:bottom w:w="72" w:type="dxa"/>
              <w:right w:w="144" w:type="dxa"/>
            </w:tcMar>
            <w:hideMark/>
          </w:tcPr>
          <w:p w14:paraId="706AA204" w14:textId="77777777" w:rsidR="00256EC3" w:rsidRPr="006E77E1" w:rsidRDefault="00256EC3" w:rsidP="00652479">
            <w:pPr>
              <w:spacing w:after="0" w:line="240" w:lineRule="auto"/>
              <w:rPr>
                <w:rFonts w:ascii="Futura Std Condensed Light" w:eastAsia="Calibri" w:hAnsi="Futura Std Condensed Light" w:cs="Calibri"/>
                <w:sz w:val="18"/>
                <w:szCs w:val="18"/>
              </w:rPr>
            </w:pPr>
            <w:r w:rsidRPr="006E77E1">
              <w:rPr>
                <w:rFonts w:ascii="Futura Std Condensed Light" w:eastAsia="Calibri" w:hAnsi="Futura Std Condensed Light" w:cs="Calibri"/>
                <w:sz w:val="18"/>
                <w:szCs w:val="18"/>
              </w:rPr>
              <w:t>Fuente:</w:t>
            </w:r>
          </w:p>
        </w:tc>
        <w:tc>
          <w:tcPr>
            <w:tcW w:w="4048" w:type="pct"/>
            <w:shd w:val="clear" w:color="auto" w:fill="FFFFFF" w:themeFill="background1"/>
            <w:tcMar>
              <w:top w:w="72" w:type="dxa"/>
              <w:left w:w="144" w:type="dxa"/>
              <w:bottom w:w="72" w:type="dxa"/>
              <w:right w:w="144" w:type="dxa"/>
            </w:tcMar>
            <w:hideMark/>
          </w:tcPr>
          <w:p w14:paraId="45D679CD" w14:textId="77777777" w:rsidR="00256EC3" w:rsidRPr="006E77E1" w:rsidRDefault="00256EC3" w:rsidP="00652479">
            <w:pPr>
              <w:spacing w:after="0" w:line="240" w:lineRule="auto"/>
              <w:rPr>
                <w:rFonts w:ascii="Futura Std Condensed Light" w:eastAsia="Calibri" w:hAnsi="Futura Std Condensed Light" w:cs="Calibri"/>
                <w:sz w:val="18"/>
                <w:szCs w:val="18"/>
              </w:rPr>
            </w:pPr>
            <w:r w:rsidRPr="006E77E1">
              <w:rPr>
                <w:rFonts w:ascii="Futura Std Condensed Light" w:eastAsia="Calibri" w:hAnsi="Futura Std Condensed Light" w:cs="Calibri"/>
                <w:sz w:val="18"/>
                <w:szCs w:val="18"/>
              </w:rPr>
              <w:t>Sistema de Control Escolar de Educación Básica SICEB, Secretaría de Educación de Quintana Roo, SEQ.</w:t>
            </w:r>
          </w:p>
        </w:tc>
      </w:tr>
      <w:tr w:rsidR="00256EC3" w:rsidRPr="006E77E1" w14:paraId="18C29F51" w14:textId="77777777" w:rsidTr="00652479">
        <w:trPr>
          <w:trHeight w:val="283"/>
        </w:trPr>
        <w:tc>
          <w:tcPr>
            <w:tcW w:w="952" w:type="pct"/>
            <w:shd w:val="clear" w:color="auto" w:fill="FFFFFF" w:themeFill="background1"/>
            <w:tcMar>
              <w:top w:w="72" w:type="dxa"/>
              <w:left w:w="144" w:type="dxa"/>
              <w:bottom w:w="72" w:type="dxa"/>
              <w:right w:w="144" w:type="dxa"/>
            </w:tcMar>
            <w:hideMark/>
          </w:tcPr>
          <w:p w14:paraId="63812EAF" w14:textId="77777777" w:rsidR="00256EC3" w:rsidRPr="006E77E1" w:rsidRDefault="00256EC3" w:rsidP="00652479">
            <w:pPr>
              <w:spacing w:after="0" w:line="240" w:lineRule="auto"/>
              <w:rPr>
                <w:rFonts w:ascii="Futura Std Condensed Light" w:eastAsia="Calibri" w:hAnsi="Futura Std Condensed Light" w:cs="Calibri"/>
                <w:sz w:val="18"/>
                <w:szCs w:val="18"/>
              </w:rPr>
            </w:pPr>
            <w:r w:rsidRPr="006E77E1">
              <w:rPr>
                <w:rFonts w:ascii="Futura Std Condensed Light" w:eastAsia="Calibri" w:hAnsi="Futura Std Condensed Light" w:cs="Calibri"/>
                <w:sz w:val="18"/>
                <w:szCs w:val="18"/>
              </w:rPr>
              <w:t>Dimensión:</w:t>
            </w:r>
          </w:p>
        </w:tc>
        <w:tc>
          <w:tcPr>
            <w:tcW w:w="4048" w:type="pct"/>
            <w:shd w:val="clear" w:color="auto" w:fill="FFFFFF" w:themeFill="background1"/>
            <w:tcMar>
              <w:top w:w="72" w:type="dxa"/>
              <w:left w:w="144" w:type="dxa"/>
              <w:bottom w:w="72" w:type="dxa"/>
              <w:right w:w="144" w:type="dxa"/>
            </w:tcMar>
            <w:hideMark/>
          </w:tcPr>
          <w:p w14:paraId="6DE8D865" w14:textId="77777777" w:rsidR="00256EC3" w:rsidRPr="006E77E1" w:rsidRDefault="00256EC3" w:rsidP="00652479">
            <w:pPr>
              <w:spacing w:after="0" w:line="240" w:lineRule="auto"/>
              <w:rPr>
                <w:rFonts w:ascii="Futura Std Condensed Light" w:eastAsia="Calibri" w:hAnsi="Futura Std Condensed Light" w:cs="Calibri"/>
                <w:sz w:val="18"/>
                <w:szCs w:val="18"/>
              </w:rPr>
            </w:pPr>
            <w:r w:rsidRPr="006E77E1">
              <w:rPr>
                <w:rFonts w:ascii="Futura Std Condensed Light" w:eastAsia="Calibri" w:hAnsi="Futura Std Condensed Light" w:cs="Calibri"/>
                <w:sz w:val="18"/>
                <w:szCs w:val="18"/>
              </w:rPr>
              <w:t>Eficiencia.</w:t>
            </w:r>
          </w:p>
        </w:tc>
      </w:tr>
      <w:tr w:rsidR="00256EC3" w:rsidRPr="006E77E1" w14:paraId="60DF79F7" w14:textId="77777777" w:rsidTr="00652479">
        <w:trPr>
          <w:trHeight w:val="283"/>
        </w:trPr>
        <w:tc>
          <w:tcPr>
            <w:tcW w:w="952" w:type="pct"/>
            <w:shd w:val="clear" w:color="auto" w:fill="FFFFFF" w:themeFill="background1"/>
            <w:tcMar>
              <w:top w:w="72" w:type="dxa"/>
              <w:left w:w="144" w:type="dxa"/>
              <w:bottom w:w="72" w:type="dxa"/>
              <w:right w:w="144" w:type="dxa"/>
            </w:tcMar>
            <w:hideMark/>
          </w:tcPr>
          <w:p w14:paraId="7D66AD61" w14:textId="77777777" w:rsidR="00256EC3" w:rsidRPr="006E77E1" w:rsidRDefault="00256EC3" w:rsidP="00652479">
            <w:pPr>
              <w:spacing w:after="0" w:line="240" w:lineRule="auto"/>
              <w:rPr>
                <w:rFonts w:ascii="Futura Std Condensed Light" w:eastAsia="Calibri" w:hAnsi="Futura Std Condensed Light" w:cs="Calibri"/>
                <w:sz w:val="18"/>
                <w:szCs w:val="18"/>
              </w:rPr>
            </w:pPr>
            <w:r w:rsidRPr="006E77E1">
              <w:rPr>
                <w:rFonts w:ascii="Futura Std Condensed Light" w:eastAsia="Calibri" w:hAnsi="Futura Std Condensed Light" w:cs="Calibri"/>
                <w:sz w:val="18"/>
                <w:szCs w:val="18"/>
              </w:rPr>
              <w:t>Referencias adicionales:</w:t>
            </w:r>
          </w:p>
        </w:tc>
        <w:tc>
          <w:tcPr>
            <w:tcW w:w="4048" w:type="pct"/>
            <w:shd w:val="clear" w:color="auto" w:fill="FFFFFF" w:themeFill="background1"/>
            <w:tcMar>
              <w:top w:w="72" w:type="dxa"/>
              <w:left w:w="144" w:type="dxa"/>
              <w:bottom w:w="72" w:type="dxa"/>
              <w:right w:w="144" w:type="dxa"/>
            </w:tcMar>
            <w:hideMark/>
          </w:tcPr>
          <w:p w14:paraId="671662F7" w14:textId="77777777" w:rsidR="00256EC3" w:rsidRPr="006E77E1" w:rsidRDefault="00256EC3" w:rsidP="00652479">
            <w:pPr>
              <w:spacing w:after="0" w:line="240" w:lineRule="auto"/>
              <w:rPr>
                <w:rFonts w:ascii="Futura Std Condensed Light" w:eastAsia="Calibri" w:hAnsi="Futura Std Condensed Light" w:cs="Calibri"/>
                <w:sz w:val="18"/>
                <w:szCs w:val="18"/>
              </w:rPr>
            </w:pPr>
          </w:p>
        </w:tc>
      </w:tr>
    </w:tbl>
    <w:p w14:paraId="7856E992" w14:textId="77777777" w:rsidR="00256EC3" w:rsidRPr="001906E0" w:rsidRDefault="00256EC3" w:rsidP="00256EC3">
      <w:pPr>
        <w:rPr>
          <w:rFonts w:ascii="Futura Std Condensed Light" w:eastAsia="Calibri" w:hAnsi="Futura Std Condensed Light" w:cs="Calibri"/>
          <w:sz w:val="16"/>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1816"/>
        <w:gridCol w:w="7721"/>
      </w:tblGrid>
      <w:tr w:rsidR="00256EC3" w:rsidRPr="006E77E1" w14:paraId="5F3E7692" w14:textId="77777777" w:rsidTr="00652479">
        <w:trPr>
          <w:trHeight w:val="283"/>
        </w:trPr>
        <w:tc>
          <w:tcPr>
            <w:tcW w:w="952" w:type="pct"/>
            <w:shd w:val="clear" w:color="auto" w:fill="BFBFBF" w:themeFill="background1" w:themeFillShade="BF"/>
            <w:tcMar>
              <w:top w:w="72" w:type="dxa"/>
              <w:left w:w="144" w:type="dxa"/>
              <w:bottom w:w="72" w:type="dxa"/>
              <w:right w:w="144" w:type="dxa"/>
            </w:tcMar>
            <w:hideMark/>
          </w:tcPr>
          <w:p w14:paraId="394B7502" w14:textId="77777777" w:rsidR="00256EC3" w:rsidRPr="006E77E1" w:rsidRDefault="00256EC3" w:rsidP="00652479">
            <w:pPr>
              <w:spacing w:after="0" w:line="240" w:lineRule="auto"/>
              <w:rPr>
                <w:rFonts w:ascii="Futura Std Condensed Light" w:eastAsia="Calibri" w:hAnsi="Futura Std Condensed Light" w:cs="Calibri"/>
                <w:sz w:val="18"/>
                <w:szCs w:val="18"/>
              </w:rPr>
            </w:pPr>
            <w:r w:rsidRPr="006E77E1">
              <w:rPr>
                <w:rFonts w:ascii="Futura Std Condensed Light" w:eastAsia="Calibri" w:hAnsi="Futura Std Condensed Light" w:cs="Calibri"/>
                <w:sz w:val="18"/>
                <w:szCs w:val="18"/>
              </w:rPr>
              <w:t>Elemento</w:t>
            </w:r>
          </w:p>
        </w:tc>
        <w:tc>
          <w:tcPr>
            <w:tcW w:w="4048" w:type="pct"/>
            <w:shd w:val="clear" w:color="auto" w:fill="BFBFBF" w:themeFill="background1" w:themeFillShade="BF"/>
            <w:tcMar>
              <w:top w:w="72" w:type="dxa"/>
              <w:left w:w="144" w:type="dxa"/>
              <w:bottom w:w="72" w:type="dxa"/>
              <w:right w:w="144" w:type="dxa"/>
            </w:tcMar>
            <w:hideMark/>
          </w:tcPr>
          <w:p w14:paraId="1ED4A804" w14:textId="77777777" w:rsidR="00256EC3" w:rsidRPr="006E77E1" w:rsidRDefault="00256EC3" w:rsidP="00652479">
            <w:pPr>
              <w:spacing w:after="0" w:line="240" w:lineRule="auto"/>
              <w:rPr>
                <w:rFonts w:ascii="Futura Std Condensed Light" w:eastAsia="Calibri" w:hAnsi="Futura Std Condensed Light" w:cs="Calibri"/>
                <w:sz w:val="18"/>
                <w:szCs w:val="18"/>
              </w:rPr>
            </w:pPr>
            <w:r w:rsidRPr="006E77E1">
              <w:rPr>
                <w:rFonts w:ascii="Futura Std Condensed Light" w:eastAsia="Calibri" w:hAnsi="Futura Std Condensed Light" w:cs="Calibri"/>
                <w:sz w:val="18"/>
                <w:szCs w:val="18"/>
              </w:rPr>
              <w:t>Características</w:t>
            </w:r>
          </w:p>
        </w:tc>
      </w:tr>
      <w:tr w:rsidR="00256EC3" w:rsidRPr="006E77E1" w14:paraId="55C17F71" w14:textId="77777777" w:rsidTr="00652479">
        <w:trPr>
          <w:trHeight w:val="283"/>
        </w:trPr>
        <w:tc>
          <w:tcPr>
            <w:tcW w:w="952" w:type="pct"/>
            <w:shd w:val="clear" w:color="auto" w:fill="FFFFFF" w:themeFill="background1"/>
            <w:tcMar>
              <w:top w:w="72" w:type="dxa"/>
              <w:left w:w="144" w:type="dxa"/>
              <w:bottom w:w="72" w:type="dxa"/>
              <w:right w:w="144" w:type="dxa"/>
            </w:tcMar>
            <w:hideMark/>
          </w:tcPr>
          <w:p w14:paraId="7A57A610" w14:textId="77777777" w:rsidR="00256EC3" w:rsidRPr="006E77E1" w:rsidRDefault="00256EC3" w:rsidP="00652479">
            <w:pPr>
              <w:spacing w:after="0" w:line="240" w:lineRule="auto"/>
              <w:rPr>
                <w:rFonts w:ascii="Futura Std Condensed Light" w:eastAsia="Calibri" w:hAnsi="Futura Std Condensed Light" w:cs="Calibri"/>
                <w:sz w:val="18"/>
                <w:szCs w:val="18"/>
              </w:rPr>
            </w:pPr>
            <w:r w:rsidRPr="006E77E1">
              <w:rPr>
                <w:rFonts w:ascii="Futura Std Condensed Light" w:eastAsia="Calibri" w:hAnsi="Futura Std Condensed Light" w:cs="Calibri"/>
                <w:sz w:val="18"/>
                <w:szCs w:val="18"/>
              </w:rPr>
              <w:t>Indicador:</w:t>
            </w:r>
          </w:p>
        </w:tc>
        <w:tc>
          <w:tcPr>
            <w:tcW w:w="4048" w:type="pct"/>
            <w:shd w:val="clear" w:color="auto" w:fill="FFFFFF" w:themeFill="background1"/>
            <w:tcMar>
              <w:top w:w="72" w:type="dxa"/>
              <w:left w:w="144" w:type="dxa"/>
              <w:bottom w:w="72" w:type="dxa"/>
              <w:right w:w="144" w:type="dxa"/>
            </w:tcMar>
            <w:hideMark/>
          </w:tcPr>
          <w:p w14:paraId="0F8AAAA7" w14:textId="77777777" w:rsidR="00256EC3" w:rsidRPr="006E77E1" w:rsidRDefault="00256EC3" w:rsidP="00652479">
            <w:pPr>
              <w:spacing w:after="0" w:line="240" w:lineRule="auto"/>
              <w:rPr>
                <w:rFonts w:ascii="Futura Std Condensed Light" w:eastAsia="Calibri" w:hAnsi="Futura Std Condensed Light" w:cs="Calibri"/>
                <w:sz w:val="18"/>
                <w:szCs w:val="18"/>
              </w:rPr>
            </w:pPr>
            <w:r w:rsidRPr="006E77E1">
              <w:rPr>
                <w:rFonts w:ascii="Futura Std Condensed Light" w:eastAsia="Calibri" w:hAnsi="Futura Std Condensed Light" w:cs="Calibri"/>
                <w:sz w:val="18"/>
                <w:szCs w:val="18"/>
              </w:rPr>
              <w:t>Porcentaje de alumnos de tercer grado de secundaria que obtienen un promedio igual o mayor a 8 en la asignatura de español.</w:t>
            </w:r>
          </w:p>
        </w:tc>
      </w:tr>
      <w:tr w:rsidR="00256EC3" w:rsidRPr="006E77E1" w14:paraId="4B8E5952" w14:textId="77777777" w:rsidTr="00652479">
        <w:trPr>
          <w:trHeight w:val="283"/>
        </w:trPr>
        <w:tc>
          <w:tcPr>
            <w:tcW w:w="952" w:type="pct"/>
            <w:shd w:val="clear" w:color="auto" w:fill="FFFFFF" w:themeFill="background1"/>
            <w:tcMar>
              <w:top w:w="72" w:type="dxa"/>
              <w:left w:w="144" w:type="dxa"/>
              <w:bottom w:w="72" w:type="dxa"/>
              <w:right w:w="144" w:type="dxa"/>
            </w:tcMar>
          </w:tcPr>
          <w:p w14:paraId="7B42E36B" w14:textId="489F35B3" w:rsidR="00256EC3" w:rsidRPr="006E77E1" w:rsidRDefault="00A84F9D" w:rsidP="00652479">
            <w:pPr>
              <w:spacing w:after="0" w:line="240" w:lineRule="auto"/>
              <w:rPr>
                <w:rFonts w:ascii="Futura Std Condensed Light" w:eastAsia="Calibri" w:hAnsi="Futura Std Condensed Light" w:cs="Calibri"/>
                <w:sz w:val="18"/>
                <w:szCs w:val="18"/>
              </w:rPr>
            </w:pPr>
            <w:r>
              <w:rPr>
                <w:rFonts w:ascii="Futura Std Condensed Light" w:eastAsia="Calibri" w:hAnsi="Futura Std Condensed Light" w:cs="Calibri"/>
                <w:sz w:val="18"/>
                <w:szCs w:val="18"/>
              </w:rPr>
              <w:t>Objetivo PSE:</w:t>
            </w:r>
          </w:p>
        </w:tc>
        <w:tc>
          <w:tcPr>
            <w:tcW w:w="4048" w:type="pct"/>
            <w:shd w:val="clear" w:color="auto" w:fill="FFFFFF" w:themeFill="background1"/>
            <w:tcMar>
              <w:top w:w="72" w:type="dxa"/>
              <w:left w:w="144" w:type="dxa"/>
              <w:bottom w:w="72" w:type="dxa"/>
              <w:right w:w="144" w:type="dxa"/>
            </w:tcMar>
          </w:tcPr>
          <w:p w14:paraId="501B8A1D" w14:textId="77777777" w:rsidR="00256EC3" w:rsidRPr="006E77E1" w:rsidRDefault="00256EC3" w:rsidP="00652479">
            <w:pPr>
              <w:spacing w:after="0" w:line="240" w:lineRule="auto"/>
              <w:rPr>
                <w:rFonts w:ascii="Futura Std Condensed Light" w:eastAsia="Calibri" w:hAnsi="Futura Std Condensed Light" w:cs="Calibri"/>
                <w:sz w:val="18"/>
                <w:szCs w:val="18"/>
              </w:rPr>
            </w:pPr>
            <w:r w:rsidRPr="006E77E1">
              <w:rPr>
                <w:rFonts w:ascii="Futura Std Condensed Light" w:eastAsia="Calibri" w:hAnsi="Futura Std Condensed Light" w:cs="Calibri"/>
                <w:sz w:val="18"/>
                <w:szCs w:val="18"/>
              </w:rPr>
              <w:t>Incrementar el desempeño escolar de los estudiantes de educación básica para una educación integral e inclusiva de calidad.</w:t>
            </w:r>
          </w:p>
        </w:tc>
      </w:tr>
      <w:tr w:rsidR="00256EC3" w:rsidRPr="006E77E1" w14:paraId="66AC8EDB" w14:textId="77777777" w:rsidTr="00652479">
        <w:trPr>
          <w:trHeight w:val="283"/>
        </w:trPr>
        <w:tc>
          <w:tcPr>
            <w:tcW w:w="952" w:type="pct"/>
            <w:shd w:val="clear" w:color="auto" w:fill="FFFFFF" w:themeFill="background1"/>
            <w:tcMar>
              <w:top w:w="72" w:type="dxa"/>
              <w:left w:w="144" w:type="dxa"/>
              <w:bottom w:w="72" w:type="dxa"/>
              <w:right w:w="144" w:type="dxa"/>
            </w:tcMar>
            <w:hideMark/>
          </w:tcPr>
          <w:p w14:paraId="2F057003" w14:textId="77777777" w:rsidR="00256EC3" w:rsidRPr="006E77E1" w:rsidRDefault="00256EC3" w:rsidP="00652479">
            <w:pPr>
              <w:spacing w:after="0" w:line="240" w:lineRule="auto"/>
              <w:rPr>
                <w:rFonts w:ascii="Futura Std Condensed Light" w:eastAsia="Calibri" w:hAnsi="Futura Std Condensed Light" w:cs="Calibri"/>
                <w:sz w:val="18"/>
                <w:szCs w:val="18"/>
              </w:rPr>
            </w:pPr>
            <w:r w:rsidRPr="006E77E1">
              <w:rPr>
                <w:rFonts w:ascii="Futura Std Condensed Light" w:eastAsia="Calibri" w:hAnsi="Futura Std Condensed Light" w:cs="Calibri"/>
                <w:sz w:val="18"/>
                <w:szCs w:val="18"/>
              </w:rPr>
              <w:t>Descripción:</w:t>
            </w:r>
          </w:p>
        </w:tc>
        <w:tc>
          <w:tcPr>
            <w:tcW w:w="4048" w:type="pct"/>
            <w:shd w:val="clear" w:color="auto" w:fill="FFFFFF" w:themeFill="background1"/>
            <w:tcMar>
              <w:top w:w="72" w:type="dxa"/>
              <w:left w:w="144" w:type="dxa"/>
              <w:bottom w:w="72" w:type="dxa"/>
              <w:right w:w="144" w:type="dxa"/>
            </w:tcMar>
            <w:hideMark/>
          </w:tcPr>
          <w:p w14:paraId="7EA6F907" w14:textId="77777777" w:rsidR="00256EC3" w:rsidRPr="006E77E1" w:rsidRDefault="00256EC3" w:rsidP="00652479">
            <w:pPr>
              <w:spacing w:after="0" w:line="240" w:lineRule="auto"/>
              <w:rPr>
                <w:rFonts w:ascii="Futura Std Condensed Light" w:eastAsia="Calibri" w:hAnsi="Futura Std Condensed Light" w:cs="Calibri"/>
                <w:sz w:val="18"/>
                <w:szCs w:val="18"/>
              </w:rPr>
            </w:pPr>
            <w:r w:rsidRPr="006E77E1">
              <w:rPr>
                <w:rFonts w:ascii="Futura Std Condensed Light" w:eastAsia="Calibri" w:hAnsi="Futura Std Condensed Light" w:cs="Calibri"/>
                <w:sz w:val="18"/>
                <w:szCs w:val="18"/>
              </w:rPr>
              <w:t>Este indicador refleja el porcentaje de alumnos de tercer grado de secundaria de las escuelas públicas en las modalidades general, técnica y telesecundaria, que obtienen un promedio general igual o mayor a 8 en la asignatura de español; respecto al total de alumnos en las modalidades mencionadas que concluyen el tercer grado de educación secundaria.</w:t>
            </w:r>
          </w:p>
        </w:tc>
      </w:tr>
      <w:tr w:rsidR="00256EC3" w:rsidRPr="006E77E1" w14:paraId="1F0DA399" w14:textId="77777777" w:rsidTr="00652479">
        <w:trPr>
          <w:trHeight w:val="283"/>
        </w:trPr>
        <w:tc>
          <w:tcPr>
            <w:tcW w:w="952" w:type="pct"/>
            <w:shd w:val="clear" w:color="auto" w:fill="FFFFFF" w:themeFill="background1"/>
            <w:tcMar>
              <w:top w:w="72" w:type="dxa"/>
              <w:left w:w="144" w:type="dxa"/>
              <w:bottom w:w="72" w:type="dxa"/>
              <w:right w:w="144" w:type="dxa"/>
            </w:tcMar>
            <w:hideMark/>
          </w:tcPr>
          <w:p w14:paraId="04F15795" w14:textId="77777777" w:rsidR="00256EC3" w:rsidRPr="006E77E1" w:rsidRDefault="00256EC3" w:rsidP="00652479">
            <w:pPr>
              <w:spacing w:after="0" w:line="240" w:lineRule="auto"/>
              <w:rPr>
                <w:rFonts w:ascii="Futura Std Condensed Light" w:eastAsia="Calibri" w:hAnsi="Futura Std Condensed Light" w:cs="Calibri"/>
                <w:sz w:val="18"/>
                <w:szCs w:val="18"/>
              </w:rPr>
            </w:pPr>
            <w:r w:rsidRPr="006E77E1">
              <w:rPr>
                <w:rFonts w:ascii="Futura Std Condensed Light" w:eastAsia="Calibri" w:hAnsi="Futura Std Condensed Light" w:cs="Calibri"/>
                <w:sz w:val="18"/>
                <w:szCs w:val="18"/>
              </w:rPr>
              <w:t>Método de cálculo:</w:t>
            </w:r>
          </w:p>
        </w:tc>
        <w:tc>
          <w:tcPr>
            <w:tcW w:w="4048" w:type="pct"/>
            <w:shd w:val="clear" w:color="auto" w:fill="FFFFFF" w:themeFill="background1"/>
            <w:tcMar>
              <w:top w:w="72" w:type="dxa"/>
              <w:left w:w="144" w:type="dxa"/>
              <w:bottom w:w="72" w:type="dxa"/>
              <w:right w:w="144" w:type="dxa"/>
            </w:tcMar>
            <w:hideMark/>
          </w:tcPr>
          <w:p w14:paraId="39B99172" w14:textId="77777777" w:rsidR="00256EC3" w:rsidRPr="006E77E1" w:rsidRDefault="00256EC3" w:rsidP="00652479">
            <w:pPr>
              <w:spacing w:after="0" w:line="240" w:lineRule="auto"/>
              <w:rPr>
                <w:rFonts w:ascii="Futura Std Condensed Light" w:eastAsia="Calibri" w:hAnsi="Futura Std Condensed Light" w:cs="Calibri"/>
                <w:sz w:val="18"/>
                <w:szCs w:val="18"/>
              </w:rPr>
            </w:pPr>
            <w:r w:rsidRPr="006E77E1">
              <w:rPr>
                <w:rFonts w:ascii="Futura Std Condensed Light" w:eastAsia="Calibri" w:hAnsi="Futura Std Condensed Light" w:cs="Calibri"/>
                <w:sz w:val="18"/>
                <w:szCs w:val="18"/>
              </w:rPr>
              <w:t>(Número de alumnos de tercer grado de secundaria con promedio igual o mayor a 8 en la asignatura de español / Total de alumnos que concluyen el tercer grado de secundaria) x 100.</w:t>
            </w:r>
          </w:p>
        </w:tc>
      </w:tr>
      <w:tr w:rsidR="00256EC3" w:rsidRPr="006E77E1" w14:paraId="2C4DC4BE" w14:textId="77777777" w:rsidTr="00652479">
        <w:trPr>
          <w:trHeight w:val="283"/>
        </w:trPr>
        <w:tc>
          <w:tcPr>
            <w:tcW w:w="952" w:type="pct"/>
            <w:shd w:val="clear" w:color="auto" w:fill="FFFFFF" w:themeFill="background1"/>
            <w:tcMar>
              <w:top w:w="72" w:type="dxa"/>
              <w:left w:w="144" w:type="dxa"/>
              <w:bottom w:w="72" w:type="dxa"/>
              <w:right w:w="144" w:type="dxa"/>
            </w:tcMar>
            <w:hideMark/>
          </w:tcPr>
          <w:p w14:paraId="6949EE9C" w14:textId="77777777" w:rsidR="00256EC3" w:rsidRPr="006E77E1" w:rsidRDefault="00256EC3" w:rsidP="00652479">
            <w:pPr>
              <w:spacing w:after="0" w:line="240" w:lineRule="auto"/>
              <w:rPr>
                <w:rFonts w:ascii="Futura Std Condensed Light" w:eastAsia="Calibri" w:hAnsi="Futura Std Condensed Light" w:cs="Calibri"/>
                <w:sz w:val="18"/>
                <w:szCs w:val="18"/>
              </w:rPr>
            </w:pPr>
            <w:r w:rsidRPr="006E77E1">
              <w:rPr>
                <w:rFonts w:ascii="Futura Std Condensed Light" w:eastAsia="Calibri" w:hAnsi="Futura Std Condensed Light" w:cs="Calibri"/>
                <w:sz w:val="18"/>
                <w:szCs w:val="18"/>
              </w:rPr>
              <w:t>Periodicidad:</w:t>
            </w:r>
          </w:p>
        </w:tc>
        <w:tc>
          <w:tcPr>
            <w:tcW w:w="4048" w:type="pct"/>
            <w:shd w:val="clear" w:color="auto" w:fill="FFFFFF" w:themeFill="background1"/>
            <w:tcMar>
              <w:top w:w="72" w:type="dxa"/>
              <w:left w:w="144" w:type="dxa"/>
              <w:bottom w:w="72" w:type="dxa"/>
              <w:right w:w="144" w:type="dxa"/>
            </w:tcMar>
            <w:hideMark/>
          </w:tcPr>
          <w:p w14:paraId="5453C231" w14:textId="77777777" w:rsidR="00256EC3" w:rsidRPr="006E77E1" w:rsidRDefault="00256EC3" w:rsidP="00652479">
            <w:pPr>
              <w:spacing w:after="0" w:line="240" w:lineRule="auto"/>
              <w:rPr>
                <w:rFonts w:ascii="Futura Std Condensed Light" w:eastAsia="Calibri" w:hAnsi="Futura Std Condensed Light" w:cs="Calibri"/>
                <w:sz w:val="18"/>
                <w:szCs w:val="18"/>
              </w:rPr>
            </w:pPr>
            <w:r w:rsidRPr="006E77E1">
              <w:rPr>
                <w:rFonts w:ascii="Futura Std Condensed Light" w:eastAsia="Calibri" w:hAnsi="Futura Std Condensed Light" w:cs="Calibri"/>
                <w:sz w:val="18"/>
                <w:szCs w:val="18"/>
              </w:rPr>
              <w:t>Anual.</w:t>
            </w:r>
          </w:p>
        </w:tc>
      </w:tr>
      <w:tr w:rsidR="00256EC3" w:rsidRPr="006E77E1" w14:paraId="5AD2A9BB" w14:textId="77777777" w:rsidTr="00652479">
        <w:trPr>
          <w:trHeight w:val="283"/>
        </w:trPr>
        <w:tc>
          <w:tcPr>
            <w:tcW w:w="952" w:type="pct"/>
            <w:shd w:val="clear" w:color="auto" w:fill="FFFFFF" w:themeFill="background1"/>
            <w:tcMar>
              <w:top w:w="72" w:type="dxa"/>
              <w:left w:w="144" w:type="dxa"/>
              <w:bottom w:w="72" w:type="dxa"/>
              <w:right w:w="144" w:type="dxa"/>
            </w:tcMar>
            <w:hideMark/>
          </w:tcPr>
          <w:p w14:paraId="3E8178ED" w14:textId="77777777" w:rsidR="00256EC3" w:rsidRPr="006E77E1" w:rsidRDefault="00256EC3" w:rsidP="00652479">
            <w:pPr>
              <w:spacing w:after="0" w:line="240" w:lineRule="auto"/>
              <w:rPr>
                <w:rFonts w:ascii="Futura Std Condensed Light" w:eastAsia="Calibri" w:hAnsi="Futura Std Condensed Light" w:cs="Calibri"/>
                <w:sz w:val="18"/>
                <w:szCs w:val="18"/>
              </w:rPr>
            </w:pPr>
            <w:r w:rsidRPr="006E77E1">
              <w:rPr>
                <w:rFonts w:ascii="Futura Std Condensed Light" w:eastAsia="Calibri" w:hAnsi="Futura Std Condensed Light" w:cs="Calibri"/>
                <w:sz w:val="18"/>
                <w:szCs w:val="18"/>
              </w:rPr>
              <w:t>Fuente:</w:t>
            </w:r>
          </w:p>
        </w:tc>
        <w:tc>
          <w:tcPr>
            <w:tcW w:w="4048" w:type="pct"/>
            <w:shd w:val="clear" w:color="auto" w:fill="FFFFFF" w:themeFill="background1"/>
            <w:tcMar>
              <w:top w:w="72" w:type="dxa"/>
              <w:left w:w="144" w:type="dxa"/>
              <w:bottom w:w="72" w:type="dxa"/>
              <w:right w:w="144" w:type="dxa"/>
            </w:tcMar>
            <w:hideMark/>
          </w:tcPr>
          <w:p w14:paraId="0808F604" w14:textId="77777777" w:rsidR="00256EC3" w:rsidRPr="006E77E1" w:rsidRDefault="00256EC3" w:rsidP="00652479">
            <w:pPr>
              <w:spacing w:after="0" w:line="240" w:lineRule="auto"/>
              <w:rPr>
                <w:rFonts w:ascii="Futura Std Condensed Light" w:eastAsia="Calibri" w:hAnsi="Futura Std Condensed Light" w:cs="Calibri"/>
                <w:sz w:val="18"/>
                <w:szCs w:val="18"/>
              </w:rPr>
            </w:pPr>
            <w:r w:rsidRPr="006E77E1">
              <w:rPr>
                <w:rFonts w:ascii="Futura Std Condensed Light" w:eastAsia="Calibri" w:hAnsi="Futura Std Condensed Light" w:cs="Calibri"/>
                <w:sz w:val="18"/>
                <w:szCs w:val="18"/>
              </w:rPr>
              <w:t>Sistema de Control Escolar de Educación Básica SICEB, Secretaría de Educación de Quintana Roo, SEQ.</w:t>
            </w:r>
          </w:p>
        </w:tc>
      </w:tr>
      <w:tr w:rsidR="00256EC3" w:rsidRPr="006E77E1" w14:paraId="07397F02" w14:textId="77777777" w:rsidTr="00652479">
        <w:trPr>
          <w:trHeight w:val="283"/>
        </w:trPr>
        <w:tc>
          <w:tcPr>
            <w:tcW w:w="952" w:type="pct"/>
            <w:shd w:val="clear" w:color="auto" w:fill="FFFFFF" w:themeFill="background1"/>
            <w:tcMar>
              <w:top w:w="72" w:type="dxa"/>
              <w:left w:w="144" w:type="dxa"/>
              <w:bottom w:w="72" w:type="dxa"/>
              <w:right w:w="144" w:type="dxa"/>
            </w:tcMar>
            <w:hideMark/>
          </w:tcPr>
          <w:p w14:paraId="5EC64033" w14:textId="77777777" w:rsidR="00256EC3" w:rsidRPr="006E77E1" w:rsidRDefault="00256EC3" w:rsidP="00652479">
            <w:pPr>
              <w:spacing w:after="0" w:line="240" w:lineRule="auto"/>
              <w:rPr>
                <w:rFonts w:ascii="Futura Std Condensed Light" w:eastAsia="Calibri" w:hAnsi="Futura Std Condensed Light" w:cs="Calibri"/>
                <w:sz w:val="18"/>
                <w:szCs w:val="18"/>
              </w:rPr>
            </w:pPr>
            <w:r w:rsidRPr="006E77E1">
              <w:rPr>
                <w:rFonts w:ascii="Futura Std Condensed Light" w:eastAsia="Calibri" w:hAnsi="Futura Std Condensed Light" w:cs="Calibri"/>
                <w:sz w:val="18"/>
                <w:szCs w:val="18"/>
              </w:rPr>
              <w:t>Dimensión:</w:t>
            </w:r>
          </w:p>
        </w:tc>
        <w:tc>
          <w:tcPr>
            <w:tcW w:w="4048" w:type="pct"/>
            <w:shd w:val="clear" w:color="auto" w:fill="FFFFFF" w:themeFill="background1"/>
            <w:tcMar>
              <w:top w:w="72" w:type="dxa"/>
              <w:left w:w="144" w:type="dxa"/>
              <w:bottom w:w="72" w:type="dxa"/>
              <w:right w:w="144" w:type="dxa"/>
            </w:tcMar>
            <w:hideMark/>
          </w:tcPr>
          <w:p w14:paraId="7699D97D" w14:textId="77777777" w:rsidR="00256EC3" w:rsidRPr="006E77E1" w:rsidRDefault="00256EC3" w:rsidP="00652479">
            <w:pPr>
              <w:spacing w:after="0" w:line="240" w:lineRule="auto"/>
              <w:rPr>
                <w:rFonts w:ascii="Futura Std Condensed Light" w:eastAsia="Calibri" w:hAnsi="Futura Std Condensed Light" w:cs="Calibri"/>
                <w:sz w:val="18"/>
                <w:szCs w:val="18"/>
              </w:rPr>
            </w:pPr>
            <w:r w:rsidRPr="006E77E1">
              <w:rPr>
                <w:rFonts w:ascii="Futura Std Condensed Light" w:eastAsia="Calibri" w:hAnsi="Futura Std Condensed Light" w:cs="Calibri"/>
                <w:sz w:val="18"/>
                <w:szCs w:val="18"/>
              </w:rPr>
              <w:t>Eficiencia.</w:t>
            </w:r>
          </w:p>
        </w:tc>
      </w:tr>
      <w:tr w:rsidR="00256EC3" w:rsidRPr="006E77E1" w14:paraId="79A11703" w14:textId="77777777" w:rsidTr="00652479">
        <w:trPr>
          <w:trHeight w:val="283"/>
        </w:trPr>
        <w:tc>
          <w:tcPr>
            <w:tcW w:w="952" w:type="pct"/>
            <w:shd w:val="clear" w:color="auto" w:fill="FFFFFF" w:themeFill="background1"/>
            <w:tcMar>
              <w:top w:w="72" w:type="dxa"/>
              <w:left w:w="144" w:type="dxa"/>
              <w:bottom w:w="72" w:type="dxa"/>
              <w:right w:w="144" w:type="dxa"/>
            </w:tcMar>
            <w:hideMark/>
          </w:tcPr>
          <w:p w14:paraId="43CA2719" w14:textId="77777777" w:rsidR="00256EC3" w:rsidRPr="006E77E1" w:rsidRDefault="00256EC3" w:rsidP="00652479">
            <w:pPr>
              <w:spacing w:after="0" w:line="240" w:lineRule="auto"/>
              <w:rPr>
                <w:rFonts w:ascii="Futura Std Condensed Light" w:eastAsia="Calibri" w:hAnsi="Futura Std Condensed Light" w:cs="Calibri"/>
                <w:sz w:val="18"/>
                <w:szCs w:val="18"/>
              </w:rPr>
            </w:pPr>
            <w:r w:rsidRPr="006E77E1">
              <w:rPr>
                <w:rFonts w:ascii="Futura Std Condensed Light" w:eastAsia="Calibri" w:hAnsi="Futura Std Condensed Light" w:cs="Calibri"/>
                <w:sz w:val="18"/>
                <w:szCs w:val="18"/>
              </w:rPr>
              <w:t>Referencias adicionales:</w:t>
            </w:r>
          </w:p>
        </w:tc>
        <w:tc>
          <w:tcPr>
            <w:tcW w:w="4048" w:type="pct"/>
            <w:shd w:val="clear" w:color="auto" w:fill="FFFFFF" w:themeFill="background1"/>
            <w:tcMar>
              <w:top w:w="72" w:type="dxa"/>
              <w:left w:w="144" w:type="dxa"/>
              <w:bottom w:w="72" w:type="dxa"/>
              <w:right w:w="144" w:type="dxa"/>
            </w:tcMar>
            <w:hideMark/>
          </w:tcPr>
          <w:p w14:paraId="3D4ACCD7" w14:textId="77777777" w:rsidR="00256EC3" w:rsidRPr="006E77E1" w:rsidRDefault="00256EC3" w:rsidP="00652479">
            <w:pPr>
              <w:spacing w:after="0" w:line="240" w:lineRule="auto"/>
              <w:rPr>
                <w:rFonts w:ascii="Futura Std Condensed Light" w:eastAsia="Calibri" w:hAnsi="Futura Std Condensed Light" w:cs="Calibri"/>
                <w:sz w:val="18"/>
                <w:szCs w:val="18"/>
              </w:rPr>
            </w:pPr>
          </w:p>
        </w:tc>
      </w:tr>
    </w:tbl>
    <w:p w14:paraId="33FCD629" w14:textId="1F247707" w:rsidR="00B5191B" w:rsidRDefault="00B5191B" w:rsidP="00256EC3">
      <w:pPr>
        <w:rPr>
          <w:rFonts w:ascii="Futura Std Condensed Light" w:eastAsia="Calibri" w:hAnsi="Futura Std Condensed Light" w:cs="Calibri"/>
          <w:sz w:val="16"/>
          <w:szCs w:val="18"/>
        </w:rPr>
      </w:pPr>
    </w:p>
    <w:p w14:paraId="54F71458" w14:textId="77777777" w:rsidR="00B5191B" w:rsidRDefault="00B5191B">
      <w:pPr>
        <w:spacing w:after="0" w:line="240" w:lineRule="auto"/>
        <w:jc w:val="left"/>
        <w:rPr>
          <w:rFonts w:ascii="Futura Std Condensed Light" w:eastAsia="Calibri" w:hAnsi="Futura Std Condensed Light" w:cs="Calibri"/>
          <w:sz w:val="16"/>
          <w:szCs w:val="18"/>
        </w:rPr>
      </w:pPr>
      <w:r>
        <w:rPr>
          <w:rFonts w:ascii="Futura Std Condensed Light" w:eastAsia="Calibri" w:hAnsi="Futura Std Condensed Light" w:cs="Calibri"/>
          <w:sz w:val="16"/>
          <w:szCs w:val="18"/>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1816"/>
        <w:gridCol w:w="7721"/>
      </w:tblGrid>
      <w:tr w:rsidR="00256EC3" w:rsidRPr="006E77E1" w14:paraId="4165C05B" w14:textId="77777777" w:rsidTr="00652479">
        <w:trPr>
          <w:trHeight w:val="283"/>
        </w:trPr>
        <w:tc>
          <w:tcPr>
            <w:tcW w:w="952" w:type="pct"/>
            <w:shd w:val="clear" w:color="auto" w:fill="BFBFBF" w:themeFill="background1" w:themeFillShade="BF"/>
            <w:tcMar>
              <w:top w:w="72" w:type="dxa"/>
              <w:left w:w="144" w:type="dxa"/>
              <w:bottom w:w="72" w:type="dxa"/>
              <w:right w:w="144" w:type="dxa"/>
            </w:tcMar>
            <w:hideMark/>
          </w:tcPr>
          <w:p w14:paraId="05B0B758" w14:textId="77777777" w:rsidR="00256EC3" w:rsidRPr="006E77E1" w:rsidRDefault="00256EC3" w:rsidP="00652479">
            <w:pPr>
              <w:spacing w:after="0" w:line="240" w:lineRule="auto"/>
              <w:rPr>
                <w:rFonts w:ascii="Futura Std Condensed Light" w:eastAsia="Calibri" w:hAnsi="Futura Std Condensed Light" w:cs="Calibri"/>
                <w:sz w:val="18"/>
                <w:szCs w:val="18"/>
              </w:rPr>
            </w:pPr>
            <w:r w:rsidRPr="006E77E1">
              <w:rPr>
                <w:rFonts w:ascii="Futura Std Condensed Light" w:eastAsia="Calibri" w:hAnsi="Futura Std Condensed Light" w:cs="Calibri"/>
                <w:sz w:val="18"/>
                <w:szCs w:val="18"/>
              </w:rPr>
              <w:lastRenderedPageBreak/>
              <w:t>Elemento</w:t>
            </w:r>
          </w:p>
        </w:tc>
        <w:tc>
          <w:tcPr>
            <w:tcW w:w="4048" w:type="pct"/>
            <w:shd w:val="clear" w:color="auto" w:fill="BFBFBF" w:themeFill="background1" w:themeFillShade="BF"/>
            <w:tcMar>
              <w:top w:w="72" w:type="dxa"/>
              <w:left w:w="144" w:type="dxa"/>
              <w:bottom w:w="72" w:type="dxa"/>
              <w:right w:w="144" w:type="dxa"/>
            </w:tcMar>
            <w:hideMark/>
          </w:tcPr>
          <w:p w14:paraId="67765347" w14:textId="77777777" w:rsidR="00256EC3" w:rsidRPr="006E77E1" w:rsidRDefault="00256EC3" w:rsidP="00652479">
            <w:pPr>
              <w:spacing w:after="0" w:line="240" w:lineRule="auto"/>
              <w:rPr>
                <w:rFonts w:ascii="Futura Std Condensed Light" w:eastAsia="Calibri" w:hAnsi="Futura Std Condensed Light" w:cs="Calibri"/>
                <w:sz w:val="18"/>
                <w:szCs w:val="18"/>
              </w:rPr>
            </w:pPr>
            <w:r w:rsidRPr="006E77E1">
              <w:rPr>
                <w:rFonts w:ascii="Futura Std Condensed Light" w:eastAsia="Calibri" w:hAnsi="Futura Std Condensed Light" w:cs="Calibri"/>
                <w:sz w:val="18"/>
                <w:szCs w:val="18"/>
              </w:rPr>
              <w:t>Características</w:t>
            </w:r>
          </w:p>
        </w:tc>
      </w:tr>
      <w:tr w:rsidR="00256EC3" w:rsidRPr="006E77E1" w14:paraId="1399EDDE" w14:textId="77777777" w:rsidTr="00652479">
        <w:trPr>
          <w:trHeight w:val="283"/>
        </w:trPr>
        <w:tc>
          <w:tcPr>
            <w:tcW w:w="952" w:type="pct"/>
            <w:shd w:val="clear" w:color="auto" w:fill="FFFFFF" w:themeFill="background1"/>
            <w:tcMar>
              <w:top w:w="72" w:type="dxa"/>
              <w:left w:w="144" w:type="dxa"/>
              <w:bottom w:w="72" w:type="dxa"/>
              <w:right w:w="144" w:type="dxa"/>
            </w:tcMar>
            <w:hideMark/>
          </w:tcPr>
          <w:p w14:paraId="77913CAB" w14:textId="77777777" w:rsidR="00256EC3" w:rsidRPr="006E77E1" w:rsidRDefault="00256EC3" w:rsidP="00652479">
            <w:pPr>
              <w:spacing w:after="0" w:line="240" w:lineRule="auto"/>
              <w:rPr>
                <w:rFonts w:ascii="Futura Std Condensed Light" w:eastAsia="Calibri" w:hAnsi="Futura Std Condensed Light" w:cs="Calibri"/>
                <w:sz w:val="18"/>
                <w:szCs w:val="18"/>
              </w:rPr>
            </w:pPr>
            <w:r w:rsidRPr="006E77E1">
              <w:rPr>
                <w:rFonts w:ascii="Futura Std Condensed Light" w:eastAsia="Calibri" w:hAnsi="Futura Std Condensed Light" w:cs="Calibri"/>
                <w:sz w:val="18"/>
                <w:szCs w:val="18"/>
              </w:rPr>
              <w:t>Indicador:</w:t>
            </w:r>
          </w:p>
        </w:tc>
        <w:tc>
          <w:tcPr>
            <w:tcW w:w="4048" w:type="pct"/>
            <w:shd w:val="clear" w:color="auto" w:fill="FFFFFF" w:themeFill="background1"/>
            <w:tcMar>
              <w:top w:w="72" w:type="dxa"/>
              <w:left w:w="144" w:type="dxa"/>
              <w:bottom w:w="72" w:type="dxa"/>
              <w:right w:w="144" w:type="dxa"/>
            </w:tcMar>
            <w:hideMark/>
          </w:tcPr>
          <w:p w14:paraId="19D1759E" w14:textId="77777777" w:rsidR="00256EC3" w:rsidRPr="006E77E1" w:rsidRDefault="00256EC3" w:rsidP="00652479">
            <w:pPr>
              <w:spacing w:after="0" w:line="240" w:lineRule="auto"/>
              <w:rPr>
                <w:rFonts w:ascii="Futura Std Condensed Light" w:eastAsia="Calibri" w:hAnsi="Futura Std Condensed Light" w:cs="Calibri"/>
                <w:sz w:val="18"/>
                <w:szCs w:val="18"/>
              </w:rPr>
            </w:pPr>
            <w:r w:rsidRPr="006E77E1">
              <w:rPr>
                <w:rFonts w:ascii="Futura Std Condensed Light" w:eastAsia="Calibri" w:hAnsi="Futura Std Condensed Light" w:cs="Calibri"/>
                <w:sz w:val="18"/>
                <w:szCs w:val="18"/>
              </w:rPr>
              <w:t>Porcentaje de alumnos de tercer grado de secundaria que obtienen un promedio igual o mayor a 8 en la asignatura de matemáticas.</w:t>
            </w:r>
          </w:p>
        </w:tc>
      </w:tr>
      <w:tr w:rsidR="00256EC3" w:rsidRPr="006E77E1" w14:paraId="2BF7C56B" w14:textId="77777777" w:rsidTr="00652479">
        <w:trPr>
          <w:trHeight w:val="283"/>
        </w:trPr>
        <w:tc>
          <w:tcPr>
            <w:tcW w:w="952" w:type="pct"/>
            <w:shd w:val="clear" w:color="auto" w:fill="FFFFFF" w:themeFill="background1"/>
            <w:tcMar>
              <w:top w:w="72" w:type="dxa"/>
              <w:left w:w="144" w:type="dxa"/>
              <w:bottom w:w="72" w:type="dxa"/>
              <w:right w:w="144" w:type="dxa"/>
            </w:tcMar>
          </w:tcPr>
          <w:p w14:paraId="13470B5C" w14:textId="3DCFBF28" w:rsidR="00256EC3" w:rsidRPr="006E77E1" w:rsidRDefault="008C6991" w:rsidP="00652479">
            <w:pPr>
              <w:spacing w:after="0" w:line="240" w:lineRule="auto"/>
              <w:rPr>
                <w:rFonts w:ascii="Futura Std Condensed Light" w:eastAsia="Calibri" w:hAnsi="Futura Std Condensed Light" w:cs="Calibri"/>
                <w:sz w:val="18"/>
                <w:szCs w:val="18"/>
              </w:rPr>
            </w:pPr>
            <w:r>
              <w:rPr>
                <w:rFonts w:ascii="Futura Std Condensed Light" w:eastAsia="Calibri" w:hAnsi="Futura Std Condensed Light" w:cs="Calibri"/>
                <w:sz w:val="18"/>
                <w:szCs w:val="18"/>
              </w:rPr>
              <w:t>Objetivo PSE:</w:t>
            </w:r>
          </w:p>
        </w:tc>
        <w:tc>
          <w:tcPr>
            <w:tcW w:w="4048" w:type="pct"/>
            <w:shd w:val="clear" w:color="auto" w:fill="FFFFFF" w:themeFill="background1"/>
            <w:tcMar>
              <w:top w:w="72" w:type="dxa"/>
              <w:left w:w="144" w:type="dxa"/>
              <w:bottom w:w="72" w:type="dxa"/>
              <w:right w:w="144" w:type="dxa"/>
            </w:tcMar>
          </w:tcPr>
          <w:p w14:paraId="278B7442" w14:textId="77777777" w:rsidR="00256EC3" w:rsidRPr="006E77E1" w:rsidRDefault="00256EC3" w:rsidP="00652479">
            <w:pPr>
              <w:spacing w:after="0" w:line="240" w:lineRule="auto"/>
              <w:rPr>
                <w:rFonts w:ascii="Futura Std Condensed Light" w:eastAsia="Calibri" w:hAnsi="Futura Std Condensed Light" w:cs="Calibri"/>
                <w:sz w:val="18"/>
                <w:szCs w:val="18"/>
              </w:rPr>
            </w:pPr>
            <w:r w:rsidRPr="006E77E1">
              <w:rPr>
                <w:rFonts w:ascii="Futura Std Condensed Light" w:eastAsia="Calibri" w:hAnsi="Futura Std Condensed Light" w:cs="Calibri"/>
                <w:sz w:val="18"/>
                <w:szCs w:val="18"/>
              </w:rPr>
              <w:t>Incrementar el desempeño escolar de los estudiantes de educación básica para una educación integral e inclusiva de calidad.</w:t>
            </w:r>
          </w:p>
        </w:tc>
      </w:tr>
      <w:tr w:rsidR="00256EC3" w:rsidRPr="006E77E1" w14:paraId="63B82FD5" w14:textId="77777777" w:rsidTr="00652479">
        <w:trPr>
          <w:trHeight w:val="283"/>
        </w:trPr>
        <w:tc>
          <w:tcPr>
            <w:tcW w:w="952" w:type="pct"/>
            <w:shd w:val="clear" w:color="auto" w:fill="FFFFFF" w:themeFill="background1"/>
            <w:tcMar>
              <w:top w:w="72" w:type="dxa"/>
              <w:left w:w="144" w:type="dxa"/>
              <w:bottom w:w="72" w:type="dxa"/>
              <w:right w:w="144" w:type="dxa"/>
            </w:tcMar>
            <w:hideMark/>
          </w:tcPr>
          <w:p w14:paraId="5B5D719C" w14:textId="77777777" w:rsidR="00256EC3" w:rsidRPr="006E77E1" w:rsidRDefault="00256EC3" w:rsidP="00652479">
            <w:pPr>
              <w:spacing w:after="0" w:line="240" w:lineRule="auto"/>
              <w:rPr>
                <w:rFonts w:ascii="Futura Std Condensed Light" w:eastAsia="Calibri" w:hAnsi="Futura Std Condensed Light" w:cs="Calibri"/>
                <w:sz w:val="18"/>
                <w:szCs w:val="18"/>
              </w:rPr>
            </w:pPr>
            <w:r w:rsidRPr="006E77E1">
              <w:rPr>
                <w:rFonts w:ascii="Futura Std Condensed Light" w:eastAsia="Calibri" w:hAnsi="Futura Std Condensed Light" w:cs="Calibri"/>
                <w:sz w:val="18"/>
                <w:szCs w:val="18"/>
              </w:rPr>
              <w:t>Descripción:</w:t>
            </w:r>
          </w:p>
        </w:tc>
        <w:tc>
          <w:tcPr>
            <w:tcW w:w="4048" w:type="pct"/>
            <w:shd w:val="clear" w:color="auto" w:fill="FFFFFF" w:themeFill="background1"/>
            <w:tcMar>
              <w:top w:w="72" w:type="dxa"/>
              <w:left w:w="144" w:type="dxa"/>
              <w:bottom w:w="72" w:type="dxa"/>
              <w:right w:w="144" w:type="dxa"/>
            </w:tcMar>
            <w:hideMark/>
          </w:tcPr>
          <w:p w14:paraId="2ADC6269" w14:textId="77777777" w:rsidR="00256EC3" w:rsidRPr="006E77E1" w:rsidRDefault="00256EC3" w:rsidP="00652479">
            <w:pPr>
              <w:spacing w:after="0" w:line="240" w:lineRule="auto"/>
              <w:rPr>
                <w:rFonts w:ascii="Futura Std Condensed Light" w:eastAsia="Calibri" w:hAnsi="Futura Std Condensed Light" w:cs="Calibri"/>
                <w:sz w:val="18"/>
                <w:szCs w:val="18"/>
              </w:rPr>
            </w:pPr>
            <w:r w:rsidRPr="006E77E1">
              <w:rPr>
                <w:rFonts w:ascii="Futura Std Condensed Light" w:eastAsia="Calibri" w:hAnsi="Futura Std Condensed Light" w:cs="Calibri"/>
                <w:sz w:val="18"/>
                <w:szCs w:val="18"/>
              </w:rPr>
              <w:t>Este indicador refleja el porcentaje de alumnos de tercer grado de secundaria de las escuelas públicas en las modalidades general, técnica y telesecundaria, que obtienen un promedio general igual o mayor a 8 en la asignatura de matemáticas; respecto al total de alumnos en las modalidades mencionadas que concluyen el tercer grado de educación secundaria.</w:t>
            </w:r>
          </w:p>
        </w:tc>
      </w:tr>
      <w:tr w:rsidR="00256EC3" w:rsidRPr="006E77E1" w14:paraId="045E6B1F" w14:textId="77777777" w:rsidTr="00652479">
        <w:trPr>
          <w:trHeight w:val="283"/>
        </w:trPr>
        <w:tc>
          <w:tcPr>
            <w:tcW w:w="952" w:type="pct"/>
            <w:shd w:val="clear" w:color="auto" w:fill="FFFFFF" w:themeFill="background1"/>
            <w:tcMar>
              <w:top w:w="72" w:type="dxa"/>
              <w:left w:w="144" w:type="dxa"/>
              <w:bottom w:w="72" w:type="dxa"/>
              <w:right w:w="144" w:type="dxa"/>
            </w:tcMar>
            <w:hideMark/>
          </w:tcPr>
          <w:p w14:paraId="2C0FE87B" w14:textId="77777777" w:rsidR="00256EC3" w:rsidRPr="006E77E1" w:rsidRDefault="00256EC3" w:rsidP="00652479">
            <w:pPr>
              <w:spacing w:after="0" w:line="240" w:lineRule="auto"/>
              <w:rPr>
                <w:rFonts w:ascii="Futura Std Condensed Light" w:eastAsia="Calibri" w:hAnsi="Futura Std Condensed Light" w:cs="Calibri"/>
                <w:sz w:val="18"/>
                <w:szCs w:val="18"/>
              </w:rPr>
            </w:pPr>
            <w:r w:rsidRPr="006E77E1">
              <w:rPr>
                <w:rFonts w:ascii="Futura Std Condensed Light" w:eastAsia="Calibri" w:hAnsi="Futura Std Condensed Light" w:cs="Calibri"/>
                <w:sz w:val="18"/>
                <w:szCs w:val="18"/>
              </w:rPr>
              <w:t>Método de cálculo:</w:t>
            </w:r>
          </w:p>
        </w:tc>
        <w:tc>
          <w:tcPr>
            <w:tcW w:w="4048" w:type="pct"/>
            <w:shd w:val="clear" w:color="auto" w:fill="FFFFFF" w:themeFill="background1"/>
            <w:tcMar>
              <w:top w:w="72" w:type="dxa"/>
              <w:left w:w="144" w:type="dxa"/>
              <w:bottom w:w="72" w:type="dxa"/>
              <w:right w:w="144" w:type="dxa"/>
            </w:tcMar>
            <w:hideMark/>
          </w:tcPr>
          <w:p w14:paraId="795671F3" w14:textId="77777777" w:rsidR="00256EC3" w:rsidRPr="006E77E1" w:rsidRDefault="00256EC3" w:rsidP="00652479">
            <w:pPr>
              <w:spacing w:after="0" w:line="240" w:lineRule="auto"/>
              <w:rPr>
                <w:rFonts w:ascii="Futura Std Condensed Light" w:eastAsia="Calibri" w:hAnsi="Futura Std Condensed Light" w:cs="Calibri"/>
                <w:sz w:val="18"/>
                <w:szCs w:val="18"/>
              </w:rPr>
            </w:pPr>
            <w:r w:rsidRPr="006E77E1">
              <w:rPr>
                <w:rFonts w:ascii="Futura Std Condensed Light" w:eastAsia="Calibri" w:hAnsi="Futura Std Condensed Light" w:cs="Calibri"/>
                <w:sz w:val="18"/>
                <w:szCs w:val="18"/>
              </w:rPr>
              <w:t>(Número de alumnos de tercer grado de secundaria con promedio igual o mayor a 8 en la asignatura de matemáticas / Total de alumnos que concluyen el tercer grado de secundaria) x 100.</w:t>
            </w:r>
          </w:p>
        </w:tc>
      </w:tr>
      <w:tr w:rsidR="00256EC3" w:rsidRPr="006E77E1" w14:paraId="341BCB54" w14:textId="77777777" w:rsidTr="001906E0">
        <w:trPr>
          <w:trHeight w:val="236"/>
        </w:trPr>
        <w:tc>
          <w:tcPr>
            <w:tcW w:w="952" w:type="pct"/>
            <w:shd w:val="clear" w:color="auto" w:fill="FFFFFF" w:themeFill="background1"/>
            <w:tcMar>
              <w:top w:w="72" w:type="dxa"/>
              <w:left w:w="144" w:type="dxa"/>
              <w:bottom w:w="72" w:type="dxa"/>
              <w:right w:w="144" w:type="dxa"/>
            </w:tcMar>
            <w:hideMark/>
          </w:tcPr>
          <w:p w14:paraId="354030D8" w14:textId="77777777" w:rsidR="00256EC3" w:rsidRPr="006E77E1" w:rsidRDefault="00256EC3" w:rsidP="00652479">
            <w:pPr>
              <w:spacing w:after="0" w:line="240" w:lineRule="auto"/>
              <w:rPr>
                <w:rFonts w:ascii="Futura Std Condensed Light" w:eastAsia="Calibri" w:hAnsi="Futura Std Condensed Light" w:cs="Calibri"/>
                <w:sz w:val="18"/>
                <w:szCs w:val="18"/>
              </w:rPr>
            </w:pPr>
            <w:r w:rsidRPr="006E77E1">
              <w:rPr>
                <w:rFonts w:ascii="Futura Std Condensed Light" w:eastAsia="Calibri" w:hAnsi="Futura Std Condensed Light" w:cs="Calibri"/>
                <w:sz w:val="18"/>
                <w:szCs w:val="18"/>
              </w:rPr>
              <w:t>Periodicidad:</w:t>
            </w:r>
          </w:p>
        </w:tc>
        <w:tc>
          <w:tcPr>
            <w:tcW w:w="4048" w:type="pct"/>
            <w:shd w:val="clear" w:color="auto" w:fill="FFFFFF" w:themeFill="background1"/>
            <w:tcMar>
              <w:top w:w="72" w:type="dxa"/>
              <w:left w:w="144" w:type="dxa"/>
              <w:bottom w:w="72" w:type="dxa"/>
              <w:right w:w="144" w:type="dxa"/>
            </w:tcMar>
            <w:hideMark/>
          </w:tcPr>
          <w:p w14:paraId="7A9EAB3A" w14:textId="77777777" w:rsidR="00256EC3" w:rsidRPr="006E77E1" w:rsidRDefault="00256EC3" w:rsidP="00652479">
            <w:pPr>
              <w:spacing w:after="0" w:line="240" w:lineRule="auto"/>
              <w:rPr>
                <w:rFonts w:ascii="Futura Std Condensed Light" w:eastAsia="Calibri" w:hAnsi="Futura Std Condensed Light" w:cs="Calibri"/>
                <w:sz w:val="18"/>
                <w:szCs w:val="18"/>
              </w:rPr>
            </w:pPr>
            <w:r w:rsidRPr="006E77E1">
              <w:rPr>
                <w:rFonts w:ascii="Futura Std Condensed Light" w:eastAsia="Calibri" w:hAnsi="Futura Std Condensed Light" w:cs="Calibri"/>
                <w:sz w:val="18"/>
                <w:szCs w:val="18"/>
              </w:rPr>
              <w:t>Anual.</w:t>
            </w:r>
          </w:p>
        </w:tc>
      </w:tr>
      <w:tr w:rsidR="00256EC3" w:rsidRPr="006E77E1" w14:paraId="1BBAB97A" w14:textId="77777777" w:rsidTr="00652479">
        <w:trPr>
          <w:trHeight w:val="283"/>
        </w:trPr>
        <w:tc>
          <w:tcPr>
            <w:tcW w:w="952" w:type="pct"/>
            <w:shd w:val="clear" w:color="auto" w:fill="FFFFFF" w:themeFill="background1"/>
            <w:tcMar>
              <w:top w:w="72" w:type="dxa"/>
              <w:left w:w="144" w:type="dxa"/>
              <w:bottom w:w="72" w:type="dxa"/>
              <w:right w:w="144" w:type="dxa"/>
            </w:tcMar>
            <w:hideMark/>
          </w:tcPr>
          <w:p w14:paraId="295427B7" w14:textId="77777777" w:rsidR="00256EC3" w:rsidRPr="006E77E1" w:rsidRDefault="00256EC3" w:rsidP="00652479">
            <w:pPr>
              <w:spacing w:after="0" w:line="240" w:lineRule="auto"/>
              <w:rPr>
                <w:rFonts w:ascii="Futura Std Condensed Light" w:eastAsia="Calibri" w:hAnsi="Futura Std Condensed Light" w:cs="Calibri"/>
                <w:sz w:val="18"/>
                <w:szCs w:val="18"/>
              </w:rPr>
            </w:pPr>
            <w:r w:rsidRPr="006E77E1">
              <w:rPr>
                <w:rFonts w:ascii="Futura Std Condensed Light" w:eastAsia="Calibri" w:hAnsi="Futura Std Condensed Light" w:cs="Calibri"/>
                <w:sz w:val="18"/>
                <w:szCs w:val="18"/>
              </w:rPr>
              <w:t>Fuente:</w:t>
            </w:r>
          </w:p>
        </w:tc>
        <w:tc>
          <w:tcPr>
            <w:tcW w:w="4048" w:type="pct"/>
            <w:shd w:val="clear" w:color="auto" w:fill="FFFFFF" w:themeFill="background1"/>
            <w:tcMar>
              <w:top w:w="72" w:type="dxa"/>
              <w:left w:w="144" w:type="dxa"/>
              <w:bottom w:w="72" w:type="dxa"/>
              <w:right w:w="144" w:type="dxa"/>
            </w:tcMar>
            <w:hideMark/>
          </w:tcPr>
          <w:p w14:paraId="1C8454ED" w14:textId="77777777" w:rsidR="00256EC3" w:rsidRPr="006E77E1" w:rsidRDefault="00256EC3" w:rsidP="00652479">
            <w:pPr>
              <w:spacing w:after="0" w:line="240" w:lineRule="auto"/>
              <w:rPr>
                <w:rFonts w:ascii="Futura Std Condensed Light" w:eastAsia="Calibri" w:hAnsi="Futura Std Condensed Light" w:cs="Calibri"/>
                <w:sz w:val="18"/>
                <w:szCs w:val="18"/>
              </w:rPr>
            </w:pPr>
            <w:r w:rsidRPr="006E77E1">
              <w:rPr>
                <w:rFonts w:ascii="Futura Std Condensed Light" w:eastAsia="Calibri" w:hAnsi="Futura Std Condensed Light" w:cs="Calibri"/>
                <w:sz w:val="18"/>
                <w:szCs w:val="18"/>
              </w:rPr>
              <w:t>Sistema de Control Escolar de Educación Básica SICEB, Secretaría de Educación de Quintana Roo, SEQ.</w:t>
            </w:r>
          </w:p>
        </w:tc>
      </w:tr>
      <w:tr w:rsidR="00256EC3" w:rsidRPr="006E77E1" w14:paraId="652DF7CB" w14:textId="77777777" w:rsidTr="00652479">
        <w:trPr>
          <w:trHeight w:val="283"/>
        </w:trPr>
        <w:tc>
          <w:tcPr>
            <w:tcW w:w="952" w:type="pct"/>
            <w:shd w:val="clear" w:color="auto" w:fill="FFFFFF" w:themeFill="background1"/>
            <w:tcMar>
              <w:top w:w="72" w:type="dxa"/>
              <w:left w:w="144" w:type="dxa"/>
              <w:bottom w:w="72" w:type="dxa"/>
              <w:right w:w="144" w:type="dxa"/>
            </w:tcMar>
            <w:hideMark/>
          </w:tcPr>
          <w:p w14:paraId="656A4BB1" w14:textId="77777777" w:rsidR="00256EC3" w:rsidRPr="006E77E1" w:rsidRDefault="00256EC3" w:rsidP="00652479">
            <w:pPr>
              <w:spacing w:after="0" w:line="240" w:lineRule="auto"/>
              <w:rPr>
                <w:rFonts w:ascii="Futura Std Condensed Light" w:eastAsia="Calibri" w:hAnsi="Futura Std Condensed Light" w:cs="Calibri"/>
                <w:sz w:val="18"/>
                <w:szCs w:val="18"/>
              </w:rPr>
            </w:pPr>
            <w:r w:rsidRPr="006E77E1">
              <w:rPr>
                <w:rFonts w:ascii="Futura Std Condensed Light" w:eastAsia="Calibri" w:hAnsi="Futura Std Condensed Light" w:cs="Calibri"/>
                <w:sz w:val="18"/>
                <w:szCs w:val="18"/>
              </w:rPr>
              <w:t>Dimensión:</w:t>
            </w:r>
          </w:p>
        </w:tc>
        <w:tc>
          <w:tcPr>
            <w:tcW w:w="4048" w:type="pct"/>
            <w:shd w:val="clear" w:color="auto" w:fill="FFFFFF" w:themeFill="background1"/>
            <w:tcMar>
              <w:top w:w="72" w:type="dxa"/>
              <w:left w:w="144" w:type="dxa"/>
              <w:bottom w:w="72" w:type="dxa"/>
              <w:right w:w="144" w:type="dxa"/>
            </w:tcMar>
            <w:hideMark/>
          </w:tcPr>
          <w:p w14:paraId="39E6C55B" w14:textId="77777777" w:rsidR="00256EC3" w:rsidRPr="006E77E1" w:rsidRDefault="00256EC3" w:rsidP="00652479">
            <w:pPr>
              <w:spacing w:after="0" w:line="240" w:lineRule="auto"/>
              <w:rPr>
                <w:rFonts w:ascii="Futura Std Condensed Light" w:eastAsia="Calibri" w:hAnsi="Futura Std Condensed Light" w:cs="Calibri"/>
                <w:sz w:val="18"/>
                <w:szCs w:val="18"/>
              </w:rPr>
            </w:pPr>
            <w:r w:rsidRPr="006E77E1">
              <w:rPr>
                <w:rFonts w:ascii="Futura Std Condensed Light" w:eastAsia="Calibri" w:hAnsi="Futura Std Condensed Light" w:cs="Calibri"/>
                <w:sz w:val="18"/>
                <w:szCs w:val="18"/>
              </w:rPr>
              <w:t>Eficiencia.</w:t>
            </w:r>
          </w:p>
        </w:tc>
      </w:tr>
      <w:tr w:rsidR="00256EC3" w:rsidRPr="006E77E1" w14:paraId="3A90C547" w14:textId="77777777" w:rsidTr="00652479">
        <w:trPr>
          <w:trHeight w:val="283"/>
        </w:trPr>
        <w:tc>
          <w:tcPr>
            <w:tcW w:w="952" w:type="pct"/>
            <w:shd w:val="clear" w:color="auto" w:fill="FFFFFF" w:themeFill="background1"/>
            <w:tcMar>
              <w:top w:w="72" w:type="dxa"/>
              <w:left w:w="144" w:type="dxa"/>
              <w:bottom w:w="72" w:type="dxa"/>
              <w:right w:w="144" w:type="dxa"/>
            </w:tcMar>
            <w:hideMark/>
          </w:tcPr>
          <w:p w14:paraId="2F880861" w14:textId="77777777" w:rsidR="00256EC3" w:rsidRPr="006E77E1" w:rsidRDefault="00256EC3" w:rsidP="00652479">
            <w:pPr>
              <w:spacing w:after="0" w:line="240" w:lineRule="auto"/>
              <w:rPr>
                <w:rFonts w:ascii="Futura Std Condensed Light" w:eastAsia="Calibri" w:hAnsi="Futura Std Condensed Light" w:cs="Calibri"/>
                <w:sz w:val="18"/>
                <w:szCs w:val="18"/>
              </w:rPr>
            </w:pPr>
            <w:r w:rsidRPr="006E77E1">
              <w:rPr>
                <w:rFonts w:ascii="Futura Std Condensed Light" w:eastAsia="Calibri" w:hAnsi="Futura Std Condensed Light" w:cs="Calibri"/>
                <w:sz w:val="18"/>
                <w:szCs w:val="18"/>
              </w:rPr>
              <w:t>Referencias adicionales:</w:t>
            </w:r>
          </w:p>
        </w:tc>
        <w:tc>
          <w:tcPr>
            <w:tcW w:w="4048" w:type="pct"/>
            <w:shd w:val="clear" w:color="auto" w:fill="FFFFFF" w:themeFill="background1"/>
            <w:tcMar>
              <w:top w:w="72" w:type="dxa"/>
              <w:left w:w="144" w:type="dxa"/>
              <w:bottom w:w="72" w:type="dxa"/>
              <w:right w:w="144" w:type="dxa"/>
            </w:tcMar>
            <w:hideMark/>
          </w:tcPr>
          <w:p w14:paraId="10B63EB8" w14:textId="77777777" w:rsidR="00256EC3" w:rsidRPr="006E77E1" w:rsidRDefault="00256EC3" w:rsidP="00652479">
            <w:pPr>
              <w:spacing w:after="0" w:line="240" w:lineRule="auto"/>
              <w:rPr>
                <w:rFonts w:ascii="Futura Std Condensed Light" w:eastAsia="Calibri" w:hAnsi="Futura Std Condensed Light" w:cs="Calibri"/>
                <w:sz w:val="18"/>
                <w:szCs w:val="18"/>
              </w:rPr>
            </w:pPr>
          </w:p>
        </w:tc>
      </w:tr>
    </w:tbl>
    <w:p w14:paraId="19F73F72" w14:textId="77777777" w:rsidR="002B38A6" w:rsidRDefault="002B38A6" w:rsidP="0088224E">
      <w:pPr>
        <w:spacing w:before="200"/>
        <w:rPr>
          <w:b/>
        </w:rPr>
      </w:pPr>
    </w:p>
    <w:p w14:paraId="4F70AEB2" w14:textId="77777777" w:rsidR="002B38A6" w:rsidRDefault="002B38A6">
      <w:pPr>
        <w:spacing w:after="0" w:line="240" w:lineRule="auto"/>
        <w:jc w:val="left"/>
        <w:rPr>
          <w:b/>
        </w:rPr>
      </w:pPr>
      <w:r>
        <w:rPr>
          <w:b/>
        </w:rPr>
        <w:br w:type="page"/>
      </w:r>
    </w:p>
    <w:p w14:paraId="5CFA0EE3" w14:textId="3D49B34F" w:rsidR="0088224E" w:rsidRDefault="0088224E" w:rsidP="0088224E">
      <w:pPr>
        <w:spacing w:before="200"/>
      </w:pPr>
      <w:r w:rsidRPr="002A329C">
        <w:rPr>
          <w:b/>
        </w:rPr>
        <w:lastRenderedPageBreak/>
        <w:t>Estrategia 1.</w:t>
      </w:r>
      <w:r w:rsidRPr="00AE7152">
        <w:t xml:space="preserve"> Impulsar los modelos educativos y procesos pedagógicos centrados en el aprendizaje de los alumnos con propuestas didácticas innovadoras, actividades físicas, horarios ampliados y la utilización de materiales didácticos, para enfatizar el desarrollo de competencias asociadas al lenguaje, la comunicación y el pensamiento matemático, en un marco de inclusión y equidad.</w:t>
      </w:r>
    </w:p>
    <w:tbl>
      <w:tblPr>
        <w:tblW w:w="49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20" w:firstRow="1" w:lastRow="0" w:firstColumn="0" w:lastColumn="0" w:noHBand="0" w:noVBand="1"/>
      </w:tblPr>
      <w:tblGrid>
        <w:gridCol w:w="1809"/>
        <w:gridCol w:w="7684"/>
      </w:tblGrid>
      <w:tr w:rsidR="00B84F7E" w:rsidRPr="00B84F7E" w14:paraId="0F41C3FF" w14:textId="77777777" w:rsidTr="00B84F7E">
        <w:trPr>
          <w:trHeight w:val="283"/>
          <w:jc w:val="center"/>
        </w:trPr>
        <w:tc>
          <w:tcPr>
            <w:tcW w:w="953" w:type="pct"/>
            <w:shd w:val="clear" w:color="auto" w:fill="BFBFBF" w:themeFill="background1" w:themeFillShade="BF"/>
            <w:tcMar>
              <w:top w:w="72" w:type="dxa"/>
              <w:left w:w="144" w:type="dxa"/>
              <w:bottom w:w="72" w:type="dxa"/>
              <w:right w:w="144" w:type="dxa"/>
            </w:tcMar>
            <w:hideMark/>
          </w:tcPr>
          <w:p w14:paraId="51CFA625" w14:textId="77777777" w:rsidR="00B84F7E" w:rsidRPr="00B84F7E" w:rsidRDefault="00B84F7E" w:rsidP="00177600">
            <w:pPr>
              <w:spacing w:after="0" w:line="240" w:lineRule="auto"/>
              <w:rPr>
                <w:rFonts w:ascii="Futura Std Condensed Light" w:eastAsia="Calibri" w:hAnsi="Futura Std Condensed Light" w:cs="Calibri"/>
                <w:sz w:val="18"/>
                <w:szCs w:val="18"/>
              </w:rPr>
            </w:pPr>
            <w:r w:rsidRPr="00B84F7E">
              <w:rPr>
                <w:rFonts w:ascii="Futura Std Condensed Light" w:eastAsia="Calibri" w:hAnsi="Futura Std Condensed Light" w:cs="Calibri"/>
                <w:sz w:val="18"/>
                <w:szCs w:val="18"/>
              </w:rPr>
              <w:t>Elemento</w:t>
            </w:r>
          </w:p>
        </w:tc>
        <w:tc>
          <w:tcPr>
            <w:tcW w:w="4047" w:type="pct"/>
            <w:shd w:val="clear" w:color="auto" w:fill="BFBFBF" w:themeFill="background1" w:themeFillShade="BF"/>
            <w:tcMar>
              <w:top w:w="72" w:type="dxa"/>
              <w:left w:w="144" w:type="dxa"/>
              <w:bottom w:w="72" w:type="dxa"/>
              <w:right w:w="144" w:type="dxa"/>
            </w:tcMar>
            <w:hideMark/>
          </w:tcPr>
          <w:p w14:paraId="2625B29C" w14:textId="77777777" w:rsidR="00B84F7E" w:rsidRPr="00B84F7E" w:rsidRDefault="00B84F7E" w:rsidP="00177600">
            <w:pPr>
              <w:spacing w:after="0" w:line="240" w:lineRule="auto"/>
              <w:rPr>
                <w:rFonts w:ascii="Futura Std Condensed Light" w:eastAsia="Calibri" w:hAnsi="Futura Std Condensed Light" w:cs="Calibri"/>
                <w:sz w:val="18"/>
                <w:szCs w:val="18"/>
              </w:rPr>
            </w:pPr>
            <w:r w:rsidRPr="00B84F7E">
              <w:rPr>
                <w:rFonts w:ascii="Futura Std Condensed Light" w:eastAsia="Calibri" w:hAnsi="Futura Std Condensed Light" w:cs="Calibri"/>
                <w:sz w:val="18"/>
                <w:szCs w:val="18"/>
              </w:rPr>
              <w:t>Características</w:t>
            </w:r>
          </w:p>
        </w:tc>
      </w:tr>
      <w:tr w:rsidR="00B84F7E" w:rsidRPr="00B84F7E" w14:paraId="0196122A" w14:textId="77777777" w:rsidTr="00B84F7E">
        <w:trPr>
          <w:trHeight w:val="283"/>
          <w:jc w:val="center"/>
        </w:trPr>
        <w:tc>
          <w:tcPr>
            <w:tcW w:w="953" w:type="pct"/>
            <w:shd w:val="clear" w:color="auto" w:fill="FFFFFF" w:themeFill="background1"/>
            <w:tcMar>
              <w:top w:w="72" w:type="dxa"/>
              <w:left w:w="144" w:type="dxa"/>
              <w:bottom w:w="72" w:type="dxa"/>
              <w:right w:w="144" w:type="dxa"/>
            </w:tcMar>
            <w:hideMark/>
          </w:tcPr>
          <w:p w14:paraId="6908BF63" w14:textId="77777777" w:rsidR="00B84F7E" w:rsidRPr="00B84F7E" w:rsidRDefault="00B84F7E" w:rsidP="00177600">
            <w:pPr>
              <w:spacing w:after="0" w:line="240" w:lineRule="auto"/>
              <w:rPr>
                <w:rFonts w:ascii="Futura Std Condensed Light" w:eastAsia="Calibri" w:hAnsi="Futura Std Condensed Light" w:cs="Calibri"/>
                <w:sz w:val="18"/>
                <w:szCs w:val="18"/>
              </w:rPr>
            </w:pPr>
            <w:r w:rsidRPr="00B84F7E">
              <w:rPr>
                <w:rFonts w:ascii="Futura Std Condensed Light" w:eastAsia="Calibri" w:hAnsi="Futura Std Condensed Light" w:cs="Calibri"/>
                <w:sz w:val="18"/>
                <w:szCs w:val="18"/>
              </w:rPr>
              <w:t>Indicador:</w:t>
            </w:r>
          </w:p>
        </w:tc>
        <w:tc>
          <w:tcPr>
            <w:tcW w:w="4047" w:type="pct"/>
            <w:shd w:val="clear" w:color="auto" w:fill="FFFFFF" w:themeFill="background1"/>
            <w:tcMar>
              <w:top w:w="72" w:type="dxa"/>
              <w:left w:w="144" w:type="dxa"/>
              <w:bottom w:w="72" w:type="dxa"/>
              <w:right w:w="144" w:type="dxa"/>
            </w:tcMar>
          </w:tcPr>
          <w:p w14:paraId="0FA32A2F" w14:textId="77777777" w:rsidR="00B84F7E" w:rsidRPr="00B84F7E" w:rsidRDefault="00B84F7E" w:rsidP="00177600">
            <w:pPr>
              <w:spacing w:after="0" w:line="240" w:lineRule="auto"/>
              <w:rPr>
                <w:rFonts w:ascii="Futura Std Condensed Light" w:eastAsia="Calibri" w:hAnsi="Futura Std Condensed Light" w:cs="Calibri"/>
                <w:sz w:val="18"/>
                <w:szCs w:val="18"/>
              </w:rPr>
            </w:pPr>
            <w:r w:rsidRPr="00B84F7E">
              <w:rPr>
                <w:rFonts w:ascii="Futura Std Condensed Light" w:eastAsia="Calibri" w:hAnsi="Futura Std Condensed Light" w:cs="Calibri"/>
                <w:sz w:val="18"/>
                <w:szCs w:val="18"/>
              </w:rPr>
              <w:t>Tasa de aprobación de educación secundaria</w:t>
            </w:r>
          </w:p>
        </w:tc>
      </w:tr>
      <w:tr w:rsidR="00E36AE0" w:rsidRPr="00B84F7E" w14:paraId="25CE118C" w14:textId="77777777" w:rsidTr="00177600">
        <w:trPr>
          <w:trHeight w:val="283"/>
          <w:jc w:val="center"/>
        </w:trPr>
        <w:tc>
          <w:tcPr>
            <w:tcW w:w="953" w:type="pct"/>
            <w:shd w:val="clear" w:color="auto" w:fill="FFFFFF" w:themeFill="background1"/>
            <w:tcMar>
              <w:top w:w="72" w:type="dxa"/>
              <w:left w:w="144" w:type="dxa"/>
              <w:bottom w:w="72" w:type="dxa"/>
              <w:right w:w="144" w:type="dxa"/>
            </w:tcMar>
          </w:tcPr>
          <w:p w14:paraId="75437480" w14:textId="5F10E8B2" w:rsidR="00E36AE0" w:rsidRPr="00B84F7E" w:rsidRDefault="00E36AE0" w:rsidP="00E36AE0">
            <w:pPr>
              <w:spacing w:after="0" w:line="240" w:lineRule="auto"/>
              <w:rPr>
                <w:rFonts w:ascii="Futura Std Condensed Light" w:eastAsia="Calibri" w:hAnsi="Futura Std Condensed Light" w:cs="Calibri"/>
                <w:sz w:val="18"/>
                <w:szCs w:val="18"/>
              </w:rPr>
            </w:pPr>
            <w:r>
              <w:rPr>
                <w:rFonts w:ascii="Futura Std Condensed Light" w:eastAsia="Calibri" w:hAnsi="Futura Std Condensed Light" w:cs="Calibri"/>
                <w:sz w:val="18"/>
                <w:szCs w:val="18"/>
              </w:rPr>
              <w:t xml:space="preserve">Estrategia 1: </w:t>
            </w:r>
          </w:p>
        </w:tc>
        <w:tc>
          <w:tcPr>
            <w:tcW w:w="4047" w:type="pct"/>
            <w:shd w:val="clear" w:color="auto" w:fill="FFFFFF" w:themeFill="background1"/>
            <w:tcMar>
              <w:top w:w="72" w:type="dxa"/>
              <w:left w:w="144" w:type="dxa"/>
              <w:bottom w:w="72" w:type="dxa"/>
              <w:right w:w="144" w:type="dxa"/>
            </w:tcMar>
            <w:vAlign w:val="center"/>
          </w:tcPr>
          <w:p w14:paraId="37D948E4" w14:textId="4174E2E7" w:rsidR="00E36AE0" w:rsidRPr="00B84F7E" w:rsidRDefault="00E36AE0" w:rsidP="00E36AE0">
            <w:pPr>
              <w:spacing w:after="0" w:line="240" w:lineRule="auto"/>
              <w:rPr>
                <w:rFonts w:ascii="Futura Std Condensed Light" w:eastAsia="Calibri" w:hAnsi="Futura Std Condensed Light" w:cs="Calibri"/>
                <w:sz w:val="18"/>
                <w:szCs w:val="18"/>
              </w:rPr>
            </w:pPr>
            <w:r w:rsidRPr="000D1A50">
              <w:rPr>
                <w:rFonts w:ascii="Futura Std Condensed Light" w:eastAsia="Calibri" w:hAnsi="Futura Std Condensed Light" w:cs="Calibri"/>
                <w:sz w:val="18"/>
                <w:szCs w:val="20"/>
              </w:rPr>
              <w:t xml:space="preserve"> Impulsar los modelos educativos y procesos pedagógicos centrados en el aprendizaje de los alumnos con propuestas didácticas innovadoras, actividades físicas, horarios ampliados y la utilización de materiales didácticos, para enfatizar el desarrollo de competencias asociadas al lenguaje, la comunicación y el pensamiento matemático en un marco de inclusión y equidad. </w:t>
            </w:r>
          </w:p>
        </w:tc>
      </w:tr>
      <w:tr w:rsidR="00E36AE0" w:rsidRPr="00B84F7E" w14:paraId="5121499D" w14:textId="77777777" w:rsidTr="00B84F7E">
        <w:trPr>
          <w:trHeight w:val="283"/>
          <w:jc w:val="center"/>
        </w:trPr>
        <w:tc>
          <w:tcPr>
            <w:tcW w:w="953" w:type="pct"/>
            <w:shd w:val="clear" w:color="auto" w:fill="FFFFFF" w:themeFill="background1"/>
            <w:tcMar>
              <w:top w:w="72" w:type="dxa"/>
              <w:left w:w="144" w:type="dxa"/>
              <w:bottom w:w="72" w:type="dxa"/>
              <w:right w:w="144" w:type="dxa"/>
            </w:tcMar>
            <w:hideMark/>
          </w:tcPr>
          <w:p w14:paraId="6D83DC9B" w14:textId="77777777" w:rsidR="00E36AE0" w:rsidRPr="00B84F7E" w:rsidRDefault="00E36AE0" w:rsidP="00E36AE0">
            <w:pPr>
              <w:spacing w:after="0" w:line="240" w:lineRule="auto"/>
              <w:rPr>
                <w:rFonts w:ascii="Futura Std Condensed Light" w:eastAsia="Calibri" w:hAnsi="Futura Std Condensed Light" w:cs="Calibri"/>
                <w:sz w:val="18"/>
                <w:szCs w:val="18"/>
              </w:rPr>
            </w:pPr>
            <w:r w:rsidRPr="00B84F7E">
              <w:rPr>
                <w:rFonts w:ascii="Futura Std Condensed Light" w:eastAsia="Calibri" w:hAnsi="Futura Std Condensed Light" w:cs="Calibri"/>
                <w:sz w:val="18"/>
                <w:szCs w:val="18"/>
              </w:rPr>
              <w:t>Descripción:</w:t>
            </w:r>
          </w:p>
        </w:tc>
        <w:tc>
          <w:tcPr>
            <w:tcW w:w="4047" w:type="pct"/>
            <w:shd w:val="clear" w:color="auto" w:fill="FFFFFF" w:themeFill="background1"/>
            <w:tcMar>
              <w:top w:w="72" w:type="dxa"/>
              <w:left w:w="144" w:type="dxa"/>
              <w:bottom w:w="72" w:type="dxa"/>
              <w:right w:w="144" w:type="dxa"/>
            </w:tcMar>
          </w:tcPr>
          <w:p w14:paraId="76B321B6" w14:textId="77777777" w:rsidR="00E36AE0" w:rsidRPr="00B84F7E" w:rsidRDefault="00E36AE0" w:rsidP="00E36AE0">
            <w:pPr>
              <w:spacing w:after="0" w:line="240" w:lineRule="auto"/>
              <w:rPr>
                <w:rFonts w:ascii="Futura Std Condensed Light" w:eastAsia="Calibri" w:hAnsi="Futura Std Condensed Light" w:cs="Calibri"/>
                <w:sz w:val="18"/>
                <w:szCs w:val="18"/>
              </w:rPr>
            </w:pPr>
            <w:r w:rsidRPr="00B84F7E">
              <w:rPr>
                <w:rFonts w:ascii="Futura Std Condensed Light" w:eastAsia="Calibri" w:hAnsi="Futura Std Condensed Light" w:cs="Calibri"/>
                <w:sz w:val="18"/>
                <w:szCs w:val="18"/>
              </w:rPr>
              <w:t>Este indicador muestra el porcentaje de alumnos aprobados en educación secundaria, respecto al total de alumnos de educación secundaria matriculados al final del ciclo escolar.</w:t>
            </w:r>
          </w:p>
        </w:tc>
      </w:tr>
      <w:tr w:rsidR="00E36AE0" w:rsidRPr="00B84F7E" w14:paraId="40525720" w14:textId="77777777" w:rsidTr="00B84F7E">
        <w:trPr>
          <w:trHeight w:val="283"/>
          <w:jc w:val="center"/>
        </w:trPr>
        <w:tc>
          <w:tcPr>
            <w:tcW w:w="953" w:type="pct"/>
            <w:shd w:val="clear" w:color="auto" w:fill="FFFFFF" w:themeFill="background1"/>
            <w:tcMar>
              <w:top w:w="72" w:type="dxa"/>
              <w:left w:w="144" w:type="dxa"/>
              <w:bottom w:w="72" w:type="dxa"/>
              <w:right w:w="144" w:type="dxa"/>
            </w:tcMar>
            <w:hideMark/>
          </w:tcPr>
          <w:p w14:paraId="0511E7AD" w14:textId="77777777" w:rsidR="00E36AE0" w:rsidRPr="00B84F7E" w:rsidRDefault="00E36AE0" w:rsidP="00E36AE0">
            <w:pPr>
              <w:spacing w:after="0" w:line="240" w:lineRule="auto"/>
              <w:rPr>
                <w:rFonts w:ascii="Futura Std Condensed Light" w:eastAsia="Calibri" w:hAnsi="Futura Std Condensed Light" w:cs="Calibri"/>
                <w:sz w:val="18"/>
                <w:szCs w:val="18"/>
              </w:rPr>
            </w:pPr>
            <w:r w:rsidRPr="00B84F7E">
              <w:rPr>
                <w:rFonts w:ascii="Futura Std Condensed Light" w:eastAsia="Calibri" w:hAnsi="Futura Std Condensed Light" w:cs="Calibri"/>
                <w:sz w:val="18"/>
                <w:szCs w:val="18"/>
              </w:rPr>
              <w:t>Método de cálculo:</w:t>
            </w:r>
          </w:p>
        </w:tc>
        <w:tc>
          <w:tcPr>
            <w:tcW w:w="4047" w:type="pct"/>
            <w:shd w:val="clear" w:color="auto" w:fill="FFFFFF" w:themeFill="background1"/>
            <w:tcMar>
              <w:top w:w="72" w:type="dxa"/>
              <w:left w:w="144" w:type="dxa"/>
              <w:bottom w:w="72" w:type="dxa"/>
              <w:right w:w="144" w:type="dxa"/>
            </w:tcMar>
          </w:tcPr>
          <w:p w14:paraId="1AF190F2" w14:textId="77777777" w:rsidR="00E36AE0" w:rsidRPr="00B84F7E" w:rsidRDefault="00E36AE0" w:rsidP="00E36AE0">
            <w:pPr>
              <w:spacing w:after="0" w:line="240" w:lineRule="auto"/>
              <w:rPr>
                <w:rFonts w:ascii="Futura Std Condensed Light" w:eastAsia="Calibri" w:hAnsi="Futura Std Condensed Light" w:cs="Calibri"/>
                <w:sz w:val="18"/>
                <w:szCs w:val="18"/>
              </w:rPr>
            </w:pPr>
            <w:r w:rsidRPr="00B84F7E">
              <w:rPr>
                <w:rFonts w:ascii="Futura Std Condensed Light" w:eastAsia="Calibri" w:hAnsi="Futura Std Condensed Light" w:cs="Calibri"/>
                <w:sz w:val="18"/>
                <w:szCs w:val="18"/>
              </w:rPr>
              <w:t>(Número de alumnos aprobados (incluye regularizados) en educación secundaria en el ciclo escolar t / Total de alumnos de educación secundaria matriculados al final del ciclo escolar t) X 100</w:t>
            </w:r>
          </w:p>
        </w:tc>
      </w:tr>
      <w:tr w:rsidR="00E36AE0" w:rsidRPr="00B84F7E" w14:paraId="1B948B23" w14:textId="77777777" w:rsidTr="00B84F7E">
        <w:trPr>
          <w:trHeight w:val="283"/>
          <w:jc w:val="center"/>
        </w:trPr>
        <w:tc>
          <w:tcPr>
            <w:tcW w:w="953" w:type="pct"/>
            <w:shd w:val="clear" w:color="auto" w:fill="FFFFFF" w:themeFill="background1"/>
            <w:tcMar>
              <w:top w:w="72" w:type="dxa"/>
              <w:left w:w="144" w:type="dxa"/>
              <w:bottom w:w="72" w:type="dxa"/>
              <w:right w:w="144" w:type="dxa"/>
            </w:tcMar>
            <w:hideMark/>
          </w:tcPr>
          <w:p w14:paraId="31E53DD8" w14:textId="77777777" w:rsidR="00E36AE0" w:rsidRPr="00B84F7E" w:rsidRDefault="00E36AE0" w:rsidP="00E36AE0">
            <w:pPr>
              <w:spacing w:after="0" w:line="240" w:lineRule="auto"/>
              <w:rPr>
                <w:rFonts w:ascii="Futura Std Condensed Light" w:eastAsia="Calibri" w:hAnsi="Futura Std Condensed Light" w:cs="Calibri"/>
                <w:sz w:val="18"/>
                <w:szCs w:val="18"/>
              </w:rPr>
            </w:pPr>
            <w:r w:rsidRPr="00B84F7E">
              <w:rPr>
                <w:rFonts w:ascii="Futura Std Condensed Light" w:eastAsia="Calibri" w:hAnsi="Futura Std Condensed Light" w:cs="Calibri"/>
                <w:sz w:val="18"/>
                <w:szCs w:val="18"/>
              </w:rPr>
              <w:t>Periodicidad:</w:t>
            </w:r>
          </w:p>
        </w:tc>
        <w:tc>
          <w:tcPr>
            <w:tcW w:w="4047" w:type="pct"/>
            <w:shd w:val="clear" w:color="auto" w:fill="FFFFFF" w:themeFill="background1"/>
            <w:tcMar>
              <w:top w:w="72" w:type="dxa"/>
              <w:left w:w="144" w:type="dxa"/>
              <w:bottom w:w="72" w:type="dxa"/>
              <w:right w:w="144" w:type="dxa"/>
            </w:tcMar>
          </w:tcPr>
          <w:p w14:paraId="42824B6E" w14:textId="77777777" w:rsidR="00E36AE0" w:rsidRPr="00B84F7E" w:rsidRDefault="00E36AE0" w:rsidP="00E36AE0">
            <w:pPr>
              <w:spacing w:after="0" w:line="240" w:lineRule="auto"/>
              <w:rPr>
                <w:rFonts w:ascii="Futura Std Condensed Light" w:eastAsia="Calibri" w:hAnsi="Futura Std Condensed Light" w:cs="Calibri"/>
                <w:sz w:val="18"/>
                <w:szCs w:val="18"/>
              </w:rPr>
            </w:pPr>
            <w:r w:rsidRPr="00B84F7E">
              <w:rPr>
                <w:rFonts w:ascii="Futura Std Condensed Light" w:eastAsia="Calibri" w:hAnsi="Futura Std Condensed Light" w:cs="Calibri"/>
                <w:sz w:val="18"/>
                <w:szCs w:val="18"/>
              </w:rPr>
              <w:t>Anual</w:t>
            </w:r>
          </w:p>
        </w:tc>
      </w:tr>
      <w:tr w:rsidR="00E36AE0" w:rsidRPr="00B84F7E" w14:paraId="0BD6E173" w14:textId="77777777" w:rsidTr="00B84F7E">
        <w:trPr>
          <w:trHeight w:val="283"/>
          <w:jc w:val="center"/>
        </w:trPr>
        <w:tc>
          <w:tcPr>
            <w:tcW w:w="953" w:type="pct"/>
            <w:shd w:val="clear" w:color="auto" w:fill="FFFFFF" w:themeFill="background1"/>
            <w:tcMar>
              <w:top w:w="72" w:type="dxa"/>
              <w:left w:w="144" w:type="dxa"/>
              <w:bottom w:w="72" w:type="dxa"/>
              <w:right w:w="144" w:type="dxa"/>
            </w:tcMar>
            <w:hideMark/>
          </w:tcPr>
          <w:p w14:paraId="2CAA7ED4" w14:textId="77777777" w:rsidR="00E36AE0" w:rsidRPr="00B84F7E" w:rsidRDefault="00E36AE0" w:rsidP="00E36AE0">
            <w:pPr>
              <w:spacing w:after="0" w:line="240" w:lineRule="auto"/>
              <w:rPr>
                <w:rFonts w:ascii="Futura Std Condensed Light" w:eastAsia="Calibri" w:hAnsi="Futura Std Condensed Light" w:cs="Calibri"/>
                <w:sz w:val="18"/>
                <w:szCs w:val="18"/>
              </w:rPr>
            </w:pPr>
            <w:r w:rsidRPr="00B84F7E">
              <w:rPr>
                <w:rFonts w:ascii="Futura Std Condensed Light" w:eastAsia="Calibri" w:hAnsi="Futura Std Condensed Light" w:cs="Calibri"/>
                <w:sz w:val="18"/>
                <w:szCs w:val="18"/>
              </w:rPr>
              <w:t>Fuente:</w:t>
            </w:r>
          </w:p>
        </w:tc>
        <w:tc>
          <w:tcPr>
            <w:tcW w:w="4047" w:type="pct"/>
            <w:shd w:val="clear" w:color="auto" w:fill="FFFFFF" w:themeFill="background1"/>
            <w:tcMar>
              <w:top w:w="72" w:type="dxa"/>
              <w:left w:w="144" w:type="dxa"/>
              <w:bottom w:w="72" w:type="dxa"/>
              <w:right w:w="144" w:type="dxa"/>
            </w:tcMar>
          </w:tcPr>
          <w:p w14:paraId="23D05EF0" w14:textId="77777777" w:rsidR="00E36AE0" w:rsidRPr="00B84F7E" w:rsidRDefault="00E36AE0" w:rsidP="00E36AE0">
            <w:pPr>
              <w:spacing w:after="0" w:line="240" w:lineRule="auto"/>
              <w:rPr>
                <w:rFonts w:ascii="Futura Std Condensed Light" w:eastAsia="Calibri" w:hAnsi="Futura Std Condensed Light" w:cs="Calibri"/>
                <w:sz w:val="18"/>
                <w:szCs w:val="18"/>
              </w:rPr>
            </w:pPr>
            <w:r w:rsidRPr="00B84F7E">
              <w:rPr>
                <w:rFonts w:ascii="Futura Std Condensed Light" w:eastAsia="Calibri" w:hAnsi="Futura Std Condensed Light" w:cs="Calibri"/>
                <w:sz w:val="18"/>
                <w:szCs w:val="18"/>
              </w:rPr>
              <w:t>Estadísticas continúas del formato 911 (inicio y fin de ciclo escolar), SEQ.</w:t>
            </w:r>
          </w:p>
        </w:tc>
      </w:tr>
      <w:tr w:rsidR="00E36AE0" w:rsidRPr="00B84F7E" w14:paraId="3B484C57" w14:textId="77777777" w:rsidTr="00B84F7E">
        <w:trPr>
          <w:trHeight w:val="283"/>
          <w:jc w:val="center"/>
        </w:trPr>
        <w:tc>
          <w:tcPr>
            <w:tcW w:w="953" w:type="pct"/>
            <w:shd w:val="clear" w:color="auto" w:fill="FFFFFF" w:themeFill="background1"/>
            <w:tcMar>
              <w:top w:w="72" w:type="dxa"/>
              <w:left w:w="144" w:type="dxa"/>
              <w:bottom w:w="72" w:type="dxa"/>
              <w:right w:w="144" w:type="dxa"/>
            </w:tcMar>
            <w:hideMark/>
          </w:tcPr>
          <w:p w14:paraId="4D93BE76" w14:textId="77777777" w:rsidR="00E36AE0" w:rsidRPr="00B84F7E" w:rsidRDefault="00E36AE0" w:rsidP="00E36AE0">
            <w:pPr>
              <w:spacing w:after="0" w:line="240" w:lineRule="auto"/>
              <w:rPr>
                <w:rFonts w:ascii="Futura Std Condensed Light" w:eastAsia="Calibri" w:hAnsi="Futura Std Condensed Light" w:cs="Calibri"/>
                <w:sz w:val="18"/>
                <w:szCs w:val="18"/>
              </w:rPr>
            </w:pPr>
            <w:r w:rsidRPr="00B84F7E">
              <w:rPr>
                <w:rFonts w:ascii="Futura Std Condensed Light" w:eastAsia="Calibri" w:hAnsi="Futura Std Condensed Light" w:cs="Calibri"/>
                <w:sz w:val="18"/>
                <w:szCs w:val="18"/>
              </w:rPr>
              <w:t>Dimensión:</w:t>
            </w:r>
          </w:p>
        </w:tc>
        <w:tc>
          <w:tcPr>
            <w:tcW w:w="4047" w:type="pct"/>
            <w:shd w:val="clear" w:color="auto" w:fill="FFFFFF" w:themeFill="background1"/>
            <w:tcMar>
              <w:top w:w="72" w:type="dxa"/>
              <w:left w:w="144" w:type="dxa"/>
              <w:bottom w:w="72" w:type="dxa"/>
              <w:right w:w="144" w:type="dxa"/>
            </w:tcMar>
          </w:tcPr>
          <w:p w14:paraId="37FE8BDC" w14:textId="0C69D9D3" w:rsidR="00E36AE0" w:rsidRPr="00B84F7E" w:rsidRDefault="00E36AE0" w:rsidP="00E36AE0">
            <w:pPr>
              <w:spacing w:after="0" w:line="240" w:lineRule="auto"/>
              <w:rPr>
                <w:rFonts w:ascii="Futura Std Condensed Light" w:eastAsia="Calibri" w:hAnsi="Futura Std Condensed Light" w:cs="Calibri"/>
                <w:sz w:val="18"/>
                <w:szCs w:val="18"/>
              </w:rPr>
            </w:pPr>
            <w:r>
              <w:rPr>
                <w:rFonts w:ascii="Futura Std Condensed Light" w:eastAsia="Calibri" w:hAnsi="Futura Std Condensed Light" w:cs="Calibri"/>
                <w:sz w:val="18"/>
                <w:szCs w:val="18"/>
              </w:rPr>
              <w:t>Eficacia</w:t>
            </w:r>
          </w:p>
        </w:tc>
      </w:tr>
      <w:tr w:rsidR="00E36AE0" w:rsidRPr="00B84F7E" w14:paraId="6FD1AB71" w14:textId="77777777" w:rsidTr="001906E0">
        <w:trPr>
          <w:trHeight w:val="105"/>
          <w:jc w:val="center"/>
        </w:trPr>
        <w:tc>
          <w:tcPr>
            <w:tcW w:w="953" w:type="pct"/>
            <w:shd w:val="clear" w:color="auto" w:fill="FFFFFF" w:themeFill="background1"/>
            <w:tcMar>
              <w:top w:w="72" w:type="dxa"/>
              <w:left w:w="144" w:type="dxa"/>
              <w:bottom w:w="72" w:type="dxa"/>
              <w:right w:w="144" w:type="dxa"/>
            </w:tcMar>
            <w:hideMark/>
          </w:tcPr>
          <w:p w14:paraId="5FA58224" w14:textId="77777777" w:rsidR="00E36AE0" w:rsidRPr="00B84F7E" w:rsidRDefault="00E36AE0" w:rsidP="00E36AE0">
            <w:pPr>
              <w:spacing w:after="0" w:line="240" w:lineRule="auto"/>
              <w:rPr>
                <w:rFonts w:ascii="Futura Std Condensed Light" w:eastAsia="Calibri" w:hAnsi="Futura Std Condensed Light" w:cs="Calibri"/>
                <w:sz w:val="18"/>
                <w:szCs w:val="18"/>
              </w:rPr>
            </w:pPr>
            <w:r w:rsidRPr="00B84F7E">
              <w:rPr>
                <w:rFonts w:ascii="Futura Std Condensed Light" w:eastAsia="Calibri" w:hAnsi="Futura Std Condensed Light" w:cs="Calibri"/>
                <w:sz w:val="18"/>
                <w:szCs w:val="18"/>
              </w:rPr>
              <w:t>Referencias adicionales:</w:t>
            </w:r>
          </w:p>
        </w:tc>
        <w:tc>
          <w:tcPr>
            <w:tcW w:w="4047" w:type="pct"/>
            <w:shd w:val="clear" w:color="auto" w:fill="FFFFFF" w:themeFill="background1"/>
            <w:tcMar>
              <w:top w:w="72" w:type="dxa"/>
              <w:left w:w="144" w:type="dxa"/>
              <w:bottom w:w="72" w:type="dxa"/>
              <w:right w:w="144" w:type="dxa"/>
            </w:tcMar>
            <w:hideMark/>
          </w:tcPr>
          <w:p w14:paraId="6B7E856E" w14:textId="77777777" w:rsidR="00E36AE0" w:rsidRPr="00B84F7E" w:rsidRDefault="00E36AE0" w:rsidP="00E36AE0">
            <w:pPr>
              <w:spacing w:after="0" w:line="240" w:lineRule="auto"/>
              <w:rPr>
                <w:rFonts w:ascii="Futura Std Condensed Light" w:eastAsia="Calibri" w:hAnsi="Futura Std Condensed Light" w:cs="Calibri"/>
                <w:sz w:val="18"/>
                <w:szCs w:val="18"/>
              </w:rPr>
            </w:pPr>
          </w:p>
        </w:tc>
      </w:tr>
    </w:tbl>
    <w:p w14:paraId="43378E4B" w14:textId="07693ABC" w:rsidR="0088224E" w:rsidRPr="00B84F7E" w:rsidRDefault="0088224E" w:rsidP="00256EC3">
      <w:pPr>
        <w:rPr>
          <w:rFonts w:ascii="Futura Std Condensed Light" w:eastAsia="Calibri" w:hAnsi="Futura Std Condensed Light" w:cs="Calibri"/>
          <w:sz w:val="18"/>
          <w:szCs w:val="18"/>
        </w:rPr>
      </w:pPr>
    </w:p>
    <w:p w14:paraId="420B53D7" w14:textId="77777777" w:rsidR="002B38A6" w:rsidRDefault="002B38A6">
      <w:pPr>
        <w:spacing w:after="0" w:line="240" w:lineRule="auto"/>
        <w:jc w:val="left"/>
        <w:rPr>
          <w:b/>
        </w:rPr>
      </w:pPr>
      <w:r>
        <w:rPr>
          <w:b/>
        </w:rPr>
        <w:br w:type="page"/>
      </w:r>
    </w:p>
    <w:p w14:paraId="2C15D89A" w14:textId="4B958490" w:rsidR="005C18EB" w:rsidRDefault="00C11F5C" w:rsidP="00C11F5C">
      <w:r>
        <w:rPr>
          <w:b/>
        </w:rPr>
        <w:lastRenderedPageBreak/>
        <w:t>Objetivo 2</w:t>
      </w:r>
      <w:r w:rsidRPr="00256EC3">
        <w:t>.</w:t>
      </w:r>
      <w:r w:rsidR="005C18EB" w:rsidRPr="005C18EB">
        <w:t xml:space="preserve"> </w:t>
      </w:r>
      <w:r w:rsidR="005C18EB">
        <w:t>Favorecer  la permanencia y el egreso de los estudiantes de educación básica</w:t>
      </w:r>
      <w:r w:rsidR="005C18EB" w:rsidRPr="004B39AE">
        <w:t xml:space="preserve"> </w:t>
      </w:r>
      <w:r w:rsidR="005C18EB">
        <w:t xml:space="preserve">en el Sistema Educativo Estatal </w:t>
      </w:r>
      <w:r w:rsidR="005C18EB" w:rsidRPr="004B39AE">
        <w:t xml:space="preserve"> media</w:t>
      </w:r>
      <w:r w:rsidR="005C18EB">
        <w:t xml:space="preserve">nte diversos apoyos compensatorios. </w:t>
      </w:r>
    </w:p>
    <w:tbl>
      <w:tblPr>
        <w:tblStyle w:val="TablaSectorial"/>
        <w:tblW w:w="4892" w:type="pct"/>
        <w:tblLook w:val="0420" w:firstRow="1" w:lastRow="0" w:firstColumn="0" w:lastColumn="0" w:noHBand="0" w:noVBand="1"/>
      </w:tblPr>
      <w:tblGrid>
        <w:gridCol w:w="1810"/>
        <w:gridCol w:w="7521"/>
      </w:tblGrid>
      <w:tr w:rsidR="005C18EB" w:rsidRPr="00E66538" w14:paraId="657EBB02" w14:textId="77777777" w:rsidTr="00B0642E">
        <w:trPr>
          <w:cnfStyle w:val="100000000000" w:firstRow="1" w:lastRow="0" w:firstColumn="0" w:lastColumn="0" w:oddVBand="0" w:evenVBand="0" w:oddHBand="0" w:evenHBand="0" w:firstRowFirstColumn="0" w:firstRowLastColumn="0" w:lastRowFirstColumn="0" w:lastRowLastColumn="0"/>
          <w:trHeight w:val="283"/>
        </w:trPr>
        <w:tc>
          <w:tcPr>
            <w:tcW w:w="970" w:type="pct"/>
            <w:hideMark/>
          </w:tcPr>
          <w:p w14:paraId="5D235260" w14:textId="77777777" w:rsidR="005C18EB" w:rsidRPr="00E66538" w:rsidRDefault="005C18EB" w:rsidP="00F13334">
            <w:pPr>
              <w:spacing w:after="0" w:line="240" w:lineRule="auto"/>
              <w:rPr>
                <w:rFonts w:ascii="Futura Std Condensed Light" w:eastAsia="Calibri" w:hAnsi="Futura Std Condensed Light" w:cs="Calibri"/>
                <w:b/>
                <w:sz w:val="18"/>
                <w:szCs w:val="18"/>
              </w:rPr>
            </w:pPr>
            <w:r w:rsidRPr="00E66538">
              <w:rPr>
                <w:rFonts w:ascii="Futura Std Condensed Light" w:eastAsia="Calibri" w:hAnsi="Futura Std Condensed Light" w:cs="Calibri"/>
                <w:b/>
                <w:sz w:val="18"/>
                <w:szCs w:val="18"/>
              </w:rPr>
              <w:t>Elemento</w:t>
            </w:r>
          </w:p>
        </w:tc>
        <w:tc>
          <w:tcPr>
            <w:tcW w:w="4030" w:type="pct"/>
            <w:hideMark/>
          </w:tcPr>
          <w:p w14:paraId="2F1C2330" w14:textId="77777777" w:rsidR="005C18EB" w:rsidRPr="00E66538" w:rsidRDefault="005C18EB" w:rsidP="00F13334">
            <w:pPr>
              <w:spacing w:after="0" w:line="240" w:lineRule="auto"/>
              <w:rPr>
                <w:rFonts w:ascii="Futura Std Condensed Light" w:eastAsia="Calibri" w:hAnsi="Futura Std Condensed Light" w:cs="Calibri"/>
                <w:b/>
                <w:sz w:val="18"/>
                <w:szCs w:val="18"/>
              </w:rPr>
            </w:pPr>
            <w:r w:rsidRPr="00E66538">
              <w:rPr>
                <w:rFonts w:ascii="Futura Std Condensed Light" w:eastAsia="Calibri" w:hAnsi="Futura Std Condensed Light" w:cs="Calibri"/>
                <w:b/>
                <w:sz w:val="18"/>
                <w:szCs w:val="18"/>
              </w:rPr>
              <w:t>Características</w:t>
            </w:r>
          </w:p>
        </w:tc>
      </w:tr>
      <w:tr w:rsidR="005C18EB" w:rsidRPr="00E66538" w14:paraId="0E091B52" w14:textId="77777777" w:rsidTr="00B0642E">
        <w:trPr>
          <w:trHeight w:val="283"/>
        </w:trPr>
        <w:tc>
          <w:tcPr>
            <w:tcW w:w="970" w:type="pct"/>
            <w:hideMark/>
          </w:tcPr>
          <w:p w14:paraId="49D91C02" w14:textId="77777777" w:rsidR="005C18EB" w:rsidRPr="00E66538" w:rsidRDefault="005C18EB" w:rsidP="00F13334">
            <w:pPr>
              <w:spacing w:after="0" w:line="240" w:lineRule="auto"/>
              <w:rPr>
                <w:rFonts w:ascii="Futura Std Condensed Light" w:eastAsia="Calibri" w:hAnsi="Futura Std Condensed Light" w:cs="Calibri"/>
                <w:sz w:val="18"/>
                <w:szCs w:val="18"/>
              </w:rPr>
            </w:pPr>
            <w:r w:rsidRPr="00E66538">
              <w:rPr>
                <w:rFonts w:ascii="Futura Std Condensed Light" w:eastAsia="Calibri" w:hAnsi="Futura Std Condensed Light" w:cs="Calibri"/>
                <w:sz w:val="18"/>
                <w:szCs w:val="18"/>
              </w:rPr>
              <w:t>Indicador:</w:t>
            </w:r>
          </w:p>
        </w:tc>
        <w:tc>
          <w:tcPr>
            <w:tcW w:w="4030" w:type="pct"/>
            <w:hideMark/>
          </w:tcPr>
          <w:p w14:paraId="2914623A" w14:textId="77777777" w:rsidR="005C18EB" w:rsidRPr="00E66538" w:rsidRDefault="005C18EB" w:rsidP="00F13334">
            <w:pPr>
              <w:spacing w:after="0" w:line="240" w:lineRule="auto"/>
              <w:rPr>
                <w:rFonts w:ascii="Futura Std Condensed Light" w:eastAsia="Calibri" w:hAnsi="Futura Std Condensed Light" w:cs="Calibri"/>
                <w:sz w:val="18"/>
                <w:szCs w:val="18"/>
              </w:rPr>
            </w:pPr>
            <w:r w:rsidRPr="00E66538">
              <w:rPr>
                <w:rFonts w:ascii="Futura Std Condensed Light" w:eastAsia="Calibri" w:hAnsi="Futura Std Condensed Light" w:cs="Calibri"/>
                <w:sz w:val="18"/>
                <w:szCs w:val="18"/>
              </w:rPr>
              <w:t>Tasa de eficiencia terminal de educación básica</w:t>
            </w:r>
          </w:p>
        </w:tc>
      </w:tr>
      <w:tr w:rsidR="005C18EB" w:rsidRPr="00E66538" w14:paraId="7313E232" w14:textId="77777777" w:rsidTr="00B0642E">
        <w:trPr>
          <w:trHeight w:val="283"/>
        </w:trPr>
        <w:tc>
          <w:tcPr>
            <w:tcW w:w="970" w:type="pct"/>
          </w:tcPr>
          <w:p w14:paraId="0E69E0E0" w14:textId="14BFE072" w:rsidR="005C18EB" w:rsidRPr="00E66538" w:rsidRDefault="005C18EB" w:rsidP="00F13334">
            <w:pPr>
              <w:spacing w:after="0" w:line="240" w:lineRule="auto"/>
              <w:rPr>
                <w:rFonts w:ascii="Futura Std Condensed Light" w:eastAsia="Calibri" w:hAnsi="Futura Std Condensed Light" w:cs="Calibri"/>
                <w:sz w:val="18"/>
                <w:szCs w:val="18"/>
              </w:rPr>
            </w:pPr>
            <w:r>
              <w:rPr>
                <w:rFonts w:ascii="Futura Std Condensed Light" w:eastAsia="Calibri" w:hAnsi="Futura Std Condensed Light" w:cs="Calibri"/>
                <w:sz w:val="18"/>
                <w:szCs w:val="18"/>
              </w:rPr>
              <w:t>Objetivo  2</w:t>
            </w:r>
            <w:r w:rsidR="00AA076E">
              <w:rPr>
                <w:rFonts w:ascii="Futura Std Condensed Light" w:eastAsia="Calibri" w:hAnsi="Futura Std Condensed Light" w:cs="Calibri"/>
                <w:sz w:val="18"/>
                <w:szCs w:val="18"/>
              </w:rPr>
              <w:t>:</w:t>
            </w:r>
          </w:p>
        </w:tc>
        <w:tc>
          <w:tcPr>
            <w:tcW w:w="4030" w:type="pct"/>
          </w:tcPr>
          <w:p w14:paraId="0EE49AD0" w14:textId="1DC25D61" w:rsidR="005C18EB" w:rsidRPr="00E66538" w:rsidRDefault="005C18EB" w:rsidP="005C18EB">
            <w:pPr>
              <w:spacing w:after="0"/>
              <w:rPr>
                <w:rFonts w:ascii="Futura Std Condensed Light" w:eastAsia="Calibri" w:hAnsi="Futura Std Condensed Light" w:cs="Calibri"/>
                <w:sz w:val="18"/>
                <w:szCs w:val="18"/>
              </w:rPr>
            </w:pPr>
            <w:r w:rsidRPr="005C18EB">
              <w:rPr>
                <w:rFonts w:ascii="Futura Std Condensed Light" w:eastAsia="Calibri" w:hAnsi="Futura Std Condensed Light" w:cs="Calibri"/>
                <w:sz w:val="18"/>
                <w:szCs w:val="18"/>
              </w:rPr>
              <w:t xml:space="preserve">Favorecer  la permanencia y el egreso de los estudiantes de educación básica en el Sistema Educativo Estatal  mediante diversos apoyos compensatorios. </w:t>
            </w:r>
          </w:p>
        </w:tc>
      </w:tr>
      <w:tr w:rsidR="005C18EB" w:rsidRPr="00E66538" w14:paraId="4764BF19" w14:textId="77777777" w:rsidTr="00B0642E">
        <w:trPr>
          <w:trHeight w:val="283"/>
        </w:trPr>
        <w:tc>
          <w:tcPr>
            <w:tcW w:w="970" w:type="pct"/>
            <w:hideMark/>
          </w:tcPr>
          <w:p w14:paraId="5CD980B0" w14:textId="77777777" w:rsidR="005C18EB" w:rsidRPr="00E66538" w:rsidRDefault="005C18EB" w:rsidP="00F13334">
            <w:pPr>
              <w:spacing w:after="0" w:line="240" w:lineRule="auto"/>
              <w:rPr>
                <w:rFonts w:ascii="Futura Std Condensed Light" w:eastAsia="Calibri" w:hAnsi="Futura Std Condensed Light" w:cs="Calibri"/>
                <w:sz w:val="18"/>
                <w:szCs w:val="18"/>
              </w:rPr>
            </w:pPr>
            <w:r w:rsidRPr="00E66538">
              <w:rPr>
                <w:rFonts w:ascii="Futura Std Condensed Light" w:eastAsia="Calibri" w:hAnsi="Futura Std Condensed Light" w:cs="Calibri"/>
                <w:sz w:val="18"/>
                <w:szCs w:val="18"/>
              </w:rPr>
              <w:t>Descripción:</w:t>
            </w:r>
          </w:p>
        </w:tc>
        <w:tc>
          <w:tcPr>
            <w:tcW w:w="4030" w:type="pct"/>
            <w:hideMark/>
          </w:tcPr>
          <w:p w14:paraId="1F2AC8C4" w14:textId="77777777" w:rsidR="005C18EB" w:rsidRPr="00E66538" w:rsidRDefault="005C18EB" w:rsidP="00F13334">
            <w:pPr>
              <w:spacing w:after="0" w:line="240" w:lineRule="auto"/>
              <w:rPr>
                <w:rFonts w:ascii="Futura Std Condensed Light" w:eastAsia="Calibri" w:hAnsi="Futura Std Condensed Light" w:cs="Calibri"/>
                <w:sz w:val="18"/>
                <w:szCs w:val="18"/>
              </w:rPr>
            </w:pPr>
            <w:r w:rsidRPr="00E66538">
              <w:rPr>
                <w:rFonts w:ascii="Futura Std Condensed Light" w:eastAsia="Calibri" w:hAnsi="Futura Std Condensed Light" w:cs="Calibri"/>
                <w:sz w:val="18"/>
                <w:szCs w:val="18"/>
              </w:rPr>
              <w:t>Es el porcentaje de alumnos que terminan o egresan de educación básica en el tiempo normativo o ideal establecido, en relación al número de alumnos de nuevo ingreso a primero de primaria inscritos tantos ciclos escolares atrás como dura el nivel educativo en cuestión.</w:t>
            </w:r>
          </w:p>
        </w:tc>
      </w:tr>
      <w:tr w:rsidR="005C18EB" w:rsidRPr="00E66538" w14:paraId="34FD4CF6" w14:textId="77777777" w:rsidTr="00B0642E">
        <w:trPr>
          <w:trHeight w:val="283"/>
        </w:trPr>
        <w:tc>
          <w:tcPr>
            <w:tcW w:w="970" w:type="pct"/>
            <w:hideMark/>
          </w:tcPr>
          <w:p w14:paraId="7F040F40" w14:textId="77777777" w:rsidR="005C18EB" w:rsidRPr="00E66538" w:rsidRDefault="005C18EB" w:rsidP="00F13334">
            <w:pPr>
              <w:spacing w:after="0" w:line="240" w:lineRule="auto"/>
              <w:rPr>
                <w:rFonts w:ascii="Futura Std Condensed Light" w:eastAsia="Calibri" w:hAnsi="Futura Std Condensed Light" w:cs="Calibri"/>
                <w:sz w:val="18"/>
                <w:szCs w:val="18"/>
              </w:rPr>
            </w:pPr>
            <w:r w:rsidRPr="00E66538">
              <w:rPr>
                <w:rFonts w:ascii="Futura Std Condensed Light" w:eastAsia="Calibri" w:hAnsi="Futura Std Condensed Light" w:cs="Calibri"/>
                <w:sz w:val="18"/>
                <w:szCs w:val="18"/>
              </w:rPr>
              <w:t>Método de cálculo:</w:t>
            </w:r>
          </w:p>
        </w:tc>
        <w:tc>
          <w:tcPr>
            <w:tcW w:w="4030" w:type="pct"/>
            <w:hideMark/>
          </w:tcPr>
          <w:p w14:paraId="59C9FD0A" w14:textId="77777777" w:rsidR="005C18EB" w:rsidRPr="00E66538" w:rsidRDefault="005C18EB" w:rsidP="00F13334">
            <w:pPr>
              <w:spacing w:after="0" w:line="240" w:lineRule="auto"/>
              <w:rPr>
                <w:rFonts w:ascii="Futura Std Condensed Light" w:eastAsia="Calibri" w:hAnsi="Futura Std Condensed Light" w:cs="Calibri"/>
                <w:sz w:val="18"/>
                <w:szCs w:val="18"/>
              </w:rPr>
            </w:pPr>
            <w:r w:rsidRPr="00E66538">
              <w:rPr>
                <w:rFonts w:ascii="Futura Std Condensed Light" w:eastAsia="Calibri" w:hAnsi="Futura Std Condensed Light" w:cs="Calibri"/>
                <w:sz w:val="18"/>
                <w:szCs w:val="18"/>
              </w:rPr>
              <w:t>(Número de alumnos egresados de educación secundaria en el ciclo escolar t / Número de alumnos de nuevo ingreso a primer grado de primaria que se inscribieron hace t-8 ciclos escolares) X 100</w:t>
            </w:r>
          </w:p>
        </w:tc>
      </w:tr>
      <w:tr w:rsidR="005C18EB" w:rsidRPr="00E66538" w14:paraId="7E84EC6C" w14:textId="77777777" w:rsidTr="00B0642E">
        <w:trPr>
          <w:trHeight w:val="283"/>
        </w:trPr>
        <w:tc>
          <w:tcPr>
            <w:tcW w:w="970" w:type="pct"/>
            <w:hideMark/>
          </w:tcPr>
          <w:p w14:paraId="747E5B85" w14:textId="77777777" w:rsidR="005C18EB" w:rsidRPr="00E66538" w:rsidRDefault="005C18EB" w:rsidP="00F13334">
            <w:pPr>
              <w:spacing w:after="0" w:line="240" w:lineRule="auto"/>
              <w:rPr>
                <w:rFonts w:ascii="Futura Std Condensed Light" w:eastAsia="Calibri" w:hAnsi="Futura Std Condensed Light" w:cs="Calibri"/>
                <w:sz w:val="18"/>
                <w:szCs w:val="18"/>
              </w:rPr>
            </w:pPr>
            <w:r w:rsidRPr="00E66538">
              <w:rPr>
                <w:rFonts w:ascii="Futura Std Condensed Light" w:eastAsia="Calibri" w:hAnsi="Futura Std Condensed Light" w:cs="Calibri"/>
                <w:sz w:val="18"/>
                <w:szCs w:val="18"/>
              </w:rPr>
              <w:t>Periodicidad:</w:t>
            </w:r>
          </w:p>
        </w:tc>
        <w:tc>
          <w:tcPr>
            <w:tcW w:w="4030" w:type="pct"/>
            <w:hideMark/>
          </w:tcPr>
          <w:p w14:paraId="2E89FB92" w14:textId="77777777" w:rsidR="005C18EB" w:rsidRPr="00E66538" w:rsidRDefault="005C18EB" w:rsidP="00F13334">
            <w:pPr>
              <w:spacing w:after="0" w:line="240" w:lineRule="auto"/>
              <w:rPr>
                <w:rFonts w:ascii="Futura Std Condensed Light" w:eastAsia="Calibri" w:hAnsi="Futura Std Condensed Light" w:cs="Calibri"/>
                <w:sz w:val="18"/>
                <w:szCs w:val="18"/>
              </w:rPr>
            </w:pPr>
            <w:r w:rsidRPr="00E66538">
              <w:rPr>
                <w:rFonts w:ascii="Futura Std Condensed Light" w:eastAsia="Calibri" w:hAnsi="Futura Std Condensed Light" w:cs="Calibri"/>
                <w:sz w:val="18"/>
                <w:szCs w:val="18"/>
              </w:rPr>
              <w:t>Anual</w:t>
            </w:r>
          </w:p>
        </w:tc>
      </w:tr>
      <w:tr w:rsidR="005C18EB" w:rsidRPr="00E66538" w14:paraId="66133BE3" w14:textId="77777777" w:rsidTr="00B0642E">
        <w:trPr>
          <w:trHeight w:val="283"/>
        </w:trPr>
        <w:tc>
          <w:tcPr>
            <w:tcW w:w="970" w:type="pct"/>
            <w:hideMark/>
          </w:tcPr>
          <w:p w14:paraId="4C6EEA03" w14:textId="77777777" w:rsidR="005C18EB" w:rsidRPr="00E66538" w:rsidRDefault="005C18EB" w:rsidP="00F13334">
            <w:pPr>
              <w:spacing w:after="0" w:line="240" w:lineRule="auto"/>
              <w:rPr>
                <w:rFonts w:ascii="Futura Std Condensed Light" w:eastAsia="Calibri" w:hAnsi="Futura Std Condensed Light" w:cs="Calibri"/>
                <w:sz w:val="18"/>
                <w:szCs w:val="18"/>
              </w:rPr>
            </w:pPr>
            <w:r w:rsidRPr="00E66538">
              <w:rPr>
                <w:rFonts w:ascii="Futura Std Condensed Light" w:eastAsia="Calibri" w:hAnsi="Futura Std Condensed Light" w:cs="Calibri"/>
                <w:sz w:val="18"/>
                <w:szCs w:val="18"/>
              </w:rPr>
              <w:t>Fuente:</w:t>
            </w:r>
          </w:p>
        </w:tc>
        <w:tc>
          <w:tcPr>
            <w:tcW w:w="4030" w:type="pct"/>
            <w:hideMark/>
          </w:tcPr>
          <w:p w14:paraId="56145BD1" w14:textId="77777777" w:rsidR="005C18EB" w:rsidRPr="00E66538" w:rsidRDefault="005C18EB" w:rsidP="00F13334">
            <w:pPr>
              <w:spacing w:after="0" w:line="240" w:lineRule="auto"/>
              <w:rPr>
                <w:rFonts w:ascii="Futura Std Condensed Light" w:eastAsia="Calibri" w:hAnsi="Futura Std Condensed Light" w:cs="Calibri"/>
                <w:sz w:val="18"/>
                <w:szCs w:val="18"/>
              </w:rPr>
            </w:pPr>
            <w:r w:rsidRPr="00E66538">
              <w:rPr>
                <w:rFonts w:ascii="Futura Std Condensed Light" w:eastAsia="Calibri" w:hAnsi="Futura Std Condensed Light" w:cs="Calibri"/>
                <w:sz w:val="18"/>
                <w:szCs w:val="18"/>
              </w:rPr>
              <w:t>Estadísticas continúas del formato 911 de educación básica, inicio de ciclo escolar, SEQ.</w:t>
            </w:r>
          </w:p>
        </w:tc>
      </w:tr>
      <w:tr w:rsidR="005C18EB" w:rsidRPr="00E66538" w14:paraId="2B7B3479" w14:textId="77777777" w:rsidTr="00B0642E">
        <w:trPr>
          <w:trHeight w:val="283"/>
        </w:trPr>
        <w:tc>
          <w:tcPr>
            <w:tcW w:w="970" w:type="pct"/>
            <w:hideMark/>
          </w:tcPr>
          <w:p w14:paraId="0AED60F0" w14:textId="77777777" w:rsidR="005C18EB" w:rsidRPr="00E66538" w:rsidRDefault="005C18EB" w:rsidP="00F13334">
            <w:pPr>
              <w:spacing w:after="0" w:line="240" w:lineRule="auto"/>
              <w:rPr>
                <w:rFonts w:ascii="Futura Std Condensed Light" w:eastAsia="Calibri" w:hAnsi="Futura Std Condensed Light" w:cs="Calibri"/>
                <w:sz w:val="18"/>
                <w:szCs w:val="18"/>
              </w:rPr>
            </w:pPr>
            <w:r w:rsidRPr="00E66538">
              <w:rPr>
                <w:rFonts w:ascii="Futura Std Condensed Light" w:eastAsia="Calibri" w:hAnsi="Futura Std Condensed Light" w:cs="Calibri"/>
                <w:sz w:val="18"/>
                <w:szCs w:val="18"/>
              </w:rPr>
              <w:t>Dimensión:</w:t>
            </w:r>
          </w:p>
        </w:tc>
        <w:tc>
          <w:tcPr>
            <w:tcW w:w="4030" w:type="pct"/>
            <w:hideMark/>
          </w:tcPr>
          <w:p w14:paraId="4FAC9920" w14:textId="77777777" w:rsidR="005C18EB" w:rsidRPr="00E66538" w:rsidRDefault="005C18EB" w:rsidP="00F13334">
            <w:pPr>
              <w:spacing w:after="0" w:line="240" w:lineRule="auto"/>
              <w:rPr>
                <w:rFonts w:ascii="Futura Std Condensed Light" w:eastAsia="Calibri" w:hAnsi="Futura Std Condensed Light" w:cs="Calibri"/>
                <w:sz w:val="18"/>
                <w:szCs w:val="18"/>
              </w:rPr>
            </w:pPr>
            <w:r w:rsidRPr="00E66538">
              <w:rPr>
                <w:rFonts w:ascii="Futura Std Condensed Light" w:eastAsia="Calibri" w:hAnsi="Futura Std Condensed Light" w:cs="Calibri"/>
                <w:sz w:val="18"/>
                <w:szCs w:val="18"/>
              </w:rPr>
              <w:t>Eficacia</w:t>
            </w:r>
          </w:p>
        </w:tc>
      </w:tr>
      <w:tr w:rsidR="005C18EB" w:rsidRPr="00E66538" w14:paraId="317E47B4" w14:textId="77777777" w:rsidTr="00B0642E">
        <w:trPr>
          <w:trHeight w:val="283"/>
        </w:trPr>
        <w:tc>
          <w:tcPr>
            <w:tcW w:w="970" w:type="pct"/>
            <w:hideMark/>
          </w:tcPr>
          <w:p w14:paraId="3098C340" w14:textId="77777777" w:rsidR="005C18EB" w:rsidRPr="00E66538" w:rsidRDefault="005C18EB" w:rsidP="00F13334">
            <w:pPr>
              <w:spacing w:after="0" w:line="240" w:lineRule="auto"/>
              <w:rPr>
                <w:rFonts w:ascii="Futura Std Condensed Light" w:eastAsia="Calibri" w:hAnsi="Futura Std Condensed Light" w:cs="Calibri"/>
                <w:sz w:val="18"/>
                <w:szCs w:val="18"/>
              </w:rPr>
            </w:pPr>
            <w:r w:rsidRPr="00E66538">
              <w:rPr>
                <w:rFonts w:ascii="Futura Std Condensed Light" w:eastAsia="Calibri" w:hAnsi="Futura Std Condensed Light" w:cs="Calibri"/>
                <w:sz w:val="18"/>
                <w:szCs w:val="18"/>
              </w:rPr>
              <w:t>Referencias adicionales:</w:t>
            </w:r>
          </w:p>
        </w:tc>
        <w:tc>
          <w:tcPr>
            <w:tcW w:w="4030" w:type="pct"/>
            <w:hideMark/>
          </w:tcPr>
          <w:p w14:paraId="6F87380D" w14:textId="77777777" w:rsidR="005C18EB" w:rsidRPr="00E66538" w:rsidRDefault="005C18EB" w:rsidP="00F13334">
            <w:pPr>
              <w:spacing w:after="0" w:line="240" w:lineRule="auto"/>
              <w:rPr>
                <w:rFonts w:ascii="Futura Std Condensed Light" w:eastAsia="Calibri" w:hAnsi="Futura Std Condensed Light" w:cs="Calibri"/>
                <w:sz w:val="18"/>
                <w:szCs w:val="18"/>
              </w:rPr>
            </w:pPr>
          </w:p>
        </w:tc>
      </w:tr>
    </w:tbl>
    <w:p w14:paraId="3256EB81" w14:textId="479C3C8A" w:rsidR="002B38A6" w:rsidRDefault="002B38A6">
      <w:pPr>
        <w:spacing w:after="0" w:line="240" w:lineRule="auto"/>
        <w:jc w:val="left"/>
        <w:rPr>
          <w:b/>
        </w:rPr>
      </w:pPr>
    </w:p>
    <w:p w14:paraId="3A56BB21" w14:textId="77777777" w:rsidR="002B38A6" w:rsidRDefault="002B38A6">
      <w:pPr>
        <w:spacing w:after="0" w:line="240" w:lineRule="auto"/>
        <w:jc w:val="left"/>
        <w:rPr>
          <w:b/>
        </w:rPr>
      </w:pPr>
      <w:r>
        <w:rPr>
          <w:b/>
        </w:rPr>
        <w:br w:type="page"/>
      </w:r>
    </w:p>
    <w:p w14:paraId="64040385" w14:textId="30EACA11" w:rsidR="005C18EB" w:rsidRDefault="005C18EB" w:rsidP="005C18EB">
      <w:pPr>
        <w:rPr>
          <w:bCs/>
        </w:rPr>
      </w:pPr>
      <w:r>
        <w:rPr>
          <w:b/>
        </w:rPr>
        <w:lastRenderedPageBreak/>
        <w:t>Estrategia 2</w:t>
      </w:r>
      <w:r w:rsidRPr="002A329C">
        <w:rPr>
          <w:b/>
        </w:rPr>
        <w:t>.</w:t>
      </w:r>
      <w:r w:rsidRPr="005C18EB">
        <w:rPr>
          <w:bCs/>
        </w:rPr>
        <w:t xml:space="preserve"> </w:t>
      </w:r>
      <w:r>
        <w:rPr>
          <w:bCs/>
        </w:rPr>
        <w:t>Apoyar a los alumnos de educación básica mediante el otorgamiento de una beca y/o apoyos para favorecer la permanencia y conclusión de sus estudios, promoviendo la equidad en las condiciones socioeconómicas.</w:t>
      </w:r>
    </w:p>
    <w:tbl>
      <w:tblPr>
        <w:tblW w:w="48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20" w:firstRow="1" w:lastRow="0" w:firstColumn="0" w:lastColumn="0" w:noHBand="0" w:noVBand="1"/>
      </w:tblPr>
      <w:tblGrid>
        <w:gridCol w:w="1810"/>
        <w:gridCol w:w="7521"/>
      </w:tblGrid>
      <w:tr w:rsidR="0084504B" w:rsidRPr="00AD0C2B" w14:paraId="358145E3" w14:textId="77777777" w:rsidTr="0084504B">
        <w:trPr>
          <w:trHeight w:val="283"/>
          <w:jc w:val="center"/>
        </w:trPr>
        <w:tc>
          <w:tcPr>
            <w:tcW w:w="970" w:type="pct"/>
            <w:shd w:val="clear" w:color="auto" w:fill="BFBFBF" w:themeFill="background1" w:themeFillShade="BF"/>
            <w:tcMar>
              <w:top w:w="72" w:type="dxa"/>
              <w:left w:w="144" w:type="dxa"/>
              <w:bottom w:w="72" w:type="dxa"/>
              <w:right w:w="144" w:type="dxa"/>
            </w:tcMar>
            <w:hideMark/>
          </w:tcPr>
          <w:p w14:paraId="252ABC97" w14:textId="77777777" w:rsidR="0084504B" w:rsidRPr="0084504B" w:rsidRDefault="0084504B" w:rsidP="00177600">
            <w:pPr>
              <w:spacing w:after="0" w:line="240" w:lineRule="auto"/>
              <w:rPr>
                <w:rFonts w:ascii="Futura Std Condensed Light" w:eastAsia="Calibri" w:hAnsi="Futura Std Condensed Light" w:cs="Calibri"/>
                <w:sz w:val="18"/>
                <w:szCs w:val="18"/>
              </w:rPr>
            </w:pPr>
            <w:r w:rsidRPr="0084504B">
              <w:rPr>
                <w:rFonts w:ascii="Futura Std Condensed Light" w:eastAsia="Calibri" w:hAnsi="Futura Std Condensed Light" w:cs="Calibri"/>
                <w:sz w:val="18"/>
                <w:szCs w:val="18"/>
              </w:rPr>
              <w:t>Elemento</w:t>
            </w:r>
          </w:p>
        </w:tc>
        <w:tc>
          <w:tcPr>
            <w:tcW w:w="4030" w:type="pct"/>
            <w:shd w:val="clear" w:color="auto" w:fill="BFBFBF" w:themeFill="background1" w:themeFillShade="BF"/>
            <w:tcMar>
              <w:top w:w="72" w:type="dxa"/>
              <w:left w:w="144" w:type="dxa"/>
              <w:bottom w:w="72" w:type="dxa"/>
              <w:right w:w="144" w:type="dxa"/>
            </w:tcMar>
            <w:hideMark/>
          </w:tcPr>
          <w:p w14:paraId="7391A559" w14:textId="77777777" w:rsidR="0084504B" w:rsidRPr="0084504B" w:rsidRDefault="0084504B" w:rsidP="00177600">
            <w:pPr>
              <w:spacing w:after="0" w:line="240" w:lineRule="auto"/>
              <w:rPr>
                <w:rFonts w:ascii="Futura Std Condensed Light" w:eastAsia="Calibri" w:hAnsi="Futura Std Condensed Light" w:cs="Calibri"/>
                <w:sz w:val="18"/>
                <w:szCs w:val="18"/>
              </w:rPr>
            </w:pPr>
            <w:r w:rsidRPr="0084504B">
              <w:rPr>
                <w:rFonts w:ascii="Futura Std Condensed Light" w:eastAsia="Calibri" w:hAnsi="Futura Std Condensed Light" w:cs="Calibri"/>
                <w:sz w:val="18"/>
                <w:szCs w:val="18"/>
              </w:rPr>
              <w:t>Características</w:t>
            </w:r>
          </w:p>
        </w:tc>
      </w:tr>
      <w:tr w:rsidR="0084504B" w:rsidRPr="00AD0C2B" w14:paraId="69392EB4" w14:textId="77777777" w:rsidTr="0084504B">
        <w:trPr>
          <w:trHeight w:val="283"/>
          <w:jc w:val="center"/>
        </w:trPr>
        <w:tc>
          <w:tcPr>
            <w:tcW w:w="970" w:type="pct"/>
            <w:shd w:val="clear" w:color="auto" w:fill="FFFFFF" w:themeFill="background1"/>
            <w:tcMar>
              <w:top w:w="72" w:type="dxa"/>
              <w:left w:w="144" w:type="dxa"/>
              <w:bottom w:w="72" w:type="dxa"/>
              <w:right w:w="144" w:type="dxa"/>
            </w:tcMar>
            <w:hideMark/>
          </w:tcPr>
          <w:p w14:paraId="3B62E75D" w14:textId="77777777" w:rsidR="0084504B" w:rsidRPr="0084504B" w:rsidRDefault="0084504B" w:rsidP="00177600">
            <w:pPr>
              <w:spacing w:after="0" w:line="240" w:lineRule="auto"/>
              <w:rPr>
                <w:rFonts w:ascii="Futura Std Condensed Light" w:eastAsia="Calibri" w:hAnsi="Futura Std Condensed Light" w:cs="Calibri"/>
                <w:sz w:val="18"/>
                <w:szCs w:val="18"/>
              </w:rPr>
            </w:pPr>
            <w:r w:rsidRPr="0084504B">
              <w:rPr>
                <w:rFonts w:ascii="Futura Std Condensed Light" w:eastAsia="Calibri" w:hAnsi="Futura Std Condensed Light" w:cs="Calibri"/>
                <w:sz w:val="18"/>
                <w:szCs w:val="18"/>
              </w:rPr>
              <w:t>Indicador:</w:t>
            </w:r>
          </w:p>
        </w:tc>
        <w:tc>
          <w:tcPr>
            <w:tcW w:w="4030" w:type="pct"/>
            <w:shd w:val="clear" w:color="auto" w:fill="FFFFFF" w:themeFill="background1"/>
            <w:tcMar>
              <w:top w:w="72" w:type="dxa"/>
              <w:left w:w="144" w:type="dxa"/>
              <w:bottom w:w="72" w:type="dxa"/>
              <w:right w:w="144" w:type="dxa"/>
            </w:tcMar>
          </w:tcPr>
          <w:p w14:paraId="5C52A2B7" w14:textId="77777777" w:rsidR="0084504B" w:rsidRPr="0084504B" w:rsidRDefault="0084504B" w:rsidP="00177600">
            <w:pPr>
              <w:spacing w:after="0" w:line="240" w:lineRule="auto"/>
              <w:rPr>
                <w:rFonts w:ascii="Futura Std Condensed Light" w:eastAsia="Calibri" w:hAnsi="Futura Std Condensed Light" w:cs="Calibri"/>
                <w:sz w:val="18"/>
                <w:szCs w:val="18"/>
              </w:rPr>
            </w:pPr>
            <w:r w:rsidRPr="0084504B">
              <w:rPr>
                <w:rFonts w:ascii="Futura Std Condensed Light" w:eastAsia="Calibri" w:hAnsi="Futura Std Condensed Light" w:cs="Calibri"/>
                <w:sz w:val="18"/>
                <w:szCs w:val="18"/>
              </w:rPr>
              <w:t>Tasa de abandono escolar de secundaria</w:t>
            </w:r>
          </w:p>
        </w:tc>
      </w:tr>
      <w:tr w:rsidR="0084504B" w:rsidRPr="00AD0C2B" w14:paraId="7A5D1421" w14:textId="77777777" w:rsidTr="0084504B">
        <w:trPr>
          <w:trHeight w:val="283"/>
          <w:jc w:val="center"/>
        </w:trPr>
        <w:tc>
          <w:tcPr>
            <w:tcW w:w="970" w:type="pct"/>
            <w:shd w:val="clear" w:color="auto" w:fill="FFFFFF" w:themeFill="background1"/>
            <w:tcMar>
              <w:top w:w="72" w:type="dxa"/>
              <w:left w:w="144" w:type="dxa"/>
              <w:bottom w:w="72" w:type="dxa"/>
              <w:right w:w="144" w:type="dxa"/>
            </w:tcMar>
          </w:tcPr>
          <w:p w14:paraId="51C1A2A1" w14:textId="62349DA4" w:rsidR="0084504B" w:rsidRPr="0084504B" w:rsidRDefault="0084504B" w:rsidP="00177600">
            <w:pPr>
              <w:spacing w:after="0" w:line="240" w:lineRule="auto"/>
              <w:rPr>
                <w:rFonts w:ascii="Futura Std Condensed Light" w:eastAsia="Calibri" w:hAnsi="Futura Std Condensed Light" w:cs="Calibri"/>
                <w:sz w:val="18"/>
                <w:szCs w:val="18"/>
              </w:rPr>
            </w:pPr>
            <w:r w:rsidRPr="0084504B">
              <w:rPr>
                <w:rFonts w:ascii="Futura Std Condensed Light" w:eastAsia="Calibri" w:hAnsi="Futura Std Condensed Light" w:cs="Calibri"/>
                <w:sz w:val="18"/>
                <w:szCs w:val="18"/>
              </w:rPr>
              <w:t>Estrategia</w:t>
            </w:r>
            <w:r w:rsidR="00AA076E">
              <w:rPr>
                <w:rFonts w:ascii="Futura Std Condensed Light" w:eastAsia="Calibri" w:hAnsi="Futura Std Condensed Light" w:cs="Calibri"/>
                <w:sz w:val="18"/>
                <w:szCs w:val="18"/>
              </w:rPr>
              <w:t xml:space="preserve"> 2</w:t>
            </w:r>
            <w:r w:rsidRPr="0084504B">
              <w:rPr>
                <w:rFonts w:ascii="Futura Std Condensed Light" w:eastAsia="Calibri" w:hAnsi="Futura Std Condensed Light" w:cs="Calibri"/>
                <w:sz w:val="18"/>
                <w:szCs w:val="18"/>
              </w:rPr>
              <w:t>:</w:t>
            </w:r>
          </w:p>
        </w:tc>
        <w:tc>
          <w:tcPr>
            <w:tcW w:w="4030" w:type="pct"/>
            <w:shd w:val="clear" w:color="auto" w:fill="FFFFFF" w:themeFill="background1"/>
            <w:tcMar>
              <w:top w:w="72" w:type="dxa"/>
              <w:left w:w="144" w:type="dxa"/>
              <w:bottom w:w="72" w:type="dxa"/>
              <w:right w:w="144" w:type="dxa"/>
            </w:tcMar>
          </w:tcPr>
          <w:p w14:paraId="0C88E244" w14:textId="57F064D9" w:rsidR="0084504B" w:rsidRPr="0084504B" w:rsidRDefault="0084504B" w:rsidP="00177600">
            <w:pPr>
              <w:spacing w:after="0" w:line="240" w:lineRule="auto"/>
              <w:rPr>
                <w:rFonts w:ascii="Futura Std Condensed Light" w:eastAsia="Calibri" w:hAnsi="Futura Std Condensed Light" w:cs="Calibri"/>
                <w:sz w:val="18"/>
                <w:szCs w:val="18"/>
              </w:rPr>
            </w:pPr>
            <w:r w:rsidRPr="0084504B">
              <w:rPr>
                <w:rFonts w:ascii="Futura Std Condensed Light" w:eastAsia="Calibri" w:hAnsi="Futura Std Condensed Light" w:cs="Calibri"/>
                <w:sz w:val="18"/>
                <w:szCs w:val="18"/>
              </w:rPr>
              <w:t>Apoyar a los alumnos de educación básica mediante el otorgamiento de una beca y/o apoyos para favorecer la permanencia y conclusión de sus estudios, promoviendo la equidad en las condiciones socioeconómicas.</w:t>
            </w:r>
          </w:p>
        </w:tc>
      </w:tr>
      <w:tr w:rsidR="0084504B" w:rsidRPr="00AD0C2B" w14:paraId="4ED6CDC7" w14:textId="77777777" w:rsidTr="0084504B">
        <w:trPr>
          <w:trHeight w:val="283"/>
          <w:jc w:val="center"/>
        </w:trPr>
        <w:tc>
          <w:tcPr>
            <w:tcW w:w="970" w:type="pct"/>
            <w:shd w:val="clear" w:color="auto" w:fill="FFFFFF" w:themeFill="background1"/>
            <w:tcMar>
              <w:top w:w="72" w:type="dxa"/>
              <w:left w:w="144" w:type="dxa"/>
              <w:bottom w:w="72" w:type="dxa"/>
              <w:right w:w="144" w:type="dxa"/>
            </w:tcMar>
            <w:hideMark/>
          </w:tcPr>
          <w:p w14:paraId="5FDA367D" w14:textId="77777777" w:rsidR="0084504B" w:rsidRPr="0084504B" w:rsidRDefault="0084504B" w:rsidP="00177600">
            <w:pPr>
              <w:spacing w:after="0" w:line="240" w:lineRule="auto"/>
              <w:rPr>
                <w:rFonts w:ascii="Futura Std Condensed Light" w:eastAsia="Calibri" w:hAnsi="Futura Std Condensed Light" w:cs="Calibri"/>
                <w:sz w:val="18"/>
                <w:szCs w:val="18"/>
              </w:rPr>
            </w:pPr>
            <w:r w:rsidRPr="0084504B">
              <w:rPr>
                <w:rFonts w:ascii="Futura Std Condensed Light" w:eastAsia="Calibri" w:hAnsi="Futura Std Condensed Light" w:cs="Calibri"/>
                <w:sz w:val="18"/>
                <w:szCs w:val="18"/>
              </w:rPr>
              <w:t>Descripción:</w:t>
            </w:r>
          </w:p>
        </w:tc>
        <w:tc>
          <w:tcPr>
            <w:tcW w:w="4030" w:type="pct"/>
            <w:shd w:val="clear" w:color="auto" w:fill="FFFFFF" w:themeFill="background1"/>
            <w:tcMar>
              <w:top w:w="72" w:type="dxa"/>
              <w:left w:w="144" w:type="dxa"/>
              <w:bottom w:w="72" w:type="dxa"/>
              <w:right w:w="144" w:type="dxa"/>
            </w:tcMar>
          </w:tcPr>
          <w:p w14:paraId="51694708" w14:textId="77777777" w:rsidR="0084504B" w:rsidRPr="0084504B" w:rsidRDefault="0084504B" w:rsidP="00177600">
            <w:pPr>
              <w:spacing w:after="0" w:line="240" w:lineRule="auto"/>
              <w:rPr>
                <w:rFonts w:ascii="Futura Std Condensed Light" w:eastAsia="Calibri" w:hAnsi="Futura Std Condensed Light" w:cs="Calibri"/>
                <w:sz w:val="18"/>
                <w:szCs w:val="18"/>
              </w:rPr>
            </w:pPr>
            <w:r w:rsidRPr="0084504B">
              <w:rPr>
                <w:rFonts w:ascii="Futura Std Condensed Light" w:eastAsia="Calibri" w:hAnsi="Futura Std Condensed Light" w:cs="Calibri"/>
                <w:sz w:val="18"/>
                <w:szCs w:val="18"/>
              </w:rPr>
              <w:t>Este indicador muestra el porcentaje de alumnos de educación secundaria que abandonan la escuela entre ciclos escolares consecutivos antes de concluir el nivel o tipo educativo en cuestión, con respecto al total de alumnos de educación secundaria matriculados al inicio del ciclo escolar.</w:t>
            </w:r>
          </w:p>
        </w:tc>
      </w:tr>
      <w:tr w:rsidR="0084504B" w:rsidRPr="00AD0C2B" w14:paraId="48B3FF5D" w14:textId="77777777" w:rsidTr="0084504B">
        <w:trPr>
          <w:trHeight w:val="283"/>
          <w:jc w:val="center"/>
        </w:trPr>
        <w:tc>
          <w:tcPr>
            <w:tcW w:w="970" w:type="pct"/>
            <w:shd w:val="clear" w:color="auto" w:fill="FFFFFF" w:themeFill="background1"/>
            <w:tcMar>
              <w:top w:w="72" w:type="dxa"/>
              <w:left w:w="144" w:type="dxa"/>
              <w:bottom w:w="72" w:type="dxa"/>
              <w:right w:w="144" w:type="dxa"/>
            </w:tcMar>
            <w:hideMark/>
          </w:tcPr>
          <w:p w14:paraId="21A13D43" w14:textId="77777777" w:rsidR="0084504B" w:rsidRPr="0084504B" w:rsidRDefault="0084504B" w:rsidP="00177600">
            <w:pPr>
              <w:spacing w:after="0" w:line="240" w:lineRule="auto"/>
              <w:rPr>
                <w:rFonts w:ascii="Futura Std Condensed Light" w:eastAsia="Calibri" w:hAnsi="Futura Std Condensed Light" w:cs="Calibri"/>
                <w:sz w:val="18"/>
                <w:szCs w:val="18"/>
              </w:rPr>
            </w:pPr>
            <w:r w:rsidRPr="0084504B">
              <w:rPr>
                <w:rFonts w:ascii="Futura Std Condensed Light" w:eastAsia="Calibri" w:hAnsi="Futura Std Condensed Light" w:cs="Calibri"/>
                <w:sz w:val="18"/>
                <w:szCs w:val="18"/>
              </w:rPr>
              <w:t>Método de cálculo:</w:t>
            </w:r>
          </w:p>
        </w:tc>
        <w:tc>
          <w:tcPr>
            <w:tcW w:w="4030" w:type="pct"/>
            <w:shd w:val="clear" w:color="auto" w:fill="FFFFFF" w:themeFill="background1"/>
            <w:tcMar>
              <w:top w:w="72" w:type="dxa"/>
              <w:left w:w="144" w:type="dxa"/>
              <w:bottom w:w="72" w:type="dxa"/>
              <w:right w:w="144" w:type="dxa"/>
            </w:tcMar>
          </w:tcPr>
          <w:p w14:paraId="41B7F161" w14:textId="5425176D" w:rsidR="0084504B" w:rsidRPr="0084504B" w:rsidRDefault="00D0670B" w:rsidP="00177600">
            <w:pPr>
              <w:spacing w:after="0" w:line="240" w:lineRule="auto"/>
              <w:rPr>
                <w:rFonts w:ascii="Futura Std Condensed Light" w:eastAsia="Calibri" w:hAnsi="Futura Std Condensed Light" w:cs="Calibri"/>
                <w:sz w:val="18"/>
                <w:szCs w:val="18"/>
              </w:rPr>
            </w:pPr>
            <w:r>
              <w:rPr>
                <w:rFonts w:ascii="Futura Std Condensed Light" w:eastAsia="Calibri" w:hAnsi="Futura Std Condensed Light" w:cs="Calibri"/>
                <w:sz w:val="18"/>
                <w:szCs w:val="18"/>
              </w:rPr>
              <w:t>(</w:t>
            </w:r>
            <w:r w:rsidR="0084504B" w:rsidRPr="0084504B">
              <w:rPr>
                <w:rFonts w:ascii="Futura Std Condensed Light" w:eastAsia="Calibri" w:hAnsi="Futura Std Condensed Light" w:cs="Calibri"/>
                <w:sz w:val="18"/>
                <w:szCs w:val="18"/>
              </w:rPr>
              <w:t>Matrícula de inicio de secundaria en el ciclo escolar t – Alumnos egresados de secundaria en el ciclo escolar t) – (Matrícula de inicio de secundaria en el ciclo escolar t+1 – Alumnos de nuevo ingreso a 1</w:t>
            </w:r>
            <w:r w:rsidR="0084504B" w:rsidRPr="0084504B">
              <w:rPr>
                <w:rFonts w:ascii="Arial" w:eastAsia="Calibri" w:hAnsi="Arial" w:cs="Arial"/>
                <w:sz w:val="18"/>
                <w:szCs w:val="18"/>
              </w:rPr>
              <w:t>⁰</w:t>
            </w:r>
            <w:r w:rsidR="0084504B" w:rsidRPr="0084504B">
              <w:rPr>
                <w:rFonts w:ascii="Futura Std Condensed Light" w:eastAsia="Calibri" w:hAnsi="Futura Std Condensed Light" w:cs="Calibri"/>
                <w:sz w:val="18"/>
                <w:szCs w:val="18"/>
              </w:rPr>
              <w:t xml:space="preserve"> de secundaria en el ciclo escolar t+1)) / Matrícula de inicio de secundaria en el ciclo escolar t) X 100</w:t>
            </w:r>
          </w:p>
        </w:tc>
      </w:tr>
      <w:tr w:rsidR="0084504B" w:rsidRPr="00AD0C2B" w14:paraId="468C755B" w14:textId="77777777" w:rsidTr="0084504B">
        <w:trPr>
          <w:trHeight w:val="283"/>
          <w:jc w:val="center"/>
        </w:trPr>
        <w:tc>
          <w:tcPr>
            <w:tcW w:w="970" w:type="pct"/>
            <w:shd w:val="clear" w:color="auto" w:fill="FFFFFF" w:themeFill="background1"/>
            <w:tcMar>
              <w:top w:w="72" w:type="dxa"/>
              <w:left w:w="144" w:type="dxa"/>
              <w:bottom w:w="72" w:type="dxa"/>
              <w:right w:w="144" w:type="dxa"/>
            </w:tcMar>
            <w:hideMark/>
          </w:tcPr>
          <w:p w14:paraId="3C58668E" w14:textId="77777777" w:rsidR="0084504B" w:rsidRPr="0084504B" w:rsidRDefault="0084504B" w:rsidP="00177600">
            <w:pPr>
              <w:spacing w:after="0" w:line="240" w:lineRule="auto"/>
              <w:rPr>
                <w:rFonts w:ascii="Futura Std Condensed Light" w:eastAsia="Calibri" w:hAnsi="Futura Std Condensed Light" w:cs="Calibri"/>
                <w:sz w:val="18"/>
                <w:szCs w:val="18"/>
              </w:rPr>
            </w:pPr>
            <w:r w:rsidRPr="0084504B">
              <w:rPr>
                <w:rFonts w:ascii="Futura Std Condensed Light" w:eastAsia="Calibri" w:hAnsi="Futura Std Condensed Light" w:cs="Calibri"/>
                <w:sz w:val="18"/>
                <w:szCs w:val="18"/>
              </w:rPr>
              <w:t>Periodicidad:</w:t>
            </w:r>
          </w:p>
        </w:tc>
        <w:tc>
          <w:tcPr>
            <w:tcW w:w="4030" w:type="pct"/>
            <w:shd w:val="clear" w:color="auto" w:fill="FFFFFF" w:themeFill="background1"/>
            <w:tcMar>
              <w:top w:w="72" w:type="dxa"/>
              <w:left w:w="144" w:type="dxa"/>
              <w:bottom w:w="72" w:type="dxa"/>
              <w:right w:w="144" w:type="dxa"/>
            </w:tcMar>
          </w:tcPr>
          <w:p w14:paraId="26633246" w14:textId="77777777" w:rsidR="0084504B" w:rsidRPr="0084504B" w:rsidRDefault="0084504B" w:rsidP="00177600">
            <w:pPr>
              <w:spacing w:after="0" w:line="240" w:lineRule="auto"/>
              <w:rPr>
                <w:rFonts w:ascii="Futura Std Condensed Light" w:eastAsia="Calibri" w:hAnsi="Futura Std Condensed Light" w:cs="Calibri"/>
                <w:sz w:val="18"/>
                <w:szCs w:val="18"/>
              </w:rPr>
            </w:pPr>
            <w:r w:rsidRPr="0084504B">
              <w:rPr>
                <w:rFonts w:ascii="Futura Std Condensed Light" w:eastAsia="Calibri" w:hAnsi="Futura Std Condensed Light" w:cs="Calibri"/>
                <w:sz w:val="18"/>
                <w:szCs w:val="18"/>
              </w:rPr>
              <w:t>Anual</w:t>
            </w:r>
          </w:p>
        </w:tc>
      </w:tr>
      <w:tr w:rsidR="0084504B" w:rsidRPr="00AD0C2B" w14:paraId="3762D9B5" w14:textId="77777777" w:rsidTr="0084504B">
        <w:trPr>
          <w:trHeight w:val="283"/>
          <w:jc w:val="center"/>
        </w:trPr>
        <w:tc>
          <w:tcPr>
            <w:tcW w:w="970" w:type="pct"/>
            <w:shd w:val="clear" w:color="auto" w:fill="FFFFFF" w:themeFill="background1"/>
            <w:tcMar>
              <w:top w:w="72" w:type="dxa"/>
              <w:left w:w="144" w:type="dxa"/>
              <w:bottom w:w="72" w:type="dxa"/>
              <w:right w:w="144" w:type="dxa"/>
            </w:tcMar>
            <w:hideMark/>
          </w:tcPr>
          <w:p w14:paraId="157EFA4E" w14:textId="77777777" w:rsidR="0084504B" w:rsidRPr="0084504B" w:rsidRDefault="0084504B" w:rsidP="00177600">
            <w:pPr>
              <w:spacing w:after="0" w:line="240" w:lineRule="auto"/>
              <w:rPr>
                <w:rFonts w:ascii="Futura Std Condensed Light" w:eastAsia="Calibri" w:hAnsi="Futura Std Condensed Light" w:cs="Calibri"/>
                <w:sz w:val="18"/>
                <w:szCs w:val="18"/>
              </w:rPr>
            </w:pPr>
            <w:r w:rsidRPr="0084504B">
              <w:rPr>
                <w:rFonts w:ascii="Futura Std Condensed Light" w:eastAsia="Calibri" w:hAnsi="Futura Std Condensed Light" w:cs="Calibri"/>
                <w:sz w:val="18"/>
                <w:szCs w:val="18"/>
              </w:rPr>
              <w:t>Fuente:</w:t>
            </w:r>
          </w:p>
        </w:tc>
        <w:tc>
          <w:tcPr>
            <w:tcW w:w="4030" w:type="pct"/>
            <w:shd w:val="clear" w:color="auto" w:fill="FFFFFF" w:themeFill="background1"/>
            <w:tcMar>
              <w:top w:w="72" w:type="dxa"/>
              <w:left w:w="144" w:type="dxa"/>
              <w:bottom w:w="72" w:type="dxa"/>
              <w:right w:w="144" w:type="dxa"/>
            </w:tcMar>
          </w:tcPr>
          <w:p w14:paraId="4355386F" w14:textId="77777777" w:rsidR="0084504B" w:rsidRPr="0084504B" w:rsidRDefault="0084504B" w:rsidP="00177600">
            <w:pPr>
              <w:spacing w:after="0" w:line="240" w:lineRule="auto"/>
              <w:rPr>
                <w:rFonts w:ascii="Futura Std Condensed Light" w:eastAsia="Calibri" w:hAnsi="Futura Std Condensed Light" w:cs="Calibri"/>
                <w:sz w:val="18"/>
                <w:szCs w:val="18"/>
              </w:rPr>
            </w:pPr>
            <w:r w:rsidRPr="0084504B">
              <w:rPr>
                <w:rFonts w:ascii="Futura Std Condensed Light" w:eastAsia="Calibri" w:hAnsi="Futura Std Condensed Light" w:cs="Calibri"/>
                <w:sz w:val="18"/>
                <w:szCs w:val="18"/>
              </w:rPr>
              <w:t>Estadísticas continúas del formato 911 (inicio de ciclo escolar), SEQ.</w:t>
            </w:r>
          </w:p>
        </w:tc>
      </w:tr>
      <w:tr w:rsidR="0084504B" w:rsidRPr="00AD0C2B" w14:paraId="6B895F6C" w14:textId="77777777" w:rsidTr="0084504B">
        <w:trPr>
          <w:trHeight w:val="283"/>
          <w:jc w:val="center"/>
        </w:trPr>
        <w:tc>
          <w:tcPr>
            <w:tcW w:w="970" w:type="pct"/>
            <w:shd w:val="clear" w:color="auto" w:fill="FFFFFF" w:themeFill="background1"/>
            <w:tcMar>
              <w:top w:w="72" w:type="dxa"/>
              <w:left w:w="144" w:type="dxa"/>
              <w:bottom w:w="72" w:type="dxa"/>
              <w:right w:w="144" w:type="dxa"/>
            </w:tcMar>
            <w:hideMark/>
          </w:tcPr>
          <w:p w14:paraId="6646D75C" w14:textId="77777777" w:rsidR="0084504B" w:rsidRPr="0084504B" w:rsidRDefault="0084504B" w:rsidP="00177600">
            <w:pPr>
              <w:spacing w:after="0" w:line="240" w:lineRule="auto"/>
              <w:rPr>
                <w:rFonts w:ascii="Futura Std Condensed Light" w:eastAsia="Calibri" w:hAnsi="Futura Std Condensed Light" w:cs="Calibri"/>
                <w:sz w:val="18"/>
                <w:szCs w:val="18"/>
              </w:rPr>
            </w:pPr>
            <w:r w:rsidRPr="0084504B">
              <w:rPr>
                <w:rFonts w:ascii="Futura Std Condensed Light" w:eastAsia="Calibri" w:hAnsi="Futura Std Condensed Light" w:cs="Calibri"/>
                <w:sz w:val="18"/>
                <w:szCs w:val="18"/>
              </w:rPr>
              <w:t>Dimensión:</w:t>
            </w:r>
          </w:p>
        </w:tc>
        <w:tc>
          <w:tcPr>
            <w:tcW w:w="4030" w:type="pct"/>
            <w:shd w:val="clear" w:color="auto" w:fill="FFFFFF" w:themeFill="background1"/>
            <w:tcMar>
              <w:top w:w="72" w:type="dxa"/>
              <w:left w:w="144" w:type="dxa"/>
              <w:bottom w:w="72" w:type="dxa"/>
              <w:right w:w="144" w:type="dxa"/>
            </w:tcMar>
            <w:hideMark/>
          </w:tcPr>
          <w:p w14:paraId="46C0BFC2" w14:textId="09231070" w:rsidR="0084504B" w:rsidRPr="0084504B" w:rsidRDefault="0084504B" w:rsidP="00177600">
            <w:pPr>
              <w:spacing w:after="0" w:line="240" w:lineRule="auto"/>
              <w:rPr>
                <w:rFonts w:ascii="Futura Std Condensed Light" w:eastAsia="Calibri" w:hAnsi="Futura Std Condensed Light" w:cs="Calibri"/>
                <w:sz w:val="18"/>
                <w:szCs w:val="18"/>
              </w:rPr>
            </w:pPr>
            <w:r>
              <w:rPr>
                <w:rFonts w:ascii="Futura Std Condensed Light" w:eastAsia="Calibri" w:hAnsi="Futura Std Condensed Light" w:cs="Calibri"/>
                <w:sz w:val="18"/>
                <w:szCs w:val="18"/>
              </w:rPr>
              <w:t>Eficiencia</w:t>
            </w:r>
          </w:p>
        </w:tc>
      </w:tr>
      <w:tr w:rsidR="0084504B" w:rsidRPr="00AD0C2B" w14:paraId="26B04BA6" w14:textId="77777777" w:rsidTr="0084504B">
        <w:trPr>
          <w:trHeight w:val="283"/>
          <w:jc w:val="center"/>
        </w:trPr>
        <w:tc>
          <w:tcPr>
            <w:tcW w:w="970" w:type="pct"/>
            <w:shd w:val="clear" w:color="auto" w:fill="FFFFFF" w:themeFill="background1"/>
            <w:tcMar>
              <w:top w:w="72" w:type="dxa"/>
              <w:left w:w="144" w:type="dxa"/>
              <w:bottom w:w="72" w:type="dxa"/>
              <w:right w:w="144" w:type="dxa"/>
            </w:tcMar>
            <w:hideMark/>
          </w:tcPr>
          <w:p w14:paraId="101EAC4C" w14:textId="77777777" w:rsidR="0084504B" w:rsidRPr="0084504B" w:rsidRDefault="0084504B" w:rsidP="00177600">
            <w:pPr>
              <w:spacing w:after="0" w:line="240" w:lineRule="auto"/>
              <w:rPr>
                <w:rFonts w:ascii="Futura Std Condensed Light" w:eastAsia="Calibri" w:hAnsi="Futura Std Condensed Light" w:cs="Calibri"/>
                <w:sz w:val="18"/>
                <w:szCs w:val="18"/>
              </w:rPr>
            </w:pPr>
            <w:r w:rsidRPr="0084504B">
              <w:rPr>
                <w:rFonts w:ascii="Futura Std Condensed Light" w:eastAsia="Calibri" w:hAnsi="Futura Std Condensed Light" w:cs="Calibri"/>
                <w:sz w:val="18"/>
                <w:szCs w:val="18"/>
              </w:rPr>
              <w:t>Referencias adicionales:</w:t>
            </w:r>
          </w:p>
        </w:tc>
        <w:tc>
          <w:tcPr>
            <w:tcW w:w="4030" w:type="pct"/>
            <w:shd w:val="clear" w:color="auto" w:fill="FFFFFF" w:themeFill="background1"/>
            <w:tcMar>
              <w:top w:w="72" w:type="dxa"/>
              <w:left w:w="144" w:type="dxa"/>
              <w:bottom w:w="72" w:type="dxa"/>
              <w:right w:w="144" w:type="dxa"/>
            </w:tcMar>
            <w:hideMark/>
          </w:tcPr>
          <w:p w14:paraId="03C48F0B" w14:textId="77777777" w:rsidR="0084504B" w:rsidRPr="0084504B" w:rsidRDefault="0084504B" w:rsidP="00177600">
            <w:pPr>
              <w:spacing w:after="0" w:line="240" w:lineRule="auto"/>
              <w:rPr>
                <w:rFonts w:ascii="Futura Std Condensed Light" w:eastAsia="Calibri" w:hAnsi="Futura Std Condensed Light" w:cs="Calibri"/>
                <w:sz w:val="18"/>
                <w:szCs w:val="18"/>
              </w:rPr>
            </w:pPr>
          </w:p>
        </w:tc>
      </w:tr>
    </w:tbl>
    <w:p w14:paraId="307B54D0" w14:textId="7995F490" w:rsidR="0084504B" w:rsidRPr="00D364A1" w:rsidRDefault="0084504B" w:rsidP="005C18EB">
      <w:pPr>
        <w:rPr>
          <w:bCs/>
        </w:rPr>
      </w:pPr>
    </w:p>
    <w:p w14:paraId="4949C7A2" w14:textId="77777777" w:rsidR="002B38A6" w:rsidRDefault="002B38A6">
      <w:pPr>
        <w:spacing w:after="0" w:line="240" w:lineRule="auto"/>
        <w:jc w:val="left"/>
        <w:rPr>
          <w:b/>
        </w:rPr>
      </w:pPr>
      <w:r>
        <w:rPr>
          <w:b/>
        </w:rPr>
        <w:br w:type="page"/>
      </w:r>
    </w:p>
    <w:p w14:paraId="24A1EA8F" w14:textId="4FCB6761" w:rsidR="005C18EB" w:rsidRDefault="005C18EB" w:rsidP="005C18EB">
      <w:r>
        <w:rPr>
          <w:b/>
        </w:rPr>
        <w:lastRenderedPageBreak/>
        <w:t>Objetivo 3.</w:t>
      </w:r>
      <w:r w:rsidRPr="000A5290">
        <w:rPr>
          <w:rFonts w:eastAsia="Times New Roman" w:cs="Futura"/>
        </w:rPr>
        <w:t xml:space="preserve">Impulsar </w:t>
      </w:r>
      <w:r>
        <w:rPr>
          <w:rFonts w:eastAsia="Times New Roman" w:cs="Futura"/>
        </w:rPr>
        <w:t>en</w:t>
      </w:r>
      <w:r w:rsidRPr="000A5290">
        <w:rPr>
          <w:rFonts w:eastAsia="Times New Roman" w:cs="Futura"/>
        </w:rPr>
        <w:t xml:space="preserve"> ed</w:t>
      </w:r>
      <w:r>
        <w:rPr>
          <w:rFonts w:eastAsia="Times New Roman" w:cs="Futura"/>
        </w:rPr>
        <w:t xml:space="preserve">ucación básica </w:t>
      </w:r>
      <w:r w:rsidRPr="000A5290">
        <w:rPr>
          <w:rFonts w:eastAsia="Times New Roman" w:cs="Futura"/>
        </w:rPr>
        <w:t>acciones de respaldo a la trayectoria escolar, permanencia y egreso de los estudiantes.</w:t>
      </w:r>
    </w:p>
    <w:tbl>
      <w:tblPr>
        <w:tblW w:w="48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20" w:firstRow="1" w:lastRow="0" w:firstColumn="0" w:lastColumn="0" w:noHBand="0" w:noVBand="1"/>
      </w:tblPr>
      <w:tblGrid>
        <w:gridCol w:w="1810"/>
        <w:gridCol w:w="7521"/>
      </w:tblGrid>
      <w:tr w:rsidR="005C18EB" w:rsidRPr="005C18EB" w14:paraId="62823F80" w14:textId="77777777" w:rsidTr="00B0642E">
        <w:trPr>
          <w:trHeight w:val="283"/>
          <w:jc w:val="center"/>
        </w:trPr>
        <w:tc>
          <w:tcPr>
            <w:tcW w:w="970" w:type="pct"/>
            <w:shd w:val="clear" w:color="auto" w:fill="BFBFBF" w:themeFill="background1" w:themeFillShade="BF"/>
            <w:tcMar>
              <w:top w:w="72" w:type="dxa"/>
              <w:left w:w="144" w:type="dxa"/>
              <w:bottom w:w="72" w:type="dxa"/>
              <w:right w:w="144" w:type="dxa"/>
            </w:tcMar>
            <w:hideMark/>
          </w:tcPr>
          <w:p w14:paraId="252EC8B7" w14:textId="77777777" w:rsidR="005C18EB" w:rsidRPr="005C18EB" w:rsidRDefault="005C18EB" w:rsidP="005C18EB">
            <w:pPr>
              <w:spacing w:after="0"/>
              <w:rPr>
                <w:rFonts w:ascii="Futura Std Condensed Light" w:eastAsia="Calibri" w:hAnsi="Futura Std Condensed Light" w:cs="Calibri"/>
                <w:sz w:val="18"/>
                <w:szCs w:val="18"/>
              </w:rPr>
            </w:pPr>
            <w:r w:rsidRPr="005C18EB">
              <w:rPr>
                <w:rFonts w:ascii="Futura Std Condensed Light" w:eastAsia="Calibri" w:hAnsi="Futura Std Condensed Light" w:cs="Calibri"/>
                <w:sz w:val="18"/>
                <w:szCs w:val="18"/>
              </w:rPr>
              <w:t>Elemento</w:t>
            </w:r>
          </w:p>
        </w:tc>
        <w:tc>
          <w:tcPr>
            <w:tcW w:w="4030" w:type="pct"/>
            <w:shd w:val="clear" w:color="auto" w:fill="BFBFBF" w:themeFill="background1" w:themeFillShade="BF"/>
            <w:tcMar>
              <w:top w:w="72" w:type="dxa"/>
              <w:left w:w="144" w:type="dxa"/>
              <w:bottom w:w="72" w:type="dxa"/>
              <w:right w:w="144" w:type="dxa"/>
            </w:tcMar>
            <w:hideMark/>
          </w:tcPr>
          <w:p w14:paraId="0ED6D3A6" w14:textId="77777777" w:rsidR="005C18EB" w:rsidRPr="005C18EB" w:rsidRDefault="005C18EB" w:rsidP="005C18EB">
            <w:pPr>
              <w:spacing w:after="0"/>
              <w:rPr>
                <w:rFonts w:ascii="Futura Std Condensed Light" w:eastAsia="Calibri" w:hAnsi="Futura Std Condensed Light" w:cs="Calibri"/>
                <w:sz w:val="18"/>
                <w:szCs w:val="18"/>
              </w:rPr>
            </w:pPr>
            <w:r w:rsidRPr="005C18EB">
              <w:rPr>
                <w:rFonts w:ascii="Futura Std Condensed Light" w:eastAsia="Calibri" w:hAnsi="Futura Std Condensed Light" w:cs="Calibri"/>
                <w:sz w:val="18"/>
                <w:szCs w:val="18"/>
              </w:rPr>
              <w:t>Características</w:t>
            </w:r>
          </w:p>
        </w:tc>
      </w:tr>
      <w:tr w:rsidR="005C18EB" w:rsidRPr="005C18EB" w14:paraId="23445E48" w14:textId="77777777" w:rsidTr="00B0642E">
        <w:trPr>
          <w:trHeight w:val="283"/>
          <w:jc w:val="center"/>
        </w:trPr>
        <w:tc>
          <w:tcPr>
            <w:tcW w:w="970" w:type="pct"/>
            <w:shd w:val="clear" w:color="auto" w:fill="FFFFFF" w:themeFill="background1"/>
            <w:tcMar>
              <w:top w:w="72" w:type="dxa"/>
              <w:left w:w="144" w:type="dxa"/>
              <w:bottom w:w="72" w:type="dxa"/>
              <w:right w:w="144" w:type="dxa"/>
            </w:tcMar>
            <w:hideMark/>
          </w:tcPr>
          <w:p w14:paraId="39CAF42E" w14:textId="77777777" w:rsidR="005C18EB" w:rsidRPr="005C18EB" w:rsidRDefault="005C18EB" w:rsidP="005C18EB">
            <w:pPr>
              <w:spacing w:after="0"/>
              <w:rPr>
                <w:rFonts w:ascii="Futura Std Condensed Light" w:eastAsia="Calibri" w:hAnsi="Futura Std Condensed Light" w:cs="Calibri"/>
                <w:sz w:val="18"/>
                <w:szCs w:val="18"/>
              </w:rPr>
            </w:pPr>
            <w:r w:rsidRPr="005C18EB">
              <w:rPr>
                <w:rFonts w:ascii="Futura Std Condensed Light" w:eastAsia="Calibri" w:hAnsi="Futura Std Condensed Light" w:cs="Calibri"/>
                <w:sz w:val="18"/>
                <w:szCs w:val="18"/>
              </w:rPr>
              <w:t>Indicador:</w:t>
            </w:r>
          </w:p>
        </w:tc>
        <w:tc>
          <w:tcPr>
            <w:tcW w:w="4030" w:type="pct"/>
            <w:shd w:val="clear" w:color="auto" w:fill="FFFFFF" w:themeFill="background1"/>
            <w:tcMar>
              <w:top w:w="72" w:type="dxa"/>
              <w:left w:w="144" w:type="dxa"/>
              <w:bottom w:w="72" w:type="dxa"/>
              <w:right w:w="144" w:type="dxa"/>
            </w:tcMar>
            <w:hideMark/>
          </w:tcPr>
          <w:p w14:paraId="3A066B04" w14:textId="77777777" w:rsidR="005C18EB" w:rsidRPr="005C18EB" w:rsidRDefault="005C18EB" w:rsidP="005C18EB">
            <w:pPr>
              <w:spacing w:after="0"/>
              <w:rPr>
                <w:rFonts w:ascii="Futura Std Condensed Light" w:eastAsia="Calibri" w:hAnsi="Futura Std Condensed Light" w:cs="Calibri"/>
                <w:sz w:val="18"/>
                <w:szCs w:val="18"/>
              </w:rPr>
            </w:pPr>
            <w:r w:rsidRPr="005C18EB">
              <w:rPr>
                <w:rFonts w:ascii="Futura Std Condensed Light" w:eastAsia="Calibri" w:hAnsi="Futura Std Condensed Light" w:cs="Calibri"/>
                <w:sz w:val="18"/>
                <w:szCs w:val="18"/>
              </w:rPr>
              <w:t>Tasa de egreso de educación Básica</w:t>
            </w:r>
          </w:p>
        </w:tc>
      </w:tr>
      <w:tr w:rsidR="005C18EB" w:rsidRPr="005C18EB" w14:paraId="4E508F82" w14:textId="77777777" w:rsidTr="00B0642E">
        <w:trPr>
          <w:trHeight w:val="283"/>
          <w:jc w:val="center"/>
        </w:trPr>
        <w:tc>
          <w:tcPr>
            <w:tcW w:w="970" w:type="pct"/>
            <w:shd w:val="clear" w:color="auto" w:fill="FFFFFF" w:themeFill="background1"/>
            <w:tcMar>
              <w:top w:w="72" w:type="dxa"/>
              <w:left w:w="144" w:type="dxa"/>
              <w:bottom w:w="72" w:type="dxa"/>
              <w:right w:w="144" w:type="dxa"/>
            </w:tcMar>
          </w:tcPr>
          <w:p w14:paraId="10E1C43B" w14:textId="26E01716" w:rsidR="005C18EB" w:rsidRPr="005C18EB" w:rsidRDefault="005C18EB" w:rsidP="005C18EB">
            <w:pPr>
              <w:spacing w:after="0"/>
              <w:rPr>
                <w:rFonts w:ascii="Futura Std Condensed Light" w:eastAsia="Calibri" w:hAnsi="Futura Std Condensed Light" w:cs="Calibri"/>
                <w:sz w:val="18"/>
                <w:szCs w:val="18"/>
              </w:rPr>
            </w:pPr>
            <w:r w:rsidRPr="005C18EB">
              <w:rPr>
                <w:rFonts w:ascii="Futura Std Condensed Light" w:eastAsia="Calibri" w:hAnsi="Futura Std Condensed Light" w:cs="Calibri"/>
                <w:sz w:val="18"/>
                <w:szCs w:val="18"/>
              </w:rPr>
              <w:t>Objetivo</w:t>
            </w:r>
            <w:r>
              <w:rPr>
                <w:rFonts w:ascii="Futura Std Condensed Light" w:eastAsia="Calibri" w:hAnsi="Futura Std Condensed Light" w:cs="Calibri"/>
                <w:sz w:val="18"/>
                <w:szCs w:val="18"/>
              </w:rPr>
              <w:t xml:space="preserve"> 3</w:t>
            </w:r>
            <w:r w:rsidRPr="005C18EB">
              <w:rPr>
                <w:rFonts w:ascii="Futura Std Condensed Light" w:eastAsia="Calibri" w:hAnsi="Futura Std Condensed Light" w:cs="Calibri"/>
                <w:sz w:val="18"/>
                <w:szCs w:val="18"/>
              </w:rPr>
              <w:t>:</w:t>
            </w:r>
          </w:p>
        </w:tc>
        <w:tc>
          <w:tcPr>
            <w:tcW w:w="4030" w:type="pct"/>
            <w:shd w:val="clear" w:color="auto" w:fill="FFFFFF" w:themeFill="background1"/>
            <w:tcMar>
              <w:top w:w="72" w:type="dxa"/>
              <w:left w:w="144" w:type="dxa"/>
              <w:bottom w:w="72" w:type="dxa"/>
              <w:right w:w="144" w:type="dxa"/>
            </w:tcMar>
          </w:tcPr>
          <w:p w14:paraId="4031B744" w14:textId="77777777" w:rsidR="005C18EB" w:rsidRPr="005C18EB" w:rsidRDefault="005C18EB" w:rsidP="005C18EB">
            <w:pPr>
              <w:autoSpaceDE w:val="0"/>
              <w:autoSpaceDN w:val="0"/>
              <w:adjustRightInd w:val="0"/>
              <w:spacing w:after="0"/>
              <w:jc w:val="left"/>
              <w:rPr>
                <w:rFonts w:ascii="Futura Std Condensed Light" w:eastAsia="Calibri" w:hAnsi="Futura Std Condensed Light" w:cs="Calibri"/>
                <w:sz w:val="18"/>
                <w:szCs w:val="18"/>
              </w:rPr>
            </w:pPr>
            <w:r w:rsidRPr="005C18EB">
              <w:rPr>
                <w:rFonts w:ascii="Futura Std Condensed Light" w:eastAsia="Calibri" w:hAnsi="Futura Std Condensed Light" w:cs="Calibri"/>
                <w:sz w:val="18"/>
                <w:szCs w:val="18"/>
              </w:rPr>
              <w:t>Impulsar en educación básica acciones de respaldo a la trayectoria escolar, permanencia y egreso de los estudiantes.</w:t>
            </w:r>
          </w:p>
        </w:tc>
      </w:tr>
      <w:tr w:rsidR="005C18EB" w:rsidRPr="005C18EB" w14:paraId="124B1A49" w14:textId="77777777" w:rsidTr="00B0642E">
        <w:trPr>
          <w:trHeight w:val="283"/>
          <w:jc w:val="center"/>
        </w:trPr>
        <w:tc>
          <w:tcPr>
            <w:tcW w:w="970" w:type="pct"/>
            <w:shd w:val="clear" w:color="auto" w:fill="FFFFFF" w:themeFill="background1"/>
            <w:tcMar>
              <w:top w:w="72" w:type="dxa"/>
              <w:left w:w="144" w:type="dxa"/>
              <w:bottom w:w="72" w:type="dxa"/>
              <w:right w:w="144" w:type="dxa"/>
            </w:tcMar>
            <w:hideMark/>
          </w:tcPr>
          <w:p w14:paraId="039E45F9" w14:textId="77777777" w:rsidR="005C18EB" w:rsidRPr="005C18EB" w:rsidRDefault="005C18EB" w:rsidP="005C18EB">
            <w:pPr>
              <w:spacing w:after="0"/>
              <w:rPr>
                <w:rFonts w:ascii="Futura Std Condensed Light" w:eastAsia="Calibri" w:hAnsi="Futura Std Condensed Light" w:cs="Calibri"/>
                <w:sz w:val="18"/>
                <w:szCs w:val="18"/>
              </w:rPr>
            </w:pPr>
            <w:r w:rsidRPr="005C18EB">
              <w:rPr>
                <w:rFonts w:ascii="Futura Std Condensed Light" w:eastAsia="Calibri" w:hAnsi="Futura Std Condensed Light" w:cs="Calibri"/>
                <w:sz w:val="18"/>
                <w:szCs w:val="18"/>
              </w:rPr>
              <w:t>Descripción:</w:t>
            </w:r>
          </w:p>
        </w:tc>
        <w:tc>
          <w:tcPr>
            <w:tcW w:w="4030" w:type="pct"/>
            <w:shd w:val="clear" w:color="auto" w:fill="FFFFFF" w:themeFill="background1"/>
            <w:tcMar>
              <w:top w:w="72" w:type="dxa"/>
              <w:left w:w="144" w:type="dxa"/>
              <w:bottom w:w="72" w:type="dxa"/>
              <w:right w:w="144" w:type="dxa"/>
            </w:tcMar>
            <w:hideMark/>
          </w:tcPr>
          <w:p w14:paraId="69EF0977" w14:textId="77777777" w:rsidR="005C18EB" w:rsidRPr="005C18EB" w:rsidRDefault="005C18EB" w:rsidP="005C18EB">
            <w:pPr>
              <w:spacing w:after="0"/>
              <w:rPr>
                <w:rFonts w:ascii="Futura Std Condensed Light" w:eastAsia="Calibri" w:hAnsi="Futura Std Condensed Light" w:cs="Calibri"/>
                <w:sz w:val="18"/>
                <w:szCs w:val="18"/>
              </w:rPr>
            </w:pPr>
            <w:r w:rsidRPr="005C18EB">
              <w:rPr>
                <w:rFonts w:ascii="Futura Std Condensed Light" w:eastAsia="Calibri" w:hAnsi="Futura Std Condensed Light" w:cs="Calibri"/>
                <w:sz w:val="18"/>
                <w:szCs w:val="18"/>
              </w:rPr>
              <w:t>Este indicador muestra el porcentaje de alumnos que concluyen o egresan de la educación básica, respecto al total de alumnos al inicio del último grado escolar de educación secundaria.</w:t>
            </w:r>
          </w:p>
        </w:tc>
      </w:tr>
      <w:tr w:rsidR="005C18EB" w:rsidRPr="005C18EB" w14:paraId="552FD75D" w14:textId="77777777" w:rsidTr="00B0642E">
        <w:trPr>
          <w:trHeight w:val="283"/>
          <w:jc w:val="center"/>
        </w:trPr>
        <w:tc>
          <w:tcPr>
            <w:tcW w:w="970" w:type="pct"/>
            <w:shd w:val="clear" w:color="auto" w:fill="FFFFFF" w:themeFill="background1"/>
            <w:tcMar>
              <w:top w:w="72" w:type="dxa"/>
              <w:left w:w="144" w:type="dxa"/>
              <w:bottom w:w="72" w:type="dxa"/>
              <w:right w:w="144" w:type="dxa"/>
            </w:tcMar>
            <w:hideMark/>
          </w:tcPr>
          <w:p w14:paraId="663C2641" w14:textId="77777777" w:rsidR="005C18EB" w:rsidRPr="005C18EB" w:rsidRDefault="005C18EB" w:rsidP="005C18EB">
            <w:pPr>
              <w:spacing w:after="0"/>
              <w:rPr>
                <w:rFonts w:ascii="Futura Std Condensed Light" w:eastAsia="Calibri" w:hAnsi="Futura Std Condensed Light" w:cs="Calibri"/>
                <w:sz w:val="18"/>
                <w:szCs w:val="18"/>
              </w:rPr>
            </w:pPr>
            <w:r w:rsidRPr="005C18EB">
              <w:rPr>
                <w:rFonts w:ascii="Futura Std Condensed Light" w:eastAsia="Calibri" w:hAnsi="Futura Std Condensed Light" w:cs="Calibri"/>
                <w:sz w:val="18"/>
                <w:szCs w:val="18"/>
              </w:rPr>
              <w:t>Método de cálculo:</w:t>
            </w:r>
          </w:p>
        </w:tc>
        <w:tc>
          <w:tcPr>
            <w:tcW w:w="4030" w:type="pct"/>
            <w:shd w:val="clear" w:color="auto" w:fill="FFFFFF" w:themeFill="background1"/>
            <w:tcMar>
              <w:top w:w="72" w:type="dxa"/>
              <w:left w:w="144" w:type="dxa"/>
              <w:bottom w:w="72" w:type="dxa"/>
              <w:right w:w="144" w:type="dxa"/>
            </w:tcMar>
            <w:hideMark/>
          </w:tcPr>
          <w:p w14:paraId="2C946D3F" w14:textId="77777777" w:rsidR="005C18EB" w:rsidRPr="005C18EB" w:rsidRDefault="005C18EB" w:rsidP="005C18EB">
            <w:pPr>
              <w:spacing w:after="0"/>
              <w:rPr>
                <w:rFonts w:ascii="Futura Std Condensed Light" w:eastAsia="Calibri" w:hAnsi="Futura Std Condensed Light" w:cs="Calibri"/>
                <w:sz w:val="18"/>
                <w:szCs w:val="18"/>
              </w:rPr>
            </w:pPr>
            <w:r w:rsidRPr="005C18EB">
              <w:rPr>
                <w:rFonts w:ascii="Futura Std Condensed Light" w:eastAsia="Calibri" w:hAnsi="Futura Std Condensed Light" w:cs="Calibri"/>
                <w:sz w:val="18"/>
                <w:szCs w:val="18"/>
              </w:rPr>
              <w:t>(Alumnos egresados de educación secundaria en el ciclo escolar t / Total de alumnos a inicio del último grado de educación secundaria en el ciclo escolar t) X 100</w:t>
            </w:r>
          </w:p>
        </w:tc>
      </w:tr>
      <w:tr w:rsidR="005C18EB" w:rsidRPr="005C18EB" w14:paraId="34244CC7" w14:textId="77777777" w:rsidTr="00B0642E">
        <w:trPr>
          <w:trHeight w:val="283"/>
          <w:jc w:val="center"/>
        </w:trPr>
        <w:tc>
          <w:tcPr>
            <w:tcW w:w="970" w:type="pct"/>
            <w:shd w:val="clear" w:color="auto" w:fill="FFFFFF" w:themeFill="background1"/>
            <w:tcMar>
              <w:top w:w="72" w:type="dxa"/>
              <w:left w:w="144" w:type="dxa"/>
              <w:bottom w:w="72" w:type="dxa"/>
              <w:right w:w="144" w:type="dxa"/>
            </w:tcMar>
            <w:hideMark/>
          </w:tcPr>
          <w:p w14:paraId="2765DD95" w14:textId="77777777" w:rsidR="005C18EB" w:rsidRPr="005C18EB" w:rsidRDefault="005C18EB" w:rsidP="005C18EB">
            <w:pPr>
              <w:spacing w:after="0"/>
              <w:rPr>
                <w:rFonts w:ascii="Futura Std Condensed Light" w:eastAsia="Calibri" w:hAnsi="Futura Std Condensed Light" w:cs="Calibri"/>
                <w:sz w:val="18"/>
                <w:szCs w:val="18"/>
              </w:rPr>
            </w:pPr>
            <w:r w:rsidRPr="005C18EB">
              <w:rPr>
                <w:rFonts w:ascii="Futura Std Condensed Light" w:eastAsia="Calibri" w:hAnsi="Futura Std Condensed Light" w:cs="Calibri"/>
                <w:sz w:val="18"/>
                <w:szCs w:val="18"/>
              </w:rPr>
              <w:t>Periodicidad:</w:t>
            </w:r>
          </w:p>
        </w:tc>
        <w:tc>
          <w:tcPr>
            <w:tcW w:w="4030" w:type="pct"/>
            <w:shd w:val="clear" w:color="auto" w:fill="FFFFFF" w:themeFill="background1"/>
            <w:tcMar>
              <w:top w:w="72" w:type="dxa"/>
              <w:left w:w="144" w:type="dxa"/>
              <w:bottom w:w="72" w:type="dxa"/>
              <w:right w:w="144" w:type="dxa"/>
            </w:tcMar>
            <w:hideMark/>
          </w:tcPr>
          <w:p w14:paraId="09F26BF5" w14:textId="77777777" w:rsidR="005C18EB" w:rsidRPr="005C18EB" w:rsidRDefault="005C18EB" w:rsidP="005C18EB">
            <w:pPr>
              <w:spacing w:after="0"/>
              <w:rPr>
                <w:rFonts w:ascii="Futura Std Condensed Light" w:eastAsia="Calibri" w:hAnsi="Futura Std Condensed Light" w:cs="Calibri"/>
                <w:sz w:val="18"/>
                <w:szCs w:val="18"/>
              </w:rPr>
            </w:pPr>
            <w:r w:rsidRPr="005C18EB">
              <w:rPr>
                <w:rFonts w:ascii="Futura Std Condensed Light" w:eastAsia="Calibri" w:hAnsi="Futura Std Condensed Light" w:cs="Calibri"/>
                <w:sz w:val="18"/>
                <w:szCs w:val="18"/>
              </w:rPr>
              <w:t>Anual</w:t>
            </w:r>
          </w:p>
        </w:tc>
      </w:tr>
      <w:tr w:rsidR="005C18EB" w:rsidRPr="005C18EB" w14:paraId="19C98C00" w14:textId="77777777" w:rsidTr="00B0642E">
        <w:trPr>
          <w:trHeight w:val="283"/>
          <w:jc w:val="center"/>
        </w:trPr>
        <w:tc>
          <w:tcPr>
            <w:tcW w:w="970" w:type="pct"/>
            <w:shd w:val="clear" w:color="auto" w:fill="FFFFFF" w:themeFill="background1"/>
            <w:tcMar>
              <w:top w:w="72" w:type="dxa"/>
              <w:left w:w="144" w:type="dxa"/>
              <w:bottom w:w="72" w:type="dxa"/>
              <w:right w:w="144" w:type="dxa"/>
            </w:tcMar>
            <w:hideMark/>
          </w:tcPr>
          <w:p w14:paraId="6FA23FAA" w14:textId="77777777" w:rsidR="005C18EB" w:rsidRPr="005C18EB" w:rsidRDefault="005C18EB" w:rsidP="005C18EB">
            <w:pPr>
              <w:spacing w:after="0"/>
              <w:rPr>
                <w:rFonts w:ascii="Futura Std Condensed Light" w:eastAsia="Calibri" w:hAnsi="Futura Std Condensed Light" w:cs="Calibri"/>
                <w:sz w:val="18"/>
                <w:szCs w:val="18"/>
              </w:rPr>
            </w:pPr>
            <w:r w:rsidRPr="005C18EB">
              <w:rPr>
                <w:rFonts w:ascii="Futura Std Condensed Light" w:eastAsia="Calibri" w:hAnsi="Futura Std Condensed Light" w:cs="Calibri"/>
                <w:sz w:val="18"/>
                <w:szCs w:val="18"/>
              </w:rPr>
              <w:t>Fuente:</w:t>
            </w:r>
          </w:p>
        </w:tc>
        <w:tc>
          <w:tcPr>
            <w:tcW w:w="4030" w:type="pct"/>
            <w:shd w:val="clear" w:color="auto" w:fill="FFFFFF" w:themeFill="background1"/>
            <w:tcMar>
              <w:top w:w="72" w:type="dxa"/>
              <w:left w:w="144" w:type="dxa"/>
              <w:bottom w:w="72" w:type="dxa"/>
              <w:right w:w="144" w:type="dxa"/>
            </w:tcMar>
            <w:hideMark/>
          </w:tcPr>
          <w:p w14:paraId="3E7140A3" w14:textId="77777777" w:rsidR="005C18EB" w:rsidRPr="005C18EB" w:rsidRDefault="005C18EB" w:rsidP="005C18EB">
            <w:pPr>
              <w:spacing w:after="0"/>
              <w:rPr>
                <w:rFonts w:ascii="Futura Std Condensed Light" w:eastAsia="Calibri" w:hAnsi="Futura Std Condensed Light" w:cs="Calibri"/>
                <w:sz w:val="18"/>
                <w:szCs w:val="18"/>
              </w:rPr>
            </w:pPr>
            <w:r w:rsidRPr="005C18EB">
              <w:rPr>
                <w:rFonts w:ascii="Futura Std Condensed Light" w:eastAsia="Calibri" w:hAnsi="Futura Std Condensed Light" w:cs="Calibri"/>
                <w:sz w:val="18"/>
                <w:szCs w:val="18"/>
              </w:rPr>
              <w:t xml:space="preserve">Estadísticas continúas del formato 911 (inicio de ciclo escolar), SEQ. </w:t>
            </w:r>
          </w:p>
        </w:tc>
      </w:tr>
      <w:tr w:rsidR="005C18EB" w:rsidRPr="005C18EB" w14:paraId="1AD67C42" w14:textId="77777777" w:rsidTr="00B0642E">
        <w:trPr>
          <w:trHeight w:val="283"/>
          <w:jc w:val="center"/>
        </w:trPr>
        <w:tc>
          <w:tcPr>
            <w:tcW w:w="970" w:type="pct"/>
            <w:shd w:val="clear" w:color="auto" w:fill="FFFFFF" w:themeFill="background1"/>
            <w:tcMar>
              <w:top w:w="72" w:type="dxa"/>
              <w:left w:w="144" w:type="dxa"/>
              <w:bottom w:w="72" w:type="dxa"/>
              <w:right w:w="144" w:type="dxa"/>
            </w:tcMar>
            <w:hideMark/>
          </w:tcPr>
          <w:p w14:paraId="640CAD38" w14:textId="77777777" w:rsidR="005C18EB" w:rsidRPr="005C18EB" w:rsidRDefault="005C18EB" w:rsidP="005C18EB">
            <w:pPr>
              <w:spacing w:after="0"/>
              <w:rPr>
                <w:rFonts w:ascii="Futura Std Condensed Light" w:eastAsia="Calibri" w:hAnsi="Futura Std Condensed Light" w:cs="Calibri"/>
                <w:sz w:val="18"/>
                <w:szCs w:val="18"/>
              </w:rPr>
            </w:pPr>
            <w:r w:rsidRPr="005C18EB">
              <w:rPr>
                <w:rFonts w:ascii="Futura Std Condensed Light" w:eastAsia="Calibri" w:hAnsi="Futura Std Condensed Light" w:cs="Calibri"/>
                <w:sz w:val="18"/>
                <w:szCs w:val="18"/>
              </w:rPr>
              <w:t>Dimensión:</w:t>
            </w:r>
          </w:p>
        </w:tc>
        <w:tc>
          <w:tcPr>
            <w:tcW w:w="4030" w:type="pct"/>
            <w:shd w:val="clear" w:color="auto" w:fill="FFFFFF" w:themeFill="background1"/>
            <w:tcMar>
              <w:top w:w="72" w:type="dxa"/>
              <w:left w:w="144" w:type="dxa"/>
              <w:bottom w:w="72" w:type="dxa"/>
              <w:right w:w="144" w:type="dxa"/>
            </w:tcMar>
            <w:hideMark/>
          </w:tcPr>
          <w:p w14:paraId="555E39A6" w14:textId="77777777" w:rsidR="005C18EB" w:rsidRPr="005C18EB" w:rsidRDefault="005C18EB" w:rsidP="005C18EB">
            <w:pPr>
              <w:spacing w:after="0"/>
              <w:rPr>
                <w:rFonts w:ascii="Futura Std Condensed Light" w:eastAsia="Calibri" w:hAnsi="Futura Std Condensed Light" w:cs="Calibri"/>
                <w:sz w:val="18"/>
                <w:szCs w:val="18"/>
              </w:rPr>
            </w:pPr>
            <w:r w:rsidRPr="005C18EB">
              <w:rPr>
                <w:rFonts w:ascii="Futura Std Condensed Light" w:eastAsia="Calibri" w:hAnsi="Futura Std Condensed Light" w:cs="Calibri"/>
                <w:sz w:val="18"/>
                <w:szCs w:val="18"/>
              </w:rPr>
              <w:t>Eficacia</w:t>
            </w:r>
          </w:p>
        </w:tc>
      </w:tr>
      <w:tr w:rsidR="005C18EB" w:rsidRPr="005C18EB" w14:paraId="7BDC22CE" w14:textId="77777777" w:rsidTr="00B0642E">
        <w:trPr>
          <w:trHeight w:val="283"/>
          <w:jc w:val="center"/>
        </w:trPr>
        <w:tc>
          <w:tcPr>
            <w:tcW w:w="970" w:type="pct"/>
            <w:shd w:val="clear" w:color="auto" w:fill="FFFFFF" w:themeFill="background1"/>
            <w:tcMar>
              <w:top w:w="72" w:type="dxa"/>
              <w:left w:w="144" w:type="dxa"/>
              <w:bottom w:w="72" w:type="dxa"/>
              <w:right w:w="144" w:type="dxa"/>
            </w:tcMar>
            <w:hideMark/>
          </w:tcPr>
          <w:p w14:paraId="3169B97C" w14:textId="77777777" w:rsidR="005C18EB" w:rsidRPr="005C18EB" w:rsidRDefault="005C18EB" w:rsidP="005C18EB">
            <w:pPr>
              <w:spacing w:after="0"/>
              <w:rPr>
                <w:rFonts w:ascii="Futura Std Condensed Light" w:eastAsia="Calibri" w:hAnsi="Futura Std Condensed Light" w:cs="Calibri"/>
                <w:sz w:val="18"/>
                <w:szCs w:val="18"/>
              </w:rPr>
            </w:pPr>
            <w:r w:rsidRPr="005C18EB">
              <w:rPr>
                <w:rFonts w:ascii="Futura Std Condensed Light" w:eastAsia="Calibri" w:hAnsi="Futura Std Condensed Light" w:cs="Calibri"/>
                <w:sz w:val="18"/>
                <w:szCs w:val="18"/>
              </w:rPr>
              <w:t>Referencias adicionales:</w:t>
            </w:r>
          </w:p>
        </w:tc>
        <w:tc>
          <w:tcPr>
            <w:tcW w:w="4030" w:type="pct"/>
            <w:shd w:val="clear" w:color="auto" w:fill="FFFFFF" w:themeFill="background1"/>
            <w:tcMar>
              <w:top w:w="72" w:type="dxa"/>
              <w:left w:w="144" w:type="dxa"/>
              <w:bottom w:w="72" w:type="dxa"/>
              <w:right w:w="144" w:type="dxa"/>
            </w:tcMar>
            <w:hideMark/>
          </w:tcPr>
          <w:p w14:paraId="3FFD84CA" w14:textId="77777777" w:rsidR="005C18EB" w:rsidRPr="005C18EB" w:rsidRDefault="005C18EB" w:rsidP="005C18EB">
            <w:pPr>
              <w:spacing w:after="0"/>
              <w:rPr>
                <w:rFonts w:ascii="Futura Std Condensed Light" w:eastAsia="Calibri" w:hAnsi="Futura Std Condensed Light" w:cs="Calibri"/>
                <w:sz w:val="18"/>
                <w:szCs w:val="18"/>
              </w:rPr>
            </w:pPr>
          </w:p>
        </w:tc>
      </w:tr>
    </w:tbl>
    <w:p w14:paraId="260CB8E8" w14:textId="77777777" w:rsidR="005C18EB" w:rsidRDefault="005C18EB" w:rsidP="00C11F5C"/>
    <w:p w14:paraId="6D4F66D1" w14:textId="77777777" w:rsidR="002B38A6" w:rsidRDefault="002B38A6">
      <w:pPr>
        <w:spacing w:after="0" w:line="240" w:lineRule="auto"/>
        <w:jc w:val="left"/>
        <w:rPr>
          <w:rFonts w:eastAsia="Times New Roman" w:cs="Futura"/>
          <w:b/>
        </w:rPr>
      </w:pPr>
      <w:r>
        <w:rPr>
          <w:rFonts w:eastAsia="Times New Roman" w:cs="Futura"/>
          <w:b/>
        </w:rPr>
        <w:br w:type="page"/>
      </w:r>
    </w:p>
    <w:p w14:paraId="2843D9BD" w14:textId="2C55A95F" w:rsidR="005C18EB" w:rsidRDefault="005C18EB" w:rsidP="005C18EB">
      <w:pPr>
        <w:autoSpaceDE w:val="0"/>
        <w:autoSpaceDN w:val="0"/>
        <w:adjustRightInd w:val="0"/>
        <w:spacing w:after="0" w:line="240" w:lineRule="auto"/>
        <w:rPr>
          <w:rFonts w:eastAsia="Times New Roman" w:cs="Futura"/>
        </w:rPr>
      </w:pPr>
      <w:r>
        <w:rPr>
          <w:rFonts w:eastAsia="Times New Roman" w:cs="Futura"/>
          <w:b/>
        </w:rPr>
        <w:lastRenderedPageBreak/>
        <w:t>Estrategia  3</w:t>
      </w:r>
      <w:r w:rsidRPr="005C18EB">
        <w:rPr>
          <w:rFonts w:eastAsia="Times New Roman" w:cs="Futura"/>
          <w:b/>
        </w:rPr>
        <w:t>.</w:t>
      </w:r>
      <w:r w:rsidRPr="005C18EB">
        <w:rPr>
          <w:rFonts w:eastAsia="Times New Roman" w:cs="Futura"/>
        </w:rPr>
        <w:t xml:space="preserve"> Propiciar en los centros educativos ambientes que favorezcan los aprendizajes y propicien el desarrollo de los estudiantes a través de mecanismos de detección de la población escolar en riesgo de reprobación que permita la aplicación de estrategias de apoyo diferenciado.</w:t>
      </w:r>
    </w:p>
    <w:p w14:paraId="261E672C" w14:textId="02469638" w:rsidR="00D0670B" w:rsidRPr="005C18EB" w:rsidRDefault="0022467E" w:rsidP="005C18EB">
      <w:pPr>
        <w:autoSpaceDE w:val="0"/>
        <w:autoSpaceDN w:val="0"/>
        <w:adjustRightInd w:val="0"/>
        <w:spacing w:after="0" w:line="240" w:lineRule="auto"/>
        <w:rPr>
          <w:rFonts w:eastAsia="Times New Roman" w:cs="Futura"/>
        </w:rPr>
      </w:pPr>
      <w:r>
        <w:rPr>
          <w:rFonts w:eastAsia="Times New Roman" w:cs="Futura"/>
        </w:rPr>
        <w:t xml:space="preserve"> </w:t>
      </w:r>
    </w:p>
    <w:tbl>
      <w:tblPr>
        <w:tblW w:w="48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20" w:firstRow="1" w:lastRow="0" w:firstColumn="0" w:lastColumn="0" w:noHBand="0" w:noVBand="1"/>
      </w:tblPr>
      <w:tblGrid>
        <w:gridCol w:w="1664"/>
        <w:gridCol w:w="7520"/>
      </w:tblGrid>
      <w:tr w:rsidR="005C18EB" w:rsidRPr="005C18EB" w14:paraId="320497EB" w14:textId="77777777" w:rsidTr="00F13334">
        <w:trPr>
          <w:trHeight w:val="283"/>
          <w:jc w:val="center"/>
        </w:trPr>
        <w:tc>
          <w:tcPr>
            <w:tcW w:w="906" w:type="pct"/>
            <w:shd w:val="clear" w:color="auto" w:fill="BFBFBF" w:themeFill="background1" w:themeFillShade="BF"/>
            <w:tcMar>
              <w:top w:w="72" w:type="dxa"/>
              <w:left w:w="144" w:type="dxa"/>
              <w:bottom w:w="72" w:type="dxa"/>
              <w:right w:w="144" w:type="dxa"/>
            </w:tcMar>
            <w:hideMark/>
          </w:tcPr>
          <w:p w14:paraId="63D6EA8F" w14:textId="77777777" w:rsidR="005C18EB" w:rsidRPr="005C18EB" w:rsidRDefault="005C18EB" w:rsidP="005C18EB">
            <w:pPr>
              <w:autoSpaceDE w:val="0"/>
              <w:autoSpaceDN w:val="0"/>
              <w:adjustRightInd w:val="0"/>
              <w:spacing w:after="0"/>
              <w:jc w:val="left"/>
              <w:rPr>
                <w:rFonts w:ascii="Futura Std Condensed Light" w:eastAsia="Calibri" w:hAnsi="Futura Std Condensed Light" w:cs="Calibri"/>
                <w:sz w:val="18"/>
                <w:szCs w:val="18"/>
              </w:rPr>
            </w:pPr>
            <w:r w:rsidRPr="005C18EB">
              <w:rPr>
                <w:rFonts w:ascii="Futura Std Condensed Light" w:eastAsia="Calibri" w:hAnsi="Futura Std Condensed Light" w:cs="Calibri"/>
                <w:sz w:val="18"/>
                <w:szCs w:val="18"/>
              </w:rPr>
              <w:t>Elemento</w:t>
            </w:r>
          </w:p>
        </w:tc>
        <w:tc>
          <w:tcPr>
            <w:tcW w:w="4094" w:type="pct"/>
            <w:shd w:val="clear" w:color="auto" w:fill="BFBFBF" w:themeFill="background1" w:themeFillShade="BF"/>
            <w:tcMar>
              <w:top w:w="72" w:type="dxa"/>
              <w:left w:w="144" w:type="dxa"/>
              <w:bottom w:w="72" w:type="dxa"/>
              <w:right w:w="144" w:type="dxa"/>
            </w:tcMar>
            <w:hideMark/>
          </w:tcPr>
          <w:p w14:paraId="46F14C30" w14:textId="77777777" w:rsidR="005C18EB" w:rsidRPr="005C18EB" w:rsidRDefault="005C18EB" w:rsidP="005C18EB">
            <w:pPr>
              <w:autoSpaceDE w:val="0"/>
              <w:autoSpaceDN w:val="0"/>
              <w:adjustRightInd w:val="0"/>
              <w:spacing w:after="0"/>
              <w:jc w:val="left"/>
              <w:rPr>
                <w:rFonts w:ascii="Futura Std Condensed Light" w:eastAsia="Calibri" w:hAnsi="Futura Std Condensed Light" w:cs="Calibri"/>
                <w:sz w:val="18"/>
                <w:szCs w:val="18"/>
              </w:rPr>
            </w:pPr>
            <w:r w:rsidRPr="005C18EB">
              <w:rPr>
                <w:rFonts w:ascii="Futura Std Condensed Light" w:eastAsia="Calibri" w:hAnsi="Futura Std Condensed Light" w:cs="Calibri"/>
                <w:sz w:val="18"/>
                <w:szCs w:val="18"/>
              </w:rPr>
              <w:t>Características</w:t>
            </w:r>
          </w:p>
        </w:tc>
      </w:tr>
      <w:tr w:rsidR="005C18EB" w:rsidRPr="005C18EB" w14:paraId="025CBE6D" w14:textId="77777777" w:rsidTr="00F13334">
        <w:trPr>
          <w:trHeight w:val="283"/>
          <w:jc w:val="center"/>
        </w:trPr>
        <w:tc>
          <w:tcPr>
            <w:tcW w:w="906" w:type="pct"/>
            <w:shd w:val="clear" w:color="auto" w:fill="FFFFFF" w:themeFill="background1"/>
            <w:tcMar>
              <w:top w:w="72" w:type="dxa"/>
              <w:left w:w="144" w:type="dxa"/>
              <w:bottom w:w="72" w:type="dxa"/>
              <w:right w:w="144" w:type="dxa"/>
            </w:tcMar>
            <w:hideMark/>
          </w:tcPr>
          <w:p w14:paraId="7544DAF9" w14:textId="77777777" w:rsidR="005C18EB" w:rsidRPr="005C18EB" w:rsidRDefault="005C18EB" w:rsidP="005C18EB">
            <w:pPr>
              <w:autoSpaceDE w:val="0"/>
              <w:autoSpaceDN w:val="0"/>
              <w:adjustRightInd w:val="0"/>
              <w:spacing w:after="0"/>
              <w:jc w:val="left"/>
              <w:rPr>
                <w:rFonts w:ascii="Futura Std Condensed Light" w:eastAsia="Calibri" w:hAnsi="Futura Std Condensed Light" w:cs="Calibri"/>
                <w:sz w:val="18"/>
                <w:szCs w:val="18"/>
              </w:rPr>
            </w:pPr>
            <w:r w:rsidRPr="005C18EB">
              <w:rPr>
                <w:rFonts w:ascii="Futura Std Condensed Light" w:eastAsia="Calibri" w:hAnsi="Futura Std Condensed Light" w:cs="Calibri"/>
                <w:sz w:val="18"/>
                <w:szCs w:val="18"/>
              </w:rPr>
              <w:t>Indicador:</w:t>
            </w:r>
          </w:p>
        </w:tc>
        <w:tc>
          <w:tcPr>
            <w:tcW w:w="4094" w:type="pct"/>
            <w:shd w:val="clear" w:color="auto" w:fill="FFFFFF" w:themeFill="background1"/>
            <w:tcMar>
              <w:top w:w="72" w:type="dxa"/>
              <w:left w:w="144" w:type="dxa"/>
              <w:bottom w:w="72" w:type="dxa"/>
              <w:right w:w="144" w:type="dxa"/>
            </w:tcMar>
            <w:hideMark/>
          </w:tcPr>
          <w:p w14:paraId="6D918308" w14:textId="77777777" w:rsidR="005C18EB" w:rsidRPr="005C18EB" w:rsidRDefault="005C18EB" w:rsidP="005C18EB">
            <w:pPr>
              <w:autoSpaceDE w:val="0"/>
              <w:autoSpaceDN w:val="0"/>
              <w:adjustRightInd w:val="0"/>
              <w:spacing w:after="0"/>
              <w:jc w:val="left"/>
              <w:rPr>
                <w:rFonts w:ascii="Futura Std Condensed Light" w:eastAsia="Calibri" w:hAnsi="Futura Std Condensed Light" w:cs="Calibri"/>
                <w:sz w:val="18"/>
                <w:szCs w:val="18"/>
              </w:rPr>
            </w:pPr>
            <w:r w:rsidRPr="005C18EB">
              <w:rPr>
                <w:rFonts w:ascii="Futura Std Condensed Light" w:eastAsia="Calibri" w:hAnsi="Futura Std Condensed Light" w:cs="Calibri"/>
                <w:sz w:val="18"/>
                <w:szCs w:val="18"/>
              </w:rPr>
              <w:t>Tasa de reprobación de educación Básica</w:t>
            </w:r>
          </w:p>
        </w:tc>
      </w:tr>
      <w:tr w:rsidR="005C18EB" w:rsidRPr="005C18EB" w14:paraId="51A21E7E" w14:textId="77777777" w:rsidTr="00F13334">
        <w:trPr>
          <w:trHeight w:val="283"/>
          <w:jc w:val="center"/>
        </w:trPr>
        <w:tc>
          <w:tcPr>
            <w:tcW w:w="906" w:type="pct"/>
            <w:shd w:val="clear" w:color="auto" w:fill="FFFFFF" w:themeFill="background1"/>
            <w:tcMar>
              <w:top w:w="72" w:type="dxa"/>
              <w:left w:w="144" w:type="dxa"/>
              <w:bottom w:w="72" w:type="dxa"/>
              <w:right w:w="144" w:type="dxa"/>
            </w:tcMar>
          </w:tcPr>
          <w:p w14:paraId="3B01FA18" w14:textId="2D8B04DC" w:rsidR="005C18EB" w:rsidRPr="005C18EB" w:rsidRDefault="00F13334" w:rsidP="005C18EB">
            <w:pPr>
              <w:autoSpaceDE w:val="0"/>
              <w:autoSpaceDN w:val="0"/>
              <w:adjustRightInd w:val="0"/>
              <w:spacing w:after="0"/>
              <w:jc w:val="left"/>
              <w:rPr>
                <w:rFonts w:ascii="Futura Std Condensed Light" w:eastAsia="Calibri" w:hAnsi="Futura Std Condensed Light" w:cs="Calibri"/>
                <w:sz w:val="18"/>
                <w:szCs w:val="18"/>
              </w:rPr>
            </w:pPr>
            <w:r>
              <w:rPr>
                <w:rFonts w:ascii="Futura Std Condensed Light" w:eastAsia="Calibri" w:hAnsi="Futura Std Condensed Light" w:cs="Calibri"/>
                <w:sz w:val="18"/>
                <w:szCs w:val="18"/>
              </w:rPr>
              <w:t>Estrategia 3</w:t>
            </w:r>
            <w:r w:rsidR="005C18EB" w:rsidRPr="005C18EB">
              <w:rPr>
                <w:rFonts w:ascii="Futura Std Condensed Light" w:eastAsia="Calibri" w:hAnsi="Futura Std Condensed Light" w:cs="Calibri"/>
                <w:sz w:val="18"/>
                <w:szCs w:val="18"/>
              </w:rPr>
              <w:t xml:space="preserve">. </w:t>
            </w:r>
          </w:p>
        </w:tc>
        <w:tc>
          <w:tcPr>
            <w:tcW w:w="4094" w:type="pct"/>
            <w:shd w:val="clear" w:color="auto" w:fill="FFFFFF" w:themeFill="background1"/>
            <w:tcMar>
              <w:top w:w="72" w:type="dxa"/>
              <w:left w:w="144" w:type="dxa"/>
              <w:bottom w:w="72" w:type="dxa"/>
              <w:right w:w="144" w:type="dxa"/>
            </w:tcMar>
          </w:tcPr>
          <w:p w14:paraId="30BCAF69" w14:textId="67C2757C" w:rsidR="005C18EB" w:rsidRPr="005C18EB" w:rsidRDefault="005C18EB" w:rsidP="005C18EB">
            <w:pPr>
              <w:autoSpaceDE w:val="0"/>
              <w:autoSpaceDN w:val="0"/>
              <w:adjustRightInd w:val="0"/>
              <w:spacing w:after="0"/>
              <w:jc w:val="left"/>
              <w:rPr>
                <w:rFonts w:ascii="Futura Std Condensed Light" w:eastAsia="Calibri" w:hAnsi="Futura Std Condensed Light" w:cs="Calibri"/>
                <w:sz w:val="18"/>
                <w:szCs w:val="18"/>
              </w:rPr>
            </w:pPr>
            <w:r w:rsidRPr="005C18EB">
              <w:rPr>
                <w:rFonts w:ascii="Futura Std Condensed Light" w:eastAsia="Calibri" w:hAnsi="Futura Std Condensed Light" w:cs="Calibri"/>
                <w:sz w:val="18"/>
                <w:szCs w:val="18"/>
              </w:rPr>
              <w:t xml:space="preserve">Propiciar en los centros educativos ambientes que favorezcan los aprendizajes y propicien el desarrollo de los estudiantes a través de mecanismos de detección de la población escolar en riesgo de reprobación que permita la aplicación de estrategias de apoyo diferenciado. </w:t>
            </w:r>
          </w:p>
        </w:tc>
      </w:tr>
      <w:tr w:rsidR="005C18EB" w:rsidRPr="005C18EB" w14:paraId="68550C22" w14:textId="77777777" w:rsidTr="00F13334">
        <w:trPr>
          <w:trHeight w:val="283"/>
          <w:jc w:val="center"/>
        </w:trPr>
        <w:tc>
          <w:tcPr>
            <w:tcW w:w="906" w:type="pct"/>
            <w:shd w:val="clear" w:color="auto" w:fill="FFFFFF" w:themeFill="background1"/>
            <w:tcMar>
              <w:top w:w="72" w:type="dxa"/>
              <w:left w:w="144" w:type="dxa"/>
              <w:bottom w:w="72" w:type="dxa"/>
              <w:right w:w="144" w:type="dxa"/>
            </w:tcMar>
            <w:hideMark/>
          </w:tcPr>
          <w:p w14:paraId="5378AF53" w14:textId="77777777" w:rsidR="005C18EB" w:rsidRPr="005C18EB" w:rsidRDefault="005C18EB" w:rsidP="005C18EB">
            <w:pPr>
              <w:autoSpaceDE w:val="0"/>
              <w:autoSpaceDN w:val="0"/>
              <w:adjustRightInd w:val="0"/>
              <w:spacing w:after="0"/>
              <w:jc w:val="left"/>
              <w:rPr>
                <w:rFonts w:ascii="Futura Std Condensed Light" w:eastAsia="Calibri" w:hAnsi="Futura Std Condensed Light" w:cs="Calibri"/>
                <w:sz w:val="18"/>
                <w:szCs w:val="18"/>
              </w:rPr>
            </w:pPr>
            <w:r w:rsidRPr="005C18EB">
              <w:rPr>
                <w:rFonts w:ascii="Futura Std Condensed Light" w:eastAsia="Calibri" w:hAnsi="Futura Std Condensed Light" w:cs="Calibri"/>
                <w:sz w:val="18"/>
                <w:szCs w:val="18"/>
              </w:rPr>
              <w:t>Descripción:</w:t>
            </w:r>
          </w:p>
        </w:tc>
        <w:tc>
          <w:tcPr>
            <w:tcW w:w="4094" w:type="pct"/>
            <w:shd w:val="clear" w:color="auto" w:fill="FFFFFF" w:themeFill="background1"/>
            <w:tcMar>
              <w:top w:w="72" w:type="dxa"/>
              <w:left w:w="144" w:type="dxa"/>
              <w:bottom w:w="72" w:type="dxa"/>
              <w:right w:w="144" w:type="dxa"/>
            </w:tcMar>
            <w:hideMark/>
          </w:tcPr>
          <w:p w14:paraId="57EADE0A" w14:textId="77777777" w:rsidR="005C18EB" w:rsidRPr="005C18EB" w:rsidRDefault="005C18EB" w:rsidP="005C18EB">
            <w:pPr>
              <w:autoSpaceDE w:val="0"/>
              <w:autoSpaceDN w:val="0"/>
              <w:adjustRightInd w:val="0"/>
              <w:spacing w:after="0"/>
              <w:jc w:val="left"/>
              <w:rPr>
                <w:rFonts w:ascii="Futura Std Condensed Light" w:eastAsia="Calibri" w:hAnsi="Futura Std Condensed Light" w:cs="Calibri"/>
                <w:sz w:val="18"/>
                <w:szCs w:val="18"/>
              </w:rPr>
            </w:pPr>
            <w:r w:rsidRPr="005C18EB">
              <w:rPr>
                <w:rFonts w:ascii="Futura Std Condensed Light" w:eastAsia="Calibri" w:hAnsi="Futura Std Condensed Light" w:cs="Calibri"/>
                <w:sz w:val="18"/>
                <w:szCs w:val="18"/>
              </w:rPr>
              <w:t>Este indicador muestra el porcentaje de alumnos que no han acreditado los conocimientos establecidos en los planes y programas de estudio de educación básica, respecto a los alumnos inscritos al final del ciclo escolar (existencia) del nivel educativo</w:t>
            </w:r>
          </w:p>
        </w:tc>
      </w:tr>
      <w:tr w:rsidR="005C18EB" w:rsidRPr="005C18EB" w14:paraId="3188B33B" w14:textId="77777777" w:rsidTr="00F13334">
        <w:trPr>
          <w:trHeight w:val="283"/>
          <w:jc w:val="center"/>
        </w:trPr>
        <w:tc>
          <w:tcPr>
            <w:tcW w:w="906" w:type="pct"/>
            <w:shd w:val="clear" w:color="auto" w:fill="FFFFFF" w:themeFill="background1"/>
            <w:tcMar>
              <w:top w:w="72" w:type="dxa"/>
              <w:left w:w="144" w:type="dxa"/>
              <w:bottom w:w="72" w:type="dxa"/>
              <w:right w:w="144" w:type="dxa"/>
            </w:tcMar>
            <w:hideMark/>
          </w:tcPr>
          <w:p w14:paraId="21BF60C6" w14:textId="77777777" w:rsidR="005C18EB" w:rsidRPr="005C18EB" w:rsidRDefault="005C18EB" w:rsidP="005C18EB">
            <w:pPr>
              <w:autoSpaceDE w:val="0"/>
              <w:autoSpaceDN w:val="0"/>
              <w:adjustRightInd w:val="0"/>
              <w:spacing w:after="0"/>
              <w:jc w:val="left"/>
              <w:rPr>
                <w:rFonts w:ascii="Futura Std Condensed Light" w:eastAsia="Calibri" w:hAnsi="Futura Std Condensed Light" w:cs="Calibri"/>
                <w:sz w:val="18"/>
                <w:szCs w:val="18"/>
              </w:rPr>
            </w:pPr>
            <w:r w:rsidRPr="005C18EB">
              <w:rPr>
                <w:rFonts w:ascii="Futura Std Condensed Light" w:eastAsia="Calibri" w:hAnsi="Futura Std Condensed Light" w:cs="Calibri"/>
                <w:sz w:val="18"/>
                <w:szCs w:val="18"/>
              </w:rPr>
              <w:t>Método de cálculo:</w:t>
            </w:r>
          </w:p>
        </w:tc>
        <w:tc>
          <w:tcPr>
            <w:tcW w:w="4094" w:type="pct"/>
            <w:shd w:val="clear" w:color="auto" w:fill="FFFFFF" w:themeFill="background1"/>
            <w:tcMar>
              <w:top w:w="72" w:type="dxa"/>
              <w:left w:w="144" w:type="dxa"/>
              <w:bottom w:w="72" w:type="dxa"/>
              <w:right w:w="144" w:type="dxa"/>
            </w:tcMar>
            <w:hideMark/>
          </w:tcPr>
          <w:p w14:paraId="45F05F66" w14:textId="77777777" w:rsidR="005C18EB" w:rsidRPr="005C18EB" w:rsidRDefault="005C18EB" w:rsidP="005C18EB">
            <w:pPr>
              <w:autoSpaceDE w:val="0"/>
              <w:autoSpaceDN w:val="0"/>
              <w:adjustRightInd w:val="0"/>
              <w:spacing w:after="0"/>
              <w:jc w:val="left"/>
              <w:rPr>
                <w:rFonts w:ascii="Futura Std Condensed Light" w:eastAsia="Calibri" w:hAnsi="Futura Std Condensed Light" w:cs="Calibri"/>
                <w:sz w:val="18"/>
                <w:szCs w:val="18"/>
              </w:rPr>
            </w:pPr>
            <w:r w:rsidRPr="005C18EB">
              <w:rPr>
                <w:rFonts w:ascii="Futura Std Condensed Light" w:eastAsia="Calibri" w:hAnsi="Futura Std Condensed Light" w:cs="Calibri"/>
                <w:sz w:val="18"/>
                <w:szCs w:val="18"/>
              </w:rPr>
              <w:t>(Existencia de alumnos de primaria y secundaria a fin del ciclo escolar t – Total de alumnos aprobados de primaria y secundaria a fin del ciclo escolar t) / Existencia de alumnos de primaria y secundaria a fin del ciclo escolar t) X 100</w:t>
            </w:r>
          </w:p>
        </w:tc>
      </w:tr>
      <w:tr w:rsidR="005C18EB" w:rsidRPr="005C18EB" w14:paraId="5242252A" w14:textId="77777777" w:rsidTr="00F13334">
        <w:trPr>
          <w:trHeight w:val="283"/>
          <w:jc w:val="center"/>
        </w:trPr>
        <w:tc>
          <w:tcPr>
            <w:tcW w:w="906" w:type="pct"/>
            <w:shd w:val="clear" w:color="auto" w:fill="FFFFFF" w:themeFill="background1"/>
            <w:tcMar>
              <w:top w:w="72" w:type="dxa"/>
              <w:left w:w="144" w:type="dxa"/>
              <w:bottom w:w="72" w:type="dxa"/>
              <w:right w:w="144" w:type="dxa"/>
            </w:tcMar>
            <w:hideMark/>
          </w:tcPr>
          <w:p w14:paraId="6450BCD7" w14:textId="77777777" w:rsidR="005C18EB" w:rsidRPr="005C18EB" w:rsidRDefault="005C18EB" w:rsidP="005C18EB">
            <w:pPr>
              <w:autoSpaceDE w:val="0"/>
              <w:autoSpaceDN w:val="0"/>
              <w:adjustRightInd w:val="0"/>
              <w:spacing w:after="0"/>
              <w:jc w:val="left"/>
              <w:rPr>
                <w:rFonts w:ascii="Futura Std Condensed Light" w:eastAsia="Calibri" w:hAnsi="Futura Std Condensed Light" w:cs="Calibri"/>
                <w:sz w:val="18"/>
                <w:szCs w:val="18"/>
              </w:rPr>
            </w:pPr>
            <w:r w:rsidRPr="005C18EB">
              <w:rPr>
                <w:rFonts w:ascii="Futura Std Condensed Light" w:eastAsia="Calibri" w:hAnsi="Futura Std Condensed Light" w:cs="Calibri"/>
                <w:sz w:val="18"/>
                <w:szCs w:val="18"/>
              </w:rPr>
              <w:t>Periodicidad:</w:t>
            </w:r>
          </w:p>
        </w:tc>
        <w:tc>
          <w:tcPr>
            <w:tcW w:w="4094" w:type="pct"/>
            <w:shd w:val="clear" w:color="auto" w:fill="FFFFFF" w:themeFill="background1"/>
            <w:tcMar>
              <w:top w:w="72" w:type="dxa"/>
              <w:left w:w="144" w:type="dxa"/>
              <w:bottom w:w="72" w:type="dxa"/>
              <w:right w:w="144" w:type="dxa"/>
            </w:tcMar>
            <w:hideMark/>
          </w:tcPr>
          <w:p w14:paraId="08697F37" w14:textId="77777777" w:rsidR="005C18EB" w:rsidRPr="005C18EB" w:rsidRDefault="005C18EB" w:rsidP="005C18EB">
            <w:pPr>
              <w:autoSpaceDE w:val="0"/>
              <w:autoSpaceDN w:val="0"/>
              <w:adjustRightInd w:val="0"/>
              <w:spacing w:after="0"/>
              <w:jc w:val="left"/>
              <w:rPr>
                <w:rFonts w:ascii="Futura Std Condensed Light" w:eastAsia="Calibri" w:hAnsi="Futura Std Condensed Light" w:cs="Calibri"/>
                <w:sz w:val="18"/>
                <w:szCs w:val="18"/>
              </w:rPr>
            </w:pPr>
            <w:r w:rsidRPr="005C18EB">
              <w:rPr>
                <w:rFonts w:ascii="Futura Std Condensed Light" w:eastAsia="Calibri" w:hAnsi="Futura Std Condensed Light" w:cs="Calibri"/>
                <w:sz w:val="18"/>
                <w:szCs w:val="18"/>
              </w:rPr>
              <w:t>Anual</w:t>
            </w:r>
          </w:p>
        </w:tc>
      </w:tr>
      <w:tr w:rsidR="005C18EB" w:rsidRPr="005C18EB" w14:paraId="495BE71A" w14:textId="77777777" w:rsidTr="00F13334">
        <w:trPr>
          <w:trHeight w:val="283"/>
          <w:jc w:val="center"/>
        </w:trPr>
        <w:tc>
          <w:tcPr>
            <w:tcW w:w="906" w:type="pct"/>
            <w:shd w:val="clear" w:color="auto" w:fill="FFFFFF" w:themeFill="background1"/>
            <w:tcMar>
              <w:top w:w="72" w:type="dxa"/>
              <w:left w:w="144" w:type="dxa"/>
              <w:bottom w:w="72" w:type="dxa"/>
              <w:right w:w="144" w:type="dxa"/>
            </w:tcMar>
            <w:hideMark/>
          </w:tcPr>
          <w:p w14:paraId="4E98A156" w14:textId="77777777" w:rsidR="005C18EB" w:rsidRPr="005C18EB" w:rsidRDefault="005C18EB" w:rsidP="005C18EB">
            <w:pPr>
              <w:autoSpaceDE w:val="0"/>
              <w:autoSpaceDN w:val="0"/>
              <w:adjustRightInd w:val="0"/>
              <w:spacing w:after="0"/>
              <w:jc w:val="left"/>
              <w:rPr>
                <w:rFonts w:ascii="Futura Std Condensed Light" w:eastAsia="Calibri" w:hAnsi="Futura Std Condensed Light" w:cs="Calibri"/>
                <w:sz w:val="18"/>
                <w:szCs w:val="18"/>
              </w:rPr>
            </w:pPr>
            <w:r w:rsidRPr="005C18EB">
              <w:rPr>
                <w:rFonts w:ascii="Futura Std Condensed Light" w:eastAsia="Calibri" w:hAnsi="Futura Std Condensed Light" w:cs="Calibri"/>
                <w:sz w:val="18"/>
                <w:szCs w:val="18"/>
              </w:rPr>
              <w:t>Fuente:</w:t>
            </w:r>
          </w:p>
        </w:tc>
        <w:tc>
          <w:tcPr>
            <w:tcW w:w="4094" w:type="pct"/>
            <w:shd w:val="clear" w:color="auto" w:fill="FFFFFF" w:themeFill="background1"/>
            <w:tcMar>
              <w:top w:w="72" w:type="dxa"/>
              <w:left w:w="144" w:type="dxa"/>
              <w:bottom w:w="72" w:type="dxa"/>
              <w:right w:w="144" w:type="dxa"/>
            </w:tcMar>
            <w:hideMark/>
          </w:tcPr>
          <w:p w14:paraId="50723B5B" w14:textId="77777777" w:rsidR="005C18EB" w:rsidRPr="005C18EB" w:rsidRDefault="005C18EB" w:rsidP="005C18EB">
            <w:pPr>
              <w:autoSpaceDE w:val="0"/>
              <w:autoSpaceDN w:val="0"/>
              <w:adjustRightInd w:val="0"/>
              <w:spacing w:after="0"/>
              <w:jc w:val="left"/>
              <w:rPr>
                <w:rFonts w:ascii="Futura Std Condensed Light" w:eastAsia="Calibri" w:hAnsi="Futura Std Condensed Light" w:cs="Calibri"/>
                <w:sz w:val="18"/>
                <w:szCs w:val="18"/>
              </w:rPr>
            </w:pPr>
            <w:r w:rsidRPr="005C18EB">
              <w:rPr>
                <w:rFonts w:ascii="Futura Std Condensed Light" w:eastAsia="Calibri" w:hAnsi="Futura Std Condensed Light" w:cs="Calibri"/>
                <w:sz w:val="18"/>
                <w:szCs w:val="18"/>
              </w:rPr>
              <w:t>Estadísticas continúas del formato 911 (fin de ciclo escolar), SEQ.</w:t>
            </w:r>
          </w:p>
        </w:tc>
      </w:tr>
      <w:tr w:rsidR="005C18EB" w:rsidRPr="005C18EB" w14:paraId="78C27A1D" w14:textId="77777777" w:rsidTr="00F13334">
        <w:trPr>
          <w:trHeight w:val="283"/>
          <w:jc w:val="center"/>
        </w:trPr>
        <w:tc>
          <w:tcPr>
            <w:tcW w:w="906" w:type="pct"/>
            <w:shd w:val="clear" w:color="auto" w:fill="FFFFFF" w:themeFill="background1"/>
            <w:tcMar>
              <w:top w:w="72" w:type="dxa"/>
              <w:left w:w="144" w:type="dxa"/>
              <w:bottom w:w="72" w:type="dxa"/>
              <w:right w:w="144" w:type="dxa"/>
            </w:tcMar>
            <w:hideMark/>
          </w:tcPr>
          <w:p w14:paraId="65BDB080" w14:textId="77777777" w:rsidR="005C18EB" w:rsidRPr="005C18EB" w:rsidRDefault="005C18EB" w:rsidP="005C18EB">
            <w:pPr>
              <w:autoSpaceDE w:val="0"/>
              <w:autoSpaceDN w:val="0"/>
              <w:adjustRightInd w:val="0"/>
              <w:spacing w:after="0"/>
              <w:jc w:val="left"/>
              <w:rPr>
                <w:rFonts w:ascii="Futura Std Condensed Light" w:eastAsia="Calibri" w:hAnsi="Futura Std Condensed Light" w:cs="Calibri"/>
                <w:sz w:val="18"/>
                <w:szCs w:val="18"/>
              </w:rPr>
            </w:pPr>
            <w:r w:rsidRPr="005C18EB">
              <w:rPr>
                <w:rFonts w:ascii="Futura Std Condensed Light" w:eastAsia="Calibri" w:hAnsi="Futura Std Condensed Light" w:cs="Calibri"/>
                <w:sz w:val="18"/>
                <w:szCs w:val="18"/>
              </w:rPr>
              <w:t>Dimensión:</w:t>
            </w:r>
          </w:p>
        </w:tc>
        <w:tc>
          <w:tcPr>
            <w:tcW w:w="4094" w:type="pct"/>
            <w:shd w:val="clear" w:color="auto" w:fill="FFFFFF" w:themeFill="background1"/>
            <w:tcMar>
              <w:top w:w="72" w:type="dxa"/>
              <w:left w:w="144" w:type="dxa"/>
              <w:bottom w:w="72" w:type="dxa"/>
              <w:right w:w="144" w:type="dxa"/>
            </w:tcMar>
            <w:hideMark/>
          </w:tcPr>
          <w:p w14:paraId="39291975" w14:textId="77777777" w:rsidR="005C18EB" w:rsidRPr="005C18EB" w:rsidRDefault="005C18EB" w:rsidP="005C18EB">
            <w:pPr>
              <w:autoSpaceDE w:val="0"/>
              <w:autoSpaceDN w:val="0"/>
              <w:adjustRightInd w:val="0"/>
              <w:spacing w:after="0"/>
              <w:jc w:val="left"/>
              <w:rPr>
                <w:rFonts w:ascii="Futura Std Condensed Light" w:eastAsia="Calibri" w:hAnsi="Futura Std Condensed Light" w:cs="Calibri"/>
                <w:sz w:val="18"/>
                <w:szCs w:val="18"/>
              </w:rPr>
            </w:pPr>
            <w:r w:rsidRPr="005C18EB">
              <w:rPr>
                <w:rFonts w:ascii="Futura Std Condensed Light" w:eastAsia="Calibri" w:hAnsi="Futura Std Condensed Light" w:cs="Calibri"/>
                <w:sz w:val="18"/>
                <w:szCs w:val="18"/>
              </w:rPr>
              <w:t>Eficacia</w:t>
            </w:r>
          </w:p>
        </w:tc>
      </w:tr>
      <w:tr w:rsidR="005C18EB" w:rsidRPr="005C18EB" w14:paraId="16C8C7B2" w14:textId="77777777" w:rsidTr="00F13334">
        <w:trPr>
          <w:trHeight w:val="283"/>
          <w:jc w:val="center"/>
        </w:trPr>
        <w:tc>
          <w:tcPr>
            <w:tcW w:w="906" w:type="pct"/>
            <w:shd w:val="clear" w:color="auto" w:fill="FFFFFF" w:themeFill="background1"/>
            <w:tcMar>
              <w:top w:w="72" w:type="dxa"/>
              <w:left w:w="144" w:type="dxa"/>
              <w:bottom w:w="72" w:type="dxa"/>
              <w:right w:w="144" w:type="dxa"/>
            </w:tcMar>
            <w:hideMark/>
          </w:tcPr>
          <w:p w14:paraId="57D397DB" w14:textId="77777777" w:rsidR="005C18EB" w:rsidRPr="005C18EB" w:rsidRDefault="005C18EB" w:rsidP="005C18EB">
            <w:pPr>
              <w:autoSpaceDE w:val="0"/>
              <w:autoSpaceDN w:val="0"/>
              <w:adjustRightInd w:val="0"/>
              <w:spacing w:after="0"/>
              <w:jc w:val="left"/>
              <w:rPr>
                <w:rFonts w:ascii="Futura Std Condensed Light" w:eastAsia="Calibri" w:hAnsi="Futura Std Condensed Light" w:cs="Calibri"/>
                <w:sz w:val="18"/>
                <w:szCs w:val="18"/>
              </w:rPr>
            </w:pPr>
            <w:r w:rsidRPr="005C18EB">
              <w:rPr>
                <w:rFonts w:ascii="Futura Std Condensed Light" w:eastAsia="Calibri" w:hAnsi="Futura Std Condensed Light" w:cs="Calibri"/>
                <w:sz w:val="18"/>
                <w:szCs w:val="18"/>
              </w:rPr>
              <w:t>Referencias adicionales:</w:t>
            </w:r>
          </w:p>
        </w:tc>
        <w:tc>
          <w:tcPr>
            <w:tcW w:w="4094" w:type="pct"/>
            <w:shd w:val="clear" w:color="auto" w:fill="FFFFFF" w:themeFill="background1"/>
            <w:tcMar>
              <w:top w:w="72" w:type="dxa"/>
              <w:left w:w="144" w:type="dxa"/>
              <w:bottom w:w="72" w:type="dxa"/>
              <w:right w:w="144" w:type="dxa"/>
            </w:tcMar>
            <w:hideMark/>
          </w:tcPr>
          <w:p w14:paraId="6B7586FF" w14:textId="77777777" w:rsidR="005C18EB" w:rsidRPr="005C18EB" w:rsidRDefault="005C18EB" w:rsidP="005C18EB">
            <w:pPr>
              <w:autoSpaceDE w:val="0"/>
              <w:autoSpaceDN w:val="0"/>
              <w:adjustRightInd w:val="0"/>
              <w:spacing w:after="0"/>
              <w:jc w:val="left"/>
              <w:rPr>
                <w:rFonts w:ascii="Futura Std Condensed Light" w:eastAsia="Calibri" w:hAnsi="Futura Std Condensed Light" w:cs="Calibri"/>
                <w:sz w:val="18"/>
                <w:szCs w:val="18"/>
              </w:rPr>
            </w:pPr>
          </w:p>
        </w:tc>
      </w:tr>
    </w:tbl>
    <w:p w14:paraId="2FA1B03C" w14:textId="77777777" w:rsidR="005C18EB" w:rsidRPr="005C18EB" w:rsidRDefault="005C18EB" w:rsidP="005C18EB">
      <w:pPr>
        <w:autoSpaceDE w:val="0"/>
        <w:autoSpaceDN w:val="0"/>
        <w:adjustRightInd w:val="0"/>
        <w:spacing w:after="0"/>
        <w:jc w:val="left"/>
        <w:rPr>
          <w:rFonts w:ascii="Futura Std Condensed Light" w:eastAsia="Calibri" w:hAnsi="Futura Std Condensed Light" w:cs="Calibri"/>
          <w:sz w:val="18"/>
          <w:szCs w:val="18"/>
        </w:rPr>
      </w:pPr>
    </w:p>
    <w:p w14:paraId="77308BFA" w14:textId="77777777" w:rsidR="002B38A6" w:rsidRDefault="002B38A6">
      <w:pPr>
        <w:spacing w:after="0" w:line="240" w:lineRule="auto"/>
        <w:jc w:val="left"/>
        <w:rPr>
          <w:b/>
        </w:rPr>
      </w:pPr>
      <w:r>
        <w:rPr>
          <w:b/>
        </w:rPr>
        <w:br w:type="page"/>
      </w:r>
    </w:p>
    <w:p w14:paraId="51FC6A88" w14:textId="2E7C7210" w:rsidR="005C18EB" w:rsidRPr="00005D9E" w:rsidRDefault="00005D9E" w:rsidP="00C11F5C">
      <w:pPr>
        <w:rPr>
          <w:rFonts w:eastAsia="Times New Roman" w:cs="Futura"/>
        </w:rPr>
      </w:pPr>
      <w:r>
        <w:rPr>
          <w:b/>
        </w:rPr>
        <w:lastRenderedPageBreak/>
        <w:t xml:space="preserve">Objetivo 4. </w:t>
      </w:r>
      <w:r w:rsidRPr="00005D9E">
        <w:rPr>
          <w:rFonts w:eastAsia="Times New Roman" w:cs="Futura"/>
        </w:rPr>
        <w:t>Impulsar la formación, trayectoria de actualización y desempeño profesional, así como el reconocimiento de los docentes de Educación Básica, en el servicio profesional docente.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1816"/>
        <w:gridCol w:w="7721"/>
      </w:tblGrid>
      <w:tr w:rsidR="00005D9E" w:rsidRPr="0069403A" w14:paraId="3281A3D4" w14:textId="77777777" w:rsidTr="00F13334">
        <w:trPr>
          <w:trHeight w:val="283"/>
        </w:trPr>
        <w:tc>
          <w:tcPr>
            <w:tcW w:w="952" w:type="pct"/>
            <w:shd w:val="clear" w:color="auto" w:fill="BFBFBF" w:themeFill="background1" w:themeFillShade="BF"/>
            <w:tcMar>
              <w:top w:w="72" w:type="dxa"/>
              <w:left w:w="144" w:type="dxa"/>
              <w:bottom w:w="72" w:type="dxa"/>
              <w:right w:w="144" w:type="dxa"/>
            </w:tcMar>
            <w:hideMark/>
          </w:tcPr>
          <w:p w14:paraId="59DD2756" w14:textId="77777777" w:rsidR="00005D9E" w:rsidRPr="00005D9E" w:rsidRDefault="00005D9E" w:rsidP="00005D9E">
            <w:pPr>
              <w:autoSpaceDE w:val="0"/>
              <w:autoSpaceDN w:val="0"/>
              <w:adjustRightInd w:val="0"/>
              <w:spacing w:after="0"/>
              <w:jc w:val="left"/>
              <w:rPr>
                <w:rFonts w:ascii="Futura Std Condensed Light" w:eastAsia="Calibri" w:hAnsi="Futura Std Condensed Light" w:cs="Calibri"/>
                <w:sz w:val="18"/>
                <w:szCs w:val="18"/>
              </w:rPr>
            </w:pPr>
            <w:r w:rsidRPr="00005D9E">
              <w:rPr>
                <w:rFonts w:ascii="Futura Std Condensed Light" w:eastAsia="Calibri" w:hAnsi="Futura Std Condensed Light" w:cs="Calibri"/>
                <w:sz w:val="18"/>
                <w:szCs w:val="18"/>
              </w:rPr>
              <w:t>Elemento</w:t>
            </w:r>
          </w:p>
        </w:tc>
        <w:tc>
          <w:tcPr>
            <w:tcW w:w="4048" w:type="pct"/>
            <w:shd w:val="clear" w:color="auto" w:fill="BFBFBF" w:themeFill="background1" w:themeFillShade="BF"/>
            <w:tcMar>
              <w:top w:w="72" w:type="dxa"/>
              <w:left w:w="144" w:type="dxa"/>
              <w:bottom w:w="72" w:type="dxa"/>
              <w:right w:w="144" w:type="dxa"/>
            </w:tcMar>
            <w:hideMark/>
          </w:tcPr>
          <w:p w14:paraId="143AE576" w14:textId="77777777" w:rsidR="00005D9E" w:rsidRPr="00005D9E" w:rsidRDefault="00005D9E" w:rsidP="00005D9E">
            <w:pPr>
              <w:autoSpaceDE w:val="0"/>
              <w:autoSpaceDN w:val="0"/>
              <w:adjustRightInd w:val="0"/>
              <w:spacing w:after="0"/>
              <w:jc w:val="left"/>
              <w:rPr>
                <w:rFonts w:ascii="Futura Std Condensed Light" w:eastAsia="Calibri" w:hAnsi="Futura Std Condensed Light" w:cs="Calibri"/>
                <w:sz w:val="18"/>
                <w:szCs w:val="18"/>
              </w:rPr>
            </w:pPr>
            <w:r w:rsidRPr="00005D9E">
              <w:rPr>
                <w:rFonts w:ascii="Futura Std Condensed Light" w:eastAsia="Calibri" w:hAnsi="Futura Std Condensed Light" w:cs="Calibri"/>
                <w:sz w:val="18"/>
                <w:szCs w:val="18"/>
              </w:rPr>
              <w:t>Características</w:t>
            </w:r>
          </w:p>
        </w:tc>
      </w:tr>
      <w:tr w:rsidR="00005D9E" w:rsidRPr="0069403A" w14:paraId="74EEC8ED" w14:textId="77777777" w:rsidTr="00F13334">
        <w:trPr>
          <w:trHeight w:val="283"/>
        </w:trPr>
        <w:tc>
          <w:tcPr>
            <w:tcW w:w="952" w:type="pct"/>
            <w:shd w:val="clear" w:color="auto" w:fill="FFFFFF" w:themeFill="background1"/>
            <w:tcMar>
              <w:top w:w="72" w:type="dxa"/>
              <w:left w:w="144" w:type="dxa"/>
              <w:bottom w:w="72" w:type="dxa"/>
              <w:right w:w="144" w:type="dxa"/>
            </w:tcMar>
            <w:hideMark/>
          </w:tcPr>
          <w:p w14:paraId="3276CC31" w14:textId="77777777" w:rsidR="00005D9E" w:rsidRPr="00005D9E" w:rsidRDefault="00005D9E" w:rsidP="00005D9E">
            <w:pPr>
              <w:autoSpaceDE w:val="0"/>
              <w:autoSpaceDN w:val="0"/>
              <w:adjustRightInd w:val="0"/>
              <w:spacing w:after="0"/>
              <w:jc w:val="left"/>
              <w:rPr>
                <w:rFonts w:ascii="Futura Std Condensed Light" w:eastAsia="Calibri" w:hAnsi="Futura Std Condensed Light" w:cs="Calibri"/>
                <w:sz w:val="18"/>
                <w:szCs w:val="18"/>
              </w:rPr>
            </w:pPr>
            <w:r w:rsidRPr="00005D9E">
              <w:rPr>
                <w:rFonts w:ascii="Futura Std Condensed Light" w:eastAsia="Calibri" w:hAnsi="Futura Std Condensed Light" w:cs="Calibri"/>
                <w:sz w:val="18"/>
                <w:szCs w:val="18"/>
              </w:rPr>
              <w:t>Indicador:</w:t>
            </w:r>
          </w:p>
        </w:tc>
        <w:tc>
          <w:tcPr>
            <w:tcW w:w="4048" w:type="pct"/>
            <w:shd w:val="clear" w:color="auto" w:fill="FFFFFF" w:themeFill="background1"/>
            <w:tcMar>
              <w:top w:w="72" w:type="dxa"/>
              <w:left w:w="144" w:type="dxa"/>
              <w:bottom w:w="72" w:type="dxa"/>
              <w:right w:w="144" w:type="dxa"/>
            </w:tcMar>
            <w:hideMark/>
          </w:tcPr>
          <w:p w14:paraId="128434EB" w14:textId="77777777" w:rsidR="00005D9E" w:rsidRPr="00005D9E" w:rsidRDefault="00005D9E" w:rsidP="00005D9E">
            <w:pPr>
              <w:autoSpaceDE w:val="0"/>
              <w:autoSpaceDN w:val="0"/>
              <w:adjustRightInd w:val="0"/>
              <w:spacing w:after="0"/>
              <w:jc w:val="left"/>
              <w:rPr>
                <w:rFonts w:ascii="Futura Std Condensed Light" w:eastAsia="Calibri" w:hAnsi="Futura Std Condensed Light" w:cs="Calibri"/>
                <w:sz w:val="18"/>
                <w:szCs w:val="18"/>
              </w:rPr>
            </w:pPr>
            <w:r w:rsidRPr="00005D9E">
              <w:rPr>
                <w:rFonts w:ascii="Futura Std Condensed Light" w:eastAsia="Calibri" w:hAnsi="Futura Std Condensed Light" w:cs="Calibri"/>
                <w:sz w:val="18"/>
                <w:szCs w:val="18"/>
              </w:rPr>
              <w:t>Tasa de eficiencia terminal de educación normal</w:t>
            </w:r>
          </w:p>
        </w:tc>
      </w:tr>
      <w:tr w:rsidR="00005D9E" w:rsidRPr="0069403A" w14:paraId="54C1EDB1" w14:textId="77777777" w:rsidTr="00F13334">
        <w:trPr>
          <w:trHeight w:val="283"/>
        </w:trPr>
        <w:tc>
          <w:tcPr>
            <w:tcW w:w="952" w:type="pct"/>
            <w:shd w:val="clear" w:color="auto" w:fill="FFFFFF" w:themeFill="background1"/>
            <w:tcMar>
              <w:top w:w="72" w:type="dxa"/>
              <w:left w:w="144" w:type="dxa"/>
              <w:bottom w:w="72" w:type="dxa"/>
              <w:right w:w="144" w:type="dxa"/>
            </w:tcMar>
          </w:tcPr>
          <w:p w14:paraId="079F16B9" w14:textId="1C898884" w:rsidR="00005D9E" w:rsidRPr="00005D9E" w:rsidRDefault="00F13334" w:rsidP="00005D9E">
            <w:pPr>
              <w:autoSpaceDE w:val="0"/>
              <w:autoSpaceDN w:val="0"/>
              <w:adjustRightInd w:val="0"/>
              <w:spacing w:after="0"/>
              <w:jc w:val="left"/>
              <w:rPr>
                <w:rFonts w:ascii="Futura Std Condensed Light" w:eastAsia="Calibri" w:hAnsi="Futura Std Condensed Light" w:cs="Calibri"/>
                <w:sz w:val="18"/>
                <w:szCs w:val="18"/>
              </w:rPr>
            </w:pPr>
            <w:r>
              <w:rPr>
                <w:rFonts w:ascii="Futura Std Condensed Light" w:eastAsia="Calibri" w:hAnsi="Futura Std Condensed Light" w:cs="Calibri"/>
                <w:sz w:val="18"/>
                <w:szCs w:val="18"/>
              </w:rPr>
              <w:t>Objetivo 4</w:t>
            </w:r>
            <w:r w:rsidR="00005D9E" w:rsidRPr="00005D9E">
              <w:rPr>
                <w:rFonts w:ascii="Futura Std Condensed Light" w:eastAsia="Calibri" w:hAnsi="Futura Std Condensed Light" w:cs="Calibri"/>
                <w:sz w:val="18"/>
                <w:szCs w:val="18"/>
              </w:rPr>
              <w:t>:</w:t>
            </w:r>
          </w:p>
        </w:tc>
        <w:tc>
          <w:tcPr>
            <w:tcW w:w="4048" w:type="pct"/>
            <w:shd w:val="clear" w:color="auto" w:fill="FFFFFF" w:themeFill="background1"/>
            <w:tcMar>
              <w:top w:w="72" w:type="dxa"/>
              <w:left w:w="144" w:type="dxa"/>
              <w:bottom w:w="72" w:type="dxa"/>
              <w:right w:w="144" w:type="dxa"/>
            </w:tcMar>
          </w:tcPr>
          <w:p w14:paraId="7D377CF6" w14:textId="77777777" w:rsidR="00005D9E" w:rsidRPr="00005D9E" w:rsidRDefault="00005D9E" w:rsidP="00005D9E">
            <w:pPr>
              <w:autoSpaceDE w:val="0"/>
              <w:autoSpaceDN w:val="0"/>
              <w:adjustRightInd w:val="0"/>
              <w:spacing w:after="0"/>
              <w:jc w:val="left"/>
              <w:rPr>
                <w:rFonts w:ascii="Futura Std Condensed Light" w:eastAsia="Calibri" w:hAnsi="Futura Std Condensed Light" w:cs="Calibri"/>
                <w:sz w:val="18"/>
                <w:szCs w:val="18"/>
              </w:rPr>
            </w:pPr>
            <w:r w:rsidRPr="00005D9E">
              <w:rPr>
                <w:rFonts w:ascii="Futura Std Condensed Light" w:eastAsia="Calibri" w:hAnsi="Futura Std Condensed Light" w:cs="Calibri"/>
                <w:sz w:val="18"/>
                <w:szCs w:val="18"/>
              </w:rPr>
              <w:t>Mejorar el proceso de formación docente de los estudiantes de las escuelas normales de Quintana Roo</w:t>
            </w:r>
          </w:p>
        </w:tc>
      </w:tr>
      <w:tr w:rsidR="00005D9E" w:rsidRPr="0069403A" w14:paraId="69B8EA62" w14:textId="77777777" w:rsidTr="00F13334">
        <w:trPr>
          <w:trHeight w:val="283"/>
        </w:trPr>
        <w:tc>
          <w:tcPr>
            <w:tcW w:w="952" w:type="pct"/>
            <w:shd w:val="clear" w:color="auto" w:fill="FFFFFF" w:themeFill="background1"/>
            <w:tcMar>
              <w:top w:w="72" w:type="dxa"/>
              <w:left w:w="144" w:type="dxa"/>
              <w:bottom w:w="72" w:type="dxa"/>
              <w:right w:w="144" w:type="dxa"/>
            </w:tcMar>
            <w:hideMark/>
          </w:tcPr>
          <w:p w14:paraId="2EC870C0" w14:textId="77777777" w:rsidR="00005D9E" w:rsidRPr="00005D9E" w:rsidRDefault="00005D9E" w:rsidP="00005D9E">
            <w:pPr>
              <w:autoSpaceDE w:val="0"/>
              <w:autoSpaceDN w:val="0"/>
              <w:adjustRightInd w:val="0"/>
              <w:spacing w:after="0"/>
              <w:jc w:val="left"/>
              <w:rPr>
                <w:rFonts w:ascii="Futura Std Condensed Light" w:eastAsia="Calibri" w:hAnsi="Futura Std Condensed Light" w:cs="Calibri"/>
                <w:sz w:val="18"/>
                <w:szCs w:val="18"/>
              </w:rPr>
            </w:pPr>
            <w:r w:rsidRPr="00005D9E">
              <w:rPr>
                <w:rFonts w:ascii="Futura Std Condensed Light" w:eastAsia="Calibri" w:hAnsi="Futura Std Condensed Light" w:cs="Calibri"/>
                <w:sz w:val="18"/>
                <w:szCs w:val="18"/>
              </w:rPr>
              <w:t>Descripción:</w:t>
            </w:r>
          </w:p>
        </w:tc>
        <w:tc>
          <w:tcPr>
            <w:tcW w:w="4048" w:type="pct"/>
            <w:shd w:val="clear" w:color="auto" w:fill="FFFFFF" w:themeFill="background1"/>
            <w:tcMar>
              <w:top w:w="72" w:type="dxa"/>
              <w:left w:w="144" w:type="dxa"/>
              <w:bottom w:w="72" w:type="dxa"/>
              <w:right w:w="144" w:type="dxa"/>
            </w:tcMar>
          </w:tcPr>
          <w:p w14:paraId="5A9A3A3C" w14:textId="77777777" w:rsidR="00005D9E" w:rsidRPr="00005D9E" w:rsidRDefault="00005D9E" w:rsidP="00005D9E">
            <w:pPr>
              <w:autoSpaceDE w:val="0"/>
              <w:autoSpaceDN w:val="0"/>
              <w:adjustRightInd w:val="0"/>
              <w:spacing w:after="0"/>
              <w:jc w:val="left"/>
              <w:rPr>
                <w:rFonts w:ascii="Futura Std Condensed Light" w:eastAsia="Calibri" w:hAnsi="Futura Std Condensed Light" w:cs="Calibri"/>
                <w:sz w:val="18"/>
                <w:szCs w:val="18"/>
              </w:rPr>
            </w:pPr>
            <w:r w:rsidRPr="00005D9E">
              <w:rPr>
                <w:rFonts w:ascii="Futura Std Condensed Light" w:eastAsia="Calibri" w:hAnsi="Futura Std Condensed Light" w:cs="Calibri"/>
                <w:sz w:val="18"/>
                <w:szCs w:val="18"/>
              </w:rPr>
              <w:t>Es el porcentaje de alumnos que terminan o egresan de educación normal en el tiempo normativo o ideal establecido, en relación al número de alumnos de nuevo ingreso a primero de educación normal inscritos tantos ciclos escolares atrás como dura el nivel educativo en cuestión.</w:t>
            </w:r>
          </w:p>
        </w:tc>
      </w:tr>
      <w:tr w:rsidR="00005D9E" w:rsidRPr="0069403A" w14:paraId="33A545E3" w14:textId="77777777" w:rsidTr="00F13334">
        <w:trPr>
          <w:trHeight w:val="283"/>
        </w:trPr>
        <w:tc>
          <w:tcPr>
            <w:tcW w:w="952" w:type="pct"/>
            <w:shd w:val="clear" w:color="auto" w:fill="FFFFFF" w:themeFill="background1"/>
            <w:tcMar>
              <w:top w:w="72" w:type="dxa"/>
              <w:left w:w="144" w:type="dxa"/>
              <w:bottom w:w="72" w:type="dxa"/>
              <w:right w:w="144" w:type="dxa"/>
            </w:tcMar>
            <w:hideMark/>
          </w:tcPr>
          <w:p w14:paraId="7604A297" w14:textId="77777777" w:rsidR="00005D9E" w:rsidRPr="00005D9E" w:rsidRDefault="00005D9E" w:rsidP="00005D9E">
            <w:pPr>
              <w:autoSpaceDE w:val="0"/>
              <w:autoSpaceDN w:val="0"/>
              <w:adjustRightInd w:val="0"/>
              <w:spacing w:after="0"/>
              <w:jc w:val="left"/>
              <w:rPr>
                <w:rFonts w:ascii="Futura Std Condensed Light" w:eastAsia="Calibri" w:hAnsi="Futura Std Condensed Light" w:cs="Calibri"/>
                <w:sz w:val="18"/>
                <w:szCs w:val="18"/>
              </w:rPr>
            </w:pPr>
            <w:r w:rsidRPr="00005D9E">
              <w:rPr>
                <w:rFonts w:ascii="Futura Std Condensed Light" w:eastAsia="Calibri" w:hAnsi="Futura Std Condensed Light" w:cs="Calibri"/>
                <w:sz w:val="18"/>
                <w:szCs w:val="18"/>
              </w:rPr>
              <w:t>Método de cálculo:</w:t>
            </w:r>
          </w:p>
        </w:tc>
        <w:tc>
          <w:tcPr>
            <w:tcW w:w="4048" w:type="pct"/>
            <w:shd w:val="clear" w:color="auto" w:fill="FFFFFF" w:themeFill="background1"/>
            <w:tcMar>
              <w:top w:w="72" w:type="dxa"/>
              <w:left w:w="144" w:type="dxa"/>
              <w:bottom w:w="72" w:type="dxa"/>
              <w:right w:w="144" w:type="dxa"/>
            </w:tcMar>
          </w:tcPr>
          <w:p w14:paraId="2ADE77C3" w14:textId="77777777" w:rsidR="00005D9E" w:rsidRPr="00005D9E" w:rsidRDefault="00005D9E" w:rsidP="00005D9E">
            <w:pPr>
              <w:autoSpaceDE w:val="0"/>
              <w:autoSpaceDN w:val="0"/>
              <w:adjustRightInd w:val="0"/>
              <w:spacing w:after="0"/>
              <w:jc w:val="left"/>
              <w:rPr>
                <w:rFonts w:ascii="Futura Std Condensed Light" w:eastAsia="Calibri" w:hAnsi="Futura Std Condensed Light" w:cs="Calibri"/>
                <w:sz w:val="18"/>
                <w:szCs w:val="18"/>
              </w:rPr>
            </w:pPr>
            <w:r w:rsidRPr="00005D9E">
              <w:rPr>
                <w:rFonts w:ascii="Futura Std Condensed Light" w:eastAsia="Calibri" w:hAnsi="Futura Std Condensed Light" w:cs="Calibri"/>
                <w:sz w:val="18"/>
                <w:szCs w:val="18"/>
              </w:rPr>
              <w:t>(Número de alumnos egresados de educación normal en el ciclo escolar t / Número de alumnos de nuevo ingreso a primer grado de educación normal que se inscribieron hace t-3 ciclos escolares) X 100</w:t>
            </w:r>
          </w:p>
        </w:tc>
      </w:tr>
      <w:tr w:rsidR="00005D9E" w:rsidRPr="0069403A" w14:paraId="54811AE9" w14:textId="77777777" w:rsidTr="00F13334">
        <w:trPr>
          <w:trHeight w:val="283"/>
        </w:trPr>
        <w:tc>
          <w:tcPr>
            <w:tcW w:w="952" w:type="pct"/>
            <w:shd w:val="clear" w:color="auto" w:fill="FFFFFF" w:themeFill="background1"/>
            <w:tcMar>
              <w:top w:w="72" w:type="dxa"/>
              <w:left w:w="144" w:type="dxa"/>
              <w:bottom w:w="72" w:type="dxa"/>
              <w:right w:w="144" w:type="dxa"/>
            </w:tcMar>
            <w:hideMark/>
          </w:tcPr>
          <w:p w14:paraId="6676EB55" w14:textId="77777777" w:rsidR="00005D9E" w:rsidRPr="00005D9E" w:rsidRDefault="00005D9E" w:rsidP="00005D9E">
            <w:pPr>
              <w:autoSpaceDE w:val="0"/>
              <w:autoSpaceDN w:val="0"/>
              <w:adjustRightInd w:val="0"/>
              <w:spacing w:after="0"/>
              <w:jc w:val="left"/>
              <w:rPr>
                <w:rFonts w:ascii="Futura Std Condensed Light" w:eastAsia="Calibri" w:hAnsi="Futura Std Condensed Light" w:cs="Calibri"/>
                <w:sz w:val="18"/>
                <w:szCs w:val="18"/>
              </w:rPr>
            </w:pPr>
            <w:r w:rsidRPr="00005D9E">
              <w:rPr>
                <w:rFonts w:ascii="Futura Std Condensed Light" w:eastAsia="Calibri" w:hAnsi="Futura Std Condensed Light" w:cs="Calibri"/>
                <w:sz w:val="18"/>
                <w:szCs w:val="18"/>
              </w:rPr>
              <w:t>Periodicidad:</w:t>
            </w:r>
          </w:p>
        </w:tc>
        <w:tc>
          <w:tcPr>
            <w:tcW w:w="4048" w:type="pct"/>
            <w:shd w:val="clear" w:color="auto" w:fill="FFFFFF" w:themeFill="background1"/>
            <w:tcMar>
              <w:top w:w="72" w:type="dxa"/>
              <w:left w:w="144" w:type="dxa"/>
              <w:bottom w:w="72" w:type="dxa"/>
              <w:right w:w="144" w:type="dxa"/>
            </w:tcMar>
          </w:tcPr>
          <w:p w14:paraId="7B2EFBDC" w14:textId="77777777" w:rsidR="00005D9E" w:rsidRPr="00005D9E" w:rsidRDefault="00005D9E" w:rsidP="00005D9E">
            <w:pPr>
              <w:autoSpaceDE w:val="0"/>
              <w:autoSpaceDN w:val="0"/>
              <w:adjustRightInd w:val="0"/>
              <w:spacing w:after="0"/>
              <w:jc w:val="left"/>
              <w:rPr>
                <w:rFonts w:ascii="Futura Std Condensed Light" w:eastAsia="Calibri" w:hAnsi="Futura Std Condensed Light" w:cs="Calibri"/>
                <w:sz w:val="18"/>
                <w:szCs w:val="18"/>
              </w:rPr>
            </w:pPr>
            <w:r w:rsidRPr="00005D9E">
              <w:rPr>
                <w:rFonts w:ascii="Futura Std Condensed Light" w:eastAsia="Calibri" w:hAnsi="Futura Std Condensed Light" w:cs="Calibri"/>
                <w:sz w:val="18"/>
                <w:szCs w:val="18"/>
              </w:rPr>
              <w:t>Anual</w:t>
            </w:r>
          </w:p>
        </w:tc>
      </w:tr>
      <w:tr w:rsidR="00005D9E" w:rsidRPr="0069403A" w14:paraId="090CEE54" w14:textId="77777777" w:rsidTr="00F13334">
        <w:trPr>
          <w:trHeight w:val="283"/>
        </w:trPr>
        <w:tc>
          <w:tcPr>
            <w:tcW w:w="952" w:type="pct"/>
            <w:shd w:val="clear" w:color="auto" w:fill="FFFFFF" w:themeFill="background1"/>
            <w:tcMar>
              <w:top w:w="72" w:type="dxa"/>
              <w:left w:w="144" w:type="dxa"/>
              <w:bottom w:w="72" w:type="dxa"/>
              <w:right w:w="144" w:type="dxa"/>
            </w:tcMar>
            <w:hideMark/>
          </w:tcPr>
          <w:p w14:paraId="77F23D60" w14:textId="77777777" w:rsidR="00005D9E" w:rsidRPr="00005D9E" w:rsidRDefault="00005D9E" w:rsidP="00005D9E">
            <w:pPr>
              <w:autoSpaceDE w:val="0"/>
              <w:autoSpaceDN w:val="0"/>
              <w:adjustRightInd w:val="0"/>
              <w:spacing w:after="0"/>
              <w:jc w:val="left"/>
              <w:rPr>
                <w:rFonts w:ascii="Futura Std Condensed Light" w:eastAsia="Calibri" w:hAnsi="Futura Std Condensed Light" w:cs="Calibri"/>
                <w:sz w:val="18"/>
                <w:szCs w:val="18"/>
              </w:rPr>
            </w:pPr>
            <w:r w:rsidRPr="00005D9E">
              <w:rPr>
                <w:rFonts w:ascii="Futura Std Condensed Light" w:eastAsia="Calibri" w:hAnsi="Futura Std Condensed Light" w:cs="Calibri"/>
                <w:sz w:val="18"/>
                <w:szCs w:val="18"/>
              </w:rPr>
              <w:t>Fuente:</w:t>
            </w:r>
          </w:p>
        </w:tc>
        <w:tc>
          <w:tcPr>
            <w:tcW w:w="4048" w:type="pct"/>
            <w:shd w:val="clear" w:color="auto" w:fill="FFFFFF" w:themeFill="background1"/>
            <w:tcMar>
              <w:top w:w="72" w:type="dxa"/>
              <w:left w:w="144" w:type="dxa"/>
              <w:bottom w:w="72" w:type="dxa"/>
              <w:right w:w="144" w:type="dxa"/>
            </w:tcMar>
          </w:tcPr>
          <w:p w14:paraId="232978D3" w14:textId="77777777" w:rsidR="00005D9E" w:rsidRPr="00005D9E" w:rsidRDefault="00005D9E" w:rsidP="00005D9E">
            <w:pPr>
              <w:autoSpaceDE w:val="0"/>
              <w:autoSpaceDN w:val="0"/>
              <w:adjustRightInd w:val="0"/>
              <w:spacing w:after="0"/>
              <w:jc w:val="left"/>
              <w:rPr>
                <w:rFonts w:ascii="Futura Std Condensed Light" w:eastAsia="Calibri" w:hAnsi="Futura Std Condensed Light" w:cs="Calibri"/>
                <w:sz w:val="18"/>
                <w:szCs w:val="18"/>
              </w:rPr>
            </w:pPr>
            <w:r w:rsidRPr="00005D9E">
              <w:rPr>
                <w:rFonts w:ascii="Futura Std Condensed Light" w:eastAsia="Calibri" w:hAnsi="Futura Std Condensed Light" w:cs="Calibri"/>
                <w:sz w:val="18"/>
                <w:szCs w:val="18"/>
              </w:rPr>
              <w:t>Estadísticas continúas del formato 911 de educación superior normal, inicio de ciclo escolar, SEQ.</w:t>
            </w:r>
          </w:p>
        </w:tc>
      </w:tr>
      <w:tr w:rsidR="00005D9E" w:rsidRPr="0069403A" w14:paraId="583C2199" w14:textId="77777777" w:rsidTr="00F13334">
        <w:trPr>
          <w:trHeight w:val="283"/>
        </w:trPr>
        <w:tc>
          <w:tcPr>
            <w:tcW w:w="952" w:type="pct"/>
            <w:shd w:val="clear" w:color="auto" w:fill="FFFFFF" w:themeFill="background1"/>
            <w:tcMar>
              <w:top w:w="72" w:type="dxa"/>
              <w:left w:w="144" w:type="dxa"/>
              <w:bottom w:w="72" w:type="dxa"/>
              <w:right w:w="144" w:type="dxa"/>
            </w:tcMar>
            <w:hideMark/>
          </w:tcPr>
          <w:p w14:paraId="501FBE6B" w14:textId="77777777" w:rsidR="00005D9E" w:rsidRPr="00005D9E" w:rsidRDefault="00005D9E" w:rsidP="00005D9E">
            <w:pPr>
              <w:autoSpaceDE w:val="0"/>
              <w:autoSpaceDN w:val="0"/>
              <w:adjustRightInd w:val="0"/>
              <w:spacing w:after="0"/>
              <w:jc w:val="left"/>
              <w:rPr>
                <w:rFonts w:ascii="Futura Std Condensed Light" w:eastAsia="Calibri" w:hAnsi="Futura Std Condensed Light" w:cs="Calibri"/>
                <w:sz w:val="18"/>
                <w:szCs w:val="18"/>
              </w:rPr>
            </w:pPr>
            <w:r w:rsidRPr="00005D9E">
              <w:rPr>
                <w:rFonts w:ascii="Futura Std Condensed Light" w:eastAsia="Calibri" w:hAnsi="Futura Std Condensed Light" w:cs="Calibri"/>
                <w:sz w:val="18"/>
                <w:szCs w:val="18"/>
              </w:rPr>
              <w:t>Dimensión:</w:t>
            </w:r>
          </w:p>
        </w:tc>
        <w:tc>
          <w:tcPr>
            <w:tcW w:w="4048" w:type="pct"/>
            <w:shd w:val="clear" w:color="auto" w:fill="FFFFFF" w:themeFill="background1"/>
            <w:tcMar>
              <w:top w:w="72" w:type="dxa"/>
              <w:left w:w="144" w:type="dxa"/>
              <w:bottom w:w="72" w:type="dxa"/>
              <w:right w:w="144" w:type="dxa"/>
            </w:tcMar>
          </w:tcPr>
          <w:p w14:paraId="6CD8E7A9" w14:textId="77777777" w:rsidR="00005D9E" w:rsidRPr="00005D9E" w:rsidRDefault="00005D9E" w:rsidP="00005D9E">
            <w:pPr>
              <w:autoSpaceDE w:val="0"/>
              <w:autoSpaceDN w:val="0"/>
              <w:adjustRightInd w:val="0"/>
              <w:spacing w:after="0"/>
              <w:jc w:val="left"/>
              <w:rPr>
                <w:rFonts w:ascii="Futura Std Condensed Light" w:eastAsia="Calibri" w:hAnsi="Futura Std Condensed Light" w:cs="Calibri"/>
                <w:sz w:val="18"/>
                <w:szCs w:val="18"/>
              </w:rPr>
            </w:pPr>
            <w:r w:rsidRPr="00005D9E">
              <w:rPr>
                <w:rFonts w:ascii="Futura Std Condensed Light" w:eastAsia="Calibri" w:hAnsi="Futura Std Condensed Light" w:cs="Calibri"/>
                <w:sz w:val="18"/>
                <w:szCs w:val="18"/>
              </w:rPr>
              <w:t>Eficacia</w:t>
            </w:r>
          </w:p>
        </w:tc>
      </w:tr>
      <w:tr w:rsidR="00005D9E" w:rsidRPr="0069403A" w14:paraId="67FFBE1E" w14:textId="77777777" w:rsidTr="00F13334">
        <w:trPr>
          <w:trHeight w:val="283"/>
        </w:trPr>
        <w:tc>
          <w:tcPr>
            <w:tcW w:w="952" w:type="pct"/>
            <w:shd w:val="clear" w:color="auto" w:fill="FFFFFF" w:themeFill="background1"/>
            <w:tcMar>
              <w:top w:w="72" w:type="dxa"/>
              <w:left w:w="144" w:type="dxa"/>
              <w:bottom w:w="72" w:type="dxa"/>
              <w:right w:w="144" w:type="dxa"/>
            </w:tcMar>
            <w:hideMark/>
          </w:tcPr>
          <w:p w14:paraId="15E1D74E" w14:textId="77777777" w:rsidR="00005D9E" w:rsidRPr="0069403A" w:rsidRDefault="00005D9E" w:rsidP="00F13334">
            <w:pPr>
              <w:spacing w:after="0" w:line="240" w:lineRule="auto"/>
              <w:rPr>
                <w:rFonts w:ascii="Futura Std Condensed Light" w:eastAsia="Calibri" w:hAnsi="Futura Std Condensed Light" w:cs="Calibri"/>
                <w:sz w:val="20"/>
                <w:szCs w:val="22"/>
              </w:rPr>
            </w:pPr>
            <w:r w:rsidRPr="00005D9E">
              <w:rPr>
                <w:rFonts w:ascii="Futura Std Condensed Light" w:eastAsia="Calibri" w:hAnsi="Futura Std Condensed Light" w:cs="Calibri"/>
                <w:sz w:val="18"/>
                <w:szCs w:val="18"/>
              </w:rPr>
              <w:t>Referencias adicionales:</w:t>
            </w:r>
          </w:p>
        </w:tc>
        <w:tc>
          <w:tcPr>
            <w:tcW w:w="4048" w:type="pct"/>
            <w:shd w:val="clear" w:color="auto" w:fill="FFFFFF" w:themeFill="background1"/>
            <w:tcMar>
              <w:top w:w="72" w:type="dxa"/>
              <w:left w:w="144" w:type="dxa"/>
              <w:bottom w:w="72" w:type="dxa"/>
              <w:right w:w="144" w:type="dxa"/>
            </w:tcMar>
            <w:hideMark/>
          </w:tcPr>
          <w:p w14:paraId="140D9452" w14:textId="77777777" w:rsidR="00005D9E" w:rsidRPr="0069403A" w:rsidRDefault="00005D9E" w:rsidP="00F13334">
            <w:pPr>
              <w:spacing w:after="0" w:line="240" w:lineRule="auto"/>
              <w:rPr>
                <w:rFonts w:ascii="Futura Std Condensed Light" w:eastAsia="Calibri" w:hAnsi="Futura Std Condensed Light" w:cs="Calibri"/>
                <w:sz w:val="20"/>
                <w:szCs w:val="22"/>
              </w:rPr>
            </w:pPr>
          </w:p>
        </w:tc>
      </w:tr>
    </w:tbl>
    <w:p w14:paraId="55EA6FA8" w14:textId="77777777" w:rsidR="005C18EB" w:rsidRDefault="005C18EB" w:rsidP="00C11F5C"/>
    <w:p w14:paraId="1A168280" w14:textId="77777777" w:rsidR="002B38A6" w:rsidRDefault="002B38A6">
      <w:pPr>
        <w:spacing w:after="0" w:line="240" w:lineRule="auto"/>
        <w:jc w:val="left"/>
        <w:rPr>
          <w:rFonts w:eastAsia="Times New Roman" w:cs="Futura"/>
          <w:b/>
        </w:rPr>
      </w:pPr>
      <w:r>
        <w:rPr>
          <w:rFonts w:eastAsia="Times New Roman" w:cs="Futura"/>
          <w:b/>
        </w:rPr>
        <w:br w:type="page"/>
      </w:r>
    </w:p>
    <w:p w14:paraId="78B906E3" w14:textId="1A2860CE" w:rsidR="005C18EB" w:rsidRDefault="00351024" w:rsidP="00C11F5C">
      <w:pPr>
        <w:rPr>
          <w:rFonts w:eastAsia="Times New Roman" w:cs="Futura"/>
        </w:rPr>
      </w:pPr>
      <w:r>
        <w:rPr>
          <w:rFonts w:eastAsia="Times New Roman" w:cs="Futura"/>
          <w:b/>
        </w:rPr>
        <w:lastRenderedPageBreak/>
        <w:t>Estrategia  4</w:t>
      </w:r>
      <w:r w:rsidRPr="005C18EB">
        <w:rPr>
          <w:rFonts w:eastAsia="Times New Roman" w:cs="Futura"/>
          <w:b/>
        </w:rPr>
        <w:t>.</w:t>
      </w:r>
      <w:r w:rsidRPr="00351024">
        <w:rPr>
          <w:rFonts w:eastAsia="Times New Roman" w:cs="Futura"/>
        </w:rPr>
        <w:t xml:space="preserve"> </w:t>
      </w:r>
      <w:r w:rsidRPr="00024375">
        <w:rPr>
          <w:rFonts w:eastAsia="Times New Roman" w:cs="Futura"/>
        </w:rPr>
        <w:t>Fort</w:t>
      </w:r>
      <w:r>
        <w:rPr>
          <w:rFonts w:eastAsia="Times New Roman" w:cs="Futura"/>
        </w:rPr>
        <w:t>alecer la profesionalización las figuras educativas</w:t>
      </w:r>
      <w:r w:rsidRPr="00024375">
        <w:rPr>
          <w:rFonts w:eastAsia="Times New Roman" w:cs="Futura"/>
        </w:rPr>
        <w:t xml:space="preserve"> con una formación continua que mejore la comprensión del modelo educativo, las prácticas pedagógicas y su desempeño académico.</w:t>
      </w: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12"/>
        <w:gridCol w:w="7239"/>
      </w:tblGrid>
      <w:tr w:rsidR="008D05D8" w14:paraId="46B5C325" w14:textId="77777777" w:rsidTr="008D05D8">
        <w:trPr>
          <w:trHeight w:val="283"/>
          <w:jc w:val="center"/>
        </w:trPr>
        <w:tc>
          <w:tcPr>
            <w:tcW w:w="2112" w:type="dxa"/>
            <w:shd w:val="clear" w:color="auto" w:fill="BFBFBF"/>
            <w:tcMar>
              <w:top w:w="72" w:type="dxa"/>
              <w:left w:w="144" w:type="dxa"/>
              <w:bottom w:w="72" w:type="dxa"/>
              <w:right w:w="144" w:type="dxa"/>
            </w:tcMar>
            <w:vAlign w:val="center"/>
          </w:tcPr>
          <w:p w14:paraId="73603417" w14:textId="77777777" w:rsidR="008D05D8" w:rsidRPr="008D05D8" w:rsidRDefault="008D05D8" w:rsidP="008D05D8">
            <w:pPr>
              <w:autoSpaceDE w:val="0"/>
              <w:autoSpaceDN w:val="0"/>
              <w:adjustRightInd w:val="0"/>
              <w:spacing w:after="0"/>
              <w:jc w:val="left"/>
              <w:rPr>
                <w:rFonts w:ascii="Futura Std Condensed Light" w:eastAsia="Calibri" w:hAnsi="Futura Std Condensed Light" w:cs="Calibri"/>
                <w:sz w:val="18"/>
                <w:szCs w:val="18"/>
              </w:rPr>
            </w:pPr>
            <w:r w:rsidRPr="008D05D8">
              <w:rPr>
                <w:rFonts w:ascii="Futura Std Condensed Light" w:eastAsia="Calibri" w:hAnsi="Futura Std Condensed Light" w:cs="Calibri"/>
                <w:sz w:val="18"/>
                <w:szCs w:val="18"/>
              </w:rPr>
              <w:t>Elemento</w:t>
            </w:r>
          </w:p>
        </w:tc>
        <w:tc>
          <w:tcPr>
            <w:tcW w:w="7239" w:type="dxa"/>
            <w:shd w:val="clear" w:color="auto" w:fill="BFBFBF"/>
            <w:tcMar>
              <w:top w:w="72" w:type="dxa"/>
              <w:left w:w="144" w:type="dxa"/>
              <w:bottom w:w="72" w:type="dxa"/>
              <w:right w:w="144" w:type="dxa"/>
            </w:tcMar>
            <w:vAlign w:val="center"/>
          </w:tcPr>
          <w:p w14:paraId="4CBB40E7" w14:textId="77777777" w:rsidR="008D05D8" w:rsidRPr="008D05D8" w:rsidRDefault="008D05D8" w:rsidP="008D05D8">
            <w:pPr>
              <w:autoSpaceDE w:val="0"/>
              <w:autoSpaceDN w:val="0"/>
              <w:adjustRightInd w:val="0"/>
              <w:spacing w:after="0"/>
              <w:jc w:val="left"/>
              <w:rPr>
                <w:rFonts w:ascii="Futura Std Condensed Light" w:eastAsia="Calibri" w:hAnsi="Futura Std Condensed Light" w:cs="Calibri"/>
                <w:sz w:val="18"/>
                <w:szCs w:val="18"/>
              </w:rPr>
            </w:pPr>
            <w:r w:rsidRPr="008D05D8">
              <w:rPr>
                <w:rFonts w:ascii="Futura Std Condensed Light" w:eastAsia="Calibri" w:hAnsi="Futura Std Condensed Light" w:cs="Calibri"/>
                <w:sz w:val="18"/>
                <w:szCs w:val="18"/>
              </w:rPr>
              <w:t>Características</w:t>
            </w:r>
          </w:p>
        </w:tc>
      </w:tr>
      <w:tr w:rsidR="008D05D8" w14:paraId="317F0136" w14:textId="77777777" w:rsidTr="008D05D8">
        <w:trPr>
          <w:trHeight w:val="283"/>
          <w:jc w:val="center"/>
        </w:trPr>
        <w:tc>
          <w:tcPr>
            <w:tcW w:w="2112" w:type="dxa"/>
            <w:shd w:val="clear" w:color="auto" w:fill="FFFFFF"/>
            <w:tcMar>
              <w:top w:w="72" w:type="dxa"/>
              <w:left w:w="144" w:type="dxa"/>
              <w:bottom w:w="72" w:type="dxa"/>
              <w:right w:w="144" w:type="dxa"/>
            </w:tcMar>
            <w:vAlign w:val="center"/>
          </w:tcPr>
          <w:p w14:paraId="460C4B7E" w14:textId="77777777" w:rsidR="008D05D8" w:rsidRPr="008D05D8" w:rsidRDefault="008D05D8" w:rsidP="008D05D8">
            <w:pPr>
              <w:autoSpaceDE w:val="0"/>
              <w:autoSpaceDN w:val="0"/>
              <w:adjustRightInd w:val="0"/>
              <w:spacing w:after="0"/>
              <w:jc w:val="left"/>
              <w:rPr>
                <w:rFonts w:ascii="Futura Std Condensed Light" w:eastAsia="Calibri" w:hAnsi="Futura Std Condensed Light" w:cs="Calibri"/>
                <w:sz w:val="18"/>
                <w:szCs w:val="18"/>
              </w:rPr>
            </w:pPr>
            <w:r w:rsidRPr="008D05D8">
              <w:rPr>
                <w:rFonts w:ascii="Futura Std Condensed Light" w:eastAsia="Calibri" w:hAnsi="Futura Std Condensed Light" w:cs="Calibri"/>
                <w:sz w:val="18"/>
                <w:szCs w:val="18"/>
              </w:rPr>
              <w:t>Indicador:</w:t>
            </w:r>
          </w:p>
        </w:tc>
        <w:tc>
          <w:tcPr>
            <w:tcW w:w="7239" w:type="dxa"/>
            <w:shd w:val="clear" w:color="auto" w:fill="FFFFFF"/>
            <w:tcMar>
              <w:top w:w="72" w:type="dxa"/>
              <w:left w:w="144" w:type="dxa"/>
              <w:bottom w:w="72" w:type="dxa"/>
              <w:right w:w="144" w:type="dxa"/>
            </w:tcMar>
            <w:vAlign w:val="center"/>
          </w:tcPr>
          <w:p w14:paraId="60B8ED93" w14:textId="77777777" w:rsidR="008D05D8" w:rsidRPr="008D05D8" w:rsidRDefault="008D05D8" w:rsidP="008D05D8">
            <w:pPr>
              <w:autoSpaceDE w:val="0"/>
              <w:autoSpaceDN w:val="0"/>
              <w:adjustRightInd w:val="0"/>
              <w:spacing w:after="0"/>
              <w:rPr>
                <w:rFonts w:ascii="Futura Std Condensed Light" w:eastAsia="Calibri" w:hAnsi="Futura Std Condensed Light" w:cs="Calibri"/>
                <w:sz w:val="18"/>
                <w:szCs w:val="18"/>
              </w:rPr>
            </w:pPr>
            <w:r w:rsidRPr="008D05D8">
              <w:rPr>
                <w:rFonts w:ascii="Futura Std Condensed Light" w:eastAsia="Calibri" w:hAnsi="Futura Std Condensed Light" w:cs="Calibri"/>
                <w:sz w:val="18"/>
                <w:szCs w:val="18"/>
              </w:rPr>
              <w:t>Porcentaje de egresados de las Instituciones Formadoras de Docentes que resulta idóneos para el ingreso al Sistema para la Carrera de las Maestras y los Maestros</w:t>
            </w:r>
          </w:p>
        </w:tc>
      </w:tr>
      <w:tr w:rsidR="008D05D8" w14:paraId="5CFBB1D1" w14:textId="77777777" w:rsidTr="008D05D8">
        <w:trPr>
          <w:trHeight w:val="283"/>
          <w:jc w:val="center"/>
        </w:trPr>
        <w:tc>
          <w:tcPr>
            <w:tcW w:w="2112" w:type="dxa"/>
            <w:shd w:val="clear" w:color="auto" w:fill="FFFFFF"/>
            <w:tcMar>
              <w:top w:w="72" w:type="dxa"/>
              <w:left w:w="144" w:type="dxa"/>
              <w:bottom w:w="72" w:type="dxa"/>
              <w:right w:w="144" w:type="dxa"/>
            </w:tcMar>
            <w:vAlign w:val="center"/>
          </w:tcPr>
          <w:p w14:paraId="705E422A" w14:textId="0AEDB257" w:rsidR="008D05D8" w:rsidRPr="008D05D8" w:rsidRDefault="008D05D8" w:rsidP="008D05D8">
            <w:pPr>
              <w:autoSpaceDE w:val="0"/>
              <w:autoSpaceDN w:val="0"/>
              <w:adjustRightInd w:val="0"/>
              <w:spacing w:after="0"/>
              <w:jc w:val="left"/>
              <w:rPr>
                <w:rFonts w:ascii="Futura Std Condensed Light" w:eastAsia="Calibri" w:hAnsi="Futura Std Condensed Light" w:cs="Calibri"/>
                <w:sz w:val="18"/>
                <w:szCs w:val="18"/>
              </w:rPr>
            </w:pPr>
            <w:r w:rsidRPr="008D05D8">
              <w:rPr>
                <w:rFonts w:ascii="Futura Std Condensed Light" w:eastAsia="Calibri" w:hAnsi="Futura Std Condensed Light" w:cs="Calibri"/>
                <w:sz w:val="18"/>
                <w:szCs w:val="18"/>
              </w:rPr>
              <w:t>Estrategia</w:t>
            </w:r>
            <w:r w:rsidR="00D0670B">
              <w:rPr>
                <w:rFonts w:ascii="Futura Std Condensed Light" w:eastAsia="Calibri" w:hAnsi="Futura Std Condensed Light" w:cs="Calibri"/>
                <w:sz w:val="18"/>
                <w:szCs w:val="18"/>
              </w:rPr>
              <w:t xml:space="preserve"> 4</w:t>
            </w:r>
            <w:r w:rsidRPr="008D05D8">
              <w:rPr>
                <w:rFonts w:ascii="Futura Std Condensed Light" w:eastAsia="Calibri" w:hAnsi="Futura Std Condensed Light" w:cs="Calibri"/>
                <w:sz w:val="18"/>
                <w:szCs w:val="18"/>
              </w:rPr>
              <w:t>:</w:t>
            </w:r>
          </w:p>
        </w:tc>
        <w:tc>
          <w:tcPr>
            <w:tcW w:w="7239" w:type="dxa"/>
            <w:shd w:val="clear" w:color="auto" w:fill="FFFFFF"/>
            <w:tcMar>
              <w:top w:w="72" w:type="dxa"/>
              <w:left w:w="144" w:type="dxa"/>
              <w:bottom w:w="72" w:type="dxa"/>
              <w:right w:w="144" w:type="dxa"/>
            </w:tcMar>
            <w:vAlign w:val="center"/>
          </w:tcPr>
          <w:p w14:paraId="6B1D4562" w14:textId="77777777" w:rsidR="008D05D8" w:rsidRPr="008D05D8" w:rsidRDefault="008D05D8" w:rsidP="008D05D8">
            <w:pPr>
              <w:autoSpaceDE w:val="0"/>
              <w:autoSpaceDN w:val="0"/>
              <w:adjustRightInd w:val="0"/>
              <w:spacing w:after="0"/>
              <w:rPr>
                <w:rFonts w:ascii="Futura Std Condensed Light" w:eastAsia="Calibri" w:hAnsi="Futura Std Condensed Light" w:cs="Calibri"/>
                <w:sz w:val="18"/>
                <w:szCs w:val="18"/>
              </w:rPr>
            </w:pPr>
            <w:r w:rsidRPr="008D05D8">
              <w:rPr>
                <w:rFonts w:ascii="Futura Std Condensed Light" w:eastAsia="Calibri" w:hAnsi="Futura Std Condensed Light" w:cs="Calibri"/>
                <w:sz w:val="18"/>
                <w:szCs w:val="18"/>
              </w:rPr>
              <w:t>Implementar un proyecto estatal que promueva la calidad educativa estableciendo como ejes fundamentales la gestión y el fortalecimiento institucional, la promoción de la investigación y el diseño curricular y formación docente</w:t>
            </w:r>
          </w:p>
        </w:tc>
      </w:tr>
      <w:tr w:rsidR="008D05D8" w14:paraId="422AB0F6" w14:textId="77777777" w:rsidTr="008D05D8">
        <w:trPr>
          <w:trHeight w:val="283"/>
          <w:jc w:val="center"/>
        </w:trPr>
        <w:tc>
          <w:tcPr>
            <w:tcW w:w="2112" w:type="dxa"/>
            <w:shd w:val="clear" w:color="auto" w:fill="FFFFFF"/>
            <w:tcMar>
              <w:top w:w="72" w:type="dxa"/>
              <w:left w:w="144" w:type="dxa"/>
              <w:bottom w:w="72" w:type="dxa"/>
              <w:right w:w="144" w:type="dxa"/>
            </w:tcMar>
            <w:vAlign w:val="center"/>
          </w:tcPr>
          <w:p w14:paraId="3EE18A73" w14:textId="77777777" w:rsidR="008D05D8" w:rsidRPr="008D05D8" w:rsidRDefault="008D05D8" w:rsidP="008D05D8">
            <w:pPr>
              <w:autoSpaceDE w:val="0"/>
              <w:autoSpaceDN w:val="0"/>
              <w:adjustRightInd w:val="0"/>
              <w:spacing w:after="0"/>
              <w:jc w:val="left"/>
              <w:rPr>
                <w:rFonts w:ascii="Futura Std Condensed Light" w:eastAsia="Calibri" w:hAnsi="Futura Std Condensed Light" w:cs="Calibri"/>
                <w:sz w:val="18"/>
                <w:szCs w:val="18"/>
              </w:rPr>
            </w:pPr>
            <w:r w:rsidRPr="008D05D8">
              <w:rPr>
                <w:rFonts w:ascii="Futura Std Condensed Light" w:eastAsia="Calibri" w:hAnsi="Futura Std Condensed Light" w:cs="Calibri"/>
                <w:sz w:val="18"/>
                <w:szCs w:val="18"/>
              </w:rPr>
              <w:t>Descripción:</w:t>
            </w:r>
          </w:p>
        </w:tc>
        <w:tc>
          <w:tcPr>
            <w:tcW w:w="7239" w:type="dxa"/>
            <w:shd w:val="clear" w:color="auto" w:fill="FFFFFF"/>
            <w:tcMar>
              <w:top w:w="72" w:type="dxa"/>
              <w:left w:w="144" w:type="dxa"/>
              <w:bottom w:w="72" w:type="dxa"/>
              <w:right w:w="144" w:type="dxa"/>
            </w:tcMar>
            <w:vAlign w:val="center"/>
          </w:tcPr>
          <w:p w14:paraId="6D892A5A" w14:textId="77777777" w:rsidR="008D05D8" w:rsidRPr="008D05D8" w:rsidRDefault="008D05D8" w:rsidP="008D05D8">
            <w:pPr>
              <w:autoSpaceDE w:val="0"/>
              <w:autoSpaceDN w:val="0"/>
              <w:adjustRightInd w:val="0"/>
              <w:spacing w:after="0"/>
              <w:rPr>
                <w:rFonts w:ascii="Futura Std Condensed Light" w:eastAsia="Calibri" w:hAnsi="Futura Std Condensed Light" w:cs="Calibri"/>
                <w:sz w:val="18"/>
                <w:szCs w:val="18"/>
              </w:rPr>
            </w:pPr>
            <w:r w:rsidRPr="008D05D8">
              <w:rPr>
                <w:rFonts w:ascii="Futura Std Condensed Light" w:eastAsia="Calibri" w:hAnsi="Futura Std Condensed Light" w:cs="Calibri"/>
                <w:sz w:val="18"/>
                <w:szCs w:val="18"/>
              </w:rPr>
              <w:t>Este indicador muestra el porcentaje de egresados de las Instituciones Formadoras de Docentes cuya formación académica los convierte en docentes calificados para estar frente a grupos de Educación Básica</w:t>
            </w:r>
          </w:p>
        </w:tc>
      </w:tr>
      <w:tr w:rsidR="008D05D8" w14:paraId="2E8CCA45" w14:textId="77777777" w:rsidTr="008D05D8">
        <w:trPr>
          <w:trHeight w:val="283"/>
          <w:jc w:val="center"/>
        </w:trPr>
        <w:tc>
          <w:tcPr>
            <w:tcW w:w="2112" w:type="dxa"/>
            <w:shd w:val="clear" w:color="auto" w:fill="FFFFFF"/>
            <w:tcMar>
              <w:top w:w="72" w:type="dxa"/>
              <w:left w:w="144" w:type="dxa"/>
              <w:bottom w:w="72" w:type="dxa"/>
              <w:right w:w="144" w:type="dxa"/>
            </w:tcMar>
            <w:vAlign w:val="center"/>
          </w:tcPr>
          <w:p w14:paraId="7AD3A75A" w14:textId="77777777" w:rsidR="008D05D8" w:rsidRPr="008D05D8" w:rsidRDefault="008D05D8" w:rsidP="008D05D8">
            <w:pPr>
              <w:autoSpaceDE w:val="0"/>
              <w:autoSpaceDN w:val="0"/>
              <w:adjustRightInd w:val="0"/>
              <w:spacing w:after="0"/>
              <w:jc w:val="left"/>
              <w:rPr>
                <w:rFonts w:ascii="Futura Std Condensed Light" w:eastAsia="Calibri" w:hAnsi="Futura Std Condensed Light" w:cs="Calibri"/>
                <w:sz w:val="18"/>
                <w:szCs w:val="18"/>
              </w:rPr>
            </w:pPr>
            <w:r w:rsidRPr="008D05D8">
              <w:rPr>
                <w:rFonts w:ascii="Futura Std Condensed Light" w:eastAsia="Calibri" w:hAnsi="Futura Std Condensed Light" w:cs="Calibri"/>
                <w:sz w:val="18"/>
                <w:szCs w:val="18"/>
              </w:rPr>
              <w:t>Método de cálculo:</w:t>
            </w:r>
          </w:p>
        </w:tc>
        <w:tc>
          <w:tcPr>
            <w:tcW w:w="7239" w:type="dxa"/>
            <w:shd w:val="clear" w:color="auto" w:fill="FFFFFF"/>
            <w:tcMar>
              <w:top w:w="72" w:type="dxa"/>
              <w:left w:w="144" w:type="dxa"/>
              <w:bottom w:w="72" w:type="dxa"/>
              <w:right w:w="144" w:type="dxa"/>
            </w:tcMar>
            <w:vAlign w:val="center"/>
          </w:tcPr>
          <w:p w14:paraId="24C82DAB" w14:textId="77777777" w:rsidR="008D05D8" w:rsidRPr="008D05D8" w:rsidRDefault="008D05D8" w:rsidP="008D05D8">
            <w:pPr>
              <w:autoSpaceDE w:val="0"/>
              <w:autoSpaceDN w:val="0"/>
              <w:adjustRightInd w:val="0"/>
              <w:spacing w:after="0"/>
              <w:rPr>
                <w:rFonts w:ascii="Futura Std Condensed Light" w:eastAsia="Calibri" w:hAnsi="Futura Std Condensed Light" w:cs="Calibri"/>
                <w:sz w:val="18"/>
                <w:szCs w:val="18"/>
              </w:rPr>
            </w:pPr>
            <w:r w:rsidRPr="008D05D8">
              <w:rPr>
                <w:rFonts w:ascii="Futura Std Condensed Light" w:eastAsia="Calibri" w:hAnsi="Futura Std Condensed Light" w:cs="Calibri"/>
                <w:sz w:val="18"/>
                <w:szCs w:val="18"/>
              </w:rPr>
              <w:t>(Número de egresados de Instituciones Formadores de Docentes que presentan el examen de ingreso al Sistema para la Carrera de las Maestras y los Maestros en el año t / Total de egresados de Instituciones Formadoras de Docentes que resultan idóneos en el examen de ingreso al Sistema para la Carrera de las Maestras y los Maestros en el año t) * 100</w:t>
            </w:r>
          </w:p>
        </w:tc>
      </w:tr>
      <w:tr w:rsidR="008D05D8" w14:paraId="2DEB32E3" w14:textId="77777777" w:rsidTr="008D05D8">
        <w:trPr>
          <w:trHeight w:val="283"/>
          <w:jc w:val="center"/>
        </w:trPr>
        <w:tc>
          <w:tcPr>
            <w:tcW w:w="2112" w:type="dxa"/>
            <w:shd w:val="clear" w:color="auto" w:fill="FFFFFF"/>
            <w:tcMar>
              <w:top w:w="72" w:type="dxa"/>
              <w:left w:w="144" w:type="dxa"/>
              <w:bottom w:w="72" w:type="dxa"/>
              <w:right w:w="144" w:type="dxa"/>
            </w:tcMar>
            <w:vAlign w:val="center"/>
          </w:tcPr>
          <w:p w14:paraId="6A38880A" w14:textId="77777777" w:rsidR="008D05D8" w:rsidRPr="008D05D8" w:rsidRDefault="008D05D8" w:rsidP="008D05D8">
            <w:pPr>
              <w:autoSpaceDE w:val="0"/>
              <w:autoSpaceDN w:val="0"/>
              <w:adjustRightInd w:val="0"/>
              <w:spacing w:after="0"/>
              <w:jc w:val="left"/>
              <w:rPr>
                <w:rFonts w:ascii="Futura Std Condensed Light" w:eastAsia="Calibri" w:hAnsi="Futura Std Condensed Light" w:cs="Calibri"/>
                <w:sz w:val="18"/>
                <w:szCs w:val="18"/>
              </w:rPr>
            </w:pPr>
            <w:r w:rsidRPr="008D05D8">
              <w:rPr>
                <w:rFonts w:ascii="Futura Std Condensed Light" w:eastAsia="Calibri" w:hAnsi="Futura Std Condensed Light" w:cs="Calibri"/>
                <w:sz w:val="18"/>
                <w:szCs w:val="18"/>
              </w:rPr>
              <w:t>Periodicidad:</w:t>
            </w:r>
          </w:p>
        </w:tc>
        <w:tc>
          <w:tcPr>
            <w:tcW w:w="7239" w:type="dxa"/>
            <w:shd w:val="clear" w:color="auto" w:fill="FFFFFF"/>
            <w:tcMar>
              <w:top w:w="72" w:type="dxa"/>
              <w:left w:w="144" w:type="dxa"/>
              <w:bottom w:w="72" w:type="dxa"/>
              <w:right w:w="144" w:type="dxa"/>
            </w:tcMar>
            <w:vAlign w:val="center"/>
          </w:tcPr>
          <w:p w14:paraId="15C7D2B5" w14:textId="77777777" w:rsidR="008D05D8" w:rsidRPr="008D05D8" w:rsidRDefault="008D05D8" w:rsidP="008D05D8">
            <w:pPr>
              <w:autoSpaceDE w:val="0"/>
              <w:autoSpaceDN w:val="0"/>
              <w:adjustRightInd w:val="0"/>
              <w:spacing w:after="0"/>
              <w:rPr>
                <w:rFonts w:ascii="Futura Std Condensed Light" w:eastAsia="Calibri" w:hAnsi="Futura Std Condensed Light" w:cs="Calibri"/>
                <w:sz w:val="18"/>
                <w:szCs w:val="18"/>
              </w:rPr>
            </w:pPr>
            <w:r w:rsidRPr="008D05D8">
              <w:rPr>
                <w:rFonts w:ascii="Futura Std Condensed Light" w:eastAsia="Calibri" w:hAnsi="Futura Std Condensed Light" w:cs="Calibri"/>
                <w:sz w:val="18"/>
                <w:szCs w:val="18"/>
              </w:rPr>
              <w:t>Anual</w:t>
            </w:r>
          </w:p>
        </w:tc>
      </w:tr>
      <w:tr w:rsidR="008D05D8" w14:paraId="7F627059" w14:textId="77777777" w:rsidTr="008D05D8">
        <w:trPr>
          <w:trHeight w:val="283"/>
          <w:jc w:val="center"/>
        </w:trPr>
        <w:tc>
          <w:tcPr>
            <w:tcW w:w="2112" w:type="dxa"/>
            <w:shd w:val="clear" w:color="auto" w:fill="FFFFFF"/>
            <w:tcMar>
              <w:top w:w="72" w:type="dxa"/>
              <w:left w:w="144" w:type="dxa"/>
              <w:bottom w:w="72" w:type="dxa"/>
              <w:right w:w="144" w:type="dxa"/>
            </w:tcMar>
            <w:vAlign w:val="center"/>
          </w:tcPr>
          <w:p w14:paraId="330BECBB" w14:textId="77777777" w:rsidR="008D05D8" w:rsidRPr="008D05D8" w:rsidRDefault="008D05D8" w:rsidP="008D05D8">
            <w:pPr>
              <w:autoSpaceDE w:val="0"/>
              <w:autoSpaceDN w:val="0"/>
              <w:adjustRightInd w:val="0"/>
              <w:spacing w:after="0"/>
              <w:jc w:val="left"/>
              <w:rPr>
                <w:rFonts w:ascii="Futura Std Condensed Light" w:eastAsia="Calibri" w:hAnsi="Futura Std Condensed Light" w:cs="Calibri"/>
                <w:sz w:val="18"/>
                <w:szCs w:val="18"/>
              </w:rPr>
            </w:pPr>
            <w:r w:rsidRPr="008D05D8">
              <w:rPr>
                <w:rFonts w:ascii="Futura Std Condensed Light" w:eastAsia="Calibri" w:hAnsi="Futura Std Condensed Light" w:cs="Calibri"/>
                <w:sz w:val="18"/>
                <w:szCs w:val="18"/>
              </w:rPr>
              <w:t>Fuente:</w:t>
            </w:r>
          </w:p>
        </w:tc>
        <w:tc>
          <w:tcPr>
            <w:tcW w:w="7239" w:type="dxa"/>
            <w:shd w:val="clear" w:color="auto" w:fill="FFFFFF"/>
            <w:tcMar>
              <w:top w:w="72" w:type="dxa"/>
              <w:left w:w="144" w:type="dxa"/>
              <w:bottom w:w="72" w:type="dxa"/>
              <w:right w:w="144" w:type="dxa"/>
            </w:tcMar>
            <w:vAlign w:val="center"/>
          </w:tcPr>
          <w:p w14:paraId="6B859999" w14:textId="77777777" w:rsidR="008D05D8" w:rsidRPr="008D05D8" w:rsidRDefault="008D05D8" w:rsidP="008D05D8">
            <w:pPr>
              <w:autoSpaceDE w:val="0"/>
              <w:autoSpaceDN w:val="0"/>
              <w:adjustRightInd w:val="0"/>
              <w:spacing w:after="0"/>
              <w:rPr>
                <w:rFonts w:ascii="Futura Std Condensed Light" w:eastAsia="Calibri" w:hAnsi="Futura Std Condensed Light" w:cs="Calibri"/>
                <w:sz w:val="18"/>
                <w:szCs w:val="18"/>
              </w:rPr>
            </w:pPr>
            <w:r w:rsidRPr="008D05D8">
              <w:rPr>
                <w:rFonts w:ascii="Futura Std Condensed Light" w:eastAsia="Calibri" w:hAnsi="Futura Std Condensed Light" w:cs="Calibri"/>
                <w:sz w:val="18"/>
                <w:szCs w:val="18"/>
              </w:rPr>
              <w:t xml:space="preserve">Información proporcionada por el Sistema para la Carrera de las Maestras y los Maestros / Datos estadísticos de las Instituciones Formadoras de Docentes </w:t>
            </w:r>
          </w:p>
        </w:tc>
      </w:tr>
      <w:tr w:rsidR="008D05D8" w14:paraId="43E6097B" w14:textId="77777777" w:rsidTr="008D05D8">
        <w:trPr>
          <w:trHeight w:val="283"/>
          <w:jc w:val="center"/>
        </w:trPr>
        <w:tc>
          <w:tcPr>
            <w:tcW w:w="2112" w:type="dxa"/>
            <w:shd w:val="clear" w:color="auto" w:fill="FFFFFF"/>
            <w:tcMar>
              <w:top w:w="72" w:type="dxa"/>
              <w:left w:w="144" w:type="dxa"/>
              <w:bottom w:w="72" w:type="dxa"/>
              <w:right w:w="144" w:type="dxa"/>
            </w:tcMar>
            <w:vAlign w:val="center"/>
          </w:tcPr>
          <w:p w14:paraId="7E7D0A94" w14:textId="77777777" w:rsidR="008D05D8" w:rsidRPr="008D05D8" w:rsidRDefault="008D05D8" w:rsidP="008D05D8">
            <w:pPr>
              <w:autoSpaceDE w:val="0"/>
              <w:autoSpaceDN w:val="0"/>
              <w:adjustRightInd w:val="0"/>
              <w:spacing w:after="0"/>
              <w:jc w:val="left"/>
              <w:rPr>
                <w:rFonts w:ascii="Futura Std Condensed Light" w:eastAsia="Calibri" w:hAnsi="Futura Std Condensed Light" w:cs="Calibri"/>
                <w:sz w:val="18"/>
                <w:szCs w:val="18"/>
              </w:rPr>
            </w:pPr>
            <w:r w:rsidRPr="008D05D8">
              <w:rPr>
                <w:rFonts w:ascii="Futura Std Condensed Light" w:eastAsia="Calibri" w:hAnsi="Futura Std Condensed Light" w:cs="Calibri"/>
                <w:sz w:val="18"/>
                <w:szCs w:val="18"/>
              </w:rPr>
              <w:t>Dimensión:</w:t>
            </w:r>
          </w:p>
        </w:tc>
        <w:tc>
          <w:tcPr>
            <w:tcW w:w="7239" w:type="dxa"/>
            <w:shd w:val="clear" w:color="auto" w:fill="FFFFFF"/>
            <w:tcMar>
              <w:top w:w="72" w:type="dxa"/>
              <w:left w:w="144" w:type="dxa"/>
              <w:bottom w:w="72" w:type="dxa"/>
              <w:right w:w="144" w:type="dxa"/>
            </w:tcMar>
            <w:vAlign w:val="center"/>
          </w:tcPr>
          <w:p w14:paraId="1E0BC089" w14:textId="77777777" w:rsidR="008D05D8" w:rsidRPr="008D05D8" w:rsidRDefault="008D05D8" w:rsidP="008D05D8">
            <w:pPr>
              <w:autoSpaceDE w:val="0"/>
              <w:autoSpaceDN w:val="0"/>
              <w:adjustRightInd w:val="0"/>
              <w:spacing w:after="0"/>
              <w:jc w:val="left"/>
              <w:rPr>
                <w:rFonts w:ascii="Futura Std Condensed Light" w:eastAsia="Calibri" w:hAnsi="Futura Std Condensed Light" w:cs="Calibri"/>
                <w:sz w:val="18"/>
                <w:szCs w:val="18"/>
              </w:rPr>
            </w:pPr>
            <w:r w:rsidRPr="008D05D8">
              <w:rPr>
                <w:rFonts w:ascii="Futura Std Condensed Light" w:eastAsia="Calibri" w:hAnsi="Futura Std Condensed Light" w:cs="Calibri"/>
                <w:sz w:val="18"/>
                <w:szCs w:val="18"/>
              </w:rPr>
              <w:t>Eficacia</w:t>
            </w:r>
          </w:p>
        </w:tc>
      </w:tr>
      <w:tr w:rsidR="008D05D8" w14:paraId="5184E26E" w14:textId="77777777" w:rsidTr="008D05D8">
        <w:trPr>
          <w:trHeight w:val="283"/>
          <w:jc w:val="center"/>
        </w:trPr>
        <w:tc>
          <w:tcPr>
            <w:tcW w:w="2112" w:type="dxa"/>
            <w:shd w:val="clear" w:color="auto" w:fill="FFFFFF"/>
            <w:tcMar>
              <w:top w:w="72" w:type="dxa"/>
              <w:left w:w="144" w:type="dxa"/>
              <w:bottom w:w="72" w:type="dxa"/>
              <w:right w:w="144" w:type="dxa"/>
            </w:tcMar>
            <w:vAlign w:val="center"/>
          </w:tcPr>
          <w:p w14:paraId="6B0698FC" w14:textId="77777777" w:rsidR="008D05D8" w:rsidRPr="008D05D8" w:rsidRDefault="008D05D8" w:rsidP="008D05D8">
            <w:pPr>
              <w:autoSpaceDE w:val="0"/>
              <w:autoSpaceDN w:val="0"/>
              <w:adjustRightInd w:val="0"/>
              <w:spacing w:after="0"/>
              <w:jc w:val="left"/>
              <w:rPr>
                <w:rFonts w:ascii="Futura Std Condensed Light" w:eastAsia="Calibri" w:hAnsi="Futura Std Condensed Light" w:cs="Calibri"/>
                <w:sz w:val="18"/>
                <w:szCs w:val="18"/>
              </w:rPr>
            </w:pPr>
            <w:r w:rsidRPr="008D05D8">
              <w:rPr>
                <w:rFonts w:ascii="Futura Std Condensed Light" w:eastAsia="Calibri" w:hAnsi="Futura Std Condensed Light" w:cs="Calibri"/>
                <w:sz w:val="18"/>
                <w:szCs w:val="18"/>
              </w:rPr>
              <w:t>Referencias adicionales:</w:t>
            </w:r>
          </w:p>
        </w:tc>
        <w:tc>
          <w:tcPr>
            <w:tcW w:w="7239" w:type="dxa"/>
            <w:shd w:val="clear" w:color="auto" w:fill="FFFFFF"/>
            <w:tcMar>
              <w:top w:w="72" w:type="dxa"/>
              <w:left w:w="144" w:type="dxa"/>
              <w:bottom w:w="72" w:type="dxa"/>
              <w:right w:w="144" w:type="dxa"/>
            </w:tcMar>
            <w:vAlign w:val="center"/>
          </w:tcPr>
          <w:p w14:paraId="7727EB90" w14:textId="77777777" w:rsidR="008D05D8" w:rsidRPr="008D05D8" w:rsidRDefault="008D05D8" w:rsidP="008D05D8">
            <w:pPr>
              <w:autoSpaceDE w:val="0"/>
              <w:autoSpaceDN w:val="0"/>
              <w:adjustRightInd w:val="0"/>
              <w:spacing w:after="0"/>
              <w:jc w:val="left"/>
              <w:rPr>
                <w:rFonts w:ascii="Futura Std Condensed Light" w:eastAsia="Calibri" w:hAnsi="Futura Std Condensed Light" w:cs="Calibri"/>
                <w:sz w:val="18"/>
                <w:szCs w:val="18"/>
              </w:rPr>
            </w:pPr>
          </w:p>
        </w:tc>
      </w:tr>
    </w:tbl>
    <w:p w14:paraId="29FB938C" w14:textId="5A45BB22" w:rsidR="008D05D8" w:rsidRDefault="008D05D8" w:rsidP="00C11F5C"/>
    <w:p w14:paraId="4028EB62" w14:textId="116DA3D9" w:rsidR="00364E7E" w:rsidRDefault="00364E7E">
      <w:pPr>
        <w:spacing w:after="0" w:line="240" w:lineRule="auto"/>
        <w:jc w:val="left"/>
      </w:pPr>
      <w:r>
        <w:br w:type="page"/>
      </w:r>
    </w:p>
    <w:p w14:paraId="0CC9C9FB" w14:textId="382EAB51" w:rsidR="00C11F5C" w:rsidRDefault="00351024" w:rsidP="00C11F5C">
      <w:r w:rsidRPr="00351024">
        <w:rPr>
          <w:b/>
        </w:rPr>
        <w:lastRenderedPageBreak/>
        <w:t>Objetivo 5</w:t>
      </w:r>
      <w:r>
        <w:t>.</w:t>
      </w:r>
      <w:r w:rsidR="00AA076E">
        <w:t xml:space="preserve"> </w:t>
      </w:r>
      <w:r w:rsidR="00C11F5C" w:rsidRPr="00C11F5C">
        <w:t>Brindar una educación media superior de calidad relevante y pertinente, centrada en el mejoramiento del desempeño escolar del estudiante.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1816"/>
        <w:gridCol w:w="7721"/>
      </w:tblGrid>
      <w:tr w:rsidR="00C11F5C" w:rsidRPr="00C11F5C" w14:paraId="43724DC1" w14:textId="77777777" w:rsidTr="00C11F5C">
        <w:trPr>
          <w:trHeight w:val="283"/>
        </w:trPr>
        <w:tc>
          <w:tcPr>
            <w:tcW w:w="952" w:type="pct"/>
            <w:shd w:val="clear" w:color="auto" w:fill="BFBFBF" w:themeFill="background1" w:themeFillShade="BF"/>
            <w:tcMar>
              <w:top w:w="72" w:type="dxa"/>
              <w:left w:w="144" w:type="dxa"/>
              <w:bottom w:w="72" w:type="dxa"/>
              <w:right w:w="144" w:type="dxa"/>
            </w:tcMar>
            <w:hideMark/>
          </w:tcPr>
          <w:p w14:paraId="34565429" w14:textId="77777777" w:rsidR="00C11F5C" w:rsidRPr="006E77E1" w:rsidRDefault="00C11F5C" w:rsidP="001402B7">
            <w:pPr>
              <w:spacing w:after="0" w:line="240" w:lineRule="auto"/>
              <w:rPr>
                <w:rFonts w:ascii="Futura Std Condensed Light" w:eastAsia="Calibri" w:hAnsi="Futura Std Condensed Light" w:cs="Calibri"/>
                <w:sz w:val="18"/>
                <w:szCs w:val="18"/>
              </w:rPr>
            </w:pPr>
            <w:r w:rsidRPr="006E77E1">
              <w:rPr>
                <w:rFonts w:ascii="Futura Std Condensed Light" w:eastAsia="Calibri" w:hAnsi="Futura Std Condensed Light" w:cs="Calibri"/>
                <w:sz w:val="18"/>
                <w:szCs w:val="18"/>
              </w:rPr>
              <w:t>Elemento</w:t>
            </w:r>
          </w:p>
        </w:tc>
        <w:tc>
          <w:tcPr>
            <w:tcW w:w="4048" w:type="pct"/>
            <w:shd w:val="clear" w:color="auto" w:fill="BFBFBF" w:themeFill="background1" w:themeFillShade="BF"/>
            <w:tcMar>
              <w:top w:w="72" w:type="dxa"/>
              <w:left w:w="144" w:type="dxa"/>
              <w:bottom w:w="72" w:type="dxa"/>
              <w:right w:w="144" w:type="dxa"/>
            </w:tcMar>
            <w:hideMark/>
          </w:tcPr>
          <w:p w14:paraId="6EE788A6" w14:textId="77777777" w:rsidR="00C11F5C" w:rsidRPr="006E77E1" w:rsidRDefault="00C11F5C" w:rsidP="001402B7">
            <w:pPr>
              <w:spacing w:after="0" w:line="240" w:lineRule="auto"/>
              <w:rPr>
                <w:rFonts w:ascii="Futura Std Condensed Light" w:eastAsia="Calibri" w:hAnsi="Futura Std Condensed Light" w:cs="Calibri"/>
                <w:sz w:val="18"/>
                <w:szCs w:val="18"/>
              </w:rPr>
            </w:pPr>
            <w:r w:rsidRPr="006E77E1">
              <w:rPr>
                <w:rFonts w:ascii="Futura Std Condensed Light" w:eastAsia="Calibri" w:hAnsi="Futura Std Condensed Light" w:cs="Calibri"/>
                <w:sz w:val="18"/>
                <w:szCs w:val="18"/>
              </w:rPr>
              <w:t>Características</w:t>
            </w:r>
          </w:p>
        </w:tc>
      </w:tr>
      <w:tr w:rsidR="00C11F5C" w:rsidRPr="00C11F5C" w14:paraId="20588E3A" w14:textId="77777777" w:rsidTr="001402B7">
        <w:trPr>
          <w:trHeight w:val="283"/>
        </w:trPr>
        <w:tc>
          <w:tcPr>
            <w:tcW w:w="952" w:type="pct"/>
            <w:shd w:val="clear" w:color="auto" w:fill="FFFFFF" w:themeFill="background1"/>
            <w:tcMar>
              <w:top w:w="72" w:type="dxa"/>
              <w:left w:w="144" w:type="dxa"/>
              <w:bottom w:w="72" w:type="dxa"/>
              <w:right w:w="144" w:type="dxa"/>
            </w:tcMar>
            <w:hideMark/>
          </w:tcPr>
          <w:p w14:paraId="131DABEC" w14:textId="77777777" w:rsidR="00C11F5C" w:rsidRPr="006E77E1" w:rsidRDefault="00C11F5C" w:rsidP="001402B7">
            <w:pPr>
              <w:spacing w:after="0" w:line="240" w:lineRule="auto"/>
              <w:rPr>
                <w:rFonts w:ascii="Futura Std Condensed Light" w:eastAsia="Calibri" w:hAnsi="Futura Std Condensed Light" w:cs="Calibri"/>
                <w:sz w:val="18"/>
                <w:szCs w:val="18"/>
              </w:rPr>
            </w:pPr>
            <w:r w:rsidRPr="006E77E1">
              <w:rPr>
                <w:rFonts w:ascii="Futura Std Condensed Light" w:eastAsia="Calibri" w:hAnsi="Futura Std Condensed Light" w:cs="Calibri"/>
                <w:sz w:val="18"/>
                <w:szCs w:val="18"/>
              </w:rPr>
              <w:t>Indicador:</w:t>
            </w:r>
          </w:p>
        </w:tc>
        <w:tc>
          <w:tcPr>
            <w:tcW w:w="4048" w:type="pct"/>
            <w:shd w:val="clear" w:color="auto" w:fill="FFFFFF" w:themeFill="background1"/>
            <w:tcMar>
              <w:top w:w="72" w:type="dxa"/>
              <w:left w:w="144" w:type="dxa"/>
              <w:bottom w:w="72" w:type="dxa"/>
              <w:right w:w="144" w:type="dxa"/>
            </w:tcMar>
            <w:hideMark/>
          </w:tcPr>
          <w:p w14:paraId="74594929" w14:textId="77777777" w:rsidR="00C11F5C" w:rsidRPr="006E77E1" w:rsidRDefault="00C11F5C" w:rsidP="001402B7">
            <w:pPr>
              <w:spacing w:after="0" w:line="240" w:lineRule="auto"/>
              <w:rPr>
                <w:rFonts w:ascii="Futura Std Condensed Light" w:eastAsia="Calibri" w:hAnsi="Futura Std Condensed Light" w:cs="Calibri"/>
                <w:sz w:val="18"/>
                <w:szCs w:val="18"/>
              </w:rPr>
            </w:pPr>
            <w:r w:rsidRPr="006E77E1">
              <w:rPr>
                <w:rFonts w:ascii="Futura Std Condensed Light" w:eastAsia="Calibri" w:hAnsi="Futura Std Condensed Light" w:cs="Calibri"/>
                <w:sz w:val="18"/>
                <w:szCs w:val="18"/>
              </w:rPr>
              <w:t>Porcentaje de los alumnos que concluyen  el último semestre de Educación Media Superior con un promedio mayor o igual a 8</w:t>
            </w:r>
          </w:p>
        </w:tc>
      </w:tr>
      <w:tr w:rsidR="00C11F5C" w:rsidRPr="00C11F5C" w14:paraId="3EC8F48D" w14:textId="77777777" w:rsidTr="001402B7">
        <w:trPr>
          <w:trHeight w:val="283"/>
        </w:trPr>
        <w:tc>
          <w:tcPr>
            <w:tcW w:w="952" w:type="pct"/>
            <w:shd w:val="clear" w:color="auto" w:fill="FFFFFF" w:themeFill="background1"/>
            <w:tcMar>
              <w:top w:w="72" w:type="dxa"/>
              <w:left w:w="144" w:type="dxa"/>
              <w:bottom w:w="72" w:type="dxa"/>
              <w:right w:w="144" w:type="dxa"/>
            </w:tcMar>
          </w:tcPr>
          <w:p w14:paraId="005502F1" w14:textId="13CB311A" w:rsidR="00C11F5C" w:rsidRPr="006E77E1" w:rsidRDefault="00B02664" w:rsidP="001402B7">
            <w:pPr>
              <w:spacing w:after="0" w:line="240" w:lineRule="auto"/>
              <w:rPr>
                <w:rFonts w:ascii="Futura Std Condensed Light" w:eastAsia="Calibri" w:hAnsi="Futura Std Condensed Light" w:cs="Calibri"/>
                <w:sz w:val="18"/>
                <w:szCs w:val="18"/>
              </w:rPr>
            </w:pPr>
            <w:r>
              <w:rPr>
                <w:rFonts w:ascii="Futura Std Condensed Light" w:eastAsia="Calibri" w:hAnsi="Futura Std Condensed Light" w:cs="Calibri"/>
                <w:sz w:val="18"/>
                <w:szCs w:val="18"/>
              </w:rPr>
              <w:t>Objetivo 5</w:t>
            </w:r>
            <w:r w:rsidR="008C6991">
              <w:rPr>
                <w:rFonts w:ascii="Futura Std Condensed Light" w:eastAsia="Calibri" w:hAnsi="Futura Std Condensed Light" w:cs="Calibri"/>
                <w:sz w:val="18"/>
                <w:szCs w:val="18"/>
              </w:rPr>
              <w:t>:</w:t>
            </w:r>
          </w:p>
        </w:tc>
        <w:tc>
          <w:tcPr>
            <w:tcW w:w="4048" w:type="pct"/>
            <w:shd w:val="clear" w:color="auto" w:fill="FFFFFF" w:themeFill="background1"/>
            <w:tcMar>
              <w:top w:w="72" w:type="dxa"/>
              <w:left w:w="144" w:type="dxa"/>
              <w:bottom w:w="72" w:type="dxa"/>
              <w:right w:w="144" w:type="dxa"/>
            </w:tcMar>
          </w:tcPr>
          <w:p w14:paraId="585E900C" w14:textId="77777777" w:rsidR="00C11F5C" w:rsidRPr="006E77E1" w:rsidRDefault="00C11F5C" w:rsidP="001402B7">
            <w:pPr>
              <w:spacing w:after="0" w:line="240" w:lineRule="auto"/>
              <w:rPr>
                <w:rFonts w:ascii="Futura Std Condensed Light" w:eastAsia="Calibri" w:hAnsi="Futura Std Condensed Light" w:cs="Calibri"/>
                <w:sz w:val="18"/>
                <w:szCs w:val="18"/>
              </w:rPr>
            </w:pPr>
            <w:r w:rsidRPr="006E77E1">
              <w:rPr>
                <w:rFonts w:ascii="Futura Std Condensed Light" w:eastAsia="Calibri" w:hAnsi="Futura Std Condensed Light" w:cs="Calibri"/>
                <w:sz w:val="18"/>
                <w:szCs w:val="18"/>
              </w:rPr>
              <w:t>Brindar una educación media superior de calidad relevante y pertinente, centrada en el mejoramiento del desempeño escolar del estudiante.</w:t>
            </w:r>
          </w:p>
        </w:tc>
      </w:tr>
      <w:tr w:rsidR="00C11F5C" w:rsidRPr="00C11F5C" w14:paraId="4CBB6924" w14:textId="77777777" w:rsidTr="001402B7">
        <w:trPr>
          <w:trHeight w:val="283"/>
        </w:trPr>
        <w:tc>
          <w:tcPr>
            <w:tcW w:w="952" w:type="pct"/>
            <w:shd w:val="clear" w:color="auto" w:fill="FFFFFF" w:themeFill="background1"/>
            <w:tcMar>
              <w:top w:w="72" w:type="dxa"/>
              <w:left w:w="144" w:type="dxa"/>
              <w:bottom w:w="72" w:type="dxa"/>
              <w:right w:w="144" w:type="dxa"/>
            </w:tcMar>
            <w:hideMark/>
          </w:tcPr>
          <w:p w14:paraId="3E5AA56E" w14:textId="77777777" w:rsidR="00C11F5C" w:rsidRPr="006E77E1" w:rsidRDefault="00C11F5C" w:rsidP="001402B7">
            <w:pPr>
              <w:spacing w:after="0" w:line="240" w:lineRule="auto"/>
              <w:rPr>
                <w:rFonts w:ascii="Futura Std Condensed Light" w:eastAsia="Calibri" w:hAnsi="Futura Std Condensed Light" w:cs="Calibri"/>
                <w:sz w:val="18"/>
                <w:szCs w:val="18"/>
              </w:rPr>
            </w:pPr>
            <w:r w:rsidRPr="006E77E1">
              <w:rPr>
                <w:rFonts w:ascii="Futura Std Condensed Light" w:eastAsia="Calibri" w:hAnsi="Futura Std Condensed Light" w:cs="Calibri"/>
                <w:sz w:val="18"/>
                <w:szCs w:val="18"/>
              </w:rPr>
              <w:t>Descripción:</w:t>
            </w:r>
          </w:p>
        </w:tc>
        <w:tc>
          <w:tcPr>
            <w:tcW w:w="4048" w:type="pct"/>
            <w:shd w:val="clear" w:color="auto" w:fill="FFFFFF" w:themeFill="background1"/>
            <w:tcMar>
              <w:top w:w="72" w:type="dxa"/>
              <w:left w:w="144" w:type="dxa"/>
              <w:bottom w:w="72" w:type="dxa"/>
              <w:right w:w="144" w:type="dxa"/>
            </w:tcMar>
            <w:hideMark/>
          </w:tcPr>
          <w:p w14:paraId="36894F7E" w14:textId="740994EC" w:rsidR="00C11F5C" w:rsidRPr="006E77E1" w:rsidRDefault="00C11F5C" w:rsidP="00C11F5C">
            <w:pPr>
              <w:rPr>
                <w:rFonts w:ascii="Futura Std Condensed Light" w:eastAsia="Calibri" w:hAnsi="Futura Std Condensed Light" w:cs="Calibri"/>
                <w:sz w:val="18"/>
                <w:szCs w:val="18"/>
              </w:rPr>
            </w:pPr>
            <w:r w:rsidRPr="006E77E1">
              <w:rPr>
                <w:rFonts w:ascii="Futura Std Condensed Light" w:eastAsia="Calibri" w:hAnsi="Futura Std Condensed Light" w:cs="Calibri"/>
                <w:sz w:val="18"/>
                <w:szCs w:val="18"/>
              </w:rPr>
              <w:t>Es el número de alumnos del último semestre educación media superior en escuelas públicas de los subsistemas (tomando en cuenta únicamente los subsistemas de COBAQROO, CONALEPQROO, CECYTEQRO, UEMTIS, CEB, Telebachillerato Comunitario y UEMTISCYT) que concluyen con un promedio igual o mayor a 8, por cada cien alumnos que terminan el último semestre de educación media superior.</w:t>
            </w:r>
          </w:p>
        </w:tc>
      </w:tr>
      <w:tr w:rsidR="00C11F5C" w:rsidRPr="00C11F5C" w14:paraId="5AE52DDD" w14:textId="77777777" w:rsidTr="001402B7">
        <w:trPr>
          <w:trHeight w:val="283"/>
        </w:trPr>
        <w:tc>
          <w:tcPr>
            <w:tcW w:w="952" w:type="pct"/>
            <w:shd w:val="clear" w:color="auto" w:fill="FFFFFF" w:themeFill="background1"/>
            <w:tcMar>
              <w:top w:w="72" w:type="dxa"/>
              <w:left w:w="144" w:type="dxa"/>
              <w:bottom w:w="72" w:type="dxa"/>
              <w:right w:w="144" w:type="dxa"/>
            </w:tcMar>
            <w:hideMark/>
          </w:tcPr>
          <w:p w14:paraId="4CBD7826" w14:textId="77777777" w:rsidR="00C11F5C" w:rsidRPr="006E77E1" w:rsidRDefault="00C11F5C" w:rsidP="001402B7">
            <w:pPr>
              <w:spacing w:after="0" w:line="240" w:lineRule="auto"/>
              <w:rPr>
                <w:rFonts w:ascii="Futura Std Condensed Light" w:eastAsia="Calibri" w:hAnsi="Futura Std Condensed Light" w:cs="Calibri"/>
                <w:sz w:val="18"/>
                <w:szCs w:val="18"/>
              </w:rPr>
            </w:pPr>
            <w:r w:rsidRPr="006E77E1">
              <w:rPr>
                <w:rFonts w:ascii="Futura Std Condensed Light" w:eastAsia="Calibri" w:hAnsi="Futura Std Condensed Light" w:cs="Calibri"/>
                <w:sz w:val="18"/>
                <w:szCs w:val="18"/>
              </w:rPr>
              <w:t>Método de cálculo:</w:t>
            </w:r>
          </w:p>
        </w:tc>
        <w:tc>
          <w:tcPr>
            <w:tcW w:w="4048" w:type="pct"/>
            <w:shd w:val="clear" w:color="auto" w:fill="FFFFFF" w:themeFill="background1"/>
            <w:tcMar>
              <w:top w:w="72" w:type="dxa"/>
              <w:left w:w="144" w:type="dxa"/>
              <w:bottom w:w="72" w:type="dxa"/>
              <w:right w:w="144" w:type="dxa"/>
            </w:tcMar>
            <w:hideMark/>
          </w:tcPr>
          <w:p w14:paraId="1BB71D21" w14:textId="0DD02E2B" w:rsidR="00C11F5C" w:rsidRPr="006E77E1" w:rsidRDefault="00C11F5C" w:rsidP="00C11F5C">
            <w:pPr>
              <w:spacing w:after="0"/>
              <w:rPr>
                <w:rFonts w:ascii="Futura Std Condensed Light" w:eastAsia="Calibri" w:hAnsi="Futura Std Condensed Light" w:cs="Calibri"/>
                <w:sz w:val="18"/>
                <w:szCs w:val="18"/>
              </w:rPr>
            </w:pPr>
            <w:r w:rsidRPr="006E77E1">
              <w:rPr>
                <w:rFonts w:ascii="Futura Std Condensed Light" w:eastAsia="Calibri" w:hAnsi="Futura Std Condensed Light" w:cs="Calibri"/>
                <w:sz w:val="18"/>
                <w:szCs w:val="18"/>
              </w:rPr>
              <w:t>(Número de alumnos que concluyen el último semestre de educación media superior con un promedio igual o mayor a 8 / Total de alumnos que concluyen el último semestre de educación media superior) x 100.</w:t>
            </w:r>
          </w:p>
        </w:tc>
      </w:tr>
      <w:tr w:rsidR="00C11F5C" w:rsidRPr="00C11F5C" w14:paraId="6EA69A4D" w14:textId="77777777" w:rsidTr="001402B7">
        <w:trPr>
          <w:trHeight w:val="283"/>
        </w:trPr>
        <w:tc>
          <w:tcPr>
            <w:tcW w:w="952" w:type="pct"/>
            <w:shd w:val="clear" w:color="auto" w:fill="FFFFFF" w:themeFill="background1"/>
            <w:tcMar>
              <w:top w:w="72" w:type="dxa"/>
              <w:left w:w="144" w:type="dxa"/>
              <w:bottom w:w="72" w:type="dxa"/>
              <w:right w:w="144" w:type="dxa"/>
            </w:tcMar>
            <w:hideMark/>
          </w:tcPr>
          <w:p w14:paraId="251D5DF0" w14:textId="77777777" w:rsidR="00C11F5C" w:rsidRPr="006E77E1" w:rsidRDefault="00C11F5C" w:rsidP="001402B7">
            <w:pPr>
              <w:spacing w:after="0" w:line="240" w:lineRule="auto"/>
              <w:rPr>
                <w:rFonts w:ascii="Futura Std Condensed Light" w:eastAsia="Calibri" w:hAnsi="Futura Std Condensed Light" w:cs="Calibri"/>
                <w:sz w:val="18"/>
                <w:szCs w:val="18"/>
              </w:rPr>
            </w:pPr>
            <w:r w:rsidRPr="006E77E1">
              <w:rPr>
                <w:rFonts w:ascii="Futura Std Condensed Light" w:eastAsia="Calibri" w:hAnsi="Futura Std Condensed Light" w:cs="Calibri"/>
                <w:sz w:val="18"/>
                <w:szCs w:val="18"/>
              </w:rPr>
              <w:t>Periodicidad:</w:t>
            </w:r>
          </w:p>
        </w:tc>
        <w:tc>
          <w:tcPr>
            <w:tcW w:w="4048" w:type="pct"/>
            <w:shd w:val="clear" w:color="auto" w:fill="FFFFFF" w:themeFill="background1"/>
            <w:tcMar>
              <w:top w:w="72" w:type="dxa"/>
              <w:left w:w="144" w:type="dxa"/>
              <w:bottom w:w="72" w:type="dxa"/>
              <w:right w:w="144" w:type="dxa"/>
            </w:tcMar>
            <w:hideMark/>
          </w:tcPr>
          <w:p w14:paraId="72A9942E" w14:textId="77777777" w:rsidR="00C11F5C" w:rsidRPr="006E77E1" w:rsidRDefault="00C11F5C" w:rsidP="001402B7">
            <w:pPr>
              <w:spacing w:after="0" w:line="240" w:lineRule="auto"/>
              <w:rPr>
                <w:rFonts w:ascii="Futura Std Condensed Light" w:eastAsia="Calibri" w:hAnsi="Futura Std Condensed Light" w:cs="Calibri"/>
                <w:sz w:val="18"/>
                <w:szCs w:val="18"/>
              </w:rPr>
            </w:pPr>
            <w:r w:rsidRPr="006E77E1">
              <w:rPr>
                <w:rFonts w:ascii="Futura Std Condensed Light" w:eastAsia="Calibri" w:hAnsi="Futura Std Condensed Light" w:cs="Calibri"/>
                <w:sz w:val="18"/>
                <w:szCs w:val="18"/>
              </w:rPr>
              <w:t>Anual</w:t>
            </w:r>
          </w:p>
        </w:tc>
      </w:tr>
      <w:tr w:rsidR="00C11F5C" w:rsidRPr="00C11F5C" w14:paraId="61252080" w14:textId="77777777" w:rsidTr="001402B7">
        <w:trPr>
          <w:trHeight w:val="283"/>
        </w:trPr>
        <w:tc>
          <w:tcPr>
            <w:tcW w:w="952" w:type="pct"/>
            <w:shd w:val="clear" w:color="auto" w:fill="FFFFFF" w:themeFill="background1"/>
            <w:tcMar>
              <w:top w:w="72" w:type="dxa"/>
              <w:left w:w="144" w:type="dxa"/>
              <w:bottom w:w="72" w:type="dxa"/>
              <w:right w:w="144" w:type="dxa"/>
            </w:tcMar>
            <w:hideMark/>
          </w:tcPr>
          <w:p w14:paraId="087A63E7" w14:textId="77777777" w:rsidR="00C11F5C" w:rsidRPr="006E77E1" w:rsidRDefault="00C11F5C" w:rsidP="001402B7">
            <w:pPr>
              <w:spacing w:after="0" w:line="240" w:lineRule="auto"/>
              <w:rPr>
                <w:rFonts w:ascii="Futura Std Condensed Light" w:eastAsia="Calibri" w:hAnsi="Futura Std Condensed Light" w:cs="Calibri"/>
                <w:sz w:val="18"/>
                <w:szCs w:val="18"/>
              </w:rPr>
            </w:pPr>
            <w:r w:rsidRPr="006E77E1">
              <w:rPr>
                <w:rFonts w:ascii="Futura Std Condensed Light" w:eastAsia="Calibri" w:hAnsi="Futura Std Condensed Light" w:cs="Calibri"/>
                <w:sz w:val="18"/>
                <w:szCs w:val="18"/>
              </w:rPr>
              <w:t>Fuente:</w:t>
            </w:r>
          </w:p>
        </w:tc>
        <w:tc>
          <w:tcPr>
            <w:tcW w:w="4048" w:type="pct"/>
            <w:shd w:val="clear" w:color="auto" w:fill="FFFFFF" w:themeFill="background1"/>
            <w:tcMar>
              <w:top w:w="72" w:type="dxa"/>
              <w:left w:w="144" w:type="dxa"/>
              <w:bottom w:w="72" w:type="dxa"/>
              <w:right w:w="144" w:type="dxa"/>
            </w:tcMar>
            <w:hideMark/>
          </w:tcPr>
          <w:p w14:paraId="5A5745FF" w14:textId="77777777" w:rsidR="00C11F5C" w:rsidRPr="006E77E1" w:rsidRDefault="00C11F5C" w:rsidP="001402B7">
            <w:pPr>
              <w:spacing w:after="0" w:line="240" w:lineRule="auto"/>
              <w:rPr>
                <w:rFonts w:ascii="Futura Std Condensed Light" w:eastAsia="Calibri" w:hAnsi="Futura Std Condensed Light" w:cs="Calibri"/>
                <w:sz w:val="18"/>
                <w:szCs w:val="18"/>
              </w:rPr>
            </w:pPr>
            <w:r w:rsidRPr="006E77E1">
              <w:rPr>
                <w:rFonts w:ascii="Futura Std Condensed Light" w:eastAsia="Calibri" w:hAnsi="Futura Std Condensed Light" w:cs="Calibri"/>
                <w:sz w:val="18"/>
                <w:szCs w:val="18"/>
              </w:rPr>
              <w:t xml:space="preserve">Subsecretaria de Educación Media Superior </w:t>
            </w:r>
          </w:p>
        </w:tc>
      </w:tr>
      <w:tr w:rsidR="00C11F5C" w:rsidRPr="00C11F5C" w14:paraId="62BC2058" w14:textId="77777777" w:rsidTr="001402B7">
        <w:trPr>
          <w:trHeight w:val="283"/>
        </w:trPr>
        <w:tc>
          <w:tcPr>
            <w:tcW w:w="952" w:type="pct"/>
            <w:shd w:val="clear" w:color="auto" w:fill="FFFFFF" w:themeFill="background1"/>
            <w:tcMar>
              <w:top w:w="72" w:type="dxa"/>
              <w:left w:w="144" w:type="dxa"/>
              <w:bottom w:w="72" w:type="dxa"/>
              <w:right w:w="144" w:type="dxa"/>
            </w:tcMar>
            <w:hideMark/>
          </w:tcPr>
          <w:p w14:paraId="685CB8AC" w14:textId="77777777" w:rsidR="00C11F5C" w:rsidRPr="006E77E1" w:rsidRDefault="00C11F5C" w:rsidP="001402B7">
            <w:pPr>
              <w:spacing w:after="0" w:line="240" w:lineRule="auto"/>
              <w:rPr>
                <w:rFonts w:ascii="Futura Std Condensed Light" w:eastAsia="Calibri" w:hAnsi="Futura Std Condensed Light" w:cs="Calibri"/>
                <w:sz w:val="18"/>
                <w:szCs w:val="18"/>
              </w:rPr>
            </w:pPr>
            <w:r w:rsidRPr="006E77E1">
              <w:rPr>
                <w:rFonts w:ascii="Futura Std Condensed Light" w:eastAsia="Calibri" w:hAnsi="Futura Std Condensed Light" w:cs="Calibri"/>
                <w:sz w:val="18"/>
                <w:szCs w:val="18"/>
              </w:rPr>
              <w:t>Dimensión:</w:t>
            </w:r>
          </w:p>
        </w:tc>
        <w:tc>
          <w:tcPr>
            <w:tcW w:w="4048" w:type="pct"/>
            <w:shd w:val="clear" w:color="auto" w:fill="FFFFFF" w:themeFill="background1"/>
            <w:tcMar>
              <w:top w:w="72" w:type="dxa"/>
              <w:left w:w="144" w:type="dxa"/>
              <w:bottom w:w="72" w:type="dxa"/>
              <w:right w:w="144" w:type="dxa"/>
            </w:tcMar>
            <w:hideMark/>
          </w:tcPr>
          <w:p w14:paraId="48258716" w14:textId="77777777" w:rsidR="00C11F5C" w:rsidRPr="006E77E1" w:rsidRDefault="00C11F5C" w:rsidP="001402B7">
            <w:pPr>
              <w:spacing w:after="0" w:line="240" w:lineRule="auto"/>
              <w:rPr>
                <w:rFonts w:ascii="Futura Std Condensed Light" w:eastAsia="Calibri" w:hAnsi="Futura Std Condensed Light" w:cs="Calibri"/>
                <w:sz w:val="18"/>
                <w:szCs w:val="18"/>
              </w:rPr>
            </w:pPr>
            <w:r w:rsidRPr="006E77E1">
              <w:rPr>
                <w:rFonts w:ascii="Futura Std Condensed Light" w:eastAsia="Calibri" w:hAnsi="Futura Std Condensed Light" w:cs="Calibri"/>
                <w:sz w:val="18"/>
                <w:szCs w:val="18"/>
              </w:rPr>
              <w:t>Eficacia</w:t>
            </w:r>
          </w:p>
        </w:tc>
      </w:tr>
      <w:tr w:rsidR="00C11F5C" w:rsidRPr="00C11F5C" w14:paraId="3E84CA6A" w14:textId="77777777" w:rsidTr="001402B7">
        <w:trPr>
          <w:trHeight w:val="283"/>
        </w:trPr>
        <w:tc>
          <w:tcPr>
            <w:tcW w:w="952" w:type="pct"/>
            <w:shd w:val="clear" w:color="auto" w:fill="FFFFFF" w:themeFill="background1"/>
            <w:tcMar>
              <w:top w:w="72" w:type="dxa"/>
              <w:left w:w="144" w:type="dxa"/>
              <w:bottom w:w="72" w:type="dxa"/>
              <w:right w:w="144" w:type="dxa"/>
            </w:tcMar>
            <w:hideMark/>
          </w:tcPr>
          <w:p w14:paraId="6631C980" w14:textId="77777777" w:rsidR="00C11F5C" w:rsidRPr="006E77E1" w:rsidRDefault="00C11F5C" w:rsidP="001402B7">
            <w:pPr>
              <w:spacing w:after="0" w:line="240" w:lineRule="auto"/>
              <w:rPr>
                <w:rFonts w:ascii="Futura Std Condensed Light" w:eastAsia="Calibri" w:hAnsi="Futura Std Condensed Light" w:cs="Calibri"/>
                <w:sz w:val="18"/>
                <w:szCs w:val="18"/>
              </w:rPr>
            </w:pPr>
            <w:r w:rsidRPr="006E77E1">
              <w:rPr>
                <w:rFonts w:ascii="Futura Std Condensed Light" w:eastAsia="Calibri" w:hAnsi="Futura Std Condensed Light" w:cs="Calibri"/>
                <w:sz w:val="18"/>
                <w:szCs w:val="18"/>
              </w:rPr>
              <w:t>Referencias adicionales:</w:t>
            </w:r>
          </w:p>
        </w:tc>
        <w:tc>
          <w:tcPr>
            <w:tcW w:w="4048" w:type="pct"/>
            <w:shd w:val="clear" w:color="auto" w:fill="FFFFFF" w:themeFill="background1"/>
            <w:tcMar>
              <w:top w:w="72" w:type="dxa"/>
              <w:left w:w="144" w:type="dxa"/>
              <w:bottom w:w="72" w:type="dxa"/>
              <w:right w:w="144" w:type="dxa"/>
            </w:tcMar>
            <w:hideMark/>
          </w:tcPr>
          <w:p w14:paraId="1F0C252B" w14:textId="77777777" w:rsidR="00C11F5C" w:rsidRPr="006E77E1" w:rsidRDefault="00C11F5C" w:rsidP="001402B7">
            <w:pPr>
              <w:spacing w:after="0" w:line="240" w:lineRule="auto"/>
              <w:rPr>
                <w:rFonts w:ascii="Futura Std Condensed Light" w:eastAsia="Calibri" w:hAnsi="Futura Std Condensed Light" w:cs="Calibri"/>
                <w:sz w:val="18"/>
                <w:szCs w:val="18"/>
              </w:rPr>
            </w:pPr>
            <w:r w:rsidRPr="006E77E1">
              <w:rPr>
                <w:rFonts w:ascii="Futura Std Condensed Light" w:eastAsia="Calibri" w:hAnsi="Futura Std Condensed Light" w:cs="Calibri"/>
                <w:sz w:val="18"/>
                <w:szCs w:val="18"/>
              </w:rPr>
              <w:t>Estadísticas de la 911 de la Secretaría de Educación.</w:t>
            </w:r>
          </w:p>
          <w:p w14:paraId="2FFAAB27" w14:textId="77777777" w:rsidR="00C11F5C" w:rsidRPr="006E77E1" w:rsidRDefault="00C11F5C" w:rsidP="001402B7">
            <w:pPr>
              <w:spacing w:after="0" w:line="240" w:lineRule="auto"/>
              <w:rPr>
                <w:rFonts w:ascii="Futura Std Condensed Light" w:eastAsia="Calibri" w:hAnsi="Futura Std Condensed Light" w:cs="Calibri"/>
                <w:sz w:val="18"/>
                <w:szCs w:val="18"/>
              </w:rPr>
            </w:pPr>
          </w:p>
        </w:tc>
      </w:tr>
    </w:tbl>
    <w:p w14:paraId="075616C8" w14:textId="1E4946C3" w:rsidR="00C11F5C" w:rsidRDefault="00C11F5C" w:rsidP="00C11F5C">
      <w:pPr>
        <w:spacing w:after="0" w:line="240" w:lineRule="auto"/>
        <w:rPr>
          <w:rFonts w:ascii="Futura Std Condensed Light" w:eastAsia="Calibri" w:hAnsi="Futura Std Condensed Light" w:cs="Calibri"/>
          <w:b/>
          <w:sz w:val="20"/>
          <w:szCs w:val="22"/>
        </w:rPr>
      </w:pPr>
    </w:p>
    <w:p w14:paraId="48F2B612" w14:textId="77777777" w:rsidR="002B38A6" w:rsidRDefault="002B38A6">
      <w:pPr>
        <w:spacing w:after="0" w:line="240" w:lineRule="auto"/>
        <w:jc w:val="left"/>
        <w:rPr>
          <w:rFonts w:eastAsia="Times New Roman" w:cs="Futura"/>
          <w:b/>
        </w:rPr>
      </w:pPr>
      <w:r>
        <w:rPr>
          <w:rFonts w:eastAsia="Times New Roman" w:cs="Futura"/>
          <w:b/>
        </w:rPr>
        <w:br w:type="page"/>
      </w:r>
    </w:p>
    <w:p w14:paraId="2BFAA235" w14:textId="6C991CCC" w:rsidR="006E77E1" w:rsidRPr="002A329C" w:rsidRDefault="00B02664" w:rsidP="006E77E1">
      <w:pPr>
        <w:spacing w:before="200"/>
        <w:rPr>
          <w:rFonts w:eastAsia="Times New Roman" w:cs="Futura"/>
        </w:rPr>
      </w:pPr>
      <w:r>
        <w:rPr>
          <w:rFonts w:eastAsia="Times New Roman" w:cs="Futura"/>
          <w:b/>
        </w:rPr>
        <w:lastRenderedPageBreak/>
        <w:t>Estrategia 5</w:t>
      </w:r>
      <w:r w:rsidR="006E77E1" w:rsidRPr="002A329C">
        <w:rPr>
          <w:rFonts w:eastAsia="Times New Roman" w:cs="Futura"/>
          <w:b/>
        </w:rPr>
        <w:t>.</w:t>
      </w:r>
      <w:r w:rsidR="006E77E1" w:rsidRPr="002A329C">
        <w:rPr>
          <w:rFonts w:eastAsia="Times New Roman" w:cs="Futura"/>
        </w:rPr>
        <w:t xml:space="preserve"> Promover el establecimiento de prácticas pedagógicas y habilidades socioemocionales que desarrollen la obtención de competencias para la vida y el trabajo, en los estudiantes de educación media superior haciendo énfasis en aquellos con problemas de aprendizaje y en riesgo de abandono escolar. </w:t>
      </w:r>
    </w:p>
    <w:tbl>
      <w:tblPr>
        <w:tblStyle w:val="TablaSectorial"/>
        <w:tblW w:w="4815" w:type="pct"/>
        <w:tblLook w:val="0420" w:firstRow="1" w:lastRow="0" w:firstColumn="0" w:lastColumn="0" w:noHBand="0" w:noVBand="1"/>
      </w:tblPr>
      <w:tblGrid>
        <w:gridCol w:w="1664"/>
        <w:gridCol w:w="7520"/>
      </w:tblGrid>
      <w:tr w:rsidR="006E77E1" w:rsidRPr="00E66538" w14:paraId="57E0E142" w14:textId="77777777" w:rsidTr="001402B7">
        <w:trPr>
          <w:cnfStyle w:val="100000000000" w:firstRow="1" w:lastRow="0" w:firstColumn="0" w:lastColumn="0" w:oddVBand="0" w:evenVBand="0" w:oddHBand="0" w:evenHBand="0" w:firstRowFirstColumn="0" w:firstRowLastColumn="0" w:lastRowFirstColumn="0" w:lastRowLastColumn="0"/>
          <w:trHeight w:val="283"/>
        </w:trPr>
        <w:tc>
          <w:tcPr>
            <w:tcW w:w="906" w:type="pct"/>
            <w:hideMark/>
          </w:tcPr>
          <w:p w14:paraId="492D9B21" w14:textId="77777777" w:rsidR="006E77E1" w:rsidRPr="00E66538" w:rsidRDefault="006E77E1" w:rsidP="001402B7">
            <w:pPr>
              <w:spacing w:after="0" w:line="240" w:lineRule="auto"/>
              <w:rPr>
                <w:rFonts w:ascii="Futura Std Condensed Light" w:eastAsia="Calibri" w:hAnsi="Futura Std Condensed Light" w:cs="Calibri"/>
                <w:b/>
                <w:sz w:val="18"/>
                <w:szCs w:val="18"/>
              </w:rPr>
            </w:pPr>
            <w:r w:rsidRPr="00E66538">
              <w:rPr>
                <w:rFonts w:ascii="Futura Std Condensed Light" w:eastAsia="Calibri" w:hAnsi="Futura Std Condensed Light" w:cs="Calibri"/>
                <w:b/>
                <w:sz w:val="18"/>
                <w:szCs w:val="18"/>
              </w:rPr>
              <w:t>Elemento</w:t>
            </w:r>
          </w:p>
        </w:tc>
        <w:tc>
          <w:tcPr>
            <w:tcW w:w="4094" w:type="pct"/>
            <w:hideMark/>
          </w:tcPr>
          <w:p w14:paraId="75A50C97" w14:textId="77777777" w:rsidR="006E77E1" w:rsidRPr="00E66538" w:rsidRDefault="006E77E1" w:rsidP="001402B7">
            <w:pPr>
              <w:spacing w:after="0" w:line="240" w:lineRule="auto"/>
              <w:rPr>
                <w:rFonts w:ascii="Futura Std Condensed Light" w:eastAsia="Calibri" w:hAnsi="Futura Std Condensed Light" w:cs="Calibri"/>
                <w:b/>
                <w:sz w:val="18"/>
                <w:szCs w:val="18"/>
              </w:rPr>
            </w:pPr>
            <w:r w:rsidRPr="00E66538">
              <w:rPr>
                <w:rFonts w:ascii="Futura Std Condensed Light" w:eastAsia="Calibri" w:hAnsi="Futura Std Condensed Light" w:cs="Calibri"/>
                <w:b/>
                <w:sz w:val="18"/>
                <w:szCs w:val="18"/>
              </w:rPr>
              <w:t>Características</w:t>
            </w:r>
          </w:p>
        </w:tc>
      </w:tr>
      <w:tr w:rsidR="006E77E1" w:rsidRPr="00E66538" w14:paraId="530AA9AA" w14:textId="77777777" w:rsidTr="001402B7">
        <w:trPr>
          <w:trHeight w:val="283"/>
        </w:trPr>
        <w:tc>
          <w:tcPr>
            <w:tcW w:w="906" w:type="pct"/>
            <w:hideMark/>
          </w:tcPr>
          <w:p w14:paraId="692E8A19" w14:textId="77777777" w:rsidR="006E77E1" w:rsidRPr="00E66538" w:rsidRDefault="006E77E1" w:rsidP="001402B7">
            <w:pPr>
              <w:spacing w:after="0" w:line="240" w:lineRule="auto"/>
              <w:rPr>
                <w:rFonts w:ascii="Futura Std Condensed Light" w:eastAsia="Calibri" w:hAnsi="Futura Std Condensed Light" w:cs="Calibri"/>
                <w:sz w:val="18"/>
                <w:szCs w:val="18"/>
              </w:rPr>
            </w:pPr>
            <w:r w:rsidRPr="00E66538">
              <w:rPr>
                <w:rFonts w:ascii="Futura Std Condensed Light" w:eastAsia="Calibri" w:hAnsi="Futura Std Condensed Light" w:cs="Calibri"/>
                <w:sz w:val="18"/>
                <w:szCs w:val="18"/>
              </w:rPr>
              <w:t>Indicador:</w:t>
            </w:r>
          </w:p>
        </w:tc>
        <w:tc>
          <w:tcPr>
            <w:tcW w:w="4094" w:type="pct"/>
          </w:tcPr>
          <w:p w14:paraId="3974DB37" w14:textId="77777777" w:rsidR="006E77E1" w:rsidRPr="00E66538" w:rsidRDefault="006E77E1" w:rsidP="001402B7">
            <w:pPr>
              <w:spacing w:after="0" w:line="240" w:lineRule="auto"/>
              <w:rPr>
                <w:rFonts w:ascii="Futura Std Condensed Light" w:eastAsia="Calibri" w:hAnsi="Futura Std Condensed Light" w:cs="Calibri"/>
                <w:sz w:val="18"/>
                <w:szCs w:val="18"/>
              </w:rPr>
            </w:pPr>
            <w:r w:rsidRPr="00E66538">
              <w:rPr>
                <w:rFonts w:ascii="Futura Std Condensed Light" w:eastAsia="Calibri" w:hAnsi="Futura Std Condensed Light" w:cs="Calibri"/>
                <w:sz w:val="18"/>
                <w:szCs w:val="18"/>
              </w:rPr>
              <w:t>Tasa de deserción total de educación media superior</w:t>
            </w:r>
          </w:p>
        </w:tc>
      </w:tr>
      <w:tr w:rsidR="006E77E1" w:rsidRPr="00E66538" w14:paraId="1C207569" w14:textId="77777777" w:rsidTr="001402B7">
        <w:trPr>
          <w:trHeight w:val="283"/>
        </w:trPr>
        <w:tc>
          <w:tcPr>
            <w:tcW w:w="906" w:type="pct"/>
          </w:tcPr>
          <w:p w14:paraId="5B1BD30C" w14:textId="6BCED933" w:rsidR="006E77E1" w:rsidRPr="00E66538" w:rsidRDefault="00B02664" w:rsidP="001402B7">
            <w:pPr>
              <w:spacing w:after="0" w:line="240" w:lineRule="auto"/>
              <w:rPr>
                <w:rFonts w:ascii="Futura Std Condensed Light" w:eastAsia="Calibri" w:hAnsi="Futura Std Condensed Light" w:cs="Calibri"/>
                <w:sz w:val="18"/>
                <w:szCs w:val="18"/>
              </w:rPr>
            </w:pPr>
            <w:r>
              <w:rPr>
                <w:rFonts w:ascii="Futura Std Condensed Light" w:eastAsia="Calibri" w:hAnsi="Futura Std Condensed Light" w:cs="Calibri"/>
                <w:sz w:val="18"/>
                <w:szCs w:val="18"/>
              </w:rPr>
              <w:t>Estrategia 5</w:t>
            </w:r>
            <w:r w:rsidR="006E77E1" w:rsidRPr="00E66538">
              <w:rPr>
                <w:rFonts w:ascii="Futura Std Condensed Light" w:eastAsia="Calibri" w:hAnsi="Futura Std Condensed Light" w:cs="Calibri"/>
                <w:sz w:val="18"/>
                <w:szCs w:val="18"/>
              </w:rPr>
              <w:t>:</w:t>
            </w:r>
          </w:p>
        </w:tc>
        <w:tc>
          <w:tcPr>
            <w:tcW w:w="4094" w:type="pct"/>
          </w:tcPr>
          <w:p w14:paraId="557C499A" w14:textId="77777777" w:rsidR="006E77E1" w:rsidRPr="00E66538" w:rsidRDefault="006E77E1" w:rsidP="001402B7">
            <w:pPr>
              <w:spacing w:after="0"/>
              <w:rPr>
                <w:rFonts w:ascii="Futura Std Condensed Light" w:eastAsia="Calibri" w:hAnsi="Futura Std Condensed Light" w:cs="Calibri"/>
                <w:sz w:val="18"/>
                <w:szCs w:val="18"/>
              </w:rPr>
            </w:pPr>
            <w:r w:rsidRPr="00E66538">
              <w:rPr>
                <w:rFonts w:ascii="Futura Std Condensed Light" w:eastAsia="Calibri" w:hAnsi="Futura Std Condensed Light" w:cs="Calibri"/>
                <w:sz w:val="18"/>
                <w:szCs w:val="18"/>
              </w:rPr>
              <w:t xml:space="preserve">Promover el establecimiento de prácticas pedagógicas y habilidades socioemocionales que desarrollen la obtención de competencias para la vida y el trabajo, en los estudiantes de educación media superior haciendo énfasis en aquellos con problemas de aprendizaje y en riesgo de abandono escolar. </w:t>
            </w:r>
          </w:p>
        </w:tc>
      </w:tr>
      <w:tr w:rsidR="006E77E1" w:rsidRPr="00E66538" w14:paraId="379678A0" w14:textId="77777777" w:rsidTr="001402B7">
        <w:trPr>
          <w:trHeight w:val="283"/>
        </w:trPr>
        <w:tc>
          <w:tcPr>
            <w:tcW w:w="906" w:type="pct"/>
            <w:hideMark/>
          </w:tcPr>
          <w:p w14:paraId="2444F62B" w14:textId="77777777" w:rsidR="006E77E1" w:rsidRPr="00E66538" w:rsidRDefault="006E77E1" w:rsidP="001402B7">
            <w:pPr>
              <w:spacing w:after="0" w:line="240" w:lineRule="auto"/>
              <w:rPr>
                <w:rFonts w:ascii="Futura Std Condensed Light" w:eastAsia="Calibri" w:hAnsi="Futura Std Condensed Light" w:cs="Calibri"/>
                <w:sz w:val="18"/>
                <w:szCs w:val="18"/>
              </w:rPr>
            </w:pPr>
            <w:r w:rsidRPr="00E66538">
              <w:rPr>
                <w:rFonts w:ascii="Futura Std Condensed Light" w:eastAsia="Calibri" w:hAnsi="Futura Std Condensed Light" w:cs="Calibri"/>
                <w:sz w:val="18"/>
                <w:szCs w:val="18"/>
              </w:rPr>
              <w:t>Descripción:</w:t>
            </w:r>
          </w:p>
        </w:tc>
        <w:tc>
          <w:tcPr>
            <w:tcW w:w="4094" w:type="pct"/>
          </w:tcPr>
          <w:p w14:paraId="04A48BDE" w14:textId="77777777" w:rsidR="006E77E1" w:rsidRPr="00E66538" w:rsidRDefault="006E77E1" w:rsidP="001402B7">
            <w:pPr>
              <w:spacing w:after="0" w:line="240" w:lineRule="auto"/>
              <w:rPr>
                <w:rFonts w:ascii="Futura Std Condensed Light" w:eastAsia="Calibri" w:hAnsi="Futura Std Condensed Light" w:cs="Calibri"/>
                <w:sz w:val="18"/>
                <w:szCs w:val="18"/>
              </w:rPr>
            </w:pPr>
            <w:r w:rsidRPr="00E66538">
              <w:rPr>
                <w:rFonts w:ascii="Futura Std Condensed Light" w:eastAsia="Calibri" w:hAnsi="Futura Std Condensed Light" w:cs="Calibri"/>
                <w:sz w:val="18"/>
                <w:szCs w:val="18"/>
              </w:rPr>
              <w:t xml:space="preserve">Es el porcentaje de alumnos que abandonan la escuela entre ciclos escolares consecutivos antes de concluir el nivel o tipo educativo de referencia, respecto al total de alumnos matriculados al inicio del ciclo escolar. </w:t>
            </w:r>
          </w:p>
        </w:tc>
      </w:tr>
      <w:tr w:rsidR="006E77E1" w:rsidRPr="00E66538" w14:paraId="6A84D347" w14:textId="77777777" w:rsidTr="001402B7">
        <w:trPr>
          <w:trHeight w:val="283"/>
        </w:trPr>
        <w:tc>
          <w:tcPr>
            <w:tcW w:w="906" w:type="pct"/>
            <w:hideMark/>
          </w:tcPr>
          <w:p w14:paraId="229E55B6" w14:textId="77777777" w:rsidR="006E77E1" w:rsidRPr="00E66538" w:rsidRDefault="006E77E1" w:rsidP="001402B7">
            <w:pPr>
              <w:spacing w:after="0" w:line="240" w:lineRule="auto"/>
              <w:rPr>
                <w:rFonts w:ascii="Futura Std Condensed Light" w:eastAsia="Calibri" w:hAnsi="Futura Std Condensed Light" w:cs="Calibri"/>
                <w:sz w:val="18"/>
                <w:szCs w:val="18"/>
              </w:rPr>
            </w:pPr>
            <w:r w:rsidRPr="00E66538">
              <w:rPr>
                <w:rFonts w:ascii="Futura Std Condensed Light" w:eastAsia="Calibri" w:hAnsi="Futura Std Condensed Light" w:cs="Calibri"/>
                <w:sz w:val="18"/>
                <w:szCs w:val="18"/>
              </w:rPr>
              <w:t>Método de cálculo:</w:t>
            </w:r>
          </w:p>
        </w:tc>
        <w:tc>
          <w:tcPr>
            <w:tcW w:w="4094" w:type="pct"/>
          </w:tcPr>
          <w:p w14:paraId="2F4AFAD0" w14:textId="77777777" w:rsidR="006E77E1" w:rsidRPr="00E66538" w:rsidRDefault="006E77E1" w:rsidP="001402B7">
            <w:pPr>
              <w:spacing w:after="0" w:line="240" w:lineRule="auto"/>
              <w:rPr>
                <w:rFonts w:ascii="Futura Std Condensed Light" w:eastAsia="Calibri" w:hAnsi="Futura Std Condensed Light" w:cs="Calibri"/>
                <w:sz w:val="18"/>
                <w:szCs w:val="18"/>
              </w:rPr>
            </w:pPr>
            <w:r w:rsidRPr="00E66538">
              <w:rPr>
                <w:rFonts w:ascii="Futura Std Condensed Light" w:eastAsia="Calibri" w:hAnsi="Futura Std Condensed Light" w:cs="Calibri"/>
                <w:sz w:val="18"/>
                <w:szCs w:val="18"/>
              </w:rPr>
              <w:t>(Matrícula inicial de media superior en el ciclo escolar t - Alumnos egresados de media superior en el ciclo escolar t) – (Matrícula inicial de media superior en el ciclo escolar t+1 – Alumnos de nuevo ingreso a 1° de media superior en el ciclo escolar t+1) / Matrícula inicial de media superior en el ciclo escolar t) X 100</w:t>
            </w:r>
          </w:p>
        </w:tc>
      </w:tr>
      <w:tr w:rsidR="006E77E1" w:rsidRPr="00E66538" w14:paraId="5B8DAD75" w14:textId="77777777" w:rsidTr="001402B7">
        <w:trPr>
          <w:trHeight w:val="283"/>
        </w:trPr>
        <w:tc>
          <w:tcPr>
            <w:tcW w:w="906" w:type="pct"/>
            <w:hideMark/>
          </w:tcPr>
          <w:p w14:paraId="04AA4335" w14:textId="77777777" w:rsidR="006E77E1" w:rsidRPr="00E66538" w:rsidRDefault="006E77E1" w:rsidP="001402B7">
            <w:pPr>
              <w:spacing w:after="0" w:line="240" w:lineRule="auto"/>
              <w:rPr>
                <w:rFonts w:ascii="Futura Std Condensed Light" w:eastAsia="Calibri" w:hAnsi="Futura Std Condensed Light" w:cs="Calibri"/>
                <w:sz w:val="18"/>
                <w:szCs w:val="18"/>
              </w:rPr>
            </w:pPr>
            <w:r w:rsidRPr="00E66538">
              <w:rPr>
                <w:rFonts w:ascii="Futura Std Condensed Light" w:eastAsia="Calibri" w:hAnsi="Futura Std Condensed Light" w:cs="Calibri"/>
                <w:sz w:val="18"/>
                <w:szCs w:val="18"/>
              </w:rPr>
              <w:t>Periodicidad:</w:t>
            </w:r>
          </w:p>
        </w:tc>
        <w:tc>
          <w:tcPr>
            <w:tcW w:w="4094" w:type="pct"/>
          </w:tcPr>
          <w:p w14:paraId="12E0F7C3" w14:textId="77777777" w:rsidR="006E77E1" w:rsidRPr="00E66538" w:rsidRDefault="006E77E1" w:rsidP="001402B7">
            <w:pPr>
              <w:spacing w:after="0" w:line="240" w:lineRule="auto"/>
              <w:rPr>
                <w:rFonts w:ascii="Futura Std Condensed Light" w:eastAsia="Calibri" w:hAnsi="Futura Std Condensed Light" w:cs="Calibri"/>
                <w:sz w:val="18"/>
                <w:szCs w:val="18"/>
              </w:rPr>
            </w:pPr>
            <w:r w:rsidRPr="00E66538">
              <w:rPr>
                <w:rFonts w:ascii="Futura Std Condensed Light" w:eastAsia="Calibri" w:hAnsi="Futura Std Condensed Light" w:cs="Calibri"/>
                <w:sz w:val="18"/>
                <w:szCs w:val="18"/>
              </w:rPr>
              <w:t>Anual</w:t>
            </w:r>
          </w:p>
        </w:tc>
      </w:tr>
      <w:tr w:rsidR="006E77E1" w:rsidRPr="00E66538" w14:paraId="0CDD78D0" w14:textId="77777777" w:rsidTr="001402B7">
        <w:trPr>
          <w:trHeight w:val="283"/>
        </w:trPr>
        <w:tc>
          <w:tcPr>
            <w:tcW w:w="906" w:type="pct"/>
            <w:hideMark/>
          </w:tcPr>
          <w:p w14:paraId="6544557E" w14:textId="77777777" w:rsidR="006E77E1" w:rsidRPr="00E66538" w:rsidRDefault="006E77E1" w:rsidP="001402B7">
            <w:pPr>
              <w:spacing w:after="0" w:line="240" w:lineRule="auto"/>
              <w:rPr>
                <w:rFonts w:ascii="Futura Std Condensed Light" w:eastAsia="Calibri" w:hAnsi="Futura Std Condensed Light" w:cs="Calibri"/>
                <w:sz w:val="18"/>
                <w:szCs w:val="18"/>
              </w:rPr>
            </w:pPr>
            <w:r w:rsidRPr="00E66538">
              <w:rPr>
                <w:rFonts w:ascii="Futura Std Condensed Light" w:eastAsia="Calibri" w:hAnsi="Futura Std Condensed Light" w:cs="Calibri"/>
                <w:sz w:val="18"/>
                <w:szCs w:val="18"/>
              </w:rPr>
              <w:t>Fuente:</w:t>
            </w:r>
          </w:p>
        </w:tc>
        <w:tc>
          <w:tcPr>
            <w:tcW w:w="4094" w:type="pct"/>
          </w:tcPr>
          <w:p w14:paraId="0990A382" w14:textId="77777777" w:rsidR="006E77E1" w:rsidRPr="00E66538" w:rsidRDefault="006E77E1" w:rsidP="001402B7">
            <w:pPr>
              <w:spacing w:after="0" w:line="240" w:lineRule="auto"/>
              <w:rPr>
                <w:rFonts w:ascii="Futura Std Condensed Light" w:eastAsia="Calibri" w:hAnsi="Futura Std Condensed Light" w:cs="Calibri"/>
                <w:sz w:val="18"/>
                <w:szCs w:val="18"/>
              </w:rPr>
            </w:pPr>
            <w:r w:rsidRPr="00E66538">
              <w:rPr>
                <w:rFonts w:ascii="Futura Std Condensed Light" w:eastAsia="Calibri" w:hAnsi="Futura Std Condensed Light" w:cs="Calibri"/>
                <w:sz w:val="18"/>
                <w:szCs w:val="18"/>
              </w:rPr>
              <w:t>Estadísticas continúas del formato 911 (inicio y fin de los ciclos escolares), SEQ.</w:t>
            </w:r>
          </w:p>
        </w:tc>
      </w:tr>
      <w:tr w:rsidR="006E77E1" w:rsidRPr="00E66538" w14:paraId="1A54BBD3" w14:textId="77777777" w:rsidTr="001402B7">
        <w:trPr>
          <w:trHeight w:val="283"/>
        </w:trPr>
        <w:tc>
          <w:tcPr>
            <w:tcW w:w="906" w:type="pct"/>
            <w:hideMark/>
          </w:tcPr>
          <w:p w14:paraId="27707B16" w14:textId="77777777" w:rsidR="006E77E1" w:rsidRPr="00E66538" w:rsidRDefault="006E77E1" w:rsidP="001402B7">
            <w:pPr>
              <w:spacing w:after="0" w:line="240" w:lineRule="auto"/>
              <w:rPr>
                <w:rFonts w:ascii="Futura Std Condensed Light" w:eastAsia="Calibri" w:hAnsi="Futura Std Condensed Light" w:cs="Calibri"/>
                <w:sz w:val="18"/>
                <w:szCs w:val="18"/>
              </w:rPr>
            </w:pPr>
            <w:r w:rsidRPr="00E66538">
              <w:rPr>
                <w:rFonts w:ascii="Futura Std Condensed Light" w:eastAsia="Calibri" w:hAnsi="Futura Std Condensed Light" w:cs="Calibri"/>
                <w:sz w:val="18"/>
                <w:szCs w:val="18"/>
              </w:rPr>
              <w:t>Dimensión:</w:t>
            </w:r>
          </w:p>
        </w:tc>
        <w:tc>
          <w:tcPr>
            <w:tcW w:w="4094" w:type="pct"/>
            <w:hideMark/>
          </w:tcPr>
          <w:p w14:paraId="212EC553" w14:textId="77777777" w:rsidR="006E77E1" w:rsidRPr="00E66538" w:rsidRDefault="006E77E1" w:rsidP="001402B7">
            <w:pPr>
              <w:spacing w:after="0" w:line="240" w:lineRule="auto"/>
              <w:rPr>
                <w:rFonts w:ascii="Futura Std Condensed Light" w:eastAsia="Calibri" w:hAnsi="Futura Std Condensed Light" w:cs="Calibri"/>
                <w:sz w:val="18"/>
                <w:szCs w:val="18"/>
              </w:rPr>
            </w:pPr>
            <w:r w:rsidRPr="00E66538">
              <w:rPr>
                <w:rFonts w:ascii="Futura Std Condensed Light" w:eastAsia="Calibri" w:hAnsi="Futura Std Condensed Light" w:cs="Calibri"/>
                <w:sz w:val="18"/>
                <w:szCs w:val="18"/>
              </w:rPr>
              <w:t>Eficacia</w:t>
            </w:r>
          </w:p>
        </w:tc>
      </w:tr>
      <w:tr w:rsidR="006E77E1" w:rsidRPr="00E66538" w14:paraId="30439E36" w14:textId="77777777" w:rsidTr="001402B7">
        <w:trPr>
          <w:trHeight w:val="283"/>
        </w:trPr>
        <w:tc>
          <w:tcPr>
            <w:tcW w:w="906" w:type="pct"/>
            <w:hideMark/>
          </w:tcPr>
          <w:p w14:paraId="3FB649BF" w14:textId="77777777" w:rsidR="006E77E1" w:rsidRPr="00E66538" w:rsidRDefault="006E77E1" w:rsidP="001402B7">
            <w:pPr>
              <w:spacing w:after="0" w:line="240" w:lineRule="auto"/>
              <w:rPr>
                <w:rFonts w:ascii="Futura Std Condensed Light" w:eastAsia="Calibri" w:hAnsi="Futura Std Condensed Light" w:cs="Calibri"/>
                <w:sz w:val="18"/>
                <w:szCs w:val="18"/>
              </w:rPr>
            </w:pPr>
            <w:r w:rsidRPr="00E66538">
              <w:rPr>
                <w:rFonts w:ascii="Futura Std Condensed Light" w:eastAsia="Calibri" w:hAnsi="Futura Std Condensed Light" w:cs="Calibri"/>
                <w:sz w:val="18"/>
                <w:szCs w:val="18"/>
              </w:rPr>
              <w:t>Referencias adicionales:</w:t>
            </w:r>
          </w:p>
        </w:tc>
        <w:tc>
          <w:tcPr>
            <w:tcW w:w="4094" w:type="pct"/>
            <w:hideMark/>
          </w:tcPr>
          <w:p w14:paraId="4F37F1C9" w14:textId="77777777" w:rsidR="006E77E1" w:rsidRPr="00E66538" w:rsidRDefault="006E77E1" w:rsidP="001402B7">
            <w:pPr>
              <w:spacing w:after="0" w:line="240" w:lineRule="auto"/>
              <w:rPr>
                <w:rFonts w:ascii="Futura Std Condensed Light" w:eastAsia="Calibri" w:hAnsi="Futura Std Condensed Light" w:cs="Calibri"/>
                <w:sz w:val="18"/>
                <w:szCs w:val="18"/>
              </w:rPr>
            </w:pPr>
          </w:p>
        </w:tc>
      </w:tr>
    </w:tbl>
    <w:p w14:paraId="43269825" w14:textId="56C41A74" w:rsidR="00A63192" w:rsidRDefault="00A63192" w:rsidP="00A63192">
      <w:pPr>
        <w:rPr>
          <w:b/>
        </w:rPr>
      </w:pPr>
    </w:p>
    <w:p w14:paraId="7E5E6995" w14:textId="77777777" w:rsidR="002B38A6" w:rsidRDefault="002B38A6">
      <w:pPr>
        <w:spacing w:after="0" w:line="240" w:lineRule="auto"/>
        <w:jc w:val="left"/>
        <w:rPr>
          <w:b/>
        </w:rPr>
      </w:pPr>
      <w:r>
        <w:rPr>
          <w:b/>
        </w:rPr>
        <w:br w:type="page"/>
      </w:r>
    </w:p>
    <w:p w14:paraId="7703FD25" w14:textId="223FA30A" w:rsidR="00A63192" w:rsidRPr="002A329C" w:rsidRDefault="00B02664" w:rsidP="00A63192">
      <w:r>
        <w:rPr>
          <w:b/>
        </w:rPr>
        <w:lastRenderedPageBreak/>
        <w:t>Objetivo 6</w:t>
      </w:r>
      <w:r w:rsidR="00A63192" w:rsidRPr="002A329C">
        <w:rPr>
          <w:b/>
        </w:rPr>
        <w:t>.</w:t>
      </w:r>
      <w:r w:rsidR="00A63192" w:rsidRPr="002A329C">
        <w:t xml:space="preserve"> </w:t>
      </w:r>
      <w:r w:rsidR="00A63192" w:rsidRPr="00CE6709">
        <w:t xml:space="preserve">Asegurar la </w:t>
      </w:r>
      <w:r w:rsidR="00A63192">
        <w:t xml:space="preserve">continuidad y conclusión de los estudiantes de educación superior a través </w:t>
      </w:r>
      <w:r w:rsidR="00A63192" w:rsidRPr="00CE6709">
        <w:t>de programas y proyectos que</w:t>
      </w:r>
      <w:r w:rsidR="00A63192">
        <w:t xml:space="preserve"> favorezcan la calidad de la formación profesional, acorde a las necesidades que requiere el desarrollo social y económico del estado. </w:t>
      </w:r>
    </w:p>
    <w:tbl>
      <w:tblPr>
        <w:tblStyle w:val="TablaSectorial"/>
        <w:tblW w:w="4815" w:type="pct"/>
        <w:tblLook w:val="0420" w:firstRow="1" w:lastRow="0" w:firstColumn="0" w:lastColumn="0" w:noHBand="0" w:noVBand="1"/>
      </w:tblPr>
      <w:tblGrid>
        <w:gridCol w:w="1664"/>
        <w:gridCol w:w="7520"/>
      </w:tblGrid>
      <w:tr w:rsidR="00A63192" w:rsidRPr="00E66538" w14:paraId="6CC9DB21" w14:textId="77777777" w:rsidTr="001402B7">
        <w:trPr>
          <w:cnfStyle w:val="100000000000" w:firstRow="1" w:lastRow="0" w:firstColumn="0" w:lastColumn="0" w:oddVBand="0" w:evenVBand="0" w:oddHBand="0" w:evenHBand="0" w:firstRowFirstColumn="0" w:firstRowLastColumn="0" w:lastRowFirstColumn="0" w:lastRowLastColumn="0"/>
          <w:trHeight w:val="283"/>
        </w:trPr>
        <w:tc>
          <w:tcPr>
            <w:tcW w:w="906" w:type="pct"/>
            <w:hideMark/>
          </w:tcPr>
          <w:p w14:paraId="6F136056" w14:textId="77777777" w:rsidR="00A63192" w:rsidRPr="00E66538" w:rsidRDefault="00A63192" w:rsidP="001402B7">
            <w:pPr>
              <w:spacing w:after="0" w:line="240" w:lineRule="auto"/>
              <w:rPr>
                <w:rFonts w:ascii="Futura Std Condensed Light" w:eastAsia="Calibri" w:hAnsi="Futura Std Condensed Light" w:cs="Calibri"/>
                <w:b/>
                <w:sz w:val="18"/>
                <w:szCs w:val="18"/>
              </w:rPr>
            </w:pPr>
            <w:r w:rsidRPr="00E66538">
              <w:rPr>
                <w:rFonts w:ascii="Futura Std Condensed Light" w:eastAsia="Calibri" w:hAnsi="Futura Std Condensed Light" w:cs="Calibri"/>
                <w:b/>
                <w:sz w:val="18"/>
                <w:szCs w:val="18"/>
              </w:rPr>
              <w:t>Elemento</w:t>
            </w:r>
          </w:p>
        </w:tc>
        <w:tc>
          <w:tcPr>
            <w:tcW w:w="4094" w:type="pct"/>
            <w:hideMark/>
          </w:tcPr>
          <w:p w14:paraId="5563B2A9" w14:textId="77777777" w:rsidR="00A63192" w:rsidRPr="00E66538" w:rsidRDefault="00A63192" w:rsidP="001402B7">
            <w:pPr>
              <w:spacing w:after="0" w:line="240" w:lineRule="auto"/>
              <w:rPr>
                <w:rFonts w:ascii="Futura Std Condensed Light" w:eastAsia="Calibri" w:hAnsi="Futura Std Condensed Light" w:cs="Calibri"/>
                <w:b/>
                <w:sz w:val="18"/>
                <w:szCs w:val="18"/>
              </w:rPr>
            </w:pPr>
            <w:r w:rsidRPr="00E66538">
              <w:rPr>
                <w:rFonts w:ascii="Futura Std Condensed Light" w:eastAsia="Calibri" w:hAnsi="Futura Std Condensed Light" w:cs="Calibri"/>
                <w:b/>
                <w:sz w:val="18"/>
                <w:szCs w:val="18"/>
              </w:rPr>
              <w:t>Características</w:t>
            </w:r>
          </w:p>
        </w:tc>
      </w:tr>
      <w:tr w:rsidR="00A63192" w:rsidRPr="00E66538" w14:paraId="083F5A10" w14:textId="77777777" w:rsidTr="001402B7">
        <w:trPr>
          <w:trHeight w:val="283"/>
        </w:trPr>
        <w:tc>
          <w:tcPr>
            <w:tcW w:w="906" w:type="pct"/>
            <w:hideMark/>
          </w:tcPr>
          <w:p w14:paraId="16E863BF" w14:textId="77777777" w:rsidR="00A63192" w:rsidRPr="00E66538" w:rsidRDefault="00A63192" w:rsidP="001402B7">
            <w:pPr>
              <w:spacing w:after="0" w:line="240" w:lineRule="auto"/>
              <w:rPr>
                <w:rFonts w:ascii="Futura Std Condensed Light" w:eastAsia="Calibri" w:hAnsi="Futura Std Condensed Light" w:cs="Calibri"/>
                <w:sz w:val="18"/>
                <w:szCs w:val="18"/>
              </w:rPr>
            </w:pPr>
            <w:r w:rsidRPr="00E66538">
              <w:rPr>
                <w:rFonts w:ascii="Futura Std Condensed Light" w:eastAsia="Calibri" w:hAnsi="Futura Std Condensed Light" w:cs="Calibri"/>
                <w:sz w:val="18"/>
                <w:szCs w:val="18"/>
              </w:rPr>
              <w:t>Indicador:</w:t>
            </w:r>
          </w:p>
        </w:tc>
        <w:tc>
          <w:tcPr>
            <w:tcW w:w="4094" w:type="pct"/>
            <w:hideMark/>
          </w:tcPr>
          <w:p w14:paraId="6C475972" w14:textId="77777777" w:rsidR="00A63192" w:rsidRPr="00E66538" w:rsidRDefault="00A63192" w:rsidP="001402B7">
            <w:pPr>
              <w:spacing w:after="0" w:line="240" w:lineRule="auto"/>
              <w:rPr>
                <w:rFonts w:ascii="Futura Std Condensed Light" w:eastAsia="Calibri" w:hAnsi="Futura Std Condensed Light" w:cs="Calibri"/>
                <w:sz w:val="18"/>
                <w:szCs w:val="18"/>
              </w:rPr>
            </w:pPr>
            <w:r w:rsidRPr="00E66538">
              <w:rPr>
                <w:rFonts w:ascii="Futura Std Condensed Light" w:eastAsia="Calibri" w:hAnsi="Futura Std Condensed Light" w:cs="Calibri"/>
                <w:sz w:val="18"/>
                <w:szCs w:val="18"/>
              </w:rPr>
              <w:t>Tasa de eficiencia terminal de educación superior</w:t>
            </w:r>
          </w:p>
        </w:tc>
      </w:tr>
      <w:tr w:rsidR="00A63192" w:rsidRPr="00E66538" w14:paraId="569B57A8" w14:textId="77777777" w:rsidTr="001402B7">
        <w:trPr>
          <w:trHeight w:val="283"/>
        </w:trPr>
        <w:tc>
          <w:tcPr>
            <w:tcW w:w="906" w:type="pct"/>
          </w:tcPr>
          <w:p w14:paraId="016EBDCE" w14:textId="6270BB1E" w:rsidR="00A63192" w:rsidRPr="00E66538" w:rsidRDefault="00A63192" w:rsidP="001402B7">
            <w:pPr>
              <w:spacing w:after="0" w:line="240" w:lineRule="auto"/>
              <w:rPr>
                <w:rFonts w:ascii="Futura Std Condensed Light" w:eastAsia="Calibri" w:hAnsi="Futura Std Condensed Light" w:cs="Calibri"/>
                <w:sz w:val="18"/>
                <w:szCs w:val="18"/>
              </w:rPr>
            </w:pPr>
            <w:r w:rsidRPr="00E66538">
              <w:rPr>
                <w:rFonts w:ascii="Futura Std Condensed Light" w:eastAsia="Calibri" w:hAnsi="Futura Std Condensed Light" w:cs="Calibri"/>
                <w:sz w:val="18"/>
                <w:szCs w:val="18"/>
              </w:rPr>
              <w:t>Objet</w:t>
            </w:r>
            <w:r w:rsidR="00B02664">
              <w:rPr>
                <w:rFonts w:ascii="Futura Std Condensed Light" w:eastAsia="Calibri" w:hAnsi="Futura Std Condensed Light" w:cs="Calibri"/>
                <w:sz w:val="18"/>
                <w:szCs w:val="18"/>
              </w:rPr>
              <w:t>ivo 6</w:t>
            </w:r>
            <w:r w:rsidRPr="00E66538">
              <w:rPr>
                <w:rFonts w:ascii="Futura Std Condensed Light" w:eastAsia="Calibri" w:hAnsi="Futura Std Condensed Light" w:cs="Calibri"/>
                <w:sz w:val="18"/>
                <w:szCs w:val="18"/>
              </w:rPr>
              <w:t xml:space="preserve">: </w:t>
            </w:r>
          </w:p>
        </w:tc>
        <w:tc>
          <w:tcPr>
            <w:tcW w:w="4094" w:type="pct"/>
          </w:tcPr>
          <w:p w14:paraId="10743ED6" w14:textId="77777777" w:rsidR="00A63192" w:rsidRPr="00E66538" w:rsidRDefault="00A63192" w:rsidP="001402B7">
            <w:pPr>
              <w:spacing w:after="0"/>
              <w:rPr>
                <w:rFonts w:ascii="Futura Std Condensed Light" w:eastAsia="Calibri" w:hAnsi="Futura Std Condensed Light" w:cs="Calibri"/>
                <w:sz w:val="18"/>
                <w:szCs w:val="18"/>
              </w:rPr>
            </w:pPr>
            <w:r w:rsidRPr="00E66538">
              <w:rPr>
                <w:rFonts w:ascii="Futura Std Condensed Light" w:eastAsia="Calibri" w:hAnsi="Futura Std Condensed Light" w:cs="Calibri"/>
                <w:sz w:val="18"/>
                <w:szCs w:val="18"/>
              </w:rPr>
              <w:t xml:space="preserve">Asegurar la continuidad y conclusión de los estudiantes de educación superior a través de programas y proyectos que favorezcan la calidad de la formación profesional, acorde a las necesidades que requiere el desarrollo social y económico del estado. </w:t>
            </w:r>
          </w:p>
        </w:tc>
      </w:tr>
      <w:tr w:rsidR="00A63192" w:rsidRPr="00E66538" w14:paraId="3BD483A3" w14:textId="77777777" w:rsidTr="001402B7">
        <w:trPr>
          <w:trHeight w:val="283"/>
        </w:trPr>
        <w:tc>
          <w:tcPr>
            <w:tcW w:w="906" w:type="pct"/>
            <w:hideMark/>
          </w:tcPr>
          <w:p w14:paraId="207EAB0D" w14:textId="77777777" w:rsidR="00A63192" w:rsidRPr="00E66538" w:rsidRDefault="00A63192" w:rsidP="001402B7">
            <w:pPr>
              <w:spacing w:after="0" w:line="240" w:lineRule="auto"/>
              <w:rPr>
                <w:rFonts w:ascii="Futura Std Condensed Light" w:eastAsia="Calibri" w:hAnsi="Futura Std Condensed Light" w:cs="Calibri"/>
                <w:sz w:val="18"/>
                <w:szCs w:val="18"/>
              </w:rPr>
            </w:pPr>
            <w:r w:rsidRPr="00E66538">
              <w:rPr>
                <w:rFonts w:ascii="Futura Std Condensed Light" w:eastAsia="Calibri" w:hAnsi="Futura Std Condensed Light" w:cs="Calibri"/>
                <w:sz w:val="18"/>
                <w:szCs w:val="18"/>
              </w:rPr>
              <w:t>Descripción:</w:t>
            </w:r>
          </w:p>
        </w:tc>
        <w:tc>
          <w:tcPr>
            <w:tcW w:w="4094" w:type="pct"/>
            <w:hideMark/>
          </w:tcPr>
          <w:p w14:paraId="3674D9CE" w14:textId="77777777" w:rsidR="00A63192" w:rsidRPr="00E66538" w:rsidRDefault="00A63192" w:rsidP="001402B7">
            <w:pPr>
              <w:spacing w:after="0" w:line="240" w:lineRule="auto"/>
              <w:rPr>
                <w:rFonts w:ascii="Futura Std Condensed Light" w:eastAsia="Calibri" w:hAnsi="Futura Std Condensed Light" w:cs="Calibri"/>
                <w:sz w:val="18"/>
                <w:szCs w:val="18"/>
              </w:rPr>
            </w:pPr>
            <w:r w:rsidRPr="00E66538">
              <w:rPr>
                <w:rFonts w:ascii="Futura Std Condensed Light" w:eastAsia="Calibri" w:hAnsi="Futura Std Condensed Light" w:cs="Calibri"/>
                <w:sz w:val="18"/>
                <w:szCs w:val="18"/>
              </w:rPr>
              <w:t>Es el porcentaje de alumnos que terminan o egresan de educación superior en el tiempo normativo o ideal establecido, en relación al número de alumnos de nuevo ingreso a primero de educación superior inscritos tantos ciclos escolares atrás como dura el nivel educativo en cuestión.</w:t>
            </w:r>
          </w:p>
        </w:tc>
      </w:tr>
      <w:tr w:rsidR="00A63192" w:rsidRPr="00E66538" w14:paraId="37A82CCF" w14:textId="77777777" w:rsidTr="001402B7">
        <w:trPr>
          <w:trHeight w:val="283"/>
        </w:trPr>
        <w:tc>
          <w:tcPr>
            <w:tcW w:w="906" w:type="pct"/>
            <w:hideMark/>
          </w:tcPr>
          <w:p w14:paraId="62CAC8D9" w14:textId="77777777" w:rsidR="00A63192" w:rsidRPr="00E66538" w:rsidRDefault="00A63192" w:rsidP="001402B7">
            <w:pPr>
              <w:spacing w:after="0" w:line="240" w:lineRule="auto"/>
              <w:rPr>
                <w:rFonts w:ascii="Futura Std Condensed Light" w:eastAsia="Calibri" w:hAnsi="Futura Std Condensed Light" w:cs="Calibri"/>
                <w:sz w:val="18"/>
                <w:szCs w:val="18"/>
              </w:rPr>
            </w:pPr>
            <w:r w:rsidRPr="00E66538">
              <w:rPr>
                <w:rFonts w:ascii="Futura Std Condensed Light" w:eastAsia="Calibri" w:hAnsi="Futura Std Condensed Light" w:cs="Calibri"/>
                <w:sz w:val="18"/>
                <w:szCs w:val="18"/>
              </w:rPr>
              <w:t>Método de cálculo:</w:t>
            </w:r>
          </w:p>
        </w:tc>
        <w:tc>
          <w:tcPr>
            <w:tcW w:w="4094" w:type="pct"/>
            <w:hideMark/>
          </w:tcPr>
          <w:p w14:paraId="1888155C" w14:textId="77777777" w:rsidR="00A63192" w:rsidRPr="00E66538" w:rsidRDefault="00A63192" w:rsidP="001402B7">
            <w:pPr>
              <w:spacing w:after="0" w:line="240" w:lineRule="auto"/>
              <w:rPr>
                <w:rFonts w:ascii="Futura Std Condensed Light" w:eastAsia="Calibri" w:hAnsi="Futura Std Condensed Light" w:cs="Calibri"/>
                <w:sz w:val="18"/>
                <w:szCs w:val="18"/>
              </w:rPr>
            </w:pPr>
            <w:r w:rsidRPr="00E66538">
              <w:rPr>
                <w:rFonts w:ascii="Futura Std Condensed Light" w:eastAsia="Calibri" w:hAnsi="Futura Std Condensed Light" w:cs="Calibri"/>
                <w:sz w:val="18"/>
                <w:szCs w:val="18"/>
              </w:rPr>
              <w:t>(Número de alumnos egresados de educación superior en el ciclo escolar t / Número de alumnos de nuevo ingreso a primer grado de educación superior que se inscribieron hace t-4 ciclos escolares) X 100</w:t>
            </w:r>
          </w:p>
        </w:tc>
      </w:tr>
      <w:tr w:rsidR="00A63192" w:rsidRPr="00E66538" w14:paraId="40B5D971" w14:textId="77777777" w:rsidTr="001402B7">
        <w:trPr>
          <w:trHeight w:val="283"/>
        </w:trPr>
        <w:tc>
          <w:tcPr>
            <w:tcW w:w="906" w:type="pct"/>
            <w:hideMark/>
          </w:tcPr>
          <w:p w14:paraId="49CBD87E" w14:textId="77777777" w:rsidR="00A63192" w:rsidRPr="00E66538" w:rsidRDefault="00A63192" w:rsidP="001402B7">
            <w:pPr>
              <w:spacing w:after="0" w:line="240" w:lineRule="auto"/>
              <w:rPr>
                <w:rFonts w:ascii="Futura Std Condensed Light" w:eastAsia="Calibri" w:hAnsi="Futura Std Condensed Light" w:cs="Calibri"/>
                <w:sz w:val="18"/>
                <w:szCs w:val="18"/>
              </w:rPr>
            </w:pPr>
            <w:r w:rsidRPr="00E66538">
              <w:rPr>
                <w:rFonts w:ascii="Futura Std Condensed Light" w:eastAsia="Calibri" w:hAnsi="Futura Std Condensed Light" w:cs="Calibri"/>
                <w:sz w:val="18"/>
                <w:szCs w:val="18"/>
              </w:rPr>
              <w:t>Periodicidad:</w:t>
            </w:r>
          </w:p>
        </w:tc>
        <w:tc>
          <w:tcPr>
            <w:tcW w:w="4094" w:type="pct"/>
            <w:hideMark/>
          </w:tcPr>
          <w:p w14:paraId="2C3D24B4" w14:textId="77777777" w:rsidR="00A63192" w:rsidRPr="00E66538" w:rsidRDefault="00A63192" w:rsidP="001402B7">
            <w:pPr>
              <w:spacing w:after="0" w:line="240" w:lineRule="auto"/>
              <w:rPr>
                <w:rFonts w:ascii="Futura Std Condensed Light" w:eastAsia="Calibri" w:hAnsi="Futura Std Condensed Light" w:cs="Calibri"/>
                <w:sz w:val="18"/>
                <w:szCs w:val="18"/>
              </w:rPr>
            </w:pPr>
            <w:r w:rsidRPr="00E66538">
              <w:rPr>
                <w:rFonts w:ascii="Futura Std Condensed Light" w:eastAsia="Calibri" w:hAnsi="Futura Std Condensed Light" w:cs="Calibri"/>
                <w:sz w:val="18"/>
                <w:szCs w:val="18"/>
              </w:rPr>
              <w:t>Anual</w:t>
            </w:r>
          </w:p>
        </w:tc>
      </w:tr>
      <w:tr w:rsidR="00A63192" w:rsidRPr="00E66538" w14:paraId="31283272" w14:textId="77777777" w:rsidTr="001402B7">
        <w:trPr>
          <w:trHeight w:val="283"/>
        </w:trPr>
        <w:tc>
          <w:tcPr>
            <w:tcW w:w="906" w:type="pct"/>
            <w:hideMark/>
          </w:tcPr>
          <w:p w14:paraId="1B63ABE7" w14:textId="77777777" w:rsidR="00A63192" w:rsidRPr="00E66538" w:rsidRDefault="00A63192" w:rsidP="001402B7">
            <w:pPr>
              <w:spacing w:after="0" w:line="240" w:lineRule="auto"/>
              <w:rPr>
                <w:rFonts w:ascii="Futura Std Condensed Light" w:eastAsia="Calibri" w:hAnsi="Futura Std Condensed Light" w:cs="Calibri"/>
                <w:sz w:val="18"/>
                <w:szCs w:val="18"/>
              </w:rPr>
            </w:pPr>
            <w:r w:rsidRPr="00E66538">
              <w:rPr>
                <w:rFonts w:ascii="Futura Std Condensed Light" w:eastAsia="Calibri" w:hAnsi="Futura Std Condensed Light" w:cs="Calibri"/>
                <w:sz w:val="18"/>
                <w:szCs w:val="18"/>
              </w:rPr>
              <w:t>Fuente:</w:t>
            </w:r>
          </w:p>
        </w:tc>
        <w:tc>
          <w:tcPr>
            <w:tcW w:w="4094" w:type="pct"/>
            <w:hideMark/>
          </w:tcPr>
          <w:p w14:paraId="59C68D51" w14:textId="77777777" w:rsidR="00A63192" w:rsidRPr="00E66538" w:rsidRDefault="00A63192" w:rsidP="001402B7">
            <w:pPr>
              <w:spacing w:after="0" w:line="240" w:lineRule="auto"/>
              <w:rPr>
                <w:rFonts w:ascii="Futura Std Condensed Light" w:eastAsia="Calibri" w:hAnsi="Futura Std Condensed Light" w:cs="Calibri"/>
                <w:sz w:val="18"/>
                <w:szCs w:val="18"/>
              </w:rPr>
            </w:pPr>
            <w:r w:rsidRPr="00E66538">
              <w:rPr>
                <w:rFonts w:ascii="Futura Std Condensed Light" w:eastAsia="Calibri" w:hAnsi="Futura Std Condensed Light" w:cs="Calibri"/>
                <w:sz w:val="18"/>
                <w:szCs w:val="18"/>
              </w:rPr>
              <w:t>Estadísticas continúas del formato 911 de educación superior, inicio de ciclo escolar, SEQ.</w:t>
            </w:r>
          </w:p>
        </w:tc>
      </w:tr>
      <w:tr w:rsidR="00A63192" w:rsidRPr="00E66538" w14:paraId="783370BC" w14:textId="77777777" w:rsidTr="001402B7">
        <w:trPr>
          <w:trHeight w:val="283"/>
        </w:trPr>
        <w:tc>
          <w:tcPr>
            <w:tcW w:w="906" w:type="pct"/>
            <w:hideMark/>
          </w:tcPr>
          <w:p w14:paraId="6E2406F8" w14:textId="77777777" w:rsidR="00A63192" w:rsidRPr="00E66538" w:rsidRDefault="00A63192" w:rsidP="001402B7">
            <w:pPr>
              <w:spacing w:after="0" w:line="240" w:lineRule="auto"/>
              <w:rPr>
                <w:rFonts w:ascii="Futura Std Condensed Light" w:eastAsia="Calibri" w:hAnsi="Futura Std Condensed Light" w:cs="Calibri"/>
                <w:sz w:val="18"/>
                <w:szCs w:val="18"/>
              </w:rPr>
            </w:pPr>
            <w:r w:rsidRPr="00E66538">
              <w:rPr>
                <w:rFonts w:ascii="Futura Std Condensed Light" w:eastAsia="Calibri" w:hAnsi="Futura Std Condensed Light" w:cs="Calibri"/>
                <w:sz w:val="18"/>
                <w:szCs w:val="18"/>
              </w:rPr>
              <w:t>Dimensión:</w:t>
            </w:r>
          </w:p>
        </w:tc>
        <w:tc>
          <w:tcPr>
            <w:tcW w:w="4094" w:type="pct"/>
            <w:hideMark/>
          </w:tcPr>
          <w:p w14:paraId="772C43D6" w14:textId="77777777" w:rsidR="00A63192" w:rsidRPr="00E66538" w:rsidRDefault="00A63192" w:rsidP="001402B7">
            <w:pPr>
              <w:tabs>
                <w:tab w:val="left" w:pos="1185"/>
              </w:tabs>
              <w:spacing w:after="0" w:line="240" w:lineRule="auto"/>
              <w:jc w:val="left"/>
              <w:rPr>
                <w:rFonts w:ascii="Futura Std Condensed Light" w:eastAsia="Calibri" w:hAnsi="Futura Std Condensed Light" w:cs="Calibri"/>
                <w:sz w:val="18"/>
                <w:szCs w:val="18"/>
              </w:rPr>
            </w:pPr>
            <w:r w:rsidRPr="00E66538">
              <w:rPr>
                <w:rFonts w:ascii="Futura Std Condensed Light" w:eastAsia="Calibri" w:hAnsi="Futura Std Condensed Light" w:cs="Calibri"/>
                <w:sz w:val="18"/>
                <w:szCs w:val="18"/>
              </w:rPr>
              <w:t>Eficacia</w:t>
            </w:r>
            <w:r w:rsidRPr="00E66538">
              <w:rPr>
                <w:rFonts w:ascii="Futura Std Condensed Light" w:eastAsia="Calibri" w:hAnsi="Futura Std Condensed Light" w:cs="Calibri"/>
                <w:sz w:val="18"/>
                <w:szCs w:val="18"/>
              </w:rPr>
              <w:tab/>
            </w:r>
          </w:p>
        </w:tc>
      </w:tr>
      <w:tr w:rsidR="00A63192" w:rsidRPr="00E66538" w14:paraId="75EB372C" w14:textId="77777777" w:rsidTr="001402B7">
        <w:trPr>
          <w:trHeight w:val="283"/>
        </w:trPr>
        <w:tc>
          <w:tcPr>
            <w:tcW w:w="906" w:type="pct"/>
            <w:hideMark/>
          </w:tcPr>
          <w:p w14:paraId="6878D035" w14:textId="77777777" w:rsidR="00A63192" w:rsidRPr="00E66538" w:rsidRDefault="00A63192" w:rsidP="001402B7">
            <w:pPr>
              <w:spacing w:after="0" w:line="240" w:lineRule="auto"/>
              <w:rPr>
                <w:rFonts w:ascii="Futura Std Condensed Light" w:eastAsia="Calibri" w:hAnsi="Futura Std Condensed Light" w:cs="Calibri"/>
                <w:sz w:val="18"/>
                <w:szCs w:val="18"/>
              </w:rPr>
            </w:pPr>
            <w:r w:rsidRPr="00E66538">
              <w:rPr>
                <w:rFonts w:ascii="Futura Std Condensed Light" w:eastAsia="Calibri" w:hAnsi="Futura Std Condensed Light" w:cs="Calibri"/>
                <w:sz w:val="18"/>
                <w:szCs w:val="18"/>
              </w:rPr>
              <w:t>Referencias adicionales:</w:t>
            </w:r>
          </w:p>
        </w:tc>
        <w:tc>
          <w:tcPr>
            <w:tcW w:w="4094" w:type="pct"/>
            <w:hideMark/>
          </w:tcPr>
          <w:p w14:paraId="7DD88174" w14:textId="77777777" w:rsidR="00A63192" w:rsidRPr="00E66538" w:rsidRDefault="00A63192" w:rsidP="001402B7">
            <w:pPr>
              <w:spacing w:after="0" w:line="240" w:lineRule="auto"/>
              <w:rPr>
                <w:rFonts w:ascii="Futura Std Condensed Light" w:eastAsia="Calibri" w:hAnsi="Futura Std Condensed Light" w:cs="Calibri"/>
                <w:sz w:val="18"/>
                <w:szCs w:val="18"/>
              </w:rPr>
            </w:pPr>
          </w:p>
        </w:tc>
      </w:tr>
    </w:tbl>
    <w:p w14:paraId="1FFFEAB4" w14:textId="57606670" w:rsidR="009D52D8" w:rsidRDefault="009D52D8" w:rsidP="00A63192">
      <w:pPr>
        <w:spacing w:before="200"/>
        <w:rPr>
          <w:b/>
        </w:rPr>
      </w:pPr>
    </w:p>
    <w:p w14:paraId="2846CC2D" w14:textId="77777777" w:rsidR="009D52D8" w:rsidRDefault="009D52D8">
      <w:pPr>
        <w:spacing w:after="0" w:line="240" w:lineRule="auto"/>
        <w:jc w:val="left"/>
        <w:rPr>
          <w:b/>
        </w:rPr>
      </w:pPr>
      <w:r>
        <w:rPr>
          <w:b/>
        </w:rPr>
        <w:br w:type="page"/>
      </w:r>
    </w:p>
    <w:p w14:paraId="37DBC5DF" w14:textId="262811BE" w:rsidR="00A63192" w:rsidRDefault="00B02664" w:rsidP="00A63192">
      <w:pPr>
        <w:spacing w:before="200"/>
      </w:pPr>
      <w:r>
        <w:rPr>
          <w:b/>
        </w:rPr>
        <w:lastRenderedPageBreak/>
        <w:t>Estrategia 6</w:t>
      </w:r>
      <w:r w:rsidR="00A63192" w:rsidRPr="002A329C">
        <w:rPr>
          <w:b/>
        </w:rPr>
        <w:t>.</w:t>
      </w:r>
      <w:r w:rsidR="00A63192">
        <w:t xml:space="preserve"> Impulsar la ampliación de la oferta educativa pertinente de las instituciones de Educación Superior que aseguren la atención de la demanda en la entidad. </w:t>
      </w:r>
    </w:p>
    <w:tbl>
      <w:tblPr>
        <w:tblStyle w:val="TablaSectorial"/>
        <w:tblW w:w="4815" w:type="pct"/>
        <w:tblLook w:val="0420" w:firstRow="1" w:lastRow="0" w:firstColumn="0" w:lastColumn="0" w:noHBand="0" w:noVBand="1"/>
      </w:tblPr>
      <w:tblGrid>
        <w:gridCol w:w="1664"/>
        <w:gridCol w:w="7520"/>
      </w:tblGrid>
      <w:tr w:rsidR="00A63192" w:rsidRPr="00FD195D" w14:paraId="0B934430" w14:textId="77777777" w:rsidTr="001402B7">
        <w:trPr>
          <w:cnfStyle w:val="100000000000" w:firstRow="1" w:lastRow="0" w:firstColumn="0" w:lastColumn="0" w:oddVBand="0" w:evenVBand="0" w:oddHBand="0" w:evenHBand="0" w:firstRowFirstColumn="0" w:firstRowLastColumn="0" w:lastRowFirstColumn="0" w:lastRowLastColumn="0"/>
          <w:trHeight w:val="283"/>
        </w:trPr>
        <w:tc>
          <w:tcPr>
            <w:tcW w:w="906" w:type="pct"/>
            <w:hideMark/>
          </w:tcPr>
          <w:p w14:paraId="0542C49F" w14:textId="77777777" w:rsidR="00A63192" w:rsidRPr="00FD195D" w:rsidRDefault="00A63192" w:rsidP="001402B7">
            <w:pPr>
              <w:spacing w:after="0" w:line="240" w:lineRule="auto"/>
              <w:rPr>
                <w:rFonts w:ascii="Futura Std Condensed Light" w:eastAsia="Calibri" w:hAnsi="Futura Std Condensed Light" w:cs="Calibri"/>
                <w:b/>
                <w:sz w:val="18"/>
                <w:szCs w:val="18"/>
              </w:rPr>
            </w:pPr>
            <w:r w:rsidRPr="00FD195D">
              <w:rPr>
                <w:rFonts w:ascii="Futura Std Condensed Light" w:eastAsia="Calibri" w:hAnsi="Futura Std Condensed Light" w:cs="Calibri"/>
                <w:b/>
                <w:sz w:val="18"/>
                <w:szCs w:val="18"/>
              </w:rPr>
              <w:t>Elemento</w:t>
            </w:r>
          </w:p>
        </w:tc>
        <w:tc>
          <w:tcPr>
            <w:tcW w:w="4094" w:type="pct"/>
            <w:hideMark/>
          </w:tcPr>
          <w:p w14:paraId="6D7DBB9C" w14:textId="77777777" w:rsidR="00A63192" w:rsidRPr="00FD195D" w:rsidRDefault="00A63192" w:rsidP="001402B7">
            <w:pPr>
              <w:spacing w:after="0" w:line="240" w:lineRule="auto"/>
              <w:rPr>
                <w:rFonts w:ascii="Futura Std Condensed Light" w:eastAsia="Calibri" w:hAnsi="Futura Std Condensed Light" w:cs="Calibri"/>
                <w:b/>
                <w:sz w:val="18"/>
                <w:szCs w:val="18"/>
              </w:rPr>
            </w:pPr>
            <w:r w:rsidRPr="00FD195D">
              <w:rPr>
                <w:rFonts w:ascii="Futura Std Condensed Light" w:eastAsia="Calibri" w:hAnsi="Futura Std Condensed Light" w:cs="Calibri"/>
                <w:b/>
                <w:sz w:val="18"/>
                <w:szCs w:val="18"/>
              </w:rPr>
              <w:t>Características</w:t>
            </w:r>
          </w:p>
        </w:tc>
      </w:tr>
      <w:tr w:rsidR="00A63192" w:rsidRPr="00FD195D" w14:paraId="67DA553B" w14:textId="77777777" w:rsidTr="001402B7">
        <w:trPr>
          <w:trHeight w:val="283"/>
        </w:trPr>
        <w:tc>
          <w:tcPr>
            <w:tcW w:w="906" w:type="pct"/>
            <w:hideMark/>
          </w:tcPr>
          <w:p w14:paraId="2BABAA4C" w14:textId="77777777" w:rsidR="00A63192" w:rsidRPr="00FD195D" w:rsidRDefault="00A63192" w:rsidP="001402B7">
            <w:pPr>
              <w:spacing w:after="0" w:line="240" w:lineRule="auto"/>
              <w:rPr>
                <w:rFonts w:ascii="Futura Std Condensed Light" w:eastAsia="Calibri" w:hAnsi="Futura Std Condensed Light" w:cs="Calibri"/>
                <w:sz w:val="18"/>
                <w:szCs w:val="18"/>
              </w:rPr>
            </w:pPr>
            <w:r w:rsidRPr="00FD195D">
              <w:rPr>
                <w:rFonts w:ascii="Futura Std Condensed Light" w:eastAsia="Calibri" w:hAnsi="Futura Std Condensed Light" w:cs="Calibri"/>
                <w:sz w:val="18"/>
                <w:szCs w:val="18"/>
              </w:rPr>
              <w:t>Indicador:</w:t>
            </w:r>
          </w:p>
        </w:tc>
        <w:tc>
          <w:tcPr>
            <w:tcW w:w="4094" w:type="pct"/>
            <w:hideMark/>
          </w:tcPr>
          <w:p w14:paraId="73B0FCAC" w14:textId="77777777" w:rsidR="00A63192" w:rsidRPr="00FD195D" w:rsidRDefault="00A63192" w:rsidP="001402B7">
            <w:pPr>
              <w:spacing w:after="0" w:line="240" w:lineRule="auto"/>
              <w:rPr>
                <w:rFonts w:ascii="Futura Std Condensed Light" w:eastAsia="Calibri" w:hAnsi="Futura Std Condensed Light" w:cs="Calibri"/>
                <w:sz w:val="18"/>
                <w:szCs w:val="18"/>
              </w:rPr>
            </w:pPr>
            <w:r w:rsidRPr="00FD195D">
              <w:rPr>
                <w:rFonts w:ascii="Futura Std Condensed Light" w:eastAsia="Calibri" w:hAnsi="Futura Std Condensed Light" w:cs="Calibri"/>
                <w:sz w:val="18"/>
                <w:szCs w:val="18"/>
              </w:rPr>
              <w:t>Tasa bruta de cobertura de educación superior</w:t>
            </w:r>
          </w:p>
        </w:tc>
      </w:tr>
      <w:tr w:rsidR="00A63192" w:rsidRPr="00FD195D" w14:paraId="338369D3" w14:textId="77777777" w:rsidTr="001402B7">
        <w:trPr>
          <w:trHeight w:val="283"/>
        </w:trPr>
        <w:tc>
          <w:tcPr>
            <w:tcW w:w="906" w:type="pct"/>
          </w:tcPr>
          <w:p w14:paraId="3E04B74A" w14:textId="43F10583" w:rsidR="00A63192" w:rsidRPr="00FD195D" w:rsidRDefault="00B02664" w:rsidP="001402B7">
            <w:pPr>
              <w:spacing w:after="0" w:line="240" w:lineRule="auto"/>
              <w:rPr>
                <w:rFonts w:ascii="Futura Std Condensed Light" w:eastAsia="Calibri" w:hAnsi="Futura Std Condensed Light" w:cs="Calibri"/>
                <w:sz w:val="18"/>
                <w:szCs w:val="18"/>
              </w:rPr>
            </w:pPr>
            <w:r>
              <w:rPr>
                <w:rFonts w:ascii="Futura Std Condensed Light" w:eastAsia="Calibri" w:hAnsi="Futura Std Condensed Light" w:cs="Calibri"/>
                <w:sz w:val="18"/>
                <w:szCs w:val="18"/>
              </w:rPr>
              <w:t>Estrategia 6</w:t>
            </w:r>
            <w:r w:rsidR="00A63192" w:rsidRPr="00FD195D">
              <w:rPr>
                <w:rFonts w:ascii="Futura Std Condensed Light" w:eastAsia="Calibri" w:hAnsi="Futura Std Condensed Light" w:cs="Calibri"/>
                <w:sz w:val="18"/>
                <w:szCs w:val="18"/>
              </w:rPr>
              <w:t>:</w:t>
            </w:r>
          </w:p>
        </w:tc>
        <w:tc>
          <w:tcPr>
            <w:tcW w:w="4094" w:type="pct"/>
          </w:tcPr>
          <w:p w14:paraId="55F85937" w14:textId="77777777" w:rsidR="00A63192" w:rsidRPr="00FD195D" w:rsidRDefault="00A63192" w:rsidP="001402B7">
            <w:pPr>
              <w:spacing w:after="0"/>
              <w:rPr>
                <w:rFonts w:ascii="Futura Std Condensed Light" w:eastAsia="Calibri" w:hAnsi="Futura Std Condensed Light" w:cs="Calibri"/>
                <w:sz w:val="18"/>
                <w:szCs w:val="18"/>
              </w:rPr>
            </w:pPr>
            <w:r w:rsidRPr="00FD195D">
              <w:rPr>
                <w:rFonts w:ascii="Futura Std Condensed Light" w:eastAsia="Calibri" w:hAnsi="Futura Std Condensed Light" w:cs="Calibri"/>
                <w:sz w:val="18"/>
                <w:szCs w:val="18"/>
              </w:rPr>
              <w:t xml:space="preserve">Impulsar la ampliación de la oferta educativa pertinente de las instituciones de Educación Superior que aseguren la atención de la demanda en la entidad. </w:t>
            </w:r>
          </w:p>
        </w:tc>
      </w:tr>
      <w:tr w:rsidR="00A63192" w:rsidRPr="00FD195D" w14:paraId="09EBE398" w14:textId="77777777" w:rsidTr="001402B7">
        <w:trPr>
          <w:trHeight w:val="283"/>
        </w:trPr>
        <w:tc>
          <w:tcPr>
            <w:tcW w:w="906" w:type="pct"/>
            <w:hideMark/>
          </w:tcPr>
          <w:p w14:paraId="537F8B22" w14:textId="77777777" w:rsidR="00A63192" w:rsidRPr="00FD195D" w:rsidRDefault="00A63192" w:rsidP="001402B7">
            <w:pPr>
              <w:spacing w:after="0" w:line="240" w:lineRule="auto"/>
              <w:rPr>
                <w:rFonts w:ascii="Futura Std Condensed Light" w:eastAsia="Calibri" w:hAnsi="Futura Std Condensed Light" w:cs="Calibri"/>
                <w:sz w:val="18"/>
                <w:szCs w:val="18"/>
              </w:rPr>
            </w:pPr>
            <w:r w:rsidRPr="00FD195D">
              <w:rPr>
                <w:rFonts w:ascii="Futura Std Condensed Light" w:eastAsia="Calibri" w:hAnsi="Futura Std Condensed Light" w:cs="Calibri"/>
                <w:sz w:val="18"/>
                <w:szCs w:val="18"/>
              </w:rPr>
              <w:t>Descripción:</w:t>
            </w:r>
          </w:p>
        </w:tc>
        <w:tc>
          <w:tcPr>
            <w:tcW w:w="4094" w:type="pct"/>
            <w:hideMark/>
          </w:tcPr>
          <w:p w14:paraId="5F097C21" w14:textId="77777777" w:rsidR="00A63192" w:rsidRPr="00FD195D" w:rsidRDefault="00A63192" w:rsidP="001402B7">
            <w:pPr>
              <w:spacing w:after="0" w:line="240" w:lineRule="auto"/>
              <w:rPr>
                <w:rFonts w:ascii="Futura Std Condensed Light" w:eastAsia="Calibri" w:hAnsi="Futura Std Condensed Light" w:cs="Calibri"/>
                <w:sz w:val="18"/>
                <w:szCs w:val="18"/>
              </w:rPr>
            </w:pPr>
            <w:r w:rsidRPr="00FD195D">
              <w:rPr>
                <w:rFonts w:ascii="Futura Std Condensed Light" w:eastAsia="Calibri" w:hAnsi="Futura Std Condensed Light" w:cs="Calibri"/>
                <w:sz w:val="18"/>
                <w:szCs w:val="18"/>
              </w:rPr>
              <w:t>Este indicador muestra en que porcentaje se está atendiendo a la demanda potencial de educación superior, respecto a la población estatal de 19 a 23 años de edad.</w:t>
            </w:r>
          </w:p>
        </w:tc>
      </w:tr>
      <w:tr w:rsidR="00A63192" w:rsidRPr="00FD195D" w14:paraId="21EF4294" w14:textId="77777777" w:rsidTr="001402B7">
        <w:trPr>
          <w:trHeight w:val="283"/>
        </w:trPr>
        <w:tc>
          <w:tcPr>
            <w:tcW w:w="906" w:type="pct"/>
            <w:hideMark/>
          </w:tcPr>
          <w:p w14:paraId="3986FD62" w14:textId="77777777" w:rsidR="00A63192" w:rsidRPr="00FD195D" w:rsidRDefault="00A63192" w:rsidP="001402B7">
            <w:pPr>
              <w:spacing w:after="0" w:line="240" w:lineRule="auto"/>
              <w:rPr>
                <w:rFonts w:ascii="Futura Std Condensed Light" w:eastAsia="Calibri" w:hAnsi="Futura Std Condensed Light" w:cs="Calibri"/>
                <w:sz w:val="18"/>
                <w:szCs w:val="18"/>
              </w:rPr>
            </w:pPr>
            <w:r w:rsidRPr="00FD195D">
              <w:rPr>
                <w:rFonts w:ascii="Futura Std Condensed Light" w:eastAsia="Calibri" w:hAnsi="Futura Std Condensed Light" w:cs="Calibri"/>
                <w:sz w:val="18"/>
                <w:szCs w:val="18"/>
              </w:rPr>
              <w:t>Método de cálculo:</w:t>
            </w:r>
          </w:p>
        </w:tc>
        <w:tc>
          <w:tcPr>
            <w:tcW w:w="4094" w:type="pct"/>
            <w:hideMark/>
          </w:tcPr>
          <w:p w14:paraId="0AB3772A" w14:textId="77777777" w:rsidR="00A63192" w:rsidRPr="00FD195D" w:rsidRDefault="00A63192" w:rsidP="001402B7">
            <w:pPr>
              <w:spacing w:after="0" w:line="240" w:lineRule="auto"/>
              <w:rPr>
                <w:rFonts w:ascii="Futura Std Condensed Light" w:eastAsia="Calibri" w:hAnsi="Futura Std Condensed Light" w:cs="Calibri"/>
                <w:sz w:val="18"/>
                <w:szCs w:val="18"/>
              </w:rPr>
            </w:pPr>
            <w:r w:rsidRPr="00FD195D">
              <w:rPr>
                <w:rFonts w:ascii="Futura Std Condensed Light" w:eastAsia="Calibri" w:hAnsi="Futura Std Condensed Light" w:cs="Calibri"/>
                <w:sz w:val="18"/>
                <w:szCs w:val="18"/>
              </w:rPr>
              <w:t>(Matrícula total de educación superior al inicio del ciclo escolar t / Población estatal a mitad del año t en edad para cursar educación media superior, 19 a 23 años) X 100</w:t>
            </w:r>
          </w:p>
        </w:tc>
      </w:tr>
      <w:tr w:rsidR="00A63192" w:rsidRPr="00FD195D" w14:paraId="50153446" w14:textId="77777777" w:rsidTr="001402B7">
        <w:trPr>
          <w:trHeight w:val="283"/>
        </w:trPr>
        <w:tc>
          <w:tcPr>
            <w:tcW w:w="906" w:type="pct"/>
            <w:hideMark/>
          </w:tcPr>
          <w:p w14:paraId="72D9E3B5" w14:textId="77777777" w:rsidR="00A63192" w:rsidRPr="00FD195D" w:rsidRDefault="00A63192" w:rsidP="001402B7">
            <w:pPr>
              <w:spacing w:after="0" w:line="240" w:lineRule="auto"/>
              <w:rPr>
                <w:rFonts w:ascii="Futura Std Condensed Light" w:eastAsia="Calibri" w:hAnsi="Futura Std Condensed Light" w:cs="Calibri"/>
                <w:sz w:val="18"/>
                <w:szCs w:val="18"/>
              </w:rPr>
            </w:pPr>
            <w:r w:rsidRPr="00FD195D">
              <w:rPr>
                <w:rFonts w:ascii="Futura Std Condensed Light" w:eastAsia="Calibri" w:hAnsi="Futura Std Condensed Light" w:cs="Calibri"/>
                <w:sz w:val="18"/>
                <w:szCs w:val="18"/>
              </w:rPr>
              <w:t>Periodicidad:</w:t>
            </w:r>
          </w:p>
        </w:tc>
        <w:tc>
          <w:tcPr>
            <w:tcW w:w="4094" w:type="pct"/>
            <w:hideMark/>
          </w:tcPr>
          <w:p w14:paraId="2C017C95" w14:textId="77777777" w:rsidR="00A63192" w:rsidRPr="00FD195D" w:rsidRDefault="00A63192" w:rsidP="001402B7">
            <w:pPr>
              <w:spacing w:after="0" w:line="240" w:lineRule="auto"/>
              <w:rPr>
                <w:rFonts w:ascii="Futura Std Condensed Light" w:eastAsia="Calibri" w:hAnsi="Futura Std Condensed Light" w:cs="Calibri"/>
                <w:sz w:val="18"/>
                <w:szCs w:val="18"/>
              </w:rPr>
            </w:pPr>
            <w:r w:rsidRPr="00FD195D">
              <w:rPr>
                <w:rFonts w:ascii="Futura Std Condensed Light" w:eastAsia="Calibri" w:hAnsi="Futura Std Condensed Light" w:cs="Calibri"/>
                <w:sz w:val="18"/>
                <w:szCs w:val="18"/>
              </w:rPr>
              <w:t>Anual</w:t>
            </w:r>
          </w:p>
        </w:tc>
      </w:tr>
      <w:tr w:rsidR="00A63192" w:rsidRPr="00FD195D" w14:paraId="68A14E08" w14:textId="77777777" w:rsidTr="001402B7">
        <w:trPr>
          <w:trHeight w:val="283"/>
        </w:trPr>
        <w:tc>
          <w:tcPr>
            <w:tcW w:w="906" w:type="pct"/>
            <w:hideMark/>
          </w:tcPr>
          <w:p w14:paraId="58833A98" w14:textId="77777777" w:rsidR="00A63192" w:rsidRPr="00FD195D" w:rsidRDefault="00A63192" w:rsidP="001402B7">
            <w:pPr>
              <w:spacing w:after="0" w:line="240" w:lineRule="auto"/>
              <w:rPr>
                <w:rFonts w:ascii="Futura Std Condensed Light" w:eastAsia="Calibri" w:hAnsi="Futura Std Condensed Light" w:cs="Calibri"/>
                <w:sz w:val="18"/>
                <w:szCs w:val="18"/>
              </w:rPr>
            </w:pPr>
            <w:r w:rsidRPr="00FD195D">
              <w:rPr>
                <w:rFonts w:ascii="Futura Std Condensed Light" w:eastAsia="Calibri" w:hAnsi="Futura Std Condensed Light" w:cs="Calibri"/>
                <w:sz w:val="18"/>
                <w:szCs w:val="18"/>
              </w:rPr>
              <w:t>Fuente:</w:t>
            </w:r>
          </w:p>
        </w:tc>
        <w:tc>
          <w:tcPr>
            <w:tcW w:w="4094" w:type="pct"/>
            <w:hideMark/>
          </w:tcPr>
          <w:p w14:paraId="3D6BB8E7" w14:textId="77777777" w:rsidR="00A63192" w:rsidRPr="00FD195D" w:rsidRDefault="00A63192" w:rsidP="001402B7">
            <w:pPr>
              <w:spacing w:after="0" w:line="240" w:lineRule="auto"/>
              <w:rPr>
                <w:rFonts w:ascii="Futura Std Condensed Light" w:eastAsia="Calibri" w:hAnsi="Futura Std Condensed Light" w:cs="Calibri"/>
                <w:sz w:val="18"/>
                <w:szCs w:val="18"/>
              </w:rPr>
            </w:pPr>
            <w:r w:rsidRPr="00FD195D">
              <w:rPr>
                <w:rFonts w:ascii="Futura Std Condensed Light" w:eastAsia="Calibri" w:hAnsi="Futura Std Condensed Light" w:cs="Calibri"/>
                <w:sz w:val="18"/>
                <w:szCs w:val="18"/>
              </w:rPr>
              <w:t>Estadísticas continúas del formato 911 (inicio de ciclo escolar), SEQ. Proyecciones de la población de Quintana Roo 2010-2030, Conapo.</w:t>
            </w:r>
          </w:p>
        </w:tc>
      </w:tr>
      <w:tr w:rsidR="00A63192" w:rsidRPr="00FD195D" w14:paraId="70AE25B9" w14:textId="77777777" w:rsidTr="001402B7">
        <w:trPr>
          <w:trHeight w:val="283"/>
        </w:trPr>
        <w:tc>
          <w:tcPr>
            <w:tcW w:w="906" w:type="pct"/>
            <w:hideMark/>
          </w:tcPr>
          <w:p w14:paraId="0F3B7A20" w14:textId="77777777" w:rsidR="00A63192" w:rsidRPr="00FD195D" w:rsidRDefault="00A63192" w:rsidP="001402B7">
            <w:pPr>
              <w:spacing w:after="0" w:line="240" w:lineRule="auto"/>
              <w:rPr>
                <w:rFonts w:ascii="Futura Std Condensed Light" w:eastAsia="Calibri" w:hAnsi="Futura Std Condensed Light" w:cs="Calibri"/>
                <w:sz w:val="18"/>
                <w:szCs w:val="18"/>
              </w:rPr>
            </w:pPr>
            <w:r w:rsidRPr="00FD195D">
              <w:rPr>
                <w:rFonts w:ascii="Futura Std Condensed Light" w:eastAsia="Calibri" w:hAnsi="Futura Std Condensed Light" w:cs="Calibri"/>
                <w:sz w:val="18"/>
                <w:szCs w:val="18"/>
              </w:rPr>
              <w:t>Dimensión:</w:t>
            </w:r>
          </w:p>
        </w:tc>
        <w:tc>
          <w:tcPr>
            <w:tcW w:w="4094" w:type="pct"/>
            <w:hideMark/>
          </w:tcPr>
          <w:p w14:paraId="77C8E2B5" w14:textId="77777777" w:rsidR="00A63192" w:rsidRPr="00FD195D" w:rsidRDefault="00A63192" w:rsidP="001402B7">
            <w:pPr>
              <w:spacing w:after="0" w:line="240" w:lineRule="auto"/>
              <w:rPr>
                <w:rFonts w:ascii="Futura Std Condensed Light" w:eastAsia="Calibri" w:hAnsi="Futura Std Condensed Light" w:cs="Calibri"/>
                <w:sz w:val="18"/>
                <w:szCs w:val="18"/>
              </w:rPr>
            </w:pPr>
            <w:r w:rsidRPr="00FD195D">
              <w:rPr>
                <w:rFonts w:ascii="Futura Std Condensed Light" w:eastAsia="Calibri" w:hAnsi="Futura Std Condensed Light" w:cs="Calibri"/>
                <w:sz w:val="18"/>
                <w:szCs w:val="18"/>
              </w:rPr>
              <w:t>Eficacia</w:t>
            </w:r>
          </w:p>
        </w:tc>
      </w:tr>
      <w:tr w:rsidR="00A63192" w:rsidRPr="00FD195D" w14:paraId="5B977866" w14:textId="77777777" w:rsidTr="001402B7">
        <w:trPr>
          <w:trHeight w:val="283"/>
        </w:trPr>
        <w:tc>
          <w:tcPr>
            <w:tcW w:w="906" w:type="pct"/>
            <w:hideMark/>
          </w:tcPr>
          <w:p w14:paraId="63EA20AB" w14:textId="77777777" w:rsidR="00A63192" w:rsidRPr="00FD195D" w:rsidRDefault="00A63192" w:rsidP="001402B7">
            <w:pPr>
              <w:spacing w:after="0" w:line="240" w:lineRule="auto"/>
              <w:rPr>
                <w:rFonts w:ascii="Futura Std Condensed Light" w:eastAsia="Calibri" w:hAnsi="Futura Std Condensed Light" w:cs="Calibri"/>
                <w:sz w:val="18"/>
                <w:szCs w:val="18"/>
              </w:rPr>
            </w:pPr>
            <w:r w:rsidRPr="00FD195D">
              <w:rPr>
                <w:rFonts w:ascii="Futura Std Condensed Light" w:eastAsia="Calibri" w:hAnsi="Futura Std Condensed Light" w:cs="Calibri"/>
                <w:sz w:val="18"/>
                <w:szCs w:val="18"/>
              </w:rPr>
              <w:t>Referencias adicionales:</w:t>
            </w:r>
          </w:p>
        </w:tc>
        <w:tc>
          <w:tcPr>
            <w:tcW w:w="4094" w:type="pct"/>
            <w:hideMark/>
          </w:tcPr>
          <w:p w14:paraId="27F420B5" w14:textId="77777777" w:rsidR="00A63192" w:rsidRPr="00FD195D" w:rsidRDefault="00A63192" w:rsidP="001402B7">
            <w:pPr>
              <w:spacing w:after="0" w:line="240" w:lineRule="auto"/>
              <w:rPr>
                <w:rFonts w:ascii="Futura Std Condensed Light" w:eastAsia="Calibri" w:hAnsi="Futura Std Condensed Light" w:cs="Calibri"/>
                <w:sz w:val="18"/>
                <w:szCs w:val="18"/>
              </w:rPr>
            </w:pPr>
          </w:p>
        </w:tc>
      </w:tr>
    </w:tbl>
    <w:p w14:paraId="335055EE" w14:textId="587A730F" w:rsidR="00A63192" w:rsidRDefault="00A63192" w:rsidP="00C11F5C">
      <w:pPr>
        <w:spacing w:after="0" w:line="240" w:lineRule="auto"/>
        <w:rPr>
          <w:rFonts w:ascii="Futura Std Condensed Light" w:eastAsia="Calibri" w:hAnsi="Futura Std Condensed Light" w:cs="Calibri"/>
          <w:b/>
          <w:sz w:val="20"/>
          <w:szCs w:val="22"/>
        </w:rPr>
      </w:pPr>
    </w:p>
    <w:p w14:paraId="770BF69E" w14:textId="7E8DADD4" w:rsidR="00A63192" w:rsidRDefault="00A63192" w:rsidP="00C11F5C">
      <w:pPr>
        <w:spacing w:after="0" w:line="240" w:lineRule="auto"/>
        <w:rPr>
          <w:rFonts w:ascii="Futura Std Condensed Light" w:eastAsia="Calibri" w:hAnsi="Futura Std Condensed Light" w:cs="Calibri"/>
          <w:b/>
          <w:sz w:val="20"/>
          <w:szCs w:val="22"/>
        </w:rPr>
      </w:pPr>
    </w:p>
    <w:p w14:paraId="7543A3B2" w14:textId="77777777" w:rsidR="002B38A6" w:rsidRDefault="002B38A6">
      <w:pPr>
        <w:spacing w:after="0" w:line="240" w:lineRule="auto"/>
        <w:jc w:val="left"/>
        <w:rPr>
          <w:b/>
        </w:rPr>
      </w:pPr>
      <w:r>
        <w:rPr>
          <w:b/>
        </w:rPr>
        <w:br w:type="page"/>
      </w:r>
    </w:p>
    <w:p w14:paraId="5983836D" w14:textId="070566C1" w:rsidR="00AA076E" w:rsidRPr="008917A4" w:rsidRDefault="00B02664" w:rsidP="00A63192">
      <w:pPr>
        <w:rPr>
          <w:rFonts w:eastAsia="Times New Roman"/>
          <w:bCs/>
          <w:color w:val="FF0000"/>
          <w:lang w:val="es-MX" w:eastAsia="en-US"/>
        </w:rPr>
      </w:pPr>
      <w:r>
        <w:rPr>
          <w:b/>
        </w:rPr>
        <w:lastRenderedPageBreak/>
        <w:t>Objetivo 7</w:t>
      </w:r>
      <w:r w:rsidR="00A63192" w:rsidRPr="002A329C">
        <w:rPr>
          <w:b/>
        </w:rPr>
        <w:t>.</w:t>
      </w:r>
      <w:r w:rsidR="00A63192" w:rsidRPr="002A329C">
        <w:t xml:space="preserve"> </w:t>
      </w:r>
      <w:r w:rsidR="00A63192">
        <w:rPr>
          <w:rFonts w:eastAsia="Times New Roman"/>
          <w:bCs/>
          <w:lang w:val="es-MX" w:eastAsia="en-US"/>
        </w:rPr>
        <w:t>Mejorar la infraestructura y equipamiento de las escuelas de los diferentes niveles educativos, a fin de contar con espacios que brinden una educación inclusiva de calidad en beneficio de los estudiantes del Estado</w:t>
      </w:r>
      <w:r w:rsidR="00D54150">
        <w:rPr>
          <w:rFonts w:eastAsia="Times New Roman"/>
          <w:bCs/>
          <w:color w:val="FF0000"/>
          <w:lang w:val="es-MX" w:eastAsia="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2033"/>
        <w:gridCol w:w="7504"/>
      </w:tblGrid>
      <w:tr w:rsidR="00E22A8A" w:rsidRPr="0069403A" w14:paraId="312897BC" w14:textId="77777777" w:rsidTr="001402B7">
        <w:trPr>
          <w:trHeight w:val="283"/>
        </w:trPr>
        <w:tc>
          <w:tcPr>
            <w:tcW w:w="1066" w:type="pct"/>
            <w:shd w:val="clear" w:color="auto" w:fill="BFBFBF" w:themeFill="background1" w:themeFillShade="BF"/>
            <w:tcMar>
              <w:top w:w="72" w:type="dxa"/>
              <w:left w:w="144" w:type="dxa"/>
              <w:bottom w:w="72" w:type="dxa"/>
              <w:right w:w="144" w:type="dxa"/>
            </w:tcMar>
            <w:hideMark/>
          </w:tcPr>
          <w:p w14:paraId="5469A28F" w14:textId="77777777" w:rsidR="00E22A8A" w:rsidRPr="00E22A8A" w:rsidRDefault="00E22A8A" w:rsidP="00E22A8A">
            <w:pPr>
              <w:spacing w:after="0"/>
              <w:rPr>
                <w:rFonts w:ascii="Futura Std Condensed Light" w:eastAsia="Calibri" w:hAnsi="Futura Std Condensed Light" w:cs="Calibri"/>
                <w:sz w:val="18"/>
                <w:szCs w:val="18"/>
              </w:rPr>
            </w:pPr>
            <w:r w:rsidRPr="00E22A8A">
              <w:rPr>
                <w:rFonts w:ascii="Futura Std Condensed Light" w:eastAsia="Calibri" w:hAnsi="Futura Std Condensed Light" w:cs="Calibri"/>
                <w:sz w:val="18"/>
                <w:szCs w:val="18"/>
              </w:rPr>
              <w:t>Elemento</w:t>
            </w:r>
          </w:p>
        </w:tc>
        <w:tc>
          <w:tcPr>
            <w:tcW w:w="3934" w:type="pct"/>
            <w:shd w:val="clear" w:color="auto" w:fill="BFBFBF" w:themeFill="background1" w:themeFillShade="BF"/>
            <w:tcMar>
              <w:top w:w="72" w:type="dxa"/>
              <w:left w:w="144" w:type="dxa"/>
              <w:bottom w:w="72" w:type="dxa"/>
              <w:right w:w="144" w:type="dxa"/>
            </w:tcMar>
            <w:hideMark/>
          </w:tcPr>
          <w:p w14:paraId="738E3232" w14:textId="77777777" w:rsidR="00E22A8A" w:rsidRPr="00E22A8A" w:rsidRDefault="00E22A8A" w:rsidP="00E22A8A">
            <w:pPr>
              <w:spacing w:after="0"/>
              <w:rPr>
                <w:rFonts w:ascii="Futura Std Condensed Light" w:eastAsia="Calibri" w:hAnsi="Futura Std Condensed Light" w:cs="Calibri"/>
                <w:sz w:val="18"/>
                <w:szCs w:val="18"/>
              </w:rPr>
            </w:pPr>
            <w:r w:rsidRPr="00E22A8A">
              <w:rPr>
                <w:rFonts w:ascii="Futura Std Condensed Light" w:eastAsia="Calibri" w:hAnsi="Futura Std Condensed Light" w:cs="Calibri"/>
                <w:sz w:val="18"/>
                <w:szCs w:val="18"/>
              </w:rPr>
              <w:t>Características</w:t>
            </w:r>
          </w:p>
        </w:tc>
      </w:tr>
      <w:tr w:rsidR="00E22A8A" w:rsidRPr="0069403A" w14:paraId="4F14D250" w14:textId="77777777" w:rsidTr="001402B7">
        <w:trPr>
          <w:trHeight w:val="283"/>
        </w:trPr>
        <w:tc>
          <w:tcPr>
            <w:tcW w:w="1066" w:type="pct"/>
            <w:shd w:val="clear" w:color="auto" w:fill="FFFFFF" w:themeFill="background1"/>
            <w:tcMar>
              <w:top w:w="72" w:type="dxa"/>
              <w:left w:w="144" w:type="dxa"/>
              <w:bottom w:w="72" w:type="dxa"/>
              <w:right w:w="144" w:type="dxa"/>
            </w:tcMar>
            <w:hideMark/>
          </w:tcPr>
          <w:p w14:paraId="7D51CC9A" w14:textId="77777777" w:rsidR="00E22A8A" w:rsidRPr="00E22A8A" w:rsidRDefault="00E22A8A" w:rsidP="00E22A8A">
            <w:pPr>
              <w:spacing w:after="0"/>
              <w:rPr>
                <w:rFonts w:ascii="Futura Std Condensed Light" w:eastAsia="Calibri" w:hAnsi="Futura Std Condensed Light" w:cs="Calibri"/>
                <w:sz w:val="18"/>
                <w:szCs w:val="18"/>
              </w:rPr>
            </w:pPr>
            <w:r w:rsidRPr="00E22A8A">
              <w:rPr>
                <w:rFonts w:ascii="Futura Std Condensed Light" w:eastAsia="Calibri" w:hAnsi="Futura Std Condensed Light" w:cs="Calibri"/>
                <w:sz w:val="18"/>
                <w:szCs w:val="18"/>
              </w:rPr>
              <w:t>Indicador:</w:t>
            </w:r>
          </w:p>
        </w:tc>
        <w:tc>
          <w:tcPr>
            <w:tcW w:w="3934" w:type="pct"/>
            <w:shd w:val="clear" w:color="auto" w:fill="FFFFFF" w:themeFill="background1"/>
            <w:tcMar>
              <w:top w:w="72" w:type="dxa"/>
              <w:left w:w="144" w:type="dxa"/>
              <w:bottom w:w="72" w:type="dxa"/>
              <w:right w:w="144" w:type="dxa"/>
            </w:tcMar>
            <w:hideMark/>
          </w:tcPr>
          <w:p w14:paraId="462330D2" w14:textId="77777777" w:rsidR="00E22A8A" w:rsidRPr="00E22A8A" w:rsidRDefault="00E22A8A" w:rsidP="00E22A8A">
            <w:pPr>
              <w:spacing w:after="0"/>
              <w:rPr>
                <w:rFonts w:ascii="Futura Std Condensed Light" w:eastAsia="Calibri" w:hAnsi="Futura Std Condensed Light" w:cs="Calibri"/>
                <w:sz w:val="18"/>
                <w:szCs w:val="18"/>
              </w:rPr>
            </w:pPr>
            <w:r w:rsidRPr="00E22A8A">
              <w:rPr>
                <w:rFonts w:ascii="Futura Std Condensed Light" w:eastAsia="Calibri" w:hAnsi="Futura Std Condensed Light" w:cs="Calibri"/>
                <w:sz w:val="18"/>
                <w:szCs w:val="18"/>
              </w:rPr>
              <w:t>Porcentaje de inmuebles atendidos con infraestructura física o equipamiento.</w:t>
            </w:r>
          </w:p>
        </w:tc>
      </w:tr>
      <w:tr w:rsidR="00E22A8A" w:rsidRPr="0069403A" w14:paraId="6ED57A1D" w14:textId="77777777" w:rsidTr="001402B7">
        <w:trPr>
          <w:trHeight w:val="283"/>
        </w:trPr>
        <w:tc>
          <w:tcPr>
            <w:tcW w:w="1066" w:type="pct"/>
            <w:shd w:val="clear" w:color="auto" w:fill="FFFFFF" w:themeFill="background1"/>
            <w:tcMar>
              <w:top w:w="72" w:type="dxa"/>
              <w:left w:w="144" w:type="dxa"/>
              <w:bottom w:w="72" w:type="dxa"/>
              <w:right w:w="144" w:type="dxa"/>
            </w:tcMar>
          </w:tcPr>
          <w:p w14:paraId="6CD521B9" w14:textId="6D19F908" w:rsidR="00E22A8A" w:rsidRPr="00E22A8A" w:rsidRDefault="007B6ABE" w:rsidP="00E22A8A">
            <w:pPr>
              <w:spacing w:after="0"/>
              <w:rPr>
                <w:rFonts w:ascii="Futura Std Condensed Light" w:eastAsia="Calibri" w:hAnsi="Futura Std Condensed Light" w:cs="Calibri"/>
                <w:sz w:val="18"/>
                <w:szCs w:val="18"/>
              </w:rPr>
            </w:pPr>
            <w:r>
              <w:rPr>
                <w:rFonts w:ascii="Futura Std Condensed Light" w:eastAsia="Calibri" w:hAnsi="Futura Std Condensed Light" w:cs="Calibri"/>
                <w:sz w:val="18"/>
                <w:szCs w:val="18"/>
              </w:rPr>
              <w:t>Obje</w:t>
            </w:r>
            <w:r w:rsidR="00B02664">
              <w:rPr>
                <w:rFonts w:ascii="Futura Std Condensed Light" w:eastAsia="Calibri" w:hAnsi="Futura Std Condensed Light" w:cs="Calibri"/>
                <w:sz w:val="18"/>
                <w:szCs w:val="18"/>
              </w:rPr>
              <w:t>tivo 7</w:t>
            </w:r>
            <w:r>
              <w:rPr>
                <w:rFonts w:ascii="Futura Std Condensed Light" w:eastAsia="Calibri" w:hAnsi="Futura Std Condensed Light" w:cs="Calibri"/>
                <w:sz w:val="18"/>
                <w:szCs w:val="18"/>
              </w:rPr>
              <w:t>:</w:t>
            </w:r>
          </w:p>
        </w:tc>
        <w:tc>
          <w:tcPr>
            <w:tcW w:w="3934" w:type="pct"/>
            <w:shd w:val="clear" w:color="auto" w:fill="FFFFFF" w:themeFill="background1"/>
            <w:tcMar>
              <w:top w:w="72" w:type="dxa"/>
              <w:left w:w="144" w:type="dxa"/>
              <w:bottom w:w="72" w:type="dxa"/>
              <w:right w:w="144" w:type="dxa"/>
            </w:tcMar>
          </w:tcPr>
          <w:p w14:paraId="477BAE2B" w14:textId="77777777" w:rsidR="00E22A8A" w:rsidRPr="00E22A8A" w:rsidRDefault="00E22A8A" w:rsidP="00E22A8A">
            <w:pPr>
              <w:spacing w:after="0"/>
              <w:rPr>
                <w:rFonts w:ascii="Futura Std Condensed Light" w:eastAsia="Calibri" w:hAnsi="Futura Std Condensed Light" w:cs="Calibri"/>
                <w:sz w:val="18"/>
                <w:szCs w:val="18"/>
              </w:rPr>
            </w:pPr>
            <w:r w:rsidRPr="00E22A8A">
              <w:rPr>
                <w:rFonts w:ascii="Futura Std Condensed Light" w:eastAsia="Calibri" w:hAnsi="Futura Std Condensed Light" w:cs="Calibri"/>
                <w:sz w:val="18"/>
                <w:szCs w:val="18"/>
              </w:rPr>
              <w:t>Mejorar la infraestructura y equipamiento de las escuelas de los diferentes niveles educativos, a fin de contar con espacios que brinden una educación inclusiva de calidad en beneficio de los estudiantes del Estado.</w:t>
            </w:r>
          </w:p>
        </w:tc>
      </w:tr>
      <w:tr w:rsidR="00E22A8A" w:rsidRPr="0069403A" w14:paraId="46883F09" w14:textId="77777777" w:rsidTr="001402B7">
        <w:trPr>
          <w:trHeight w:val="283"/>
        </w:trPr>
        <w:tc>
          <w:tcPr>
            <w:tcW w:w="1066" w:type="pct"/>
            <w:shd w:val="clear" w:color="auto" w:fill="FFFFFF" w:themeFill="background1"/>
            <w:tcMar>
              <w:top w:w="72" w:type="dxa"/>
              <w:left w:w="144" w:type="dxa"/>
              <w:bottom w:w="72" w:type="dxa"/>
              <w:right w:w="144" w:type="dxa"/>
            </w:tcMar>
            <w:hideMark/>
          </w:tcPr>
          <w:p w14:paraId="0EBAAA37" w14:textId="77777777" w:rsidR="00E22A8A" w:rsidRPr="00E22A8A" w:rsidRDefault="00E22A8A" w:rsidP="00E22A8A">
            <w:pPr>
              <w:spacing w:after="0"/>
              <w:rPr>
                <w:rFonts w:ascii="Futura Std Condensed Light" w:eastAsia="Calibri" w:hAnsi="Futura Std Condensed Light" w:cs="Calibri"/>
                <w:sz w:val="18"/>
                <w:szCs w:val="18"/>
              </w:rPr>
            </w:pPr>
            <w:r w:rsidRPr="00E22A8A">
              <w:rPr>
                <w:rFonts w:ascii="Futura Std Condensed Light" w:eastAsia="Calibri" w:hAnsi="Futura Std Condensed Light" w:cs="Calibri"/>
                <w:sz w:val="18"/>
                <w:szCs w:val="18"/>
              </w:rPr>
              <w:t>Descripción:</w:t>
            </w:r>
          </w:p>
        </w:tc>
        <w:tc>
          <w:tcPr>
            <w:tcW w:w="3934" w:type="pct"/>
            <w:shd w:val="clear" w:color="auto" w:fill="FFFFFF" w:themeFill="background1"/>
            <w:tcMar>
              <w:top w:w="72" w:type="dxa"/>
              <w:left w:w="144" w:type="dxa"/>
              <w:bottom w:w="72" w:type="dxa"/>
              <w:right w:w="144" w:type="dxa"/>
            </w:tcMar>
            <w:hideMark/>
          </w:tcPr>
          <w:p w14:paraId="2A20C73D" w14:textId="77777777" w:rsidR="00E22A8A" w:rsidRPr="00E22A8A" w:rsidRDefault="00E22A8A" w:rsidP="00E22A8A">
            <w:pPr>
              <w:spacing w:after="0"/>
              <w:rPr>
                <w:rFonts w:ascii="Futura Std Condensed Light" w:eastAsia="Calibri" w:hAnsi="Futura Std Condensed Light" w:cs="Calibri"/>
                <w:sz w:val="18"/>
                <w:szCs w:val="18"/>
              </w:rPr>
            </w:pPr>
            <w:r w:rsidRPr="00E22A8A">
              <w:rPr>
                <w:rFonts w:ascii="Futura Std Condensed Light" w:eastAsia="Calibri" w:hAnsi="Futura Std Condensed Light" w:cs="Calibri"/>
                <w:sz w:val="18"/>
                <w:szCs w:val="18"/>
              </w:rPr>
              <w:t>Este indicador refleja en que porcentaje están siendo mejorados los inmuebles de educación pertenecientes a los Servicios Educativos de Quintana Roo, con construcción, equipamiento, mantenimiento, rehabilitación y certificación de los planteles, respecto al total de inmuebles existentes en un ciclo escolar determinado.</w:t>
            </w:r>
          </w:p>
        </w:tc>
      </w:tr>
      <w:tr w:rsidR="00E22A8A" w:rsidRPr="0069403A" w14:paraId="2438FDA2" w14:textId="77777777" w:rsidTr="001402B7">
        <w:trPr>
          <w:trHeight w:val="283"/>
        </w:trPr>
        <w:tc>
          <w:tcPr>
            <w:tcW w:w="1066" w:type="pct"/>
            <w:shd w:val="clear" w:color="auto" w:fill="FFFFFF" w:themeFill="background1"/>
            <w:tcMar>
              <w:top w:w="72" w:type="dxa"/>
              <w:left w:w="144" w:type="dxa"/>
              <w:bottom w:w="72" w:type="dxa"/>
              <w:right w:w="144" w:type="dxa"/>
            </w:tcMar>
            <w:hideMark/>
          </w:tcPr>
          <w:p w14:paraId="73E707DF" w14:textId="77777777" w:rsidR="00E22A8A" w:rsidRPr="00E22A8A" w:rsidRDefault="00E22A8A" w:rsidP="00E22A8A">
            <w:pPr>
              <w:spacing w:after="0"/>
              <w:rPr>
                <w:rFonts w:ascii="Futura Std Condensed Light" w:eastAsia="Calibri" w:hAnsi="Futura Std Condensed Light" w:cs="Calibri"/>
                <w:sz w:val="18"/>
                <w:szCs w:val="18"/>
              </w:rPr>
            </w:pPr>
            <w:r w:rsidRPr="00E22A8A">
              <w:rPr>
                <w:rFonts w:ascii="Futura Std Condensed Light" w:eastAsia="Calibri" w:hAnsi="Futura Std Condensed Light" w:cs="Calibri"/>
                <w:sz w:val="18"/>
                <w:szCs w:val="18"/>
              </w:rPr>
              <w:t>Método de cálculo:</w:t>
            </w:r>
          </w:p>
        </w:tc>
        <w:tc>
          <w:tcPr>
            <w:tcW w:w="3934" w:type="pct"/>
            <w:shd w:val="clear" w:color="auto" w:fill="FFFFFF" w:themeFill="background1"/>
            <w:tcMar>
              <w:top w:w="72" w:type="dxa"/>
              <w:left w:w="144" w:type="dxa"/>
              <w:bottom w:w="72" w:type="dxa"/>
              <w:right w:w="144" w:type="dxa"/>
            </w:tcMar>
            <w:hideMark/>
          </w:tcPr>
          <w:p w14:paraId="0125DA6B" w14:textId="31EAD341" w:rsidR="00E22A8A" w:rsidRPr="00E22A8A" w:rsidRDefault="00E22A8A" w:rsidP="00E22A8A">
            <w:pPr>
              <w:spacing w:after="0"/>
              <w:rPr>
                <w:rFonts w:ascii="Futura Std Condensed Light" w:eastAsia="Calibri" w:hAnsi="Futura Std Condensed Light" w:cs="Calibri"/>
                <w:sz w:val="18"/>
                <w:szCs w:val="18"/>
              </w:rPr>
            </w:pPr>
            <w:r w:rsidRPr="00E22A8A">
              <w:rPr>
                <w:rFonts w:ascii="Futura Std Condensed Light" w:eastAsia="Calibri" w:hAnsi="Futura Std Condensed Light" w:cs="Calibri"/>
                <w:sz w:val="18"/>
                <w:szCs w:val="18"/>
              </w:rPr>
              <w:t>(Número de inmuebles mejorados con infraestructura física escolar y/o equipamiento</w:t>
            </w:r>
            <w:r>
              <w:rPr>
                <w:rFonts w:ascii="Futura Std Condensed Light" w:eastAsia="Calibri" w:hAnsi="Futura Std Condensed Light" w:cs="Calibri"/>
                <w:sz w:val="18"/>
                <w:szCs w:val="18"/>
              </w:rPr>
              <w:t xml:space="preserve">, certificación </w:t>
            </w:r>
            <w:r w:rsidRPr="00E22A8A">
              <w:rPr>
                <w:rFonts w:ascii="Futura Std Condensed Light" w:eastAsia="Calibri" w:hAnsi="Futura Std Condensed Light" w:cs="Calibri"/>
                <w:sz w:val="18"/>
                <w:szCs w:val="18"/>
              </w:rPr>
              <w:t xml:space="preserve"> en el ciclo escolar t / Número de inmuebles existentes en el ciclo escolar t) X 100</w:t>
            </w:r>
          </w:p>
        </w:tc>
      </w:tr>
      <w:tr w:rsidR="00E22A8A" w:rsidRPr="0069403A" w14:paraId="476390E3" w14:textId="77777777" w:rsidTr="001402B7">
        <w:trPr>
          <w:trHeight w:val="283"/>
        </w:trPr>
        <w:tc>
          <w:tcPr>
            <w:tcW w:w="1066" w:type="pct"/>
            <w:shd w:val="clear" w:color="auto" w:fill="FFFFFF" w:themeFill="background1"/>
            <w:tcMar>
              <w:top w:w="72" w:type="dxa"/>
              <w:left w:w="144" w:type="dxa"/>
              <w:bottom w:w="72" w:type="dxa"/>
              <w:right w:w="144" w:type="dxa"/>
            </w:tcMar>
            <w:hideMark/>
          </w:tcPr>
          <w:p w14:paraId="396703A0" w14:textId="77777777" w:rsidR="00E22A8A" w:rsidRPr="00E22A8A" w:rsidRDefault="00E22A8A" w:rsidP="00E22A8A">
            <w:pPr>
              <w:spacing w:after="0"/>
              <w:rPr>
                <w:rFonts w:ascii="Futura Std Condensed Light" w:eastAsia="Calibri" w:hAnsi="Futura Std Condensed Light" w:cs="Calibri"/>
                <w:sz w:val="18"/>
                <w:szCs w:val="18"/>
              </w:rPr>
            </w:pPr>
            <w:r w:rsidRPr="00E22A8A">
              <w:rPr>
                <w:rFonts w:ascii="Futura Std Condensed Light" w:eastAsia="Calibri" w:hAnsi="Futura Std Condensed Light" w:cs="Calibri"/>
                <w:sz w:val="18"/>
                <w:szCs w:val="18"/>
              </w:rPr>
              <w:t>Periodicidad:</w:t>
            </w:r>
          </w:p>
        </w:tc>
        <w:tc>
          <w:tcPr>
            <w:tcW w:w="3934" w:type="pct"/>
            <w:shd w:val="clear" w:color="auto" w:fill="FFFFFF" w:themeFill="background1"/>
            <w:tcMar>
              <w:top w:w="72" w:type="dxa"/>
              <w:left w:w="144" w:type="dxa"/>
              <w:bottom w:w="72" w:type="dxa"/>
              <w:right w:w="144" w:type="dxa"/>
            </w:tcMar>
            <w:hideMark/>
          </w:tcPr>
          <w:p w14:paraId="4002D2F3" w14:textId="77777777" w:rsidR="00E22A8A" w:rsidRPr="00E22A8A" w:rsidRDefault="00E22A8A" w:rsidP="00E22A8A">
            <w:pPr>
              <w:spacing w:after="0"/>
              <w:rPr>
                <w:rFonts w:ascii="Futura Std Condensed Light" w:eastAsia="Calibri" w:hAnsi="Futura Std Condensed Light" w:cs="Calibri"/>
                <w:sz w:val="18"/>
                <w:szCs w:val="18"/>
              </w:rPr>
            </w:pPr>
            <w:r w:rsidRPr="00E22A8A">
              <w:rPr>
                <w:rFonts w:ascii="Futura Std Condensed Light" w:eastAsia="Calibri" w:hAnsi="Futura Std Condensed Light" w:cs="Calibri"/>
                <w:sz w:val="18"/>
                <w:szCs w:val="18"/>
              </w:rPr>
              <w:t>Anual</w:t>
            </w:r>
          </w:p>
        </w:tc>
      </w:tr>
      <w:tr w:rsidR="00E22A8A" w:rsidRPr="0069403A" w14:paraId="0EC887EC" w14:textId="77777777" w:rsidTr="001402B7">
        <w:trPr>
          <w:trHeight w:val="283"/>
        </w:trPr>
        <w:tc>
          <w:tcPr>
            <w:tcW w:w="1066" w:type="pct"/>
            <w:shd w:val="clear" w:color="auto" w:fill="FFFFFF" w:themeFill="background1"/>
            <w:tcMar>
              <w:top w:w="72" w:type="dxa"/>
              <w:left w:w="144" w:type="dxa"/>
              <w:bottom w:w="72" w:type="dxa"/>
              <w:right w:w="144" w:type="dxa"/>
            </w:tcMar>
            <w:hideMark/>
          </w:tcPr>
          <w:p w14:paraId="51BA41C9" w14:textId="77777777" w:rsidR="00E22A8A" w:rsidRPr="00E22A8A" w:rsidRDefault="00E22A8A" w:rsidP="00E22A8A">
            <w:pPr>
              <w:spacing w:after="0"/>
              <w:rPr>
                <w:rFonts w:ascii="Futura Std Condensed Light" w:eastAsia="Calibri" w:hAnsi="Futura Std Condensed Light" w:cs="Calibri"/>
                <w:sz w:val="18"/>
                <w:szCs w:val="18"/>
              </w:rPr>
            </w:pPr>
            <w:r w:rsidRPr="00E22A8A">
              <w:rPr>
                <w:rFonts w:ascii="Futura Std Condensed Light" w:eastAsia="Calibri" w:hAnsi="Futura Std Condensed Light" w:cs="Calibri"/>
                <w:sz w:val="18"/>
                <w:szCs w:val="18"/>
              </w:rPr>
              <w:t>Fuente:</w:t>
            </w:r>
          </w:p>
        </w:tc>
        <w:tc>
          <w:tcPr>
            <w:tcW w:w="3934" w:type="pct"/>
            <w:shd w:val="clear" w:color="auto" w:fill="FFFFFF" w:themeFill="background1"/>
            <w:tcMar>
              <w:top w:w="72" w:type="dxa"/>
              <w:left w:w="144" w:type="dxa"/>
              <w:bottom w:w="72" w:type="dxa"/>
              <w:right w:w="144" w:type="dxa"/>
            </w:tcMar>
            <w:hideMark/>
          </w:tcPr>
          <w:p w14:paraId="717A9661" w14:textId="77777777" w:rsidR="00E22A8A" w:rsidRPr="00E22A8A" w:rsidRDefault="00E22A8A" w:rsidP="00E22A8A">
            <w:pPr>
              <w:spacing w:after="0"/>
              <w:rPr>
                <w:rFonts w:ascii="Futura Std Condensed Light" w:eastAsia="Calibri" w:hAnsi="Futura Std Condensed Light" w:cs="Calibri"/>
                <w:sz w:val="18"/>
                <w:szCs w:val="18"/>
              </w:rPr>
            </w:pPr>
            <w:r w:rsidRPr="00E22A8A">
              <w:rPr>
                <w:rFonts w:ascii="Futura Std Condensed Light" w:eastAsia="Calibri" w:hAnsi="Futura Std Condensed Light" w:cs="Calibri"/>
                <w:sz w:val="18"/>
                <w:szCs w:val="18"/>
              </w:rPr>
              <w:t xml:space="preserve">Programa de Inversión Anual. Departamento de Programación de Inversión en Infraestructura Educativa, SEQ. </w:t>
            </w:r>
          </w:p>
          <w:p w14:paraId="06E809B1" w14:textId="77777777" w:rsidR="00E22A8A" w:rsidRPr="00E22A8A" w:rsidRDefault="00E22A8A" w:rsidP="00E22A8A">
            <w:pPr>
              <w:spacing w:after="0"/>
              <w:rPr>
                <w:rFonts w:ascii="Futura Std Condensed Light" w:eastAsia="Calibri" w:hAnsi="Futura Std Condensed Light" w:cs="Calibri"/>
                <w:sz w:val="18"/>
                <w:szCs w:val="18"/>
              </w:rPr>
            </w:pPr>
            <w:r w:rsidRPr="00E22A8A">
              <w:rPr>
                <w:rFonts w:ascii="Futura Std Condensed Light" w:eastAsia="Calibri" w:hAnsi="Futura Std Condensed Light" w:cs="Calibri"/>
                <w:sz w:val="18"/>
                <w:szCs w:val="18"/>
              </w:rPr>
              <w:t>Catálogo de estadísticas. Departamento de Estadísticas, SEQ.</w:t>
            </w:r>
          </w:p>
        </w:tc>
      </w:tr>
      <w:tr w:rsidR="00E22A8A" w:rsidRPr="0069403A" w14:paraId="2786663A" w14:textId="77777777" w:rsidTr="001402B7">
        <w:trPr>
          <w:trHeight w:val="283"/>
        </w:trPr>
        <w:tc>
          <w:tcPr>
            <w:tcW w:w="1066" w:type="pct"/>
            <w:shd w:val="clear" w:color="auto" w:fill="FFFFFF" w:themeFill="background1"/>
            <w:tcMar>
              <w:top w:w="72" w:type="dxa"/>
              <w:left w:w="144" w:type="dxa"/>
              <w:bottom w:w="72" w:type="dxa"/>
              <w:right w:w="144" w:type="dxa"/>
            </w:tcMar>
            <w:hideMark/>
          </w:tcPr>
          <w:p w14:paraId="3E131A30" w14:textId="77777777" w:rsidR="00E22A8A" w:rsidRPr="00E22A8A" w:rsidRDefault="00E22A8A" w:rsidP="00E22A8A">
            <w:pPr>
              <w:spacing w:after="0"/>
              <w:rPr>
                <w:rFonts w:ascii="Futura Std Condensed Light" w:eastAsia="Calibri" w:hAnsi="Futura Std Condensed Light" w:cs="Calibri"/>
                <w:sz w:val="18"/>
                <w:szCs w:val="18"/>
              </w:rPr>
            </w:pPr>
            <w:r w:rsidRPr="00E22A8A">
              <w:rPr>
                <w:rFonts w:ascii="Futura Std Condensed Light" w:eastAsia="Calibri" w:hAnsi="Futura Std Condensed Light" w:cs="Calibri"/>
                <w:sz w:val="18"/>
                <w:szCs w:val="18"/>
              </w:rPr>
              <w:t>Dimensión:</w:t>
            </w:r>
          </w:p>
        </w:tc>
        <w:tc>
          <w:tcPr>
            <w:tcW w:w="3934" w:type="pct"/>
            <w:shd w:val="clear" w:color="auto" w:fill="FFFFFF" w:themeFill="background1"/>
            <w:tcMar>
              <w:top w:w="72" w:type="dxa"/>
              <w:left w:w="144" w:type="dxa"/>
              <w:bottom w:w="72" w:type="dxa"/>
              <w:right w:w="144" w:type="dxa"/>
            </w:tcMar>
            <w:hideMark/>
          </w:tcPr>
          <w:p w14:paraId="7DE078C7" w14:textId="77777777" w:rsidR="00E22A8A" w:rsidRPr="00E22A8A" w:rsidRDefault="00E22A8A" w:rsidP="00E22A8A">
            <w:pPr>
              <w:spacing w:after="0"/>
              <w:rPr>
                <w:rFonts w:ascii="Futura Std Condensed Light" w:eastAsia="Calibri" w:hAnsi="Futura Std Condensed Light" w:cs="Calibri"/>
                <w:sz w:val="18"/>
                <w:szCs w:val="18"/>
              </w:rPr>
            </w:pPr>
            <w:r w:rsidRPr="00E22A8A">
              <w:rPr>
                <w:rFonts w:ascii="Futura Std Condensed Light" w:eastAsia="Calibri" w:hAnsi="Futura Std Condensed Light" w:cs="Calibri"/>
                <w:sz w:val="18"/>
                <w:szCs w:val="18"/>
              </w:rPr>
              <w:t>Eficacia</w:t>
            </w:r>
          </w:p>
        </w:tc>
      </w:tr>
      <w:tr w:rsidR="00E22A8A" w:rsidRPr="0069403A" w14:paraId="7A3C804D" w14:textId="77777777" w:rsidTr="001402B7">
        <w:trPr>
          <w:trHeight w:val="283"/>
        </w:trPr>
        <w:tc>
          <w:tcPr>
            <w:tcW w:w="1066" w:type="pct"/>
            <w:shd w:val="clear" w:color="auto" w:fill="FFFFFF" w:themeFill="background1"/>
            <w:tcMar>
              <w:top w:w="72" w:type="dxa"/>
              <w:left w:w="144" w:type="dxa"/>
              <w:bottom w:w="72" w:type="dxa"/>
              <w:right w:w="144" w:type="dxa"/>
            </w:tcMar>
            <w:hideMark/>
          </w:tcPr>
          <w:p w14:paraId="6A0C8354" w14:textId="77777777" w:rsidR="00E22A8A" w:rsidRPr="00E22A8A" w:rsidRDefault="00E22A8A" w:rsidP="00E22A8A">
            <w:pPr>
              <w:spacing w:after="0"/>
              <w:rPr>
                <w:rFonts w:ascii="Futura Std Condensed Light" w:eastAsia="Calibri" w:hAnsi="Futura Std Condensed Light" w:cs="Calibri"/>
                <w:sz w:val="18"/>
                <w:szCs w:val="18"/>
              </w:rPr>
            </w:pPr>
            <w:r w:rsidRPr="00E22A8A">
              <w:rPr>
                <w:rFonts w:ascii="Futura Std Condensed Light" w:eastAsia="Calibri" w:hAnsi="Futura Std Condensed Light" w:cs="Calibri"/>
                <w:sz w:val="18"/>
                <w:szCs w:val="18"/>
              </w:rPr>
              <w:t>Referencias adicionales:</w:t>
            </w:r>
          </w:p>
        </w:tc>
        <w:tc>
          <w:tcPr>
            <w:tcW w:w="3934" w:type="pct"/>
            <w:shd w:val="clear" w:color="auto" w:fill="FFFFFF" w:themeFill="background1"/>
            <w:tcMar>
              <w:top w:w="72" w:type="dxa"/>
              <w:left w:w="144" w:type="dxa"/>
              <w:bottom w:w="72" w:type="dxa"/>
              <w:right w:w="144" w:type="dxa"/>
            </w:tcMar>
            <w:hideMark/>
          </w:tcPr>
          <w:p w14:paraId="7D17198F" w14:textId="77777777" w:rsidR="00E22A8A" w:rsidRPr="00E22A8A" w:rsidRDefault="00E22A8A" w:rsidP="00E22A8A">
            <w:pPr>
              <w:spacing w:after="0"/>
              <w:rPr>
                <w:rFonts w:ascii="Futura Std Condensed Light" w:eastAsia="Calibri" w:hAnsi="Futura Std Condensed Light" w:cs="Calibri"/>
                <w:sz w:val="18"/>
                <w:szCs w:val="18"/>
              </w:rPr>
            </w:pPr>
          </w:p>
        </w:tc>
      </w:tr>
    </w:tbl>
    <w:p w14:paraId="31F35C8F" w14:textId="77777777" w:rsidR="00227DE7" w:rsidRDefault="00227DE7" w:rsidP="00C11F5C">
      <w:pPr>
        <w:spacing w:after="0" w:line="240" w:lineRule="auto"/>
      </w:pPr>
    </w:p>
    <w:p w14:paraId="797ABA03" w14:textId="77777777" w:rsidR="002B38A6" w:rsidRDefault="002B38A6">
      <w:pPr>
        <w:spacing w:after="0" w:line="240" w:lineRule="auto"/>
        <w:jc w:val="left"/>
        <w:rPr>
          <w:b/>
        </w:rPr>
      </w:pPr>
      <w:bookmarkStart w:id="91" w:name="_Toc41648924"/>
      <w:r>
        <w:rPr>
          <w:b/>
        </w:rPr>
        <w:br w:type="page"/>
      </w:r>
    </w:p>
    <w:p w14:paraId="51479043" w14:textId="3EEBDC99" w:rsidR="00147CDE" w:rsidRPr="00503FF0" w:rsidRDefault="00227DE7" w:rsidP="00503FF0">
      <w:pPr>
        <w:rPr>
          <w:b/>
        </w:rPr>
      </w:pPr>
      <w:r w:rsidRPr="00227DE7">
        <w:rPr>
          <w:b/>
        </w:rPr>
        <w:lastRenderedPageBreak/>
        <w:t>Estrategia</w:t>
      </w:r>
      <w:r w:rsidR="00B02664">
        <w:rPr>
          <w:b/>
        </w:rPr>
        <w:t xml:space="preserve"> 7</w:t>
      </w:r>
      <w:r w:rsidRPr="002A329C">
        <w:rPr>
          <w:b/>
        </w:rPr>
        <w:t>.</w:t>
      </w:r>
      <w:r>
        <w:rPr>
          <w:b/>
        </w:rPr>
        <w:t xml:space="preserve"> </w:t>
      </w:r>
      <w:r w:rsidR="00147CDE" w:rsidRPr="00503FF0">
        <w:t>Ejecutar los programas de inversión del estado, cuyo objetivo sea la construcción, equipamiento, mantenimiento, rehabilitación y certificación de los planteles de educación en los diferentes niveles educativos a fin de asegurar la cobertura educativa, en zonas rurales, de crecimiento y/o vulnerables.</w:t>
      </w:r>
      <w:bookmarkEnd w:id="9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1816"/>
        <w:gridCol w:w="7721"/>
      </w:tblGrid>
      <w:tr w:rsidR="00147CDE" w:rsidRPr="00147CDE" w14:paraId="54363FA1" w14:textId="77777777" w:rsidTr="001402B7">
        <w:trPr>
          <w:trHeight w:val="283"/>
        </w:trPr>
        <w:tc>
          <w:tcPr>
            <w:tcW w:w="952" w:type="pct"/>
            <w:shd w:val="clear" w:color="auto" w:fill="BFBFBF" w:themeFill="background1" w:themeFillShade="BF"/>
            <w:tcMar>
              <w:top w:w="72" w:type="dxa"/>
              <w:left w:w="144" w:type="dxa"/>
              <w:bottom w:w="72" w:type="dxa"/>
              <w:right w:w="144" w:type="dxa"/>
            </w:tcMar>
            <w:hideMark/>
          </w:tcPr>
          <w:p w14:paraId="2A1E2D89" w14:textId="77777777" w:rsidR="00147CDE" w:rsidRPr="00147CDE" w:rsidRDefault="00147CDE" w:rsidP="001402B7">
            <w:pPr>
              <w:spacing w:after="0" w:line="240" w:lineRule="auto"/>
              <w:rPr>
                <w:rFonts w:ascii="Futura Std Condensed Light" w:eastAsia="Calibri" w:hAnsi="Futura Std Condensed Light" w:cs="Calibri"/>
                <w:sz w:val="18"/>
                <w:szCs w:val="18"/>
              </w:rPr>
            </w:pPr>
            <w:r w:rsidRPr="00147CDE">
              <w:rPr>
                <w:rFonts w:ascii="Futura Std Condensed Light" w:eastAsia="Calibri" w:hAnsi="Futura Std Condensed Light" w:cs="Calibri"/>
                <w:sz w:val="18"/>
                <w:szCs w:val="18"/>
              </w:rPr>
              <w:t>Elemento</w:t>
            </w:r>
          </w:p>
        </w:tc>
        <w:tc>
          <w:tcPr>
            <w:tcW w:w="4048" w:type="pct"/>
            <w:shd w:val="clear" w:color="auto" w:fill="BFBFBF" w:themeFill="background1" w:themeFillShade="BF"/>
            <w:tcMar>
              <w:top w:w="72" w:type="dxa"/>
              <w:left w:w="144" w:type="dxa"/>
              <w:bottom w:w="72" w:type="dxa"/>
              <w:right w:w="144" w:type="dxa"/>
            </w:tcMar>
            <w:hideMark/>
          </w:tcPr>
          <w:p w14:paraId="62C5AACC" w14:textId="77777777" w:rsidR="00147CDE" w:rsidRPr="00147CDE" w:rsidRDefault="00147CDE" w:rsidP="001402B7">
            <w:pPr>
              <w:spacing w:after="0" w:line="240" w:lineRule="auto"/>
              <w:rPr>
                <w:rFonts w:ascii="Futura Std Condensed Light" w:eastAsia="Calibri" w:hAnsi="Futura Std Condensed Light" w:cs="Calibri"/>
                <w:sz w:val="18"/>
                <w:szCs w:val="18"/>
              </w:rPr>
            </w:pPr>
            <w:r w:rsidRPr="00147CDE">
              <w:rPr>
                <w:rFonts w:ascii="Futura Std Condensed Light" w:eastAsia="Calibri" w:hAnsi="Futura Std Condensed Light" w:cs="Calibri"/>
                <w:sz w:val="18"/>
                <w:szCs w:val="18"/>
              </w:rPr>
              <w:t>Características</w:t>
            </w:r>
          </w:p>
        </w:tc>
      </w:tr>
      <w:tr w:rsidR="00147CDE" w:rsidRPr="00147CDE" w14:paraId="1CC4E934" w14:textId="77777777" w:rsidTr="001402B7">
        <w:trPr>
          <w:trHeight w:val="283"/>
        </w:trPr>
        <w:tc>
          <w:tcPr>
            <w:tcW w:w="952" w:type="pct"/>
            <w:shd w:val="clear" w:color="auto" w:fill="FFFFFF" w:themeFill="background1"/>
            <w:tcMar>
              <w:top w:w="72" w:type="dxa"/>
              <w:left w:w="144" w:type="dxa"/>
              <w:bottom w:w="72" w:type="dxa"/>
              <w:right w:w="144" w:type="dxa"/>
            </w:tcMar>
            <w:hideMark/>
          </w:tcPr>
          <w:p w14:paraId="4033F66E" w14:textId="77777777" w:rsidR="00147CDE" w:rsidRPr="00147CDE" w:rsidRDefault="00147CDE" w:rsidP="001402B7">
            <w:pPr>
              <w:spacing w:after="0" w:line="240" w:lineRule="auto"/>
              <w:rPr>
                <w:rFonts w:ascii="Futura Std Condensed Light" w:eastAsia="Calibri" w:hAnsi="Futura Std Condensed Light" w:cs="Calibri"/>
                <w:sz w:val="18"/>
                <w:szCs w:val="18"/>
              </w:rPr>
            </w:pPr>
            <w:r w:rsidRPr="00147CDE">
              <w:rPr>
                <w:rFonts w:ascii="Futura Std Condensed Light" w:eastAsia="Calibri" w:hAnsi="Futura Std Condensed Light" w:cs="Calibri"/>
                <w:sz w:val="18"/>
                <w:szCs w:val="18"/>
              </w:rPr>
              <w:t>Indicador:</w:t>
            </w:r>
          </w:p>
        </w:tc>
        <w:tc>
          <w:tcPr>
            <w:tcW w:w="4048" w:type="pct"/>
            <w:shd w:val="clear" w:color="auto" w:fill="FFFFFF" w:themeFill="background1"/>
            <w:tcMar>
              <w:top w:w="72" w:type="dxa"/>
              <w:left w:w="144" w:type="dxa"/>
              <w:bottom w:w="72" w:type="dxa"/>
              <w:right w:w="144" w:type="dxa"/>
            </w:tcMar>
            <w:hideMark/>
          </w:tcPr>
          <w:p w14:paraId="2481A5DE" w14:textId="77777777" w:rsidR="00147CDE" w:rsidRPr="00147CDE" w:rsidRDefault="00147CDE" w:rsidP="001402B7">
            <w:pPr>
              <w:spacing w:after="0" w:line="240" w:lineRule="auto"/>
              <w:rPr>
                <w:rFonts w:ascii="Futura Std Condensed Light" w:eastAsia="Calibri" w:hAnsi="Futura Std Condensed Light" w:cs="Calibri"/>
                <w:sz w:val="18"/>
                <w:szCs w:val="18"/>
              </w:rPr>
            </w:pPr>
            <w:r w:rsidRPr="00147CDE">
              <w:rPr>
                <w:rFonts w:ascii="Futura Std Condensed Light" w:eastAsia="Calibri" w:hAnsi="Futura Std Condensed Light" w:cs="Calibri"/>
                <w:sz w:val="18"/>
                <w:szCs w:val="18"/>
              </w:rPr>
              <w:t>Porcentaje de escuelas de educación básica ejecutadas (obra, equipamiento o certificación)</w:t>
            </w:r>
          </w:p>
        </w:tc>
      </w:tr>
      <w:tr w:rsidR="00147CDE" w:rsidRPr="00147CDE" w14:paraId="64D3196D" w14:textId="77777777" w:rsidTr="001402B7">
        <w:trPr>
          <w:trHeight w:val="283"/>
        </w:trPr>
        <w:tc>
          <w:tcPr>
            <w:tcW w:w="952" w:type="pct"/>
            <w:shd w:val="clear" w:color="auto" w:fill="FFFFFF" w:themeFill="background1"/>
            <w:tcMar>
              <w:top w:w="72" w:type="dxa"/>
              <w:left w:w="144" w:type="dxa"/>
              <w:bottom w:w="72" w:type="dxa"/>
              <w:right w:w="144" w:type="dxa"/>
            </w:tcMar>
          </w:tcPr>
          <w:p w14:paraId="4933222B" w14:textId="667B26AD" w:rsidR="00147CDE" w:rsidRPr="00147CDE" w:rsidRDefault="00B02664" w:rsidP="001402B7">
            <w:pPr>
              <w:spacing w:after="0" w:line="240" w:lineRule="auto"/>
              <w:rPr>
                <w:rFonts w:ascii="Futura Std Condensed Light" w:eastAsia="Calibri" w:hAnsi="Futura Std Condensed Light" w:cs="Calibri"/>
                <w:sz w:val="18"/>
                <w:szCs w:val="18"/>
              </w:rPr>
            </w:pPr>
            <w:r>
              <w:rPr>
                <w:rFonts w:ascii="Futura Std Condensed Light" w:eastAsia="Calibri" w:hAnsi="Futura Std Condensed Light" w:cs="Calibri"/>
                <w:sz w:val="18"/>
                <w:szCs w:val="18"/>
              </w:rPr>
              <w:t>Estrategia 7</w:t>
            </w:r>
            <w:r w:rsidR="007B6ABE">
              <w:rPr>
                <w:rFonts w:ascii="Futura Std Condensed Light" w:eastAsia="Calibri" w:hAnsi="Futura Std Condensed Light" w:cs="Calibri"/>
                <w:sz w:val="18"/>
                <w:szCs w:val="18"/>
              </w:rPr>
              <w:t>:</w:t>
            </w:r>
          </w:p>
        </w:tc>
        <w:tc>
          <w:tcPr>
            <w:tcW w:w="4048" w:type="pct"/>
            <w:shd w:val="clear" w:color="auto" w:fill="FFFFFF" w:themeFill="background1"/>
            <w:tcMar>
              <w:top w:w="72" w:type="dxa"/>
              <w:left w:w="144" w:type="dxa"/>
              <w:bottom w:w="72" w:type="dxa"/>
              <w:right w:w="144" w:type="dxa"/>
            </w:tcMar>
          </w:tcPr>
          <w:p w14:paraId="49B2A0E4" w14:textId="77777777" w:rsidR="00147CDE" w:rsidRPr="00147CDE" w:rsidRDefault="00147CDE" w:rsidP="001402B7">
            <w:pPr>
              <w:spacing w:after="0" w:line="240" w:lineRule="auto"/>
              <w:rPr>
                <w:rFonts w:ascii="Futura Std Condensed Light" w:eastAsia="Calibri" w:hAnsi="Futura Std Condensed Light" w:cs="Calibri"/>
                <w:sz w:val="18"/>
                <w:szCs w:val="18"/>
              </w:rPr>
            </w:pPr>
            <w:r w:rsidRPr="00147CDE">
              <w:rPr>
                <w:rFonts w:ascii="Futura Std Condensed Light" w:eastAsia="Calibri" w:hAnsi="Futura Std Condensed Light" w:cs="Calibri"/>
                <w:sz w:val="18"/>
                <w:szCs w:val="18"/>
              </w:rPr>
              <w:t>Ejecutar los programas de inversión del estado, cuyo objetivo sea la construcción, equipamiento, mantenimiento, rehabilitación y certificación de los planteles de educación en los diferentes niveles educativos a fin de asegurar la cobertura educativa, en zonas rurales, de crecimiento y/o vulnerables.</w:t>
            </w:r>
          </w:p>
        </w:tc>
      </w:tr>
      <w:tr w:rsidR="00147CDE" w:rsidRPr="00147CDE" w14:paraId="112C8C87" w14:textId="77777777" w:rsidTr="001402B7">
        <w:trPr>
          <w:trHeight w:val="283"/>
        </w:trPr>
        <w:tc>
          <w:tcPr>
            <w:tcW w:w="952" w:type="pct"/>
            <w:shd w:val="clear" w:color="auto" w:fill="FFFFFF" w:themeFill="background1"/>
            <w:tcMar>
              <w:top w:w="72" w:type="dxa"/>
              <w:left w:w="144" w:type="dxa"/>
              <w:bottom w:w="72" w:type="dxa"/>
              <w:right w:w="144" w:type="dxa"/>
            </w:tcMar>
            <w:hideMark/>
          </w:tcPr>
          <w:p w14:paraId="11835932" w14:textId="77777777" w:rsidR="00147CDE" w:rsidRPr="00147CDE" w:rsidRDefault="00147CDE" w:rsidP="001402B7">
            <w:pPr>
              <w:spacing w:after="0" w:line="240" w:lineRule="auto"/>
              <w:rPr>
                <w:rFonts w:ascii="Futura Std Condensed Light" w:eastAsia="Calibri" w:hAnsi="Futura Std Condensed Light" w:cs="Calibri"/>
                <w:sz w:val="18"/>
                <w:szCs w:val="18"/>
              </w:rPr>
            </w:pPr>
            <w:r w:rsidRPr="00147CDE">
              <w:rPr>
                <w:rFonts w:ascii="Futura Std Condensed Light" w:eastAsia="Calibri" w:hAnsi="Futura Std Condensed Light" w:cs="Calibri"/>
                <w:sz w:val="18"/>
                <w:szCs w:val="18"/>
              </w:rPr>
              <w:t>Descripción:</w:t>
            </w:r>
          </w:p>
        </w:tc>
        <w:tc>
          <w:tcPr>
            <w:tcW w:w="4048" w:type="pct"/>
            <w:shd w:val="clear" w:color="auto" w:fill="FFFFFF" w:themeFill="background1"/>
            <w:tcMar>
              <w:top w:w="72" w:type="dxa"/>
              <w:left w:w="144" w:type="dxa"/>
              <w:bottom w:w="72" w:type="dxa"/>
              <w:right w:w="144" w:type="dxa"/>
            </w:tcMar>
            <w:hideMark/>
          </w:tcPr>
          <w:p w14:paraId="77018A88" w14:textId="77777777" w:rsidR="00147CDE" w:rsidRPr="00147CDE" w:rsidRDefault="00147CDE" w:rsidP="001402B7">
            <w:pPr>
              <w:spacing w:after="0" w:line="240" w:lineRule="auto"/>
              <w:rPr>
                <w:rFonts w:ascii="Futura Std Condensed Light" w:eastAsia="Calibri" w:hAnsi="Futura Std Condensed Light" w:cs="Calibri"/>
                <w:sz w:val="18"/>
                <w:szCs w:val="18"/>
              </w:rPr>
            </w:pPr>
            <w:r w:rsidRPr="00147CDE">
              <w:rPr>
                <w:rFonts w:ascii="Futura Std Condensed Light" w:eastAsia="Calibri" w:hAnsi="Futura Std Condensed Light" w:cs="Calibri"/>
                <w:sz w:val="18"/>
                <w:szCs w:val="18"/>
              </w:rPr>
              <w:t>Este indicador refleja el porcentaje de escuelas de educación básica que están siendo construidas, ampliadas, rehabilitadas o certificadas, en relación al total de escuelas de educación básica en un año en específico.</w:t>
            </w:r>
          </w:p>
        </w:tc>
      </w:tr>
      <w:tr w:rsidR="00147CDE" w:rsidRPr="00147CDE" w14:paraId="2177C9B6" w14:textId="77777777" w:rsidTr="001402B7">
        <w:trPr>
          <w:trHeight w:val="283"/>
        </w:trPr>
        <w:tc>
          <w:tcPr>
            <w:tcW w:w="952" w:type="pct"/>
            <w:shd w:val="clear" w:color="auto" w:fill="FFFFFF" w:themeFill="background1"/>
            <w:tcMar>
              <w:top w:w="72" w:type="dxa"/>
              <w:left w:w="144" w:type="dxa"/>
              <w:bottom w:w="72" w:type="dxa"/>
              <w:right w:w="144" w:type="dxa"/>
            </w:tcMar>
            <w:hideMark/>
          </w:tcPr>
          <w:p w14:paraId="7517DA1A" w14:textId="77777777" w:rsidR="00147CDE" w:rsidRPr="00147CDE" w:rsidRDefault="00147CDE" w:rsidP="001402B7">
            <w:pPr>
              <w:spacing w:after="0" w:line="240" w:lineRule="auto"/>
              <w:rPr>
                <w:rFonts w:ascii="Futura Std Condensed Light" w:eastAsia="Calibri" w:hAnsi="Futura Std Condensed Light" w:cs="Calibri"/>
                <w:sz w:val="18"/>
                <w:szCs w:val="18"/>
              </w:rPr>
            </w:pPr>
            <w:r w:rsidRPr="00147CDE">
              <w:rPr>
                <w:rFonts w:ascii="Futura Std Condensed Light" w:eastAsia="Calibri" w:hAnsi="Futura Std Condensed Light" w:cs="Calibri"/>
                <w:sz w:val="18"/>
                <w:szCs w:val="18"/>
              </w:rPr>
              <w:t>Método de cálculo:</w:t>
            </w:r>
          </w:p>
        </w:tc>
        <w:tc>
          <w:tcPr>
            <w:tcW w:w="4048" w:type="pct"/>
            <w:shd w:val="clear" w:color="auto" w:fill="FFFFFF" w:themeFill="background1"/>
            <w:tcMar>
              <w:top w:w="72" w:type="dxa"/>
              <w:left w:w="144" w:type="dxa"/>
              <w:bottom w:w="72" w:type="dxa"/>
              <w:right w:w="144" w:type="dxa"/>
            </w:tcMar>
            <w:hideMark/>
          </w:tcPr>
          <w:p w14:paraId="2F170717" w14:textId="77777777" w:rsidR="00147CDE" w:rsidRPr="00147CDE" w:rsidRDefault="00147CDE" w:rsidP="001402B7">
            <w:pPr>
              <w:spacing w:after="0" w:line="240" w:lineRule="auto"/>
              <w:rPr>
                <w:rFonts w:ascii="Futura Std Condensed Light" w:eastAsia="Calibri" w:hAnsi="Futura Std Condensed Light" w:cs="Calibri"/>
                <w:sz w:val="18"/>
                <w:szCs w:val="18"/>
              </w:rPr>
            </w:pPr>
            <w:r w:rsidRPr="00147CDE">
              <w:rPr>
                <w:rFonts w:ascii="Futura Std Condensed Light" w:eastAsia="Calibri" w:hAnsi="Futura Std Condensed Light" w:cs="Calibri"/>
                <w:sz w:val="18"/>
                <w:szCs w:val="18"/>
              </w:rPr>
              <w:t>(Número de inmuebles de educación básica construidas, rehabilitadas o certificadas en el año / Total de escuelas de educación básica en el año t) X 100</w:t>
            </w:r>
          </w:p>
        </w:tc>
      </w:tr>
      <w:tr w:rsidR="00147CDE" w:rsidRPr="00147CDE" w14:paraId="02311B15" w14:textId="77777777" w:rsidTr="001402B7">
        <w:trPr>
          <w:trHeight w:val="283"/>
        </w:trPr>
        <w:tc>
          <w:tcPr>
            <w:tcW w:w="952" w:type="pct"/>
            <w:shd w:val="clear" w:color="auto" w:fill="FFFFFF" w:themeFill="background1"/>
            <w:tcMar>
              <w:top w:w="72" w:type="dxa"/>
              <w:left w:w="144" w:type="dxa"/>
              <w:bottom w:w="72" w:type="dxa"/>
              <w:right w:w="144" w:type="dxa"/>
            </w:tcMar>
            <w:hideMark/>
          </w:tcPr>
          <w:p w14:paraId="0B82021E" w14:textId="77777777" w:rsidR="00147CDE" w:rsidRPr="00147CDE" w:rsidRDefault="00147CDE" w:rsidP="001402B7">
            <w:pPr>
              <w:spacing w:after="0" w:line="240" w:lineRule="auto"/>
              <w:rPr>
                <w:rFonts w:ascii="Futura Std Condensed Light" w:eastAsia="Calibri" w:hAnsi="Futura Std Condensed Light" w:cs="Calibri"/>
                <w:sz w:val="18"/>
                <w:szCs w:val="18"/>
              </w:rPr>
            </w:pPr>
            <w:r w:rsidRPr="00147CDE">
              <w:rPr>
                <w:rFonts w:ascii="Futura Std Condensed Light" w:eastAsia="Calibri" w:hAnsi="Futura Std Condensed Light" w:cs="Calibri"/>
                <w:sz w:val="18"/>
                <w:szCs w:val="18"/>
              </w:rPr>
              <w:t>Periodicidad:</w:t>
            </w:r>
          </w:p>
        </w:tc>
        <w:tc>
          <w:tcPr>
            <w:tcW w:w="4048" w:type="pct"/>
            <w:shd w:val="clear" w:color="auto" w:fill="FFFFFF" w:themeFill="background1"/>
            <w:tcMar>
              <w:top w:w="72" w:type="dxa"/>
              <w:left w:w="144" w:type="dxa"/>
              <w:bottom w:w="72" w:type="dxa"/>
              <w:right w:w="144" w:type="dxa"/>
            </w:tcMar>
            <w:hideMark/>
          </w:tcPr>
          <w:p w14:paraId="1597F8D1" w14:textId="77777777" w:rsidR="00147CDE" w:rsidRPr="00147CDE" w:rsidRDefault="00147CDE" w:rsidP="001402B7">
            <w:pPr>
              <w:spacing w:after="0" w:line="240" w:lineRule="auto"/>
              <w:rPr>
                <w:rFonts w:ascii="Futura Std Condensed Light" w:eastAsia="Calibri" w:hAnsi="Futura Std Condensed Light" w:cs="Calibri"/>
                <w:sz w:val="18"/>
                <w:szCs w:val="18"/>
              </w:rPr>
            </w:pPr>
            <w:r w:rsidRPr="00147CDE">
              <w:rPr>
                <w:rFonts w:ascii="Futura Std Condensed Light" w:eastAsia="Calibri" w:hAnsi="Futura Std Condensed Light" w:cs="Calibri"/>
                <w:sz w:val="18"/>
                <w:szCs w:val="18"/>
              </w:rPr>
              <w:t>Anual</w:t>
            </w:r>
          </w:p>
        </w:tc>
      </w:tr>
      <w:tr w:rsidR="00147CDE" w:rsidRPr="00147CDE" w14:paraId="69C2A754" w14:textId="77777777" w:rsidTr="001402B7">
        <w:trPr>
          <w:trHeight w:val="283"/>
        </w:trPr>
        <w:tc>
          <w:tcPr>
            <w:tcW w:w="952" w:type="pct"/>
            <w:shd w:val="clear" w:color="auto" w:fill="FFFFFF" w:themeFill="background1"/>
            <w:tcMar>
              <w:top w:w="72" w:type="dxa"/>
              <w:left w:w="144" w:type="dxa"/>
              <w:bottom w:w="72" w:type="dxa"/>
              <w:right w:w="144" w:type="dxa"/>
            </w:tcMar>
            <w:hideMark/>
          </w:tcPr>
          <w:p w14:paraId="30E8AE1A" w14:textId="77777777" w:rsidR="00147CDE" w:rsidRPr="00147CDE" w:rsidRDefault="00147CDE" w:rsidP="001402B7">
            <w:pPr>
              <w:spacing w:after="0" w:line="240" w:lineRule="auto"/>
              <w:rPr>
                <w:rFonts w:ascii="Futura Std Condensed Light" w:eastAsia="Calibri" w:hAnsi="Futura Std Condensed Light" w:cs="Calibri"/>
                <w:sz w:val="18"/>
                <w:szCs w:val="18"/>
              </w:rPr>
            </w:pPr>
            <w:r w:rsidRPr="00147CDE">
              <w:rPr>
                <w:rFonts w:ascii="Futura Std Condensed Light" w:eastAsia="Calibri" w:hAnsi="Futura Std Condensed Light" w:cs="Calibri"/>
                <w:sz w:val="18"/>
                <w:szCs w:val="18"/>
              </w:rPr>
              <w:t>Fuente:</w:t>
            </w:r>
          </w:p>
        </w:tc>
        <w:tc>
          <w:tcPr>
            <w:tcW w:w="4048" w:type="pct"/>
            <w:shd w:val="clear" w:color="auto" w:fill="FFFFFF" w:themeFill="background1"/>
            <w:tcMar>
              <w:top w:w="72" w:type="dxa"/>
              <w:left w:w="144" w:type="dxa"/>
              <w:bottom w:w="72" w:type="dxa"/>
              <w:right w:w="144" w:type="dxa"/>
            </w:tcMar>
            <w:hideMark/>
          </w:tcPr>
          <w:p w14:paraId="696BDB22" w14:textId="77777777" w:rsidR="00147CDE" w:rsidRPr="00147CDE" w:rsidRDefault="00147CDE" w:rsidP="001402B7">
            <w:pPr>
              <w:spacing w:after="0" w:line="240" w:lineRule="auto"/>
              <w:rPr>
                <w:rFonts w:ascii="Futura Std Condensed Light" w:eastAsia="Calibri" w:hAnsi="Futura Std Condensed Light" w:cs="Calibri"/>
                <w:sz w:val="18"/>
                <w:szCs w:val="18"/>
              </w:rPr>
            </w:pPr>
            <w:r w:rsidRPr="00147CDE">
              <w:rPr>
                <w:rFonts w:ascii="Futura Std Condensed Light" w:eastAsia="Calibri" w:hAnsi="Futura Std Condensed Light" w:cs="Calibri"/>
                <w:sz w:val="18"/>
                <w:szCs w:val="18"/>
              </w:rPr>
              <w:t>Programa de Inversión Anual. Dirección de Planeación. IFEQROO, Programa de Certificación, Dirección de Certificación, IFEQROO</w:t>
            </w:r>
          </w:p>
        </w:tc>
      </w:tr>
      <w:tr w:rsidR="00147CDE" w:rsidRPr="00147CDE" w14:paraId="320680EB" w14:textId="77777777" w:rsidTr="001402B7">
        <w:trPr>
          <w:trHeight w:val="283"/>
        </w:trPr>
        <w:tc>
          <w:tcPr>
            <w:tcW w:w="952" w:type="pct"/>
            <w:shd w:val="clear" w:color="auto" w:fill="FFFFFF" w:themeFill="background1"/>
            <w:tcMar>
              <w:top w:w="72" w:type="dxa"/>
              <w:left w:w="144" w:type="dxa"/>
              <w:bottom w:w="72" w:type="dxa"/>
              <w:right w:w="144" w:type="dxa"/>
            </w:tcMar>
            <w:hideMark/>
          </w:tcPr>
          <w:p w14:paraId="6B9A24A5" w14:textId="77777777" w:rsidR="00147CDE" w:rsidRPr="00147CDE" w:rsidRDefault="00147CDE" w:rsidP="001402B7">
            <w:pPr>
              <w:spacing w:after="0" w:line="240" w:lineRule="auto"/>
              <w:rPr>
                <w:rFonts w:ascii="Futura Std Condensed Light" w:eastAsia="Calibri" w:hAnsi="Futura Std Condensed Light" w:cs="Calibri"/>
                <w:sz w:val="18"/>
                <w:szCs w:val="18"/>
              </w:rPr>
            </w:pPr>
            <w:r w:rsidRPr="00147CDE">
              <w:rPr>
                <w:rFonts w:ascii="Futura Std Condensed Light" w:eastAsia="Calibri" w:hAnsi="Futura Std Condensed Light" w:cs="Calibri"/>
                <w:sz w:val="18"/>
                <w:szCs w:val="18"/>
              </w:rPr>
              <w:t>Dimensión:</w:t>
            </w:r>
          </w:p>
        </w:tc>
        <w:tc>
          <w:tcPr>
            <w:tcW w:w="4048" w:type="pct"/>
            <w:shd w:val="clear" w:color="auto" w:fill="FFFFFF" w:themeFill="background1"/>
            <w:tcMar>
              <w:top w:w="72" w:type="dxa"/>
              <w:left w:w="144" w:type="dxa"/>
              <w:bottom w:w="72" w:type="dxa"/>
              <w:right w:w="144" w:type="dxa"/>
            </w:tcMar>
            <w:hideMark/>
          </w:tcPr>
          <w:p w14:paraId="137CB3B2" w14:textId="77777777" w:rsidR="00147CDE" w:rsidRPr="00147CDE" w:rsidRDefault="00147CDE" w:rsidP="001402B7">
            <w:pPr>
              <w:spacing w:after="0" w:line="240" w:lineRule="auto"/>
              <w:rPr>
                <w:rFonts w:ascii="Futura Std Condensed Light" w:eastAsia="Calibri" w:hAnsi="Futura Std Condensed Light" w:cs="Calibri"/>
                <w:sz w:val="18"/>
                <w:szCs w:val="18"/>
              </w:rPr>
            </w:pPr>
            <w:r w:rsidRPr="00147CDE">
              <w:rPr>
                <w:rFonts w:ascii="Futura Std Condensed Light" w:eastAsia="Calibri" w:hAnsi="Futura Std Condensed Light" w:cs="Calibri"/>
                <w:sz w:val="18"/>
                <w:szCs w:val="18"/>
              </w:rPr>
              <w:t>Eficacia</w:t>
            </w:r>
          </w:p>
        </w:tc>
      </w:tr>
      <w:tr w:rsidR="00147CDE" w:rsidRPr="00147CDE" w14:paraId="7219250D" w14:textId="77777777" w:rsidTr="001402B7">
        <w:trPr>
          <w:trHeight w:val="283"/>
        </w:trPr>
        <w:tc>
          <w:tcPr>
            <w:tcW w:w="952" w:type="pct"/>
            <w:shd w:val="clear" w:color="auto" w:fill="FFFFFF" w:themeFill="background1"/>
            <w:tcMar>
              <w:top w:w="72" w:type="dxa"/>
              <w:left w:w="144" w:type="dxa"/>
              <w:bottom w:w="72" w:type="dxa"/>
              <w:right w:w="144" w:type="dxa"/>
            </w:tcMar>
            <w:hideMark/>
          </w:tcPr>
          <w:p w14:paraId="3E8C7543" w14:textId="77777777" w:rsidR="00147CDE" w:rsidRPr="00147CDE" w:rsidRDefault="00147CDE" w:rsidP="001402B7">
            <w:pPr>
              <w:spacing w:after="0" w:line="240" w:lineRule="auto"/>
              <w:rPr>
                <w:rFonts w:ascii="Futura Std Condensed Light" w:eastAsia="Calibri" w:hAnsi="Futura Std Condensed Light" w:cs="Calibri"/>
                <w:sz w:val="18"/>
                <w:szCs w:val="18"/>
              </w:rPr>
            </w:pPr>
            <w:r w:rsidRPr="00147CDE">
              <w:rPr>
                <w:rFonts w:ascii="Futura Std Condensed Light" w:eastAsia="Calibri" w:hAnsi="Futura Std Condensed Light" w:cs="Calibri"/>
                <w:sz w:val="18"/>
                <w:szCs w:val="18"/>
              </w:rPr>
              <w:t>Referencias adicionales:</w:t>
            </w:r>
          </w:p>
        </w:tc>
        <w:tc>
          <w:tcPr>
            <w:tcW w:w="4048" w:type="pct"/>
            <w:shd w:val="clear" w:color="auto" w:fill="FFFFFF" w:themeFill="background1"/>
            <w:tcMar>
              <w:top w:w="72" w:type="dxa"/>
              <w:left w:w="144" w:type="dxa"/>
              <w:bottom w:w="72" w:type="dxa"/>
              <w:right w:w="144" w:type="dxa"/>
            </w:tcMar>
            <w:hideMark/>
          </w:tcPr>
          <w:p w14:paraId="2D7B6687" w14:textId="77777777" w:rsidR="00147CDE" w:rsidRPr="00147CDE" w:rsidRDefault="00147CDE" w:rsidP="001402B7">
            <w:pPr>
              <w:spacing w:after="0" w:line="240" w:lineRule="auto"/>
              <w:rPr>
                <w:rFonts w:ascii="Futura Std Condensed Light" w:eastAsia="Calibri" w:hAnsi="Futura Std Condensed Light" w:cs="Calibri"/>
                <w:sz w:val="18"/>
                <w:szCs w:val="18"/>
              </w:rPr>
            </w:pPr>
          </w:p>
        </w:tc>
      </w:tr>
    </w:tbl>
    <w:p w14:paraId="1C52954E" w14:textId="5587AD84" w:rsidR="00A63192" w:rsidRPr="00147CDE" w:rsidRDefault="00A63192" w:rsidP="00C11F5C">
      <w:pPr>
        <w:spacing w:after="0" w:line="240" w:lineRule="auto"/>
        <w:rPr>
          <w:rFonts w:ascii="Futura Std Condensed Light" w:eastAsia="Calibri" w:hAnsi="Futura Std Condensed Light" w:cs="Calibri"/>
          <w:sz w:val="18"/>
          <w:szCs w:val="18"/>
        </w:rPr>
      </w:pPr>
    </w:p>
    <w:p w14:paraId="5937BDD7" w14:textId="7D855E46" w:rsidR="00256EC3" w:rsidRDefault="00256EC3" w:rsidP="00C11F5C">
      <w:pPr>
        <w:spacing w:after="0" w:line="240" w:lineRule="auto"/>
        <w:rPr>
          <w:rFonts w:ascii="Futura Std Condensed Light" w:eastAsia="Calibri" w:hAnsi="Futura Std Condensed Light" w:cs="Calibri"/>
          <w:sz w:val="18"/>
          <w:szCs w:val="18"/>
        </w:rPr>
      </w:pPr>
    </w:p>
    <w:p w14:paraId="2F6A8F33" w14:textId="77777777" w:rsidR="002B38A6" w:rsidRDefault="002B38A6">
      <w:pPr>
        <w:spacing w:after="0" w:line="240" w:lineRule="auto"/>
        <w:jc w:val="left"/>
        <w:rPr>
          <w:b/>
        </w:rPr>
      </w:pPr>
      <w:r>
        <w:rPr>
          <w:b/>
        </w:rPr>
        <w:br w:type="page"/>
      </w:r>
    </w:p>
    <w:p w14:paraId="2946F469" w14:textId="743EFC86" w:rsidR="006F35B7" w:rsidRPr="006F35B7" w:rsidRDefault="00B02664" w:rsidP="006F35B7">
      <w:pPr>
        <w:rPr>
          <w:rFonts w:eastAsia="Times New Roman"/>
          <w:bCs/>
          <w:lang w:val="es-MX" w:eastAsia="en-US"/>
        </w:rPr>
      </w:pPr>
      <w:r>
        <w:rPr>
          <w:b/>
        </w:rPr>
        <w:lastRenderedPageBreak/>
        <w:t>Objetivo 8</w:t>
      </w:r>
      <w:r w:rsidR="006F35B7" w:rsidRPr="007937F8">
        <w:rPr>
          <w:b/>
        </w:rPr>
        <w:t>.</w:t>
      </w:r>
      <w:r w:rsidR="006F35B7" w:rsidRPr="006F35B7">
        <w:rPr>
          <w:sz w:val="22"/>
        </w:rPr>
        <w:t xml:space="preserve"> </w:t>
      </w:r>
      <w:r w:rsidR="006F35B7" w:rsidRPr="006F35B7">
        <w:rPr>
          <w:rFonts w:eastAsia="Times New Roman"/>
          <w:bCs/>
          <w:lang w:val="es-MX" w:eastAsia="en-US"/>
        </w:rPr>
        <w:t>Lograr que las personas de 15 años y más en rezago educativo en la entidad concluyan su educación básica</w:t>
      </w:r>
      <w:r w:rsidR="006F35B7">
        <w:rPr>
          <w:rFonts w:eastAsia="Times New Roman"/>
          <w:bCs/>
          <w:lang w:val="es-MX" w:eastAsia="en-US"/>
        </w:rPr>
        <w:t>.</w:t>
      </w:r>
    </w:p>
    <w:tbl>
      <w:tblPr>
        <w:tblStyle w:val="TablaSectorial"/>
        <w:tblW w:w="4815" w:type="pct"/>
        <w:tblLook w:val="0420" w:firstRow="1" w:lastRow="0" w:firstColumn="0" w:lastColumn="0" w:noHBand="0" w:noVBand="1"/>
      </w:tblPr>
      <w:tblGrid>
        <w:gridCol w:w="1664"/>
        <w:gridCol w:w="7520"/>
      </w:tblGrid>
      <w:tr w:rsidR="006F35B7" w:rsidRPr="00FD195D" w14:paraId="19AB5552" w14:textId="77777777" w:rsidTr="001402B7">
        <w:trPr>
          <w:cnfStyle w:val="100000000000" w:firstRow="1" w:lastRow="0" w:firstColumn="0" w:lastColumn="0" w:oddVBand="0" w:evenVBand="0" w:oddHBand="0" w:evenHBand="0" w:firstRowFirstColumn="0" w:firstRowLastColumn="0" w:lastRowFirstColumn="0" w:lastRowLastColumn="0"/>
          <w:trHeight w:val="283"/>
        </w:trPr>
        <w:tc>
          <w:tcPr>
            <w:tcW w:w="906" w:type="pct"/>
            <w:hideMark/>
          </w:tcPr>
          <w:p w14:paraId="221B2874" w14:textId="77777777" w:rsidR="006F35B7" w:rsidRPr="00FD195D" w:rsidRDefault="006F35B7" w:rsidP="001402B7">
            <w:pPr>
              <w:spacing w:after="0" w:line="240" w:lineRule="auto"/>
              <w:rPr>
                <w:rFonts w:ascii="Futura Std Condensed Light" w:eastAsia="Calibri" w:hAnsi="Futura Std Condensed Light" w:cs="Calibri"/>
                <w:b/>
                <w:sz w:val="18"/>
                <w:szCs w:val="18"/>
              </w:rPr>
            </w:pPr>
            <w:r w:rsidRPr="00FD195D">
              <w:rPr>
                <w:rFonts w:ascii="Futura Std Condensed Light" w:eastAsia="Calibri" w:hAnsi="Futura Std Condensed Light" w:cs="Calibri"/>
                <w:b/>
                <w:sz w:val="18"/>
                <w:szCs w:val="18"/>
              </w:rPr>
              <w:t>Elemento</w:t>
            </w:r>
          </w:p>
        </w:tc>
        <w:tc>
          <w:tcPr>
            <w:tcW w:w="4094" w:type="pct"/>
            <w:hideMark/>
          </w:tcPr>
          <w:p w14:paraId="06EBA87C" w14:textId="77777777" w:rsidR="006F35B7" w:rsidRPr="00FD195D" w:rsidRDefault="006F35B7" w:rsidP="001402B7">
            <w:pPr>
              <w:spacing w:after="0" w:line="240" w:lineRule="auto"/>
              <w:rPr>
                <w:rFonts w:ascii="Futura Std Condensed Light" w:eastAsia="Calibri" w:hAnsi="Futura Std Condensed Light" w:cs="Calibri"/>
                <w:b/>
                <w:sz w:val="18"/>
                <w:szCs w:val="18"/>
              </w:rPr>
            </w:pPr>
            <w:r w:rsidRPr="00FD195D">
              <w:rPr>
                <w:rFonts w:ascii="Futura Std Condensed Light" w:eastAsia="Calibri" w:hAnsi="Futura Std Condensed Light" w:cs="Calibri"/>
                <w:b/>
                <w:sz w:val="18"/>
                <w:szCs w:val="18"/>
              </w:rPr>
              <w:t>Características</w:t>
            </w:r>
          </w:p>
        </w:tc>
      </w:tr>
      <w:tr w:rsidR="006F35B7" w:rsidRPr="00FD195D" w14:paraId="26F48B32" w14:textId="77777777" w:rsidTr="001402B7">
        <w:trPr>
          <w:trHeight w:val="283"/>
        </w:trPr>
        <w:tc>
          <w:tcPr>
            <w:tcW w:w="906" w:type="pct"/>
            <w:hideMark/>
          </w:tcPr>
          <w:p w14:paraId="5CF4EE13" w14:textId="77777777" w:rsidR="006F35B7" w:rsidRPr="00FD195D" w:rsidRDefault="006F35B7" w:rsidP="001402B7">
            <w:pPr>
              <w:spacing w:after="0" w:line="240" w:lineRule="auto"/>
              <w:rPr>
                <w:rFonts w:ascii="Futura Std Condensed Light" w:eastAsia="Calibri" w:hAnsi="Futura Std Condensed Light" w:cs="Calibri"/>
                <w:sz w:val="18"/>
                <w:szCs w:val="18"/>
              </w:rPr>
            </w:pPr>
            <w:r w:rsidRPr="00FD195D">
              <w:rPr>
                <w:rFonts w:ascii="Futura Std Condensed Light" w:eastAsia="Calibri" w:hAnsi="Futura Std Condensed Light" w:cs="Calibri"/>
                <w:sz w:val="18"/>
                <w:szCs w:val="18"/>
              </w:rPr>
              <w:t>Indicador:</w:t>
            </w:r>
          </w:p>
        </w:tc>
        <w:tc>
          <w:tcPr>
            <w:tcW w:w="4094" w:type="pct"/>
          </w:tcPr>
          <w:p w14:paraId="3B5E2D16" w14:textId="77777777" w:rsidR="006F35B7" w:rsidRPr="00FD195D" w:rsidRDefault="006F35B7" w:rsidP="001402B7">
            <w:pPr>
              <w:spacing w:after="0" w:line="240" w:lineRule="auto"/>
              <w:rPr>
                <w:rFonts w:ascii="Futura Std Condensed Light" w:eastAsia="Calibri" w:hAnsi="Futura Std Condensed Light" w:cs="Calibri"/>
                <w:sz w:val="18"/>
                <w:szCs w:val="18"/>
              </w:rPr>
            </w:pPr>
            <w:r w:rsidRPr="00FD195D">
              <w:rPr>
                <w:rFonts w:ascii="Futura Std Condensed Light" w:eastAsia="Calibri" w:hAnsi="Futura Std Condensed Light" w:cs="Calibri"/>
                <w:sz w:val="18"/>
                <w:szCs w:val="18"/>
              </w:rPr>
              <w:t>Tasa de rezago educativo de la población de 15 años y más</w:t>
            </w:r>
          </w:p>
        </w:tc>
      </w:tr>
      <w:tr w:rsidR="006F35B7" w:rsidRPr="00FD195D" w14:paraId="41C8CF38" w14:textId="77777777" w:rsidTr="001402B7">
        <w:trPr>
          <w:trHeight w:val="283"/>
        </w:trPr>
        <w:tc>
          <w:tcPr>
            <w:tcW w:w="906" w:type="pct"/>
          </w:tcPr>
          <w:p w14:paraId="0E8CCDB7" w14:textId="7F7BBDA8" w:rsidR="006F35B7" w:rsidRPr="00FD195D" w:rsidRDefault="00B02664" w:rsidP="001402B7">
            <w:pPr>
              <w:spacing w:after="0" w:line="240" w:lineRule="auto"/>
              <w:rPr>
                <w:rFonts w:ascii="Futura Std Condensed Light" w:eastAsia="Calibri" w:hAnsi="Futura Std Condensed Light" w:cs="Calibri"/>
                <w:sz w:val="18"/>
                <w:szCs w:val="18"/>
              </w:rPr>
            </w:pPr>
            <w:r>
              <w:rPr>
                <w:rFonts w:ascii="Futura Std Condensed Light" w:eastAsia="Calibri" w:hAnsi="Futura Std Condensed Light" w:cs="Calibri"/>
                <w:sz w:val="18"/>
                <w:szCs w:val="18"/>
              </w:rPr>
              <w:t>Objetivo 8</w:t>
            </w:r>
            <w:r w:rsidR="006F35B7" w:rsidRPr="00FD195D">
              <w:rPr>
                <w:rFonts w:ascii="Futura Std Condensed Light" w:eastAsia="Calibri" w:hAnsi="Futura Std Condensed Light" w:cs="Calibri"/>
                <w:sz w:val="18"/>
                <w:szCs w:val="18"/>
              </w:rPr>
              <w:t>:</w:t>
            </w:r>
          </w:p>
        </w:tc>
        <w:tc>
          <w:tcPr>
            <w:tcW w:w="4094" w:type="pct"/>
          </w:tcPr>
          <w:p w14:paraId="4ABCA312" w14:textId="23CB5E7A" w:rsidR="006F35B7" w:rsidRPr="00FD195D" w:rsidRDefault="006F35B7" w:rsidP="006F35B7">
            <w:pPr>
              <w:rPr>
                <w:rFonts w:ascii="Futura Std Condensed Light" w:eastAsia="Calibri" w:hAnsi="Futura Std Condensed Light" w:cs="Calibri"/>
                <w:sz w:val="18"/>
                <w:szCs w:val="18"/>
              </w:rPr>
            </w:pPr>
            <w:r w:rsidRPr="006F35B7">
              <w:rPr>
                <w:rFonts w:ascii="Futura Std Condensed Light" w:eastAsia="Calibri" w:hAnsi="Futura Std Condensed Light" w:cs="Calibri"/>
                <w:sz w:val="18"/>
                <w:szCs w:val="18"/>
              </w:rPr>
              <w:t>Lograr que las personas de 15 años y más en rezago educativo en la entidad concluyan su educación básica.</w:t>
            </w:r>
          </w:p>
        </w:tc>
      </w:tr>
      <w:tr w:rsidR="006F35B7" w:rsidRPr="00FD195D" w14:paraId="15C95489" w14:textId="77777777" w:rsidTr="001402B7">
        <w:trPr>
          <w:trHeight w:val="283"/>
        </w:trPr>
        <w:tc>
          <w:tcPr>
            <w:tcW w:w="906" w:type="pct"/>
            <w:hideMark/>
          </w:tcPr>
          <w:p w14:paraId="4FC25D7A" w14:textId="77777777" w:rsidR="006F35B7" w:rsidRPr="00FD195D" w:rsidRDefault="006F35B7" w:rsidP="001402B7">
            <w:pPr>
              <w:spacing w:after="0" w:line="240" w:lineRule="auto"/>
              <w:rPr>
                <w:rFonts w:ascii="Futura Std Condensed Light" w:eastAsia="Calibri" w:hAnsi="Futura Std Condensed Light" w:cs="Calibri"/>
                <w:sz w:val="18"/>
                <w:szCs w:val="18"/>
              </w:rPr>
            </w:pPr>
            <w:r w:rsidRPr="00FD195D">
              <w:rPr>
                <w:rFonts w:ascii="Futura Std Condensed Light" w:eastAsia="Calibri" w:hAnsi="Futura Std Condensed Light" w:cs="Calibri"/>
                <w:sz w:val="18"/>
                <w:szCs w:val="18"/>
              </w:rPr>
              <w:t>Descripción:</w:t>
            </w:r>
          </w:p>
        </w:tc>
        <w:tc>
          <w:tcPr>
            <w:tcW w:w="4094" w:type="pct"/>
          </w:tcPr>
          <w:p w14:paraId="6E88EBC2" w14:textId="77777777" w:rsidR="006F35B7" w:rsidRPr="00FD195D" w:rsidRDefault="006F35B7" w:rsidP="001402B7">
            <w:pPr>
              <w:spacing w:after="0" w:line="240" w:lineRule="auto"/>
              <w:rPr>
                <w:rFonts w:ascii="Futura Std Condensed Light" w:eastAsia="Calibri" w:hAnsi="Futura Std Condensed Light" w:cs="Calibri"/>
                <w:sz w:val="18"/>
                <w:szCs w:val="18"/>
              </w:rPr>
            </w:pPr>
            <w:r w:rsidRPr="00FD195D">
              <w:rPr>
                <w:rFonts w:ascii="Futura Std Condensed Light" w:eastAsia="Calibri" w:hAnsi="Futura Std Condensed Light" w:cs="Calibri"/>
                <w:sz w:val="18"/>
                <w:szCs w:val="18"/>
              </w:rPr>
              <w:t>Indica el porcentaje de la población de 15 años y más que no ha concluido su educación básica, respecto a la población total de 15 años y más.</w:t>
            </w:r>
          </w:p>
        </w:tc>
      </w:tr>
      <w:tr w:rsidR="006F35B7" w:rsidRPr="00FD195D" w14:paraId="57ED58E7" w14:textId="77777777" w:rsidTr="001402B7">
        <w:trPr>
          <w:trHeight w:val="283"/>
        </w:trPr>
        <w:tc>
          <w:tcPr>
            <w:tcW w:w="906" w:type="pct"/>
            <w:hideMark/>
          </w:tcPr>
          <w:p w14:paraId="67BCC457" w14:textId="77777777" w:rsidR="006F35B7" w:rsidRPr="00FD195D" w:rsidRDefault="006F35B7" w:rsidP="001402B7">
            <w:pPr>
              <w:spacing w:after="0" w:line="240" w:lineRule="auto"/>
              <w:rPr>
                <w:rFonts w:ascii="Futura Std Condensed Light" w:eastAsia="Calibri" w:hAnsi="Futura Std Condensed Light" w:cs="Calibri"/>
                <w:sz w:val="18"/>
                <w:szCs w:val="18"/>
              </w:rPr>
            </w:pPr>
            <w:r w:rsidRPr="00FD195D">
              <w:rPr>
                <w:rFonts w:ascii="Futura Std Condensed Light" w:eastAsia="Calibri" w:hAnsi="Futura Std Condensed Light" w:cs="Calibri"/>
                <w:sz w:val="18"/>
                <w:szCs w:val="18"/>
              </w:rPr>
              <w:t>Método de cálculo:</w:t>
            </w:r>
          </w:p>
        </w:tc>
        <w:tc>
          <w:tcPr>
            <w:tcW w:w="4094" w:type="pct"/>
          </w:tcPr>
          <w:p w14:paraId="4FC51CC4" w14:textId="77777777" w:rsidR="006F35B7" w:rsidRPr="00FD195D" w:rsidRDefault="006F35B7" w:rsidP="001402B7">
            <w:pPr>
              <w:spacing w:after="0" w:line="240" w:lineRule="auto"/>
              <w:rPr>
                <w:rFonts w:ascii="Futura Std Condensed Light" w:eastAsia="Calibri" w:hAnsi="Futura Std Condensed Light" w:cs="Calibri"/>
                <w:sz w:val="18"/>
                <w:szCs w:val="18"/>
              </w:rPr>
            </w:pPr>
            <w:r w:rsidRPr="00FD195D">
              <w:rPr>
                <w:rFonts w:ascii="Futura Std Condensed Light" w:eastAsia="Calibri" w:hAnsi="Futura Std Condensed Light" w:cs="Calibri"/>
                <w:sz w:val="18"/>
                <w:szCs w:val="18"/>
              </w:rPr>
              <w:t>(Población analfabeta de 15 años y más en el año t + Población de 15 años y más sin primaria terminada en el año t + Población de 15 años y más sin secundaria terminada en el año t) / Población total de 15 años y más en el año t</w:t>
            </w:r>
          </w:p>
        </w:tc>
      </w:tr>
      <w:tr w:rsidR="006F35B7" w:rsidRPr="00FD195D" w14:paraId="3A870BF8" w14:textId="77777777" w:rsidTr="001402B7">
        <w:trPr>
          <w:trHeight w:val="283"/>
        </w:trPr>
        <w:tc>
          <w:tcPr>
            <w:tcW w:w="906" w:type="pct"/>
            <w:hideMark/>
          </w:tcPr>
          <w:p w14:paraId="47787D9E" w14:textId="77777777" w:rsidR="006F35B7" w:rsidRPr="00FD195D" w:rsidRDefault="006F35B7" w:rsidP="001402B7">
            <w:pPr>
              <w:spacing w:after="0" w:line="240" w:lineRule="auto"/>
              <w:rPr>
                <w:rFonts w:ascii="Futura Std Condensed Light" w:eastAsia="Calibri" w:hAnsi="Futura Std Condensed Light" w:cs="Calibri"/>
                <w:sz w:val="18"/>
                <w:szCs w:val="18"/>
              </w:rPr>
            </w:pPr>
            <w:r w:rsidRPr="00FD195D">
              <w:rPr>
                <w:rFonts w:ascii="Futura Std Condensed Light" w:eastAsia="Calibri" w:hAnsi="Futura Std Condensed Light" w:cs="Calibri"/>
                <w:sz w:val="18"/>
                <w:szCs w:val="18"/>
              </w:rPr>
              <w:t>Periodicidad:</w:t>
            </w:r>
          </w:p>
        </w:tc>
        <w:tc>
          <w:tcPr>
            <w:tcW w:w="4094" w:type="pct"/>
          </w:tcPr>
          <w:p w14:paraId="7477FF38" w14:textId="77777777" w:rsidR="006F35B7" w:rsidRPr="00FD195D" w:rsidRDefault="006F35B7" w:rsidP="001402B7">
            <w:pPr>
              <w:spacing w:after="0" w:line="240" w:lineRule="auto"/>
              <w:rPr>
                <w:rFonts w:ascii="Futura Std Condensed Light" w:eastAsia="Calibri" w:hAnsi="Futura Std Condensed Light" w:cs="Calibri"/>
                <w:sz w:val="18"/>
                <w:szCs w:val="18"/>
              </w:rPr>
            </w:pPr>
            <w:r w:rsidRPr="00FD195D">
              <w:rPr>
                <w:rFonts w:ascii="Futura Std Condensed Light" w:eastAsia="Calibri" w:hAnsi="Futura Std Condensed Light" w:cs="Calibri"/>
                <w:sz w:val="18"/>
                <w:szCs w:val="18"/>
              </w:rPr>
              <w:t>Cada cinco años</w:t>
            </w:r>
          </w:p>
        </w:tc>
      </w:tr>
      <w:tr w:rsidR="006F35B7" w:rsidRPr="00FD195D" w14:paraId="603D1114" w14:textId="77777777" w:rsidTr="001402B7">
        <w:trPr>
          <w:trHeight w:val="283"/>
        </w:trPr>
        <w:tc>
          <w:tcPr>
            <w:tcW w:w="906" w:type="pct"/>
            <w:hideMark/>
          </w:tcPr>
          <w:p w14:paraId="69E2F00C" w14:textId="77777777" w:rsidR="006F35B7" w:rsidRPr="00FD195D" w:rsidRDefault="006F35B7" w:rsidP="001402B7">
            <w:pPr>
              <w:spacing w:after="0" w:line="240" w:lineRule="auto"/>
              <w:rPr>
                <w:rFonts w:ascii="Futura Std Condensed Light" w:eastAsia="Calibri" w:hAnsi="Futura Std Condensed Light" w:cs="Calibri"/>
                <w:sz w:val="18"/>
                <w:szCs w:val="18"/>
              </w:rPr>
            </w:pPr>
            <w:r w:rsidRPr="00FD195D">
              <w:rPr>
                <w:rFonts w:ascii="Futura Std Condensed Light" w:eastAsia="Calibri" w:hAnsi="Futura Std Condensed Light" w:cs="Calibri"/>
                <w:sz w:val="18"/>
                <w:szCs w:val="18"/>
              </w:rPr>
              <w:t>Fuente:</w:t>
            </w:r>
          </w:p>
        </w:tc>
        <w:tc>
          <w:tcPr>
            <w:tcW w:w="4094" w:type="pct"/>
          </w:tcPr>
          <w:p w14:paraId="421FFD16" w14:textId="77777777" w:rsidR="006F35B7" w:rsidRPr="00FD195D" w:rsidRDefault="006F35B7" w:rsidP="001402B7">
            <w:pPr>
              <w:spacing w:after="0" w:line="240" w:lineRule="auto"/>
              <w:rPr>
                <w:rFonts w:ascii="Futura Std Condensed Light" w:eastAsia="Calibri" w:hAnsi="Futura Std Condensed Light" w:cs="Calibri"/>
                <w:sz w:val="18"/>
                <w:szCs w:val="18"/>
              </w:rPr>
            </w:pPr>
            <w:r w:rsidRPr="00FD195D">
              <w:rPr>
                <w:rFonts w:ascii="Futura Std Condensed Light" w:eastAsia="Calibri" w:hAnsi="Futura Std Condensed Light" w:cs="Calibri"/>
                <w:sz w:val="18"/>
                <w:szCs w:val="18"/>
              </w:rPr>
              <w:t>Subdirección de Información y Estadística del Instituto Nacional para la Educación de los Adultos, INEA.</w:t>
            </w:r>
          </w:p>
        </w:tc>
      </w:tr>
      <w:tr w:rsidR="006F35B7" w:rsidRPr="00FD195D" w14:paraId="037553D9" w14:textId="77777777" w:rsidTr="001402B7">
        <w:trPr>
          <w:trHeight w:val="283"/>
        </w:trPr>
        <w:tc>
          <w:tcPr>
            <w:tcW w:w="906" w:type="pct"/>
            <w:hideMark/>
          </w:tcPr>
          <w:p w14:paraId="21C50F2C" w14:textId="77777777" w:rsidR="006F35B7" w:rsidRPr="00FD195D" w:rsidRDefault="006F35B7" w:rsidP="001402B7">
            <w:pPr>
              <w:spacing w:after="0" w:line="240" w:lineRule="auto"/>
              <w:rPr>
                <w:rFonts w:ascii="Futura Std Condensed Light" w:eastAsia="Calibri" w:hAnsi="Futura Std Condensed Light" w:cs="Calibri"/>
                <w:sz w:val="18"/>
                <w:szCs w:val="18"/>
              </w:rPr>
            </w:pPr>
            <w:r w:rsidRPr="00FD195D">
              <w:rPr>
                <w:rFonts w:ascii="Futura Std Condensed Light" w:eastAsia="Calibri" w:hAnsi="Futura Std Condensed Light" w:cs="Calibri"/>
                <w:sz w:val="18"/>
                <w:szCs w:val="18"/>
              </w:rPr>
              <w:t>Dimensión:</w:t>
            </w:r>
          </w:p>
        </w:tc>
        <w:tc>
          <w:tcPr>
            <w:tcW w:w="4094" w:type="pct"/>
            <w:hideMark/>
          </w:tcPr>
          <w:p w14:paraId="1FE3DBD6" w14:textId="77777777" w:rsidR="006F35B7" w:rsidRPr="00FD195D" w:rsidRDefault="006F35B7" w:rsidP="001402B7">
            <w:pPr>
              <w:spacing w:after="0" w:line="240" w:lineRule="auto"/>
              <w:rPr>
                <w:rFonts w:ascii="Futura Std Condensed Light" w:eastAsia="Calibri" w:hAnsi="Futura Std Condensed Light" w:cs="Calibri"/>
                <w:sz w:val="18"/>
                <w:szCs w:val="18"/>
              </w:rPr>
            </w:pPr>
            <w:r w:rsidRPr="00FD195D">
              <w:rPr>
                <w:rFonts w:ascii="Futura Std Condensed Light" w:eastAsia="Calibri" w:hAnsi="Futura Std Condensed Light" w:cs="Calibri"/>
                <w:sz w:val="18"/>
                <w:szCs w:val="18"/>
              </w:rPr>
              <w:t>Eficacia</w:t>
            </w:r>
          </w:p>
        </w:tc>
      </w:tr>
      <w:tr w:rsidR="006F35B7" w:rsidRPr="00FD195D" w14:paraId="0AEE0FAF" w14:textId="77777777" w:rsidTr="001402B7">
        <w:trPr>
          <w:trHeight w:val="283"/>
        </w:trPr>
        <w:tc>
          <w:tcPr>
            <w:tcW w:w="906" w:type="pct"/>
            <w:hideMark/>
          </w:tcPr>
          <w:p w14:paraId="471E5AAA" w14:textId="77777777" w:rsidR="006F35B7" w:rsidRPr="00FD195D" w:rsidRDefault="006F35B7" w:rsidP="001402B7">
            <w:pPr>
              <w:spacing w:after="0" w:line="240" w:lineRule="auto"/>
              <w:rPr>
                <w:rFonts w:ascii="Futura Std Condensed Light" w:eastAsia="Calibri" w:hAnsi="Futura Std Condensed Light" w:cs="Calibri"/>
                <w:sz w:val="18"/>
                <w:szCs w:val="18"/>
              </w:rPr>
            </w:pPr>
            <w:r w:rsidRPr="00FD195D">
              <w:rPr>
                <w:rFonts w:ascii="Futura Std Condensed Light" w:eastAsia="Calibri" w:hAnsi="Futura Std Condensed Light" w:cs="Calibri"/>
                <w:sz w:val="18"/>
                <w:szCs w:val="18"/>
              </w:rPr>
              <w:t>Referencias adicionales:</w:t>
            </w:r>
          </w:p>
        </w:tc>
        <w:tc>
          <w:tcPr>
            <w:tcW w:w="4094" w:type="pct"/>
            <w:hideMark/>
          </w:tcPr>
          <w:p w14:paraId="7288F363" w14:textId="77777777" w:rsidR="006F35B7" w:rsidRPr="00FD195D" w:rsidRDefault="006F35B7" w:rsidP="001402B7">
            <w:pPr>
              <w:spacing w:after="0" w:line="240" w:lineRule="auto"/>
              <w:rPr>
                <w:rFonts w:ascii="Futura Std Condensed Light" w:eastAsia="Calibri" w:hAnsi="Futura Std Condensed Light" w:cs="Calibri"/>
                <w:sz w:val="18"/>
                <w:szCs w:val="18"/>
              </w:rPr>
            </w:pPr>
          </w:p>
        </w:tc>
      </w:tr>
    </w:tbl>
    <w:p w14:paraId="46E79E30" w14:textId="161C8257" w:rsidR="006F35B7" w:rsidRDefault="006F35B7" w:rsidP="006F35B7">
      <w:pPr>
        <w:spacing w:after="0" w:line="240" w:lineRule="auto"/>
        <w:jc w:val="left"/>
        <w:rPr>
          <w:b/>
        </w:rPr>
      </w:pPr>
    </w:p>
    <w:p w14:paraId="130AF9FF" w14:textId="77777777" w:rsidR="002B38A6" w:rsidRDefault="002B38A6" w:rsidP="006F35B7">
      <w:pPr>
        <w:spacing w:after="0" w:line="240" w:lineRule="auto"/>
        <w:jc w:val="left"/>
        <w:rPr>
          <w:b/>
        </w:rPr>
      </w:pPr>
    </w:p>
    <w:p w14:paraId="61625A53" w14:textId="77777777" w:rsidR="002B38A6" w:rsidRDefault="002B38A6">
      <w:pPr>
        <w:spacing w:after="0" w:line="240" w:lineRule="auto"/>
        <w:jc w:val="left"/>
        <w:rPr>
          <w:b/>
        </w:rPr>
      </w:pPr>
      <w:r>
        <w:rPr>
          <w:b/>
        </w:rPr>
        <w:br w:type="page"/>
      </w:r>
    </w:p>
    <w:p w14:paraId="3EAC6AD5" w14:textId="27256A0E" w:rsidR="006F35B7" w:rsidRDefault="006F35B7" w:rsidP="006F35B7">
      <w:pPr>
        <w:spacing w:after="0" w:line="240" w:lineRule="auto"/>
        <w:jc w:val="left"/>
      </w:pPr>
      <w:r w:rsidRPr="007937F8">
        <w:rPr>
          <w:b/>
        </w:rPr>
        <w:lastRenderedPageBreak/>
        <w:t>Estrateg</w:t>
      </w:r>
      <w:r w:rsidR="00B02664">
        <w:rPr>
          <w:b/>
        </w:rPr>
        <w:t>ia 8</w:t>
      </w:r>
      <w:r w:rsidRPr="007937F8">
        <w:rPr>
          <w:b/>
        </w:rPr>
        <w:t>.</w:t>
      </w:r>
      <w:r w:rsidRPr="00846474">
        <w:t xml:space="preserve"> Ampliar la cobertura de atención de jóvenes, adultos y adultos mayores en condiciones de rezago educativo con un enfoque inclusivo. </w:t>
      </w:r>
    </w:p>
    <w:p w14:paraId="778B4D95" w14:textId="77777777" w:rsidR="006F35B7" w:rsidRPr="00B93C9D" w:rsidRDefault="006F35B7" w:rsidP="006F35B7">
      <w:pPr>
        <w:spacing w:after="0" w:line="240" w:lineRule="auto"/>
        <w:jc w:val="left"/>
        <w:rPr>
          <w:b/>
        </w:rPr>
      </w:pPr>
    </w:p>
    <w:tbl>
      <w:tblPr>
        <w:tblStyle w:val="TablaSectorial"/>
        <w:tblW w:w="4815" w:type="pct"/>
        <w:tblLook w:val="0420" w:firstRow="1" w:lastRow="0" w:firstColumn="0" w:lastColumn="0" w:noHBand="0" w:noVBand="1"/>
      </w:tblPr>
      <w:tblGrid>
        <w:gridCol w:w="1664"/>
        <w:gridCol w:w="7520"/>
      </w:tblGrid>
      <w:tr w:rsidR="006F35B7" w:rsidRPr="00FD195D" w14:paraId="670AE0CC" w14:textId="77777777" w:rsidTr="001402B7">
        <w:trPr>
          <w:cnfStyle w:val="100000000000" w:firstRow="1" w:lastRow="0" w:firstColumn="0" w:lastColumn="0" w:oddVBand="0" w:evenVBand="0" w:oddHBand="0" w:evenHBand="0" w:firstRowFirstColumn="0" w:firstRowLastColumn="0" w:lastRowFirstColumn="0" w:lastRowLastColumn="0"/>
          <w:trHeight w:val="283"/>
        </w:trPr>
        <w:tc>
          <w:tcPr>
            <w:tcW w:w="906" w:type="pct"/>
            <w:hideMark/>
          </w:tcPr>
          <w:p w14:paraId="362C5606" w14:textId="77777777" w:rsidR="006F35B7" w:rsidRPr="00FD195D" w:rsidRDefault="006F35B7" w:rsidP="001402B7">
            <w:pPr>
              <w:spacing w:after="0" w:line="240" w:lineRule="auto"/>
              <w:rPr>
                <w:rFonts w:ascii="Futura Std Condensed Light" w:eastAsia="Calibri" w:hAnsi="Futura Std Condensed Light" w:cs="Calibri"/>
                <w:b/>
                <w:sz w:val="18"/>
                <w:szCs w:val="18"/>
              </w:rPr>
            </w:pPr>
            <w:r w:rsidRPr="00FD195D">
              <w:rPr>
                <w:rFonts w:ascii="Futura Std Condensed Light" w:eastAsia="Calibri" w:hAnsi="Futura Std Condensed Light" w:cs="Calibri"/>
                <w:b/>
                <w:sz w:val="18"/>
                <w:szCs w:val="18"/>
              </w:rPr>
              <w:t>Elemento</w:t>
            </w:r>
          </w:p>
        </w:tc>
        <w:tc>
          <w:tcPr>
            <w:tcW w:w="4094" w:type="pct"/>
            <w:hideMark/>
          </w:tcPr>
          <w:p w14:paraId="5DECF89F" w14:textId="77777777" w:rsidR="006F35B7" w:rsidRPr="00FD195D" w:rsidRDefault="006F35B7" w:rsidP="001402B7">
            <w:pPr>
              <w:spacing w:after="0" w:line="240" w:lineRule="auto"/>
              <w:rPr>
                <w:rFonts w:ascii="Futura Std Condensed Light" w:eastAsia="Calibri" w:hAnsi="Futura Std Condensed Light" w:cs="Calibri"/>
                <w:b/>
                <w:sz w:val="18"/>
                <w:szCs w:val="18"/>
              </w:rPr>
            </w:pPr>
            <w:r w:rsidRPr="00FD195D">
              <w:rPr>
                <w:rFonts w:ascii="Futura Std Condensed Light" w:eastAsia="Calibri" w:hAnsi="Futura Std Condensed Light" w:cs="Calibri"/>
                <w:b/>
                <w:sz w:val="18"/>
                <w:szCs w:val="18"/>
              </w:rPr>
              <w:t>Características</w:t>
            </w:r>
          </w:p>
        </w:tc>
      </w:tr>
      <w:tr w:rsidR="006F35B7" w:rsidRPr="00FD195D" w14:paraId="06E72137" w14:textId="77777777" w:rsidTr="001402B7">
        <w:trPr>
          <w:trHeight w:val="283"/>
        </w:trPr>
        <w:tc>
          <w:tcPr>
            <w:tcW w:w="906" w:type="pct"/>
            <w:hideMark/>
          </w:tcPr>
          <w:p w14:paraId="275EE7AC" w14:textId="77777777" w:rsidR="006F35B7" w:rsidRPr="00FD195D" w:rsidRDefault="006F35B7" w:rsidP="001402B7">
            <w:pPr>
              <w:spacing w:after="0" w:line="240" w:lineRule="auto"/>
              <w:rPr>
                <w:rFonts w:ascii="Futura Std Condensed Light" w:eastAsia="Calibri" w:hAnsi="Futura Std Condensed Light" w:cs="Calibri"/>
                <w:sz w:val="18"/>
                <w:szCs w:val="18"/>
              </w:rPr>
            </w:pPr>
            <w:r w:rsidRPr="00FD195D">
              <w:rPr>
                <w:rFonts w:ascii="Futura Std Condensed Light" w:eastAsia="Calibri" w:hAnsi="Futura Std Condensed Light" w:cs="Calibri"/>
                <w:sz w:val="18"/>
                <w:szCs w:val="18"/>
              </w:rPr>
              <w:t>Indicador:</w:t>
            </w:r>
          </w:p>
        </w:tc>
        <w:tc>
          <w:tcPr>
            <w:tcW w:w="4094" w:type="pct"/>
          </w:tcPr>
          <w:p w14:paraId="7EEA8B18" w14:textId="77777777" w:rsidR="006F35B7" w:rsidRPr="00FD195D" w:rsidRDefault="006F35B7" w:rsidP="001402B7">
            <w:pPr>
              <w:spacing w:after="0" w:line="240" w:lineRule="auto"/>
              <w:rPr>
                <w:rFonts w:ascii="Futura Std Condensed Light" w:eastAsia="Calibri" w:hAnsi="Futura Std Condensed Light" w:cs="Calibri"/>
                <w:sz w:val="18"/>
                <w:szCs w:val="18"/>
              </w:rPr>
            </w:pPr>
            <w:r w:rsidRPr="00FD195D">
              <w:rPr>
                <w:rFonts w:ascii="Futura Std Condensed Light" w:eastAsia="Calibri" w:hAnsi="Futura Std Condensed Light" w:cs="Calibri"/>
                <w:sz w:val="18"/>
                <w:szCs w:val="18"/>
              </w:rPr>
              <w:t>Tasa de atención del rezago educativo de la población de 15 años o más</w:t>
            </w:r>
          </w:p>
        </w:tc>
      </w:tr>
      <w:tr w:rsidR="006F35B7" w:rsidRPr="00FD195D" w14:paraId="52225664" w14:textId="77777777" w:rsidTr="001402B7">
        <w:trPr>
          <w:trHeight w:val="283"/>
        </w:trPr>
        <w:tc>
          <w:tcPr>
            <w:tcW w:w="906" w:type="pct"/>
          </w:tcPr>
          <w:p w14:paraId="6BF1FA71" w14:textId="3C91E396" w:rsidR="006F35B7" w:rsidRPr="00FD195D" w:rsidRDefault="006F35B7" w:rsidP="001402B7">
            <w:pPr>
              <w:spacing w:after="0" w:line="240" w:lineRule="auto"/>
              <w:rPr>
                <w:rFonts w:ascii="Futura Std Condensed Light" w:eastAsia="Calibri" w:hAnsi="Futura Std Condensed Light" w:cs="Calibri"/>
                <w:sz w:val="18"/>
                <w:szCs w:val="18"/>
              </w:rPr>
            </w:pPr>
            <w:r w:rsidRPr="00FD195D">
              <w:rPr>
                <w:rFonts w:ascii="Futura Std Condensed Light" w:eastAsia="Calibri" w:hAnsi="Futura Std Condensed Light" w:cs="Calibri"/>
                <w:sz w:val="18"/>
                <w:szCs w:val="18"/>
              </w:rPr>
              <w:t>Estrate</w:t>
            </w:r>
            <w:r w:rsidR="00B02664">
              <w:rPr>
                <w:rFonts w:ascii="Futura Std Condensed Light" w:eastAsia="Calibri" w:hAnsi="Futura Std Condensed Light" w:cs="Calibri"/>
                <w:sz w:val="18"/>
                <w:szCs w:val="18"/>
              </w:rPr>
              <w:t>gia 8</w:t>
            </w:r>
            <w:r w:rsidRPr="00FD195D">
              <w:rPr>
                <w:rFonts w:ascii="Futura Std Condensed Light" w:eastAsia="Calibri" w:hAnsi="Futura Std Condensed Light" w:cs="Calibri"/>
                <w:sz w:val="18"/>
                <w:szCs w:val="18"/>
              </w:rPr>
              <w:t>:</w:t>
            </w:r>
          </w:p>
        </w:tc>
        <w:tc>
          <w:tcPr>
            <w:tcW w:w="4094" w:type="pct"/>
          </w:tcPr>
          <w:p w14:paraId="3D21BB7C" w14:textId="77777777" w:rsidR="006F35B7" w:rsidRPr="00FD195D" w:rsidRDefault="006F35B7" w:rsidP="001402B7">
            <w:pPr>
              <w:spacing w:after="0" w:line="240" w:lineRule="auto"/>
              <w:rPr>
                <w:rFonts w:ascii="Futura Std Condensed Light" w:eastAsia="Calibri" w:hAnsi="Futura Std Condensed Light" w:cs="Calibri"/>
                <w:sz w:val="18"/>
                <w:szCs w:val="18"/>
              </w:rPr>
            </w:pPr>
            <w:r w:rsidRPr="00FD195D">
              <w:rPr>
                <w:rFonts w:ascii="Futura Std Condensed Light" w:eastAsia="Calibri" w:hAnsi="Futura Std Condensed Light" w:cs="Calibri"/>
                <w:sz w:val="18"/>
                <w:szCs w:val="18"/>
              </w:rPr>
              <w:t>Ampliar la cobertura de atención de jóvenes, adultos, adultos mayores en condiciones de rezago educativo con un enfoque inclusivo.</w:t>
            </w:r>
          </w:p>
        </w:tc>
      </w:tr>
      <w:tr w:rsidR="006F35B7" w:rsidRPr="00FD195D" w14:paraId="067C14C3" w14:textId="77777777" w:rsidTr="001402B7">
        <w:trPr>
          <w:trHeight w:val="283"/>
        </w:trPr>
        <w:tc>
          <w:tcPr>
            <w:tcW w:w="906" w:type="pct"/>
            <w:hideMark/>
          </w:tcPr>
          <w:p w14:paraId="0A592C13" w14:textId="77777777" w:rsidR="006F35B7" w:rsidRPr="00FD195D" w:rsidRDefault="006F35B7" w:rsidP="001402B7">
            <w:pPr>
              <w:spacing w:after="0" w:line="240" w:lineRule="auto"/>
              <w:rPr>
                <w:rFonts w:ascii="Futura Std Condensed Light" w:eastAsia="Calibri" w:hAnsi="Futura Std Condensed Light" w:cs="Calibri"/>
                <w:sz w:val="18"/>
                <w:szCs w:val="18"/>
              </w:rPr>
            </w:pPr>
            <w:r w:rsidRPr="00FD195D">
              <w:rPr>
                <w:rFonts w:ascii="Futura Std Condensed Light" w:eastAsia="Calibri" w:hAnsi="Futura Std Condensed Light" w:cs="Calibri"/>
                <w:sz w:val="18"/>
                <w:szCs w:val="18"/>
              </w:rPr>
              <w:t>Descripción:</w:t>
            </w:r>
          </w:p>
        </w:tc>
        <w:tc>
          <w:tcPr>
            <w:tcW w:w="4094" w:type="pct"/>
          </w:tcPr>
          <w:p w14:paraId="19FC7E0A" w14:textId="77777777" w:rsidR="006F35B7" w:rsidRPr="00FD195D" w:rsidRDefault="006F35B7" w:rsidP="001402B7">
            <w:pPr>
              <w:spacing w:after="0" w:line="240" w:lineRule="auto"/>
              <w:rPr>
                <w:rFonts w:ascii="Futura Std Condensed Light" w:eastAsia="Calibri" w:hAnsi="Futura Std Condensed Light" w:cs="Calibri"/>
                <w:sz w:val="18"/>
                <w:szCs w:val="18"/>
              </w:rPr>
            </w:pPr>
            <w:r w:rsidRPr="00FD195D">
              <w:rPr>
                <w:rFonts w:ascii="Futura Std Condensed Light" w:eastAsia="Calibri" w:hAnsi="Futura Std Condensed Light" w:cs="Calibri"/>
                <w:sz w:val="18"/>
                <w:szCs w:val="18"/>
              </w:rPr>
              <w:t>Este Indicador refleja el porcentaje de la población de 15 años y más en rezago educativo, que está siendo atendida para concluir su educación básica, respecto al total de la población de 15 años y más en rezago educativo.</w:t>
            </w:r>
          </w:p>
        </w:tc>
      </w:tr>
      <w:tr w:rsidR="006F35B7" w:rsidRPr="00FD195D" w14:paraId="344A93F8" w14:textId="77777777" w:rsidTr="001402B7">
        <w:trPr>
          <w:trHeight w:val="283"/>
        </w:trPr>
        <w:tc>
          <w:tcPr>
            <w:tcW w:w="906" w:type="pct"/>
            <w:hideMark/>
          </w:tcPr>
          <w:p w14:paraId="6135291F" w14:textId="77777777" w:rsidR="006F35B7" w:rsidRPr="00FD195D" w:rsidRDefault="006F35B7" w:rsidP="001402B7">
            <w:pPr>
              <w:spacing w:after="0" w:line="240" w:lineRule="auto"/>
              <w:rPr>
                <w:rFonts w:ascii="Futura Std Condensed Light" w:eastAsia="Calibri" w:hAnsi="Futura Std Condensed Light" w:cs="Calibri"/>
                <w:sz w:val="18"/>
                <w:szCs w:val="18"/>
              </w:rPr>
            </w:pPr>
            <w:r w:rsidRPr="00FD195D">
              <w:rPr>
                <w:rFonts w:ascii="Futura Std Condensed Light" w:eastAsia="Calibri" w:hAnsi="Futura Std Condensed Light" w:cs="Calibri"/>
                <w:sz w:val="18"/>
                <w:szCs w:val="18"/>
              </w:rPr>
              <w:t>Método de cálculo:</w:t>
            </w:r>
          </w:p>
        </w:tc>
        <w:tc>
          <w:tcPr>
            <w:tcW w:w="4094" w:type="pct"/>
          </w:tcPr>
          <w:p w14:paraId="4F777183" w14:textId="77777777" w:rsidR="006F35B7" w:rsidRPr="00FD195D" w:rsidRDefault="006F35B7" w:rsidP="001402B7">
            <w:pPr>
              <w:spacing w:after="0" w:line="240" w:lineRule="auto"/>
              <w:rPr>
                <w:rFonts w:ascii="Futura Std Condensed Light" w:eastAsia="Calibri" w:hAnsi="Futura Std Condensed Light" w:cs="Calibri"/>
                <w:sz w:val="18"/>
                <w:szCs w:val="18"/>
              </w:rPr>
            </w:pPr>
            <w:r w:rsidRPr="00FD195D">
              <w:rPr>
                <w:rFonts w:ascii="Futura Std Condensed Light" w:eastAsia="Calibri" w:hAnsi="Futura Std Condensed Light" w:cs="Calibri"/>
                <w:sz w:val="18"/>
                <w:szCs w:val="18"/>
              </w:rPr>
              <w:t>(Población de 15 años y más en rezago educativo atendida en el año t / Población de 15 años y más con rezago educativo en el año t) X 100</w:t>
            </w:r>
          </w:p>
        </w:tc>
      </w:tr>
      <w:tr w:rsidR="006F35B7" w:rsidRPr="00FD195D" w14:paraId="2CCA14FA" w14:textId="77777777" w:rsidTr="001402B7">
        <w:trPr>
          <w:trHeight w:val="283"/>
        </w:trPr>
        <w:tc>
          <w:tcPr>
            <w:tcW w:w="906" w:type="pct"/>
            <w:hideMark/>
          </w:tcPr>
          <w:p w14:paraId="2C1B61B8" w14:textId="77777777" w:rsidR="006F35B7" w:rsidRPr="00FD195D" w:rsidRDefault="006F35B7" w:rsidP="001402B7">
            <w:pPr>
              <w:spacing w:after="0" w:line="240" w:lineRule="auto"/>
              <w:rPr>
                <w:rFonts w:ascii="Futura Std Condensed Light" w:eastAsia="Calibri" w:hAnsi="Futura Std Condensed Light" w:cs="Calibri"/>
                <w:sz w:val="18"/>
                <w:szCs w:val="18"/>
              </w:rPr>
            </w:pPr>
            <w:r w:rsidRPr="00FD195D">
              <w:rPr>
                <w:rFonts w:ascii="Futura Std Condensed Light" w:eastAsia="Calibri" w:hAnsi="Futura Std Condensed Light" w:cs="Calibri"/>
                <w:sz w:val="18"/>
                <w:szCs w:val="18"/>
              </w:rPr>
              <w:t>Periodicidad:</w:t>
            </w:r>
          </w:p>
        </w:tc>
        <w:tc>
          <w:tcPr>
            <w:tcW w:w="4094" w:type="pct"/>
          </w:tcPr>
          <w:p w14:paraId="31809468" w14:textId="77777777" w:rsidR="006F35B7" w:rsidRPr="00FD195D" w:rsidRDefault="006F35B7" w:rsidP="001402B7">
            <w:pPr>
              <w:spacing w:after="0" w:line="240" w:lineRule="auto"/>
              <w:rPr>
                <w:rFonts w:ascii="Futura Std Condensed Light" w:eastAsia="Calibri" w:hAnsi="Futura Std Condensed Light" w:cs="Calibri"/>
                <w:sz w:val="18"/>
                <w:szCs w:val="18"/>
              </w:rPr>
            </w:pPr>
            <w:r w:rsidRPr="00FD195D">
              <w:rPr>
                <w:rFonts w:ascii="Futura Std Condensed Light" w:eastAsia="Calibri" w:hAnsi="Futura Std Condensed Light" w:cs="Calibri"/>
                <w:sz w:val="18"/>
                <w:szCs w:val="18"/>
              </w:rPr>
              <w:t>Anual</w:t>
            </w:r>
          </w:p>
        </w:tc>
      </w:tr>
      <w:tr w:rsidR="006F35B7" w:rsidRPr="00FD195D" w14:paraId="699552C6" w14:textId="77777777" w:rsidTr="001402B7">
        <w:trPr>
          <w:trHeight w:val="283"/>
        </w:trPr>
        <w:tc>
          <w:tcPr>
            <w:tcW w:w="906" w:type="pct"/>
            <w:hideMark/>
          </w:tcPr>
          <w:p w14:paraId="5F938154" w14:textId="77777777" w:rsidR="006F35B7" w:rsidRPr="00FD195D" w:rsidRDefault="006F35B7" w:rsidP="001402B7">
            <w:pPr>
              <w:spacing w:after="0" w:line="240" w:lineRule="auto"/>
              <w:rPr>
                <w:rFonts w:ascii="Futura Std Condensed Light" w:eastAsia="Calibri" w:hAnsi="Futura Std Condensed Light" w:cs="Calibri"/>
                <w:sz w:val="18"/>
                <w:szCs w:val="18"/>
              </w:rPr>
            </w:pPr>
            <w:r w:rsidRPr="00FD195D">
              <w:rPr>
                <w:rFonts w:ascii="Futura Std Condensed Light" w:eastAsia="Calibri" w:hAnsi="Futura Std Condensed Light" w:cs="Calibri"/>
                <w:sz w:val="18"/>
                <w:szCs w:val="18"/>
              </w:rPr>
              <w:t>Fuente:</w:t>
            </w:r>
          </w:p>
        </w:tc>
        <w:tc>
          <w:tcPr>
            <w:tcW w:w="4094" w:type="pct"/>
          </w:tcPr>
          <w:p w14:paraId="38D54A6F" w14:textId="77777777" w:rsidR="006F35B7" w:rsidRPr="00FD195D" w:rsidRDefault="006F35B7" w:rsidP="001402B7">
            <w:pPr>
              <w:spacing w:after="0" w:line="240" w:lineRule="auto"/>
              <w:rPr>
                <w:rFonts w:ascii="Futura Std Condensed Light" w:eastAsia="Calibri" w:hAnsi="Futura Std Condensed Light" w:cs="Calibri"/>
                <w:sz w:val="18"/>
                <w:szCs w:val="18"/>
              </w:rPr>
            </w:pPr>
            <w:r w:rsidRPr="00FD195D">
              <w:rPr>
                <w:rFonts w:ascii="Futura Std Condensed Light" w:eastAsia="Calibri" w:hAnsi="Futura Std Condensed Light" w:cs="Calibri"/>
                <w:sz w:val="18"/>
                <w:szCs w:val="18"/>
              </w:rPr>
              <w:t xml:space="preserve">Subdirección de Información y Estadística del Instituto Nacional para la Educación de los Adultos, INEA. Instituto Nacional de Estadística y Geografía del INEGI. </w:t>
            </w:r>
          </w:p>
        </w:tc>
      </w:tr>
      <w:tr w:rsidR="006F35B7" w:rsidRPr="00FD195D" w14:paraId="36F7439A" w14:textId="77777777" w:rsidTr="001402B7">
        <w:trPr>
          <w:trHeight w:val="283"/>
        </w:trPr>
        <w:tc>
          <w:tcPr>
            <w:tcW w:w="906" w:type="pct"/>
            <w:hideMark/>
          </w:tcPr>
          <w:p w14:paraId="20955697" w14:textId="77777777" w:rsidR="006F35B7" w:rsidRPr="00FD195D" w:rsidRDefault="006F35B7" w:rsidP="001402B7">
            <w:pPr>
              <w:spacing w:after="0" w:line="240" w:lineRule="auto"/>
              <w:rPr>
                <w:rFonts w:ascii="Futura Std Condensed Light" w:eastAsia="Calibri" w:hAnsi="Futura Std Condensed Light" w:cs="Calibri"/>
                <w:sz w:val="18"/>
                <w:szCs w:val="18"/>
              </w:rPr>
            </w:pPr>
            <w:r w:rsidRPr="00FD195D">
              <w:rPr>
                <w:rFonts w:ascii="Futura Std Condensed Light" w:eastAsia="Calibri" w:hAnsi="Futura Std Condensed Light" w:cs="Calibri"/>
                <w:sz w:val="18"/>
                <w:szCs w:val="18"/>
              </w:rPr>
              <w:t>Dimensión:</w:t>
            </w:r>
          </w:p>
        </w:tc>
        <w:tc>
          <w:tcPr>
            <w:tcW w:w="4094" w:type="pct"/>
            <w:hideMark/>
          </w:tcPr>
          <w:p w14:paraId="1C279E79" w14:textId="77777777" w:rsidR="006F35B7" w:rsidRPr="00FD195D" w:rsidRDefault="006F35B7" w:rsidP="001402B7">
            <w:pPr>
              <w:spacing w:after="0" w:line="240" w:lineRule="auto"/>
              <w:rPr>
                <w:rFonts w:ascii="Futura Std Condensed Light" w:eastAsia="Calibri" w:hAnsi="Futura Std Condensed Light" w:cs="Calibri"/>
                <w:sz w:val="18"/>
                <w:szCs w:val="18"/>
              </w:rPr>
            </w:pPr>
            <w:r w:rsidRPr="00FD195D">
              <w:rPr>
                <w:rFonts w:ascii="Futura Std Condensed Light" w:eastAsia="Calibri" w:hAnsi="Futura Std Condensed Light" w:cs="Calibri"/>
                <w:sz w:val="18"/>
                <w:szCs w:val="18"/>
              </w:rPr>
              <w:t>Eficacia</w:t>
            </w:r>
          </w:p>
        </w:tc>
      </w:tr>
      <w:tr w:rsidR="006F35B7" w:rsidRPr="00FD195D" w14:paraId="276B42DF" w14:textId="77777777" w:rsidTr="001402B7">
        <w:trPr>
          <w:trHeight w:val="283"/>
        </w:trPr>
        <w:tc>
          <w:tcPr>
            <w:tcW w:w="906" w:type="pct"/>
            <w:hideMark/>
          </w:tcPr>
          <w:p w14:paraId="46E934E6" w14:textId="77777777" w:rsidR="006F35B7" w:rsidRPr="00FD195D" w:rsidRDefault="006F35B7" w:rsidP="001402B7">
            <w:pPr>
              <w:spacing w:after="0" w:line="240" w:lineRule="auto"/>
              <w:rPr>
                <w:rFonts w:ascii="Futura Std Condensed Light" w:eastAsia="Calibri" w:hAnsi="Futura Std Condensed Light" w:cs="Calibri"/>
                <w:sz w:val="18"/>
                <w:szCs w:val="18"/>
              </w:rPr>
            </w:pPr>
            <w:r w:rsidRPr="00FD195D">
              <w:rPr>
                <w:rFonts w:ascii="Futura Std Condensed Light" w:eastAsia="Calibri" w:hAnsi="Futura Std Condensed Light" w:cs="Calibri"/>
                <w:sz w:val="18"/>
                <w:szCs w:val="18"/>
              </w:rPr>
              <w:t>Referencias adicionales:</w:t>
            </w:r>
          </w:p>
        </w:tc>
        <w:tc>
          <w:tcPr>
            <w:tcW w:w="4094" w:type="pct"/>
            <w:hideMark/>
          </w:tcPr>
          <w:p w14:paraId="7B9F401B" w14:textId="77777777" w:rsidR="006F35B7" w:rsidRPr="00FD195D" w:rsidRDefault="006F35B7" w:rsidP="001402B7">
            <w:pPr>
              <w:spacing w:after="0" w:line="240" w:lineRule="auto"/>
              <w:rPr>
                <w:rFonts w:ascii="Futura Std Condensed Light" w:eastAsia="Calibri" w:hAnsi="Futura Std Condensed Light" w:cs="Calibri"/>
                <w:sz w:val="18"/>
                <w:szCs w:val="18"/>
              </w:rPr>
            </w:pPr>
            <w:r w:rsidRPr="00FD195D">
              <w:rPr>
                <w:rFonts w:ascii="Futura Std Condensed Light" w:eastAsia="Calibri" w:hAnsi="Futura Std Condensed Light" w:cs="Calibri"/>
                <w:sz w:val="18"/>
                <w:szCs w:val="18"/>
              </w:rPr>
              <w:t xml:space="preserve">El indicador se mide en el 2020, ya que para su estimación se requiere datos censales, estos datos se obtendrán de los tabulados básicos del Censo de Población y Vivienda 2020. INEGI. </w:t>
            </w:r>
          </w:p>
        </w:tc>
      </w:tr>
    </w:tbl>
    <w:p w14:paraId="007E9939" w14:textId="486F98A2" w:rsidR="006F35B7" w:rsidRDefault="006F35B7" w:rsidP="00C11F5C">
      <w:pPr>
        <w:spacing w:after="0" w:line="240" w:lineRule="auto"/>
        <w:rPr>
          <w:rFonts w:ascii="Futura Std Condensed Light" w:eastAsia="Calibri" w:hAnsi="Futura Std Condensed Light" w:cs="Calibri"/>
          <w:sz w:val="18"/>
          <w:szCs w:val="18"/>
        </w:rPr>
      </w:pPr>
    </w:p>
    <w:p w14:paraId="7C3F6606" w14:textId="46F7D6DB" w:rsidR="001906E0" w:rsidRDefault="001906E0" w:rsidP="00C11F5C">
      <w:pPr>
        <w:spacing w:after="0" w:line="240" w:lineRule="auto"/>
        <w:rPr>
          <w:rFonts w:ascii="Futura Std Condensed Light" w:eastAsia="Calibri" w:hAnsi="Futura Std Condensed Light" w:cs="Calibri"/>
          <w:sz w:val="18"/>
          <w:szCs w:val="18"/>
        </w:rPr>
      </w:pPr>
    </w:p>
    <w:p w14:paraId="6EA37CC5" w14:textId="77777777" w:rsidR="002B38A6" w:rsidRDefault="002B38A6">
      <w:pPr>
        <w:spacing w:after="0" w:line="240" w:lineRule="auto"/>
        <w:jc w:val="left"/>
        <w:rPr>
          <w:b/>
        </w:rPr>
      </w:pPr>
      <w:r>
        <w:rPr>
          <w:b/>
        </w:rPr>
        <w:br w:type="page"/>
      </w:r>
    </w:p>
    <w:p w14:paraId="4D05F78F" w14:textId="153007AF" w:rsidR="00741828" w:rsidRDefault="002E57A2" w:rsidP="00741828">
      <w:r>
        <w:rPr>
          <w:b/>
        </w:rPr>
        <w:lastRenderedPageBreak/>
        <w:t>Objetivo 9</w:t>
      </w:r>
      <w:r w:rsidRPr="00741828">
        <w:t xml:space="preserve">. </w:t>
      </w:r>
      <w:r w:rsidR="00741828" w:rsidRPr="00741828">
        <w:t>Impulsar el desarrollo de la investigación científica, tecnológica y de la innovación para el incremento de los niveles de competitividad del Estado</w:t>
      </w:r>
      <w:r w:rsidR="00741828">
        <w:t>.</w:t>
      </w:r>
    </w:p>
    <w:tbl>
      <w:tblPr>
        <w:tblW w:w="48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20" w:firstRow="1" w:lastRow="0" w:firstColumn="0" w:lastColumn="0" w:noHBand="0" w:noVBand="1"/>
      </w:tblPr>
      <w:tblGrid>
        <w:gridCol w:w="1664"/>
        <w:gridCol w:w="7520"/>
      </w:tblGrid>
      <w:tr w:rsidR="00741828" w:rsidRPr="0069403A" w14:paraId="4A0F1643" w14:textId="77777777" w:rsidTr="002F7F83">
        <w:trPr>
          <w:trHeight w:val="283"/>
          <w:jc w:val="center"/>
        </w:trPr>
        <w:tc>
          <w:tcPr>
            <w:tcW w:w="906" w:type="pct"/>
            <w:shd w:val="clear" w:color="auto" w:fill="BFBFBF" w:themeFill="background1" w:themeFillShade="BF"/>
            <w:tcMar>
              <w:top w:w="72" w:type="dxa"/>
              <w:left w:w="144" w:type="dxa"/>
              <w:bottom w:w="72" w:type="dxa"/>
              <w:right w:w="144" w:type="dxa"/>
            </w:tcMar>
            <w:hideMark/>
          </w:tcPr>
          <w:p w14:paraId="5B2777C6" w14:textId="77777777" w:rsidR="00741828" w:rsidRPr="00741828" w:rsidRDefault="00741828" w:rsidP="002F7F83">
            <w:pPr>
              <w:spacing w:after="0" w:line="240" w:lineRule="auto"/>
              <w:rPr>
                <w:rFonts w:ascii="Futura Std Condensed Light" w:eastAsia="Calibri" w:hAnsi="Futura Std Condensed Light" w:cs="Calibri"/>
                <w:sz w:val="18"/>
                <w:szCs w:val="18"/>
              </w:rPr>
            </w:pPr>
            <w:r w:rsidRPr="00741828">
              <w:rPr>
                <w:rFonts w:ascii="Futura Std Condensed Light" w:eastAsia="Calibri" w:hAnsi="Futura Std Condensed Light" w:cs="Calibri"/>
                <w:sz w:val="18"/>
                <w:szCs w:val="18"/>
              </w:rPr>
              <w:t>Elemento</w:t>
            </w:r>
          </w:p>
        </w:tc>
        <w:tc>
          <w:tcPr>
            <w:tcW w:w="4094" w:type="pct"/>
            <w:shd w:val="clear" w:color="auto" w:fill="BFBFBF" w:themeFill="background1" w:themeFillShade="BF"/>
            <w:tcMar>
              <w:top w:w="72" w:type="dxa"/>
              <w:left w:w="144" w:type="dxa"/>
              <w:bottom w:w="72" w:type="dxa"/>
              <w:right w:w="144" w:type="dxa"/>
            </w:tcMar>
            <w:hideMark/>
          </w:tcPr>
          <w:p w14:paraId="142AD3E1" w14:textId="77777777" w:rsidR="00741828" w:rsidRPr="00741828" w:rsidRDefault="00741828" w:rsidP="002F7F83">
            <w:pPr>
              <w:spacing w:after="0" w:line="240" w:lineRule="auto"/>
              <w:rPr>
                <w:rFonts w:ascii="Futura Std Condensed Light" w:eastAsia="Calibri" w:hAnsi="Futura Std Condensed Light" w:cs="Calibri"/>
                <w:sz w:val="18"/>
                <w:szCs w:val="18"/>
              </w:rPr>
            </w:pPr>
            <w:r w:rsidRPr="00741828">
              <w:rPr>
                <w:rFonts w:ascii="Futura Std Condensed Light" w:eastAsia="Calibri" w:hAnsi="Futura Std Condensed Light" w:cs="Calibri"/>
                <w:sz w:val="18"/>
                <w:szCs w:val="18"/>
              </w:rPr>
              <w:t>Características</w:t>
            </w:r>
          </w:p>
        </w:tc>
      </w:tr>
      <w:tr w:rsidR="00741828" w:rsidRPr="0069403A" w14:paraId="5821799F" w14:textId="77777777" w:rsidTr="002F7F83">
        <w:trPr>
          <w:trHeight w:val="283"/>
          <w:jc w:val="center"/>
        </w:trPr>
        <w:tc>
          <w:tcPr>
            <w:tcW w:w="906" w:type="pct"/>
            <w:shd w:val="clear" w:color="auto" w:fill="FFFFFF" w:themeFill="background1"/>
            <w:tcMar>
              <w:top w:w="72" w:type="dxa"/>
              <w:left w:w="144" w:type="dxa"/>
              <w:bottom w:w="72" w:type="dxa"/>
              <w:right w:w="144" w:type="dxa"/>
            </w:tcMar>
            <w:hideMark/>
          </w:tcPr>
          <w:p w14:paraId="3FD5D2AB" w14:textId="77777777" w:rsidR="00741828" w:rsidRPr="00741828" w:rsidRDefault="00741828" w:rsidP="002F7F83">
            <w:pPr>
              <w:spacing w:after="0" w:line="240" w:lineRule="auto"/>
              <w:rPr>
                <w:rFonts w:ascii="Futura Std Condensed Light" w:eastAsia="Calibri" w:hAnsi="Futura Std Condensed Light" w:cs="Calibri"/>
                <w:sz w:val="18"/>
                <w:szCs w:val="18"/>
              </w:rPr>
            </w:pPr>
            <w:r w:rsidRPr="00741828">
              <w:rPr>
                <w:rFonts w:ascii="Futura Std Condensed Light" w:eastAsia="Calibri" w:hAnsi="Futura Std Condensed Light" w:cs="Calibri"/>
                <w:sz w:val="18"/>
                <w:szCs w:val="18"/>
              </w:rPr>
              <w:t>Indicador:</w:t>
            </w:r>
          </w:p>
        </w:tc>
        <w:tc>
          <w:tcPr>
            <w:tcW w:w="4094" w:type="pct"/>
            <w:shd w:val="clear" w:color="auto" w:fill="FFFFFF" w:themeFill="background1"/>
            <w:tcMar>
              <w:top w:w="72" w:type="dxa"/>
              <w:left w:w="144" w:type="dxa"/>
              <w:bottom w:w="72" w:type="dxa"/>
              <w:right w:w="144" w:type="dxa"/>
            </w:tcMar>
          </w:tcPr>
          <w:p w14:paraId="08FFCB28" w14:textId="77777777" w:rsidR="00741828" w:rsidRPr="00741828" w:rsidRDefault="00741828" w:rsidP="002F7F83">
            <w:pPr>
              <w:spacing w:after="0" w:line="240" w:lineRule="auto"/>
              <w:rPr>
                <w:rFonts w:ascii="Futura Std Condensed Light" w:eastAsia="Calibri" w:hAnsi="Futura Std Condensed Light" w:cs="Calibri"/>
                <w:sz w:val="18"/>
                <w:szCs w:val="18"/>
              </w:rPr>
            </w:pPr>
            <w:r w:rsidRPr="00741828">
              <w:rPr>
                <w:rFonts w:ascii="Futura Std Condensed Light" w:eastAsia="Calibri" w:hAnsi="Futura Std Condensed Light" w:cs="Calibri"/>
                <w:sz w:val="18"/>
                <w:szCs w:val="18"/>
              </w:rPr>
              <w:t>Participación del COQCYT en el financiamiento al Gasto en Investigación, Desarrollo Tecnológico e Innovación en el Estado</w:t>
            </w:r>
          </w:p>
        </w:tc>
      </w:tr>
      <w:tr w:rsidR="00741828" w:rsidRPr="0069403A" w14:paraId="670C07F5" w14:textId="77777777" w:rsidTr="002171BA">
        <w:trPr>
          <w:trHeight w:val="13"/>
          <w:jc w:val="center"/>
        </w:trPr>
        <w:tc>
          <w:tcPr>
            <w:tcW w:w="906" w:type="pct"/>
            <w:shd w:val="clear" w:color="auto" w:fill="FFFFFF" w:themeFill="background1"/>
            <w:tcMar>
              <w:top w:w="72" w:type="dxa"/>
              <w:left w:w="144" w:type="dxa"/>
              <w:bottom w:w="72" w:type="dxa"/>
              <w:right w:w="144" w:type="dxa"/>
            </w:tcMar>
          </w:tcPr>
          <w:p w14:paraId="1743BC87" w14:textId="413C6B7E" w:rsidR="00741828" w:rsidRPr="00741828" w:rsidRDefault="00741828" w:rsidP="002F7F83">
            <w:pPr>
              <w:spacing w:after="0" w:line="240" w:lineRule="auto"/>
              <w:rPr>
                <w:rFonts w:ascii="Futura Std Condensed Light" w:eastAsia="Calibri" w:hAnsi="Futura Std Condensed Light" w:cs="Calibri"/>
                <w:sz w:val="18"/>
                <w:szCs w:val="18"/>
              </w:rPr>
            </w:pPr>
            <w:r>
              <w:rPr>
                <w:rFonts w:ascii="Futura Std Condensed Light" w:eastAsia="Calibri" w:hAnsi="Futura Std Condensed Light" w:cs="Calibri"/>
                <w:sz w:val="18"/>
                <w:szCs w:val="18"/>
              </w:rPr>
              <w:t>Objetivo 9</w:t>
            </w:r>
            <w:r w:rsidRPr="00741828">
              <w:rPr>
                <w:rFonts w:ascii="Futura Std Condensed Light" w:eastAsia="Calibri" w:hAnsi="Futura Std Condensed Light" w:cs="Calibri"/>
                <w:sz w:val="18"/>
                <w:szCs w:val="18"/>
              </w:rPr>
              <w:t>:</w:t>
            </w:r>
          </w:p>
        </w:tc>
        <w:tc>
          <w:tcPr>
            <w:tcW w:w="4094" w:type="pct"/>
            <w:shd w:val="clear" w:color="auto" w:fill="FFFFFF" w:themeFill="background1"/>
            <w:tcMar>
              <w:top w:w="72" w:type="dxa"/>
              <w:left w:w="144" w:type="dxa"/>
              <w:bottom w:w="72" w:type="dxa"/>
              <w:right w:w="144" w:type="dxa"/>
            </w:tcMar>
          </w:tcPr>
          <w:p w14:paraId="1CA452DF" w14:textId="2CF74509" w:rsidR="00741828" w:rsidRPr="00741828" w:rsidRDefault="002171BA" w:rsidP="002171BA">
            <w:pPr>
              <w:rPr>
                <w:rFonts w:ascii="Futura Std Condensed Light" w:eastAsia="Calibri" w:hAnsi="Futura Std Condensed Light" w:cs="Calibri"/>
                <w:sz w:val="18"/>
                <w:szCs w:val="18"/>
              </w:rPr>
            </w:pPr>
            <w:r w:rsidRPr="002171BA">
              <w:rPr>
                <w:rFonts w:ascii="Futura Std Condensed Light" w:eastAsia="Calibri" w:hAnsi="Futura Std Condensed Light" w:cs="Calibri"/>
                <w:sz w:val="18"/>
                <w:szCs w:val="18"/>
              </w:rPr>
              <w:t>Impulsar el desarrollo de la investigación científica, tecnológica y de la innovación para el incremento de los niveles de competitividad del Estado</w:t>
            </w:r>
            <w:r>
              <w:rPr>
                <w:rFonts w:ascii="Futura Std Condensed Light" w:eastAsia="Calibri" w:hAnsi="Futura Std Condensed Light" w:cs="Calibri"/>
                <w:sz w:val="18"/>
                <w:szCs w:val="18"/>
              </w:rPr>
              <w:t>.</w:t>
            </w:r>
          </w:p>
        </w:tc>
      </w:tr>
      <w:tr w:rsidR="00741828" w:rsidRPr="0069403A" w14:paraId="0B450335" w14:textId="77777777" w:rsidTr="002F7F83">
        <w:trPr>
          <w:trHeight w:val="283"/>
          <w:jc w:val="center"/>
        </w:trPr>
        <w:tc>
          <w:tcPr>
            <w:tcW w:w="906" w:type="pct"/>
            <w:shd w:val="clear" w:color="auto" w:fill="FFFFFF" w:themeFill="background1"/>
            <w:tcMar>
              <w:top w:w="72" w:type="dxa"/>
              <w:left w:w="144" w:type="dxa"/>
              <w:bottom w:w="72" w:type="dxa"/>
              <w:right w:w="144" w:type="dxa"/>
            </w:tcMar>
            <w:hideMark/>
          </w:tcPr>
          <w:p w14:paraId="539A1EC4" w14:textId="77777777" w:rsidR="00741828" w:rsidRPr="00741828" w:rsidRDefault="00741828" w:rsidP="002F7F83">
            <w:pPr>
              <w:spacing w:after="0" w:line="240" w:lineRule="auto"/>
              <w:rPr>
                <w:rFonts w:ascii="Futura Std Condensed Light" w:eastAsia="Calibri" w:hAnsi="Futura Std Condensed Light" w:cs="Calibri"/>
                <w:sz w:val="18"/>
                <w:szCs w:val="18"/>
              </w:rPr>
            </w:pPr>
            <w:r w:rsidRPr="00741828">
              <w:rPr>
                <w:rFonts w:ascii="Futura Std Condensed Light" w:eastAsia="Calibri" w:hAnsi="Futura Std Condensed Light" w:cs="Calibri"/>
                <w:sz w:val="18"/>
                <w:szCs w:val="18"/>
              </w:rPr>
              <w:t>Descripción:</w:t>
            </w:r>
          </w:p>
        </w:tc>
        <w:tc>
          <w:tcPr>
            <w:tcW w:w="4094" w:type="pct"/>
            <w:shd w:val="clear" w:color="auto" w:fill="FFFFFF" w:themeFill="background1"/>
            <w:tcMar>
              <w:top w:w="72" w:type="dxa"/>
              <w:left w:w="144" w:type="dxa"/>
              <w:bottom w:w="72" w:type="dxa"/>
              <w:right w:w="144" w:type="dxa"/>
            </w:tcMar>
          </w:tcPr>
          <w:p w14:paraId="5A9B1A18" w14:textId="77777777" w:rsidR="00741828" w:rsidRPr="00741828" w:rsidRDefault="00741828" w:rsidP="002F7F83">
            <w:pPr>
              <w:spacing w:after="0" w:line="240" w:lineRule="auto"/>
              <w:rPr>
                <w:rFonts w:ascii="Futura Std Condensed Light" w:eastAsia="Calibri" w:hAnsi="Futura Std Condensed Light" w:cs="Calibri"/>
                <w:sz w:val="18"/>
                <w:szCs w:val="18"/>
              </w:rPr>
            </w:pPr>
            <w:r w:rsidRPr="00741828">
              <w:rPr>
                <w:rFonts w:ascii="Futura Std Condensed Light" w:eastAsia="Calibri" w:hAnsi="Futura Std Condensed Light" w:cs="Calibri"/>
                <w:sz w:val="18"/>
                <w:szCs w:val="18"/>
              </w:rPr>
              <w:t>Es una medida de la inversión que el Gobierno del Estado realiza a través del COQCYT, para financiar a los distintos agentes del Sistema de Ciencia, Tecnología e Innovación en Quintana Roo.</w:t>
            </w:r>
          </w:p>
        </w:tc>
      </w:tr>
      <w:tr w:rsidR="00741828" w:rsidRPr="0069403A" w14:paraId="3BDE8D7A" w14:textId="77777777" w:rsidTr="002F7F83">
        <w:trPr>
          <w:trHeight w:val="283"/>
          <w:jc w:val="center"/>
        </w:trPr>
        <w:tc>
          <w:tcPr>
            <w:tcW w:w="906" w:type="pct"/>
            <w:shd w:val="clear" w:color="auto" w:fill="FFFFFF" w:themeFill="background1"/>
            <w:tcMar>
              <w:top w:w="72" w:type="dxa"/>
              <w:left w:w="144" w:type="dxa"/>
              <w:bottom w:w="72" w:type="dxa"/>
              <w:right w:w="144" w:type="dxa"/>
            </w:tcMar>
            <w:hideMark/>
          </w:tcPr>
          <w:p w14:paraId="7198BEB9" w14:textId="77777777" w:rsidR="00741828" w:rsidRPr="00741828" w:rsidRDefault="00741828" w:rsidP="00741828">
            <w:pPr>
              <w:spacing w:after="0" w:line="240" w:lineRule="auto"/>
              <w:rPr>
                <w:rFonts w:ascii="Futura Std Condensed Light" w:eastAsia="Calibri" w:hAnsi="Futura Std Condensed Light" w:cs="Calibri"/>
                <w:sz w:val="18"/>
                <w:szCs w:val="18"/>
              </w:rPr>
            </w:pPr>
            <w:r w:rsidRPr="00741828">
              <w:rPr>
                <w:rFonts w:ascii="Futura Std Condensed Light" w:eastAsia="Calibri" w:hAnsi="Futura Std Condensed Light" w:cs="Calibri"/>
                <w:sz w:val="18"/>
                <w:szCs w:val="18"/>
              </w:rPr>
              <w:t>Método de cálculo:</w:t>
            </w:r>
          </w:p>
        </w:tc>
        <w:tc>
          <w:tcPr>
            <w:tcW w:w="4094" w:type="pct"/>
            <w:shd w:val="clear" w:color="auto" w:fill="FFFFFF" w:themeFill="background1"/>
            <w:tcMar>
              <w:top w:w="72" w:type="dxa"/>
              <w:left w:w="144" w:type="dxa"/>
              <w:bottom w:w="72" w:type="dxa"/>
              <w:right w:w="144" w:type="dxa"/>
            </w:tcMar>
          </w:tcPr>
          <w:p w14:paraId="0BD9C170" w14:textId="77777777" w:rsidR="00741828" w:rsidRPr="00741828" w:rsidRDefault="00741828" w:rsidP="00741828">
            <w:pPr>
              <w:spacing w:after="0" w:line="240" w:lineRule="auto"/>
              <w:rPr>
                <w:rFonts w:ascii="Futura Std Condensed Light" w:eastAsia="Calibri" w:hAnsi="Futura Std Condensed Light" w:cs="Calibri"/>
                <w:sz w:val="18"/>
                <w:szCs w:val="18"/>
              </w:rPr>
            </w:pPr>
            <w:r w:rsidRPr="00741828">
              <w:rPr>
                <w:rFonts w:ascii="Futura Std Condensed Light" w:eastAsia="Calibri" w:hAnsi="Futura Std Condensed Light" w:cs="Calibri"/>
                <w:sz w:val="18"/>
                <w:szCs w:val="18"/>
              </w:rPr>
              <w:t>(Gasto Estatal a través del COQCYT en Ciencia, Tecnología e Innovación / Gasto Federal en la Entidad a través del CONACYT en Ciencia, Tecnología e Innovación)* 100</w:t>
            </w:r>
          </w:p>
        </w:tc>
      </w:tr>
      <w:tr w:rsidR="00741828" w:rsidRPr="0069403A" w14:paraId="1C4C29CB" w14:textId="77777777" w:rsidTr="002F7F83">
        <w:trPr>
          <w:trHeight w:val="283"/>
          <w:jc w:val="center"/>
        </w:trPr>
        <w:tc>
          <w:tcPr>
            <w:tcW w:w="906" w:type="pct"/>
            <w:shd w:val="clear" w:color="auto" w:fill="FFFFFF" w:themeFill="background1"/>
            <w:tcMar>
              <w:top w:w="72" w:type="dxa"/>
              <w:left w:w="144" w:type="dxa"/>
              <w:bottom w:w="72" w:type="dxa"/>
              <w:right w:w="144" w:type="dxa"/>
            </w:tcMar>
            <w:hideMark/>
          </w:tcPr>
          <w:p w14:paraId="63E6461A" w14:textId="77777777" w:rsidR="00741828" w:rsidRPr="00741828" w:rsidRDefault="00741828" w:rsidP="002F7F83">
            <w:pPr>
              <w:spacing w:after="0" w:line="240" w:lineRule="auto"/>
              <w:rPr>
                <w:rFonts w:ascii="Futura Std Condensed Light" w:eastAsia="Calibri" w:hAnsi="Futura Std Condensed Light" w:cs="Calibri"/>
                <w:sz w:val="18"/>
                <w:szCs w:val="18"/>
              </w:rPr>
            </w:pPr>
            <w:r w:rsidRPr="00741828">
              <w:rPr>
                <w:rFonts w:ascii="Futura Std Condensed Light" w:eastAsia="Calibri" w:hAnsi="Futura Std Condensed Light" w:cs="Calibri"/>
                <w:sz w:val="18"/>
                <w:szCs w:val="18"/>
              </w:rPr>
              <w:t>Periodicidad:</w:t>
            </w:r>
          </w:p>
        </w:tc>
        <w:tc>
          <w:tcPr>
            <w:tcW w:w="4094" w:type="pct"/>
            <w:shd w:val="clear" w:color="auto" w:fill="FFFFFF" w:themeFill="background1"/>
            <w:tcMar>
              <w:top w:w="72" w:type="dxa"/>
              <w:left w:w="144" w:type="dxa"/>
              <w:bottom w:w="72" w:type="dxa"/>
              <w:right w:w="144" w:type="dxa"/>
            </w:tcMar>
          </w:tcPr>
          <w:p w14:paraId="141C49E9" w14:textId="77777777" w:rsidR="00741828" w:rsidRPr="00741828" w:rsidRDefault="00741828" w:rsidP="002F7F83">
            <w:pPr>
              <w:spacing w:after="0" w:line="240" w:lineRule="auto"/>
              <w:rPr>
                <w:rFonts w:ascii="Futura Std Condensed Light" w:eastAsia="Calibri" w:hAnsi="Futura Std Condensed Light" w:cs="Calibri"/>
                <w:sz w:val="18"/>
                <w:szCs w:val="18"/>
              </w:rPr>
            </w:pPr>
            <w:r w:rsidRPr="00741828">
              <w:rPr>
                <w:rFonts w:ascii="Futura Std Condensed Light" w:eastAsia="Calibri" w:hAnsi="Futura Std Condensed Light" w:cs="Calibri"/>
                <w:sz w:val="18"/>
                <w:szCs w:val="18"/>
              </w:rPr>
              <w:t>Anual</w:t>
            </w:r>
          </w:p>
        </w:tc>
      </w:tr>
      <w:tr w:rsidR="00741828" w:rsidRPr="0069403A" w14:paraId="6B2F0540" w14:textId="77777777" w:rsidTr="002F7F83">
        <w:trPr>
          <w:trHeight w:val="283"/>
          <w:jc w:val="center"/>
        </w:trPr>
        <w:tc>
          <w:tcPr>
            <w:tcW w:w="906" w:type="pct"/>
            <w:shd w:val="clear" w:color="auto" w:fill="FFFFFF" w:themeFill="background1"/>
            <w:tcMar>
              <w:top w:w="72" w:type="dxa"/>
              <w:left w:w="144" w:type="dxa"/>
              <w:bottom w:w="72" w:type="dxa"/>
              <w:right w:w="144" w:type="dxa"/>
            </w:tcMar>
            <w:hideMark/>
          </w:tcPr>
          <w:p w14:paraId="30EC026D" w14:textId="77777777" w:rsidR="00741828" w:rsidRPr="00741828" w:rsidRDefault="00741828" w:rsidP="002F7F83">
            <w:pPr>
              <w:spacing w:after="0" w:line="240" w:lineRule="auto"/>
              <w:rPr>
                <w:rFonts w:ascii="Futura Std Condensed Light" w:eastAsia="Calibri" w:hAnsi="Futura Std Condensed Light" w:cs="Calibri"/>
                <w:sz w:val="18"/>
                <w:szCs w:val="18"/>
              </w:rPr>
            </w:pPr>
            <w:r w:rsidRPr="00741828">
              <w:rPr>
                <w:rFonts w:ascii="Futura Std Condensed Light" w:eastAsia="Calibri" w:hAnsi="Futura Std Condensed Light" w:cs="Calibri"/>
                <w:sz w:val="18"/>
                <w:szCs w:val="18"/>
              </w:rPr>
              <w:t>Fuente:</w:t>
            </w:r>
          </w:p>
        </w:tc>
        <w:tc>
          <w:tcPr>
            <w:tcW w:w="4094" w:type="pct"/>
            <w:shd w:val="clear" w:color="auto" w:fill="FFFFFF" w:themeFill="background1"/>
            <w:tcMar>
              <w:top w:w="72" w:type="dxa"/>
              <w:left w:w="144" w:type="dxa"/>
              <w:bottom w:w="72" w:type="dxa"/>
              <w:right w:w="144" w:type="dxa"/>
            </w:tcMar>
          </w:tcPr>
          <w:p w14:paraId="6925D37B" w14:textId="77777777" w:rsidR="00741828" w:rsidRPr="00741828" w:rsidRDefault="00741828" w:rsidP="002F7F83">
            <w:pPr>
              <w:spacing w:after="0" w:line="240" w:lineRule="auto"/>
              <w:rPr>
                <w:rFonts w:ascii="Futura Std Condensed Light" w:eastAsia="Calibri" w:hAnsi="Futura Std Condensed Light" w:cs="Calibri"/>
                <w:sz w:val="18"/>
                <w:szCs w:val="18"/>
              </w:rPr>
            </w:pPr>
            <w:r w:rsidRPr="00741828">
              <w:rPr>
                <w:rFonts w:ascii="Futura Std Condensed Light" w:eastAsia="Calibri" w:hAnsi="Futura Std Condensed Light" w:cs="Calibri"/>
                <w:sz w:val="18"/>
                <w:szCs w:val="18"/>
              </w:rPr>
              <w:t>Consejo Quintanarroense de Ciencia y Tecnología (COQCYT)</w:t>
            </w:r>
          </w:p>
        </w:tc>
      </w:tr>
      <w:tr w:rsidR="00741828" w:rsidRPr="0069403A" w14:paraId="091D7406" w14:textId="77777777" w:rsidTr="002F7F83">
        <w:trPr>
          <w:trHeight w:val="283"/>
          <w:jc w:val="center"/>
        </w:trPr>
        <w:tc>
          <w:tcPr>
            <w:tcW w:w="906" w:type="pct"/>
            <w:shd w:val="clear" w:color="auto" w:fill="FFFFFF" w:themeFill="background1"/>
            <w:tcMar>
              <w:top w:w="72" w:type="dxa"/>
              <w:left w:w="144" w:type="dxa"/>
              <w:bottom w:w="72" w:type="dxa"/>
              <w:right w:w="144" w:type="dxa"/>
            </w:tcMar>
            <w:hideMark/>
          </w:tcPr>
          <w:p w14:paraId="05E953DA" w14:textId="77777777" w:rsidR="00741828" w:rsidRPr="00741828" w:rsidRDefault="00741828" w:rsidP="002F7F83">
            <w:pPr>
              <w:spacing w:after="0" w:line="240" w:lineRule="auto"/>
              <w:rPr>
                <w:rFonts w:ascii="Futura Std Condensed Light" w:eastAsia="Calibri" w:hAnsi="Futura Std Condensed Light" w:cs="Calibri"/>
                <w:sz w:val="18"/>
                <w:szCs w:val="18"/>
              </w:rPr>
            </w:pPr>
            <w:r w:rsidRPr="00741828">
              <w:rPr>
                <w:rFonts w:ascii="Futura Std Condensed Light" w:eastAsia="Calibri" w:hAnsi="Futura Std Condensed Light" w:cs="Calibri"/>
                <w:sz w:val="18"/>
                <w:szCs w:val="18"/>
              </w:rPr>
              <w:t>Dimensión:</w:t>
            </w:r>
          </w:p>
        </w:tc>
        <w:tc>
          <w:tcPr>
            <w:tcW w:w="4094" w:type="pct"/>
            <w:shd w:val="clear" w:color="auto" w:fill="FFFFFF" w:themeFill="background1"/>
            <w:tcMar>
              <w:top w:w="72" w:type="dxa"/>
              <w:left w:w="144" w:type="dxa"/>
              <w:bottom w:w="72" w:type="dxa"/>
              <w:right w:w="144" w:type="dxa"/>
            </w:tcMar>
            <w:hideMark/>
          </w:tcPr>
          <w:p w14:paraId="63427F60" w14:textId="77777777" w:rsidR="00741828" w:rsidRPr="00741828" w:rsidRDefault="00741828" w:rsidP="002F7F83">
            <w:pPr>
              <w:spacing w:after="0" w:line="240" w:lineRule="auto"/>
              <w:rPr>
                <w:rFonts w:ascii="Futura Std Condensed Light" w:eastAsia="Calibri" w:hAnsi="Futura Std Condensed Light" w:cs="Calibri"/>
                <w:sz w:val="18"/>
                <w:szCs w:val="18"/>
              </w:rPr>
            </w:pPr>
            <w:r w:rsidRPr="00741828">
              <w:rPr>
                <w:rFonts w:ascii="Futura Std Condensed Light" w:eastAsia="Calibri" w:hAnsi="Futura Std Condensed Light" w:cs="Calibri"/>
                <w:sz w:val="18"/>
                <w:szCs w:val="18"/>
              </w:rPr>
              <w:t>Eficacia</w:t>
            </w:r>
          </w:p>
        </w:tc>
      </w:tr>
      <w:tr w:rsidR="00741828" w:rsidRPr="004C4FD0" w14:paraId="6C24F91F" w14:textId="77777777" w:rsidTr="002F7F83">
        <w:trPr>
          <w:trHeight w:val="283"/>
          <w:jc w:val="center"/>
        </w:trPr>
        <w:tc>
          <w:tcPr>
            <w:tcW w:w="906" w:type="pct"/>
            <w:shd w:val="clear" w:color="auto" w:fill="FFFFFF" w:themeFill="background1"/>
            <w:tcMar>
              <w:top w:w="72" w:type="dxa"/>
              <w:left w:w="144" w:type="dxa"/>
              <w:bottom w:w="72" w:type="dxa"/>
              <w:right w:w="144" w:type="dxa"/>
            </w:tcMar>
            <w:hideMark/>
          </w:tcPr>
          <w:p w14:paraId="49F8BE1B" w14:textId="77777777" w:rsidR="00741828" w:rsidRPr="00741828" w:rsidRDefault="00741828" w:rsidP="002F7F83">
            <w:pPr>
              <w:spacing w:after="0" w:line="240" w:lineRule="auto"/>
              <w:rPr>
                <w:rFonts w:ascii="Futura Std Condensed Light" w:eastAsia="Calibri" w:hAnsi="Futura Std Condensed Light" w:cs="Calibri"/>
                <w:sz w:val="18"/>
                <w:szCs w:val="18"/>
              </w:rPr>
            </w:pPr>
            <w:r w:rsidRPr="00741828">
              <w:rPr>
                <w:rFonts w:ascii="Futura Std Condensed Light" w:eastAsia="Calibri" w:hAnsi="Futura Std Condensed Light" w:cs="Calibri"/>
                <w:sz w:val="18"/>
                <w:szCs w:val="18"/>
              </w:rPr>
              <w:t>Referencias adicionales:</w:t>
            </w:r>
          </w:p>
        </w:tc>
        <w:tc>
          <w:tcPr>
            <w:tcW w:w="4094" w:type="pct"/>
            <w:shd w:val="clear" w:color="auto" w:fill="FFFFFF" w:themeFill="background1"/>
            <w:tcMar>
              <w:top w:w="72" w:type="dxa"/>
              <w:left w:w="144" w:type="dxa"/>
              <w:bottom w:w="72" w:type="dxa"/>
              <w:right w:w="144" w:type="dxa"/>
            </w:tcMar>
            <w:hideMark/>
          </w:tcPr>
          <w:p w14:paraId="7CFBE4CF" w14:textId="77777777" w:rsidR="004C4FD0" w:rsidRDefault="00741828" w:rsidP="004C4FD0">
            <w:pPr>
              <w:spacing w:after="0" w:line="240" w:lineRule="auto"/>
              <w:contextualSpacing/>
              <w:rPr>
                <w:rFonts w:ascii="Futura Std Condensed Light" w:eastAsia="Calibri" w:hAnsi="Futura Std Condensed Light" w:cs="Calibri"/>
                <w:sz w:val="18"/>
                <w:szCs w:val="18"/>
              </w:rPr>
            </w:pPr>
            <w:r w:rsidRPr="00741828">
              <w:rPr>
                <w:rFonts w:ascii="Futura Std Condensed Light" w:eastAsia="Calibri" w:hAnsi="Futura Std Condensed Light" w:cs="Calibri"/>
                <w:sz w:val="18"/>
                <w:szCs w:val="18"/>
              </w:rPr>
              <w:t xml:space="preserve">El Gasto en CTI considera la inversión en servicios científicos y tecnológicos; investigación básica y aplicada, desarrollo tecnológico e innovación, formación de recursos humanos de alta especialidad, impulso al posgrado de calidad y a las vocaciones científicas; la vinculación con el sector productivo, así como la difusión y divulgación del conocimiento. </w:t>
            </w:r>
            <w:r w:rsidR="004C4FD0" w:rsidRPr="004C4FD0">
              <w:rPr>
                <w:rFonts w:ascii="Futura Std Condensed Light" w:eastAsia="Calibri" w:hAnsi="Futura Std Condensed Light" w:cs="Calibri"/>
                <w:sz w:val="18"/>
                <w:szCs w:val="18"/>
              </w:rPr>
              <w:t xml:space="preserve">* </w:t>
            </w:r>
          </w:p>
          <w:p w14:paraId="2D833E87" w14:textId="74D3D0BD" w:rsidR="004C4FD0" w:rsidRPr="004C4FD0" w:rsidRDefault="004C4FD0" w:rsidP="004C4FD0">
            <w:pPr>
              <w:spacing w:after="0" w:line="240" w:lineRule="auto"/>
              <w:contextualSpacing/>
              <w:rPr>
                <w:rFonts w:ascii="Futura Std Condensed Light" w:eastAsia="Calibri" w:hAnsi="Futura Std Condensed Light" w:cs="Calibri"/>
                <w:sz w:val="18"/>
                <w:szCs w:val="18"/>
              </w:rPr>
            </w:pPr>
            <w:r w:rsidRPr="004C4FD0">
              <w:rPr>
                <w:rFonts w:ascii="Futura Std Condensed Light" w:eastAsia="Calibri" w:hAnsi="Futura Std Condensed Light" w:cs="Calibri"/>
                <w:sz w:val="18"/>
                <w:szCs w:val="18"/>
              </w:rPr>
              <w:t>Considera los recursos asignados en el Presupuesto de Egresos del Estado al COQCYT, así como los recursos invertidos por la Federación a través del CONACYT para el desarrollo de investigación científica, tecnológica y de innovación, el impulso a las vocaciones científicas y la formación de recursos humanos de alta especialidad en la Entidad. COQCYT, presupuesto base año 2020: $37, 294,570. CONACYT: se toma como base la inversión en Quintana Roo año 2017: $142, 300,000.</w:t>
            </w:r>
          </w:p>
          <w:p w14:paraId="1F029E1B" w14:textId="77777777" w:rsidR="004C4FD0" w:rsidRPr="004C4FD0" w:rsidRDefault="004C4FD0" w:rsidP="004C4FD0">
            <w:pPr>
              <w:spacing w:after="0" w:line="240" w:lineRule="auto"/>
              <w:contextualSpacing/>
              <w:rPr>
                <w:rFonts w:ascii="Futura Std Condensed Light" w:eastAsia="Calibri" w:hAnsi="Futura Std Condensed Light" w:cs="Calibri"/>
                <w:sz w:val="18"/>
                <w:szCs w:val="18"/>
              </w:rPr>
            </w:pPr>
            <w:r w:rsidRPr="004C4FD0">
              <w:rPr>
                <w:rFonts w:ascii="Futura Std Condensed Light" w:eastAsia="Calibri" w:hAnsi="Futura Std Condensed Light" w:cs="Calibri"/>
                <w:sz w:val="18"/>
                <w:szCs w:val="18"/>
              </w:rPr>
              <w:t xml:space="preserve">Nota 1: Se ajustan las metas para los años 2021 y 2022. </w:t>
            </w:r>
          </w:p>
          <w:p w14:paraId="42783C36" w14:textId="77777777" w:rsidR="004C4FD0" w:rsidRPr="004C4FD0" w:rsidRDefault="004C4FD0" w:rsidP="004C4FD0">
            <w:pPr>
              <w:spacing w:after="0" w:line="240" w:lineRule="auto"/>
              <w:contextualSpacing/>
              <w:rPr>
                <w:rFonts w:ascii="Futura Std Condensed Light" w:eastAsia="Calibri" w:hAnsi="Futura Std Condensed Light" w:cs="Calibri"/>
                <w:sz w:val="18"/>
                <w:szCs w:val="18"/>
              </w:rPr>
            </w:pPr>
            <w:r w:rsidRPr="004C4FD0">
              <w:rPr>
                <w:rFonts w:ascii="Futura Std Condensed Light" w:eastAsia="Calibri" w:hAnsi="Futura Std Condensed Light" w:cs="Calibri"/>
                <w:sz w:val="18"/>
                <w:szCs w:val="18"/>
              </w:rPr>
              <w:t>Nota 2: Crecimiento presupuestal estimado para el año 2022 respecto al presupuesto 2020, igual a 4%.</w:t>
            </w:r>
          </w:p>
          <w:p w14:paraId="19AACB9F" w14:textId="77777777" w:rsidR="004C4FD0" w:rsidRPr="004C4FD0" w:rsidRDefault="004C4FD0" w:rsidP="004C4FD0">
            <w:pPr>
              <w:spacing w:after="0" w:line="240" w:lineRule="auto"/>
              <w:contextualSpacing/>
              <w:rPr>
                <w:rFonts w:ascii="Futura Std Condensed Light" w:eastAsia="Calibri" w:hAnsi="Futura Std Condensed Light" w:cs="Calibri"/>
                <w:sz w:val="18"/>
                <w:szCs w:val="18"/>
              </w:rPr>
            </w:pPr>
            <w:r w:rsidRPr="004C4FD0">
              <w:rPr>
                <w:rFonts w:ascii="Futura Std Condensed Light" w:eastAsia="Calibri" w:hAnsi="Futura Std Condensed Light" w:cs="Calibri"/>
                <w:sz w:val="18"/>
                <w:szCs w:val="18"/>
              </w:rPr>
              <w:t>Nota 3: Crecimiento de la inversión en el Estado por parte del CONACYT para el año 2022 respecto al año 2017, igual al 2%</w:t>
            </w:r>
          </w:p>
          <w:p w14:paraId="66A1E6ED" w14:textId="77777777" w:rsidR="00741828" w:rsidRPr="00741828" w:rsidRDefault="00741828" w:rsidP="002F7F83">
            <w:pPr>
              <w:spacing w:after="0" w:line="240" w:lineRule="auto"/>
              <w:rPr>
                <w:rFonts w:ascii="Futura Std Condensed Light" w:eastAsia="Calibri" w:hAnsi="Futura Std Condensed Light" w:cs="Calibri"/>
                <w:sz w:val="18"/>
                <w:szCs w:val="18"/>
              </w:rPr>
            </w:pPr>
          </w:p>
        </w:tc>
      </w:tr>
    </w:tbl>
    <w:p w14:paraId="5ECB5C41" w14:textId="1DA9C967" w:rsidR="00892FFA" w:rsidRDefault="00892FFA" w:rsidP="00741828">
      <w:pPr>
        <w:rPr>
          <w:rFonts w:ascii="Futura Std Condensed Light" w:eastAsia="Calibri" w:hAnsi="Futura Std Condensed Light" w:cs="Calibri"/>
          <w:sz w:val="18"/>
          <w:szCs w:val="18"/>
        </w:rPr>
      </w:pPr>
    </w:p>
    <w:p w14:paraId="15A044F8" w14:textId="07BB4998" w:rsidR="00364E7E" w:rsidRDefault="00364E7E">
      <w:pPr>
        <w:spacing w:after="0" w:line="240" w:lineRule="auto"/>
        <w:jc w:val="left"/>
        <w:rPr>
          <w:rFonts w:ascii="Futura Std Condensed Light" w:eastAsia="Calibri" w:hAnsi="Futura Std Condensed Light" w:cs="Calibri"/>
          <w:sz w:val="18"/>
          <w:szCs w:val="18"/>
        </w:rPr>
      </w:pPr>
      <w:r>
        <w:rPr>
          <w:rFonts w:ascii="Futura Std Condensed Light" w:eastAsia="Calibri" w:hAnsi="Futura Std Condensed Light" w:cs="Calibri"/>
          <w:sz w:val="18"/>
          <w:szCs w:val="18"/>
        </w:rPr>
        <w:br w:type="page"/>
      </w:r>
    </w:p>
    <w:p w14:paraId="0DDB36B4" w14:textId="56B116D6" w:rsidR="00741828" w:rsidRPr="00741828" w:rsidRDefault="00892FFA" w:rsidP="00741828">
      <w:r>
        <w:rPr>
          <w:b/>
        </w:rPr>
        <w:lastRenderedPageBreak/>
        <w:t>Estrategia 9:</w:t>
      </w:r>
      <w:r w:rsidR="004C4FD0">
        <w:rPr>
          <w:b/>
        </w:rPr>
        <w:t xml:space="preserve"> </w:t>
      </w:r>
      <w:r w:rsidR="004C4FD0" w:rsidRPr="004C4FD0">
        <w:t>Promover el fortalecimiento del Sistema Estatal Científico, Tecnológico y de Innovación del Estado</w:t>
      </w:r>
      <w:r w:rsidR="004C4FD0" w:rsidRPr="000D1A50">
        <w:rPr>
          <w:rFonts w:ascii="Futura Std Condensed Light" w:eastAsia="Calibri" w:hAnsi="Futura Std Condensed Light" w:cs="Calibri"/>
          <w:sz w:val="18"/>
          <w:szCs w:val="20"/>
        </w:rPr>
        <w:t>.</w:t>
      </w:r>
    </w:p>
    <w:tbl>
      <w:tblPr>
        <w:tblW w:w="48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CellMar>
          <w:left w:w="0" w:type="dxa"/>
          <w:right w:w="0" w:type="dxa"/>
        </w:tblCellMar>
        <w:tblLook w:val="0420" w:firstRow="1" w:lastRow="0" w:firstColumn="0" w:lastColumn="0" w:noHBand="0" w:noVBand="1"/>
      </w:tblPr>
      <w:tblGrid>
        <w:gridCol w:w="1664"/>
        <w:gridCol w:w="7520"/>
      </w:tblGrid>
      <w:tr w:rsidR="004C4FD0" w:rsidRPr="0069403A" w14:paraId="31E6C474" w14:textId="77777777" w:rsidTr="002F7F83">
        <w:trPr>
          <w:trHeight w:val="283"/>
          <w:jc w:val="center"/>
        </w:trPr>
        <w:tc>
          <w:tcPr>
            <w:tcW w:w="906" w:type="pct"/>
            <w:shd w:val="clear" w:color="auto" w:fill="BFBFBF" w:themeFill="background1" w:themeFillShade="BF"/>
            <w:tcMar>
              <w:top w:w="72" w:type="dxa"/>
              <w:left w:w="144" w:type="dxa"/>
              <w:bottom w:w="72" w:type="dxa"/>
              <w:right w:w="144" w:type="dxa"/>
            </w:tcMar>
            <w:hideMark/>
          </w:tcPr>
          <w:p w14:paraId="008B7F8F" w14:textId="77777777" w:rsidR="004C4FD0" w:rsidRPr="004C4FD0" w:rsidRDefault="004C4FD0" w:rsidP="002F7F83">
            <w:pPr>
              <w:spacing w:after="0" w:line="240" w:lineRule="auto"/>
              <w:rPr>
                <w:rFonts w:ascii="Futura Std Condensed Light" w:eastAsia="Calibri" w:hAnsi="Futura Std Condensed Light" w:cs="Calibri"/>
                <w:sz w:val="18"/>
                <w:szCs w:val="18"/>
              </w:rPr>
            </w:pPr>
            <w:r w:rsidRPr="004C4FD0">
              <w:rPr>
                <w:rFonts w:ascii="Futura Std Condensed Light" w:eastAsia="Calibri" w:hAnsi="Futura Std Condensed Light" w:cs="Calibri"/>
                <w:sz w:val="18"/>
                <w:szCs w:val="18"/>
              </w:rPr>
              <w:t>Elemento</w:t>
            </w:r>
          </w:p>
        </w:tc>
        <w:tc>
          <w:tcPr>
            <w:tcW w:w="4094" w:type="pct"/>
            <w:shd w:val="clear" w:color="auto" w:fill="BFBFBF" w:themeFill="background1" w:themeFillShade="BF"/>
            <w:tcMar>
              <w:top w:w="72" w:type="dxa"/>
              <w:left w:w="144" w:type="dxa"/>
              <w:bottom w:w="72" w:type="dxa"/>
              <w:right w:w="144" w:type="dxa"/>
            </w:tcMar>
            <w:hideMark/>
          </w:tcPr>
          <w:p w14:paraId="02A93F1C" w14:textId="77777777" w:rsidR="004C4FD0" w:rsidRPr="004C4FD0" w:rsidRDefault="004C4FD0" w:rsidP="002F7F83">
            <w:pPr>
              <w:spacing w:after="0" w:line="240" w:lineRule="auto"/>
              <w:rPr>
                <w:rFonts w:ascii="Futura Std Condensed Light" w:eastAsia="Calibri" w:hAnsi="Futura Std Condensed Light" w:cs="Calibri"/>
                <w:sz w:val="18"/>
                <w:szCs w:val="18"/>
              </w:rPr>
            </w:pPr>
            <w:r w:rsidRPr="004C4FD0">
              <w:rPr>
                <w:rFonts w:ascii="Futura Std Condensed Light" w:eastAsia="Calibri" w:hAnsi="Futura Std Condensed Light" w:cs="Calibri"/>
                <w:sz w:val="18"/>
                <w:szCs w:val="18"/>
              </w:rPr>
              <w:t>Características</w:t>
            </w:r>
          </w:p>
        </w:tc>
      </w:tr>
      <w:tr w:rsidR="004C4FD0" w:rsidRPr="0069403A" w14:paraId="28575172" w14:textId="77777777" w:rsidTr="002F7F83">
        <w:trPr>
          <w:trHeight w:val="283"/>
          <w:jc w:val="center"/>
        </w:trPr>
        <w:tc>
          <w:tcPr>
            <w:tcW w:w="906" w:type="pct"/>
            <w:shd w:val="clear" w:color="auto" w:fill="FFFFFF" w:themeFill="background1"/>
            <w:tcMar>
              <w:top w:w="72" w:type="dxa"/>
              <w:left w:w="144" w:type="dxa"/>
              <w:bottom w:w="72" w:type="dxa"/>
              <w:right w:w="144" w:type="dxa"/>
            </w:tcMar>
            <w:hideMark/>
          </w:tcPr>
          <w:p w14:paraId="7D0B6CB7" w14:textId="77777777" w:rsidR="004C4FD0" w:rsidRPr="004C4FD0" w:rsidRDefault="004C4FD0" w:rsidP="002F7F83">
            <w:pPr>
              <w:spacing w:after="0" w:line="240" w:lineRule="auto"/>
              <w:rPr>
                <w:rFonts w:ascii="Futura Std Condensed Light" w:eastAsia="Calibri" w:hAnsi="Futura Std Condensed Light" w:cs="Calibri"/>
                <w:sz w:val="18"/>
                <w:szCs w:val="18"/>
              </w:rPr>
            </w:pPr>
            <w:r w:rsidRPr="004C4FD0">
              <w:rPr>
                <w:rFonts w:ascii="Futura Std Condensed Light" w:eastAsia="Calibri" w:hAnsi="Futura Std Condensed Light" w:cs="Calibri"/>
                <w:sz w:val="18"/>
                <w:szCs w:val="18"/>
              </w:rPr>
              <w:t>Indicador:</w:t>
            </w:r>
          </w:p>
        </w:tc>
        <w:tc>
          <w:tcPr>
            <w:tcW w:w="4094" w:type="pct"/>
            <w:shd w:val="clear" w:color="auto" w:fill="FFFFFF" w:themeFill="background1"/>
            <w:tcMar>
              <w:top w:w="72" w:type="dxa"/>
              <w:left w:w="144" w:type="dxa"/>
              <w:bottom w:w="72" w:type="dxa"/>
              <w:right w:w="144" w:type="dxa"/>
            </w:tcMar>
          </w:tcPr>
          <w:p w14:paraId="3A56A07B" w14:textId="77777777" w:rsidR="004C4FD0" w:rsidRPr="004C4FD0" w:rsidRDefault="004C4FD0" w:rsidP="002F7F83">
            <w:pPr>
              <w:spacing w:after="0" w:line="240" w:lineRule="auto"/>
              <w:rPr>
                <w:rFonts w:ascii="Futura Std Condensed Light" w:eastAsia="Calibri" w:hAnsi="Futura Std Condensed Light" w:cs="Calibri"/>
                <w:sz w:val="18"/>
                <w:szCs w:val="18"/>
              </w:rPr>
            </w:pPr>
            <w:r w:rsidRPr="004C4FD0">
              <w:rPr>
                <w:rFonts w:ascii="Futura Std Condensed Light" w:eastAsia="Calibri" w:hAnsi="Futura Std Condensed Light" w:cs="Calibri"/>
                <w:sz w:val="18"/>
                <w:szCs w:val="18"/>
              </w:rPr>
              <w:t xml:space="preserve">Proporción de becarios quintanarroenses en Programas Nacionales de Posgrados de calidad </w:t>
            </w:r>
          </w:p>
        </w:tc>
      </w:tr>
      <w:tr w:rsidR="004C4FD0" w:rsidRPr="0069403A" w14:paraId="602C77C3" w14:textId="77777777" w:rsidTr="002F7F83">
        <w:trPr>
          <w:trHeight w:val="283"/>
          <w:jc w:val="center"/>
        </w:trPr>
        <w:tc>
          <w:tcPr>
            <w:tcW w:w="906" w:type="pct"/>
            <w:shd w:val="clear" w:color="auto" w:fill="FFFFFF" w:themeFill="background1"/>
            <w:tcMar>
              <w:top w:w="72" w:type="dxa"/>
              <w:left w:w="144" w:type="dxa"/>
              <w:bottom w:w="72" w:type="dxa"/>
              <w:right w:w="144" w:type="dxa"/>
            </w:tcMar>
          </w:tcPr>
          <w:p w14:paraId="38DC562F" w14:textId="5D68D7FD" w:rsidR="004C4FD0" w:rsidRPr="004C4FD0" w:rsidRDefault="004C4FD0" w:rsidP="002F7F83">
            <w:pPr>
              <w:spacing w:after="0" w:line="240" w:lineRule="auto"/>
              <w:rPr>
                <w:rFonts w:ascii="Futura Std Condensed Light" w:eastAsia="Calibri" w:hAnsi="Futura Std Condensed Light" w:cs="Calibri"/>
                <w:sz w:val="18"/>
                <w:szCs w:val="18"/>
              </w:rPr>
            </w:pPr>
            <w:r w:rsidRPr="004C4FD0">
              <w:rPr>
                <w:rFonts w:ascii="Futura Std Condensed Light" w:eastAsia="Calibri" w:hAnsi="Futura Std Condensed Light" w:cs="Calibri"/>
                <w:sz w:val="18"/>
                <w:szCs w:val="18"/>
              </w:rPr>
              <w:t>Estrategia</w:t>
            </w:r>
            <w:r w:rsidR="00461ED3">
              <w:rPr>
                <w:rFonts w:ascii="Futura Std Condensed Light" w:eastAsia="Calibri" w:hAnsi="Futura Std Condensed Light" w:cs="Calibri"/>
                <w:sz w:val="18"/>
                <w:szCs w:val="18"/>
              </w:rPr>
              <w:t xml:space="preserve"> 9</w:t>
            </w:r>
            <w:r w:rsidRPr="004C4FD0">
              <w:rPr>
                <w:rFonts w:ascii="Futura Std Condensed Light" w:eastAsia="Calibri" w:hAnsi="Futura Std Condensed Light" w:cs="Calibri"/>
                <w:sz w:val="18"/>
                <w:szCs w:val="18"/>
              </w:rPr>
              <w:t>:</w:t>
            </w:r>
          </w:p>
        </w:tc>
        <w:tc>
          <w:tcPr>
            <w:tcW w:w="4094" w:type="pct"/>
            <w:shd w:val="clear" w:color="auto" w:fill="FFFFFF" w:themeFill="background1"/>
            <w:tcMar>
              <w:top w:w="72" w:type="dxa"/>
              <w:left w:w="144" w:type="dxa"/>
              <w:bottom w:w="72" w:type="dxa"/>
              <w:right w:w="144" w:type="dxa"/>
            </w:tcMar>
          </w:tcPr>
          <w:p w14:paraId="77E325C2" w14:textId="77777777" w:rsidR="004C4FD0" w:rsidRPr="004C4FD0" w:rsidRDefault="004C4FD0" w:rsidP="002F7F83">
            <w:pPr>
              <w:spacing w:after="0" w:line="240" w:lineRule="auto"/>
              <w:rPr>
                <w:rFonts w:ascii="Futura Std Condensed Light" w:eastAsia="Calibri" w:hAnsi="Futura Std Condensed Light" w:cs="Calibri"/>
                <w:sz w:val="18"/>
                <w:szCs w:val="18"/>
              </w:rPr>
            </w:pPr>
            <w:r w:rsidRPr="004C4FD0">
              <w:rPr>
                <w:rFonts w:ascii="Futura Std Condensed Light" w:eastAsia="Calibri" w:hAnsi="Futura Std Condensed Light" w:cs="Calibri"/>
                <w:sz w:val="18"/>
                <w:szCs w:val="18"/>
              </w:rPr>
              <w:t>Promover la inversión en ciencia, tecnología e innovación, aprovechando productivamente el nuevo conocimiento y las nuevas tecnologías en beneficio de la sociedad, coadyuvando al desarrollo de la actividad económica de la entidad.</w:t>
            </w:r>
          </w:p>
        </w:tc>
      </w:tr>
      <w:tr w:rsidR="004C4FD0" w:rsidRPr="0069403A" w14:paraId="21EFEDC3" w14:textId="77777777" w:rsidTr="002F7F83">
        <w:trPr>
          <w:trHeight w:val="283"/>
          <w:jc w:val="center"/>
        </w:trPr>
        <w:tc>
          <w:tcPr>
            <w:tcW w:w="906" w:type="pct"/>
            <w:shd w:val="clear" w:color="auto" w:fill="FFFFFF" w:themeFill="background1"/>
            <w:tcMar>
              <w:top w:w="72" w:type="dxa"/>
              <w:left w:w="144" w:type="dxa"/>
              <w:bottom w:w="72" w:type="dxa"/>
              <w:right w:w="144" w:type="dxa"/>
            </w:tcMar>
            <w:hideMark/>
          </w:tcPr>
          <w:p w14:paraId="24FB7073" w14:textId="77777777" w:rsidR="004C4FD0" w:rsidRPr="004C4FD0" w:rsidRDefault="004C4FD0" w:rsidP="002F7F83">
            <w:pPr>
              <w:spacing w:after="0" w:line="240" w:lineRule="auto"/>
              <w:rPr>
                <w:rFonts w:ascii="Futura Std Condensed Light" w:eastAsia="Calibri" w:hAnsi="Futura Std Condensed Light" w:cs="Calibri"/>
                <w:sz w:val="18"/>
                <w:szCs w:val="18"/>
              </w:rPr>
            </w:pPr>
            <w:r w:rsidRPr="004C4FD0">
              <w:rPr>
                <w:rFonts w:ascii="Futura Std Condensed Light" w:eastAsia="Calibri" w:hAnsi="Futura Std Condensed Light" w:cs="Calibri"/>
                <w:sz w:val="18"/>
                <w:szCs w:val="18"/>
              </w:rPr>
              <w:t>Descripción:</w:t>
            </w:r>
          </w:p>
        </w:tc>
        <w:tc>
          <w:tcPr>
            <w:tcW w:w="4094" w:type="pct"/>
            <w:shd w:val="clear" w:color="auto" w:fill="FFFFFF" w:themeFill="background1"/>
            <w:tcMar>
              <w:top w:w="72" w:type="dxa"/>
              <w:left w:w="144" w:type="dxa"/>
              <w:bottom w:w="72" w:type="dxa"/>
              <w:right w:w="144" w:type="dxa"/>
            </w:tcMar>
          </w:tcPr>
          <w:p w14:paraId="5D15A1E0" w14:textId="77777777" w:rsidR="004C4FD0" w:rsidRPr="004C4FD0" w:rsidRDefault="004C4FD0" w:rsidP="002F7F83">
            <w:pPr>
              <w:spacing w:after="0" w:line="240" w:lineRule="auto"/>
              <w:rPr>
                <w:rFonts w:ascii="Futura Std Condensed Light" w:eastAsia="Calibri" w:hAnsi="Futura Std Condensed Light" w:cs="Calibri"/>
                <w:sz w:val="18"/>
                <w:szCs w:val="18"/>
              </w:rPr>
            </w:pPr>
            <w:r w:rsidRPr="004C4FD0">
              <w:rPr>
                <w:rFonts w:ascii="Futura Std Condensed Light" w:eastAsia="Calibri" w:hAnsi="Futura Std Condensed Light" w:cs="Calibri"/>
                <w:sz w:val="18"/>
                <w:szCs w:val="18"/>
              </w:rPr>
              <w:t xml:space="preserve">Este indicador es una medida del esfuerzo realizado en materia de formación de recursos humanos de alta especialidad, para apoyar el desarrollo del Estado. </w:t>
            </w:r>
          </w:p>
        </w:tc>
      </w:tr>
      <w:tr w:rsidR="004C4FD0" w:rsidRPr="0069403A" w14:paraId="5AABEBAE" w14:textId="77777777" w:rsidTr="002F7F83">
        <w:trPr>
          <w:trHeight w:val="283"/>
          <w:jc w:val="center"/>
        </w:trPr>
        <w:tc>
          <w:tcPr>
            <w:tcW w:w="906" w:type="pct"/>
            <w:shd w:val="clear" w:color="auto" w:fill="FFFFFF" w:themeFill="background1"/>
            <w:tcMar>
              <w:top w:w="72" w:type="dxa"/>
              <w:left w:w="144" w:type="dxa"/>
              <w:bottom w:w="72" w:type="dxa"/>
              <w:right w:w="144" w:type="dxa"/>
            </w:tcMar>
            <w:hideMark/>
          </w:tcPr>
          <w:p w14:paraId="0C810E16" w14:textId="77777777" w:rsidR="004C4FD0" w:rsidRPr="004C4FD0" w:rsidRDefault="004C4FD0" w:rsidP="004C4FD0">
            <w:pPr>
              <w:spacing w:after="0" w:line="240" w:lineRule="auto"/>
              <w:rPr>
                <w:rFonts w:ascii="Futura Std Condensed Light" w:eastAsia="Calibri" w:hAnsi="Futura Std Condensed Light" w:cs="Calibri"/>
                <w:sz w:val="18"/>
                <w:szCs w:val="18"/>
              </w:rPr>
            </w:pPr>
            <w:r w:rsidRPr="004C4FD0">
              <w:rPr>
                <w:rFonts w:ascii="Futura Std Condensed Light" w:eastAsia="Calibri" w:hAnsi="Futura Std Condensed Light" w:cs="Calibri"/>
                <w:sz w:val="18"/>
                <w:szCs w:val="18"/>
              </w:rPr>
              <w:t>Método de cálculo:</w:t>
            </w:r>
          </w:p>
        </w:tc>
        <w:tc>
          <w:tcPr>
            <w:tcW w:w="4094" w:type="pct"/>
            <w:shd w:val="clear" w:color="auto" w:fill="FFFFFF" w:themeFill="background1"/>
            <w:tcMar>
              <w:top w:w="72" w:type="dxa"/>
              <w:left w:w="144" w:type="dxa"/>
              <w:bottom w:w="72" w:type="dxa"/>
              <w:right w:w="144" w:type="dxa"/>
            </w:tcMar>
          </w:tcPr>
          <w:p w14:paraId="4E0616F7" w14:textId="77777777" w:rsidR="004C4FD0" w:rsidRPr="004C4FD0" w:rsidRDefault="004C4FD0" w:rsidP="004C4FD0">
            <w:pPr>
              <w:spacing w:after="0" w:line="240" w:lineRule="auto"/>
              <w:rPr>
                <w:rFonts w:ascii="Futura Std Condensed Light" w:eastAsia="Calibri" w:hAnsi="Futura Std Condensed Light" w:cs="Calibri"/>
                <w:sz w:val="18"/>
                <w:szCs w:val="18"/>
              </w:rPr>
            </w:pPr>
            <w:r w:rsidRPr="004C4FD0">
              <w:rPr>
                <w:rFonts w:ascii="Futura Std Condensed Light" w:eastAsia="Calibri" w:hAnsi="Futura Std Condensed Light" w:cs="Calibri"/>
                <w:sz w:val="18"/>
                <w:szCs w:val="18"/>
              </w:rPr>
              <w:t>(Becas vigentes de formación CONACYT para Quintanarroenses para el año t / Total de becas vigentes otorgadas por el CONACYT en el año t) X 100</w:t>
            </w:r>
          </w:p>
        </w:tc>
      </w:tr>
      <w:tr w:rsidR="004C4FD0" w:rsidRPr="0069403A" w14:paraId="757FF10B" w14:textId="77777777" w:rsidTr="002F7F83">
        <w:trPr>
          <w:trHeight w:val="283"/>
          <w:jc w:val="center"/>
        </w:trPr>
        <w:tc>
          <w:tcPr>
            <w:tcW w:w="906" w:type="pct"/>
            <w:shd w:val="clear" w:color="auto" w:fill="FFFFFF" w:themeFill="background1"/>
            <w:tcMar>
              <w:top w:w="72" w:type="dxa"/>
              <w:left w:w="144" w:type="dxa"/>
              <w:bottom w:w="72" w:type="dxa"/>
              <w:right w:w="144" w:type="dxa"/>
            </w:tcMar>
            <w:hideMark/>
          </w:tcPr>
          <w:p w14:paraId="107D45E9" w14:textId="77777777" w:rsidR="004C4FD0" w:rsidRPr="004C4FD0" w:rsidRDefault="004C4FD0" w:rsidP="002F7F83">
            <w:pPr>
              <w:spacing w:after="0" w:line="240" w:lineRule="auto"/>
              <w:rPr>
                <w:rFonts w:ascii="Futura Std Condensed Light" w:eastAsia="Calibri" w:hAnsi="Futura Std Condensed Light" w:cs="Calibri"/>
                <w:sz w:val="18"/>
                <w:szCs w:val="18"/>
              </w:rPr>
            </w:pPr>
            <w:r w:rsidRPr="004C4FD0">
              <w:rPr>
                <w:rFonts w:ascii="Futura Std Condensed Light" w:eastAsia="Calibri" w:hAnsi="Futura Std Condensed Light" w:cs="Calibri"/>
                <w:sz w:val="18"/>
                <w:szCs w:val="18"/>
              </w:rPr>
              <w:t>Periodicidad:</w:t>
            </w:r>
          </w:p>
        </w:tc>
        <w:tc>
          <w:tcPr>
            <w:tcW w:w="4094" w:type="pct"/>
            <w:shd w:val="clear" w:color="auto" w:fill="FFFFFF" w:themeFill="background1"/>
            <w:tcMar>
              <w:top w:w="72" w:type="dxa"/>
              <w:left w:w="144" w:type="dxa"/>
              <w:bottom w:w="72" w:type="dxa"/>
              <w:right w:w="144" w:type="dxa"/>
            </w:tcMar>
          </w:tcPr>
          <w:p w14:paraId="30EFAB00" w14:textId="77777777" w:rsidR="004C4FD0" w:rsidRPr="004C4FD0" w:rsidRDefault="004C4FD0" w:rsidP="002F7F83">
            <w:pPr>
              <w:spacing w:after="0" w:line="240" w:lineRule="auto"/>
              <w:rPr>
                <w:rFonts w:ascii="Futura Std Condensed Light" w:eastAsia="Calibri" w:hAnsi="Futura Std Condensed Light" w:cs="Calibri"/>
                <w:sz w:val="18"/>
                <w:szCs w:val="18"/>
              </w:rPr>
            </w:pPr>
            <w:r w:rsidRPr="004C4FD0">
              <w:rPr>
                <w:rFonts w:ascii="Futura Std Condensed Light" w:eastAsia="Calibri" w:hAnsi="Futura Std Condensed Light" w:cs="Calibri"/>
                <w:sz w:val="18"/>
                <w:szCs w:val="18"/>
              </w:rPr>
              <w:t>Anual</w:t>
            </w:r>
          </w:p>
        </w:tc>
      </w:tr>
      <w:tr w:rsidR="004C4FD0" w:rsidRPr="0069403A" w14:paraId="724F3A73" w14:textId="77777777" w:rsidTr="002F7F83">
        <w:trPr>
          <w:trHeight w:val="283"/>
          <w:jc w:val="center"/>
        </w:trPr>
        <w:tc>
          <w:tcPr>
            <w:tcW w:w="906" w:type="pct"/>
            <w:shd w:val="clear" w:color="auto" w:fill="FFFFFF" w:themeFill="background1"/>
            <w:tcMar>
              <w:top w:w="72" w:type="dxa"/>
              <w:left w:w="144" w:type="dxa"/>
              <w:bottom w:w="72" w:type="dxa"/>
              <w:right w:w="144" w:type="dxa"/>
            </w:tcMar>
            <w:hideMark/>
          </w:tcPr>
          <w:p w14:paraId="484F2F3A" w14:textId="77777777" w:rsidR="004C4FD0" w:rsidRPr="004C4FD0" w:rsidRDefault="004C4FD0" w:rsidP="002F7F83">
            <w:pPr>
              <w:spacing w:after="0" w:line="240" w:lineRule="auto"/>
              <w:rPr>
                <w:rFonts w:ascii="Futura Std Condensed Light" w:eastAsia="Calibri" w:hAnsi="Futura Std Condensed Light" w:cs="Calibri"/>
                <w:sz w:val="18"/>
                <w:szCs w:val="18"/>
              </w:rPr>
            </w:pPr>
            <w:r w:rsidRPr="004C4FD0">
              <w:rPr>
                <w:rFonts w:ascii="Futura Std Condensed Light" w:eastAsia="Calibri" w:hAnsi="Futura Std Condensed Light" w:cs="Calibri"/>
                <w:sz w:val="18"/>
                <w:szCs w:val="18"/>
              </w:rPr>
              <w:t>Fuente:</w:t>
            </w:r>
          </w:p>
        </w:tc>
        <w:tc>
          <w:tcPr>
            <w:tcW w:w="4094" w:type="pct"/>
            <w:shd w:val="clear" w:color="auto" w:fill="FFFFFF" w:themeFill="background1"/>
            <w:tcMar>
              <w:top w:w="72" w:type="dxa"/>
              <w:left w:w="144" w:type="dxa"/>
              <w:bottom w:w="72" w:type="dxa"/>
              <w:right w:w="144" w:type="dxa"/>
            </w:tcMar>
          </w:tcPr>
          <w:p w14:paraId="20D3A435" w14:textId="77777777" w:rsidR="004C4FD0" w:rsidRPr="004C4FD0" w:rsidRDefault="004C4FD0" w:rsidP="002F7F83">
            <w:pPr>
              <w:spacing w:after="0" w:line="240" w:lineRule="auto"/>
              <w:rPr>
                <w:rFonts w:ascii="Futura Std Condensed Light" w:eastAsia="Calibri" w:hAnsi="Futura Std Condensed Light" w:cs="Calibri"/>
                <w:sz w:val="18"/>
                <w:szCs w:val="18"/>
              </w:rPr>
            </w:pPr>
            <w:r w:rsidRPr="004C4FD0">
              <w:rPr>
                <w:rFonts w:ascii="Futura Std Condensed Light" w:eastAsia="Calibri" w:hAnsi="Futura Std Condensed Light" w:cs="Calibri"/>
                <w:sz w:val="18"/>
                <w:szCs w:val="18"/>
              </w:rPr>
              <w:t>Consejo Quintanarroense de Ciencia y Tecnología, COQCYT</w:t>
            </w:r>
          </w:p>
        </w:tc>
      </w:tr>
      <w:tr w:rsidR="004C4FD0" w:rsidRPr="0069403A" w14:paraId="480A83C9" w14:textId="77777777" w:rsidTr="002F7F83">
        <w:trPr>
          <w:trHeight w:val="283"/>
          <w:jc w:val="center"/>
        </w:trPr>
        <w:tc>
          <w:tcPr>
            <w:tcW w:w="906" w:type="pct"/>
            <w:shd w:val="clear" w:color="auto" w:fill="FFFFFF" w:themeFill="background1"/>
            <w:tcMar>
              <w:top w:w="72" w:type="dxa"/>
              <w:left w:w="144" w:type="dxa"/>
              <w:bottom w:w="72" w:type="dxa"/>
              <w:right w:w="144" w:type="dxa"/>
            </w:tcMar>
            <w:hideMark/>
          </w:tcPr>
          <w:p w14:paraId="64824CA1" w14:textId="77777777" w:rsidR="004C4FD0" w:rsidRPr="004C4FD0" w:rsidRDefault="004C4FD0" w:rsidP="002F7F83">
            <w:pPr>
              <w:spacing w:after="0" w:line="240" w:lineRule="auto"/>
              <w:rPr>
                <w:rFonts w:ascii="Futura Std Condensed Light" w:eastAsia="Calibri" w:hAnsi="Futura Std Condensed Light" w:cs="Calibri"/>
                <w:sz w:val="18"/>
                <w:szCs w:val="18"/>
              </w:rPr>
            </w:pPr>
            <w:r w:rsidRPr="004C4FD0">
              <w:rPr>
                <w:rFonts w:ascii="Futura Std Condensed Light" w:eastAsia="Calibri" w:hAnsi="Futura Std Condensed Light" w:cs="Calibri"/>
                <w:sz w:val="18"/>
                <w:szCs w:val="18"/>
              </w:rPr>
              <w:t>Dimensión:</w:t>
            </w:r>
          </w:p>
        </w:tc>
        <w:tc>
          <w:tcPr>
            <w:tcW w:w="4094" w:type="pct"/>
            <w:shd w:val="clear" w:color="auto" w:fill="FFFFFF" w:themeFill="background1"/>
            <w:tcMar>
              <w:top w:w="72" w:type="dxa"/>
              <w:left w:w="144" w:type="dxa"/>
              <w:bottom w:w="72" w:type="dxa"/>
              <w:right w:w="144" w:type="dxa"/>
            </w:tcMar>
            <w:hideMark/>
          </w:tcPr>
          <w:p w14:paraId="75C2AA41" w14:textId="77777777" w:rsidR="004C4FD0" w:rsidRPr="004C4FD0" w:rsidRDefault="004C4FD0" w:rsidP="002F7F83">
            <w:pPr>
              <w:spacing w:after="0" w:line="240" w:lineRule="auto"/>
              <w:rPr>
                <w:rFonts w:ascii="Futura Std Condensed Light" w:eastAsia="Calibri" w:hAnsi="Futura Std Condensed Light" w:cs="Calibri"/>
                <w:sz w:val="18"/>
                <w:szCs w:val="18"/>
              </w:rPr>
            </w:pPr>
            <w:r w:rsidRPr="004C4FD0">
              <w:rPr>
                <w:rFonts w:ascii="Futura Std Condensed Light" w:eastAsia="Calibri" w:hAnsi="Futura Std Condensed Light" w:cs="Calibri"/>
                <w:sz w:val="18"/>
                <w:szCs w:val="18"/>
              </w:rPr>
              <w:t>Eficacia</w:t>
            </w:r>
          </w:p>
        </w:tc>
      </w:tr>
      <w:tr w:rsidR="004C4FD0" w:rsidRPr="0069403A" w14:paraId="464C9D6E" w14:textId="77777777" w:rsidTr="002F7F83">
        <w:trPr>
          <w:trHeight w:val="283"/>
          <w:jc w:val="center"/>
        </w:trPr>
        <w:tc>
          <w:tcPr>
            <w:tcW w:w="906" w:type="pct"/>
            <w:shd w:val="clear" w:color="auto" w:fill="FFFFFF" w:themeFill="background1"/>
            <w:tcMar>
              <w:top w:w="72" w:type="dxa"/>
              <w:left w:w="144" w:type="dxa"/>
              <w:bottom w:w="72" w:type="dxa"/>
              <w:right w:w="144" w:type="dxa"/>
            </w:tcMar>
            <w:hideMark/>
          </w:tcPr>
          <w:p w14:paraId="566E9FBE" w14:textId="77777777" w:rsidR="004C4FD0" w:rsidRPr="004C4FD0" w:rsidRDefault="004C4FD0" w:rsidP="002F7F83">
            <w:pPr>
              <w:spacing w:after="0" w:line="240" w:lineRule="auto"/>
              <w:rPr>
                <w:rFonts w:ascii="Futura Std Condensed Light" w:eastAsia="Calibri" w:hAnsi="Futura Std Condensed Light" w:cs="Calibri"/>
                <w:sz w:val="18"/>
                <w:szCs w:val="18"/>
              </w:rPr>
            </w:pPr>
            <w:r w:rsidRPr="004C4FD0">
              <w:rPr>
                <w:rFonts w:ascii="Futura Std Condensed Light" w:eastAsia="Calibri" w:hAnsi="Futura Std Condensed Light" w:cs="Calibri"/>
                <w:sz w:val="18"/>
                <w:szCs w:val="18"/>
              </w:rPr>
              <w:t>Referencias adicionales:</w:t>
            </w:r>
          </w:p>
        </w:tc>
        <w:tc>
          <w:tcPr>
            <w:tcW w:w="4094" w:type="pct"/>
            <w:shd w:val="clear" w:color="auto" w:fill="FFFFFF" w:themeFill="background1"/>
            <w:tcMar>
              <w:top w:w="72" w:type="dxa"/>
              <w:left w:w="144" w:type="dxa"/>
              <w:bottom w:w="72" w:type="dxa"/>
              <w:right w:w="144" w:type="dxa"/>
            </w:tcMar>
            <w:hideMark/>
          </w:tcPr>
          <w:p w14:paraId="6CF3212D" w14:textId="77777777" w:rsidR="004C4FD0" w:rsidRPr="004C4FD0" w:rsidRDefault="004C4FD0" w:rsidP="002F7F83">
            <w:pPr>
              <w:spacing w:after="0" w:line="240" w:lineRule="auto"/>
              <w:rPr>
                <w:rFonts w:ascii="Futura Std Condensed Light" w:eastAsia="Calibri" w:hAnsi="Futura Std Condensed Light" w:cs="Calibri"/>
                <w:sz w:val="18"/>
                <w:szCs w:val="18"/>
              </w:rPr>
            </w:pPr>
            <w:r w:rsidRPr="004C4FD0">
              <w:rPr>
                <w:rFonts w:ascii="Futura Std Condensed Light" w:eastAsia="Calibri" w:hAnsi="Futura Std Condensed Light" w:cs="Calibri"/>
                <w:sz w:val="18"/>
                <w:szCs w:val="18"/>
              </w:rPr>
              <w:t xml:space="preserve">La información de referencia ha sido y será la obtenida en </w:t>
            </w:r>
            <w:hyperlink r:id="rId27" w:history="1">
              <w:r w:rsidRPr="004C4FD0">
                <w:rPr>
                  <w:sz w:val="18"/>
                  <w:szCs w:val="18"/>
                </w:rPr>
                <w:t>http://bit.ly/2woJbnn</w:t>
              </w:r>
            </w:hyperlink>
            <w:r w:rsidRPr="004C4FD0">
              <w:rPr>
                <w:rFonts w:ascii="Futura Std Condensed Light" w:eastAsia="Calibri" w:hAnsi="Futura Std Condensed Light" w:cs="Calibri"/>
                <w:sz w:val="18"/>
                <w:szCs w:val="18"/>
              </w:rPr>
              <w:t xml:space="preserve"> </w:t>
            </w:r>
          </w:p>
        </w:tc>
      </w:tr>
    </w:tbl>
    <w:p w14:paraId="148B1C4D" w14:textId="0433467B" w:rsidR="00FE56F6" w:rsidRDefault="00FE56F6" w:rsidP="00C11F5C">
      <w:pPr>
        <w:spacing w:after="0" w:line="240" w:lineRule="auto"/>
      </w:pPr>
    </w:p>
    <w:p w14:paraId="59D67744" w14:textId="77777777" w:rsidR="002B38A6" w:rsidRDefault="002B38A6">
      <w:pPr>
        <w:spacing w:after="0" w:line="240" w:lineRule="auto"/>
        <w:jc w:val="left"/>
        <w:rPr>
          <w:b/>
        </w:rPr>
      </w:pPr>
      <w:r>
        <w:rPr>
          <w:b/>
        </w:rPr>
        <w:br w:type="page"/>
      </w:r>
    </w:p>
    <w:p w14:paraId="2A54BD3D" w14:textId="10F67440" w:rsidR="004C4FD0" w:rsidRDefault="004C4FD0" w:rsidP="00FE56F6">
      <w:r>
        <w:rPr>
          <w:b/>
        </w:rPr>
        <w:lastRenderedPageBreak/>
        <w:t>Objetivo 10</w:t>
      </w:r>
      <w:r w:rsidR="00FE56F6">
        <w:rPr>
          <w:b/>
        </w:rPr>
        <w:t xml:space="preserve">. </w:t>
      </w:r>
      <w:r w:rsidR="00FE56F6" w:rsidRPr="00FE56F6">
        <w:t>Impulsar la adquisición de conocimientos, habilidades y destrezas relacionadas con un oficio calificado que permita mejorar la calidad de vida de las personas mediante la capacitación, evaluación y certificación.</w:t>
      </w:r>
    </w:p>
    <w:tbl>
      <w:tblPr>
        <w:tblStyle w:val="TablaSectorial"/>
        <w:tblW w:w="4815" w:type="pct"/>
        <w:tblLook w:val="0420" w:firstRow="1" w:lastRow="0" w:firstColumn="0" w:lastColumn="0" w:noHBand="0" w:noVBand="1"/>
      </w:tblPr>
      <w:tblGrid>
        <w:gridCol w:w="1664"/>
        <w:gridCol w:w="7520"/>
      </w:tblGrid>
      <w:tr w:rsidR="00FE56F6" w:rsidRPr="00FD195D" w14:paraId="2866443D" w14:textId="77777777" w:rsidTr="001402B7">
        <w:trPr>
          <w:cnfStyle w:val="100000000000" w:firstRow="1" w:lastRow="0" w:firstColumn="0" w:lastColumn="0" w:oddVBand="0" w:evenVBand="0" w:oddHBand="0" w:evenHBand="0" w:firstRowFirstColumn="0" w:firstRowLastColumn="0" w:lastRowFirstColumn="0" w:lastRowLastColumn="0"/>
          <w:trHeight w:val="283"/>
        </w:trPr>
        <w:tc>
          <w:tcPr>
            <w:tcW w:w="906" w:type="pct"/>
            <w:hideMark/>
          </w:tcPr>
          <w:p w14:paraId="5985BD39" w14:textId="77777777" w:rsidR="00FE56F6" w:rsidRPr="00FD195D" w:rsidRDefault="00FE56F6" w:rsidP="001402B7">
            <w:pPr>
              <w:spacing w:after="0" w:line="240" w:lineRule="auto"/>
              <w:rPr>
                <w:rFonts w:ascii="Futura Std Condensed Light" w:eastAsia="Calibri" w:hAnsi="Futura Std Condensed Light" w:cs="Calibri"/>
                <w:b/>
                <w:sz w:val="18"/>
                <w:szCs w:val="18"/>
              </w:rPr>
            </w:pPr>
            <w:r w:rsidRPr="00FD195D">
              <w:rPr>
                <w:rFonts w:ascii="Futura Std Condensed Light" w:eastAsia="Calibri" w:hAnsi="Futura Std Condensed Light" w:cs="Calibri"/>
                <w:b/>
                <w:sz w:val="18"/>
                <w:szCs w:val="18"/>
              </w:rPr>
              <w:t>Elemento</w:t>
            </w:r>
          </w:p>
        </w:tc>
        <w:tc>
          <w:tcPr>
            <w:tcW w:w="4094" w:type="pct"/>
            <w:hideMark/>
          </w:tcPr>
          <w:p w14:paraId="7AB90E4B" w14:textId="77777777" w:rsidR="00FE56F6" w:rsidRPr="00FD195D" w:rsidRDefault="00FE56F6" w:rsidP="001402B7">
            <w:pPr>
              <w:spacing w:after="0" w:line="240" w:lineRule="auto"/>
              <w:rPr>
                <w:rFonts w:ascii="Futura Std Condensed Light" w:eastAsia="Calibri" w:hAnsi="Futura Std Condensed Light" w:cs="Calibri"/>
                <w:b/>
                <w:sz w:val="18"/>
                <w:szCs w:val="18"/>
              </w:rPr>
            </w:pPr>
            <w:r w:rsidRPr="00FD195D">
              <w:rPr>
                <w:rFonts w:ascii="Futura Std Condensed Light" w:eastAsia="Calibri" w:hAnsi="Futura Std Condensed Light" w:cs="Calibri"/>
                <w:b/>
                <w:sz w:val="18"/>
                <w:szCs w:val="18"/>
              </w:rPr>
              <w:t>Características</w:t>
            </w:r>
          </w:p>
        </w:tc>
      </w:tr>
      <w:tr w:rsidR="00FE56F6" w:rsidRPr="00FD195D" w14:paraId="1FA41BD6" w14:textId="77777777" w:rsidTr="001402B7">
        <w:trPr>
          <w:trHeight w:val="283"/>
        </w:trPr>
        <w:tc>
          <w:tcPr>
            <w:tcW w:w="906" w:type="pct"/>
            <w:hideMark/>
          </w:tcPr>
          <w:p w14:paraId="7654AEB3" w14:textId="77777777" w:rsidR="00FE56F6" w:rsidRPr="00FD195D" w:rsidRDefault="00FE56F6" w:rsidP="001402B7">
            <w:pPr>
              <w:spacing w:after="0" w:line="240" w:lineRule="auto"/>
              <w:rPr>
                <w:rFonts w:ascii="Futura Std Condensed Light" w:eastAsia="Calibri" w:hAnsi="Futura Std Condensed Light" w:cs="Calibri"/>
                <w:sz w:val="18"/>
                <w:szCs w:val="18"/>
              </w:rPr>
            </w:pPr>
            <w:r w:rsidRPr="00FD195D">
              <w:rPr>
                <w:rFonts w:ascii="Futura Std Condensed Light" w:eastAsia="Calibri" w:hAnsi="Futura Std Condensed Light" w:cs="Calibri"/>
                <w:sz w:val="18"/>
                <w:szCs w:val="18"/>
              </w:rPr>
              <w:t>Indicador:</w:t>
            </w:r>
          </w:p>
        </w:tc>
        <w:tc>
          <w:tcPr>
            <w:tcW w:w="4094" w:type="pct"/>
          </w:tcPr>
          <w:p w14:paraId="29BF015D" w14:textId="033D1CD3" w:rsidR="00FE56F6" w:rsidRPr="00FD195D" w:rsidRDefault="001824D0" w:rsidP="001824D0">
            <w:pPr>
              <w:spacing w:after="0"/>
              <w:rPr>
                <w:rFonts w:ascii="Futura Std Condensed Light" w:eastAsia="Calibri" w:hAnsi="Futura Std Condensed Light" w:cs="Calibri"/>
                <w:sz w:val="18"/>
                <w:szCs w:val="18"/>
              </w:rPr>
            </w:pPr>
            <w:r w:rsidRPr="001824D0">
              <w:rPr>
                <w:rFonts w:ascii="Futura Std Condensed Light" w:eastAsia="Calibri" w:hAnsi="Futura Std Condensed Light" w:cs="Calibri"/>
                <w:sz w:val="18"/>
                <w:szCs w:val="18"/>
              </w:rPr>
              <w:t>Porcentaje de la población de 15 a 65 años y más egresados en los programas de capacitación y/o procesos de evaluación, obtienen su documento oficial.</w:t>
            </w:r>
          </w:p>
        </w:tc>
      </w:tr>
      <w:tr w:rsidR="00FE56F6" w:rsidRPr="00FD195D" w14:paraId="2D81DF9A" w14:textId="77777777" w:rsidTr="001824D0">
        <w:trPr>
          <w:trHeight w:val="472"/>
        </w:trPr>
        <w:tc>
          <w:tcPr>
            <w:tcW w:w="906" w:type="pct"/>
          </w:tcPr>
          <w:p w14:paraId="75CCAC6B" w14:textId="69A81706" w:rsidR="00FE56F6" w:rsidRPr="00FD195D" w:rsidRDefault="00461ED3" w:rsidP="001402B7">
            <w:pPr>
              <w:spacing w:after="0" w:line="240" w:lineRule="auto"/>
              <w:rPr>
                <w:rFonts w:ascii="Futura Std Condensed Light" w:eastAsia="Calibri" w:hAnsi="Futura Std Condensed Light" w:cs="Calibri"/>
                <w:sz w:val="18"/>
                <w:szCs w:val="18"/>
              </w:rPr>
            </w:pPr>
            <w:r>
              <w:rPr>
                <w:rFonts w:ascii="Futura Std Condensed Light" w:eastAsia="Calibri" w:hAnsi="Futura Std Condensed Light" w:cs="Calibri"/>
                <w:sz w:val="18"/>
                <w:szCs w:val="18"/>
              </w:rPr>
              <w:t>Objetivo 10</w:t>
            </w:r>
            <w:r w:rsidR="00FE56F6" w:rsidRPr="00FD195D">
              <w:rPr>
                <w:rFonts w:ascii="Futura Std Condensed Light" w:eastAsia="Calibri" w:hAnsi="Futura Std Condensed Light" w:cs="Calibri"/>
                <w:sz w:val="18"/>
                <w:szCs w:val="18"/>
              </w:rPr>
              <w:t>:</w:t>
            </w:r>
          </w:p>
        </w:tc>
        <w:tc>
          <w:tcPr>
            <w:tcW w:w="4094" w:type="pct"/>
          </w:tcPr>
          <w:p w14:paraId="47FF703E" w14:textId="658AD7DF" w:rsidR="00FE56F6" w:rsidRPr="00FD195D" w:rsidRDefault="00FE56F6" w:rsidP="001824D0">
            <w:pPr>
              <w:rPr>
                <w:rFonts w:ascii="Futura Std Condensed Light" w:eastAsia="Calibri" w:hAnsi="Futura Std Condensed Light" w:cs="Calibri"/>
                <w:sz w:val="18"/>
                <w:szCs w:val="18"/>
              </w:rPr>
            </w:pPr>
            <w:r w:rsidRPr="00FE56F6">
              <w:rPr>
                <w:rFonts w:ascii="Futura Std Condensed Light" w:eastAsia="Calibri" w:hAnsi="Futura Std Condensed Light" w:cs="Calibri"/>
                <w:sz w:val="18"/>
                <w:szCs w:val="18"/>
              </w:rPr>
              <w:t>Impulsar la adquisición de conocimientos, habilidades y destrezas relacionadas con un oficio calificado que permita mejorar la calidad de vida de las personas mediante la capacitación, evaluación y certificación.</w:t>
            </w:r>
          </w:p>
        </w:tc>
      </w:tr>
      <w:tr w:rsidR="00FE56F6" w:rsidRPr="00FD195D" w14:paraId="7AFD07D4" w14:textId="77777777" w:rsidTr="001402B7">
        <w:trPr>
          <w:trHeight w:val="283"/>
        </w:trPr>
        <w:tc>
          <w:tcPr>
            <w:tcW w:w="906" w:type="pct"/>
            <w:hideMark/>
          </w:tcPr>
          <w:p w14:paraId="6A6BF20E" w14:textId="77777777" w:rsidR="00FE56F6" w:rsidRPr="00FD195D" w:rsidRDefault="00FE56F6" w:rsidP="001402B7">
            <w:pPr>
              <w:spacing w:after="0" w:line="240" w:lineRule="auto"/>
              <w:rPr>
                <w:rFonts w:ascii="Futura Std Condensed Light" w:eastAsia="Calibri" w:hAnsi="Futura Std Condensed Light" w:cs="Calibri"/>
                <w:sz w:val="18"/>
                <w:szCs w:val="18"/>
              </w:rPr>
            </w:pPr>
            <w:r w:rsidRPr="00FD195D">
              <w:rPr>
                <w:rFonts w:ascii="Futura Std Condensed Light" w:eastAsia="Calibri" w:hAnsi="Futura Std Condensed Light" w:cs="Calibri"/>
                <w:sz w:val="18"/>
                <w:szCs w:val="18"/>
              </w:rPr>
              <w:t>Descripción:</w:t>
            </w:r>
          </w:p>
        </w:tc>
        <w:tc>
          <w:tcPr>
            <w:tcW w:w="4094" w:type="pct"/>
          </w:tcPr>
          <w:p w14:paraId="4A31FE7E" w14:textId="72901ACF" w:rsidR="00FE56F6" w:rsidRPr="00FD195D" w:rsidRDefault="00CB6F4F" w:rsidP="001402B7">
            <w:pPr>
              <w:spacing w:after="0" w:line="240" w:lineRule="auto"/>
              <w:rPr>
                <w:rFonts w:ascii="Futura Std Condensed Light" w:eastAsia="Calibri" w:hAnsi="Futura Std Condensed Light" w:cs="Calibri"/>
                <w:sz w:val="18"/>
                <w:szCs w:val="18"/>
              </w:rPr>
            </w:pPr>
            <w:r w:rsidRPr="00CB6F4F">
              <w:rPr>
                <w:rFonts w:ascii="Futura Std Condensed Light" w:eastAsia="Calibri" w:hAnsi="Futura Std Condensed Light" w:cs="Calibri"/>
                <w:sz w:val="18"/>
                <w:szCs w:val="18"/>
              </w:rPr>
              <w:t>Esta indicador refleja el porcentaje  de los capacitandos egresados en cursos de capacitación y/o procesos de evaluación , en comparación con la población  de 15 a 65 años y más del Estado de Quintana Roo que toma algún curso o taller de capacitación y/o proceso de evaluación para y en el trabajo  en un año específico</w:t>
            </w:r>
          </w:p>
        </w:tc>
      </w:tr>
      <w:tr w:rsidR="00FE56F6" w:rsidRPr="00FD195D" w14:paraId="2888CC5E" w14:textId="77777777" w:rsidTr="001402B7">
        <w:trPr>
          <w:trHeight w:val="283"/>
        </w:trPr>
        <w:tc>
          <w:tcPr>
            <w:tcW w:w="906" w:type="pct"/>
            <w:hideMark/>
          </w:tcPr>
          <w:p w14:paraId="58224AF9" w14:textId="77777777" w:rsidR="00FE56F6" w:rsidRPr="00FD195D" w:rsidRDefault="00FE56F6" w:rsidP="001402B7">
            <w:pPr>
              <w:spacing w:after="0" w:line="240" w:lineRule="auto"/>
              <w:rPr>
                <w:rFonts w:ascii="Futura Std Condensed Light" w:eastAsia="Calibri" w:hAnsi="Futura Std Condensed Light" w:cs="Calibri"/>
                <w:sz w:val="18"/>
                <w:szCs w:val="18"/>
              </w:rPr>
            </w:pPr>
            <w:r w:rsidRPr="00FD195D">
              <w:rPr>
                <w:rFonts w:ascii="Futura Std Condensed Light" w:eastAsia="Calibri" w:hAnsi="Futura Std Condensed Light" w:cs="Calibri"/>
                <w:sz w:val="18"/>
                <w:szCs w:val="18"/>
              </w:rPr>
              <w:t>Método de cálculo:</w:t>
            </w:r>
          </w:p>
        </w:tc>
        <w:tc>
          <w:tcPr>
            <w:tcW w:w="4094" w:type="pct"/>
          </w:tcPr>
          <w:p w14:paraId="36A30F25" w14:textId="7477CB1D" w:rsidR="00FE56F6" w:rsidRPr="00FD195D" w:rsidRDefault="00EE6E8C" w:rsidP="00EE6E8C">
            <w:pPr>
              <w:spacing w:after="0" w:line="240" w:lineRule="auto"/>
              <w:rPr>
                <w:rFonts w:ascii="Futura Std Condensed Light" w:eastAsia="Calibri" w:hAnsi="Futura Std Condensed Light" w:cs="Calibri"/>
                <w:sz w:val="18"/>
                <w:szCs w:val="18"/>
              </w:rPr>
            </w:pPr>
            <w:r w:rsidRPr="00EE6E8C">
              <w:rPr>
                <w:rFonts w:ascii="Futura Std Condensed Light" w:eastAsia="Calibri" w:hAnsi="Futura Std Condensed Light" w:cs="Calibri"/>
                <w:sz w:val="18"/>
                <w:szCs w:val="18"/>
              </w:rPr>
              <w:t>(Número de personas capacitadas y evaluadas que finaliza de manera satisfactoria su curso o  proceso de evaluación en el año t/ Total de la población de 15 a 65 años y más del Estado de Quintana Roo  en el año t) X 100</w:t>
            </w:r>
          </w:p>
        </w:tc>
      </w:tr>
      <w:tr w:rsidR="00FE56F6" w:rsidRPr="00FD195D" w14:paraId="20C3E4C5" w14:textId="77777777" w:rsidTr="001402B7">
        <w:trPr>
          <w:trHeight w:val="283"/>
        </w:trPr>
        <w:tc>
          <w:tcPr>
            <w:tcW w:w="906" w:type="pct"/>
            <w:hideMark/>
          </w:tcPr>
          <w:p w14:paraId="23150865" w14:textId="77777777" w:rsidR="00FE56F6" w:rsidRPr="00FD195D" w:rsidRDefault="00FE56F6" w:rsidP="001402B7">
            <w:pPr>
              <w:spacing w:after="0" w:line="240" w:lineRule="auto"/>
              <w:rPr>
                <w:rFonts w:ascii="Futura Std Condensed Light" w:eastAsia="Calibri" w:hAnsi="Futura Std Condensed Light" w:cs="Calibri"/>
                <w:sz w:val="18"/>
                <w:szCs w:val="18"/>
              </w:rPr>
            </w:pPr>
            <w:r w:rsidRPr="00FD195D">
              <w:rPr>
                <w:rFonts w:ascii="Futura Std Condensed Light" w:eastAsia="Calibri" w:hAnsi="Futura Std Condensed Light" w:cs="Calibri"/>
                <w:sz w:val="18"/>
                <w:szCs w:val="18"/>
              </w:rPr>
              <w:t>Periodicidad:</w:t>
            </w:r>
          </w:p>
        </w:tc>
        <w:tc>
          <w:tcPr>
            <w:tcW w:w="4094" w:type="pct"/>
          </w:tcPr>
          <w:p w14:paraId="78EFC0C9" w14:textId="77777777" w:rsidR="00FE56F6" w:rsidRPr="00FD195D" w:rsidRDefault="00FE56F6" w:rsidP="001402B7">
            <w:pPr>
              <w:spacing w:after="0" w:line="240" w:lineRule="auto"/>
              <w:rPr>
                <w:rFonts w:ascii="Futura Std Condensed Light" w:eastAsia="Calibri" w:hAnsi="Futura Std Condensed Light" w:cs="Calibri"/>
                <w:sz w:val="18"/>
                <w:szCs w:val="18"/>
              </w:rPr>
            </w:pPr>
            <w:r w:rsidRPr="00FD195D">
              <w:rPr>
                <w:rFonts w:ascii="Futura Std Condensed Light" w:eastAsia="Calibri" w:hAnsi="Futura Std Condensed Light" w:cs="Calibri"/>
                <w:sz w:val="18"/>
                <w:szCs w:val="18"/>
              </w:rPr>
              <w:t>Anual</w:t>
            </w:r>
          </w:p>
        </w:tc>
      </w:tr>
      <w:tr w:rsidR="00FE56F6" w:rsidRPr="00FD195D" w14:paraId="0AB5B89D" w14:textId="77777777" w:rsidTr="001402B7">
        <w:trPr>
          <w:trHeight w:val="283"/>
        </w:trPr>
        <w:tc>
          <w:tcPr>
            <w:tcW w:w="906" w:type="pct"/>
            <w:hideMark/>
          </w:tcPr>
          <w:p w14:paraId="162C15E3" w14:textId="77777777" w:rsidR="00FE56F6" w:rsidRPr="00FD195D" w:rsidRDefault="00FE56F6" w:rsidP="001402B7">
            <w:pPr>
              <w:spacing w:after="0" w:line="240" w:lineRule="auto"/>
              <w:rPr>
                <w:rFonts w:ascii="Futura Std Condensed Light" w:eastAsia="Calibri" w:hAnsi="Futura Std Condensed Light" w:cs="Calibri"/>
                <w:sz w:val="18"/>
                <w:szCs w:val="18"/>
              </w:rPr>
            </w:pPr>
            <w:r w:rsidRPr="00FD195D">
              <w:rPr>
                <w:rFonts w:ascii="Futura Std Condensed Light" w:eastAsia="Calibri" w:hAnsi="Futura Std Condensed Light" w:cs="Calibri"/>
                <w:sz w:val="18"/>
                <w:szCs w:val="18"/>
              </w:rPr>
              <w:t>Fuente:</w:t>
            </w:r>
          </w:p>
        </w:tc>
        <w:tc>
          <w:tcPr>
            <w:tcW w:w="4094" w:type="pct"/>
          </w:tcPr>
          <w:p w14:paraId="34506169" w14:textId="77777777" w:rsidR="00FE56F6" w:rsidRPr="00FD195D" w:rsidRDefault="00FE56F6" w:rsidP="001402B7">
            <w:pPr>
              <w:spacing w:after="0" w:line="240" w:lineRule="auto"/>
              <w:rPr>
                <w:rFonts w:ascii="Futura Std Condensed Light" w:eastAsia="Calibri" w:hAnsi="Futura Std Condensed Light" w:cs="Calibri"/>
                <w:sz w:val="18"/>
                <w:szCs w:val="18"/>
              </w:rPr>
            </w:pPr>
            <w:r w:rsidRPr="00FD195D">
              <w:rPr>
                <w:rFonts w:ascii="Futura Std Condensed Light" w:eastAsia="Calibri" w:hAnsi="Futura Std Condensed Light" w:cs="Calibri"/>
                <w:sz w:val="18"/>
                <w:szCs w:val="18"/>
              </w:rPr>
              <w:t>Instituto de Capacitación para el Trabajo, ICAT. Proyecciones de Población del Consejo Nacional de Población, CONAPO. Subdirección de Información y Estadística del Instituto Nacional para la Educación de los Adultos, INEA.</w:t>
            </w:r>
          </w:p>
        </w:tc>
      </w:tr>
      <w:tr w:rsidR="00FE56F6" w:rsidRPr="00FD195D" w14:paraId="4554F339" w14:textId="77777777" w:rsidTr="001402B7">
        <w:trPr>
          <w:trHeight w:val="283"/>
        </w:trPr>
        <w:tc>
          <w:tcPr>
            <w:tcW w:w="906" w:type="pct"/>
            <w:hideMark/>
          </w:tcPr>
          <w:p w14:paraId="78780CBD" w14:textId="77777777" w:rsidR="00FE56F6" w:rsidRPr="00FD195D" w:rsidRDefault="00FE56F6" w:rsidP="001402B7">
            <w:pPr>
              <w:spacing w:after="0" w:line="240" w:lineRule="auto"/>
              <w:rPr>
                <w:rFonts w:ascii="Futura Std Condensed Light" w:eastAsia="Calibri" w:hAnsi="Futura Std Condensed Light" w:cs="Calibri"/>
                <w:sz w:val="18"/>
                <w:szCs w:val="18"/>
              </w:rPr>
            </w:pPr>
            <w:r w:rsidRPr="00FD195D">
              <w:rPr>
                <w:rFonts w:ascii="Futura Std Condensed Light" w:eastAsia="Calibri" w:hAnsi="Futura Std Condensed Light" w:cs="Calibri"/>
                <w:sz w:val="18"/>
                <w:szCs w:val="18"/>
              </w:rPr>
              <w:t>Dimensión:</w:t>
            </w:r>
          </w:p>
        </w:tc>
        <w:tc>
          <w:tcPr>
            <w:tcW w:w="4094" w:type="pct"/>
            <w:hideMark/>
          </w:tcPr>
          <w:p w14:paraId="308DA739" w14:textId="77777777" w:rsidR="00FE56F6" w:rsidRPr="00FD195D" w:rsidRDefault="00FE56F6" w:rsidP="001402B7">
            <w:pPr>
              <w:spacing w:after="0" w:line="240" w:lineRule="auto"/>
              <w:rPr>
                <w:rFonts w:ascii="Futura Std Condensed Light" w:eastAsia="Calibri" w:hAnsi="Futura Std Condensed Light" w:cs="Calibri"/>
                <w:sz w:val="18"/>
                <w:szCs w:val="18"/>
              </w:rPr>
            </w:pPr>
            <w:r w:rsidRPr="00FD195D">
              <w:rPr>
                <w:rFonts w:ascii="Futura Std Condensed Light" w:eastAsia="Calibri" w:hAnsi="Futura Std Condensed Light" w:cs="Calibri"/>
                <w:sz w:val="18"/>
                <w:szCs w:val="18"/>
              </w:rPr>
              <w:t>Eficiencia</w:t>
            </w:r>
          </w:p>
        </w:tc>
      </w:tr>
      <w:tr w:rsidR="00FE56F6" w:rsidRPr="00FD195D" w14:paraId="26B17CB1" w14:textId="77777777" w:rsidTr="001402B7">
        <w:trPr>
          <w:trHeight w:val="283"/>
        </w:trPr>
        <w:tc>
          <w:tcPr>
            <w:tcW w:w="906" w:type="pct"/>
            <w:hideMark/>
          </w:tcPr>
          <w:p w14:paraId="6703B06A" w14:textId="77777777" w:rsidR="00FE56F6" w:rsidRPr="00FD195D" w:rsidRDefault="00FE56F6" w:rsidP="001402B7">
            <w:pPr>
              <w:spacing w:after="0" w:line="240" w:lineRule="auto"/>
              <w:rPr>
                <w:rFonts w:ascii="Futura Std Condensed Light" w:eastAsia="Calibri" w:hAnsi="Futura Std Condensed Light" w:cs="Calibri"/>
                <w:sz w:val="18"/>
                <w:szCs w:val="18"/>
              </w:rPr>
            </w:pPr>
            <w:r w:rsidRPr="00FD195D">
              <w:rPr>
                <w:rFonts w:ascii="Futura Std Condensed Light" w:eastAsia="Calibri" w:hAnsi="Futura Std Condensed Light" w:cs="Calibri"/>
                <w:sz w:val="18"/>
                <w:szCs w:val="18"/>
              </w:rPr>
              <w:t>Referencias adicionales:</w:t>
            </w:r>
          </w:p>
        </w:tc>
        <w:tc>
          <w:tcPr>
            <w:tcW w:w="4094" w:type="pct"/>
            <w:hideMark/>
          </w:tcPr>
          <w:p w14:paraId="1393C321" w14:textId="77777777" w:rsidR="00FE56F6" w:rsidRPr="00FD195D" w:rsidRDefault="00FE56F6" w:rsidP="001402B7">
            <w:pPr>
              <w:spacing w:after="0" w:line="240" w:lineRule="auto"/>
              <w:rPr>
                <w:rFonts w:ascii="Futura Std Condensed Light" w:eastAsia="Calibri" w:hAnsi="Futura Std Condensed Light" w:cs="Calibri"/>
                <w:sz w:val="18"/>
                <w:szCs w:val="18"/>
              </w:rPr>
            </w:pPr>
          </w:p>
        </w:tc>
      </w:tr>
    </w:tbl>
    <w:p w14:paraId="28188CBE" w14:textId="77777777" w:rsidR="00A81E31" w:rsidRDefault="00A81E31" w:rsidP="00A81E31">
      <w:pPr>
        <w:rPr>
          <w:b/>
        </w:rPr>
      </w:pPr>
    </w:p>
    <w:p w14:paraId="0911F674" w14:textId="77777777" w:rsidR="002B38A6" w:rsidRDefault="002B38A6">
      <w:pPr>
        <w:spacing w:after="0" w:line="240" w:lineRule="auto"/>
        <w:jc w:val="left"/>
        <w:rPr>
          <w:b/>
        </w:rPr>
      </w:pPr>
      <w:r>
        <w:rPr>
          <w:b/>
        </w:rPr>
        <w:br w:type="page"/>
      </w:r>
    </w:p>
    <w:p w14:paraId="01FE6688" w14:textId="13AA5881" w:rsidR="00A81E31" w:rsidRDefault="004C4FD0" w:rsidP="00A81E31">
      <w:r>
        <w:rPr>
          <w:b/>
        </w:rPr>
        <w:lastRenderedPageBreak/>
        <w:t>Estrategia 10</w:t>
      </w:r>
      <w:r w:rsidR="00FE56F6" w:rsidRPr="007937F8">
        <w:rPr>
          <w:b/>
        </w:rPr>
        <w:t>.</w:t>
      </w:r>
      <w:r w:rsidR="00FE56F6">
        <w:t xml:space="preserve"> </w:t>
      </w:r>
      <w:r w:rsidR="00A81E31" w:rsidRPr="00A81E31">
        <w:t xml:space="preserve">Brindar a la población entre 15 años y más cursos de capacitación, evaluaciones y certificaciones de calidad para formar mano de obra calificada, permitiendo con ello estar al nivel de desarrollo que actualmente se está exigiendo por medio de campañas de promoción y difusión. </w:t>
      </w:r>
    </w:p>
    <w:tbl>
      <w:tblPr>
        <w:tblStyle w:val="TablaSectorial"/>
        <w:tblW w:w="4815" w:type="pct"/>
        <w:tblLook w:val="0420" w:firstRow="1" w:lastRow="0" w:firstColumn="0" w:lastColumn="0" w:noHBand="0" w:noVBand="1"/>
      </w:tblPr>
      <w:tblGrid>
        <w:gridCol w:w="1664"/>
        <w:gridCol w:w="7520"/>
      </w:tblGrid>
      <w:tr w:rsidR="00FE56F6" w:rsidRPr="00FD195D" w14:paraId="269169F6" w14:textId="77777777" w:rsidTr="001402B7">
        <w:trPr>
          <w:cnfStyle w:val="100000000000" w:firstRow="1" w:lastRow="0" w:firstColumn="0" w:lastColumn="0" w:oddVBand="0" w:evenVBand="0" w:oddHBand="0" w:evenHBand="0" w:firstRowFirstColumn="0" w:firstRowLastColumn="0" w:lastRowFirstColumn="0" w:lastRowLastColumn="0"/>
          <w:trHeight w:val="283"/>
        </w:trPr>
        <w:tc>
          <w:tcPr>
            <w:tcW w:w="906" w:type="pct"/>
            <w:hideMark/>
          </w:tcPr>
          <w:p w14:paraId="3AAF5EFB" w14:textId="77777777" w:rsidR="00FE56F6" w:rsidRPr="00FD195D" w:rsidRDefault="00FE56F6" w:rsidP="001402B7">
            <w:pPr>
              <w:spacing w:after="0" w:line="240" w:lineRule="auto"/>
              <w:rPr>
                <w:rFonts w:ascii="Futura Std Condensed Light" w:eastAsia="Calibri" w:hAnsi="Futura Std Condensed Light" w:cs="Calibri"/>
                <w:b/>
                <w:sz w:val="18"/>
                <w:szCs w:val="18"/>
              </w:rPr>
            </w:pPr>
            <w:r w:rsidRPr="00FD195D">
              <w:rPr>
                <w:rFonts w:ascii="Futura Std Condensed Light" w:eastAsia="Calibri" w:hAnsi="Futura Std Condensed Light" w:cs="Calibri"/>
                <w:b/>
                <w:sz w:val="18"/>
                <w:szCs w:val="18"/>
              </w:rPr>
              <w:t>Elemento</w:t>
            </w:r>
          </w:p>
        </w:tc>
        <w:tc>
          <w:tcPr>
            <w:tcW w:w="4094" w:type="pct"/>
            <w:hideMark/>
          </w:tcPr>
          <w:p w14:paraId="74DB9288" w14:textId="77777777" w:rsidR="00FE56F6" w:rsidRPr="00FD195D" w:rsidRDefault="00FE56F6" w:rsidP="001402B7">
            <w:pPr>
              <w:spacing w:after="0" w:line="240" w:lineRule="auto"/>
              <w:rPr>
                <w:rFonts w:ascii="Futura Std Condensed Light" w:eastAsia="Calibri" w:hAnsi="Futura Std Condensed Light" w:cs="Calibri"/>
                <w:b/>
                <w:sz w:val="18"/>
                <w:szCs w:val="18"/>
              </w:rPr>
            </w:pPr>
            <w:r w:rsidRPr="00FD195D">
              <w:rPr>
                <w:rFonts w:ascii="Futura Std Condensed Light" w:eastAsia="Calibri" w:hAnsi="Futura Std Condensed Light" w:cs="Calibri"/>
                <w:b/>
                <w:sz w:val="18"/>
                <w:szCs w:val="18"/>
              </w:rPr>
              <w:t>Características</w:t>
            </w:r>
          </w:p>
        </w:tc>
      </w:tr>
      <w:tr w:rsidR="00FE56F6" w:rsidRPr="00FD195D" w14:paraId="5A61BB13" w14:textId="77777777" w:rsidTr="00995EDF">
        <w:trPr>
          <w:trHeight w:val="578"/>
        </w:trPr>
        <w:tc>
          <w:tcPr>
            <w:tcW w:w="906" w:type="pct"/>
            <w:hideMark/>
          </w:tcPr>
          <w:p w14:paraId="339AD444" w14:textId="77777777" w:rsidR="00FE56F6" w:rsidRPr="00FD195D" w:rsidRDefault="00FE56F6" w:rsidP="001402B7">
            <w:pPr>
              <w:spacing w:after="0" w:line="240" w:lineRule="auto"/>
              <w:rPr>
                <w:rFonts w:ascii="Futura Std Condensed Light" w:eastAsia="Calibri" w:hAnsi="Futura Std Condensed Light" w:cs="Calibri"/>
                <w:sz w:val="18"/>
                <w:szCs w:val="18"/>
              </w:rPr>
            </w:pPr>
            <w:r w:rsidRPr="00FD195D">
              <w:rPr>
                <w:rFonts w:ascii="Futura Std Condensed Light" w:eastAsia="Calibri" w:hAnsi="Futura Std Condensed Light" w:cs="Calibri"/>
                <w:sz w:val="18"/>
                <w:szCs w:val="18"/>
              </w:rPr>
              <w:t>Indicador:</w:t>
            </w:r>
          </w:p>
        </w:tc>
        <w:tc>
          <w:tcPr>
            <w:tcW w:w="4094" w:type="pct"/>
          </w:tcPr>
          <w:p w14:paraId="55CDFCA2" w14:textId="1BB0945E" w:rsidR="00FE56F6" w:rsidRPr="00C114A5" w:rsidRDefault="00995EDF" w:rsidP="00995EDF">
            <w:pPr>
              <w:spacing w:line="240" w:lineRule="auto"/>
            </w:pPr>
            <w:r w:rsidRPr="00995EDF">
              <w:rPr>
                <w:rFonts w:ascii="Futura Std Condensed Light" w:eastAsia="Calibri" w:hAnsi="Futura Std Condensed Light" w:cs="Calibri"/>
                <w:sz w:val="18"/>
                <w:szCs w:val="18"/>
              </w:rPr>
              <w:t>Porcentaje de personas de 15 a 65 años y más concluye satisfactoriamente los cursos de  capacitación y procesos de evaluación  para y en el trabajo</w:t>
            </w:r>
            <w:r w:rsidRPr="00995EDF">
              <w:t>.</w:t>
            </w:r>
          </w:p>
        </w:tc>
      </w:tr>
      <w:tr w:rsidR="00FE56F6" w:rsidRPr="00FD195D" w14:paraId="041F0A11" w14:textId="77777777" w:rsidTr="001402B7">
        <w:trPr>
          <w:trHeight w:val="283"/>
        </w:trPr>
        <w:tc>
          <w:tcPr>
            <w:tcW w:w="906" w:type="pct"/>
          </w:tcPr>
          <w:p w14:paraId="7252BB24" w14:textId="2DA7A573" w:rsidR="00FE56F6" w:rsidRPr="00FD195D" w:rsidRDefault="00FE56F6" w:rsidP="001402B7">
            <w:pPr>
              <w:spacing w:after="0" w:line="240" w:lineRule="auto"/>
              <w:rPr>
                <w:rFonts w:ascii="Futura Std Condensed Light" w:eastAsia="Calibri" w:hAnsi="Futura Std Condensed Light" w:cs="Calibri"/>
                <w:sz w:val="18"/>
                <w:szCs w:val="18"/>
              </w:rPr>
            </w:pPr>
            <w:r w:rsidRPr="00FD195D">
              <w:rPr>
                <w:rFonts w:ascii="Futura Std Condensed Light" w:eastAsia="Calibri" w:hAnsi="Futura Std Condensed Light" w:cs="Calibri"/>
                <w:sz w:val="18"/>
                <w:szCs w:val="18"/>
              </w:rPr>
              <w:t>Estrategia</w:t>
            </w:r>
            <w:r w:rsidR="00461ED3">
              <w:rPr>
                <w:rFonts w:ascii="Futura Std Condensed Light" w:eastAsia="Calibri" w:hAnsi="Futura Std Condensed Light" w:cs="Calibri"/>
                <w:sz w:val="18"/>
                <w:szCs w:val="18"/>
              </w:rPr>
              <w:t xml:space="preserve"> 10</w:t>
            </w:r>
            <w:r w:rsidRPr="00FD195D">
              <w:rPr>
                <w:rFonts w:ascii="Futura Std Condensed Light" w:eastAsia="Calibri" w:hAnsi="Futura Std Condensed Light" w:cs="Calibri"/>
                <w:sz w:val="18"/>
                <w:szCs w:val="18"/>
              </w:rPr>
              <w:t>:</w:t>
            </w:r>
          </w:p>
        </w:tc>
        <w:tc>
          <w:tcPr>
            <w:tcW w:w="4094" w:type="pct"/>
          </w:tcPr>
          <w:p w14:paraId="6AE23BDA" w14:textId="37CE174C" w:rsidR="00FE56F6" w:rsidRPr="00FD195D" w:rsidRDefault="00C114A5" w:rsidP="00C114A5">
            <w:pPr>
              <w:spacing w:after="0" w:line="240" w:lineRule="auto"/>
              <w:rPr>
                <w:rFonts w:ascii="Futura Std Condensed Light" w:eastAsia="Calibri" w:hAnsi="Futura Std Condensed Light" w:cs="Calibri"/>
                <w:sz w:val="18"/>
                <w:szCs w:val="18"/>
              </w:rPr>
            </w:pPr>
            <w:r w:rsidRPr="00C114A5">
              <w:rPr>
                <w:rFonts w:ascii="Futura Std Condensed Light" w:eastAsia="Calibri" w:hAnsi="Futura Std Condensed Light" w:cs="Calibri"/>
                <w:sz w:val="18"/>
                <w:szCs w:val="18"/>
              </w:rPr>
              <w:t>Brindar a la población entre 15 años y más cursos de capacitación, evaluaciones y certificaciones de calidad para formar mano de obra calificada, permitiendo con ello estar al nivel de desarrollo que actualmente se está exigiendo por medio de campañas de promoción y difusión.</w:t>
            </w:r>
          </w:p>
        </w:tc>
      </w:tr>
      <w:tr w:rsidR="00FE56F6" w:rsidRPr="00FD195D" w14:paraId="60C48D47" w14:textId="77777777" w:rsidTr="001402B7">
        <w:trPr>
          <w:trHeight w:val="283"/>
        </w:trPr>
        <w:tc>
          <w:tcPr>
            <w:tcW w:w="906" w:type="pct"/>
            <w:hideMark/>
          </w:tcPr>
          <w:p w14:paraId="35D1E8FF" w14:textId="77777777" w:rsidR="00FE56F6" w:rsidRPr="00FD195D" w:rsidRDefault="00FE56F6" w:rsidP="001402B7">
            <w:pPr>
              <w:spacing w:after="0" w:line="240" w:lineRule="auto"/>
              <w:rPr>
                <w:rFonts w:ascii="Futura Std Condensed Light" w:eastAsia="Calibri" w:hAnsi="Futura Std Condensed Light" w:cs="Calibri"/>
                <w:sz w:val="18"/>
                <w:szCs w:val="18"/>
              </w:rPr>
            </w:pPr>
            <w:r w:rsidRPr="00FD195D">
              <w:rPr>
                <w:rFonts w:ascii="Futura Std Condensed Light" w:eastAsia="Calibri" w:hAnsi="Futura Std Condensed Light" w:cs="Calibri"/>
                <w:sz w:val="18"/>
                <w:szCs w:val="18"/>
              </w:rPr>
              <w:t>Descripción:</w:t>
            </w:r>
          </w:p>
        </w:tc>
        <w:tc>
          <w:tcPr>
            <w:tcW w:w="4094" w:type="pct"/>
          </w:tcPr>
          <w:p w14:paraId="50E448AA" w14:textId="08F2D7DA" w:rsidR="00C24852" w:rsidRPr="00FD195D" w:rsidRDefault="00995EDF" w:rsidP="001402B7">
            <w:pPr>
              <w:spacing w:after="0" w:line="240" w:lineRule="auto"/>
              <w:rPr>
                <w:rFonts w:ascii="Futura Std Condensed Light" w:eastAsia="Calibri" w:hAnsi="Futura Std Condensed Light" w:cs="Calibri"/>
                <w:sz w:val="18"/>
                <w:szCs w:val="18"/>
              </w:rPr>
            </w:pPr>
            <w:r w:rsidRPr="00995EDF">
              <w:rPr>
                <w:rFonts w:ascii="Futura Std Condensed Light" w:eastAsia="Calibri" w:hAnsi="Futura Std Condensed Light" w:cs="Calibri"/>
                <w:sz w:val="18"/>
                <w:szCs w:val="18"/>
              </w:rPr>
              <w:t>Esta indicador refleja el porcentaje de las personas  de 15 a 65 años y más  que concluye satisfactoriamente algún curso o proceso de evaluación en comparación al total de personas inscritas en algún curso o proceso de evaluación que concluye en un año específico.</w:t>
            </w:r>
          </w:p>
        </w:tc>
      </w:tr>
      <w:tr w:rsidR="00FE56F6" w:rsidRPr="00FD195D" w14:paraId="50081D84" w14:textId="77777777" w:rsidTr="001402B7">
        <w:trPr>
          <w:trHeight w:val="283"/>
        </w:trPr>
        <w:tc>
          <w:tcPr>
            <w:tcW w:w="906" w:type="pct"/>
            <w:hideMark/>
          </w:tcPr>
          <w:p w14:paraId="6F6CCFBB" w14:textId="77777777" w:rsidR="00FE56F6" w:rsidRPr="00FD195D" w:rsidRDefault="00FE56F6" w:rsidP="001402B7">
            <w:pPr>
              <w:spacing w:after="0" w:line="240" w:lineRule="auto"/>
              <w:rPr>
                <w:rFonts w:ascii="Futura Std Condensed Light" w:eastAsia="Calibri" w:hAnsi="Futura Std Condensed Light" w:cs="Calibri"/>
                <w:sz w:val="18"/>
                <w:szCs w:val="18"/>
              </w:rPr>
            </w:pPr>
            <w:r w:rsidRPr="00FD195D">
              <w:rPr>
                <w:rFonts w:ascii="Futura Std Condensed Light" w:eastAsia="Calibri" w:hAnsi="Futura Std Condensed Light" w:cs="Calibri"/>
                <w:sz w:val="18"/>
                <w:szCs w:val="18"/>
              </w:rPr>
              <w:t>Método de cálculo:</w:t>
            </w:r>
          </w:p>
        </w:tc>
        <w:tc>
          <w:tcPr>
            <w:tcW w:w="4094" w:type="pct"/>
          </w:tcPr>
          <w:p w14:paraId="3C6A2B33" w14:textId="3A28C8F7" w:rsidR="00FE56F6" w:rsidRPr="00FD195D" w:rsidRDefault="00877381" w:rsidP="00877381">
            <w:pPr>
              <w:spacing w:after="0" w:line="240" w:lineRule="auto"/>
              <w:rPr>
                <w:rFonts w:ascii="Futura Std Condensed Light" w:eastAsia="Calibri" w:hAnsi="Futura Std Condensed Light" w:cs="Calibri"/>
                <w:sz w:val="18"/>
                <w:szCs w:val="18"/>
              </w:rPr>
            </w:pPr>
            <w:r w:rsidRPr="00877381">
              <w:rPr>
                <w:rFonts w:ascii="Futura Std Condensed Light" w:eastAsia="Calibri" w:hAnsi="Futura Std Condensed Light" w:cs="Calibri"/>
                <w:sz w:val="18"/>
                <w:szCs w:val="18"/>
              </w:rPr>
              <w:t>(Número de personas capacitadas y evaluadas que finaliza de manera satisfactoria su curso o  proceso de evaluación en el año t/ Número de personas inscritas que su curso o proceso de evaluación finaliza en el año t/) X 100</w:t>
            </w:r>
          </w:p>
        </w:tc>
      </w:tr>
      <w:tr w:rsidR="00FE56F6" w:rsidRPr="00FD195D" w14:paraId="6059DED7" w14:textId="77777777" w:rsidTr="001402B7">
        <w:trPr>
          <w:trHeight w:val="283"/>
        </w:trPr>
        <w:tc>
          <w:tcPr>
            <w:tcW w:w="906" w:type="pct"/>
            <w:hideMark/>
          </w:tcPr>
          <w:p w14:paraId="6261308F" w14:textId="77777777" w:rsidR="00FE56F6" w:rsidRPr="00FD195D" w:rsidRDefault="00FE56F6" w:rsidP="001402B7">
            <w:pPr>
              <w:spacing w:after="0" w:line="240" w:lineRule="auto"/>
              <w:rPr>
                <w:rFonts w:ascii="Futura Std Condensed Light" w:eastAsia="Calibri" w:hAnsi="Futura Std Condensed Light" w:cs="Calibri"/>
                <w:sz w:val="18"/>
                <w:szCs w:val="18"/>
              </w:rPr>
            </w:pPr>
            <w:r w:rsidRPr="00FD195D">
              <w:rPr>
                <w:rFonts w:ascii="Futura Std Condensed Light" w:eastAsia="Calibri" w:hAnsi="Futura Std Condensed Light" w:cs="Calibri"/>
                <w:sz w:val="18"/>
                <w:szCs w:val="18"/>
              </w:rPr>
              <w:t>Periodicidad:</w:t>
            </w:r>
          </w:p>
        </w:tc>
        <w:tc>
          <w:tcPr>
            <w:tcW w:w="4094" w:type="pct"/>
          </w:tcPr>
          <w:p w14:paraId="4590D576" w14:textId="77777777" w:rsidR="00FE56F6" w:rsidRPr="00FD195D" w:rsidRDefault="00FE56F6" w:rsidP="001402B7">
            <w:pPr>
              <w:spacing w:after="0" w:line="240" w:lineRule="auto"/>
              <w:rPr>
                <w:rFonts w:ascii="Futura Std Condensed Light" w:eastAsia="Calibri" w:hAnsi="Futura Std Condensed Light" w:cs="Calibri"/>
                <w:sz w:val="18"/>
                <w:szCs w:val="18"/>
              </w:rPr>
            </w:pPr>
            <w:r w:rsidRPr="00FD195D">
              <w:rPr>
                <w:rFonts w:ascii="Futura Std Condensed Light" w:eastAsia="Calibri" w:hAnsi="Futura Std Condensed Light" w:cs="Calibri"/>
                <w:sz w:val="18"/>
                <w:szCs w:val="18"/>
              </w:rPr>
              <w:t>Anual</w:t>
            </w:r>
          </w:p>
        </w:tc>
      </w:tr>
      <w:tr w:rsidR="00FE56F6" w:rsidRPr="00FD195D" w14:paraId="3479C6BC" w14:textId="77777777" w:rsidTr="001402B7">
        <w:trPr>
          <w:trHeight w:val="283"/>
        </w:trPr>
        <w:tc>
          <w:tcPr>
            <w:tcW w:w="906" w:type="pct"/>
            <w:hideMark/>
          </w:tcPr>
          <w:p w14:paraId="72C6C92D" w14:textId="77777777" w:rsidR="00FE56F6" w:rsidRPr="00FD195D" w:rsidRDefault="00FE56F6" w:rsidP="001402B7">
            <w:pPr>
              <w:spacing w:after="0" w:line="240" w:lineRule="auto"/>
              <w:rPr>
                <w:rFonts w:ascii="Futura Std Condensed Light" w:eastAsia="Calibri" w:hAnsi="Futura Std Condensed Light" w:cs="Calibri"/>
                <w:sz w:val="18"/>
                <w:szCs w:val="18"/>
              </w:rPr>
            </w:pPr>
            <w:r w:rsidRPr="00FD195D">
              <w:rPr>
                <w:rFonts w:ascii="Futura Std Condensed Light" w:eastAsia="Calibri" w:hAnsi="Futura Std Condensed Light" w:cs="Calibri"/>
                <w:sz w:val="18"/>
                <w:szCs w:val="18"/>
              </w:rPr>
              <w:t>Fuente:</w:t>
            </w:r>
          </w:p>
        </w:tc>
        <w:tc>
          <w:tcPr>
            <w:tcW w:w="4094" w:type="pct"/>
          </w:tcPr>
          <w:p w14:paraId="4F20B2D7" w14:textId="77777777" w:rsidR="00FE56F6" w:rsidRPr="00FD195D" w:rsidRDefault="00FE56F6" w:rsidP="001402B7">
            <w:pPr>
              <w:spacing w:after="0" w:line="240" w:lineRule="auto"/>
              <w:rPr>
                <w:rFonts w:ascii="Futura Std Condensed Light" w:eastAsia="Calibri" w:hAnsi="Futura Std Condensed Light" w:cs="Calibri"/>
                <w:sz w:val="18"/>
                <w:szCs w:val="18"/>
              </w:rPr>
            </w:pPr>
            <w:r w:rsidRPr="00FD195D">
              <w:rPr>
                <w:rFonts w:ascii="Futura Std Condensed Light" w:eastAsia="Calibri" w:hAnsi="Futura Std Condensed Light" w:cs="Calibri"/>
                <w:sz w:val="18"/>
                <w:szCs w:val="18"/>
              </w:rPr>
              <w:t xml:space="preserve">Instituto de Capacitación para el Trabajo, ICAT. </w:t>
            </w:r>
          </w:p>
        </w:tc>
      </w:tr>
      <w:tr w:rsidR="00FE56F6" w:rsidRPr="00FD195D" w14:paraId="12C61487" w14:textId="77777777" w:rsidTr="001402B7">
        <w:trPr>
          <w:trHeight w:val="283"/>
        </w:trPr>
        <w:tc>
          <w:tcPr>
            <w:tcW w:w="906" w:type="pct"/>
            <w:hideMark/>
          </w:tcPr>
          <w:p w14:paraId="3EC9F1F7" w14:textId="77777777" w:rsidR="00FE56F6" w:rsidRPr="00FD195D" w:rsidRDefault="00FE56F6" w:rsidP="001402B7">
            <w:pPr>
              <w:spacing w:after="0" w:line="240" w:lineRule="auto"/>
              <w:rPr>
                <w:rFonts w:ascii="Futura Std Condensed Light" w:eastAsia="Calibri" w:hAnsi="Futura Std Condensed Light" w:cs="Calibri"/>
                <w:sz w:val="18"/>
                <w:szCs w:val="18"/>
              </w:rPr>
            </w:pPr>
            <w:r w:rsidRPr="00FD195D">
              <w:rPr>
                <w:rFonts w:ascii="Futura Std Condensed Light" w:eastAsia="Calibri" w:hAnsi="Futura Std Condensed Light" w:cs="Calibri"/>
                <w:sz w:val="18"/>
                <w:szCs w:val="18"/>
              </w:rPr>
              <w:t>Dimensión:</w:t>
            </w:r>
          </w:p>
        </w:tc>
        <w:tc>
          <w:tcPr>
            <w:tcW w:w="4094" w:type="pct"/>
            <w:hideMark/>
          </w:tcPr>
          <w:p w14:paraId="64545823" w14:textId="77777777" w:rsidR="00FE56F6" w:rsidRPr="00FD195D" w:rsidRDefault="00FE56F6" w:rsidP="001402B7">
            <w:pPr>
              <w:spacing w:after="0" w:line="240" w:lineRule="auto"/>
              <w:rPr>
                <w:rFonts w:ascii="Futura Std Condensed Light" w:eastAsia="Calibri" w:hAnsi="Futura Std Condensed Light" w:cs="Calibri"/>
                <w:sz w:val="18"/>
                <w:szCs w:val="18"/>
              </w:rPr>
            </w:pPr>
            <w:r w:rsidRPr="00FD195D">
              <w:rPr>
                <w:rFonts w:ascii="Futura Std Condensed Light" w:eastAsia="Calibri" w:hAnsi="Futura Std Condensed Light" w:cs="Calibri"/>
                <w:sz w:val="18"/>
                <w:szCs w:val="18"/>
              </w:rPr>
              <w:t>Eficiencia</w:t>
            </w:r>
          </w:p>
        </w:tc>
      </w:tr>
      <w:tr w:rsidR="00FE56F6" w:rsidRPr="00FD195D" w14:paraId="6CD1191E" w14:textId="77777777" w:rsidTr="001402B7">
        <w:trPr>
          <w:trHeight w:val="283"/>
        </w:trPr>
        <w:tc>
          <w:tcPr>
            <w:tcW w:w="906" w:type="pct"/>
            <w:hideMark/>
          </w:tcPr>
          <w:p w14:paraId="540E4267" w14:textId="77777777" w:rsidR="00FE56F6" w:rsidRPr="00FD195D" w:rsidRDefault="00FE56F6" w:rsidP="001402B7">
            <w:pPr>
              <w:spacing w:after="0" w:line="240" w:lineRule="auto"/>
              <w:rPr>
                <w:rFonts w:ascii="Futura Std Condensed Light" w:eastAsia="Calibri" w:hAnsi="Futura Std Condensed Light" w:cs="Calibri"/>
                <w:sz w:val="18"/>
                <w:szCs w:val="18"/>
              </w:rPr>
            </w:pPr>
            <w:r w:rsidRPr="00FD195D">
              <w:rPr>
                <w:rFonts w:ascii="Futura Std Condensed Light" w:eastAsia="Calibri" w:hAnsi="Futura Std Condensed Light" w:cs="Calibri"/>
                <w:sz w:val="18"/>
                <w:szCs w:val="18"/>
              </w:rPr>
              <w:t>Referencias adicionales:</w:t>
            </w:r>
          </w:p>
        </w:tc>
        <w:tc>
          <w:tcPr>
            <w:tcW w:w="4094" w:type="pct"/>
            <w:hideMark/>
          </w:tcPr>
          <w:p w14:paraId="42164E92" w14:textId="77777777" w:rsidR="00FE56F6" w:rsidRPr="00FD195D" w:rsidRDefault="00FE56F6" w:rsidP="001402B7">
            <w:pPr>
              <w:spacing w:after="0" w:line="240" w:lineRule="auto"/>
              <w:rPr>
                <w:rFonts w:ascii="Futura Std Condensed Light" w:eastAsia="Calibri" w:hAnsi="Futura Std Condensed Light" w:cs="Calibri"/>
                <w:sz w:val="18"/>
                <w:szCs w:val="18"/>
              </w:rPr>
            </w:pPr>
          </w:p>
        </w:tc>
      </w:tr>
    </w:tbl>
    <w:p w14:paraId="0CB94BA9" w14:textId="20A56D1F" w:rsidR="00E23746" w:rsidRDefault="00E23746" w:rsidP="00C11F5C">
      <w:pPr>
        <w:spacing w:after="0" w:line="240" w:lineRule="auto"/>
        <w:sectPr w:rsidR="00E23746" w:rsidSect="004F6076">
          <w:footerReference w:type="default" r:id="rId28"/>
          <w:pgSz w:w="12240" w:h="15840" w:code="1"/>
          <w:pgMar w:top="2977" w:right="1134" w:bottom="1134" w:left="1559" w:header="709" w:footer="709" w:gutter="0"/>
          <w:cols w:space="708"/>
          <w:docGrid w:linePitch="360"/>
        </w:sectPr>
      </w:pPr>
    </w:p>
    <w:p w14:paraId="0A97B665" w14:textId="0D78F800" w:rsidR="00E23746" w:rsidRDefault="00E23746" w:rsidP="00BA34B4">
      <w:pPr>
        <w:pStyle w:val="Ttulo1"/>
        <w:spacing w:before="0" w:after="0"/>
      </w:pPr>
      <w:bookmarkStart w:id="92" w:name="_Toc53409877"/>
      <w:r w:rsidRPr="00E23746">
        <w:lastRenderedPageBreak/>
        <w:t>Anexo 3. Programas presupuestarios</w:t>
      </w:r>
      <w:bookmarkEnd w:id="92"/>
    </w:p>
    <w:tbl>
      <w:tblPr>
        <w:tblW w:w="14020" w:type="dxa"/>
        <w:tblLayout w:type="fixed"/>
        <w:tblCellMar>
          <w:left w:w="70" w:type="dxa"/>
          <w:right w:w="70" w:type="dxa"/>
        </w:tblCellMar>
        <w:tblLook w:val="04A0" w:firstRow="1" w:lastRow="0" w:firstColumn="1" w:lastColumn="0" w:noHBand="0" w:noVBand="1"/>
      </w:tblPr>
      <w:tblGrid>
        <w:gridCol w:w="1271"/>
        <w:gridCol w:w="2835"/>
        <w:gridCol w:w="2835"/>
        <w:gridCol w:w="2268"/>
        <w:gridCol w:w="2835"/>
        <w:gridCol w:w="1976"/>
      </w:tblGrid>
      <w:tr w:rsidR="00E23746" w:rsidRPr="00574DAC" w14:paraId="0FE866A4" w14:textId="77777777" w:rsidTr="000B2F10">
        <w:trPr>
          <w:trHeight w:val="524"/>
        </w:trPr>
        <w:tc>
          <w:tcPr>
            <w:tcW w:w="4106" w:type="dxa"/>
            <w:gridSpan w:val="2"/>
            <w:tcBorders>
              <w:top w:val="single" w:sz="4" w:space="0" w:color="auto"/>
              <w:left w:val="single" w:sz="4" w:space="0" w:color="auto"/>
              <w:bottom w:val="single" w:sz="4" w:space="0" w:color="auto"/>
              <w:right w:val="single" w:sz="4" w:space="0" w:color="000000"/>
            </w:tcBorders>
            <w:shd w:val="clear" w:color="000000" w:fill="BFBFBF"/>
            <w:vAlign w:val="center"/>
            <w:hideMark/>
          </w:tcPr>
          <w:p w14:paraId="5D35CEE4"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PROGRAMA PRESUPUESTARIO:</w:t>
            </w:r>
          </w:p>
        </w:tc>
        <w:tc>
          <w:tcPr>
            <w:tcW w:w="9914" w:type="dxa"/>
            <w:gridSpan w:val="4"/>
            <w:tcBorders>
              <w:top w:val="single" w:sz="4" w:space="0" w:color="auto"/>
              <w:left w:val="nil"/>
              <w:bottom w:val="single" w:sz="4" w:space="0" w:color="auto"/>
              <w:right w:val="single" w:sz="4" w:space="0" w:color="auto"/>
            </w:tcBorders>
            <w:shd w:val="clear" w:color="auto" w:fill="auto"/>
            <w:vAlign w:val="center"/>
            <w:hideMark/>
          </w:tcPr>
          <w:p w14:paraId="744ED904" w14:textId="77777777" w:rsidR="00E23746" w:rsidRPr="00574DAC" w:rsidRDefault="00E23746" w:rsidP="000B2F10">
            <w:pPr>
              <w:spacing w:after="0" w:line="240" w:lineRule="auto"/>
              <w:jc w:val="left"/>
              <w:rPr>
                <w:rFonts w:eastAsia="Times New Roman" w:cs="Arial"/>
                <w:sz w:val="20"/>
                <w:szCs w:val="20"/>
                <w:lang w:val="es-MX" w:eastAsia="es-MX"/>
              </w:rPr>
            </w:pPr>
            <w:r w:rsidRPr="00574DAC">
              <w:rPr>
                <w:rFonts w:eastAsia="Times New Roman" w:cs="Arial"/>
                <w:sz w:val="20"/>
                <w:szCs w:val="20"/>
                <w:lang w:val="es-MX" w:eastAsia="es-MX"/>
              </w:rPr>
              <w:t>Educación Básica</w:t>
            </w:r>
          </w:p>
        </w:tc>
      </w:tr>
      <w:tr w:rsidR="00E23746" w:rsidRPr="00574DAC" w14:paraId="6FBD1F2F" w14:textId="77777777" w:rsidTr="000B2F10">
        <w:trPr>
          <w:trHeight w:val="552"/>
        </w:trPr>
        <w:tc>
          <w:tcPr>
            <w:tcW w:w="4106" w:type="dxa"/>
            <w:gridSpan w:val="2"/>
            <w:tcBorders>
              <w:top w:val="single" w:sz="4" w:space="0" w:color="auto"/>
              <w:left w:val="single" w:sz="4" w:space="0" w:color="auto"/>
              <w:bottom w:val="single" w:sz="4" w:space="0" w:color="auto"/>
              <w:right w:val="single" w:sz="4" w:space="0" w:color="000000"/>
            </w:tcBorders>
            <w:shd w:val="clear" w:color="000000" w:fill="BFBFBF"/>
            <w:vAlign w:val="center"/>
            <w:hideMark/>
          </w:tcPr>
          <w:p w14:paraId="61B6628A"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INSTITUCIÓN:</w:t>
            </w:r>
          </w:p>
        </w:tc>
        <w:tc>
          <w:tcPr>
            <w:tcW w:w="9914" w:type="dxa"/>
            <w:gridSpan w:val="4"/>
            <w:tcBorders>
              <w:top w:val="single" w:sz="4" w:space="0" w:color="auto"/>
              <w:left w:val="nil"/>
              <w:bottom w:val="single" w:sz="4" w:space="0" w:color="auto"/>
              <w:right w:val="single" w:sz="4" w:space="0" w:color="auto"/>
            </w:tcBorders>
            <w:shd w:val="clear" w:color="auto" w:fill="auto"/>
            <w:vAlign w:val="center"/>
            <w:hideMark/>
          </w:tcPr>
          <w:p w14:paraId="2CEF347B" w14:textId="393A62CA" w:rsidR="00E23746" w:rsidRPr="00574DAC" w:rsidRDefault="00EC135B" w:rsidP="000B2F10">
            <w:pPr>
              <w:spacing w:after="0" w:line="240" w:lineRule="auto"/>
              <w:jc w:val="left"/>
              <w:rPr>
                <w:rFonts w:eastAsia="Times New Roman" w:cs="Arial"/>
                <w:sz w:val="20"/>
                <w:szCs w:val="20"/>
                <w:lang w:val="es-MX" w:eastAsia="es-MX"/>
              </w:rPr>
            </w:pPr>
            <w:r>
              <w:rPr>
                <w:rFonts w:eastAsia="Times New Roman" w:cs="Arial"/>
                <w:sz w:val="20"/>
                <w:szCs w:val="20"/>
                <w:lang w:val="es-MX" w:eastAsia="es-MX"/>
              </w:rPr>
              <w:t>1301 Servicios Educativos de Quintana Roo.</w:t>
            </w:r>
          </w:p>
        </w:tc>
      </w:tr>
      <w:tr w:rsidR="00E23746" w:rsidRPr="00574DAC" w14:paraId="5B925BFA" w14:textId="77777777" w:rsidTr="000B2F10">
        <w:trPr>
          <w:trHeight w:val="282"/>
        </w:trPr>
        <w:tc>
          <w:tcPr>
            <w:tcW w:w="1271" w:type="dxa"/>
            <w:tcBorders>
              <w:top w:val="nil"/>
              <w:left w:val="nil"/>
              <w:bottom w:val="nil"/>
              <w:right w:val="nil"/>
            </w:tcBorders>
            <w:shd w:val="clear" w:color="auto" w:fill="auto"/>
            <w:hideMark/>
          </w:tcPr>
          <w:p w14:paraId="4562395F" w14:textId="77777777" w:rsidR="00E23746" w:rsidRPr="00574DAC" w:rsidRDefault="00E23746" w:rsidP="000B2F10">
            <w:pPr>
              <w:spacing w:after="0" w:line="240" w:lineRule="auto"/>
              <w:jc w:val="left"/>
              <w:rPr>
                <w:rFonts w:eastAsia="Times New Roman" w:cs="Arial"/>
                <w:sz w:val="20"/>
                <w:szCs w:val="20"/>
                <w:lang w:val="es-MX" w:eastAsia="es-MX"/>
              </w:rPr>
            </w:pPr>
          </w:p>
        </w:tc>
        <w:tc>
          <w:tcPr>
            <w:tcW w:w="2835" w:type="dxa"/>
            <w:tcBorders>
              <w:top w:val="nil"/>
              <w:left w:val="nil"/>
              <w:bottom w:val="nil"/>
              <w:right w:val="nil"/>
            </w:tcBorders>
            <w:shd w:val="clear" w:color="auto" w:fill="auto"/>
            <w:hideMark/>
          </w:tcPr>
          <w:p w14:paraId="643FCF8B" w14:textId="77777777" w:rsidR="00E23746" w:rsidRPr="00574DAC" w:rsidRDefault="00E23746" w:rsidP="000B2F10">
            <w:pPr>
              <w:spacing w:after="0" w:line="240" w:lineRule="auto"/>
              <w:jc w:val="left"/>
              <w:rPr>
                <w:rFonts w:ascii="Times New Roman" w:eastAsia="Times New Roman" w:hAnsi="Times New Roman" w:cs="Times New Roman"/>
                <w:sz w:val="20"/>
                <w:szCs w:val="20"/>
                <w:lang w:val="es-MX" w:eastAsia="es-MX"/>
              </w:rPr>
            </w:pPr>
          </w:p>
        </w:tc>
        <w:tc>
          <w:tcPr>
            <w:tcW w:w="2835" w:type="dxa"/>
            <w:tcBorders>
              <w:top w:val="nil"/>
              <w:left w:val="nil"/>
              <w:bottom w:val="nil"/>
              <w:right w:val="nil"/>
            </w:tcBorders>
            <w:shd w:val="clear" w:color="auto" w:fill="auto"/>
            <w:hideMark/>
          </w:tcPr>
          <w:p w14:paraId="7F0A061F" w14:textId="77777777" w:rsidR="00E23746" w:rsidRPr="00574DAC" w:rsidRDefault="00E23746" w:rsidP="000B2F10">
            <w:pPr>
              <w:spacing w:after="0" w:line="240" w:lineRule="auto"/>
              <w:jc w:val="left"/>
              <w:rPr>
                <w:rFonts w:ascii="Times New Roman" w:eastAsia="Times New Roman" w:hAnsi="Times New Roman" w:cs="Times New Roman"/>
                <w:sz w:val="20"/>
                <w:szCs w:val="20"/>
                <w:lang w:val="es-MX" w:eastAsia="es-MX"/>
              </w:rPr>
            </w:pPr>
          </w:p>
        </w:tc>
        <w:tc>
          <w:tcPr>
            <w:tcW w:w="2268" w:type="dxa"/>
            <w:tcBorders>
              <w:top w:val="nil"/>
              <w:left w:val="nil"/>
              <w:bottom w:val="nil"/>
              <w:right w:val="nil"/>
            </w:tcBorders>
            <w:shd w:val="clear" w:color="auto" w:fill="auto"/>
            <w:hideMark/>
          </w:tcPr>
          <w:p w14:paraId="3E99D26A" w14:textId="77777777" w:rsidR="00E23746" w:rsidRPr="00574DAC" w:rsidRDefault="00E23746" w:rsidP="000B2F10">
            <w:pPr>
              <w:spacing w:after="0" w:line="240" w:lineRule="auto"/>
              <w:jc w:val="left"/>
              <w:rPr>
                <w:rFonts w:ascii="Times New Roman" w:eastAsia="Times New Roman" w:hAnsi="Times New Roman" w:cs="Times New Roman"/>
                <w:sz w:val="20"/>
                <w:szCs w:val="20"/>
                <w:lang w:val="es-MX" w:eastAsia="es-MX"/>
              </w:rPr>
            </w:pPr>
          </w:p>
        </w:tc>
        <w:tc>
          <w:tcPr>
            <w:tcW w:w="2835" w:type="dxa"/>
            <w:tcBorders>
              <w:top w:val="nil"/>
              <w:left w:val="nil"/>
              <w:bottom w:val="nil"/>
              <w:right w:val="nil"/>
            </w:tcBorders>
            <w:shd w:val="clear" w:color="auto" w:fill="auto"/>
            <w:hideMark/>
          </w:tcPr>
          <w:p w14:paraId="2E2A0FCA" w14:textId="77777777" w:rsidR="00E23746" w:rsidRPr="00574DAC" w:rsidRDefault="00E23746" w:rsidP="000B2F10">
            <w:pPr>
              <w:spacing w:after="0" w:line="240" w:lineRule="auto"/>
              <w:jc w:val="left"/>
              <w:rPr>
                <w:rFonts w:ascii="Times New Roman" w:eastAsia="Times New Roman" w:hAnsi="Times New Roman" w:cs="Times New Roman"/>
                <w:sz w:val="20"/>
                <w:szCs w:val="20"/>
                <w:lang w:val="es-MX" w:eastAsia="es-MX"/>
              </w:rPr>
            </w:pPr>
          </w:p>
        </w:tc>
        <w:tc>
          <w:tcPr>
            <w:tcW w:w="1976" w:type="dxa"/>
            <w:tcBorders>
              <w:top w:val="nil"/>
              <w:left w:val="nil"/>
              <w:bottom w:val="nil"/>
              <w:right w:val="nil"/>
            </w:tcBorders>
            <w:shd w:val="clear" w:color="auto" w:fill="auto"/>
            <w:hideMark/>
          </w:tcPr>
          <w:p w14:paraId="1EAC85B6" w14:textId="77777777" w:rsidR="00E23746" w:rsidRPr="00574DAC" w:rsidRDefault="00E23746" w:rsidP="000B2F10">
            <w:pPr>
              <w:spacing w:after="0" w:line="240" w:lineRule="auto"/>
              <w:jc w:val="left"/>
              <w:rPr>
                <w:rFonts w:ascii="Times New Roman" w:eastAsia="Times New Roman" w:hAnsi="Times New Roman" w:cs="Times New Roman"/>
                <w:sz w:val="20"/>
                <w:szCs w:val="20"/>
                <w:lang w:val="es-MX" w:eastAsia="es-MX"/>
              </w:rPr>
            </w:pPr>
          </w:p>
        </w:tc>
      </w:tr>
      <w:tr w:rsidR="00E23746" w:rsidRPr="00574DAC" w14:paraId="4BFB4CDA" w14:textId="77777777" w:rsidTr="000B2F10">
        <w:trPr>
          <w:trHeight w:val="375"/>
        </w:trPr>
        <w:tc>
          <w:tcPr>
            <w:tcW w:w="14020" w:type="dxa"/>
            <w:gridSpan w:val="6"/>
            <w:tcBorders>
              <w:top w:val="single" w:sz="4" w:space="0" w:color="auto"/>
              <w:left w:val="single" w:sz="4" w:space="0" w:color="auto"/>
              <w:bottom w:val="single" w:sz="4" w:space="0" w:color="auto"/>
              <w:right w:val="single" w:sz="4" w:space="0" w:color="000000"/>
            </w:tcBorders>
            <w:shd w:val="clear" w:color="000000" w:fill="BFBFBF"/>
            <w:vAlign w:val="center"/>
            <w:hideMark/>
          </w:tcPr>
          <w:p w14:paraId="18DF5CE4"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MATRIZ DE INDICADORES PARA RESULTADOS (MIR)</w:t>
            </w:r>
          </w:p>
        </w:tc>
      </w:tr>
      <w:tr w:rsidR="00E23746" w:rsidRPr="00574DAC" w14:paraId="33147D71" w14:textId="77777777" w:rsidTr="00C91C82">
        <w:trPr>
          <w:trHeight w:val="679"/>
        </w:trPr>
        <w:tc>
          <w:tcPr>
            <w:tcW w:w="1271" w:type="dxa"/>
            <w:tcBorders>
              <w:top w:val="nil"/>
              <w:left w:val="single" w:sz="4" w:space="0" w:color="auto"/>
              <w:bottom w:val="single" w:sz="4" w:space="0" w:color="auto"/>
              <w:right w:val="single" w:sz="4" w:space="0" w:color="auto"/>
            </w:tcBorders>
            <w:shd w:val="clear" w:color="000000" w:fill="BFBFBF"/>
            <w:vAlign w:val="center"/>
            <w:hideMark/>
          </w:tcPr>
          <w:p w14:paraId="02C01F9D"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NIVEL</w:t>
            </w:r>
          </w:p>
        </w:tc>
        <w:tc>
          <w:tcPr>
            <w:tcW w:w="2835" w:type="dxa"/>
            <w:tcBorders>
              <w:top w:val="nil"/>
              <w:left w:val="nil"/>
              <w:bottom w:val="single" w:sz="4" w:space="0" w:color="auto"/>
              <w:right w:val="single" w:sz="4" w:space="0" w:color="auto"/>
            </w:tcBorders>
            <w:shd w:val="clear" w:color="000000" w:fill="BFBFBF"/>
            <w:vAlign w:val="center"/>
            <w:hideMark/>
          </w:tcPr>
          <w:p w14:paraId="1F898A67"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ALINEACIÓN PED/PD</w:t>
            </w:r>
          </w:p>
        </w:tc>
        <w:tc>
          <w:tcPr>
            <w:tcW w:w="2835" w:type="dxa"/>
            <w:tcBorders>
              <w:top w:val="nil"/>
              <w:left w:val="nil"/>
              <w:bottom w:val="single" w:sz="4" w:space="0" w:color="auto"/>
              <w:right w:val="single" w:sz="4" w:space="0" w:color="auto"/>
            </w:tcBorders>
            <w:shd w:val="clear" w:color="000000" w:fill="BFBFBF"/>
            <w:vAlign w:val="center"/>
            <w:hideMark/>
          </w:tcPr>
          <w:p w14:paraId="7A8F4604"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OBJETIVO</w:t>
            </w:r>
          </w:p>
        </w:tc>
        <w:tc>
          <w:tcPr>
            <w:tcW w:w="2268" w:type="dxa"/>
            <w:tcBorders>
              <w:top w:val="nil"/>
              <w:left w:val="nil"/>
              <w:bottom w:val="single" w:sz="4" w:space="0" w:color="auto"/>
              <w:right w:val="single" w:sz="4" w:space="0" w:color="auto"/>
            </w:tcBorders>
            <w:shd w:val="clear" w:color="000000" w:fill="BFBFBF"/>
            <w:vAlign w:val="center"/>
            <w:hideMark/>
          </w:tcPr>
          <w:p w14:paraId="657E0BED"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INDICADOR</w:t>
            </w:r>
          </w:p>
        </w:tc>
        <w:tc>
          <w:tcPr>
            <w:tcW w:w="2835" w:type="dxa"/>
            <w:tcBorders>
              <w:top w:val="nil"/>
              <w:left w:val="nil"/>
              <w:bottom w:val="single" w:sz="4" w:space="0" w:color="auto"/>
              <w:right w:val="single" w:sz="4" w:space="0" w:color="auto"/>
            </w:tcBorders>
            <w:shd w:val="clear" w:color="000000" w:fill="BFBFBF"/>
            <w:vAlign w:val="center"/>
            <w:hideMark/>
          </w:tcPr>
          <w:p w14:paraId="2F9C6255"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MEDIOS DE VERIFICACIÓN</w:t>
            </w:r>
          </w:p>
        </w:tc>
        <w:tc>
          <w:tcPr>
            <w:tcW w:w="1976" w:type="dxa"/>
            <w:tcBorders>
              <w:top w:val="nil"/>
              <w:left w:val="nil"/>
              <w:bottom w:val="single" w:sz="4" w:space="0" w:color="auto"/>
              <w:right w:val="single" w:sz="4" w:space="0" w:color="auto"/>
            </w:tcBorders>
            <w:shd w:val="clear" w:color="000000" w:fill="BFBFBF"/>
            <w:vAlign w:val="center"/>
            <w:hideMark/>
          </w:tcPr>
          <w:p w14:paraId="1D752B8D"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SUPUESTO</w:t>
            </w:r>
          </w:p>
        </w:tc>
      </w:tr>
      <w:tr w:rsidR="00E23746" w:rsidRPr="00574DAC" w14:paraId="7CC7B817" w14:textId="77777777" w:rsidTr="00C91C82">
        <w:trPr>
          <w:trHeight w:val="2408"/>
        </w:trPr>
        <w:tc>
          <w:tcPr>
            <w:tcW w:w="1271" w:type="dxa"/>
            <w:tcBorders>
              <w:top w:val="single" w:sz="4" w:space="0" w:color="auto"/>
              <w:left w:val="single" w:sz="4" w:space="0" w:color="auto"/>
              <w:bottom w:val="single" w:sz="4" w:space="0" w:color="auto"/>
              <w:right w:val="single" w:sz="4" w:space="0" w:color="auto"/>
            </w:tcBorders>
            <w:shd w:val="clear" w:color="auto" w:fill="auto"/>
            <w:hideMark/>
          </w:tcPr>
          <w:p w14:paraId="341D1AE3" w14:textId="77777777" w:rsidR="00E23746" w:rsidRPr="00574DAC" w:rsidRDefault="00E23746" w:rsidP="000B2F10">
            <w:pPr>
              <w:jc w:val="center"/>
              <w:rPr>
                <w:rFonts w:cs="Arial"/>
                <w:b/>
                <w:bCs/>
                <w:sz w:val="20"/>
                <w:szCs w:val="20"/>
              </w:rPr>
            </w:pPr>
            <w:r w:rsidRPr="00574DAC">
              <w:rPr>
                <w:rFonts w:cs="Arial"/>
                <w:b/>
                <w:bCs/>
                <w:sz w:val="20"/>
                <w:szCs w:val="20"/>
              </w:rPr>
              <w:t>Fin</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B9D5134" w14:textId="77777777" w:rsidR="00E23746" w:rsidRPr="00574DAC" w:rsidRDefault="00E23746" w:rsidP="000B2F10">
            <w:pPr>
              <w:rPr>
                <w:rFonts w:cs="Arial"/>
                <w:sz w:val="20"/>
                <w:szCs w:val="20"/>
              </w:rPr>
            </w:pPr>
            <w:r w:rsidRPr="00574DAC">
              <w:rPr>
                <w:rFonts w:cs="Arial"/>
                <w:sz w:val="20"/>
                <w:szCs w:val="20"/>
              </w:rPr>
              <w:t>Garantizar el acceso y permanencia a una educación inclusiva y de calidad en todos los niveles educativos que promueva en los educandos aprendizajes para la vida.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D411075" w14:textId="77777777" w:rsidR="00E23746" w:rsidRPr="00574DAC" w:rsidRDefault="00E23746" w:rsidP="000B2F10">
            <w:pPr>
              <w:spacing w:after="240"/>
              <w:rPr>
                <w:rFonts w:cs="Arial"/>
                <w:sz w:val="20"/>
                <w:szCs w:val="20"/>
              </w:rPr>
            </w:pPr>
            <w:r w:rsidRPr="00574DAC">
              <w:rPr>
                <w:rFonts w:cs="Arial"/>
                <w:sz w:val="20"/>
                <w:szCs w:val="20"/>
              </w:rPr>
              <w:t>F - Contribuir a garantizar el acceso y permanencia a una educación inclusiva y de calidad en todos los niveles educativos que promueva en los educandos aprendizajes para la vida mediante estrategias de atención a la demanda y permanencia en todos los niveles educativos.</w:t>
            </w:r>
          </w:p>
        </w:tc>
        <w:tc>
          <w:tcPr>
            <w:tcW w:w="2268" w:type="dxa"/>
            <w:tcBorders>
              <w:top w:val="single" w:sz="4" w:space="0" w:color="auto"/>
              <w:left w:val="single" w:sz="4" w:space="0" w:color="auto"/>
              <w:bottom w:val="single" w:sz="4" w:space="0" w:color="auto"/>
              <w:right w:val="single" w:sz="4" w:space="0" w:color="auto"/>
            </w:tcBorders>
            <w:shd w:val="clear" w:color="FFFFFF" w:fill="FFFFFF"/>
            <w:hideMark/>
          </w:tcPr>
          <w:p w14:paraId="042126CF" w14:textId="77777777" w:rsidR="00E23746" w:rsidRPr="00574DAC" w:rsidRDefault="00E23746" w:rsidP="000B2F10">
            <w:pPr>
              <w:rPr>
                <w:rFonts w:cs="Arial"/>
                <w:sz w:val="20"/>
                <w:szCs w:val="20"/>
              </w:rPr>
            </w:pPr>
            <w:r w:rsidRPr="00574DAC">
              <w:rPr>
                <w:rFonts w:cs="Arial"/>
                <w:sz w:val="20"/>
                <w:szCs w:val="20"/>
              </w:rPr>
              <w:t>Tasa de cobertura estatal de educación básica.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6DA7F90" w14:textId="77777777" w:rsidR="00E23746" w:rsidRPr="00574DAC" w:rsidRDefault="00E23746" w:rsidP="000B2F10">
            <w:pPr>
              <w:rPr>
                <w:rFonts w:cs="Arial"/>
                <w:sz w:val="20"/>
                <w:szCs w:val="20"/>
              </w:rPr>
            </w:pPr>
            <w:r w:rsidRPr="00846E84">
              <w:rPr>
                <w:rFonts w:eastAsia="Times New Roman" w:cs="Arial"/>
                <w:sz w:val="20"/>
                <w:szCs w:val="20"/>
                <w:lang w:val="es-MX" w:eastAsia="es-MX"/>
              </w:rPr>
              <w:t>Estadísticas continúas del formato 911, matrícula de inicio de ciclo escolar, SEQ. Proyecciones de población por edad desplegada, entidad federativa (Quintana Roo) 1970-2050, CONAPO, https://qroo.gob.mx/seq/medios-de-verificacion-de-la-planeacion-anual</w:t>
            </w:r>
            <w:r>
              <w:rPr>
                <w:rFonts w:eastAsia="Times New Roman" w:cs="Arial"/>
                <w:sz w:val="20"/>
                <w:szCs w:val="20"/>
                <w:lang w:val="es-MX" w:eastAsia="es-MX"/>
              </w:rPr>
              <w:t>.</w:t>
            </w:r>
          </w:p>
        </w:tc>
        <w:tc>
          <w:tcPr>
            <w:tcW w:w="1976" w:type="dxa"/>
            <w:tcBorders>
              <w:top w:val="single" w:sz="4" w:space="0" w:color="auto"/>
              <w:left w:val="single" w:sz="4" w:space="0" w:color="auto"/>
              <w:bottom w:val="single" w:sz="4" w:space="0" w:color="auto"/>
              <w:right w:val="single" w:sz="4" w:space="0" w:color="auto"/>
            </w:tcBorders>
            <w:shd w:val="clear" w:color="auto" w:fill="auto"/>
            <w:hideMark/>
          </w:tcPr>
          <w:p w14:paraId="075C58CF" w14:textId="77777777" w:rsidR="00E23746" w:rsidRPr="00574DAC" w:rsidRDefault="00E23746" w:rsidP="000B2F10">
            <w:pPr>
              <w:rPr>
                <w:rFonts w:cs="Arial"/>
                <w:sz w:val="20"/>
                <w:szCs w:val="20"/>
              </w:rPr>
            </w:pPr>
            <w:r w:rsidRPr="00574DAC">
              <w:rPr>
                <w:rFonts w:cs="Arial"/>
                <w:sz w:val="20"/>
                <w:szCs w:val="20"/>
              </w:rPr>
              <w:t>La población del Estado obtiene una educación integral de calidad que les permite progresar individual y colectivamente.</w:t>
            </w:r>
          </w:p>
        </w:tc>
      </w:tr>
      <w:tr w:rsidR="00E23746" w:rsidRPr="00574DAC" w14:paraId="10D2F0A3" w14:textId="77777777" w:rsidTr="00C91C82">
        <w:trPr>
          <w:trHeight w:val="692"/>
        </w:trPr>
        <w:tc>
          <w:tcPr>
            <w:tcW w:w="1271" w:type="dxa"/>
            <w:tcBorders>
              <w:top w:val="single" w:sz="4" w:space="0" w:color="auto"/>
              <w:left w:val="single" w:sz="4" w:space="0" w:color="auto"/>
              <w:bottom w:val="single" w:sz="4" w:space="0" w:color="auto"/>
              <w:right w:val="single" w:sz="4" w:space="0" w:color="auto"/>
            </w:tcBorders>
            <w:shd w:val="clear" w:color="auto" w:fill="auto"/>
            <w:hideMark/>
          </w:tcPr>
          <w:p w14:paraId="14EE41B8"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Propósito</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35BF0F6" w14:textId="77777777" w:rsidR="00E23746" w:rsidRPr="00574DAC" w:rsidRDefault="00E23746" w:rsidP="000B2F10">
            <w:pPr>
              <w:spacing w:after="0" w:line="240" w:lineRule="auto"/>
              <w:jc w:val="left"/>
              <w:rPr>
                <w:rFonts w:eastAsia="Times New Roman" w:cs="Arial"/>
                <w:sz w:val="20"/>
                <w:szCs w:val="20"/>
                <w:lang w:val="es-MX" w:eastAsia="es-MX"/>
              </w:rPr>
            </w:pPr>
            <w:r w:rsidRPr="00574DAC">
              <w:rPr>
                <w:rFonts w:eastAsia="Times New Roman" w:cs="Arial"/>
                <w:sz w:val="20"/>
                <w:szCs w:val="20"/>
                <w:lang w:val="es-MX" w:eastAsia="es-MX"/>
              </w:rPr>
              <w:t>Incrementar el logro académico de los estudiantes de educación básica para una educación integral e inclusiva de calidad.</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937BAEC" w14:textId="77777777" w:rsidR="00E23746" w:rsidRPr="00574DAC" w:rsidRDefault="00E23746" w:rsidP="000B2F10">
            <w:pPr>
              <w:rPr>
                <w:rFonts w:cs="Arial"/>
                <w:sz w:val="20"/>
                <w:szCs w:val="20"/>
              </w:rPr>
            </w:pPr>
            <w:r w:rsidRPr="00574DAC">
              <w:rPr>
                <w:rFonts w:cs="Arial"/>
                <w:sz w:val="20"/>
                <w:szCs w:val="20"/>
              </w:rPr>
              <w:t>P - Estudiantes de educación básica reciben una educación integral e inclusiva de calidad.</w:t>
            </w:r>
          </w:p>
        </w:tc>
        <w:tc>
          <w:tcPr>
            <w:tcW w:w="2268" w:type="dxa"/>
            <w:tcBorders>
              <w:top w:val="single" w:sz="4" w:space="0" w:color="auto"/>
              <w:left w:val="single" w:sz="4" w:space="0" w:color="auto"/>
              <w:bottom w:val="single" w:sz="4" w:space="0" w:color="auto"/>
              <w:right w:val="single" w:sz="4" w:space="0" w:color="auto"/>
            </w:tcBorders>
            <w:shd w:val="clear" w:color="FFFFFF" w:fill="FFFFFF"/>
            <w:hideMark/>
          </w:tcPr>
          <w:p w14:paraId="7A0ADA5B" w14:textId="77777777" w:rsidR="00E23746" w:rsidRPr="00574DAC" w:rsidRDefault="00E23746" w:rsidP="000B2F10">
            <w:pPr>
              <w:rPr>
                <w:rFonts w:cs="Arial"/>
                <w:sz w:val="20"/>
                <w:szCs w:val="20"/>
              </w:rPr>
            </w:pPr>
            <w:r w:rsidRPr="00574DAC">
              <w:rPr>
                <w:rFonts w:cs="Arial"/>
                <w:sz w:val="20"/>
                <w:szCs w:val="20"/>
              </w:rPr>
              <w:t>Porcentaje de alumnos de sexto de primaria que obtienen un promedio mayor a 8 en la asignatura de español.</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D67C11C" w14:textId="77777777" w:rsidR="00E23746" w:rsidRPr="00E23746" w:rsidRDefault="00E23746" w:rsidP="000B2F10">
            <w:pPr>
              <w:rPr>
                <w:rFonts w:cs="Arial"/>
                <w:sz w:val="18"/>
                <w:szCs w:val="20"/>
              </w:rPr>
            </w:pPr>
            <w:r w:rsidRPr="00E23746">
              <w:rPr>
                <w:rFonts w:cs="Arial"/>
                <w:sz w:val="18"/>
                <w:szCs w:val="20"/>
              </w:rPr>
              <w:t>Sistema de Control Escolar de Educación Básica SICEB, Secretaría de Educación de Quintana Roo, SEQ, https://qroo.gob.mx/seq/medios-de-verificacion-de-la-planeacion-anual</w:t>
            </w:r>
          </w:p>
        </w:tc>
        <w:tc>
          <w:tcPr>
            <w:tcW w:w="1976" w:type="dxa"/>
            <w:tcBorders>
              <w:top w:val="single" w:sz="4" w:space="0" w:color="auto"/>
              <w:left w:val="single" w:sz="4" w:space="0" w:color="auto"/>
              <w:bottom w:val="single" w:sz="4" w:space="0" w:color="auto"/>
              <w:right w:val="single" w:sz="4" w:space="0" w:color="auto"/>
            </w:tcBorders>
            <w:shd w:val="clear" w:color="FFFFFF" w:fill="FFFFFF"/>
            <w:hideMark/>
          </w:tcPr>
          <w:p w14:paraId="6067FFF3" w14:textId="77777777" w:rsidR="00E23746" w:rsidRPr="00574DAC" w:rsidRDefault="00E23746" w:rsidP="000B2F10">
            <w:pPr>
              <w:rPr>
                <w:rFonts w:cs="Arial"/>
                <w:sz w:val="20"/>
                <w:szCs w:val="20"/>
              </w:rPr>
            </w:pPr>
            <w:r w:rsidRPr="00574DAC">
              <w:rPr>
                <w:rFonts w:cs="Arial"/>
                <w:sz w:val="20"/>
                <w:szCs w:val="20"/>
              </w:rPr>
              <w:t>Los alumnos de educación básica, mejoran su nivel de logro académico.</w:t>
            </w:r>
          </w:p>
        </w:tc>
      </w:tr>
    </w:tbl>
    <w:p w14:paraId="5827FFE6" w14:textId="77777777" w:rsidR="00891693" w:rsidRDefault="00891693">
      <w:pPr>
        <w:spacing w:after="0" w:line="240" w:lineRule="auto"/>
        <w:jc w:val="left"/>
      </w:pPr>
      <w:r>
        <w:br w:type="page"/>
      </w:r>
    </w:p>
    <w:tbl>
      <w:tblPr>
        <w:tblW w:w="14020" w:type="dxa"/>
        <w:tblLayout w:type="fixed"/>
        <w:tblCellMar>
          <w:left w:w="70" w:type="dxa"/>
          <w:right w:w="70" w:type="dxa"/>
        </w:tblCellMar>
        <w:tblLook w:val="04A0" w:firstRow="1" w:lastRow="0" w:firstColumn="1" w:lastColumn="0" w:noHBand="0" w:noVBand="1"/>
      </w:tblPr>
      <w:tblGrid>
        <w:gridCol w:w="1271"/>
        <w:gridCol w:w="2835"/>
        <w:gridCol w:w="2835"/>
        <w:gridCol w:w="2268"/>
        <w:gridCol w:w="2835"/>
        <w:gridCol w:w="1976"/>
      </w:tblGrid>
      <w:tr w:rsidR="00E23746" w:rsidRPr="00574DAC" w14:paraId="5BE8E858" w14:textId="77777777" w:rsidTr="00C91C82">
        <w:trPr>
          <w:trHeight w:val="679"/>
        </w:trPr>
        <w:tc>
          <w:tcPr>
            <w:tcW w:w="1271"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07664B26"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lastRenderedPageBreak/>
              <w:t>NIVEL</w:t>
            </w:r>
          </w:p>
        </w:tc>
        <w:tc>
          <w:tcPr>
            <w:tcW w:w="2835"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7A5DB18A"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ALINEACIÓN PED/PD</w:t>
            </w:r>
          </w:p>
        </w:tc>
        <w:tc>
          <w:tcPr>
            <w:tcW w:w="2835"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7770F8EF"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OBJETIVO</w:t>
            </w:r>
          </w:p>
        </w:tc>
        <w:tc>
          <w:tcPr>
            <w:tcW w:w="2268"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440AE821"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INDICADOR</w:t>
            </w:r>
          </w:p>
        </w:tc>
        <w:tc>
          <w:tcPr>
            <w:tcW w:w="2835"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717804D7"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MEDIOS DE VERIFICACIÓN</w:t>
            </w:r>
          </w:p>
        </w:tc>
        <w:tc>
          <w:tcPr>
            <w:tcW w:w="1976"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245E978E"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SUPUESTO</w:t>
            </w:r>
          </w:p>
        </w:tc>
      </w:tr>
      <w:tr w:rsidR="00E23746" w:rsidRPr="00574DAC" w14:paraId="610F3DB2" w14:textId="77777777" w:rsidTr="00C91C82">
        <w:trPr>
          <w:trHeight w:val="2289"/>
        </w:trPr>
        <w:tc>
          <w:tcPr>
            <w:tcW w:w="1271" w:type="dxa"/>
            <w:tcBorders>
              <w:top w:val="single" w:sz="4" w:space="0" w:color="auto"/>
              <w:left w:val="single" w:sz="4" w:space="0" w:color="auto"/>
              <w:bottom w:val="single" w:sz="4" w:space="0" w:color="auto"/>
              <w:right w:val="single" w:sz="4" w:space="0" w:color="auto"/>
            </w:tcBorders>
            <w:shd w:val="clear" w:color="auto" w:fill="auto"/>
            <w:hideMark/>
          </w:tcPr>
          <w:p w14:paraId="112655EF"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Propósito</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6BB5CC3" w14:textId="77777777" w:rsidR="00E23746" w:rsidRPr="00574DAC" w:rsidRDefault="00E23746" w:rsidP="000B2F10">
            <w:pPr>
              <w:spacing w:after="0" w:line="240" w:lineRule="auto"/>
              <w:jc w:val="left"/>
              <w:rPr>
                <w:rFonts w:eastAsia="Times New Roman" w:cs="Arial"/>
                <w:sz w:val="20"/>
                <w:szCs w:val="20"/>
                <w:lang w:val="es-MX" w:eastAsia="es-MX"/>
              </w:rPr>
            </w:pPr>
            <w:r w:rsidRPr="00574DAC">
              <w:rPr>
                <w:rFonts w:eastAsia="Times New Roman" w:cs="Arial"/>
                <w:sz w:val="20"/>
                <w:szCs w:val="20"/>
                <w:lang w:val="es-MX" w:eastAsia="es-MX"/>
              </w:rPr>
              <w:t>Incrementar el logro académico de los estudiantes de educación básica para una educación integral e inclusiva de calidad.</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CE25B63" w14:textId="77777777" w:rsidR="00E23746" w:rsidRPr="00574DAC" w:rsidRDefault="00E23746" w:rsidP="000B2F10">
            <w:pPr>
              <w:rPr>
                <w:rFonts w:cs="Arial"/>
                <w:sz w:val="20"/>
                <w:szCs w:val="20"/>
              </w:rPr>
            </w:pPr>
            <w:r w:rsidRPr="00574DAC">
              <w:rPr>
                <w:rFonts w:cs="Arial"/>
                <w:sz w:val="20"/>
                <w:szCs w:val="20"/>
              </w:rPr>
              <w:t>P - Estudiantes de educación básica reciben una educación integral e inclusiva de calidad.</w:t>
            </w:r>
          </w:p>
        </w:tc>
        <w:tc>
          <w:tcPr>
            <w:tcW w:w="2268" w:type="dxa"/>
            <w:tcBorders>
              <w:top w:val="single" w:sz="4" w:space="0" w:color="auto"/>
              <w:left w:val="single" w:sz="4" w:space="0" w:color="auto"/>
              <w:bottom w:val="single" w:sz="4" w:space="0" w:color="auto"/>
              <w:right w:val="single" w:sz="4" w:space="0" w:color="auto"/>
            </w:tcBorders>
            <w:shd w:val="clear" w:color="FFFFFF" w:fill="FFFFFF"/>
            <w:hideMark/>
          </w:tcPr>
          <w:p w14:paraId="72D8C7CB" w14:textId="77777777" w:rsidR="00E23746" w:rsidRPr="00574DAC" w:rsidRDefault="00E23746" w:rsidP="000B2F10">
            <w:pPr>
              <w:rPr>
                <w:rFonts w:cs="Arial"/>
                <w:sz w:val="20"/>
                <w:szCs w:val="20"/>
              </w:rPr>
            </w:pPr>
            <w:r w:rsidRPr="00574DAC">
              <w:rPr>
                <w:rFonts w:cs="Arial"/>
                <w:sz w:val="20"/>
                <w:szCs w:val="20"/>
              </w:rPr>
              <w:t>Porcentaje de alumnos de sexto de primaria que obtienen un promedio mayor a 8 en la asignatura de matemáticas.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175A6FE" w14:textId="77777777" w:rsidR="00E23746" w:rsidRPr="00574DAC" w:rsidRDefault="00E23746" w:rsidP="000B2F10">
            <w:pPr>
              <w:rPr>
                <w:rFonts w:cs="Arial"/>
                <w:sz w:val="20"/>
                <w:szCs w:val="20"/>
              </w:rPr>
            </w:pPr>
            <w:r w:rsidRPr="00574DAC">
              <w:rPr>
                <w:rFonts w:cs="Arial"/>
                <w:sz w:val="20"/>
                <w:szCs w:val="20"/>
              </w:rPr>
              <w:t>Sistema de Control Escolar de Educación Básica SICEB, Secretaría de Educación de Quintana Roo, SEQ, https://qroo.gob.mx/seq/medios-de-verificacion-de-la-planeacion-anual</w:t>
            </w:r>
          </w:p>
        </w:tc>
        <w:tc>
          <w:tcPr>
            <w:tcW w:w="1976" w:type="dxa"/>
            <w:tcBorders>
              <w:top w:val="single" w:sz="4" w:space="0" w:color="auto"/>
              <w:left w:val="single" w:sz="4" w:space="0" w:color="auto"/>
              <w:bottom w:val="single" w:sz="4" w:space="0" w:color="auto"/>
              <w:right w:val="single" w:sz="4" w:space="0" w:color="auto"/>
            </w:tcBorders>
            <w:shd w:val="clear" w:color="FFFFFF" w:fill="FFFFFF"/>
            <w:hideMark/>
          </w:tcPr>
          <w:p w14:paraId="199415A6" w14:textId="77777777" w:rsidR="00E23746" w:rsidRPr="00574DAC" w:rsidRDefault="00E23746" w:rsidP="000B2F10">
            <w:pPr>
              <w:rPr>
                <w:rFonts w:cs="Arial"/>
                <w:sz w:val="20"/>
                <w:szCs w:val="20"/>
              </w:rPr>
            </w:pPr>
            <w:r w:rsidRPr="00574DAC">
              <w:rPr>
                <w:rFonts w:cs="Arial"/>
                <w:sz w:val="20"/>
                <w:szCs w:val="20"/>
              </w:rPr>
              <w:t>Los alumnos de educación básica, mejoran su nivel de logro académico.</w:t>
            </w:r>
          </w:p>
        </w:tc>
      </w:tr>
      <w:tr w:rsidR="00E23746" w:rsidRPr="00574DAC" w14:paraId="42E6F4D3" w14:textId="77777777" w:rsidTr="00C91C82">
        <w:trPr>
          <w:trHeight w:val="2250"/>
        </w:trPr>
        <w:tc>
          <w:tcPr>
            <w:tcW w:w="1271" w:type="dxa"/>
            <w:tcBorders>
              <w:top w:val="single" w:sz="4" w:space="0" w:color="auto"/>
              <w:left w:val="single" w:sz="4" w:space="0" w:color="auto"/>
              <w:bottom w:val="single" w:sz="4" w:space="0" w:color="auto"/>
              <w:right w:val="single" w:sz="4" w:space="0" w:color="auto"/>
            </w:tcBorders>
            <w:shd w:val="clear" w:color="auto" w:fill="auto"/>
            <w:hideMark/>
          </w:tcPr>
          <w:p w14:paraId="20BECA71"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Propósito</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2691B14" w14:textId="77777777" w:rsidR="00E23746" w:rsidRPr="00574DAC" w:rsidRDefault="00E23746" w:rsidP="000B2F10">
            <w:pPr>
              <w:spacing w:after="0" w:line="240" w:lineRule="auto"/>
              <w:jc w:val="left"/>
              <w:rPr>
                <w:rFonts w:eastAsia="Times New Roman" w:cs="Arial"/>
                <w:sz w:val="20"/>
                <w:szCs w:val="20"/>
                <w:lang w:val="es-MX" w:eastAsia="es-MX"/>
              </w:rPr>
            </w:pPr>
            <w:r w:rsidRPr="00574DAC">
              <w:rPr>
                <w:rFonts w:eastAsia="Times New Roman" w:cs="Arial"/>
                <w:sz w:val="20"/>
                <w:szCs w:val="20"/>
                <w:lang w:val="es-MX" w:eastAsia="es-MX"/>
              </w:rPr>
              <w:t>Incrementar el logro académico de los estudiantes de educación básica para una educación integral e inclusiva de calidad.</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540B9CA" w14:textId="77777777" w:rsidR="00E23746" w:rsidRPr="00574DAC" w:rsidRDefault="00E23746" w:rsidP="000B2F10">
            <w:pPr>
              <w:rPr>
                <w:rFonts w:cs="Arial"/>
                <w:sz w:val="20"/>
                <w:szCs w:val="20"/>
              </w:rPr>
            </w:pPr>
            <w:r w:rsidRPr="00574DAC">
              <w:rPr>
                <w:rFonts w:cs="Arial"/>
                <w:sz w:val="20"/>
                <w:szCs w:val="20"/>
              </w:rPr>
              <w:t>P - Estudiantes de educación básica reciben una educación integral e inclusiva de calidad.</w:t>
            </w:r>
          </w:p>
        </w:tc>
        <w:tc>
          <w:tcPr>
            <w:tcW w:w="2268" w:type="dxa"/>
            <w:tcBorders>
              <w:top w:val="single" w:sz="4" w:space="0" w:color="auto"/>
              <w:left w:val="single" w:sz="4" w:space="0" w:color="auto"/>
              <w:bottom w:val="single" w:sz="4" w:space="0" w:color="auto"/>
              <w:right w:val="single" w:sz="4" w:space="0" w:color="auto"/>
            </w:tcBorders>
            <w:shd w:val="clear" w:color="FFFFFF" w:fill="FFFFFF"/>
            <w:hideMark/>
          </w:tcPr>
          <w:p w14:paraId="3F2446F6" w14:textId="77777777" w:rsidR="00E23746" w:rsidRPr="00574DAC" w:rsidRDefault="00E23746" w:rsidP="000B2F10">
            <w:pPr>
              <w:rPr>
                <w:rFonts w:cs="Arial"/>
                <w:sz w:val="20"/>
                <w:szCs w:val="20"/>
              </w:rPr>
            </w:pPr>
            <w:r w:rsidRPr="00574DAC">
              <w:rPr>
                <w:rFonts w:cs="Arial"/>
                <w:sz w:val="20"/>
                <w:szCs w:val="20"/>
              </w:rPr>
              <w:t>Porcentaje de alumnos de tercero de secundaria que obtienen un promedio mayor a 8 en la asignatura de español.</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DC31744" w14:textId="77777777" w:rsidR="00E23746" w:rsidRPr="00574DAC" w:rsidRDefault="00E23746" w:rsidP="000B2F10">
            <w:pPr>
              <w:rPr>
                <w:rFonts w:cs="Arial"/>
                <w:sz w:val="20"/>
                <w:szCs w:val="20"/>
              </w:rPr>
            </w:pPr>
            <w:r w:rsidRPr="00574DAC">
              <w:rPr>
                <w:rFonts w:cs="Arial"/>
                <w:sz w:val="20"/>
                <w:szCs w:val="20"/>
              </w:rPr>
              <w:t>Sistema de Control Escolar de Educación Básica SICEB, Secretaría de Educación de Quintana Roo, SEQ. https://qroo.gob.mx/seq/medios-de-verificacion-de-la-planeacion-anual</w:t>
            </w:r>
          </w:p>
        </w:tc>
        <w:tc>
          <w:tcPr>
            <w:tcW w:w="1976" w:type="dxa"/>
            <w:tcBorders>
              <w:top w:val="single" w:sz="4" w:space="0" w:color="auto"/>
              <w:left w:val="single" w:sz="4" w:space="0" w:color="auto"/>
              <w:bottom w:val="single" w:sz="4" w:space="0" w:color="auto"/>
              <w:right w:val="single" w:sz="4" w:space="0" w:color="auto"/>
            </w:tcBorders>
            <w:shd w:val="clear" w:color="FFFFFF" w:fill="FFFFFF"/>
            <w:hideMark/>
          </w:tcPr>
          <w:p w14:paraId="70608BFA" w14:textId="77777777" w:rsidR="00E23746" w:rsidRPr="00574DAC" w:rsidRDefault="00E23746" w:rsidP="000B2F10">
            <w:pPr>
              <w:rPr>
                <w:rFonts w:cs="Arial"/>
                <w:sz w:val="20"/>
                <w:szCs w:val="20"/>
              </w:rPr>
            </w:pPr>
            <w:r w:rsidRPr="00574DAC">
              <w:rPr>
                <w:rFonts w:cs="Arial"/>
                <w:sz w:val="20"/>
                <w:szCs w:val="20"/>
              </w:rPr>
              <w:t>Los alumnos de educación básica, mejoran su nivel de logro académico.</w:t>
            </w:r>
          </w:p>
        </w:tc>
      </w:tr>
      <w:tr w:rsidR="00E23746" w:rsidRPr="00574DAC" w14:paraId="5FE82748" w14:textId="77777777" w:rsidTr="00C91C82">
        <w:trPr>
          <w:trHeight w:val="1692"/>
        </w:trPr>
        <w:tc>
          <w:tcPr>
            <w:tcW w:w="1271" w:type="dxa"/>
            <w:tcBorders>
              <w:top w:val="single" w:sz="4" w:space="0" w:color="auto"/>
              <w:left w:val="single" w:sz="4" w:space="0" w:color="auto"/>
              <w:bottom w:val="single" w:sz="4" w:space="0" w:color="auto"/>
              <w:right w:val="single" w:sz="4" w:space="0" w:color="auto"/>
            </w:tcBorders>
            <w:shd w:val="clear" w:color="auto" w:fill="auto"/>
            <w:hideMark/>
          </w:tcPr>
          <w:p w14:paraId="314B17FF"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Propósito</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8E46735" w14:textId="77777777" w:rsidR="00E23746" w:rsidRPr="00574DAC" w:rsidRDefault="00E23746" w:rsidP="000B2F10">
            <w:pPr>
              <w:spacing w:after="0" w:line="240" w:lineRule="auto"/>
              <w:jc w:val="left"/>
              <w:rPr>
                <w:rFonts w:eastAsia="Times New Roman" w:cs="Arial"/>
                <w:sz w:val="20"/>
                <w:szCs w:val="20"/>
                <w:lang w:val="es-MX" w:eastAsia="es-MX"/>
              </w:rPr>
            </w:pPr>
            <w:r w:rsidRPr="00574DAC">
              <w:rPr>
                <w:rFonts w:eastAsia="Times New Roman" w:cs="Arial"/>
                <w:sz w:val="20"/>
                <w:szCs w:val="20"/>
                <w:lang w:val="es-MX" w:eastAsia="es-MX"/>
              </w:rPr>
              <w:t>Incrementar el logro académico de los estudiantes de educación básica para una educación integral e inclusiva de calidad.</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D58205D" w14:textId="77777777" w:rsidR="00E23746" w:rsidRPr="00574DAC" w:rsidRDefault="00E23746" w:rsidP="000B2F10">
            <w:pPr>
              <w:rPr>
                <w:rFonts w:cs="Arial"/>
                <w:sz w:val="20"/>
                <w:szCs w:val="20"/>
              </w:rPr>
            </w:pPr>
            <w:r w:rsidRPr="00574DAC">
              <w:rPr>
                <w:rFonts w:cs="Arial"/>
                <w:sz w:val="20"/>
                <w:szCs w:val="20"/>
              </w:rPr>
              <w:t>P - Estudiantes de educación básica reciben una educación integral e inclusiva de calidad.</w:t>
            </w:r>
          </w:p>
        </w:tc>
        <w:tc>
          <w:tcPr>
            <w:tcW w:w="2268" w:type="dxa"/>
            <w:tcBorders>
              <w:top w:val="single" w:sz="4" w:space="0" w:color="auto"/>
              <w:left w:val="single" w:sz="4" w:space="0" w:color="auto"/>
              <w:bottom w:val="single" w:sz="4" w:space="0" w:color="auto"/>
              <w:right w:val="single" w:sz="4" w:space="0" w:color="auto"/>
            </w:tcBorders>
            <w:shd w:val="clear" w:color="FFFFFF" w:fill="FFFFFF"/>
            <w:hideMark/>
          </w:tcPr>
          <w:p w14:paraId="18DE6DE6" w14:textId="77777777" w:rsidR="00E23746" w:rsidRPr="00574DAC" w:rsidRDefault="00E23746" w:rsidP="000B2F10">
            <w:pPr>
              <w:rPr>
                <w:rFonts w:cs="Arial"/>
                <w:sz w:val="20"/>
                <w:szCs w:val="20"/>
              </w:rPr>
            </w:pPr>
            <w:r w:rsidRPr="00574DAC">
              <w:rPr>
                <w:rFonts w:cs="Arial"/>
                <w:sz w:val="20"/>
                <w:szCs w:val="20"/>
              </w:rPr>
              <w:t xml:space="preserve">Porcentaje de alumnos de tercero de secundaria que obtienen un promedio mayor a 8 en la asignatura de matemáticas. </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82AC96D" w14:textId="77777777" w:rsidR="00E23746" w:rsidRPr="00574DAC" w:rsidRDefault="00E23746" w:rsidP="000B2F10">
            <w:pPr>
              <w:rPr>
                <w:rFonts w:cs="Arial"/>
                <w:sz w:val="20"/>
                <w:szCs w:val="20"/>
              </w:rPr>
            </w:pPr>
            <w:r w:rsidRPr="00574DAC">
              <w:rPr>
                <w:rFonts w:cs="Arial"/>
                <w:sz w:val="20"/>
                <w:szCs w:val="20"/>
              </w:rPr>
              <w:t>Sistema de Control Escolar de Educación Básica SICEB, Secretaría de Educación de Quintana Roo, SEQ. https://qroo.gob.mx/seq/medios-de-verificacion-de-la-planeacion-anual</w:t>
            </w:r>
            <w:r>
              <w:rPr>
                <w:rFonts w:cs="Arial"/>
                <w:sz w:val="20"/>
                <w:szCs w:val="20"/>
              </w:rPr>
              <w:t>.</w:t>
            </w:r>
          </w:p>
        </w:tc>
        <w:tc>
          <w:tcPr>
            <w:tcW w:w="1976" w:type="dxa"/>
            <w:tcBorders>
              <w:top w:val="single" w:sz="4" w:space="0" w:color="auto"/>
              <w:left w:val="single" w:sz="4" w:space="0" w:color="auto"/>
              <w:bottom w:val="single" w:sz="4" w:space="0" w:color="auto"/>
              <w:right w:val="single" w:sz="4" w:space="0" w:color="auto"/>
            </w:tcBorders>
            <w:shd w:val="clear" w:color="FFFFFF" w:fill="FFFFFF"/>
            <w:hideMark/>
          </w:tcPr>
          <w:p w14:paraId="0C7E2F45" w14:textId="77777777" w:rsidR="00E23746" w:rsidRPr="00574DAC" w:rsidRDefault="00E23746" w:rsidP="000B2F10">
            <w:pPr>
              <w:rPr>
                <w:rFonts w:cs="Arial"/>
                <w:sz w:val="20"/>
                <w:szCs w:val="20"/>
              </w:rPr>
            </w:pPr>
            <w:r w:rsidRPr="00574DAC">
              <w:rPr>
                <w:rFonts w:cs="Arial"/>
                <w:sz w:val="20"/>
                <w:szCs w:val="20"/>
              </w:rPr>
              <w:t>Los alumnos de educación básica, mejoran su nivel de logro académico.</w:t>
            </w:r>
          </w:p>
        </w:tc>
      </w:tr>
    </w:tbl>
    <w:p w14:paraId="6F68BB79" w14:textId="77777777" w:rsidR="00891693" w:rsidRDefault="00891693">
      <w:pPr>
        <w:spacing w:after="0" w:line="240" w:lineRule="auto"/>
        <w:jc w:val="left"/>
      </w:pPr>
      <w:r>
        <w:br w:type="page"/>
      </w:r>
    </w:p>
    <w:tbl>
      <w:tblPr>
        <w:tblW w:w="14020" w:type="dxa"/>
        <w:tblLayout w:type="fixed"/>
        <w:tblCellMar>
          <w:left w:w="70" w:type="dxa"/>
          <w:right w:w="70" w:type="dxa"/>
        </w:tblCellMar>
        <w:tblLook w:val="04A0" w:firstRow="1" w:lastRow="0" w:firstColumn="1" w:lastColumn="0" w:noHBand="0" w:noVBand="1"/>
      </w:tblPr>
      <w:tblGrid>
        <w:gridCol w:w="1413"/>
        <w:gridCol w:w="2693"/>
        <w:gridCol w:w="2835"/>
        <w:gridCol w:w="2268"/>
        <w:gridCol w:w="2835"/>
        <w:gridCol w:w="1976"/>
      </w:tblGrid>
      <w:tr w:rsidR="00E23746" w:rsidRPr="00574DAC" w14:paraId="7F8E4ECF" w14:textId="77777777" w:rsidTr="00BF2AA6">
        <w:trPr>
          <w:trHeight w:val="679"/>
        </w:trPr>
        <w:tc>
          <w:tcPr>
            <w:tcW w:w="1413"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6837DE5A"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lastRenderedPageBreak/>
              <w:t>NIVEL</w:t>
            </w:r>
          </w:p>
        </w:tc>
        <w:tc>
          <w:tcPr>
            <w:tcW w:w="2693"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425A23CC"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ALINEACIÓN PED/PD</w:t>
            </w:r>
          </w:p>
        </w:tc>
        <w:tc>
          <w:tcPr>
            <w:tcW w:w="2835"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171C21AD"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OBJETIVO</w:t>
            </w:r>
          </w:p>
        </w:tc>
        <w:tc>
          <w:tcPr>
            <w:tcW w:w="2268"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2D44B826"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INDICADOR</w:t>
            </w:r>
          </w:p>
        </w:tc>
        <w:tc>
          <w:tcPr>
            <w:tcW w:w="2835"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40595C87"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MEDIOS DE VERIFICACIÓN</w:t>
            </w:r>
          </w:p>
        </w:tc>
        <w:tc>
          <w:tcPr>
            <w:tcW w:w="1976"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3F3F6EE6"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SUPUESTO</w:t>
            </w:r>
          </w:p>
        </w:tc>
      </w:tr>
      <w:tr w:rsidR="00E23746" w:rsidRPr="00574DAC" w14:paraId="679A55FC" w14:textId="77777777" w:rsidTr="00BF2AA6">
        <w:trPr>
          <w:trHeight w:val="2289"/>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14:paraId="11725290" w14:textId="77777777" w:rsidR="00E23746" w:rsidRPr="00574DAC" w:rsidRDefault="00E23746" w:rsidP="000B2F10">
            <w:pPr>
              <w:jc w:val="center"/>
              <w:rPr>
                <w:rFonts w:cs="Arial"/>
                <w:b/>
                <w:bCs/>
                <w:sz w:val="20"/>
                <w:szCs w:val="20"/>
              </w:rPr>
            </w:pPr>
            <w:r w:rsidRPr="00574DAC">
              <w:rPr>
                <w:rFonts w:cs="Arial"/>
                <w:b/>
                <w:bCs/>
                <w:sz w:val="20"/>
                <w:szCs w:val="20"/>
              </w:rPr>
              <w:t>Componente</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69D61F6C" w14:textId="77777777" w:rsidR="00E23746" w:rsidRPr="00574DAC" w:rsidRDefault="00E23746" w:rsidP="000B2F10">
            <w:pPr>
              <w:rPr>
                <w:rFonts w:cs="Arial"/>
                <w:sz w:val="20"/>
                <w:szCs w:val="20"/>
              </w:rPr>
            </w:pPr>
            <w:r w:rsidRPr="00574DAC">
              <w:rPr>
                <w:rFonts w:cs="Arial"/>
                <w:sz w:val="20"/>
                <w:szCs w:val="20"/>
              </w:rPr>
              <w:t>Incrementar la inserción de los niños en educación inicial y preescolar en el Sistema Educativo Estatal</w:t>
            </w:r>
            <w:r>
              <w:rPr>
                <w:rFonts w:cs="Arial"/>
                <w:sz w:val="20"/>
                <w:szCs w:val="20"/>
              </w:rPr>
              <w: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6806C84" w14:textId="77777777" w:rsidR="00E23746" w:rsidRPr="00574DAC" w:rsidRDefault="00E23746" w:rsidP="000B2F10">
            <w:pPr>
              <w:rPr>
                <w:rFonts w:cs="Arial"/>
                <w:sz w:val="20"/>
                <w:szCs w:val="20"/>
              </w:rPr>
            </w:pPr>
            <w:r w:rsidRPr="00574DAC">
              <w:rPr>
                <w:rFonts w:cs="Arial"/>
                <w:sz w:val="20"/>
                <w:szCs w:val="20"/>
              </w:rPr>
              <w:t>C01</w:t>
            </w:r>
            <w:r>
              <w:rPr>
                <w:rFonts w:cs="Arial"/>
                <w:sz w:val="20"/>
                <w:szCs w:val="20"/>
              </w:rPr>
              <w:t xml:space="preserve"> </w:t>
            </w:r>
            <w:r w:rsidRPr="00574DAC">
              <w:rPr>
                <w:rFonts w:cs="Arial"/>
                <w:sz w:val="20"/>
                <w:szCs w:val="20"/>
              </w:rPr>
              <w:t>- Atención Integral para niños en las diversas instancias públicas y privadas que proporcionan el servicio educación inicial, incrementada</w:t>
            </w:r>
            <w:r>
              <w:rPr>
                <w:rFonts w:cs="Arial"/>
                <w:sz w:val="20"/>
                <w:szCs w:val="20"/>
              </w:rPr>
              <w:t>.</w:t>
            </w:r>
          </w:p>
        </w:tc>
        <w:tc>
          <w:tcPr>
            <w:tcW w:w="2268" w:type="dxa"/>
            <w:tcBorders>
              <w:top w:val="single" w:sz="4" w:space="0" w:color="auto"/>
              <w:left w:val="single" w:sz="4" w:space="0" w:color="auto"/>
              <w:bottom w:val="single" w:sz="4" w:space="0" w:color="auto"/>
              <w:right w:val="single" w:sz="4" w:space="0" w:color="auto"/>
            </w:tcBorders>
            <w:shd w:val="clear" w:color="FFFFFF" w:fill="FFFFFF"/>
            <w:hideMark/>
          </w:tcPr>
          <w:p w14:paraId="17CFEE94" w14:textId="77777777" w:rsidR="00E23746" w:rsidRPr="00574DAC" w:rsidRDefault="00E23746" w:rsidP="000B2F10">
            <w:pPr>
              <w:rPr>
                <w:rFonts w:cs="Arial"/>
                <w:sz w:val="20"/>
                <w:szCs w:val="20"/>
              </w:rPr>
            </w:pPr>
            <w:r w:rsidRPr="00574DAC">
              <w:rPr>
                <w:rFonts w:cs="Arial"/>
                <w:sz w:val="20"/>
                <w:szCs w:val="20"/>
              </w:rPr>
              <w:t>C01</w:t>
            </w:r>
            <w:r>
              <w:rPr>
                <w:rFonts w:cs="Arial"/>
                <w:sz w:val="20"/>
                <w:szCs w:val="20"/>
              </w:rPr>
              <w:t xml:space="preserve"> </w:t>
            </w:r>
            <w:r w:rsidRPr="00574DAC">
              <w:rPr>
                <w:rFonts w:cs="Arial"/>
                <w:sz w:val="20"/>
                <w:szCs w:val="20"/>
              </w:rPr>
              <w:t>- Porcentaje de infantes de 0 a 2 años 11 meses inscritos en las diversas instancias públicas y privadas de educación inicial escolarizada incorporadas.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F006974" w14:textId="77777777" w:rsidR="00E23746" w:rsidRPr="00574DAC" w:rsidRDefault="00E23746" w:rsidP="000B2F10">
            <w:pPr>
              <w:rPr>
                <w:rFonts w:cs="Arial"/>
                <w:sz w:val="20"/>
                <w:szCs w:val="20"/>
              </w:rPr>
            </w:pPr>
            <w:r w:rsidRPr="00574DAC">
              <w:rPr>
                <w:rFonts w:cs="Arial"/>
                <w:sz w:val="20"/>
                <w:szCs w:val="20"/>
              </w:rPr>
              <w:t>Estadística 911, anual, https://qroo.gob.mx/seq/medios-de-verificacion-de-la-planeacion-anual</w:t>
            </w:r>
            <w:r>
              <w:rPr>
                <w:rFonts w:cs="Arial"/>
                <w:sz w:val="20"/>
                <w:szCs w:val="20"/>
              </w:rPr>
              <w:t>.</w:t>
            </w:r>
          </w:p>
        </w:tc>
        <w:tc>
          <w:tcPr>
            <w:tcW w:w="1976" w:type="dxa"/>
            <w:tcBorders>
              <w:top w:val="single" w:sz="4" w:space="0" w:color="auto"/>
              <w:left w:val="single" w:sz="4" w:space="0" w:color="auto"/>
              <w:bottom w:val="single" w:sz="4" w:space="0" w:color="auto"/>
              <w:right w:val="single" w:sz="4" w:space="0" w:color="auto"/>
            </w:tcBorders>
            <w:shd w:val="clear" w:color="auto" w:fill="auto"/>
            <w:hideMark/>
          </w:tcPr>
          <w:p w14:paraId="6DDA37C4" w14:textId="77777777" w:rsidR="00E23746" w:rsidRPr="00574DAC" w:rsidRDefault="00E23746" w:rsidP="000B2F10">
            <w:pPr>
              <w:rPr>
                <w:rFonts w:cs="Arial"/>
                <w:sz w:val="20"/>
                <w:szCs w:val="20"/>
              </w:rPr>
            </w:pPr>
            <w:r w:rsidRPr="00574DAC">
              <w:rPr>
                <w:rFonts w:cs="Arial"/>
                <w:sz w:val="20"/>
                <w:szCs w:val="20"/>
              </w:rPr>
              <w:t>Los padres inscriben a sus hijos en el nivel de educación inicial escolarizada.</w:t>
            </w:r>
          </w:p>
        </w:tc>
      </w:tr>
      <w:tr w:rsidR="00E23746" w:rsidRPr="00574DAC" w14:paraId="0AE2D57A" w14:textId="77777777" w:rsidTr="00BF2AA6">
        <w:trPr>
          <w:trHeight w:val="1979"/>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14:paraId="26E18116" w14:textId="77777777" w:rsidR="00E23746" w:rsidRPr="00574DAC" w:rsidRDefault="00E23746" w:rsidP="000B2F10">
            <w:pPr>
              <w:jc w:val="center"/>
              <w:rPr>
                <w:rFonts w:cs="Arial"/>
                <w:b/>
                <w:bCs/>
                <w:sz w:val="20"/>
                <w:szCs w:val="20"/>
              </w:rPr>
            </w:pPr>
            <w:r w:rsidRPr="00574DAC">
              <w:rPr>
                <w:rFonts w:cs="Arial"/>
                <w:b/>
                <w:bCs/>
                <w:sz w:val="20"/>
                <w:szCs w:val="20"/>
              </w:rPr>
              <w:t>Actividad</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3421E8FB" w14:textId="77777777" w:rsidR="00E23746" w:rsidRPr="00574DAC" w:rsidRDefault="00E23746" w:rsidP="000B2F10">
            <w:pPr>
              <w:rPr>
                <w:rFonts w:cs="Arial"/>
                <w:sz w:val="20"/>
                <w:szCs w:val="20"/>
              </w:rPr>
            </w:pPr>
            <w:r w:rsidRPr="00574DAC">
              <w:rPr>
                <w:rFonts w:cs="Arial"/>
                <w:sz w:val="20"/>
                <w:szCs w:val="20"/>
              </w:rPr>
              <w:t>Incrementar la inserción de los niños en educación inicial y preescolar en el Sistema Educativo Estatal</w:t>
            </w:r>
            <w:r>
              <w:rPr>
                <w:rFonts w:cs="Arial"/>
                <w:sz w:val="20"/>
                <w:szCs w:val="20"/>
              </w:rPr>
              <w: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3F3C3AC" w14:textId="77777777" w:rsidR="00E23746" w:rsidRPr="00574DAC" w:rsidRDefault="00E23746" w:rsidP="000B2F10">
            <w:pPr>
              <w:rPr>
                <w:rFonts w:cs="Arial"/>
                <w:sz w:val="20"/>
                <w:szCs w:val="20"/>
              </w:rPr>
            </w:pPr>
            <w:r w:rsidRPr="00574DAC">
              <w:rPr>
                <w:rFonts w:cs="Arial"/>
                <w:sz w:val="20"/>
                <w:szCs w:val="20"/>
              </w:rPr>
              <w:t>C01.A01 - Capacitación a los agentes educativos de los Centros de Atención Infantil en relación a las normas y lineamientos pedagógicos y asistenciales.</w:t>
            </w:r>
          </w:p>
        </w:tc>
        <w:tc>
          <w:tcPr>
            <w:tcW w:w="2268" w:type="dxa"/>
            <w:tcBorders>
              <w:top w:val="single" w:sz="4" w:space="0" w:color="auto"/>
              <w:left w:val="single" w:sz="4" w:space="0" w:color="auto"/>
              <w:bottom w:val="single" w:sz="4" w:space="0" w:color="auto"/>
              <w:right w:val="single" w:sz="4" w:space="0" w:color="auto"/>
            </w:tcBorders>
            <w:shd w:val="clear" w:color="FFFFFF" w:fill="FFFFFF"/>
            <w:hideMark/>
          </w:tcPr>
          <w:p w14:paraId="09A652D6" w14:textId="77777777" w:rsidR="00E23746" w:rsidRPr="00574DAC" w:rsidRDefault="00E23746" w:rsidP="000B2F10">
            <w:pPr>
              <w:rPr>
                <w:rFonts w:cs="Arial"/>
                <w:sz w:val="20"/>
                <w:szCs w:val="20"/>
              </w:rPr>
            </w:pPr>
            <w:r w:rsidRPr="00574DAC">
              <w:rPr>
                <w:rFonts w:cs="Arial"/>
                <w:sz w:val="20"/>
                <w:szCs w:val="20"/>
              </w:rPr>
              <w:t>C01A01 - Porcentaje de agentes educativos capacitados de acuerdo a las normas y lineamientos pedagógicos y asistenciales.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CC49BCE" w14:textId="77777777" w:rsidR="00E23746" w:rsidRPr="00574DAC" w:rsidRDefault="00E23746" w:rsidP="000B2F10">
            <w:pPr>
              <w:rPr>
                <w:rFonts w:cs="Arial"/>
                <w:sz w:val="20"/>
                <w:szCs w:val="20"/>
              </w:rPr>
            </w:pPr>
            <w:r w:rsidRPr="00574DAC">
              <w:rPr>
                <w:rFonts w:cs="Arial"/>
                <w:sz w:val="20"/>
                <w:szCs w:val="20"/>
              </w:rPr>
              <w:t>Listas de asistencia, carta descriptiva, fotografías, anual. https://qroo.gob.mx/seq/medios-de-verificacion-de-la-planeacion-anual</w:t>
            </w:r>
            <w:r>
              <w:rPr>
                <w:rFonts w:cs="Arial"/>
                <w:sz w:val="20"/>
                <w:szCs w:val="20"/>
              </w:rPr>
              <w:t>.</w:t>
            </w:r>
          </w:p>
        </w:tc>
        <w:tc>
          <w:tcPr>
            <w:tcW w:w="1976" w:type="dxa"/>
            <w:tcBorders>
              <w:top w:val="single" w:sz="4" w:space="0" w:color="auto"/>
              <w:left w:val="single" w:sz="4" w:space="0" w:color="auto"/>
              <w:bottom w:val="single" w:sz="4" w:space="0" w:color="auto"/>
              <w:right w:val="single" w:sz="4" w:space="0" w:color="auto"/>
            </w:tcBorders>
            <w:shd w:val="clear" w:color="auto" w:fill="auto"/>
            <w:hideMark/>
          </w:tcPr>
          <w:p w14:paraId="2D9A134A" w14:textId="77777777" w:rsidR="00E23746" w:rsidRPr="00574DAC" w:rsidRDefault="00E23746" w:rsidP="000B2F10">
            <w:pPr>
              <w:rPr>
                <w:rFonts w:cs="Arial"/>
                <w:sz w:val="20"/>
                <w:szCs w:val="20"/>
              </w:rPr>
            </w:pPr>
            <w:r w:rsidRPr="00574DAC">
              <w:rPr>
                <w:rFonts w:cs="Arial"/>
                <w:sz w:val="20"/>
                <w:szCs w:val="20"/>
              </w:rPr>
              <w:t>Las agentes educativas desempeñan sus funciones de acuerdo a los lineamientos establecidos.</w:t>
            </w:r>
          </w:p>
        </w:tc>
      </w:tr>
      <w:tr w:rsidR="00E23746" w:rsidRPr="00574DAC" w14:paraId="7760534A" w14:textId="77777777" w:rsidTr="00BF2AA6">
        <w:trPr>
          <w:trHeight w:val="2412"/>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14:paraId="3B2469C2" w14:textId="77777777" w:rsidR="00E23746" w:rsidRPr="00574DAC" w:rsidRDefault="00E23746" w:rsidP="000B2F10">
            <w:pPr>
              <w:jc w:val="center"/>
              <w:rPr>
                <w:rFonts w:cs="Arial"/>
                <w:b/>
                <w:bCs/>
                <w:sz w:val="20"/>
                <w:szCs w:val="20"/>
              </w:rPr>
            </w:pPr>
            <w:r w:rsidRPr="00574DAC">
              <w:rPr>
                <w:rFonts w:cs="Arial"/>
                <w:b/>
                <w:bCs/>
                <w:sz w:val="20"/>
                <w:szCs w:val="20"/>
              </w:rPr>
              <w:t>Actividad</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7EFA1968" w14:textId="77777777" w:rsidR="00E23746" w:rsidRPr="00574DAC" w:rsidRDefault="00E23746" w:rsidP="000B2F10">
            <w:pPr>
              <w:rPr>
                <w:rFonts w:cs="Arial"/>
                <w:sz w:val="20"/>
                <w:szCs w:val="20"/>
              </w:rPr>
            </w:pPr>
            <w:r w:rsidRPr="00574DAC">
              <w:rPr>
                <w:rFonts w:cs="Arial"/>
                <w:sz w:val="20"/>
                <w:szCs w:val="20"/>
              </w:rPr>
              <w:t>Incrementar la inserción de los niños en educación inicial y preescolar en el Sistema Educativo Estatal</w:t>
            </w:r>
            <w:r>
              <w:rPr>
                <w:rFonts w:cs="Arial"/>
                <w:sz w:val="20"/>
                <w:szCs w:val="20"/>
              </w:rPr>
              <w: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BAD9421" w14:textId="77777777" w:rsidR="00E23746" w:rsidRPr="00574DAC" w:rsidRDefault="00E23746" w:rsidP="000B2F10">
            <w:pPr>
              <w:rPr>
                <w:rFonts w:cs="Arial"/>
                <w:sz w:val="20"/>
                <w:szCs w:val="20"/>
              </w:rPr>
            </w:pPr>
            <w:r w:rsidRPr="00574DAC">
              <w:rPr>
                <w:rFonts w:cs="Arial"/>
                <w:sz w:val="20"/>
                <w:szCs w:val="20"/>
              </w:rPr>
              <w:t>C01.A02 - Coordinación de actividades de Supervisión de los Centros de Atención Infantil incorporados</w:t>
            </w:r>
            <w:r>
              <w:rPr>
                <w:rFonts w:cs="Arial"/>
                <w:sz w:val="20"/>
                <w:szCs w:val="20"/>
              </w:rPr>
              <w:t>.</w:t>
            </w:r>
          </w:p>
        </w:tc>
        <w:tc>
          <w:tcPr>
            <w:tcW w:w="2268" w:type="dxa"/>
            <w:tcBorders>
              <w:top w:val="single" w:sz="4" w:space="0" w:color="auto"/>
              <w:left w:val="single" w:sz="4" w:space="0" w:color="auto"/>
              <w:bottom w:val="single" w:sz="4" w:space="0" w:color="auto"/>
              <w:right w:val="single" w:sz="4" w:space="0" w:color="auto"/>
            </w:tcBorders>
            <w:shd w:val="clear" w:color="FFFFFF" w:fill="FFFFFF"/>
            <w:hideMark/>
          </w:tcPr>
          <w:p w14:paraId="2D189ED0" w14:textId="77777777" w:rsidR="00E23746" w:rsidRPr="00574DAC" w:rsidRDefault="00E23746" w:rsidP="000B2F10">
            <w:pPr>
              <w:rPr>
                <w:rFonts w:cs="Arial"/>
                <w:sz w:val="20"/>
                <w:szCs w:val="20"/>
              </w:rPr>
            </w:pPr>
            <w:r w:rsidRPr="00574DAC">
              <w:rPr>
                <w:rFonts w:cs="Arial"/>
                <w:sz w:val="20"/>
                <w:szCs w:val="20"/>
              </w:rPr>
              <w:t>C01A02 - Porcentaje de Centros de Atención Infantil supervisados que cumplen con las normas y lineamientos pedagógicos y asistenciales establecidos.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4916FD3" w14:textId="77777777" w:rsidR="00E23746" w:rsidRPr="00574DAC" w:rsidRDefault="00E23746" w:rsidP="000B2F10">
            <w:pPr>
              <w:rPr>
                <w:rFonts w:cs="Arial"/>
                <w:sz w:val="20"/>
                <w:szCs w:val="20"/>
              </w:rPr>
            </w:pPr>
            <w:r w:rsidRPr="00574DAC">
              <w:rPr>
                <w:rFonts w:cs="Arial"/>
                <w:sz w:val="20"/>
                <w:szCs w:val="20"/>
              </w:rPr>
              <w:t>Reportes de seguimiento. Dirección de Educación Preescolar. Trimestral. https://qroo.gob.mx/seq/medios-de-verificacion-de-la-planeacion-anual</w:t>
            </w:r>
            <w:r>
              <w:rPr>
                <w:rFonts w:cs="Arial"/>
                <w:sz w:val="20"/>
                <w:szCs w:val="20"/>
              </w:rPr>
              <w:t>.</w:t>
            </w:r>
          </w:p>
        </w:tc>
        <w:tc>
          <w:tcPr>
            <w:tcW w:w="1976" w:type="dxa"/>
            <w:tcBorders>
              <w:top w:val="single" w:sz="4" w:space="0" w:color="auto"/>
              <w:left w:val="single" w:sz="4" w:space="0" w:color="auto"/>
              <w:bottom w:val="single" w:sz="4" w:space="0" w:color="auto"/>
              <w:right w:val="single" w:sz="4" w:space="0" w:color="auto"/>
            </w:tcBorders>
            <w:shd w:val="clear" w:color="auto" w:fill="auto"/>
            <w:hideMark/>
          </w:tcPr>
          <w:p w14:paraId="7A7BB875" w14:textId="77777777" w:rsidR="00E23746" w:rsidRPr="00574DAC" w:rsidRDefault="00E23746" w:rsidP="000B2F10">
            <w:pPr>
              <w:rPr>
                <w:rFonts w:cs="Arial"/>
                <w:sz w:val="20"/>
                <w:szCs w:val="20"/>
              </w:rPr>
            </w:pPr>
            <w:r w:rsidRPr="00574DAC">
              <w:rPr>
                <w:rFonts w:cs="Arial"/>
                <w:sz w:val="20"/>
                <w:szCs w:val="20"/>
              </w:rPr>
              <w:t>Los centros de atención infantil cumplen las normas y lineamientos pedagógicos y asistenciales.</w:t>
            </w:r>
          </w:p>
        </w:tc>
      </w:tr>
    </w:tbl>
    <w:p w14:paraId="51890E54" w14:textId="691789B9" w:rsidR="00A01C9D" w:rsidRDefault="00A01C9D"/>
    <w:p w14:paraId="470B6861" w14:textId="77777777" w:rsidR="00A01C9D" w:rsidRDefault="00A01C9D">
      <w:pPr>
        <w:spacing w:after="0" w:line="240" w:lineRule="auto"/>
        <w:jc w:val="left"/>
      </w:pPr>
      <w:r>
        <w:br w:type="page"/>
      </w:r>
    </w:p>
    <w:tbl>
      <w:tblPr>
        <w:tblW w:w="14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3"/>
        <w:gridCol w:w="2693"/>
        <w:gridCol w:w="2835"/>
        <w:gridCol w:w="2268"/>
        <w:gridCol w:w="2835"/>
        <w:gridCol w:w="1976"/>
      </w:tblGrid>
      <w:tr w:rsidR="00E23746" w:rsidRPr="00574DAC" w14:paraId="06A050EE" w14:textId="77777777" w:rsidTr="00BF2AA6">
        <w:trPr>
          <w:trHeight w:val="679"/>
        </w:trPr>
        <w:tc>
          <w:tcPr>
            <w:tcW w:w="1413" w:type="dxa"/>
            <w:shd w:val="clear" w:color="000000" w:fill="BFBFBF"/>
            <w:vAlign w:val="center"/>
            <w:hideMark/>
          </w:tcPr>
          <w:p w14:paraId="45684893"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lastRenderedPageBreak/>
              <w:t>NIVEL</w:t>
            </w:r>
          </w:p>
        </w:tc>
        <w:tc>
          <w:tcPr>
            <w:tcW w:w="2693" w:type="dxa"/>
            <w:shd w:val="clear" w:color="000000" w:fill="BFBFBF"/>
            <w:vAlign w:val="center"/>
            <w:hideMark/>
          </w:tcPr>
          <w:p w14:paraId="4CB511A2"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ALINEACIÓN PED/PD</w:t>
            </w:r>
          </w:p>
        </w:tc>
        <w:tc>
          <w:tcPr>
            <w:tcW w:w="2835" w:type="dxa"/>
            <w:shd w:val="clear" w:color="000000" w:fill="BFBFBF"/>
            <w:vAlign w:val="center"/>
            <w:hideMark/>
          </w:tcPr>
          <w:p w14:paraId="597252B6"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OBJETIVO</w:t>
            </w:r>
          </w:p>
        </w:tc>
        <w:tc>
          <w:tcPr>
            <w:tcW w:w="2268" w:type="dxa"/>
            <w:shd w:val="clear" w:color="000000" w:fill="BFBFBF"/>
            <w:vAlign w:val="center"/>
            <w:hideMark/>
          </w:tcPr>
          <w:p w14:paraId="11DBE850"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INDICADOR</w:t>
            </w:r>
          </w:p>
        </w:tc>
        <w:tc>
          <w:tcPr>
            <w:tcW w:w="2835" w:type="dxa"/>
            <w:shd w:val="clear" w:color="000000" w:fill="BFBFBF"/>
            <w:vAlign w:val="center"/>
            <w:hideMark/>
          </w:tcPr>
          <w:p w14:paraId="3C6BF085"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MEDIOS DE VERIFICACIÓN</w:t>
            </w:r>
          </w:p>
        </w:tc>
        <w:tc>
          <w:tcPr>
            <w:tcW w:w="1976" w:type="dxa"/>
            <w:shd w:val="clear" w:color="000000" w:fill="BFBFBF"/>
            <w:vAlign w:val="center"/>
            <w:hideMark/>
          </w:tcPr>
          <w:p w14:paraId="13F705A5"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SUPUESTO</w:t>
            </w:r>
          </w:p>
        </w:tc>
      </w:tr>
      <w:tr w:rsidR="00E23746" w:rsidRPr="00574DAC" w14:paraId="1CFB0910" w14:textId="77777777" w:rsidTr="00BF2AA6">
        <w:trPr>
          <w:trHeight w:val="1864"/>
        </w:trPr>
        <w:tc>
          <w:tcPr>
            <w:tcW w:w="1413" w:type="dxa"/>
            <w:shd w:val="clear" w:color="auto" w:fill="auto"/>
            <w:hideMark/>
          </w:tcPr>
          <w:p w14:paraId="4F4D6099" w14:textId="77777777" w:rsidR="00E23746" w:rsidRPr="00574DAC" w:rsidRDefault="00E23746" w:rsidP="000B2F10">
            <w:pPr>
              <w:jc w:val="center"/>
              <w:rPr>
                <w:rFonts w:cs="Arial"/>
                <w:b/>
                <w:bCs/>
                <w:sz w:val="20"/>
                <w:szCs w:val="20"/>
              </w:rPr>
            </w:pPr>
            <w:r w:rsidRPr="00574DAC">
              <w:rPr>
                <w:rFonts w:cs="Arial"/>
                <w:b/>
                <w:bCs/>
                <w:sz w:val="20"/>
                <w:szCs w:val="20"/>
              </w:rPr>
              <w:t>Actividad</w:t>
            </w:r>
          </w:p>
        </w:tc>
        <w:tc>
          <w:tcPr>
            <w:tcW w:w="2693" w:type="dxa"/>
            <w:shd w:val="clear" w:color="auto" w:fill="auto"/>
            <w:hideMark/>
          </w:tcPr>
          <w:p w14:paraId="667FB8E1" w14:textId="77777777" w:rsidR="00E23746" w:rsidRPr="00574DAC" w:rsidRDefault="00E23746" w:rsidP="000B2F10">
            <w:pPr>
              <w:rPr>
                <w:rFonts w:cs="Arial"/>
                <w:sz w:val="20"/>
                <w:szCs w:val="20"/>
              </w:rPr>
            </w:pPr>
            <w:r w:rsidRPr="00574DAC">
              <w:rPr>
                <w:rFonts w:cs="Arial"/>
                <w:sz w:val="20"/>
                <w:szCs w:val="20"/>
              </w:rPr>
              <w:t>Incrementar la inserción de los niños en educación inicial y preescolar en el Sistema Educativo Estatal</w:t>
            </w:r>
            <w:r>
              <w:rPr>
                <w:rFonts w:cs="Arial"/>
                <w:sz w:val="20"/>
                <w:szCs w:val="20"/>
              </w:rPr>
              <w:t>.</w:t>
            </w:r>
          </w:p>
        </w:tc>
        <w:tc>
          <w:tcPr>
            <w:tcW w:w="2835" w:type="dxa"/>
            <w:shd w:val="clear" w:color="auto" w:fill="auto"/>
            <w:hideMark/>
          </w:tcPr>
          <w:p w14:paraId="4CE46DC6" w14:textId="77777777" w:rsidR="00E23746" w:rsidRPr="00574DAC" w:rsidRDefault="00E23746" w:rsidP="000B2F10">
            <w:pPr>
              <w:rPr>
                <w:rFonts w:cs="Arial"/>
                <w:sz w:val="20"/>
                <w:szCs w:val="20"/>
              </w:rPr>
            </w:pPr>
            <w:r w:rsidRPr="00574DAC">
              <w:rPr>
                <w:rFonts w:cs="Arial"/>
                <w:sz w:val="20"/>
                <w:szCs w:val="20"/>
              </w:rPr>
              <w:t>C01.A03 - Coordinación de la atención del servicio que ofrecen los Centros de Atención Infantil Federalizados.</w:t>
            </w:r>
          </w:p>
        </w:tc>
        <w:tc>
          <w:tcPr>
            <w:tcW w:w="2268" w:type="dxa"/>
            <w:shd w:val="clear" w:color="FFFFFF" w:fill="FFFFFF"/>
            <w:hideMark/>
          </w:tcPr>
          <w:p w14:paraId="72541D31" w14:textId="77777777" w:rsidR="00E23746" w:rsidRPr="00574DAC" w:rsidRDefault="00E23746" w:rsidP="000B2F10">
            <w:pPr>
              <w:rPr>
                <w:rFonts w:cs="Arial"/>
                <w:sz w:val="20"/>
                <w:szCs w:val="20"/>
              </w:rPr>
            </w:pPr>
            <w:r w:rsidRPr="00574DAC">
              <w:rPr>
                <w:rFonts w:cs="Arial"/>
                <w:sz w:val="20"/>
                <w:szCs w:val="20"/>
              </w:rPr>
              <w:t>C01A03 - Porcentaje de infantes inscritos en los Centros de Atención Infantil oficiales.</w:t>
            </w:r>
          </w:p>
        </w:tc>
        <w:tc>
          <w:tcPr>
            <w:tcW w:w="2835" w:type="dxa"/>
            <w:shd w:val="clear" w:color="auto" w:fill="auto"/>
            <w:hideMark/>
          </w:tcPr>
          <w:p w14:paraId="1FF0DFF5" w14:textId="77777777" w:rsidR="00E23746" w:rsidRPr="00574DAC" w:rsidRDefault="00E23746" w:rsidP="000B2F10">
            <w:pPr>
              <w:rPr>
                <w:rFonts w:cs="Arial"/>
                <w:sz w:val="20"/>
                <w:szCs w:val="20"/>
              </w:rPr>
            </w:pPr>
            <w:r w:rsidRPr="00574DAC">
              <w:rPr>
                <w:rFonts w:cs="Arial"/>
                <w:sz w:val="20"/>
                <w:szCs w:val="20"/>
              </w:rPr>
              <w:t>Formato</w:t>
            </w:r>
            <w:r>
              <w:rPr>
                <w:rFonts w:cs="Arial"/>
                <w:sz w:val="20"/>
                <w:szCs w:val="20"/>
              </w:rPr>
              <w:t xml:space="preserve"> </w:t>
            </w:r>
            <w:r w:rsidRPr="00574DAC">
              <w:rPr>
                <w:rFonts w:cs="Arial"/>
                <w:sz w:val="20"/>
                <w:szCs w:val="20"/>
              </w:rPr>
              <w:t>911, anual, https://qroo.gob.mx/seq/medios-de-verificacion-de-la-planeacion-anual</w:t>
            </w:r>
            <w:r>
              <w:rPr>
                <w:rFonts w:cs="Arial"/>
                <w:sz w:val="20"/>
                <w:szCs w:val="20"/>
              </w:rPr>
              <w:t>.</w:t>
            </w:r>
          </w:p>
        </w:tc>
        <w:tc>
          <w:tcPr>
            <w:tcW w:w="1976" w:type="dxa"/>
            <w:shd w:val="clear" w:color="auto" w:fill="auto"/>
            <w:hideMark/>
          </w:tcPr>
          <w:p w14:paraId="76CC76EB" w14:textId="77777777" w:rsidR="00E23746" w:rsidRPr="00574DAC" w:rsidRDefault="00E23746" w:rsidP="000B2F10">
            <w:pPr>
              <w:rPr>
                <w:rFonts w:cs="Arial"/>
                <w:sz w:val="20"/>
                <w:szCs w:val="20"/>
              </w:rPr>
            </w:pPr>
            <w:r w:rsidRPr="00574DAC">
              <w:rPr>
                <w:rFonts w:cs="Arial"/>
                <w:sz w:val="20"/>
                <w:szCs w:val="20"/>
              </w:rPr>
              <w:t>Los infantes se inscriben a los Centros</w:t>
            </w:r>
            <w:r>
              <w:rPr>
                <w:rFonts w:cs="Arial"/>
                <w:sz w:val="20"/>
                <w:szCs w:val="20"/>
              </w:rPr>
              <w:t xml:space="preserve"> de Atención Infantil oficiales.</w:t>
            </w:r>
          </w:p>
        </w:tc>
      </w:tr>
      <w:tr w:rsidR="00E23746" w:rsidRPr="00574DAC" w14:paraId="16C3D183" w14:textId="77777777" w:rsidTr="00BF2AA6">
        <w:trPr>
          <w:trHeight w:val="2102"/>
        </w:trPr>
        <w:tc>
          <w:tcPr>
            <w:tcW w:w="1413" w:type="dxa"/>
            <w:shd w:val="clear" w:color="auto" w:fill="auto"/>
            <w:hideMark/>
          </w:tcPr>
          <w:p w14:paraId="65976FAB" w14:textId="77777777" w:rsidR="00E23746" w:rsidRPr="00574DAC" w:rsidRDefault="00E23746" w:rsidP="000B2F10">
            <w:pPr>
              <w:jc w:val="center"/>
              <w:rPr>
                <w:rFonts w:cs="Arial"/>
                <w:b/>
                <w:bCs/>
                <w:sz w:val="20"/>
                <w:szCs w:val="20"/>
              </w:rPr>
            </w:pPr>
            <w:r w:rsidRPr="00574DAC">
              <w:rPr>
                <w:rFonts w:cs="Arial"/>
                <w:b/>
                <w:bCs/>
                <w:sz w:val="20"/>
                <w:szCs w:val="20"/>
              </w:rPr>
              <w:t>Componente</w:t>
            </w:r>
          </w:p>
        </w:tc>
        <w:tc>
          <w:tcPr>
            <w:tcW w:w="2693" w:type="dxa"/>
            <w:shd w:val="clear" w:color="auto" w:fill="auto"/>
            <w:hideMark/>
          </w:tcPr>
          <w:p w14:paraId="7DA3F08C" w14:textId="77777777" w:rsidR="00E23746" w:rsidRPr="00574DAC" w:rsidRDefault="00E23746" w:rsidP="000B2F10">
            <w:pPr>
              <w:rPr>
                <w:rFonts w:cs="Arial"/>
                <w:sz w:val="20"/>
                <w:szCs w:val="20"/>
              </w:rPr>
            </w:pPr>
            <w:r w:rsidRPr="00574DAC">
              <w:rPr>
                <w:rFonts w:cs="Arial"/>
                <w:sz w:val="20"/>
                <w:szCs w:val="20"/>
              </w:rPr>
              <w:t>Incrementar la inserción de los niños en educación inicial y preescolar en el Sistema Educativo Estatal</w:t>
            </w:r>
            <w:r>
              <w:rPr>
                <w:rFonts w:cs="Arial"/>
                <w:sz w:val="20"/>
                <w:szCs w:val="20"/>
              </w:rPr>
              <w:t>.</w:t>
            </w:r>
          </w:p>
        </w:tc>
        <w:tc>
          <w:tcPr>
            <w:tcW w:w="2835" w:type="dxa"/>
            <w:shd w:val="clear" w:color="auto" w:fill="auto"/>
            <w:hideMark/>
          </w:tcPr>
          <w:p w14:paraId="15502D9D" w14:textId="77777777" w:rsidR="00E23746" w:rsidRPr="00574DAC" w:rsidRDefault="00E23746" w:rsidP="000B2F10">
            <w:pPr>
              <w:rPr>
                <w:rFonts w:cs="Arial"/>
                <w:sz w:val="20"/>
                <w:szCs w:val="20"/>
              </w:rPr>
            </w:pPr>
            <w:r w:rsidRPr="00574DAC">
              <w:rPr>
                <w:rFonts w:cs="Arial"/>
                <w:sz w:val="20"/>
                <w:szCs w:val="20"/>
              </w:rPr>
              <w:t>C02 - Atención Integral para niños en las diversas instancias públicas y privadas que proporcionan el servicio educación preescolar, incrementada</w:t>
            </w:r>
            <w:r>
              <w:rPr>
                <w:rFonts w:cs="Arial"/>
                <w:sz w:val="20"/>
                <w:szCs w:val="20"/>
              </w:rPr>
              <w:t>.</w:t>
            </w:r>
          </w:p>
        </w:tc>
        <w:tc>
          <w:tcPr>
            <w:tcW w:w="2268" w:type="dxa"/>
            <w:shd w:val="clear" w:color="FFFFFF" w:fill="FFFFFF"/>
            <w:hideMark/>
          </w:tcPr>
          <w:p w14:paraId="3FF2922A" w14:textId="77777777" w:rsidR="00E23746" w:rsidRPr="00574DAC" w:rsidRDefault="00E23746" w:rsidP="000B2F10">
            <w:pPr>
              <w:rPr>
                <w:rFonts w:cs="Arial"/>
                <w:sz w:val="20"/>
                <w:szCs w:val="20"/>
              </w:rPr>
            </w:pPr>
            <w:r w:rsidRPr="00574DAC">
              <w:rPr>
                <w:rFonts w:cs="Arial"/>
                <w:sz w:val="20"/>
                <w:szCs w:val="20"/>
              </w:rPr>
              <w:t>C02 - Tasa de variación de inserción de alumnos de 3 a 5 años de un año con respecto al año anterior</w:t>
            </w:r>
            <w:r>
              <w:rPr>
                <w:rFonts w:cs="Arial"/>
                <w:sz w:val="20"/>
                <w:szCs w:val="20"/>
              </w:rPr>
              <w:t>.</w:t>
            </w:r>
          </w:p>
        </w:tc>
        <w:tc>
          <w:tcPr>
            <w:tcW w:w="2835" w:type="dxa"/>
            <w:shd w:val="clear" w:color="auto" w:fill="auto"/>
            <w:hideMark/>
          </w:tcPr>
          <w:p w14:paraId="57DE1C97" w14:textId="77777777" w:rsidR="00E23746" w:rsidRPr="00574DAC" w:rsidRDefault="00E23746" w:rsidP="000B2F10">
            <w:pPr>
              <w:rPr>
                <w:rFonts w:cs="Arial"/>
                <w:sz w:val="20"/>
                <w:szCs w:val="20"/>
              </w:rPr>
            </w:pPr>
            <w:r w:rsidRPr="00574DAC">
              <w:rPr>
                <w:rFonts w:cs="Arial"/>
                <w:sz w:val="20"/>
                <w:szCs w:val="20"/>
              </w:rPr>
              <w:t>Estadística 911. Dirección de Planeación. Anual, https://qroo.gob.mx/seq/medios-de-verificacion-de-la-planeacion-anual</w:t>
            </w:r>
            <w:r>
              <w:rPr>
                <w:rFonts w:cs="Arial"/>
                <w:sz w:val="20"/>
                <w:szCs w:val="20"/>
              </w:rPr>
              <w:t>.</w:t>
            </w:r>
          </w:p>
        </w:tc>
        <w:tc>
          <w:tcPr>
            <w:tcW w:w="1976" w:type="dxa"/>
            <w:shd w:val="clear" w:color="auto" w:fill="auto"/>
            <w:hideMark/>
          </w:tcPr>
          <w:p w14:paraId="7EFBA3B2" w14:textId="77777777" w:rsidR="00E23746" w:rsidRPr="00574DAC" w:rsidRDefault="00E23746" w:rsidP="000B2F10">
            <w:pPr>
              <w:rPr>
                <w:rFonts w:cs="Arial"/>
                <w:sz w:val="20"/>
                <w:szCs w:val="20"/>
              </w:rPr>
            </w:pPr>
            <w:r w:rsidRPr="00574DAC">
              <w:rPr>
                <w:rFonts w:cs="Arial"/>
                <w:sz w:val="20"/>
                <w:szCs w:val="20"/>
              </w:rPr>
              <w:t>Los padres de familia de los niños de 3 a 5 años los inscriben a los servicios de Educación Preescolar.</w:t>
            </w:r>
          </w:p>
        </w:tc>
      </w:tr>
      <w:tr w:rsidR="00E23746" w:rsidRPr="00574DAC" w14:paraId="12EF53B6" w14:textId="77777777" w:rsidTr="00BF2AA6">
        <w:trPr>
          <w:trHeight w:val="2402"/>
        </w:trPr>
        <w:tc>
          <w:tcPr>
            <w:tcW w:w="1413" w:type="dxa"/>
            <w:shd w:val="clear" w:color="auto" w:fill="auto"/>
            <w:hideMark/>
          </w:tcPr>
          <w:p w14:paraId="71494D27" w14:textId="77777777" w:rsidR="00E23746" w:rsidRPr="00574DAC" w:rsidRDefault="00E23746" w:rsidP="000B2F10">
            <w:pPr>
              <w:jc w:val="center"/>
              <w:rPr>
                <w:rFonts w:cs="Arial"/>
                <w:b/>
                <w:bCs/>
                <w:sz w:val="20"/>
                <w:szCs w:val="20"/>
              </w:rPr>
            </w:pPr>
            <w:r w:rsidRPr="00574DAC">
              <w:rPr>
                <w:rFonts w:cs="Arial"/>
                <w:b/>
                <w:bCs/>
                <w:sz w:val="20"/>
                <w:szCs w:val="20"/>
              </w:rPr>
              <w:t>Actividad</w:t>
            </w:r>
          </w:p>
        </w:tc>
        <w:tc>
          <w:tcPr>
            <w:tcW w:w="2693" w:type="dxa"/>
            <w:shd w:val="clear" w:color="auto" w:fill="auto"/>
            <w:hideMark/>
          </w:tcPr>
          <w:p w14:paraId="2421C4B6" w14:textId="77777777" w:rsidR="00E23746" w:rsidRPr="00574DAC" w:rsidRDefault="00E23746" w:rsidP="000B2F10">
            <w:pPr>
              <w:rPr>
                <w:rFonts w:cs="Arial"/>
                <w:sz w:val="20"/>
                <w:szCs w:val="20"/>
              </w:rPr>
            </w:pPr>
            <w:r w:rsidRPr="00574DAC">
              <w:rPr>
                <w:rFonts w:cs="Arial"/>
                <w:sz w:val="20"/>
                <w:szCs w:val="20"/>
              </w:rPr>
              <w:t>Incrementar la inserción de los niños en educación inicial y preescolar en el Sistema Educativo Estatal</w:t>
            </w:r>
            <w:r>
              <w:rPr>
                <w:rFonts w:cs="Arial"/>
                <w:sz w:val="20"/>
                <w:szCs w:val="20"/>
              </w:rPr>
              <w:t>.</w:t>
            </w:r>
          </w:p>
        </w:tc>
        <w:tc>
          <w:tcPr>
            <w:tcW w:w="2835" w:type="dxa"/>
            <w:shd w:val="clear" w:color="auto" w:fill="auto"/>
            <w:hideMark/>
          </w:tcPr>
          <w:p w14:paraId="3E843131" w14:textId="77777777" w:rsidR="00E23746" w:rsidRPr="00574DAC" w:rsidRDefault="00E23746" w:rsidP="000B2F10">
            <w:pPr>
              <w:rPr>
                <w:rFonts w:cs="Arial"/>
                <w:sz w:val="20"/>
                <w:szCs w:val="20"/>
              </w:rPr>
            </w:pPr>
            <w:r w:rsidRPr="00574DAC">
              <w:rPr>
                <w:rFonts w:cs="Arial"/>
                <w:sz w:val="20"/>
                <w:szCs w:val="20"/>
              </w:rPr>
              <w:t>C02.A01 - Coordinación de actividades para la capacitación a figuras educativas de escuelas públicas en los campos de formación del nivel de Preescolar.</w:t>
            </w:r>
          </w:p>
        </w:tc>
        <w:tc>
          <w:tcPr>
            <w:tcW w:w="2268" w:type="dxa"/>
            <w:shd w:val="clear" w:color="FFFFFF" w:fill="FFFFFF"/>
            <w:hideMark/>
          </w:tcPr>
          <w:p w14:paraId="705FEBAE" w14:textId="77777777" w:rsidR="00E23746" w:rsidRPr="00574DAC" w:rsidRDefault="00E23746" w:rsidP="000B2F10">
            <w:pPr>
              <w:rPr>
                <w:rFonts w:cs="Arial"/>
                <w:sz w:val="20"/>
                <w:szCs w:val="20"/>
              </w:rPr>
            </w:pPr>
            <w:r w:rsidRPr="00574DAC">
              <w:rPr>
                <w:rFonts w:cs="Arial"/>
                <w:sz w:val="20"/>
                <w:szCs w:val="20"/>
              </w:rPr>
              <w:t>C02A01 - Porcentaje de figuras educativas del nivel preescolar en escuelas oficiales capacitadas en los campos de formación del nivel.</w:t>
            </w:r>
          </w:p>
        </w:tc>
        <w:tc>
          <w:tcPr>
            <w:tcW w:w="2835" w:type="dxa"/>
            <w:shd w:val="clear" w:color="auto" w:fill="auto"/>
            <w:hideMark/>
          </w:tcPr>
          <w:p w14:paraId="2AE16BF9" w14:textId="77777777" w:rsidR="00E23746" w:rsidRDefault="00E23746" w:rsidP="000B2F10">
            <w:pPr>
              <w:rPr>
                <w:rFonts w:cs="Arial"/>
                <w:sz w:val="20"/>
                <w:szCs w:val="20"/>
              </w:rPr>
            </w:pPr>
            <w:r w:rsidRPr="00574DAC">
              <w:rPr>
                <w:rFonts w:cs="Arial"/>
                <w:sz w:val="20"/>
                <w:szCs w:val="20"/>
              </w:rPr>
              <w:t xml:space="preserve">Minutas de reuniones de trabajo, oficios de gestión e informes de capacitaciones. Dirección de Educación Preescolar. Trimestral, </w:t>
            </w:r>
            <w:hyperlink r:id="rId29" w:history="1">
              <w:r w:rsidRPr="003135B9">
                <w:rPr>
                  <w:rStyle w:val="Hipervnculo"/>
                  <w:rFonts w:cs="Arial"/>
                  <w:sz w:val="20"/>
                  <w:szCs w:val="20"/>
                </w:rPr>
                <w:t>https://qroo.gob.mx/seq/medios-de-verificacion-de-la-planeacion-anual</w:t>
              </w:r>
            </w:hyperlink>
            <w:r>
              <w:rPr>
                <w:rFonts w:cs="Arial"/>
                <w:sz w:val="20"/>
                <w:szCs w:val="20"/>
              </w:rPr>
              <w:t>.</w:t>
            </w:r>
          </w:p>
          <w:p w14:paraId="24F7E961" w14:textId="77777777" w:rsidR="00E23746" w:rsidRDefault="00E23746" w:rsidP="000B2F10">
            <w:pPr>
              <w:rPr>
                <w:rFonts w:cs="Arial"/>
                <w:sz w:val="20"/>
                <w:szCs w:val="20"/>
              </w:rPr>
            </w:pPr>
          </w:p>
          <w:p w14:paraId="55C0F15F" w14:textId="77777777" w:rsidR="00E23746" w:rsidRPr="00574DAC" w:rsidRDefault="00E23746" w:rsidP="000B2F10">
            <w:pPr>
              <w:rPr>
                <w:rFonts w:cs="Arial"/>
                <w:sz w:val="20"/>
                <w:szCs w:val="20"/>
              </w:rPr>
            </w:pPr>
          </w:p>
        </w:tc>
        <w:tc>
          <w:tcPr>
            <w:tcW w:w="1976" w:type="dxa"/>
            <w:shd w:val="clear" w:color="auto" w:fill="auto"/>
            <w:hideMark/>
          </w:tcPr>
          <w:p w14:paraId="65F8C01F" w14:textId="77777777" w:rsidR="00E23746" w:rsidRPr="00574DAC" w:rsidRDefault="00E23746" w:rsidP="000B2F10">
            <w:pPr>
              <w:rPr>
                <w:rFonts w:cs="Arial"/>
                <w:sz w:val="20"/>
                <w:szCs w:val="20"/>
              </w:rPr>
            </w:pPr>
            <w:r w:rsidRPr="00574DAC">
              <w:rPr>
                <w:rFonts w:cs="Arial"/>
                <w:sz w:val="20"/>
                <w:szCs w:val="20"/>
              </w:rPr>
              <w:t>Las figuras educativas se capacitan en los campos de formación del nivel de Preescolar.</w:t>
            </w:r>
          </w:p>
        </w:tc>
      </w:tr>
    </w:tbl>
    <w:p w14:paraId="005F5818" w14:textId="77777777" w:rsidR="00A01C9D" w:rsidRDefault="00A01C9D">
      <w:pPr>
        <w:spacing w:after="0" w:line="240" w:lineRule="auto"/>
        <w:jc w:val="left"/>
      </w:pPr>
      <w:r>
        <w:br w:type="page"/>
      </w:r>
    </w:p>
    <w:tbl>
      <w:tblPr>
        <w:tblW w:w="14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71"/>
        <w:gridCol w:w="2835"/>
        <w:gridCol w:w="2835"/>
        <w:gridCol w:w="2268"/>
        <w:gridCol w:w="2835"/>
        <w:gridCol w:w="1976"/>
      </w:tblGrid>
      <w:tr w:rsidR="00E23746" w:rsidRPr="00574DAC" w14:paraId="096450A5" w14:textId="77777777" w:rsidTr="00C91C82">
        <w:trPr>
          <w:trHeight w:val="679"/>
        </w:trPr>
        <w:tc>
          <w:tcPr>
            <w:tcW w:w="1271" w:type="dxa"/>
            <w:shd w:val="clear" w:color="000000" w:fill="BFBFBF"/>
            <w:vAlign w:val="center"/>
            <w:hideMark/>
          </w:tcPr>
          <w:p w14:paraId="026B168E"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lastRenderedPageBreak/>
              <w:t>NIVEL</w:t>
            </w:r>
          </w:p>
        </w:tc>
        <w:tc>
          <w:tcPr>
            <w:tcW w:w="2835" w:type="dxa"/>
            <w:shd w:val="clear" w:color="000000" w:fill="BFBFBF"/>
            <w:vAlign w:val="center"/>
            <w:hideMark/>
          </w:tcPr>
          <w:p w14:paraId="614D0A38"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ALINEACIÓN PED/PD</w:t>
            </w:r>
          </w:p>
        </w:tc>
        <w:tc>
          <w:tcPr>
            <w:tcW w:w="2835" w:type="dxa"/>
            <w:shd w:val="clear" w:color="000000" w:fill="BFBFBF"/>
            <w:vAlign w:val="center"/>
            <w:hideMark/>
          </w:tcPr>
          <w:p w14:paraId="638DEEDF"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OBJETIVO</w:t>
            </w:r>
          </w:p>
        </w:tc>
        <w:tc>
          <w:tcPr>
            <w:tcW w:w="2268" w:type="dxa"/>
            <w:shd w:val="clear" w:color="000000" w:fill="BFBFBF"/>
            <w:vAlign w:val="center"/>
            <w:hideMark/>
          </w:tcPr>
          <w:p w14:paraId="5711BA66"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INDICADOR</w:t>
            </w:r>
          </w:p>
        </w:tc>
        <w:tc>
          <w:tcPr>
            <w:tcW w:w="2835" w:type="dxa"/>
            <w:shd w:val="clear" w:color="000000" w:fill="BFBFBF"/>
            <w:vAlign w:val="center"/>
            <w:hideMark/>
          </w:tcPr>
          <w:p w14:paraId="5E28CFA4"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MEDIOS DE VERIFICACIÓN</w:t>
            </w:r>
          </w:p>
        </w:tc>
        <w:tc>
          <w:tcPr>
            <w:tcW w:w="1976" w:type="dxa"/>
            <w:shd w:val="clear" w:color="000000" w:fill="BFBFBF"/>
            <w:vAlign w:val="center"/>
            <w:hideMark/>
          </w:tcPr>
          <w:p w14:paraId="5EB2B8B1"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SUPUESTO</w:t>
            </w:r>
          </w:p>
        </w:tc>
      </w:tr>
      <w:tr w:rsidR="00E23746" w:rsidRPr="00574DAC" w14:paraId="200E9A26" w14:textId="77777777" w:rsidTr="00C91C82">
        <w:trPr>
          <w:trHeight w:val="3282"/>
        </w:trPr>
        <w:tc>
          <w:tcPr>
            <w:tcW w:w="1271" w:type="dxa"/>
            <w:shd w:val="clear" w:color="auto" w:fill="auto"/>
            <w:hideMark/>
          </w:tcPr>
          <w:p w14:paraId="68768475" w14:textId="77777777" w:rsidR="00E23746" w:rsidRPr="00574DAC" w:rsidRDefault="00E23746" w:rsidP="000B2F10">
            <w:pPr>
              <w:jc w:val="center"/>
              <w:rPr>
                <w:rFonts w:cs="Arial"/>
                <w:b/>
                <w:bCs/>
                <w:sz w:val="20"/>
                <w:szCs w:val="20"/>
              </w:rPr>
            </w:pPr>
            <w:r w:rsidRPr="00574DAC">
              <w:rPr>
                <w:rFonts w:cs="Arial"/>
                <w:b/>
                <w:bCs/>
                <w:sz w:val="20"/>
                <w:szCs w:val="20"/>
              </w:rPr>
              <w:t>Actividad</w:t>
            </w:r>
          </w:p>
        </w:tc>
        <w:tc>
          <w:tcPr>
            <w:tcW w:w="2835" w:type="dxa"/>
            <w:shd w:val="clear" w:color="auto" w:fill="auto"/>
            <w:hideMark/>
          </w:tcPr>
          <w:p w14:paraId="25C47763" w14:textId="77777777" w:rsidR="00E23746" w:rsidRPr="00574DAC" w:rsidRDefault="00E23746" w:rsidP="000B2F10">
            <w:pPr>
              <w:rPr>
                <w:rFonts w:cs="Arial"/>
                <w:sz w:val="20"/>
                <w:szCs w:val="20"/>
              </w:rPr>
            </w:pPr>
            <w:r w:rsidRPr="00574DAC">
              <w:rPr>
                <w:rFonts w:cs="Arial"/>
                <w:sz w:val="20"/>
                <w:szCs w:val="20"/>
              </w:rPr>
              <w:t>Incrementar la inserción de los niños en educación inicial y preescolar en el Sistema Educativo Estatal</w:t>
            </w:r>
            <w:r>
              <w:rPr>
                <w:rFonts w:cs="Arial"/>
                <w:sz w:val="20"/>
                <w:szCs w:val="20"/>
              </w:rPr>
              <w:t>.</w:t>
            </w:r>
          </w:p>
        </w:tc>
        <w:tc>
          <w:tcPr>
            <w:tcW w:w="2835" w:type="dxa"/>
            <w:shd w:val="clear" w:color="auto" w:fill="auto"/>
            <w:hideMark/>
          </w:tcPr>
          <w:p w14:paraId="7D24E69B" w14:textId="77777777" w:rsidR="00E23746" w:rsidRPr="00574DAC" w:rsidRDefault="00E23746" w:rsidP="000B2F10">
            <w:pPr>
              <w:rPr>
                <w:rFonts w:cs="Arial"/>
                <w:sz w:val="20"/>
                <w:szCs w:val="20"/>
              </w:rPr>
            </w:pPr>
            <w:r w:rsidRPr="00574DAC">
              <w:rPr>
                <w:rFonts w:cs="Arial"/>
                <w:sz w:val="20"/>
                <w:szCs w:val="20"/>
              </w:rPr>
              <w:t>C02.A02 - Coordinación de la supervisión de las actividades académicas y de gestión de las instituciones de nivel Preescolar públicas, incorporadas y con convenio</w:t>
            </w:r>
            <w:r>
              <w:rPr>
                <w:rFonts w:cs="Arial"/>
                <w:sz w:val="20"/>
                <w:szCs w:val="20"/>
              </w:rPr>
              <w:t>.</w:t>
            </w:r>
          </w:p>
        </w:tc>
        <w:tc>
          <w:tcPr>
            <w:tcW w:w="2268" w:type="dxa"/>
            <w:shd w:val="clear" w:color="FFFFFF" w:fill="FFFFFF"/>
            <w:hideMark/>
          </w:tcPr>
          <w:p w14:paraId="0BAFB9C1" w14:textId="77777777" w:rsidR="00E23746" w:rsidRPr="00574DAC" w:rsidRDefault="00E23746" w:rsidP="000B2F10">
            <w:pPr>
              <w:rPr>
                <w:rFonts w:cs="Arial"/>
                <w:sz w:val="20"/>
                <w:szCs w:val="20"/>
              </w:rPr>
            </w:pPr>
            <w:r w:rsidRPr="00574DAC">
              <w:rPr>
                <w:rFonts w:cs="Arial"/>
                <w:sz w:val="20"/>
                <w:szCs w:val="20"/>
              </w:rPr>
              <w:t>C02A02 - Porcentaje de actividades de supervisión a instituciones de nivel Preescolar públicas, incorporadas y con convenio, que cumplen con los lineamientos oficiales establecidos por la Secretaría de Educación Pública realizadas.</w:t>
            </w:r>
          </w:p>
        </w:tc>
        <w:tc>
          <w:tcPr>
            <w:tcW w:w="2835" w:type="dxa"/>
            <w:shd w:val="clear" w:color="auto" w:fill="auto"/>
            <w:hideMark/>
          </w:tcPr>
          <w:p w14:paraId="6F75D4E3" w14:textId="77777777" w:rsidR="00E23746" w:rsidRPr="00574DAC" w:rsidRDefault="00E23746" w:rsidP="000B2F10">
            <w:pPr>
              <w:rPr>
                <w:rFonts w:cs="Arial"/>
                <w:sz w:val="20"/>
                <w:szCs w:val="20"/>
              </w:rPr>
            </w:pPr>
            <w:r w:rsidRPr="00574DAC">
              <w:rPr>
                <w:rFonts w:cs="Arial"/>
                <w:sz w:val="20"/>
                <w:szCs w:val="20"/>
              </w:rPr>
              <w:t>Programa Escolar de Mejora Continua, Avance de Programa. Dirección de Educación Preescolar. Trimestral. https://qroo.gob.mx/seq/medios-de-verificacion-de-la-planeacion-anual</w:t>
            </w:r>
            <w:r>
              <w:rPr>
                <w:rFonts w:cs="Arial"/>
                <w:sz w:val="20"/>
                <w:szCs w:val="20"/>
              </w:rPr>
              <w:t>.</w:t>
            </w:r>
          </w:p>
        </w:tc>
        <w:tc>
          <w:tcPr>
            <w:tcW w:w="1976" w:type="dxa"/>
            <w:shd w:val="clear" w:color="auto" w:fill="auto"/>
            <w:hideMark/>
          </w:tcPr>
          <w:p w14:paraId="1674F603" w14:textId="77777777" w:rsidR="00E23746" w:rsidRPr="00574DAC" w:rsidRDefault="00E23746" w:rsidP="000B2F10">
            <w:pPr>
              <w:rPr>
                <w:rFonts w:cs="Arial"/>
                <w:sz w:val="20"/>
                <w:szCs w:val="20"/>
              </w:rPr>
            </w:pPr>
            <w:r w:rsidRPr="00574DAC">
              <w:rPr>
                <w:rFonts w:cs="Arial"/>
                <w:sz w:val="20"/>
                <w:szCs w:val="20"/>
              </w:rPr>
              <w:t>Las instituciones de nivel Preescolar públicas, incorporadas y con convenio supervisadas, cumplen con los lineamientos oficiales establecidos por la Secretaría de Educación Pública.</w:t>
            </w:r>
          </w:p>
        </w:tc>
      </w:tr>
      <w:tr w:rsidR="00E23746" w:rsidRPr="00574DAC" w14:paraId="3F0F09CC" w14:textId="77777777" w:rsidTr="00C91C82">
        <w:trPr>
          <w:trHeight w:val="2107"/>
        </w:trPr>
        <w:tc>
          <w:tcPr>
            <w:tcW w:w="1271" w:type="dxa"/>
            <w:shd w:val="clear" w:color="auto" w:fill="auto"/>
            <w:hideMark/>
          </w:tcPr>
          <w:p w14:paraId="6B3C5B19" w14:textId="77777777" w:rsidR="00E23746" w:rsidRPr="00574DAC" w:rsidRDefault="00E23746" w:rsidP="000B2F10">
            <w:pPr>
              <w:jc w:val="center"/>
              <w:rPr>
                <w:rFonts w:cs="Arial"/>
                <w:b/>
                <w:bCs/>
                <w:sz w:val="20"/>
                <w:szCs w:val="20"/>
              </w:rPr>
            </w:pPr>
            <w:r w:rsidRPr="00574DAC">
              <w:rPr>
                <w:rFonts w:cs="Arial"/>
                <w:b/>
                <w:bCs/>
                <w:sz w:val="20"/>
                <w:szCs w:val="20"/>
              </w:rPr>
              <w:t>Actividad</w:t>
            </w:r>
          </w:p>
        </w:tc>
        <w:tc>
          <w:tcPr>
            <w:tcW w:w="2835" w:type="dxa"/>
            <w:shd w:val="clear" w:color="auto" w:fill="auto"/>
            <w:hideMark/>
          </w:tcPr>
          <w:p w14:paraId="057FD03D" w14:textId="77777777" w:rsidR="00E23746" w:rsidRPr="00574DAC" w:rsidRDefault="00E23746" w:rsidP="000B2F10">
            <w:pPr>
              <w:rPr>
                <w:rFonts w:cs="Arial"/>
                <w:sz w:val="20"/>
                <w:szCs w:val="20"/>
              </w:rPr>
            </w:pPr>
            <w:r w:rsidRPr="00574DAC">
              <w:rPr>
                <w:rFonts w:cs="Arial"/>
                <w:sz w:val="20"/>
                <w:szCs w:val="20"/>
              </w:rPr>
              <w:t>Fortalecer el liderazgo académico de figuras directivas y docentes para favorecer los aprendizajes significativos entre los estudiantes de Educación Básica</w:t>
            </w:r>
            <w:r>
              <w:rPr>
                <w:rFonts w:cs="Arial"/>
                <w:sz w:val="20"/>
                <w:szCs w:val="20"/>
              </w:rPr>
              <w:t>.</w:t>
            </w:r>
          </w:p>
        </w:tc>
        <w:tc>
          <w:tcPr>
            <w:tcW w:w="2835" w:type="dxa"/>
            <w:shd w:val="clear" w:color="auto" w:fill="auto"/>
            <w:hideMark/>
          </w:tcPr>
          <w:p w14:paraId="136454E8" w14:textId="77777777" w:rsidR="00E23746" w:rsidRPr="00574DAC" w:rsidRDefault="00E23746" w:rsidP="000B2F10">
            <w:pPr>
              <w:rPr>
                <w:rFonts w:cs="Arial"/>
                <w:sz w:val="20"/>
                <w:szCs w:val="20"/>
              </w:rPr>
            </w:pPr>
            <w:r w:rsidRPr="00574DAC">
              <w:rPr>
                <w:rFonts w:cs="Arial"/>
                <w:sz w:val="20"/>
                <w:szCs w:val="20"/>
              </w:rPr>
              <w:t>C02.A03 - Coordinación en la implementación de la Mesa Técnica de Apoyo a los Servicios de Educación Preescolar públicos</w:t>
            </w:r>
            <w:r>
              <w:rPr>
                <w:rFonts w:cs="Arial"/>
                <w:sz w:val="20"/>
                <w:szCs w:val="20"/>
              </w:rPr>
              <w:t>.</w:t>
            </w:r>
          </w:p>
        </w:tc>
        <w:tc>
          <w:tcPr>
            <w:tcW w:w="2268" w:type="dxa"/>
            <w:shd w:val="clear" w:color="FFFFFF" w:fill="FFFFFF"/>
            <w:hideMark/>
          </w:tcPr>
          <w:p w14:paraId="0B1A0A39" w14:textId="77777777" w:rsidR="00E23746" w:rsidRDefault="00E23746" w:rsidP="000B2F10">
            <w:pPr>
              <w:rPr>
                <w:rFonts w:cs="Arial"/>
                <w:sz w:val="20"/>
                <w:szCs w:val="20"/>
              </w:rPr>
            </w:pPr>
            <w:r w:rsidRPr="00574DAC">
              <w:rPr>
                <w:rFonts w:cs="Arial"/>
                <w:sz w:val="20"/>
                <w:szCs w:val="20"/>
              </w:rPr>
              <w:t>C02A03 - Porcentaje de escuelas de educación preescolar atendidas por la Mesa Técnica con estrategias didácticas.</w:t>
            </w:r>
          </w:p>
          <w:p w14:paraId="0106DA31" w14:textId="77777777" w:rsidR="00E23746" w:rsidRDefault="00E23746" w:rsidP="000B2F10">
            <w:pPr>
              <w:rPr>
                <w:rFonts w:cs="Arial"/>
                <w:sz w:val="20"/>
                <w:szCs w:val="20"/>
              </w:rPr>
            </w:pPr>
          </w:p>
          <w:p w14:paraId="7EED4717" w14:textId="77777777" w:rsidR="00E23746" w:rsidRDefault="00E23746" w:rsidP="000B2F10">
            <w:pPr>
              <w:rPr>
                <w:rFonts w:cs="Arial"/>
                <w:sz w:val="20"/>
                <w:szCs w:val="20"/>
              </w:rPr>
            </w:pPr>
          </w:p>
          <w:p w14:paraId="6FCD2D86" w14:textId="77777777" w:rsidR="00E23746" w:rsidRDefault="00E23746" w:rsidP="000B2F10">
            <w:pPr>
              <w:rPr>
                <w:rFonts w:cs="Arial"/>
                <w:sz w:val="20"/>
                <w:szCs w:val="20"/>
              </w:rPr>
            </w:pPr>
          </w:p>
          <w:p w14:paraId="2D584FEA" w14:textId="77777777" w:rsidR="00E23746" w:rsidRPr="00574DAC" w:rsidRDefault="00E23746" w:rsidP="000B2F10">
            <w:pPr>
              <w:rPr>
                <w:rFonts w:cs="Arial"/>
                <w:sz w:val="20"/>
                <w:szCs w:val="20"/>
              </w:rPr>
            </w:pPr>
          </w:p>
        </w:tc>
        <w:tc>
          <w:tcPr>
            <w:tcW w:w="2835" w:type="dxa"/>
            <w:shd w:val="clear" w:color="auto" w:fill="auto"/>
            <w:hideMark/>
          </w:tcPr>
          <w:p w14:paraId="2FFE7C94" w14:textId="77777777" w:rsidR="00E23746" w:rsidRPr="00574DAC" w:rsidRDefault="00E23746" w:rsidP="000B2F10">
            <w:pPr>
              <w:rPr>
                <w:rFonts w:cs="Arial"/>
                <w:sz w:val="20"/>
                <w:szCs w:val="20"/>
              </w:rPr>
            </w:pPr>
            <w:r w:rsidRPr="00574DAC">
              <w:rPr>
                <w:rFonts w:cs="Arial"/>
                <w:sz w:val="20"/>
                <w:szCs w:val="20"/>
              </w:rPr>
              <w:t>Minutas de Trabajo. Dirección de Educación Preescolar. Trimestral. https://qroo.gob.mx/seq/medios-de-verificacion-de-la-planeacion-anual</w:t>
            </w:r>
            <w:r>
              <w:rPr>
                <w:rFonts w:cs="Arial"/>
                <w:sz w:val="20"/>
                <w:szCs w:val="20"/>
              </w:rPr>
              <w:t>.</w:t>
            </w:r>
          </w:p>
        </w:tc>
        <w:tc>
          <w:tcPr>
            <w:tcW w:w="1976" w:type="dxa"/>
            <w:shd w:val="clear" w:color="auto" w:fill="auto"/>
            <w:hideMark/>
          </w:tcPr>
          <w:p w14:paraId="50FE18ED" w14:textId="77777777" w:rsidR="00E23746" w:rsidRPr="00574DAC" w:rsidRDefault="00E23746" w:rsidP="000B2F10">
            <w:pPr>
              <w:rPr>
                <w:rFonts w:cs="Arial"/>
                <w:sz w:val="20"/>
                <w:szCs w:val="20"/>
              </w:rPr>
            </w:pPr>
            <w:r w:rsidRPr="00574DAC">
              <w:rPr>
                <w:rFonts w:cs="Arial"/>
                <w:sz w:val="20"/>
                <w:szCs w:val="20"/>
              </w:rPr>
              <w:t>Las escuelas de educación preescolar públicas, aplican las estrategias didácticas generadas por la mesa técnica.</w:t>
            </w:r>
          </w:p>
        </w:tc>
      </w:tr>
    </w:tbl>
    <w:p w14:paraId="6CF5B510" w14:textId="15AEEBC6" w:rsidR="00A01C9D" w:rsidRDefault="00A01C9D"/>
    <w:p w14:paraId="7297C70F" w14:textId="77777777" w:rsidR="00A01C9D" w:rsidRDefault="00A01C9D">
      <w:pPr>
        <w:spacing w:after="0" w:line="240" w:lineRule="auto"/>
        <w:jc w:val="left"/>
      </w:pPr>
      <w:r>
        <w:br w:type="page"/>
      </w:r>
    </w:p>
    <w:tbl>
      <w:tblPr>
        <w:tblW w:w="14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3"/>
        <w:gridCol w:w="2693"/>
        <w:gridCol w:w="2835"/>
        <w:gridCol w:w="2268"/>
        <w:gridCol w:w="2835"/>
        <w:gridCol w:w="1976"/>
      </w:tblGrid>
      <w:tr w:rsidR="00E23746" w:rsidRPr="00574DAC" w14:paraId="16069C8E" w14:textId="77777777" w:rsidTr="00BF2AA6">
        <w:trPr>
          <w:trHeight w:val="679"/>
        </w:trPr>
        <w:tc>
          <w:tcPr>
            <w:tcW w:w="1413" w:type="dxa"/>
            <w:shd w:val="clear" w:color="000000" w:fill="BFBFBF"/>
            <w:vAlign w:val="center"/>
            <w:hideMark/>
          </w:tcPr>
          <w:p w14:paraId="3EF7BECF"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lastRenderedPageBreak/>
              <w:t>NIVEL</w:t>
            </w:r>
          </w:p>
        </w:tc>
        <w:tc>
          <w:tcPr>
            <w:tcW w:w="2693" w:type="dxa"/>
            <w:shd w:val="clear" w:color="000000" w:fill="BFBFBF"/>
            <w:vAlign w:val="center"/>
            <w:hideMark/>
          </w:tcPr>
          <w:p w14:paraId="415FF406"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ALINEACIÓN PED/PD</w:t>
            </w:r>
          </w:p>
        </w:tc>
        <w:tc>
          <w:tcPr>
            <w:tcW w:w="2835" w:type="dxa"/>
            <w:shd w:val="clear" w:color="000000" w:fill="BFBFBF"/>
            <w:vAlign w:val="center"/>
            <w:hideMark/>
          </w:tcPr>
          <w:p w14:paraId="19216871"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OBJETIVO</w:t>
            </w:r>
          </w:p>
        </w:tc>
        <w:tc>
          <w:tcPr>
            <w:tcW w:w="2268" w:type="dxa"/>
            <w:shd w:val="clear" w:color="000000" w:fill="BFBFBF"/>
            <w:vAlign w:val="center"/>
            <w:hideMark/>
          </w:tcPr>
          <w:p w14:paraId="31B07DDC"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INDICADOR</w:t>
            </w:r>
          </w:p>
        </w:tc>
        <w:tc>
          <w:tcPr>
            <w:tcW w:w="2835" w:type="dxa"/>
            <w:shd w:val="clear" w:color="000000" w:fill="BFBFBF"/>
            <w:vAlign w:val="center"/>
            <w:hideMark/>
          </w:tcPr>
          <w:p w14:paraId="5AD92D59"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MEDIOS DE VERIFICACIÓN</w:t>
            </w:r>
          </w:p>
        </w:tc>
        <w:tc>
          <w:tcPr>
            <w:tcW w:w="1976" w:type="dxa"/>
            <w:shd w:val="clear" w:color="000000" w:fill="BFBFBF"/>
            <w:vAlign w:val="center"/>
            <w:hideMark/>
          </w:tcPr>
          <w:p w14:paraId="58AD93A9"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SUPUESTO</w:t>
            </w:r>
          </w:p>
        </w:tc>
      </w:tr>
      <w:tr w:rsidR="00E23746" w:rsidRPr="00574DAC" w14:paraId="7604D4CA" w14:textId="77777777" w:rsidTr="00BF2AA6">
        <w:trPr>
          <w:trHeight w:val="2417"/>
        </w:trPr>
        <w:tc>
          <w:tcPr>
            <w:tcW w:w="1413" w:type="dxa"/>
            <w:shd w:val="clear" w:color="auto" w:fill="auto"/>
            <w:hideMark/>
          </w:tcPr>
          <w:p w14:paraId="16B0A51E" w14:textId="77777777" w:rsidR="00E23746" w:rsidRPr="007F3681" w:rsidRDefault="00E23746" w:rsidP="000B2F10">
            <w:pPr>
              <w:jc w:val="center"/>
              <w:rPr>
                <w:rFonts w:cs="Arial"/>
                <w:b/>
                <w:bCs/>
                <w:sz w:val="20"/>
                <w:szCs w:val="20"/>
              </w:rPr>
            </w:pPr>
            <w:r w:rsidRPr="007F3681">
              <w:rPr>
                <w:rFonts w:cs="Arial"/>
                <w:b/>
                <w:bCs/>
                <w:sz w:val="20"/>
                <w:szCs w:val="20"/>
              </w:rPr>
              <w:t>Actividad</w:t>
            </w:r>
          </w:p>
        </w:tc>
        <w:tc>
          <w:tcPr>
            <w:tcW w:w="2693" w:type="dxa"/>
            <w:shd w:val="clear" w:color="auto" w:fill="auto"/>
            <w:hideMark/>
          </w:tcPr>
          <w:p w14:paraId="11BB25DA" w14:textId="77777777" w:rsidR="00E23746" w:rsidRPr="007F3681" w:rsidRDefault="00E23746" w:rsidP="000B2F10">
            <w:pPr>
              <w:rPr>
                <w:rFonts w:cs="Arial"/>
                <w:sz w:val="20"/>
                <w:szCs w:val="20"/>
              </w:rPr>
            </w:pPr>
            <w:r w:rsidRPr="007F3681">
              <w:rPr>
                <w:rFonts w:cs="Arial"/>
                <w:sz w:val="20"/>
                <w:szCs w:val="20"/>
              </w:rPr>
              <w:t>Incrementar la inserción de los niños en educación inicial y preescolar en el Sistema Educativo Estatal.</w:t>
            </w:r>
          </w:p>
        </w:tc>
        <w:tc>
          <w:tcPr>
            <w:tcW w:w="2835" w:type="dxa"/>
            <w:shd w:val="clear" w:color="auto" w:fill="auto"/>
            <w:hideMark/>
          </w:tcPr>
          <w:p w14:paraId="53A7C747" w14:textId="77777777" w:rsidR="00E23746" w:rsidRPr="007F3681" w:rsidRDefault="00E23746" w:rsidP="000B2F10">
            <w:pPr>
              <w:rPr>
                <w:rFonts w:cs="Arial"/>
                <w:sz w:val="20"/>
                <w:szCs w:val="20"/>
              </w:rPr>
            </w:pPr>
            <w:r w:rsidRPr="007F3681">
              <w:rPr>
                <w:rFonts w:cs="Arial"/>
                <w:sz w:val="20"/>
                <w:szCs w:val="20"/>
              </w:rPr>
              <w:t>C02.A04 - Coordinación de las acciones de acompañamiento de los procesos de consolidación de los Consejos Técnicos Escolares para la implementación de los Programas Escolares de Mejora Continua.</w:t>
            </w:r>
          </w:p>
        </w:tc>
        <w:tc>
          <w:tcPr>
            <w:tcW w:w="2268" w:type="dxa"/>
            <w:shd w:val="clear" w:color="FFFFFF" w:fill="FFFFFF"/>
            <w:hideMark/>
          </w:tcPr>
          <w:p w14:paraId="6694D9A4" w14:textId="77777777" w:rsidR="00E23746" w:rsidRPr="007F3681" w:rsidRDefault="00E23746" w:rsidP="000B2F10">
            <w:pPr>
              <w:rPr>
                <w:rFonts w:cs="Arial"/>
                <w:sz w:val="20"/>
                <w:szCs w:val="20"/>
              </w:rPr>
            </w:pPr>
            <w:r w:rsidRPr="007F3681">
              <w:rPr>
                <w:rFonts w:cs="Arial"/>
                <w:sz w:val="20"/>
                <w:szCs w:val="20"/>
              </w:rPr>
              <w:t>C02A04 - Porcentaje de acciones de acompañamiento de los procesos de consolidación de los Consejos Técnicos Escolares para la implementación de los Programas Escolares de Mejora Continua realizadas.</w:t>
            </w:r>
          </w:p>
        </w:tc>
        <w:tc>
          <w:tcPr>
            <w:tcW w:w="2835" w:type="dxa"/>
            <w:shd w:val="clear" w:color="auto" w:fill="auto"/>
            <w:hideMark/>
          </w:tcPr>
          <w:p w14:paraId="776E432A" w14:textId="77777777" w:rsidR="00E23746" w:rsidRPr="007F3681" w:rsidRDefault="00E23746" w:rsidP="000B2F10">
            <w:pPr>
              <w:rPr>
                <w:rFonts w:cs="Arial"/>
                <w:sz w:val="20"/>
                <w:szCs w:val="20"/>
              </w:rPr>
            </w:pPr>
            <w:r w:rsidRPr="007F3681">
              <w:rPr>
                <w:rFonts w:cs="Arial"/>
                <w:sz w:val="20"/>
                <w:szCs w:val="20"/>
              </w:rPr>
              <w:t>Informe de Seguimiento. Dirección de Educación Preescolar. Trimestral.https://qroo.gob.mx/seq/medios-de-verificacion-de-la-planeacion-anual.</w:t>
            </w:r>
          </w:p>
        </w:tc>
        <w:tc>
          <w:tcPr>
            <w:tcW w:w="1976" w:type="dxa"/>
            <w:shd w:val="clear" w:color="auto" w:fill="auto"/>
            <w:hideMark/>
          </w:tcPr>
          <w:p w14:paraId="5C139340" w14:textId="77777777" w:rsidR="00E23746" w:rsidRPr="007F3681" w:rsidRDefault="00E23746" w:rsidP="000B2F10">
            <w:pPr>
              <w:rPr>
                <w:rFonts w:cs="Arial"/>
                <w:sz w:val="20"/>
                <w:szCs w:val="20"/>
              </w:rPr>
            </w:pPr>
            <w:r w:rsidRPr="007F3681">
              <w:rPr>
                <w:rFonts w:cs="Arial"/>
                <w:sz w:val="20"/>
                <w:szCs w:val="20"/>
              </w:rPr>
              <w:t>Las escuelas de preescolar públicas aplican los acuerdos para la mejora del logro educativo.</w:t>
            </w:r>
          </w:p>
        </w:tc>
      </w:tr>
      <w:tr w:rsidR="00E23746" w:rsidRPr="00574DAC" w14:paraId="6B9FCD90" w14:textId="77777777" w:rsidTr="00BF2AA6">
        <w:trPr>
          <w:trHeight w:val="1992"/>
        </w:trPr>
        <w:tc>
          <w:tcPr>
            <w:tcW w:w="1413" w:type="dxa"/>
            <w:shd w:val="clear" w:color="auto" w:fill="auto"/>
            <w:hideMark/>
          </w:tcPr>
          <w:p w14:paraId="326441B8" w14:textId="77777777" w:rsidR="00E23746" w:rsidRPr="00574DAC" w:rsidRDefault="00E23746" w:rsidP="000B2F10">
            <w:pPr>
              <w:jc w:val="center"/>
              <w:rPr>
                <w:rFonts w:cs="Arial"/>
                <w:b/>
                <w:bCs/>
                <w:sz w:val="20"/>
                <w:szCs w:val="20"/>
              </w:rPr>
            </w:pPr>
            <w:r w:rsidRPr="00574DAC">
              <w:rPr>
                <w:rFonts w:cs="Arial"/>
                <w:b/>
                <w:bCs/>
                <w:sz w:val="20"/>
                <w:szCs w:val="20"/>
              </w:rPr>
              <w:t>Componente</w:t>
            </w:r>
          </w:p>
        </w:tc>
        <w:tc>
          <w:tcPr>
            <w:tcW w:w="2693" w:type="dxa"/>
            <w:shd w:val="clear" w:color="auto" w:fill="auto"/>
            <w:hideMark/>
          </w:tcPr>
          <w:p w14:paraId="4B39FEE5" w14:textId="77777777" w:rsidR="00E23746" w:rsidRPr="00574DAC" w:rsidRDefault="00E23746" w:rsidP="000B2F10">
            <w:pPr>
              <w:rPr>
                <w:rFonts w:cs="Arial"/>
                <w:sz w:val="20"/>
                <w:szCs w:val="20"/>
              </w:rPr>
            </w:pPr>
            <w:r w:rsidRPr="00574DAC">
              <w:rPr>
                <w:rFonts w:cs="Arial"/>
                <w:sz w:val="20"/>
                <w:szCs w:val="20"/>
              </w:rPr>
              <w:t>Mejorar el desempeño escolar de los alumnos de educación básica a través de la ampliación, materiales pedagógicos, didácticos y el uso eficaz de la jornada escolar</w:t>
            </w:r>
            <w:r>
              <w:rPr>
                <w:rFonts w:cs="Arial"/>
                <w:sz w:val="20"/>
                <w:szCs w:val="20"/>
              </w:rPr>
              <w:t>.</w:t>
            </w:r>
          </w:p>
        </w:tc>
        <w:tc>
          <w:tcPr>
            <w:tcW w:w="2835" w:type="dxa"/>
            <w:shd w:val="clear" w:color="auto" w:fill="auto"/>
            <w:hideMark/>
          </w:tcPr>
          <w:p w14:paraId="0AF462DF" w14:textId="77777777" w:rsidR="00E23746" w:rsidRPr="00574DAC" w:rsidRDefault="00E23746" w:rsidP="000B2F10">
            <w:pPr>
              <w:rPr>
                <w:rFonts w:cs="Arial"/>
                <w:sz w:val="20"/>
                <w:szCs w:val="20"/>
              </w:rPr>
            </w:pPr>
            <w:r w:rsidRPr="00574DAC">
              <w:rPr>
                <w:rFonts w:cs="Arial"/>
                <w:sz w:val="20"/>
                <w:szCs w:val="20"/>
              </w:rPr>
              <w:t>C03 - Desempeño escolar de los alumnos de nivel Primaria mejorado a través de la ampliación, materiales pedagógicos, didácticos y el uso eficaz de la jornada escolar.</w:t>
            </w:r>
          </w:p>
        </w:tc>
        <w:tc>
          <w:tcPr>
            <w:tcW w:w="2268" w:type="dxa"/>
            <w:shd w:val="clear" w:color="FFFFFF" w:fill="FFFFFF"/>
            <w:hideMark/>
          </w:tcPr>
          <w:p w14:paraId="5C81CA05" w14:textId="77777777" w:rsidR="00E23746" w:rsidRPr="00574DAC" w:rsidRDefault="00E23746" w:rsidP="000B2F10">
            <w:pPr>
              <w:rPr>
                <w:rFonts w:cs="Arial"/>
                <w:sz w:val="20"/>
                <w:szCs w:val="20"/>
              </w:rPr>
            </w:pPr>
            <w:r w:rsidRPr="00574DAC">
              <w:rPr>
                <w:rFonts w:cs="Arial"/>
                <w:sz w:val="20"/>
                <w:szCs w:val="20"/>
              </w:rPr>
              <w:t>C03 - Porcentaje de alumnos de sexto grado de Educación Primaria general de instituciones públicas, que obtienen un promedio escolar igual o mayor de ocho en el ciclo escolar.</w:t>
            </w:r>
          </w:p>
        </w:tc>
        <w:tc>
          <w:tcPr>
            <w:tcW w:w="2835" w:type="dxa"/>
            <w:shd w:val="clear" w:color="auto" w:fill="auto"/>
            <w:hideMark/>
          </w:tcPr>
          <w:p w14:paraId="7A3006D1" w14:textId="77777777" w:rsidR="00E23746" w:rsidRPr="00574DAC" w:rsidRDefault="00E23746" w:rsidP="000B2F10">
            <w:pPr>
              <w:rPr>
                <w:rFonts w:cs="Arial"/>
                <w:sz w:val="20"/>
                <w:szCs w:val="20"/>
              </w:rPr>
            </w:pPr>
            <w:r w:rsidRPr="00574DAC">
              <w:rPr>
                <w:rFonts w:cs="Arial"/>
                <w:sz w:val="20"/>
                <w:szCs w:val="20"/>
              </w:rPr>
              <w:t>Reporte del Sistema Integral de Control Escolar de Educación Básica (SICEEB); anual, https://qroo.gob.mx/seq/medios-de-verificacion-de-la-planeacion-anual</w:t>
            </w:r>
          </w:p>
        </w:tc>
        <w:tc>
          <w:tcPr>
            <w:tcW w:w="1976" w:type="dxa"/>
            <w:shd w:val="clear" w:color="auto" w:fill="auto"/>
            <w:hideMark/>
          </w:tcPr>
          <w:p w14:paraId="1F827A70" w14:textId="77777777" w:rsidR="00E23746" w:rsidRPr="00574DAC" w:rsidRDefault="00E23746" w:rsidP="000B2F10">
            <w:pPr>
              <w:rPr>
                <w:rFonts w:cs="Arial"/>
                <w:sz w:val="20"/>
                <w:szCs w:val="20"/>
              </w:rPr>
            </w:pPr>
            <w:r w:rsidRPr="00574DAC">
              <w:rPr>
                <w:rFonts w:cs="Arial"/>
                <w:sz w:val="20"/>
                <w:szCs w:val="20"/>
              </w:rPr>
              <w:t>Las figuras educativas aplican las estrategias didácticas para mejorar el logro educativo.</w:t>
            </w:r>
          </w:p>
        </w:tc>
      </w:tr>
      <w:tr w:rsidR="00E23746" w:rsidRPr="00574DAC" w14:paraId="4B0BFF15" w14:textId="77777777" w:rsidTr="00BF2AA6">
        <w:trPr>
          <w:trHeight w:val="1826"/>
        </w:trPr>
        <w:tc>
          <w:tcPr>
            <w:tcW w:w="1413" w:type="dxa"/>
            <w:shd w:val="clear" w:color="auto" w:fill="auto"/>
            <w:hideMark/>
          </w:tcPr>
          <w:p w14:paraId="6C9DF3F6" w14:textId="77777777" w:rsidR="00E23746" w:rsidRPr="00574DAC" w:rsidRDefault="00E23746" w:rsidP="000B2F10">
            <w:pPr>
              <w:jc w:val="center"/>
              <w:rPr>
                <w:rFonts w:cs="Arial"/>
                <w:b/>
                <w:bCs/>
                <w:sz w:val="20"/>
                <w:szCs w:val="20"/>
              </w:rPr>
            </w:pPr>
            <w:r w:rsidRPr="00574DAC">
              <w:rPr>
                <w:rFonts w:cs="Arial"/>
                <w:b/>
                <w:bCs/>
                <w:sz w:val="20"/>
                <w:szCs w:val="20"/>
              </w:rPr>
              <w:t>Actividad</w:t>
            </w:r>
          </w:p>
        </w:tc>
        <w:tc>
          <w:tcPr>
            <w:tcW w:w="2693" w:type="dxa"/>
            <w:shd w:val="clear" w:color="auto" w:fill="auto"/>
            <w:hideMark/>
          </w:tcPr>
          <w:p w14:paraId="02A51EE1" w14:textId="57E59E82" w:rsidR="00E23746" w:rsidRPr="00271BD1" w:rsidRDefault="00E23746" w:rsidP="000B2F10">
            <w:pPr>
              <w:rPr>
                <w:rFonts w:cs="Arial"/>
                <w:sz w:val="18"/>
                <w:szCs w:val="20"/>
              </w:rPr>
            </w:pPr>
            <w:r w:rsidRPr="00271BD1">
              <w:rPr>
                <w:rFonts w:cs="Arial"/>
                <w:sz w:val="18"/>
                <w:szCs w:val="20"/>
              </w:rPr>
              <w:t xml:space="preserve">Fortalecer el liderazgo académico de figuras directivas y docentes para favorecer los aprendizajes significativos </w:t>
            </w:r>
            <w:r w:rsidR="00271BD1" w:rsidRPr="00271BD1">
              <w:rPr>
                <w:rFonts w:cs="Arial"/>
                <w:sz w:val="18"/>
                <w:szCs w:val="20"/>
              </w:rPr>
              <w:t xml:space="preserve">entre los </w:t>
            </w:r>
            <w:r w:rsidRPr="00271BD1">
              <w:rPr>
                <w:rFonts w:cs="Arial"/>
                <w:sz w:val="18"/>
                <w:szCs w:val="20"/>
              </w:rPr>
              <w:t>estudiantes de Educación Básica.</w:t>
            </w:r>
          </w:p>
        </w:tc>
        <w:tc>
          <w:tcPr>
            <w:tcW w:w="2835" w:type="dxa"/>
            <w:shd w:val="clear" w:color="auto" w:fill="auto"/>
            <w:hideMark/>
          </w:tcPr>
          <w:p w14:paraId="139E509E" w14:textId="77777777" w:rsidR="00E23746" w:rsidRPr="00271BD1" w:rsidRDefault="00E23746" w:rsidP="000B2F10">
            <w:pPr>
              <w:rPr>
                <w:rFonts w:cs="Arial"/>
                <w:sz w:val="18"/>
                <w:szCs w:val="20"/>
              </w:rPr>
            </w:pPr>
            <w:r w:rsidRPr="00271BD1">
              <w:rPr>
                <w:rFonts w:cs="Arial"/>
                <w:sz w:val="18"/>
                <w:szCs w:val="20"/>
              </w:rPr>
              <w:t>C03.A04 - Coordinación de las reuniones de seguimiento a las acciones de la Mesa Técnica Estatal en primarias generales públicas.</w:t>
            </w:r>
          </w:p>
        </w:tc>
        <w:tc>
          <w:tcPr>
            <w:tcW w:w="2268" w:type="dxa"/>
            <w:shd w:val="clear" w:color="FFFFFF" w:fill="FFFFFF"/>
            <w:hideMark/>
          </w:tcPr>
          <w:p w14:paraId="3B877DB1" w14:textId="77777777" w:rsidR="00E23746" w:rsidRPr="00271BD1" w:rsidRDefault="00E23746" w:rsidP="000B2F10">
            <w:pPr>
              <w:rPr>
                <w:rFonts w:cs="Arial"/>
                <w:sz w:val="18"/>
                <w:szCs w:val="20"/>
              </w:rPr>
            </w:pPr>
            <w:r w:rsidRPr="00271BD1">
              <w:rPr>
                <w:rFonts w:cs="Arial"/>
                <w:sz w:val="18"/>
                <w:szCs w:val="20"/>
              </w:rPr>
              <w:t>C03A04 - Porcentaje de reuniones de seguimiento a las acciones de la Mesa Técnica Estatal.</w:t>
            </w:r>
          </w:p>
        </w:tc>
        <w:tc>
          <w:tcPr>
            <w:tcW w:w="2835" w:type="dxa"/>
            <w:shd w:val="clear" w:color="auto" w:fill="auto"/>
            <w:hideMark/>
          </w:tcPr>
          <w:p w14:paraId="57EDB3EF" w14:textId="77777777" w:rsidR="00E23746" w:rsidRPr="00271BD1" w:rsidRDefault="00E23746" w:rsidP="000B2F10">
            <w:pPr>
              <w:rPr>
                <w:rFonts w:cs="Arial"/>
                <w:sz w:val="18"/>
                <w:szCs w:val="20"/>
              </w:rPr>
            </w:pPr>
            <w:r w:rsidRPr="00271BD1">
              <w:rPr>
                <w:rFonts w:cs="Arial"/>
                <w:sz w:val="18"/>
                <w:szCs w:val="20"/>
              </w:rPr>
              <w:t>Informe de acuerdos de la Mesa Técnica en Educación Primaria (minuta de acuerdos.) trimestral, https://qroo.gob.mx/seq/medios-de-verificacion-de-la-planeacion-anual.</w:t>
            </w:r>
          </w:p>
        </w:tc>
        <w:tc>
          <w:tcPr>
            <w:tcW w:w="1976" w:type="dxa"/>
            <w:shd w:val="clear" w:color="auto" w:fill="auto"/>
            <w:hideMark/>
          </w:tcPr>
          <w:p w14:paraId="551CC059" w14:textId="0D28DFE1" w:rsidR="00E23746" w:rsidRPr="00271BD1" w:rsidRDefault="00E23746" w:rsidP="000B2F10">
            <w:pPr>
              <w:rPr>
                <w:rFonts w:cs="Arial"/>
                <w:sz w:val="18"/>
                <w:szCs w:val="20"/>
              </w:rPr>
            </w:pPr>
            <w:r w:rsidRPr="00271BD1">
              <w:rPr>
                <w:rFonts w:cs="Arial"/>
                <w:sz w:val="18"/>
                <w:szCs w:val="20"/>
              </w:rPr>
              <w:t>Las escuelas de educación primaria públicas, apl</w:t>
            </w:r>
            <w:r w:rsidR="00271BD1" w:rsidRPr="00271BD1">
              <w:rPr>
                <w:rFonts w:cs="Arial"/>
                <w:sz w:val="18"/>
                <w:szCs w:val="20"/>
              </w:rPr>
              <w:t xml:space="preserve">ican las estrategias didácticas </w:t>
            </w:r>
            <w:r w:rsidRPr="00271BD1">
              <w:rPr>
                <w:rFonts w:cs="Arial"/>
                <w:sz w:val="18"/>
                <w:szCs w:val="20"/>
              </w:rPr>
              <w:t>generadas por la mesa técnica.</w:t>
            </w:r>
          </w:p>
        </w:tc>
      </w:tr>
    </w:tbl>
    <w:p w14:paraId="0ED444AA" w14:textId="77777777" w:rsidR="00A01C9D" w:rsidRDefault="00A01C9D">
      <w:pPr>
        <w:spacing w:after="0" w:line="240" w:lineRule="auto"/>
        <w:jc w:val="left"/>
      </w:pPr>
      <w:r>
        <w:br w:type="page"/>
      </w:r>
    </w:p>
    <w:tbl>
      <w:tblPr>
        <w:tblW w:w="14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71"/>
        <w:gridCol w:w="2835"/>
        <w:gridCol w:w="2835"/>
        <w:gridCol w:w="2268"/>
        <w:gridCol w:w="2835"/>
        <w:gridCol w:w="1976"/>
      </w:tblGrid>
      <w:tr w:rsidR="00E23746" w:rsidRPr="00574DAC" w14:paraId="2C37E0B7" w14:textId="77777777" w:rsidTr="00C91C82">
        <w:trPr>
          <w:trHeight w:val="679"/>
        </w:trPr>
        <w:tc>
          <w:tcPr>
            <w:tcW w:w="1271" w:type="dxa"/>
            <w:shd w:val="clear" w:color="000000" w:fill="BFBFBF"/>
            <w:vAlign w:val="center"/>
            <w:hideMark/>
          </w:tcPr>
          <w:p w14:paraId="26459FEC"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lastRenderedPageBreak/>
              <w:t>NIVEL</w:t>
            </w:r>
          </w:p>
        </w:tc>
        <w:tc>
          <w:tcPr>
            <w:tcW w:w="2835" w:type="dxa"/>
            <w:shd w:val="clear" w:color="000000" w:fill="BFBFBF"/>
            <w:vAlign w:val="center"/>
            <w:hideMark/>
          </w:tcPr>
          <w:p w14:paraId="5814EBA9"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ALINEACIÓN PED/PD</w:t>
            </w:r>
          </w:p>
        </w:tc>
        <w:tc>
          <w:tcPr>
            <w:tcW w:w="2835" w:type="dxa"/>
            <w:shd w:val="clear" w:color="000000" w:fill="BFBFBF"/>
            <w:vAlign w:val="center"/>
            <w:hideMark/>
          </w:tcPr>
          <w:p w14:paraId="35A1A4D0"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OBJETIVO</w:t>
            </w:r>
          </w:p>
        </w:tc>
        <w:tc>
          <w:tcPr>
            <w:tcW w:w="2268" w:type="dxa"/>
            <w:shd w:val="clear" w:color="000000" w:fill="BFBFBF"/>
            <w:vAlign w:val="center"/>
            <w:hideMark/>
          </w:tcPr>
          <w:p w14:paraId="153C810E"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INDICADOR</w:t>
            </w:r>
          </w:p>
        </w:tc>
        <w:tc>
          <w:tcPr>
            <w:tcW w:w="2835" w:type="dxa"/>
            <w:shd w:val="clear" w:color="000000" w:fill="BFBFBF"/>
            <w:vAlign w:val="center"/>
            <w:hideMark/>
          </w:tcPr>
          <w:p w14:paraId="4D2FA01F"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MEDIOS DE VERIFICACIÓN</w:t>
            </w:r>
          </w:p>
        </w:tc>
        <w:tc>
          <w:tcPr>
            <w:tcW w:w="1976" w:type="dxa"/>
            <w:shd w:val="clear" w:color="000000" w:fill="BFBFBF"/>
            <w:vAlign w:val="center"/>
            <w:hideMark/>
          </w:tcPr>
          <w:p w14:paraId="371E9B48"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SUPUESTO</w:t>
            </w:r>
          </w:p>
        </w:tc>
      </w:tr>
      <w:tr w:rsidR="00E23746" w:rsidRPr="00574DAC" w14:paraId="126D0F92" w14:textId="77777777" w:rsidTr="00C91C82">
        <w:trPr>
          <w:trHeight w:val="2006"/>
        </w:trPr>
        <w:tc>
          <w:tcPr>
            <w:tcW w:w="1271" w:type="dxa"/>
            <w:shd w:val="clear" w:color="auto" w:fill="auto"/>
            <w:hideMark/>
          </w:tcPr>
          <w:p w14:paraId="76B491DC" w14:textId="77777777" w:rsidR="00E23746" w:rsidRPr="00574DAC" w:rsidRDefault="00E23746" w:rsidP="000B2F10">
            <w:pPr>
              <w:jc w:val="center"/>
              <w:rPr>
                <w:rFonts w:cs="Arial"/>
                <w:b/>
                <w:bCs/>
                <w:sz w:val="20"/>
                <w:szCs w:val="20"/>
              </w:rPr>
            </w:pPr>
            <w:r w:rsidRPr="00574DAC">
              <w:rPr>
                <w:rFonts w:cs="Arial"/>
                <w:b/>
                <w:bCs/>
                <w:sz w:val="20"/>
                <w:szCs w:val="20"/>
              </w:rPr>
              <w:t>Actividad</w:t>
            </w:r>
          </w:p>
        </w:tc>
        <w:tc>
          <w:tcPr>
            <w:tcW w:w="2835" w:type="dxa"/>
            <w:shd w:val="clear" w:color="auto" w:fill="auto"/>
            <w:hideMark/>
          </w:tcPr>
          <w:p w14:paraId="084CACC5" w14:textId="77777777" w:rsidR="00E23746" w:rsidRPr="00574DAC" w:rsidRDefault="00E23746" w:rsidP="000B2F10">
            <w:pPr>
              <w:rPr>
                <w:rFonts w:cs="Arial"/>
                <w:sz w:val="20"/>
                <w:szCs w:val="20"/>
              </w:rPr>
            </w:pPr>
            <w:r w:rsidRPr="00574DAC">
              <w:rPr>
                <w:rFonts w:cs="Arial"/>
                <w:sz w:val="20"/>
                <w:szCs w:val="20"/>
              </w:rPr>
              <w:t>Fortalecer el liderazgo académico de figuras directivas y docentes para favorecer los aprendizajes significativos entre los estudiantes de Educación Básica</w:t>
            </w:r>
            <w:r>
              <w:rPr>
                <w:rFonts w:cs="Arial"/>
                <w:sz w:val="20"/>
                <w:szCs w:val="20"/>
              </w:rPr>
              <w:t>.</w:t>
            </w:r>
          </w:p>
        </w:tc>
        <w:tc>
          <w:tcPr>
            <w:tcW w:w="2835" w:type="dxa"/>
            <w:shd w:val="clear" w:color="auto" w:fill="auto"/>
            <w:hideMark/>
          </w:tcPr>
          <w:p w14:paraId="008CC12F" w14:textId="77777777" w:rsidR="00E23746" w:rsidRPr="00574DAC" w:rsidRDefault="00E23746" w:rsidP="000B2F10">
            <w:pPr>
              <w:rPr>
                <w:rFonts w:cs="Arial"/>
                <w:sz w:val="20"/>
                <w:szCs w:val="20"/>
              </w:rPr>
            </w:pPr>
            <w:r w:rsidRPr="00574DAC">
              <w:rPr>
                <w:rFonts w:cs="Arial"/>
                <w:sz w:val="20"/>
                <w:szCs w:val="20"/>
              </w:rPr>
              <w:t>C03.A01 - Capacitación a los directores de educación primaria de instituciones públicas en la Nueva Escuela Mexicana</w:t>
            </w:r>
            <w:r>
              <w:rPr>
                <w:rFonts w:cs="Arial"/>
                <w:sz w:val="20"/>
                <w:szCs w:val="20"/>
              </w:rPr>
              <w:t>.</w:t>
            </w:r>
          </w:p>
        </w:tc>
        <w:tc>
          <w:tcPr>
            <w:tcW w:w="2268" w:type="dxa"/>
            <w:shd w:val="clear" w:color="FFFFFF" w:fill="FFFFFF"/>
            <w:hideMark/>
          </w:tcPr>
          <w:p w14:paraId="32DBE3B8" w14:textId="77777777" w:rsidR="00E23746" w:rsidRPr="00574DAC" w:rsidRDefault="00E23746" w:rsidP="000B2F10">
            <w:pPr>
              <w:rPr>
                <w:rFonts w:cs="Arial"/>
                <w:sz w:val="20"/>
                <w:szCs w:val="20"/>
              </w:rPr>
            </w:pPr>
            <w:r w:rsidRPr="00574DAC">
              <w:rPr>
                <w:rFonts w:cs="Arial"/>
                <w:sz w:val="20"/>
                <w:szCs w:val="20"/>
              </w:rPr>
              <w:t>C03A01 - Porcentaje de directores de educación primaria de instituciones públicas capacitados en la Nueva Escuela Mexicana</w:t>
            </w:r>
            <w:r>
              <w:rPr>
                <w:rFonts w:cs="Arial"/>
                <w:sz w:val="20"/>
                <w:szCs w:val="20"/>
              </w:rPr>
              <w:t>.</w:t>
            </w:r>
          </w:p>
        </w:tc>
        <w:tc>
          <w:tcPr>
            <w:tcW w:w="2835" w:type="dxa"/>
            <w:shd w:val="clear" w:color="auto" w:fill="auto"/>
            <w:hideMark/>
          </w:tcPr>
          <w:p w14:paraId="38BBD3CD" w14:textId="77777777" w:rsidR="00E23746" w:rsidRPr="00574DAC" w:rsidRDefault="00E23746" w:rsidP="000B2F10">
            <w:pPr>
              <w:rPr>
                <w:rFonts w:cs="Arial"/>
                <w:sz w:val="20"/>
                <w:szCs w:val="20"/>
              </w:rPr>
            </w:pPr>
            <w:r w:rsidRPr="00574DAC">
              <w:rPr>
                <w:rFonts w:cs="Arial"/>
                <w:sz w:val="20"/>
                <w:szCs w:val="20"/>
              </w:rPr>
              <w:t>Informes de capacitación sobre la Nueva Escuela Mexicana, Dirección de Primaria, https://qroo.gob.mx/seq/medios-de-verificacion-de-la-planeacion-anual</w:t>
            </w:r>
            <w:r>
              <w:rPr>
                <w:rFonts w:cs="Arial"/>
                <w:sz w:val="20"/>
                <w:szCs w:val="20"/>
              </w:rPr>
              <w:t>.</w:t>
            </w:r>
          </w:p>
        </w:tc>
        <w:tc>
          <w:tcPr>
            <w:tcW w:w="1976" w:type="dxa"/>
            <w:shd w:val="clear" w:color="auto" w:fill="auto"/>
            <w:hideMark/>
          </w:tcPr>
          <w:p w14:paraId="18B9292B" w14:textId="77777777" w:rsidR="00E23746" w:rsidRPr="00574DAC" w:rsidRDefault="00E23746" w:rsidP="000B2F10">
            <w:pPr>
              <w:rPr>
                <w:rFonts w:cs="Arial"/>
                <w:sz w:val="20"/>
                <w:szCs w:val="20"/>
              </w:rPr>
            </w:pPr>
            <w:r w:rsidRPr="00574DAC">
              <w:rPr>
                <w:rFonts w:cs="Arial"/>
                <w:sz w:val="20"/>
                <w:szCs w:val="20"/>
              </w:rPr>
              <w:t>Los directores aplican las estrategias adquiridas de la Nueva Escuela Mexicana</w:t>
            </w:r>
            <w:r>
              <w:rPr>
                <w:rFonts w:cs="Arial"/>
                <w:sz w:val="20"/>
                <w:szCs w:val="20"/>
              </w:rPr>
              <w:t>.</w:t>
            </w:r>
          </w:p>
        </w:tc>
      </w:tr>
      <w:tr w:rsidR="00E23746" w:rsidRPr="00574DAC" w14:paraId="0539B696" w14:textId="77777777" w:rsidTr="00C91C82">
        <w:trPr>
          <w:trHeight w:val="1974"/>
        </w:trPr>
        <w:tc>
          <w:tcPr>
            <w:tcW w:w="1271" w:type="dxa"/>
            <w:shd w:val="clear" w:color="auto" w:fill="auto"/>
            <w:hideMark/>
          </w:tcPr>
          <w:p w14:paraId="7CFB094F" w14:textId="77777777" w:rsidR="00E23746" w:rsidRPr="00574DAC" w:rsidRDefault="00E23746" w:rsidP="000B2F10">
            <w:pPr>
              <w:jc w:val="center"/>
              <w:rPr>
                <w:rFonts w:cs="Arial"/>
                <w:b/>
                <w:bCs/>
                <w:sz w:val="20"/>
                <w:szCs w:val="20"/>
              </w:rPr>
            </w:pPr>
            <w:r w:rsidRPr="00574DAC">
              <w:rPr>
                <w:rFonts w:cs="Arial"/>
                <w:b/>
                <w:bCs/>
                <w:sz w:val="20"/>
                <w:szCs w:val="20"/>
              </w:rPr>
              <w:t>Actividad</w:t>
            </w:r>
          </w:p>
        </w:tc>
        <w:tc>
          <w:tcPr>
            <w:tcW w:w="2835" w:type="dxa"/>
            <w:shd w:val="clear" w:color="auto" w:fill="auto"/>
            <w:hideMark/>
          </w:tcPr>
          <w:p w14:paraId="45A12185" w14:textId="77777777" w:rsidR="00E23746" w:rsidRPr="00574DAC" w:rsidRDefault="00E23746" w:rsidP="000B2F10">
            <w:pPr>
              <w:rPr>
                <w:rFonts w:cs="Arial"/>
                <w:sz w:val="20"/>
                <w:szCs w:val="20"/>
              </w:rPr>
            </w:pPr>
            <w:r w:rsidRPr="00574DAC">
              <w:rPr>
                <w:rFonts w:cs="Arial"/>
                <w:sz w:val="20"/>
                <w:szCs w:val="20"/>
              </w:rPr>
              <w:t> Fortalecer el liderazgo académico de figuras directivas y docentes para favorecer los aprendizajes significativos entre los estudiantes de Educación Básica</w:t>
            </w:r>
            <w:r>
              <w:rPr>
                <w:rFonts w:cs="Arial"/>
                <w:sz w:val="20"/>
                <w:szCs w:val="20"/>
              </w:rPr>
              <w:t>.</w:t>
            </w:r>
          </w:p>
        </w:tc>
        <w:tc>
          <w:tcPr>
            <w:tcW w:w="2835" w:type="dxa"/>
            <w:shd w:val="clear" w:color="auto" w:fill="auto"/>
            <w:hideMark/>
          </w:tcPr>
          <w:p w14:paraId="518FD50A" w14:textId="77777777" w:rsidR="00E23746" w:rsidRPr="00574DAC" w:rsidRDefault="00E23746" w:rsidP="000B2F10">
            <w:pPr>
              <w:rPr>
                <w:rFonts w:cs="Arial"/>
                <w:sz w:val="20"/>
                <w:szCs w:val="20"/>
              </w:rPr>
            </w:pPr>
            <w:r w:rsidRPr="00574DAC">
              <w:rPr>
                <w:rFonts w:cs="Arial"/>
                <w:sz w:val="20"/>
                <w:szCs w:val="20"/>
              </w:rPr>
              <w:t>C03.A02 - Integración de informes de los Consejos Técnicos Escolares de los alumnos en educación primaria.</w:t>
            </w:r>
          </w:p>
        </w:tc>
        <w:tc>
          <w:tcPr>
            <w:tcW w:w="2268" w:type="dxa"/>
            <w:shd w:val="clear" w:color="FFFFFF" w:fill="FFFFFF"/>
            <w:hideMark/>
          </w:tcPr>
          <w:p w14:paraId="15ECC5CA" w14:textId="77777777" w:rsidR="00E23746" w:rsidRPr="00574DAC" w:rsidRDefault="00E23746" w:rsidP="000B2F10">
            <w:pPr>
              <w:rPr>
                <w:rFonts w:cs="Arial"/>
                <w:sz w:val="20"/>
                <w:szCs w:val="20"/>
              </w:rPr>
            </w:pPr>
            <w:r w:rsidRPr="00574DAC">
              <w:rPr>
                <w:rFonts w:cs="Arial"/>
                <w:sz w:val="20"/>
                <w:szCs w:val="20"/>
              </w:rPr>
              <w:t>C03A02 - Porcentaje de informes de los Consejos Técnicos Escolares.</w:t>
            </w:r>
          </w:p>
        </w:tc>
        <w:tc>
          <w:tcPr>
            <w:tcW w:w="2835" w:type="dxa"/>
            <w:shd w:val="clear" w:color="auto" w:fill="auto"/>
            <w:hideMark/>
          </w:tcPr>
          <w:p w14:paraId="376C921A" w14:textId="77777777" w:rsidR="00E23746" w:rsidRPr="00574DAC" w:rsidRDefault="00E23746" w:rsidP="000B2F10">
            <w:pPr>
              <w:rPr>
                <w:rFonts w:cs="Arial"/>
                <w:sz w:val="20"/>
                <w:szCs w:val="20"/>
              </w:rPr>
            </w:pPr>
            <w:r w:rsidRPr="00574DAC">
              <w:rPr>
                <w:rFonts w:cs="Arial"/>
                <w:sz w:val="20"/>
                <w:szCs w:val="20"/>
              </w:rPr>
              <w:t>Integración de Informes de seguimiento del Consejo Técnico Escolar. Mensual. https://qroo.gob.mx/seq/medios-de-verificacion-de-la-planeacion-anual</w:t>
            </w:r>
            <w:r>
              <w:rPr>
                <w:rFonts w:cs="Arial"/>
                <w:sz w:val="20"/>
                <w:szCs w:val="20"/>
              </w:rPr>
              <w:t>.</w:t>
            </w:r>
          </w:p>
        </w:tc>
        <w:tc>
          <w:tcPr>
            <w:tcW w:w="1976" w:type="dxa"/>
            <w:shd w:val="clear" w:color="auto" w:fill="auto"/>
            <w:hideMark/>
          </w:tcPr>
          <w:p w14:paraId="5B2DC05E" w14:textId="77777777" w:rsidR="00E23746" w:rsidRPr="00574DAC" w:rsidRDefault="00E23746" w:rsidP="000B2F10">
            <w:pPr>
              <w:rPr>
                <w:rFonts w:cs="Arial"/>
                <w:sz w:val="20"/>
                <w:szCs w:val="20"/>
              </w:rPr>
            </w:pPr>
            <w:r w:rsidRPr="00574DAC">
              <w:rPr>
                <w:rFonts w:cs="Arial"/>
                <w:sz w:val="20"/>
                <w:szCs w:val="20"/>
              </w:rPr>
              <w:t>Las escuelas de primaria públicas aplican los acuerdos para la mejora del logro educativo.</w:t>
            </w:r>
          </w:p>
        </w:tc>
      </w:tr>
      <w:tr w:rsidR="00E23746" w:rsidRPr="00574DAC" w14:paraId="65DE2164" w14:textId="77777777" w:rsidTr="00C91C82">
        <w:trPr>
          <w:trHeight w:val="2412"/>
        </w:trPr>
        <w:tc>
          <w:tcPr>
            <w:tcW w:w="1271" w:type="dxa"/>
            <w:shd w:val="clear" w:color="auto" w:fill="auto"/>
            <w:hideMark/>
          </w:tcPr>
          <w:p w14:paraId="121E4334" w14:textId="77777777" w:rsidR="00E23746" w:rsidRPr="00574DAC" w:rsidRDefault="00E23746" w:rsidP="000B2F10">
            <w:pPr>
              <w:jc w:val="center"/>
              <w:rPr>
                <w:rFonts w:cs="Arial"/>
                <w:b/>
                <w:bCs/>
                <w:sz w:val="20"/>
                <w:szCs w:val="20"/>
              </w:rPr>
            </w:pPr>
            <w:r w:rsidRPr="00574DAC">
              <w:rPr>
                <w:rFonts w:cs="Arial"/>
                <w:b/>
                <w:bCs/>
                <w:sz w:val="20"/>
                <w:szCs w:val="20"/>
              </w:rPr>
              <w:t>Actividad</w:t>
            </w:r>
          </w:p>
        </w:tc>
        <w:tc>
          <w:tcPr>
            <w:tcW w:w="2835" w:type="dxa"/>
            <w:shd w:val="clear" w:color="auto" w:fill="auto"/>
            <w:hideMark/>
          </w:tcPr>
          <w:p w14:paraId="2E04E9E6" w14:textId="77777777" w:rsidR="00E23746" w:rsidRPr="00574DAC" w:rsidRDefault="00E23746" w:rsidP="000B2F10">
            <w:pPr>
              <w:rPr>
                <w:rFonts w:cs="Arial"/>
                <w:sz w:val="20"/>
                <w:szCs w:val="20"/>
              </w:rPr>
            </w:pPr>
            <w:r w:rsidRPr="00574DAC">
              <w:rPr>
                <w:rFonts w:cs="Arial"/>
                <w:sz w:val="20"/>
                <w:szCs w:val="20"/>
              </w:rPr>
              <w:t>Mejorar el desempeño escolar de los alumnos de educación básica a través de la ampliación, materiales pedagógicos, didácticos y el uso eficaz de la jornada escolar</w:t>
            </w:r>
            <w:r>
              <w:rPr>
                <w:rFonts w:cs="Arial"/>
                <w:sz w:val="20"/>
                <w:szCs w:val="20"/>
              </w:rPr>
              <w:t>.</w:t>
            </w:r>
          </w:p>
        </w:tc>
        <w:tc>
          <w:tcPr>
            <w:tcW w:w="2835" w:type="dxa"/>
            <w:shd w:val="clear" w:color="auto" w:fill="auto"/>
            <w:hideMark/>
          </w:tcPr>
          <w:p w14:paraId="0D8DE563" w14:textId="77777777" w:rsidR="00E23746" w:rsidRPr="00574DAC" w:rsidRDefault="00E23746" w:rsidP="000B2F10">
            <w:pPr>
              <w:rPr>
                <w:rFonts w:cs="Arial"/>
                <w:sz w:val="20"/>
                <w:szCs w:val="20"/>
              </w:rPr>
            </w:pPr>
            <w:r w:rsidRPr="00574DAC">
              <w:rPr>
                <w:rFonts w:cs="Arial"/>
                <w:sz w:val="20"/>
                <w:szCs w:val="20"/>
              </w:rPr>
              <w:t>C03.A03 - Operación de un programa de reconocimientos a alumnos destacados.</w:t>
            </w:r>
          </w:p>
        </w:tc>
        <w:tc>
          <w:tcPr>
            <w:tcW w:w="2268" w:type="dxa"/>
            <w:shd w:val="clear" w:color="FFFFFF" w:fill="FFFFFF"/>
            <w:hideMark/>
          </w:tcPr>
          <w:p w14:paraId="17A5CFB9" w14:textId="77777777" w:rsidR="00E23746" w:rsidRPr="00574DAC" w:rsidRDefault="00E23746" w:rsidP="000B2F10">
            <w:pPr>
              <w:rPr>
                <w:rFonts w:cs="Arial"/>
                <w:sz w:val="20"/>
                <w:szCs w:val="20"/>
              </w:rPr>
            </w:pPr>
            <w:r w:rsidRPr="00574DAC">
              <w:rPr>
                <w:rFonts w:cs="Arial"/>
                <w:sz w:val="20"/>
                <w:szCs w:val="20"/>
              </w:rPr>
              <w:t>C03A03 - Porcentaje de acciones realizadas para lograr la participación de los estudiantes de educación primaria en la Olimpiada del Conocimiento Infantil.</w:t>
            </w:r>
          </w:p>
        </w:tc>
        <w:tc>
          <w:tcPr>
            <w:tcW w:w="2835" w:type="dxa"/>
            <w:shd w:val="clear" w:color="auto" w:fill="auto"/>
            <w:hideMark/>
          </w:tcPr>
          <w:p w14:paraId="4F1EADFE" w14:textId="77777777" w:rsidR="00E23746" w:rsidRPr="00574DAC" w:rsidRDefault="00E23746" w:rsidP="000B2F10">
            <w:pPr>
              <w:rPr>
                <w:rFonts w:cs="Arial"/>
                <w:sz w:val="20"/>
                <w:szCs w:val="20"/>
              </w:rPr>
            </w:pPr>
            <w:r w:rsidRPr="00574DAC">
              <w:rPr>
                <w:rFonts w:cs="Arial"/>
                <w:sz w:val="20"/>
                <w:szCs w:val="20"/>
              </w:rPr>
              <w:t>Expedientes integrados. Anual, https://qroo.gob.mx/seq/medios-de-verificacion-de-la-planeacion-anual</w:t>
            </w:r>
            <w:r>
              <w:rPr>
                <w:rFonts w:cs="Arial"/>
                <w:sz w:val="20"/>
                <w:szCs w:val="20"/>
              </w:rPr>
              <w:t>.</w:t>
            </w:r>
          </w:p>
        </w:tc>
        <w:tc>
          <w:tcPr>
            <w:tcW w:w="1976" w:type="dxa"/>
            <w:shd w:val="clear" w:color="auto" w:fill="auto"/>
            <w:hideMark/>
          </w:tcPr>
          <w:p w14:paraId="6705D58B" w14:textId="3F13ACFE" w:rsidR="001906E0" w:rsidRPr="00574DAC" w:rsidRDefault="00E23746" w:rsidP="009D52D8">
            <w:pPr>
              <w:rPr>
                <w:rFonts w:cs="Arial"/>
                <w:sz w:val="20"/>
                <w:szCs w:val="20"/>
              </w:rPr>
            </w:pPr>
            <w:r w:rsidRPr="00574DAC">
              <w:rPr>
                <w:rFonts w:cs="Arial"/>
                <w:sz w:val="20"/>
                <w:szCs w:val="20"/>
              </w:rPr>
              <w:t>Los alumnos de sexto grado de Educación Primaria se interesan en participar en la Olimpiada del Conocimiento Infantil. (OCI) y cumplen con los requisitos requeridos.</w:t>
            </w:r>
          </w:p>
        </w:tc>
      </w:tr>
    </w:tbl>
    <w:p w14:paraId="2797868F" w14:textId="77777777" w:rsidR="00A01C9D" w:rsidRDefault="00A01C9D">
      <w:pPr>
        <w:spacing w:after="0" w:line="240" w:lineRule="auto"/>
        <w:jc w:val="left"/>
      </w:pPr>
      <w:r>
        <w:br w:type="page"/>
      </w:r>
    </w:p>
    <w:tbl>
      <w:tblPr>
        <w:tblW w:w="14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3"/>
        <w:gridCol w:w="2693"/>
        <w:gridCol w:w="2835"/>
        <w:gridCol w:w="2268"/>
        <w:gridCol w:w="2835"/>
        <w:gridCol w:w="1976"/>
      </w:tblGrid>
      <w:tr w:rsidR="00E23746" w:rsidRPr="00574DAC" w14:paraId="56A4C3ED" w14:textId="77777777" w:rsidTr="00BF2AA6">
        <w:trPr>
          <w:trHeight w:val="409"/>
        </w:trPr>
        <w:tc>
          <w:tcPr>
            <w:tcW w:w="1413" w:type="dxa"/>
            <w:shd w:val="clear" w:color="000000" w:fill="BFBFBF"/>
            <w:vAlign w:val="center"/>
            <w:hideMark/>
          </w:tcPr>
          <w:p w14:paraId="15B3E8C0"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lastRenderedPageBreak/>
              <w:t>NIVEL</w:t>
            </w:r>
          </w:p>
        </w:tc>
        <w:tc>
          <w:tcPr>
            <w:tcW w:w="2693" w:type="dxa"/>
            <w:shd w:val="clear" w:color="000000" w:fill="BFBFBF"/>
            <w:vAlign w:val="center"/>
            <w:hideMark/>
          </w:tcPr>
          <w:p w14:paraId="31F4C50C"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ALINEACIÓN PED/PD</w:t>
            </w:r>
          </w:p>
        </w:tc>
        <w:tc>
          <w:tcPr>
            <w:tcW w:w="2835" w:type="dxa"/>
            <w:shd w:val="clear" w:color="000000" w:fill="BFBFBF"/>
            <w:vAlign w:val="center"/>
            <w:hideMark/>
          </w:tcPr>
          <w:p w14:paraId="16383926"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OBJETIVO</w:t>
            </w:r>
          </w:p>
        </w:tc>
        <w:tc>
          <w:tcPr>
            <w:tcW w:w="2268" w:type="dxa"/>
            <w:shd w:val="clear" w:color="000000" w:fill="BFBFBF"/>
            <w:vAlign w:val="center"/>
            <w:hideMark/>
          </w:tcPr>
          <w:p w14:paraId="05F52DD7"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INDICADOR</w:t>
            </w:r>
          </w:p>
        </w:tc>
        <w:tc>
          <w:tcPr>
            <w:tcW w:w="2835" w:type="dxa"/>
            <w:shd w:val="clear" w:color="000000" w:fill="BFBFBF"/>
            <w:vAlign w:val="center"/>
            <w:hideMark/>
          </w:tcPr>
          <w:p w14:paraId="29EC4C13"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MEDIOS DE VERIFICACIÓN</w:t>
            </w:r>
          </w:p>
        </w:tc>
        <w:tc>
          <w:tcPr>
            <w:tcW w:w="1976" w:type="dxa"/>
            <w:shd w:val="clear" w:color="000000" w:fill="BFBFBF"/>
            <w:vAlign w:val="center"/>
            <w:hideMark/>
          </w:tcPr>
          <w:p w14:paraId="692F4CDE"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SUPUESTO</w:t>
            </w:r>
          </w:p>
        </w:tc>
      </w:tr>
      <w:tr w:rsidR="00E23746" w:rsidRPr="00574DAC" w14:paraId="003728FA" w14:textId="77777777" w:rsidTr="00BF2AA6">
        <w:trPr>
          <w:trHeight w:val="1850"/>
        </w:trPr>
        <w:tc>
          <w:tcPr>
            <w:tcW w:w="1413" w:type="dxa"/>
            <w:shd w:val="clear" w:color="auto" w:fill="auto"/>
            <w:hideMark/>
          </w:tcPr>
          <w:p w14:paraId="09FD4ECA" w14:textId="77777777" w:rsidR="00E23746" w:rsidRPr="00574DAC" w:rsidRDefault="00E23746" w:rsidP="000B2F10">
            <w:pPr>
              <w:jc w:val="center"/>
              <w:rPr>
                <w:rFonts w:cs="Arial"/>
                <w:b/>
                <w:bCs/>
                <w:sz w:val="20"/>
                <w:szCs w:val="20"/>
              </w:rPr>
            </w:pPr>
            <w:r w:rsidRPr="00574DAC">
              <w:rPr>
                <w:rFonts w:cs="Arial"/>
                <w:b/>
                <w:bCs/>
                <w:sz w:val="20"/>
                <w:szCs w:val="20"/>
              </w:rPr>
              <w:t>Componente</w:t>
            </w:r>
          </w:p>
        </w:tc>
        <w:tc>
          <w:tcPr>
            <w:tcW w:w="2693" w:type="dxa"/>
            <w:shd w:val="clear" w:color="auto" w:fill="auto"/>
            <w:hideMark/>
          </w:tcPr>
          <w:p w14:paraId="55C4603E" w14:textId="77777777" w:rsidR="00E23746" w:rsidRPr="00574DAC" w:rsidRDefault="00E23746" w:rsidP="000B2F10">
            <w:pPr>
              <w:rPr>
                <w:rFonts w:cs="Arial"/>
                <w:sz w:val="20"/>
                <w:szCs w:val="20"/>
              </w:rPr>
            </w:pPr>
            <w:r w:rsidRPr="00574DAC">
              <w:rPr>
                <w:rFonts w:cs="Arial"/>
                <w:sz w:val="20"/>
                <w:szCs w:val="20"/>
              </w:rPr>
              <w:t>Mejorar el desempeño escolar de los alumnos de educación básica a través de la ampliación, materiales pedagógicos, didácticos y el uso eficaz de la jornada escolar</w:t>
            </w:r>
            <w:r>
              <w:rPr>
                <w:rFonts w:cs="Arial"/>
                <w:sz w:val="20"/>
                <w:szCs w:val="20"/>
              </w:rPr>
              <w:t>.</w:t>
            </w:r>
          </w:p>
        </w:tc>
        <w:tc>
          <w:tcPr>
            <w:tcW w:w="2835" w:type="dxa"/>
            <w:shd w:val="clear" w:color="auto" w:fill="auto"/>
            <w:hideMark/>
          </w:tcPr>
          <w:p w14:paraId="69AD0197" w14:textId="77777777" w:rsidR="00E23746" w:rsidRPr="00574DAC" w:rsidRDefault="00E23746" w:rsidP="000B2F10">
            <w:pPr>
              <w:rPr>
                <w:rFonts w:cs="Arial"/>
                <w:sz w:val="20"/>
                <w:szCs w:val="20"/>
              </w:rPr>
            </w:pPr>
            <w:r w:rsidRPr="00574DAC">
              <w:rPr>
                <w:rFonts w:cs="Arial"/>
                <w:sz w:val="20"/>
                <w:szCs w:val="20"/>
              </w:rPr>
              <w:t>C04 - Desempeño escolar de los alumnos de nivel Secundaria mejorado a través de la ampliación, materiales pedagógicos, didácticos y el uso eficaz de la jornada escolar.</w:t>
            </w:r>
          </w:p>
        </w:tc>
        <w:tc>
          <w:tcPr>
            <w:tcW w:w="2268" w:type="dxa"/>
            <w:shd w:val="clear" w:color="FFFFFF" w:fill="FFFFFF"/>
            <w:hideMark/>
          </w:tcPr>
          <w:p w14:paraId="2D22DA3E" w14:textId="77777777" w:rsidR="00E23746" w:rsidRPr="00574DAC" w:rsidRDefault="00E23746" w:rsidP="000B2F10">
            <w:pPr>
              <w:rPr>
                <w:rFonts w:cs="Arial"/>
                <w:sz w:val="20"/>
                <w:szCs w:val="20"/>
              </w:rPr>
            </w:pPr>
            <w:r w:rsidRPr="00574DAC">
              <w:rPr>
                <w:rFonts w:cs="Arial"/>
                <w:sz w:val="20"/>
                <w:szCs w:val="20"/>
              </w:rPr>
              <w:t>C04 - Porcentaje de alumnos de secundaria de instituciones públicas, que obtiene un promedio escolar de más de siete en el ciclo escolar.</w:t>
            </w:r>
          </w:p>
        </w:tc>
        <w:tc>
          <w:tcPr>
            <w:tcW w:w="2835" w:type="dxa"/>
            <w:shd w:val="clear" w:color="auto" w:fill="auto"/>
            <w:hideMark/>
          </w:tcPr>
          <w:p w14:paraId="2D1B54F1" w14:textId="77777777" w:rsidR="00E23746" w:rsidRPr="00574DAC" w:rsidRDefault="00E23746" w:rsidP="000B2F10">
            <w:pPr>
              <w:rPr>
                <w:rFonts w:cs="Arial"/>
                <w:sz w:val="20"/>
                <w:szCs w:val="20"/>
              </w:rPr>
            </w:pPr>
            <w:r w:rsidRPr="00574DAC">
              <w:rPr>
                <w:rFonts w:cs="Arial"/>
                <w:sz w:val="20"/>
                <w:szCs w:val="20"/>
              </w:rPr>
              <w:t>Formato estadístic</w:t>
            </w:r>
            <w:r>
              <w:rPr>
                <w:rFonts w:cs="Arial"/>
                <w:sz w:val="20"/>
                <w:szCs w:val="20"/>
              </w:rPr>
              <w:t>as</w:t>
            </w:r>
            <w:r w:rsidRPr="00574DAC">
              <w:rPr>
                <w:rFonts w:cs="Arial"/>
                <w:sz w:val="20"/>
                <w:szCs w:val="20"/>
              </w:rPr>
              <w:t xml:space="preserve"> 911, https://qroo.gob.mx/seq/medios-de-verificacion-de-la-planeacion-anual</w:t>
            </w:r>
            <w:r>
              <w:rPr>
                <w:rFonts w:cs="Arial"/>
                <w:sz w:val="20"/>
                <w:szCs w:val="20"/>
              </w:rPr>
              <w:t>.</w:t>
            </w:r>
          </w:p>
        </w:tc>
        <w:tc>
          <w:tcPr>
            <w:tcW w:w="1976" w:type="dxa"/>
            <w:shd w:val="clear" w:color="auto" w:fill="auto"/>
            <w:hideMark/>
          </w:tcPr>
          <w:p w14:paraId="0C9661EB" w14:textId="77777777" w:rsidR="00E23746" w:rsidRPr="00574DAC" w:rsidRDefault="00E23746" w:rsidP="000B2F10">
            <w:pPr>
              <w:rPr>
                <w:rFonts w:cs="Arial"/>
                <w:sz w:val="20"/>
                <w:szCs w:val="20"/>
              </w:rPr>
            </w:pPr>
            <w:r w:rsidRPr="00847837">
              <w:rPr>
                <w:rFonts w:cs="Arial"/>
                <w:sz w:val="18"/>
                <w:szCs w:val="20"/>
              </w:rPr>
              <w:t>Las figuras educativas aplican las herramientas de las estrategias didácticas.</w:t>
            </w:r>
          </w:p>
        </w:tc>
      </w:tr>
      <w:tr w:rsidR="00E23746" w:rsidRPr="00574DAC" w14:paraId="6FCF11E6" w14:textId="77777777" w:rsidTr="00BF2AA6">
        <w:trPr>
          <w:trHeight w:val="2063"/>
        </w:trPr>
        <w:tc>
          <w:tcPr>
            <w:tcW w:w="1413" w:type="dxa"/>
            <w:shd w:val="clear" w:color="auto" w:fill="auto"/>
          </w:tcPr>
          <w:p w14:paraId="5F2B9F90" w14:textId="77777777" w:rsidR="00E23746" w:rsidRPr="00574DAC" w:rsidRDefault="00E23746" w:rsidP="000B2F10">
            <w:pPr>
              <w:jc w:val="center"/>
              <w:rPr>
                <w:rFonts w:cs="Arial"/>
                <w:b/>
                <w:bCs/>
                <w:sz w:val="20"/>
                <w:szCs w:val="20"/>
              </w:rPr>
            </w:pPr>
            <w:r w:rsidRPr="00574DAC">
              <w:rPr>
                <w:rFonts w:cs="Arial"/>
                <w:b/>
                <w:bCs/>
                <w:sz w:val="20"/>
                <w:szCs w:val="20"/>
              </w:rPr>
              <w:t>Actividad</w:t>
            </w:r>
          </w:p>
        </w:tc>
        <w:tc>
          <w:tcPr>
            <w:tcW w:w="2693" w:type="dxa"/>
            <w:shd w:val="clear" w:color="auto" w:fill="auto"/>
          </w:tcPr>
          <w:p w14:paraId="27953F9E" w14:textId="77777777" w:rsidR="00E23746" w:rsidRPr="00574DAC" w:rsidRDefault="00E23746" w:rsidP="000B2F10">
            <w:pPr>
              <w:rPr>
                <w:rFonts w:cs="Arial"/>
                <w:sz w:val="20"/>
                <w:szCs w:val="20"/>
              </w:rPr>
            </w:pPr>
            <w:r>
              <w:rPr>
                <w:rFonts w:cs="Arial"/>
                <w:sz w:val="20"/>
                <w:szCs w:val="20"/>
              </w:rPr>
              <w:t>I</w:t>
            </w:r>
            <w:r w:rsidRPr="00574DAC">
              <w:rPr>
                <w:rFonts w:cs="Arial"/>
                <w:sz w:val="20"/>
                <w:szCs w:val="20"/>
              </w:rPr>
              <w:t>mpulsar estrategias para fortalecer la comprensión de lectura, escritura y pensamiento lógico matemático en escuelas de educación básica</w:t>
            </w:r>
            <w:r>
              <w:rPr>
                <w:rFonts w:cs="Arial"/>
                <w:sz w:val="20"/>
                <w:szCs w:val="20"/>
              </w:rPr>
              <w:t>.</w:t>
            </w:r>
          </w:p>
        </w:tc>
        <w:tc>
          <w:tcPr>
            <w:tcW w:w="2835" w:type="dxa"/>
            <w:shd w:val="clear" w:color="auto" w:fill="auto"/>
          </w:tcPr>
          <w:p w14:paraId="23B64C45" w14:textId="77777777" w:rsidR="00E23746" w:rsidRPr="00574DAC" w:rsidRDefault="00E23746" w:rsidP="000B2F10">
            <w:pPr>
              <w:rPr>
                <w:rFonts w:cs="Arial"/>
                <w:sz w:val="20"/>
                <w:szCs w:val="20"/>
              </w:rPr>
            </w:pPr>
            <w:r w:rsidRPr="00574DAC">
              <w:rPr>
                <w:rFonts w:cs="Arial"/>
                <w:sz w:val="20"/>
                <w:szCs w:val="20"/>
              </w:rPr>
              <w:t>C04.A01 - Implementación programas escolares de regularización para la atención de alumnos de secundarias públicas en situación de riesgo de deserción escolar</w:t>
            </w:r>
            <w:r>
              <w:rPr>
                <w:rFonts w:cs="Arial"/>
                <w:sz w:val="20"/>
                <w:szCs w:val="20"/>
              </w:rPr>
              <w:t>.</w:t>
            </w:r>
          </w:p>
        </w:tc>
        <w:tc>
          <w:tcPr>
            <w:tcW w:w="2268" w:type="dxa"/>
            <w:shd w:val="clear" w:color="FFFFFF" w:fill="FFFFFF"/>
          </w:tcPr>
          <w:p w14:paraId="2398AB90" w14:textId="77777777" w:rsidR="00E23746" w:rsidRPr="00574DAC" w:rsidRDefault="00E23746" w:rsidP="000B2F10">
            <w:pPr>
              <w:rPr>
                <w:rFonts w:cs="Arial"/>
                <w:sz w:val="20"/>
                <w:szCs w:val="20"/>
              </w:rPr>
            </w:pPr>
            <w:r w:rsidRPr="00574DAC">
              <w:rPr>
                <w:rFonts w:cs="Arial"/>
                <w:sz w:val="20"/>
                <w:szCs w:val="20"/>
              </w:rPr>
              <w:t>C04A01 - Porcentaje de alumnos de secundarias públicas que participan en programas de regularización para disminuir la deserción escolar</w:t>
            </w:r>
            <w:r>
              <w:rPr>
                <w:rFonts w:cs="Arial"/>
                <w:sz w:val="20"/>
                <w:szCs w:val="20"/>
              </w:rPr>
              <w:t>.</w:t>
            </w:r>
          </w:p>
        </w:tc>
        <w:tc>
          <w:tcPr>
            <w:tcW w:w="2835" w:type="dxa"/>
            <w:shd w:val="clear" w:color="auto" w:fill="auto"/>
          </w:tcPr>
          <w:p w14:paraId="32FA8B81" w14:textId="77777777" w:rsidR="00E23746" w:rsidRPr="00574DAC" w:rsidRDefault="00E23746" w:rsidP="000B2F10">
            <w:pPr>
              <w:rPr>
                <w:rFonts w:cs="Arial"/>
                <w:sz w:val="20"/>
                <w:szCs w:val="20"/>
              </w:rPr>
            </w:pPr>
            <w:r w:rsidRPr="00574DAC">
              <w:rPr>
                <w:rFonts w:cs="Arial"/>
                <w:sz w:val="20"/>
                <w:szCs w:val="20"/>
              </w:rPr>
              <w:t>Control escolar, dirección de educación secundaria, semestral, https://qroo.gob.mx/seq/medios-de-verificacion-de-la-planeacion-anual</w:t>
            </w:r>
            <w:r>
              <w:rPr>
                <w:rFonts w:cs="Arial"/>
                <w:sz w:val="20"/>
                <w:szCs w:val="20"/>
              </w:rPr>
              <w:t>.</w:t>
            </w:r>
          </w:p>
        </w:tc>
        <w:tc>
          <w:tcPr>
            <w:tcW w:w="1976" w:type="dxa"/>
            <w:shd w:val="clear" w:color="auto" w:fill="auto"/>
          </w:tcPr>
          <w:p w14:paraId="50C6A5AF" w14:textId="77777777" w:rsidR="00E23746" w:rsidRPr="00574DAC" w:rsidRDefault="00E23746" w:rsidP="000B2F10">
            <w:pPr>
              <w:rPr>
                <w:rFonts w:cs="Arial"/>
                <w:sz w:val="20"/>
                <w:szCs w:val="20"/>
              </w:rPr>
            </w:pPr>
            <w:r w:rsidRPr="00847837">
              <w:rPr>
                <w:rFonts w:cs="Arial"/>
                <w:sz w:val="18"/>
                <w:szCs w:val="20"/>
              </w:rPr>
              <w:t>Los alumnos en situación de riesgo de deserción escolar de secundarias públicas participan de manera activa en los programas escolares de regularización.</w:t>
            </w:r>
          </w:p>
        </w:tc>
      </w:tr>
      <w:tr w:rsidR="00E23746" w:rsidRPr="00847837" w14:paraId="75BE134F" w14:textId="77777777" w:rsidTr="00BF2AA6">
        <w:trPr>
          <w:trHeight w:val="834"/>
        </w:trPr>
        <w:tc>
          <w:tcPr>
            <w:tcW w:w="1413" w:type="dxa"/>
            <w:shd w:val="clear" w:color="auto" w:fill="auto"/>
          </w:tcPr>
          <w:p w14:paraId="75EE90E6" w14:textId="77777777" w:rsidR="00E23746" w:rsidRPr="00574DAC" w:rsidRDefault="00E23746" w:rsidP="000B2F10">
            <w:pPr>
              <w:jc w:val="center"/>
              <w:rPr>
                <w:rFonts w:cs="Arial"/>
                <w:b/>
                <w:bCs/>
                <w:sz w:val="20"/>
                <w:szCs w:val="20"/>
              </w:rPr>
            </w:pPr>
            <w:r w:rsidRPr="00574DAC">
              <w:rPr>
                <w:rFonts w:cs="Arial"/>
                <w:b/>
                <w:bCs/>
                <w:sz w:val="20"/>
                <w:szCs w:val="20"/>
              </w:rPr>
              <w:t>Actividad</w:t>
            </w:r>
          </w:p>
        </w:tc>
        <w:tc>
          <w:tcPr>
            <w:tcW w:w="2693" w:type="dxa"/>
            <w:shd w:val="clear" w:color="auto" w:fill="auto"/>
          </w:tcPr>
          <w:p w14:paraId="5C39BA91" w14:textId="77777777" w:rsidR="00E23746" w:rsidRPr="00574DAC" w:rsidRDefault="00E23746" w:rsidP="000B2F10">
            <w:pPr>
              <w:rPr>
                <w:rFonts w:cs="Arial"/>
                <w:sz w:val="20"/>
                <w:szCs w:val="20"/>
              </w:rPr>
            </w:pPr>
            <w:r w:rsidRPr="00574DAC">
              <w:rPr>
                <w:rFonts w:cs="Arial"/>
                <w:sz w:val="20"/>
                <w:szCs w:val="20"/>
              </w:rPr>
              <w:t>Mejorar el desempeño escolar de los alumnos de educación básica a través de la ampliación, materiales pedagógicos, didácticos y el uso eficaz de la jornada escolar</w:t>
            </w:r>
            <w:r>
              <w:rPr>
                <w:rFonts w:cs="Arial"/>
                <w:sz w:val="20"/>
                <w:szCs w:val="20"/>
              </w:rPr>
              <w:t>.</w:t>
            </w:r>
          </w:p>
        </w:tc>
        <w:tc>
          <w:tcPr>
            <w:tcW w:w="2835" w:type="dxa"/>
            <w:shd w:val="clear" w:color="auto" w:fill="auto"/>
          </w:tcPr>
          <w:p w14:paraId="2DB745FC" w14:textId="77777777" w:rsidR="00E23746" w:rsidRPr="00574DAC" w:rsidRDefault="00E23746" w:rsidP="000B2F10">
            <w:pPr>
              <w:rPr>
                <w:rFonts w:cs="Arial"/>
                <w:sz w:val="20"/>
                <w:szCs w:val="20"/>
              </w:rPr>
            </w:pPr>
            <w:r w:rsidRPr="00574DAC">
              <w:rPr>
                <w:rFonts w:cs="Arial"/>
                <w:sz w:val="20"/>
                <w:szCs w:val="20"/>
              </w:rPr>
              <w:t>C04.A02 - Integración de informes de seguimiento y acompañamiento a los Consejos Técnicos de Zona y Escolares en escuelas secundarias públicas.</w:t>
            </w:r>
          </w:p>
        </w:tc>
        <w:tc>
          <w:tcPr>
            <w:tcW w:w="2268" w:type="dxa"/>
            <w:shd w:val="clear" w:color="FFFFFF" w:fill="FFFFFF"/>
          </w:tcPr>
          <w:p w14:paraId="6B04B14E" w14:textId="77777777" w:rsidR="00E23746" w:rsidRPr="00574DAC" w:rsidRDefault="00E23746" w:rsidP="000B2F10">
            <w:pPr>
              <w:rPr>
                <w:rFonts w:cs="Arial"/>
                <w:sz w:val="20"/>
                <w:szCs w:val="20"/>
              </w:rPr>
            </w:pPr>
            <w:r w:rsidRPr="00574DAC">
              <w:rPr>
                <w:rFonts w:cs="Arial"/>
                <w:sz w:val="20"/>
                <w:szCs w:val="20"/>
              </w:rPr>
              <w:t>C04A02 - Porcentaje de informes de los Consejos Técnicos de Zona y los Consejos Técnicos Escolares.</w:t>
            </w:r>
          </w:p>
        </w:tc>
        <w:tc>
          <w:tcPr>
            <w:tcW w:w="2835" w:type="dxa"/>
            <w:shd w:val="clear" w:color="auto" w:fill="auto"/>
          </w:tcPr>
          <w:p w14:paraId="2E12F898" w14:textId="77777777" w:rsidR="00E23746" w:rsidRPr="00574DAC" w:rsidRDefault="00E23746" w:rsidP="000B2F10">
            <w:pPr>
              <w:rPr>
                <w:rFonts w:cs="Arial"/>
                <w:sz w:val="20"/>
                <w:szCs w:val="20"/>
              </w:rPr>
            </w:pPr>
            <w:r w:rsidRPr="00574DAC">
              <w:rPr>
                <w:rFonts w:cs="Arial"/>
                <w:sz w:val="20"/>
                <w:szCs w:val="20"/>
              </w:rPr>
              <w:t>Integración de Informes de seguimiento y acompañamiento de los Consejos Técnicos de Zona y los Consejos Técnicos Escolares. https://qroo.gob.mx/seq/medios-de-verificacion-de-la-planeacion-anual</w:t>
            </w:r>
            <w:r>
              <w:rPr>
                <w:rFonts w:cs="Arial"/>
                <w:sz w:val="20"/>
                <w:szCs w:val="20"/>
              </w:rPr>
              <w:t>.</w:t>
            </w:r>
          </w:p>
        </w:tc>
        <w:tc>
          <w:tcPr>
            <w:tcW w:w="1976" w:type="dxa"/>
            <w:shd w:val="clear" w:color="auto" w:fill="auto"/>
          </w:tcPr>
          <w:p w14:paraId="28D7B16B" w14:textId="77777777" w:rsidR="00E23746" w:rsidRPr="00847837" w:rsidRDefault="00E23746" w:rsidP="000B2F10">
            <w:pPr>
              <w:rPr>
                <w:rFonts w:cs="Arial"/>
                <w:sz w:val="16"/>
                <w:szCs w:val="20"/>
              </w:rPr>
            </w:pPr>
            <w:r w:rsidRPr="00847837">
              <w:rPr>
                <w:rFonts w:cs="Arial"/>
                <w:sz w:val="18"/>
                <w:szCs w:val="20"/>
              </w:rPr>
              <w:t>Las figuras educativas asisten, participan y cumplen activamente en los acuerdos tomados en los Consejos Técnicos de Zona y los Consejos Técnicos Escolares y, evalúan permanentemente su Programa Escolar de Mejora Continua.</w:t>
            </w:r>
          </w:p>
        </w:tc>
      </w:tr>
    </w:tbl>
    <w:p w14:paraId="0F7281FC" w14:textId="77777777" w:rsidR="00A01C9D" w:rsidRDefault="00A01C9D">
      <w:pPr>
        <w:spacing w:after="0" w:line="240" w:lineRule="auto"/>
        <w:jc w:val="left"/>
      </w:pPr>
      <w:r>
        <w:br w:type="page"/>
      </w:r>
    </w:p>
    <w:tbl>
      <w:tblPr>
        <w:tblW w:w="14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3"/>
        <w:gridCol w:w="2693"/>
        <w:gridCol w:w="2835"/>
        <w:gridCol w:w="2268"/>
        <w:gridCol w:w="2835"/>
        <w:gridCol w:w="1976"/>
      </w:tblGrid>
      <w:tr w:rsidR="00E23746" w:rsidRPr="00574DAC" w14:paraId="5C748263" w14:textId="77777777" w:rsidTr="00BF2AA6">
        <w:trPr>
          <w:trHeight w:val="679"/>
        </w:trPr>
        <w:tc>
          <w:tcPr>
            <w:tcW w:w="1413" w:type="dxa"/>
            <w:shd w:val="clear" w:color="000000" w:fill="BFBFBF"/>
            <w:vAlign w:val="center"/>
            <w:hideMark/>
          </w:tcPr>
          <w:p w14:paraId="17F7BBCE"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lastRenderedPageBreak/>
              <w:t>NIVEL</w:t>
            </w:r>
          </w:p>
        </w:tc>
        <w:tc>
          <w:tcPr>
            <w:tcW w:w="2693" w:type="dxa"/>
            <w:shd w:val="clear" w:color="000000" w:fill="BFBFBF"/>
            <w:vAlign w:val="center"/>
            <w:hideMark/>
          </w:tcPr>
          <w:p w14:paraId="15EC9C4A"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ALINEACIÓN PED/PD</w:t>
            </w:r>
          </w:p>
        </w:tc>
        <w:tc>
          <w:tcPr>
            <w:tcW w:w="2835" w:type="dxa"/>
            <w:shd w:val="clear" w:color="000000" w:fill="BFBFBF"/>
            <w:vAlign w:val="center"/>
            <w:hideMark/>
          </w:tcPr>
          <w:p w14:paraId="31347D2E"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OBJETIVO</w:t>
            </w:r>
          </w:p>
        </w:tc>
        <w:tc>
          <w:tcPr>
            <w:tcW w:w="2268" w:type="dxa"/>
            <w:shd w:val="clear" w:color="000000" w:fill="BFBFBF"/>
            <w:vAlign w:val="center"/>
            <w:hideMark/>
          </w:tcPr>
          <w:p w14:paraId="45B30D53"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INDICADOR</w:t>
            </w:r>
          </w:p>
        </w:tc>
        <w:tc>
          <w:tcPr>
            <w:tcW w:w="2835" w:type="dxa"/>
            <w:shd w:val="clear" w:color="000000" w:fill="BFBFBF"/>
            <w:vAlign w:val="center"/>
            <w:hideMark/>
          </w:tcPr>
          <w:p w14:paraId="01130B2A"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MEDIOS DE VERIFICACIÓN</w:t>
            </w:r>
          </w:p>
        </w:tc>
        <w:tc>
          <w:tcPr>
            <w:tcW w:w="1976" w:type="dxa"/>
            <w:shd w:val="clear" w:color="000000" w:fill="BFBFBF"/>
            <w:vAlign w:val="center"/>
            <w:hideMark/>
          </w:tcPr>
          <w:p w14:paraId="529FEDD9"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SUPUESTO</w:t>
            </w:r>
          </w:p>
        </w:tc>
      </w:tr>
      <w:tr w:rsidR="00E23746" w:rsidRPr="00574DAC" w14:paraId="46355985" w14:textId="77777777" w:rsidTr="00BF2AA6">
        <w:trPr>
          <w:trHeight w:val="1702"/>
        </w:trPr>
        <w:tc>
          <w:tcPr>
            <w:tcW w:w="1413" w:type="dxa"/>
            <w:shd w:val="clear" w:color="auto" w:fill="auto"/>
          </w:tcPr>
          <w:p w14:paraId="7CBAEC20" w14:textId="77777777" w:rsidR="00E23746" w:rsidRPr="00574DAC" w:rsidRDefault="00E23746" w:rsidP="000B2F10">
            <w:pPr>
              <w:jc w:val="center"/>
              <w:rPr>
                <w:rFonts w:cs="Arial"/>
                <w:b/>
                <w:bCs/>
                <w:sz w:val="20"/>
                <w:szCs w:val="20"/>
              </w:rPr>
            </w:pPr>
            <w:r w:rsidRPr="00574DAC">
              <w:rPr>
                <w:rFonts w:cs="Arial"/>
                <w:b/>
                <w:bCs/>
                <w:sz w:val="20"/>
                <w:szCs w:val="20"/>
              </w:rPr>
              <w:t>Actividad</w:t>
            </w:r>
          </w:p>
        </w:tc>
        <w:tc>
          <w:tcPr>
            <w:tcW w:w="2693" w:type="dxa"/>
            <w:shd w:val="clear" w:color="auto" w:fill="auto"/>
          </w:tcPr>
          <w:p w14:paraId="2A017180" w14:textId="77777777" w:rsidR="00E23746" w:rsidRPr="00574DAC" w:rsidRDefault="00E23746" w:rsidP="000B2F10">
            <w:pPr>
              <w:rPr>
                <w:rFonts w:cs="Arial"/>
                <w:sz w:val="20"/>
                <w:szCs w:val="20"/>
              </w:rPr>
            </w:pPr>
            <w:r w:rsidRPr="00574DAC">
              <w:rPr>
                <w:rFonts w:cs="Arial"/>
                <w:sz w:val="20"/>
                <w:szCs w:val="20"/>
              </w:rPr>
              <w:t>Fortalecer el liderazgo académico de figuras directivas y docentes para favorecer los aprendizajes significativos entre los estudiantes de Educación Básica</w:t>
            </w:r>
            <w:r>
              <w:rPr>
                <w:rFonts w:cs="Arial"/>
                <w:sz w:val="20"/>
                <w:szCs w:val="20"/>
              </w:rPr>
              <w:t>.</w:t>
            </w:r>
          </w:p>
        </w:tc>
        <w:tc>
          <w:tcPr>
            <w:tcW w:w="2835" w:type="dxa"/>
            <w:shd w:val="clear" w:color="auto" w:fill="auto"/>
          </w:tcPr>
          <w:p w14:paraId="146C084E" w14:textId="77777777" w:rsidR="00E23746" w:rsidRPr="00574DAC" w:rsidRDefault="00E23746" w:rsidP="000B2F10">
            <w:pPr>
              <w:rPr>
                <w:rFonts w:cs="Arial"/>
                <w:sz w:val="20"/>
                <w:szCs w:val="20"/>
              </w:rPr>
            </w:pPr>
            <w:r w:rsidRPr="00574DAC">
              <w:rPr>
                <w:rFonts w:cs="Arial"/>
                <w:sz w:val="20"/>
                <w:szCs w:val="20"/>
              </w:rPr>
              <w:t>C04.A03 - Coordinación las reuniones de seguimiento a las acciones de la Mesa Técnica Estatal en Educación Secundaria.</w:t>
            </w:r>
          </w:p>
        </w:tc>
        <w:tc>
          <w:tcPr>
            <w:tcW w:w="2268" w:type="dxa"/>
            <w:shd w:val="clear" w:color="FFFFFF" w:fill="FFFFFF"/>
          </w:tcPr>
          <w:p w14:paraId="0F8752C9" w14:textId="77777777" w:rsidR="00E23746" w:rsidRPr="00574DAC" w:rsidRDefault="00E23746" w:rsidP="000B2F10">
            <w:pPr>
              <w:rPr>
                <w:rFonts w:cs="Arial"/>
                <w:sz w:val="20"/>
                <w:szCs w:val="20"/>
              </w:rPr>
            </w:pPr>
            <w:r w:rsidRPr="00574DAC">
              <w:rPr>
                <w:rFonts w:cs="Arial"/>
                <w:sz w:val="20"/>
                <w:szCs w:val="20"/>
              </w:rPr>
              <w:t>C04A03 - Porcentaje de reuniones de seguimiento a las acciones de la Mesa Técnica Estatal.</w:t>
            </w:r>
          </w:p>
        </w:tc>
        <w:tc>
          <w:tcPr>
            <w:tcW w:w="2835" w:type="dxa"/>
            <w:shd w:val="clear" w:color="auto" w:fill="auto"/>
          </w:tcPr>
          <w:p w14:paraId="557F9035" w14:textId="77777777" w:rsidR="00E23746" w:rsidRPr="00574DAC" w:rsidRDefault="00E23746" w:rsidP="000B2F10">
            <w:pPr>
              <w:rPr>
                <w:rFonts w:cs="Arial"/>
                <w:sz w:val="20"/>
                <w:szCs w:val="20"/>
              </w:rPr>
            </w:pPr>
            <w:r w:rsidRPr="00574DAC">
              <w:rPr>
                <w:rFonts w:cs="Arial"/>
                <w:sz w:val="20"/>
                <w:szCs w:val="20"/>
              </w:rPr>
              <w:t>Informe de reunión realizada Mesa Técnica en Educación Secundaria (minuta de acuerdos.) Bimestral. https://qroo.gob.mx/seq/medios-de-verificacion-de-la-planeacion-anual</w:t>
            </w:r>
            <w:r>
              <w:rPr>
                <w:rFonts w:cs="Arial"/>
                <w:sz w:val="20"/>
                <w:szCs w:val="20"/>
              </w:rPr>
              <w:t>.</w:t>
            </w:r>
          </w:p>
        </w:tc>
        <w:tc>
          <w:tcPr>
            <w:tcW w:w="1976" w:type="dxa"/>
            <w:shd w:val="clear" w:color="auto" w:fill="auto"/>
          </w:tcPr>
          <w:p w14:paraId="19CC1B05" w14:textId="77777777" w:rsidR="00E23746" w:rsidRPr="00574DAC" w:rsidRDefault="00E23746" w:rsidP="000B2F10">
            <w:pPr>
              <w:rPr>
                <w:rFonts w:cs="Arial"/>
                <w:sz w:val="20"/>
                <w:szCs w:val="20"/>
              </w:rPr>
            </w:pPr>
            <w:r w:rsidRPr="00574DAC">
              <w:rPr>
                <w:rFonts w:cs="Arial"/>
                <w:sz w:val="20"/>
                <w:szCs w:val="20"/>
              </w:rPr>
              <w:t>Los integrantes de la mesa técnica se reúnen y toman acuerdos.</w:t>
            </w:r>
          </w:p>
        </w:tc>
      </w:tr>
      <w:tr w:rsidR="00E23746" w:rsidRPr="00574DAC" w14:paraId="0785929D" w14:textId="77777777" w:rsidTr="00BF2AA6">
        <w:trPr>
          <w:trHeight w:val="2412"/>
        </w:trPr>
        <w:tc>
          <w:tcPr>
            <w:tcW w:w="1413" w:type="dxa"/>
            <w:shd w:val="clear" w:color="auto" w:fill="auto"/>
          </w:tcPr>
          <w:p w14:paraId="07B820D5" w14:textId="77777777" w:rsidR="00E23746" w:rsidRPr="00574DAC" w:rsidRDefault="00E23746" w:rsidP="000B2F10">
            <w:pPr>
              <w:jc w:val="center"/>
              <w:rPr>
                <w:rFonts w:cs="Arial"/>
                <w:b/>
                <w:bCs/>
                <w:sz w:val="20"/>
                <w:szCs w:val="20"/>
              </w:rPr>
            </w:pPr>
            <w:r w:rsidRPr="00574DAC">
              <w:rPr>
                <w:rFonts w:cs="Arial"/>
                <w:b/>
                <w:bCs/>
                <w:sz w:val="20"/>
                <w:szCs w:val="20"/>
              </w:rPr>
              <w:t>Actividad</w:t>
            </w:r>
          </w:p>
        </w:tc>
        <w:tc>
          <w:tcPr>
            <w:tcW w:w="2693" w:type="dxa"/>
            <w:shd w:val="clear" w:color="auto" w:fill="auto"/>
          </w:tcPr>
          <w:p w14:paraId="3DD032DE" w14:textId="77777777" w:rsidR="00E23746" w:rsidRPr="008E722B" w:rsidRDefault="00E23746" w:rsidP="000B2F10">
            <w:pPr>
              <w:rPr>
                <w:rFonts w:cs="Arial"/>
                <w:sz w:val="18"/>
                <w:szCs w:val="20"/>
              </w:rPr>
            </w:pPr>
            <w:r w:rsidRPr="008E722B">
              <w:rPr>
                <w:rFonts w:cs="Arial"/>
                <w:sz w:val="18"/>
                <w:szCs w:val="20"/>
              </w:rPr>
              <w:t>Fortalecer la formación integral de los alumnos del nivel de secundaria incorporando los conocimientos, habilidades y actitudes a través de la implementación de la asignatura de tecnología en apego a las disposiciones y normativa de la Nueva Escuela Mexicana.</w:t>
            </w:r>
          </w:p>
        </w:tc>
        <w:tc>
          <w:tcPr>
            <w:tcW w:w="2835" w:type="dxa"/>
            <w:shd w:val="clear" w:color="auto" w:fill="auto"/>
          </w:tcPr>
          <w:p w14:paraId="773C3DEB" w14:textId="77777777" w:rsidR="00E23746" w:rsidRPr="008E722B" w:rsidRDefault="00E23746" w:rsidP="000B2F10">
            <w:pPr>
              <w:rPr>
                <w:rFonts w:cs="Arial"/>
                <w:sz w:val="18"/>
                <w:szCs w:val="20"/>
              </w:rPr>
            </w:pPr>
            <w:r w:rsidRPr="008E722B">
              <w:rPr>
                <w:rFonts w:cs="Arial"/>
                <w:sz w:val="18"/>
                <w:szCs w:val="20"/>
              </w:rPr>
              <w:t>C04.A04- Formación de los alumnos del nivel de secundaria en la asignatura de tecnología en apego a las disposiciones y normativa de la Nueva Escuela Mexicana.</w:t>
            </w:r>
          </w:p>
        </w:tc>
        <w:tc>
          <w:tcPr>
            <w:tcW w:w="2268" w:type="dxa"/>
            <w:shd w:val="clear" w:color="FFFFFF" w:fill="FFFFFF"/>
          </w:tcPr>
          <w:p w14:paraId="5D206751" w14:textId="77777777" w:rsidR="00E23746" w:rsidRPr="008E722B" w:rsidRDefault="00E23746" w:rsidP="000B2F10">
            <w:pPr>
              <w:rPr>
                <w:rFonts w:cs="Arial"/>
                <w:sz w:val="18"/>
                <w:szCs w:val="20"/>
              </w:rPr>
            </w:pPr>
            <w:r w:rsidRPr="008E722B">
              <w:rPr>
                <w:rFonts w:cs="Arial"/>
                <w:sz w:val="18"/>
                <w:szCs w:val="20"/>
              </w:rPr>
              <w:t>C04A04 - Porcentaje de escuelas que implementan la asignatura de tecnología en apego a las disposiciones y normativa de la Nueva Escuela Mexicana.</w:t>
            </w:r>
          </w:p>
        </w:tc>
        <w:tc>
          <w:tcPr>
            <w:tcW w:w="2835" w:type="dxa"/>
            <w:shd w:val="clear" w:color="auto" w:fill="auto"/>
          </w:tcPr>
          <w:p w14:paraId="3F286D83" w14:textId="77777777" w:rsidR="00E23746" w:rsidRPr="008E722B" w:rsidRDefault="00E23746" w:rsidP="000B2F10">
            <w:pPr>
              <w:rPr>
                <w:rFonts w:cs="Arial"/>
                <w:sz w:val="18"/>
                <w:szCs w:val="20"/>
              </w:rPr>
            </w:pPr>
            <w:r w:rsidRPr="008E722B">
              <w:rPr>
                <w:rFonts w:cs="Arial"/>
                <w:sz w:val="18"/>
                <w:szCs w:val="20"/>
              </w:rPr>
              <w:t>Informa elaborado por el área correspondiente, Dirección de Secundarias, SEQ, https://qroo.gob.mx/seq/medios-de-verificacion-de-la-planeacion-anual.</w:t>
            </w:r>
          </w:p>
        </w:tc>
        <w:tc>
          <w:tcPr>
            <w:tcW w:w="1976" w:type="dxa"/>
            <w:shd w:val="clear" w:color="auto" w:fill="auto"/>
          </w:tcPr>
          <w:p w14:paraId="0CFE0153" w14:textId="77777777" w:rsidR="00E23746" w:rsidRPr="008E722B" w:rsidRDefault="00E23746" w:rsidP="000B2F10">
            <w:pPr>
              <w:rPr>
                <w:rFonts w:cs="Arial"/>
                <w:sz w:val="18"/>
                <w:szCs w:val="20"/>
              </w:rPr>
            </w:pPr>
            <w:r w:rsidRPr="008E722B">
              <w:rPr>
                <w:rFonts w:cs="Arial"/>
                <w:sz w:val="18"/>
                <w:szCs w:val="20"/>
              </w:rPr>
              <w:t>Los alumnos fortalecen su formación integral con la asignatura de tecnologías.</w:t>
            </w:r>
          </w:p>
        </w:tc>
      </w:tr>
      <w:tr w:rsidR="00E23746" w:rsidRPr="00574DAC" w14:paraId="110DF10D" w14:textId="77777777" w:rsidTr="00BF2AA6">
        <w:trPr>
          <w:trHeight w:val="2412"/>
        </w:trPr>
        <w:tc>
          <w:tcPr>
            <w:tcW w:w="1413" w:type="dxa"/>
            <w:shd w:val="clear" w:color="auto" w:fill="auto"/>
          </w:tcPr>
          <w:p w14:paraId="2A565320" w14:textId="77777777" w:rsidR="00E23746" w:rsidRPr="00574DAC" w:rsidRDefault="00E23746" w:rsidP="000B2F10">
            <w:pPr>
              <w:jc w:val="center"/>
              <w:rPr>
                <w:rFonts w:cs="Arial"/>
                <w:b/>
                <w:bCs/>
                <w:sz w:val="20"/>
                <w:szCs w:val="20"/>
              </w:rPr>
            </w:pPr>
            <w:r w:rsidRPr="00574DAC">
              <w:rPr>
                <w:rFonts w:cs="Arial"/>
                <w:b/>
                <w:bCs/>
                <w:sz w:val="20"/>
                <w:szCs w:val="20"/>
              </w:rPr>
              <w:t>Componente</w:t>
            </w:r>
          </w:p>
        </w:tc>
        <w:tc>
          <w:tcPr>
            <w:tcW w:w="2693" w:type="dxa"/>
            <w:shd w:val="clear" w:color="auto" w:fill="auto"/>
          </w:tcPr>
          <w:p w14:paraId="4CBFAE0B" w14:textId="77777777" w:rsidR="00E23746" w:rsidRPr="00574DAC" w:rsidRDefault="00E23746" w:rsidP="000B2F10">
            <w:pPr>
              <w:rPr>
                <w:rFonts w:cs="Arial"/>
                <w:sz w:val="20"/>
                <w:szCs w:val="20"/>
              </w:rPr>
            </w:pPr>
            <w:r w:rsidRPr="00574DAC">
              <w:rPr>
                <w:rFonts w:cs="Arial"/>
                <w:sz w:val="20"/>
                <w:szCs w:val="20"/>
              </w:rPr>
              <w:t>Impulsar una estrategia de colaboración inter institucional mediante acciones de educación física, a fin de promover estilos de vida saludables en la comunidad escolar</w:t>
            </w:r>
            <w:r>
              <w:rPr>
                <w:rFonts w:cs="Arial"/>
                <w:sz w:val="20"/>
                <w:szCs w:val="20"/>
              </w:rPr>
              <w:t>.</w:t>
            </w:r>
          </w:p>
        </w:tc>
        <w:tc>
          <w:tcPr>
            <w:tcW w:w="2835" w:type="dxa"/>
            <w:shd w:val="clear" w:color="auto" w:fill="auto"/>
          </w:tcPr>
          <w:p w14:paraId="7084B768" w14:textId="77777777" w:rsidR="00E23746" w:rsidRPr="00574DAC" w:rsidRDefault="00E23746" w:rsidP="000B2F10">
            <w:pPr>
              <w:rPr>
                <w:rFonts w:cs="Arial"/>
                <w:sz w:val="20"/>
                <w:szCs w:val="20"/>
              </w:rPr>
            </w:pPr>
            <w:r w:rsidRPr="00574DAC">
              <w:rPr>
                <w:rFonts w:cs="Arial"/>
                <w:sz w:val="20"/>
                <w:szCs w:val="20"/>
              </w:rPr>
              <w:t>C05 - Estrategia de colaboración interinstitucional de educación física, para promover estilos de vida saludables, control de sobre peso, diabetes en la comunidad escolar implementada.</w:t>
            </w:r>
          </w:p>
        </w:tc>
        <w:tc>
          <w:tcPr>
            <w:tcW w:w="2268" w:type="dxa"/>
            <w:shd w:val="clear" w:color="FFFFFF" w:fill="FFFFFF"/>
          </w:tcPr>
          <w:p w14:paraId="2E7D01B3" w14:textId="77777777" w:rsidR="00E23746" w:rsidRPr="00574DAC" w:rsidRDefault="00E23746" w:rsidP="000B2F10">
            <w:pPr>
              <w:rPr>
                <w:rFonts w:cs="Arial"/>
                <w:sz w:val="20"/>
                <w:szCs w:val="20"/>
              </w:rPr>
            </w:pPr>
            <w:r w:rsidRPr="00574DAC">
              <w:rPr>
                <w:rFonts w:cs="Arial"/>
                <w:sz w:val="20"/>
                <w:szCs w:val="20"/>
              </w:rPr>
              <w:t>C05 - Porcentaje de alumnado de los niveles de preescolar y primaria de escuelas públicas en el estado atendidos.</w:t>
            </w:r>
          </w:p>
        </w:tc>
        <w:tc>
          <w:tcPr>
            <w:tcW w:w="2835" w:type="dxa"/>
            <w:shd w:val="clear" w:color="auto" w:fill="auto"/>
          </w:tcPr>
          <w:p w14:paraId="0CB6FFAE" w14:textId="77777777" w:rsidR="00E23746" w:rsidRPr="00574DAC" w:rsidRDefault="00E23746" w:rsidP="000B2F10">
            <w:pPr>
              <w:rPr>
                <w:rFonts w:cs="Arial"/>
                <w:sz w:val="20"/>
                <w:szCs w:val="20"/>
              </w:rPr>
            </w:pPr>
            <w:r w:rsidRPr="00574DAC">
              <w:rPr>
                <w:rFonts w:cs="Arial"/>
                <w:sz w:val="20"/>
                <w:szCs w:val="20"/>
              </w:rPr>
              <w:t>Estadísticas continuas Formato 911, SEQ, Anual, https://qroo.gob.mx/seq/medios-de-verificacion-de-la-planeacion-anual</w:t>
            </w:r>
            <w:r>
              <w:rPr>
                <w:rFonts w:cs="Arial"/>
                <w:sz w:val="20"/>
                <w:szCs w:val="20"/>
              </w:rPr>
              <w:t>.</w:t>
            </w:r>
          </w:p>
        </w:tc>
        <w:tc>
          <w:tcPr>
            <w:tcW w:w="1976" w:type="dxa"/>
            <w:shd w:val="clear" w:color="auto" w:fill="auto"/>
          </w:tcPr>
          <w:p w14:paraId="637B6CE8" w14:textId="77777777" w:rsidR="00E23746" w:rsidRPr="00574DAC" w:rsidRDefault="00E23746" w:rsidP="000B2F10">
            <w:pPr>
              <w:rPr>
                <w:rFonts w:cs="Arial"/>
                <w:sz w:val="20"/>
                <w:szCs w:val="20"/>
              </w:rPr>
            </w:pPr>
            <w:r w:rsidRPr="00574DAC">
              <w:rPr>
                <w:rFonts w:cs="Arial"/>
                <w:sz w:val="20"/>
                <w:szCs w:val="20"/>
              </w:rPr>
              <w:t>Los alumnos participan activamente en las actividades de Educación Física.</w:t>
            </w:r>
          </w:p>
        </w:tc>
      </w:tr>
    </w:tbl>
    <w:p w14:paraId="3546068C" w14:textId="77777777" w:rsidR="00A01C9D" w:rsidRDefault="00A01C9D">
      <w:pPr>
        <w:spacing w:after="0" w:line="240" w:lineRule="auto"/>
        <w:jc w:val="left"/>
      </w:pPr>
      <w:r>
        <w:br w:type="page"/>
      </w:r>
    </w:p>
    <w:tbl>
      <w:tblPr>
        <w:tblW w:w="14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3"/>
        <w:gridCol w:w="2693"/>
        <w:gridCol w:w="2835"/>
        <w:gridCol w:w="2268"/>
        <w:gridCol w:w="2835"/>
        <w:gridCol w:w="1976"/>
      </w:tblGrid>
      <w:tr w:rsidR="00E23746" w:rsidRPr="00574DAC" w14:paraId="459F557E" w14:textId="77777777" w:rsidTr="00BF2AA6">
        <w:trPr>
          <w:trHeight w:val="679"/>
        </w:trPr>
        <w:tc>
          <w:tcPr>
            <w:tcW w:w="1413" w:type="dxa"/>
            <w:shd w:val="clear" w:color="000000" w:fill="BFBFBF"/>
            <w:vAlign w:val="center"/>
            <w:hideMark/>
          </w:tcPr>
          <w:p w14:paraId="5EE5415C"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lastRenderedPageBreak/>
              <w:t>NIVEL</w:t>
            </w:r>
          </w:p>
        </w:tc>
        <w:tc>
          <w:tcPr>
            <w:tcW w:w="2693" w:type="dxa"/>
            <w:shd w:val="clear" w:color="000000" w:fill="BFBFBF"/>
            <w:vAlign w:val="center"/>
            <w:hideMark/>
          </w:tcPr>
          <w:p w14:paraId="1C0944C2"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ALINEACIÓN PED/PD</w:t>
            </w:r>
          </w:p>
        </w:tc>
        <w:tc>
          <w:tcPr>
            <w:tcW w:w="2835" w:type="dxa"/>
            <w:shd w:val="clear" w:color="000000" w:fill="BFBFBF"/>
            <w:vAlign w:val="center"/>
            <w:hideMark/>
          </w:tcPr>
          <w:p w14:paraId="2A9F9441"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OBJETIVO</w:t>
            </w:r>
          </w:p>
        </w:tc>
        <w:tc>
          <w:tcPr>
            <w:tcW w:w="2268" w:type="dxa"/>
            <w:shd w:val="clear" w:color="000000" w:fill="BFBFBF"/>
            <w:vAlign w:val="center"/>
            <w:hideMark/>
          </w:tcPr>
          <w:p w14:paraId="470749EB"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INDICADOR</w:t>
            </w:r>
          </w:p>
        </w:tc>
        <w:tc>
          <w:tcPr>
            <w:tcW w:w="2835" w:type="dxa"/>
            <w:shd w:val="clear" w:color="000000" w:fill="BFBFBF"/>
            <w:vAlign w:val="center"/>
            <w:hideMark/>
          </w:tcPr>
          <w:p w14:paraId="7DABA112"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MEDIOS DE VERIFICACIÓN</w:t>
            </w:r>
          </w:p>
        </w:tc>
        <w:tc>
          <w:tcPr>
            <w:tcW w:w="1976" w:type="dxa"/>
            <w:shd w:val="clear" w:color="000000" w:fill="BFBFBF"/>
            <w:vAlign w:val="center"/>
            <w:hideMark/>
          </w:tcPr>
          <w:p w14:paraId="3C4F348A"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SUPUESTO</w:t>
            </w:r>
          </w:p>
        </w:tc>
      </w:tr>
      <w:tr w:rsidR="00E23746" w:rsidRPr="00574DAC" w14:paraId="29773AE7" w14:textId="77777777" w:rsidTr="00BF2AA6">
        <w:trPr>
          <w:trHeight w:val="692"/>
        </w:trPr>
        <w:tc>
          <w:tcPr>
            <w:tcW w:w="1413" w:type="dxa"/>
            <w:shd w:val="clear" w:color="auto" w:fill="auto"/>
          </w:tcPr>
          <w:p w14:paraId="0C9FA7EE" w14:textId="77777777" w:rsidR="00E23746" w:rsidRPr="00574DAC" w:rsidRDefault="00E23746" w:rsidP="000B2F10">
            <w:pPr>
              <w:jc w:val="center"/>
              <w:rPr>
                <w:rFonts w:cs="Arial"/>
                <w:b/>
                <w:bCs/>
                <w:sz w:val="20"/>
                <w:szCs w:val="20"/>
              </w:rPr>
            </w:pPr>
            <w:r w:rsidRPr="00574DAC">
              <w:rPr>
                <w:rFonts w:cs="Arial"/>
                <w:b/>
                <w:bCs/>
                <w:sz w:val="20"/>
                <w:szCs w:val="20"/>
              </w:rPr>
              <w:t>Actividad</w:t>
            </w:r>
          </w:p>
        </w:tc>
        <w:tc>
          <w:tcPr>
            <w:tcW w:w="2693" w:type="dxa"/>
            <w:shd w:val="clear" w:color="auto" w:fill="auto"/>
          </w:tcPr>
          <w:p w14:paraId="63FA112D" w14:textId="77777777" w:rsidR="00E23746" w:rsidRPr="00574DAC" w:rsidRDefault="00E23746" w:rsidP="000B2F10">
            <w:pPr>
              <w:rPr>
                <w:rFonts w:cs="Arial"/>
                <w:sz w:val="20"/>
                <w:szCs w:val="20"/>
              </w:rPr>
            </w:pPr>
            <w:r w:rsidRPr="00574DAC">
              <w:rPr>
                <w:rFonts w:cs="Arial"/>
                <w:sz w:val="20"/>
                <w:szCs w:val="20"/>
              </w:rPr>
              <w:t>Impulsar una estrategia de colaboración inter institucional mediante acciones de educación física, a fin de promover estilos de vida saludables en la comunidad escolar</w:t>
            </w:r>
            <w:r>
              <w:rPr>
                <w:rFonts w:cs="Arial"/>
                <w:sz w:val="20"/>
                <w:szCs w:val="20"/>
              </w:rPr>
              <w:t>.</w:t>
            </w:r>
          </w:p>
        </w:tc>
        <w:tc>
          <w:tcPr>
            <w:tcW w:w="2835" w:type="dxa"/>
            <w:shd w:val="clear" w:color="auto" w:fill="auto"/>
          </w:tcPr>
          <w:p w14:paraId="0B71E2A3" w14:textId="77777777" w:rsidR="00E23746" w:rsidRPr="00574DAC" w:rsidRDefault="00E23746" w:rsidP="000B2F10">
            <w:pPr>
              <w:rPr>
                <w:rFonts w:cs="Arial"/>
                <w:sz w:val="20"/>
                <w:szCs w:val="20"/>
              </w:rPr>
            </w:pPr>
            <w:r w:rsidRPr="00574DAC">
              <w:rPr>
                <w:rFonts w:cs="Arial"/>
                <w:sz w:val="20"/>
                <w:szCs w:val="20"/>
              </w:rPr>
              <w:t>C05.A02 - Participación en los Juegos Deportivos Nacionales escolares de la Educación Primaria en diferentes etapas: Intermunicipal, Estatal y Nacional.</w:t>
            </w:r>
          </w:p>
        </w:tc>
        <w:tc>
          <w:tcPr>
            <w:tcW w:w="2268" w:type="dxa"/>
            <w:shd w:val="clear" w:color="FFFFFF" w:fill="FFFFFF"/>
          </w:tcPr>
          <w:p w14:paraId="2B104149" w14:textId="77777777" w:rsidR="00E23746" w:rsidRPr="00574DAC" w:rsidRDefault="00E23746" w:rsidP="000B2F10">
            <w:pPr>
              <w:rPr>
                <w:rFonts w:cs="Arial"/>
                <w:sz w:val="20"/>
                <w:szCs w:val="20"/>
              </w:rPr>
            </w:pPr>
            <w:r w:rsidRPr="00574DAC">
              <w:rPr>
                <w:rFonts w:cs="Arial"/>
                <w:sz w:val="20"/>
                <w:szCs w:val="20"/>
              </w:rPr>
              <w:t>C05A02 - Tasa de variación de alumnado de educación básica de escuelas públicas en el estado que participan en los eventos intermunicipal, estatal y nacional.</w:t>
            </w:r>
          </w:p>
        </w:tc>
        <w:tc>
          <w:tcPr>
            <w:tcW w:w="2835" w:type="dxa"/>
            <w:shd w:val="clear" w:color="auto" w:fill="auto"/>
          </w:tcPr>
          <w:p w14:paraId="29A55E98" w14:textId="77777777" w:rsidR="00E23746" w:rsidRPr="00574DAC" w:rsidRDefault="00E23746" w:rsidP="000B2F10">
            <w:pPr>
              <w:rPr>
                <w:rFonts w:cs="Arial"/>
                <w:sz w:val="20"/>
                <w:szCs w:val="20"/>
              </w:rPr>
            </w:pPr>
            <w:r w:rsidRPr="00574DAC">
              <w:rPr>
                <w:rFonts w:cs="Arial"/>
                <w:sz w:val="20"/>
                <w:szCs w:val="20"/>
              </w:rPr>
              <w:t>Listado de Alumnos que participan en las disciplinas de deportes, Inscripción de los Alumnos, anual, https://qroo.gob.mx/seq/medios-de-verificacion-de-la-planeacion-anual</w:t>
            </w:r>
            <w:r>
              <w:rPr>
                <w:rFonts w:cs="Arial"/>
                <w:sz w:val="20"/>
                <w:szCs w:val="20"/>
              </w:rPr>
              <w:t>.</w:t>
            </w:r>
          </w:p>
        </w:tc>
        <w:tc>
          <w:tcPr>
            <w:tcW w:w="1976" w:type="dxa"/>
            <w:shd w:val="clear" w:color="auto" w:fill="auto"/>
          </w:tcPr>
          <w:p w14:paraId="482AB53A" w14:textId="77777777" w:rsidR="00E23746" w:rsidRPr="00574DAC" w:rsidRDefault="00E23746" w:rsidP="000B2F10">
            <w:pPr>
              <w:rPr>
                <w:rFonts w:cs="Arial"/>
                <w:sz w:val="20"/>
                <w:szCs w:val="20"/>
              </w:rPr>
            </w:pPr>
            <w:r w:rsidRPr="00574DAC">
              <w:rPr>
                <w:rFonts w:cs="Arial"/>
                <w:sz w:val="20"/>
                <w:szCs w:val="20"/>
              </w:rPr>
              <w:t>Los alumnos participan en las los Juegos Deportivos Nacionales.</w:t>
            </w:r>
          </w:p>
        </w:tc>
      </w:tr>
      <w:tr w:rsidR="00E23746" w:rsidRPr="00574DAC" w14:paraId="47BFF920" w14:textId="77777777" w:rsidTr="00BF2AA6">
        <w:trPr>
          <w:trHeight w:val="2412"/>
        </w:trPr>
        <w:tc>
          <w:tcPr>
            <w:tcW w:w="1413" w:type="dxa"/>
            <w:shd w:val="clear" w:color="auto" w:fill="auto"/>
          </w:tcPr>
          <w:p w14:paraId="5E1B78AC" w14:textId="77777777" w:rsidR="00E23746" w:rsidRPr="00574DAC" w:rsidRDefault="00E23746" w:rsidP="000B2F10">
            <w:pPr>
              <w:jc w:val="center"/>
              <w:rPr>
                <w:rFonts w:cs="Arial"/>
                <w:b/>
                <w:bCs/>
                <w:sz w:val="20"/>
                <w:szCs w:val="20"/>
              </w:rPr>
            </w:pPr>
            <w:r w:rsidRPr="00574DAC">
              <w:rPr>
                <w:rFonts w:cs="Arial"/>
                <w:b/>
                <w:bCs/>
                <w:sz w:val="20"/>
                <w:szCs w:val="20"/>
              </w:rPr>
              <w:t>Actividad</w:t>
            </w:r>
          </w:p>
        </w:tc>
        <w:tc>
          <w:tcPr>
            <w:tcW w:w="2693" w:type="dxa"/>
            <w:shd w:val="clear" w:color="auto" w:fill="auto"/>
          </w:tcPr>
          <w:p w14:paraId="5EF146A2" w14:textId="77777777" w:rsidR="00E23746" w:rsidRPr="00574DAC" w:rsidRDefault="00E23746" w:rsidP="000B2F10">
            <w:pPr>
              <w:rPr>
                <w:rFonts w:cs="Arial"/>
                <w:sz w:val="20"/>
                <w:szCs w:val="20"/>
              </w:rPr>
            </w:pPr>
            <w:r w:rsidRPr="00574DAC">
              <w:rPr>
                <w:rFonts w:cs="Arial"/>
                <w:sz w:val="20"/>
                <w:szCs w:val="20"/>
              </w:rPr>
              <w:t>Impulsar una estrategia de colaboración inter institucional mediante acciones de educación física, a fin de promover estilos de vida saludables en la comunidad escolar</w:t>
            </w:r>
            <w:r>
              <w:rPr>
                <w:rFonts w:cs="Arial"/>
                <w:sz w:val="20"/>
                <w:szCs w:val="20"/>
              </w:rPr>
              <w:t>.</w:t>
            </w:r>
          </w:p>
        </w:tc>
        <w:tc>
          <w:tcPr>
            <w:tcW w:w="2835" w:type="dxa"/>
            <w:shd w:val="clear" w:color="auto" w:fill="auto"/>
          </w:tcPr>
          <w:p w14:paraId="692FA11F" w14:textId="77777777" w:rsidR="00E23746" w:rsidRPr="00574DAC" w:rsidRDefault="00E23746" w:rsidP="000B2F10">
            <w:pPr>
              <w:rPr>
                <w:rFonts w:cs="Arial"/>
                <w:sz w:val="20"/>
                <w:szCs w:val="20"/>
              </w:rPr>
            </w:pPr>
            <w:r w:rsidRPr="00574DAC">
              <w:rPr>
                <w:rFonts w:cs="Arial"/>
                <w:sz w:val="20"/>
                <w:szCs w:val="20"/>
              </w:rPr>
              <w:t>C05.A01 - Capacitación al docente de Educación Física inclusiva en los niveles de Preescolar y Primaria.</w:t>
            </w:r>
          </w:p>
        </w:tc>
        <w:tc>
          <w:tcPr>
            <w:tcW w:w="2268" w:type="dxa"/>
            <w:shd w:val="clear" w:color="FFFFFF" w:fill="FFFFFF"/>
          </w:tcPr>
          <w:p w14:paraId="63450E28" w14:textId="77777777" w:rsidR="00E23746" w:rsidRPr="00574DAC" w:rsidRDefault="00E23746" w:rsidP="000B2F10">
            <w:pPr>
              <w:rPr>
                <w:rFonts w:cs="Arial"/>
                <w:sz w:val="20"/>
                <w:szCs w:val="20"/>
              </w:rPr>
            </w:pPr>
            <w:r w:rsidRPr="00574DAC">
              <w:rPr>
                <w:rFonts w:cs="Arial"/>
                <w:sz w:val="20"/>
                <w:szCs w:val="20"/>
              </w:rPr>
              <w:t>C05A01 - Porcentaje de docentes de Educación Física capacitados de Manera Inclusiva de los Niveles de Preescolar y Primaria en organización Completa en el Estado.</w:t>
            </w:r>
          </w:p>
        </w:tc>
        <w:tc>
          <w:tcPr>
            <w:tcW w:w="2835" w:type="dxa"/>
            <w:shd w:val="clear" w:color="auto" w:fill="auto"/>
          </w:tcPr>
          <w:p w14:paraId="6B3D03F3" w14:textId="77777777" w:rsidR="00E23746" w:rsidRPr="00574DAC" w:rsidRDefault="00E23746" w:rsidP="000B2F10">
            <w:pPr>
              <w:rPr>
                <w:rFonts w:cs="Arial"/>
                <w:sz w:val="20"/>
                <w:szCs w:val="20"/>
              </w:rPr>
            </w:pPr>
            <w:r w:rsidRPr="00574DAC">
              <w:rPr>
                <w:rFonts w:cs="Arial"/>
                <w:sz w:val="20"/>
                <w:szCs w:val="20"/>
              </w:rPr>
              <w:t>Reportes de listas de Asistencias, memoria gráfica, convocatoria, entrega de constancias a los docentes, Anual, https://qroo.gob.mx/seq/medios-de-verificacion-de-la-planeacion-anual</w:t>
            </w:r>
            <w:r>
              <w:rPr>
                <w:rFonts w:cs="Arial"/>
                <w:sz w:val="20"/>
                <w:szCs w:val="20"/>
              </w:rPr>
              <w:t>.</w:t>
            </w:r>
          </w:p>
        </w:tc>
        <w:tc>
          <w:tcPr>
            <w:tcW w:w="1976" w:type="dxa"/>
            <w:shd w:val="clear" w:color="auto" w:fill="auto"/>
          </w:tcPr>
          <w:p w14:paraId="1ECD5EF1" w14:textId="77777777" w:rsidR="00E23746" w:rsidRPr="00574DAC" w:rsidRDefault="00E23746" w:rsidP="000B2F10">
            <w:pPr>
              <w:rPr>
                <w:rFonts w:cs="Arial"/>
                <w:sz w:val="20"/>
                <w:szCs w:val="20"/>
              </w:rPr>
            </w:pPr>
            <w:r w:rsidRPr="00574DAC">
              <w:rPr>
                <w:rFonts w:cs="Arial"/>
                <w:sz w:val="20"/>
                <w:szCs w:val="20"/>
              </w:rPr>
              <w:t>El personal docente de educación física aplica Los conocimientos de las capacitaciones.</w:t>
            </w:r>
          </w:p>
        </w:tc>
      </w:tr>
      <w:tr w:rsidR="00E23746" w:rsidRPr="00574DAC" w14:paraId="53D9500A" w14:textId="77777777" w:rsidTr="00BF2AA6">
        <w:trPr>
          <w:trHeight w:val="2412"/>
        </w:trPr>
        <w:tc>
          <w:tcPr>
            <w:tcW w:w="1413" w:type="dxa"/>
            <w:shd w:val="clear" w:color="auto" w:fill="auto"/>
          </w:tcPr>
          <w:p w14:paraId="2AC51598" w14:textId="77777777" w:rsidR="00E23746" w:rsidRPr="00574DAC" w:rsidRDefault="00E23746" w:rsidP="000B2F10">
            <w:pPr>
              <w:jc w:val="center"/>
              <w:rPr>
                <w:rFonts w:cs="Arial"/>
                <w:b/>
                <w:bCs/>
                <w:sz w:val="20"/>
                <w:szCs w:val="20"/>
              </w:rPr>
            </w:pPr>
            <w:r w:rsidRPr="00574DAC">
              <w:rPr>
                <w:rFonts w:cs="Arial"/>
                <w:b/>
                <w:bCs/>
                <w:sz w:val="20"/>
                <w:szCs w:val="20"/>
              </w:rPr>
              <w:t>Componente</w:t>
            </w:r>
          </w:p>
        </w:tc>
        <w:tc>
          <w:tcPr>
            <w:tcW w:w="2693" w:type="dxa"/>
            <w:shd w:val="clear" w:color="auto" w:fill="auto"/>
          </w:tcPr>
          <w:p w14:paraId="65DA414E" w14:textId="77777777" w:rsidR="00E23746" w:rsidRPr="00574DAC" w:rsidRDefault="00E23746" w:rsidP="000B2F10">
            <w:pPr>
              <w:rPr>
                <w:rFonts w:cs="Arial"/>
                <w:sz w:val="20"/>
                <w:szCs w:val="20"/>
              </w:rPr>
            </w:pPr>
            <w:r w:rsidRPr="00574DAC">
              <w:rPr>
                <w:rFonts w:cs="Arial"/>
                <w:sz w:val="20"/>
                <w:szCs w:val="20"/>
              </w:rPr>
              <w:t>Promover la enseñanza del inglés como lengua extranjera en los planteles regulares públicos de Educación Básica en la entidad</w:t>
            </w:r>
            <w:r>
              <w:rPr>
                <w:rFonts w:cs="Arial"/>
                <w:sz w:val="20"/>
                <w:szCs w:val="20"/>
              </w:rPr>
              <w:t>.</w:t>
            </w:r>
          </w:p>
        </w:tc>
        <w:tc>
          <w:tcPr>
            <w:tcW w:w="2835" w:type="dxa"/>
            <w:shd w:val="clear" w:color="auto" w:fill="auto"/>
          </w:tcPr>
          <w:p w14:paraId="01084C6B" w14:textId="77777777" w:rsidR="00E23746" w:rsidRPr="00574DAC" w:rsidRDefault="00E23746" w:rsidP="000B2F10">
            <w:pPr>
              <w:rPr>
                <w:rFonts w:cs="Arial"/>
                <w:sz w:val="20"/>
                <w:szCs w:val="20"/>
              </w:rPr>
            </w:pPr>
            <w:r w:rsidRPr="00574DAC">
              <w:rPr>
                <w:rFonts w:cs="Arial"/>
                <w:sz w:val="20"/>
                <w:szCs w:val="20"/>
              </w:rPr>
              <w:t>C06 - Enseñanza del inglés como lengua extranjera en los planteles públicos de Educación Básica, promovida</w:t>
            </w:r>
            <w:r>
              <w:rPr>
                <w:rFonts w:cs="Arial"/>
                <w:sz w:val="20"/>
                <w:szCs w:val="20"/>
              </w:rPr>
              <w:t>.</w:t>
            </w:r>
          </w:p>
        </w:tc>
        <w:tc>
          <w:tcPr>
            <w:tcW w:w="2268" w:type="dxa"/>
            <w:shd w:val="clear" w:color="FFFFFF" w:fill="FFFFFF"/>
          </w:tcPr>
          <w:p w14:paraId="36685ABF" w14:textId="77777777" w:rsidR="00E23746" w:rsidRPr="00574DAC" w:rsidRDefault="00E23746" w:rsidP="000B2F10">
            <w:pPr>
              <w:rPr>
                <w:rFonts w:cs="Arial"/>
                <w:sz w:val="20"/>
                <w:szCs w:val="20"/>
              </w:rPr>
            </w:pPr>
            <w:r w:rsidRPr="00574DAC">
              <w:rPr>
                <w:rFonts w:cs="Arial"/>
                <w:sz w:val="20"/>
                <w:szCs w:val="20"/>
              </w:rPr>
              <w:t>C06 - Porcentajes de escuelas que imparten inglés como una lengua extranjera.</w:t>
            </w:r>
          </w:p>
        </w:tc>
        <w:tc>
          <w:tcPr>
            <w:tcW w:w="2835" w:type="dxa"/>
            <w:shd w:val="clear" w:color="auto" w:fill="auto"/>
          </w:tcPr>
          <w:p w14:paraId="5C6E1BDD" w14:textId="77777777" w:rsidR="00E23746" w:rsidRPr="00574DAC" w:rsidRDefault="00E23746" w:rsidP="000B2F10">
            <w:pPr>
              <w:rPr>
                <w:rFonts w:cs="Arial"/>
                <w:sz w:val="20"/>
                <w:szCs w:val="20"/>
              </w:rPr>
            </w:pPr>
            <w:r w:rsidRPr="00574DAC">
              <w:rPr>
                <w:rFonts w:cs="Arial"/>
                <w:sz w:val="20"/>
                <w:szCs w:val="20"/>
              </w:rPr>
              <w:t>Padrón de escuelas beneficiarias, Coordinación Estatal de inglés, Anual, https://qroo.gob.mx/seq/medios-de-verificacion-de-la-planeacion-anual</w:t>
            </w:r>
            <w:r>
              <w:rPr>
                <w:rFonts w:cs="Arial"/>
                <w:sz w:val="20"/>
                <w:szCs w:val="20"/>
              </w:rPr>
              <w:t>.</w:t>
            </w:r>
          </w:p>
        </w:tc>
        <w:tc>
          <w:tcPr>
            <w:tcW w:w="1976" w:type="dxa"/>
            <w:shd w:val="clear" w:color="auto" w:fill="auto"/>
          </w:tcPr>
          <w:p w14:paraId="072FE7B9" w14:textId="77777777" w:rsidR="00E23746" w:rsidRPr="00574DAC" w:rsidRDefault="00E23746" w:rsidP="000B2F10">
            <w:pPr>
              <w:rPr>
                <w:rFonts w:cs="Arial"/>
                <w:sz w:val="20"/>
                <w:szCs w:val="20"/>
              </w:rPr>
            </w:pPr>
            <w:r w:rsidRPr="00574DAC">
              <w:rPr>
                <w:rFonts w:cs="Arial"/>
                <w:sz w:val="20"/>
                <w:szCs w:val="20"/>
              </w:rPr>
              <w:t>Existen suficientes asesores externos especializados interesados para impartir inglés como lengua extranjera en las escuelas focalizadas.</w:t>
            </w:r>
          </w:p>
        </w:tc>
      </w:tr>
    </w:tbl>
    <w:p w14:paraId="08FE1953" w14:textId="77777777" w:rsidR="00A01C9D" w:rsidRDefault="00A01C9D">
      <w:pPr>
        <w:spacing w:after="0" w:line="240" w:lineRule="auto"/>
        <w:jc w:val="left"/>
      </w:pPr>
      <w:r>
        <w:br w:type="page"/>
      </w:r>
    </w:p>
    <w:tbl>
      <w:tblPr>
        <w:tblW w:w="14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71"/>
        <w:gridCol w:w="2835"/>
        <w:gridCol w:w="2835"/>
        <w:gridCol w:w="2268"/>
        <w:gridCol w:w="2835"/>
        <w:gridCol w:w="1976"/>
      </w:tblGrid>
      <w:tr w:rsidR="00E23746" w:rsidRPr="00574DAC" w14:paraId="315AE37F" w14:textId="77777777" w:rsidTr="00C91C82">
        <w:trPr>
          <w:trHeight w:val="679"/>
        </w:trPr>
        <w:tc>
          <w:tcPr>
            <w:tcW w:w="1271" w:type="dxa"/>
            <w:shd w:val="clear" w:color="000000" w:fill="BFBFBF"/>
            <w:vAlign w:val="center"/>
            <w:hideMark/>
          </w:tcPr>
          <w:p w14:paraId="52E07370"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lastRenderedPageBreak/>
              <w:t>NIVEL</w:t>
            </w:r>
          </w:p>
        </w:tc>
        <w:tc>
          <w:tcPr>
            <w:tcW w:w="2835" w:type="dxa"/>
            <w:shd w:val="clear" w:color="000000" w:fill="BFBFBF"/>
            <w:vAlign w:val="center"/>
            <w:hideMark/>
          </w:tcPr>
          <w:p w14:paraId="07B9676F"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ALINEACIÓN PED/PD</w:t>
            </w:r>
          </w:p>
        </w:tc>
        <w:tc>
          <w:tcPr>
            <w:tcW w:w="2835" w:type="dxa"/>
            <w:shd w:val="clear" w:color="000000" w:fill="BFBFBF"/>
            <w:vAlign w:val="center"/>
            <w:hideMark/>
          </w:tcPr>
          <w:p w14:paraId="6EC1B555"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OBJETIVO</w:t>
            </w:r>
          </w:p>
        </w:tc>
        <w:tc>
          <w:tcPr>
            <w:tcW w:w="2268" w:type="dxa"/>
            <w:shd w:val="clear" w:color="000000" w:fill="BFBFBF"/>
            <w:vAlign w:val="center"/>
            <w:hideMark/>
          </w:tcPr>
          <w:p w14:paraId="18567DEF"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INDICADOR</w:t>
            </w:r>
          </w:p>
        </w:tc>
        <w:tc>
          <w:tcPr>
            <w:tcW w:w="2835" w:type="dxa"/>
            <w:shd w:val="clear" w:color="000000" w:fill="BFBFBF"/>
            <w:vAlign w:val="center"/>
            <w:hideMark/>
          </w:tcPr>
          <w:p w14:paraId="4929FDA2"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MEDIOS DE VERIFICACIÓN</w:t>
            </w:r>
          </w:p>
        </w:tc>
        <w:tc>
          <w:tcPr>
            <w:tcW w:w="1976" w:type="dxa"/>
            <w:shd w:val="clear" w:color="000000" w:fill="BFBFBF"/>
            <w:vAlign w:val="center"/>
            <w:hideMark/>
          </w:tcPr>
          <w:p w14:paraId="6AF41873"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SUPUESTO</w:t>
            </w:r>
          </w:p>
        </w:tc>
      </w:tr>
      <w:tr w:rsidR="00E23746" w:rsidRPr="00574DAC" w14:paraId="21CCCB12" w14:textId="77777777" w:rsidTr="00C91C82">
        <w:trPr>
          <w:trHeight w:val="2252"/>
        </w:trPr>
        <w:tc>
          <w:tcPr>
            <w:tcW w:w="1271" w:type="dxa"/>
            <w:shd w:val="clear" w:color="auto" w:fill="auto"/>
          </w:tcPr>
          <w:p w14:paraId="06D65263" w14:textId="77777777" w:rsidR="00E23746" w:rsidRPr="00574DAC" w:rsidRDefault="00E23746" w:rsidP="000B2F10">
            <w:pPr>
              <w:jc w:val="center"/>
              <w:rPr>
                <w:rFonts w:cs="Arial"/>
                <w:b/>
                <w:bCs/>
                <w:sz w:val="20"/>
                <w:szCs w:val="20"/>
              </w:rPr>
            </w:pPr>
            <w:r w:rsidRPr="00574DAC">
              <w:rPr>
                <w:rFonts w:cs="Arial"/>
                <w:b/>
                <w:bCs/>
                <w:sz w:val="20"/>
                <w:szCs w:val="20"/>
              </w:rPr>
              <w:t>Actividad</w:t>
            </w:r>
          </w:p>
        </w:tc>
        <w:tc>
          <w:tcPr>
            <w:tcW w:w="2835" w:type="dxa"/>
            <w:shd w:val="clear" w:color="auto" w:fill="auto"/>
          </w:tcPr>
          <w:p w14:paraId="67234BDF" w14:textId="77777777" w:rsidR="00E23746" w:rsidRPr="00574DAC" w:rsidRDefault="00E23746" w:rsidP="000B2F10">
            <w:pPr>
              <w:rPr>
                <w:rFonts w:cs="Arial"/>
                <w:sz w:val="20"/>
                <w:szCs w:val="20"/>
              </w:rPr>
            </w:pPr>
            <w:r w:rsidRPr="00574DAC">
              <w:rPr>
                <w:rFonts w:cs="Arial"/>
                <w:sz w:val="20"/>
                <w:szCs w:val="20"/>
              </w:rPr>
              <w:t>Promover la enseñanza del inglés como lengua extranjera en los planteles regulares públicos de Educación Básica en la entidad</w:t>
            </w:r>
            <w:r>
              <w:rPr>
                <w:rFonts w:cs="Arial"/>
                <w:sz w:val="20"/>
                <w:szCs w:val="20"/>
              </w:rPr>
              <w:t>.</w:t>
            </w:r>
          </w:p>
        </w:tc>
        <w:tc>
          <w:tcPr>
            <w:tcW w:w="2835" w:type="dxa"/>
            <w:shd w:val="clear" w:color="auto" w:fill="auto"/>
          </w:tcPr>
          <w:p w14:paraId="502294C9" w14:textId="77777777" w:rsidR="00E23746" w:rsidRPr="00574DAC" w:rsidRDefault="00E23746" w:rsidP="000B2F10">
            <w:pPr>
              <w:rPr>
                <w:rFonts w:cs="Arial"/>
                <w:sz w:val="20"/>
                <w:szCs w:val="20"/>
              </w:rPr>
            </w:pPr>
            <w:r w:rsidRPr="00574DAC">
              <w:rPr>
                <w:rFonts w:cs="Arial"/>
                <w:sz w:val="20"/>
                <w:szCs w:val="20"/>
              </w:rPr>
              <w:t>C06.A01 - Contratación de asesores externos especializados para la impartición del inglés en escuelas de preescolar y primaria.</w:t>
            </w:r>
          </w:p>
        </w:tc>
        <w:tc>
          <w:tcPr>
            <w:tcW w:w="2268" w:type="dxa"/>
            <w:shd w:val="clear" w:color="FFFFFF" w:fill="FFFFFF"/>
          </w:tcPr>
          <w:p w14:paraId="59B2B6A3" w14:textId="77777777" w:rsidR="00E23746" w:rsidRPr="00574DAC" w:rsidRDefault="00E23746" w:rsidP="000B2F10">
            <w:pPr>
              <w:rPr>
                <w:rFonts w:cs="Arial"/>
                <w:sz w:val="20"/>
                <w:szCs w:val="20"/>
              </w:rPr>
            </w:pPr>
            <w:r w:rsidRPr="00574DAC">
              <w:rPr>
                <w:rFonts w:cs="Arial"/>
                <w:sz w:val="20"/>
                <w:szCs w:val="20"/>
              </w:rPr>
              <w:t>C06A01 - Porcentaje de asesores externos especializados contratados para impartir inglés como lengua extranjera.</w:t>
            </w:r>
          </w:p>
        </w:tc>
        <w:tc>
          <w:tcPr>
            <w:tcW w:w="2835" w:type="dxa"/>
            <w:shd w:val="clear" w:color="auto" w:fill="auto"/>
          </w:tcPr>
          <w:p w14:paraId="38158054" w14:textId="77777777" w:rsidR="00E23746" w:rsidRPr="00574DAC" w:rsidRDefault="00E23746" w:rsidP="000B2F10">
            <w:pPr>
              <w:rPr>
                <w:rFonts w:cs="Arial"/>
                <w:sz w:val="20"/>
                <w:szCs w:val="20"/>
              </w:rPr>
            </w:pPr>
            <w:r w:rsidRPr="00574DAC">
              <w:rPr>
                <w:rFonts w:cs="Arial"/>
                <w:sz w:val="20"/>
                <w:szCs w:val="20"/>
              </w:rPr>
              <w:t>Base de datos de asesores externos especializados contratados, anual. https://qroo.gob.mx/seq/medios-de-verificacion-de-la-planeacion-anual</w:t>
            </w:r>
            <w:r>
              <w:rPr>
                <w:rFonts w:cs="Arial"/>
                <w:sz w:val="20"/>
                <w:szCs w:val="20"/>
              </w:rPr>
              <w:t>.</w:t>
            </w:r>
          </w:p>
        </w:tc>
        <w:tc>
          <w:tcPr>
            <w:tcW w:w="1976" w:type="dxa"/>
            <w:shd w:val="clear" w:color="auto" w:fill="auto"/>
          </w:tcPr>
          <w:p w14:paraId="2BE8ECAF" w14:textId="77777777" w:rsidR="00E23746" w:rsidRPr="00574DAC" w:rsidRDefault="00E23746" w:rsidP="000B2F10">
            <w:pPr>
              <w:rPr>
                <w:rFonts w:cs="Arial"/>
                <w:sz w:val="20"/>
                <w:szCs w:val="20"/>
              </w:rPr>
            </w:pPr>
            <w:r w:rsidRPr="00574DAC">
              <w:rPr>
                <w:rFonts w:cs="Arial"/>
                <w:sz w:val="20"/>
                <w:szCs w:val="20"/>
              </w:rPr>
              <w:t>Se cuenta con suficientes asesores externos especializados que cuenten con el perfil para atender las escuelas focalizadas.</w:t>
            </w:r>
          </w:p>
        </w:tc>
      </w:tr>
      <w:tr w:rsidR="00E23746" w:rsidRPr="00574DAC" w14:paraId="07CA59F8" w14:textId="77777777" w:rsidTr="00C91C82">
        <w:trPr>
          <w:trHeight w:val="1995"/>
        </w:trPr>
        <w:tc>
          <w:tcPr>
            <w:tcW w:w="1271" w:type="dxa"/>
            <w:shd w:val="clear" w:color="auto" w:fill="auto"/>
          </w:tcPr>
          <w:p w14:paraId="48972EAE" w14:textId="77777777" w:rsidR="00E23746" w:rsidRPr="00574DAC" w:rsidRDefault="00E23746" w:rsidP="000B2F10">
            <w:pPr>
              <w:jc w:val="center"/>
              <w:rPr>
                <w:rFonts w:cs="Arial"/>
                <w:b/>
                <w:bCs/>
                <w:sz w:val="20"/>
                <w:szCs w:val="20"/>
              </w:rPr>
            </w:pPr>
            <w:r w:rsidRPr="00574DAC">
              <w:rPr>
                <w:rFonts w:cs="Arial"/>
                <w:b/>
                <w:bCs/>
                <w:sz w:val="20"/>
                <w:szCs w:val="20"/>
              </w:rPr>
              <w:t>Actividad</w:t>
            </w:r>
          </w:p>
        </w:tc>
        <w:tc>
          <w:tcPr>
            <w:tcW w:w="2835" w:type="dxa"/>
            <w:shd w:val="clear" w:color="auto" w:fill="auto"/>
          </w:tcPr>
          <w:p w14:paraId="6AE6AB71" w14:textId="77777777" w:rsidR="00E23746" w:rsidRPr="00574DAC" w:rsidRDefault="00E23746" w:rsidP="000B2F10">
            <w:pPr>
              <w:rPr>
                <w:rFonts w:cs="Arial"/>
                <w:sz w:val="20"/>
                <w:szCs w:val="20"/>
              </w:rPr>
            </w:pPr>
            <w:r w:rsidRPr="00574DAC">
              <w:rPr>
                <w:rFonts w:cs="Arial"/>
                <w:sz w:val="20"/>
                <w:szCs w:val="20"/>
              </w:rPr>
              <w:t>Promover la enseñanza del inglés como lengua extranjera en los planteles regulares públicos de Educación Básica en la entidad</w:t>
            </w:r>
            <w:r>
              <w:rPr>
                <w:rFonts w:cs="Arial"/>
                <w:sz w:val="20"/>
                <w:szCs w:val="20"/>
              </w:rPr>
              <w:t>.</w:t>
            </w:r>
          </w:p>
        </w:tc>
        <w:tc>
          <w:tcPr>
            <w:tcW w:w="2835" w:type="dxa"/>
            <w:shd w:val="clear" w:color="auto" w:fill="auto"/>
          </w:tcPr>
          <w:p w14:paraId="2E4BECE9" w14:textId="77777777" w:rsidR="00E23746" w:rsidRPr="00574DAC" w:rsidRDefault="00E23746" w:rsidP="000B2F10">
            <w:pPr>
              <w:rPr>
                <w:rFonts w:cs="Arial"/>
                <w:sz w:val="20"/>
                <w:szCs w:val="20"/>
              </w:rPr>
            </w:pPr>
            <w:r w:rsidRPr="00574DAC">
              <w:rPr>
                <w:rFonts w:cs="Arial"/>
                <w:sz w:val="20"/>
                <w:szCs w:val="20"/>
              </w:rPr>
              <w:t>C06.A02 - Realización de visitas a los asesores externos especializados y docentes de inglés de las escuelas beneficiadas.</w:t>
            </w:r>
          </w:p>
        </w:tc>
        <w:tc>
          <w:tcPr>
            <w:tcW w:w="2268" w:type="dxa"/>
            <w:shd w:val="clear" w:color="FFFFFF" w:fill="FFFFFF"/>
          </w:tcPr>
          <w:p w14:paraId="31CC7EFC" w14:textId="77777777" w:rsidR="00E23746" w:rsidRPr="00574DAC" w:rsidRDefault="00E23746" w:rsidP="000B2F10">
            <w:pPr>
              <w:rPr>
                <w:rFonts w:cs="Arial"/>
                <w:sz w:val="20"/>
                <w:szCs w:val="20"/>
              </w:rPr>
            </w:pPr>
            <w:r w:rsidRPr="00574DAC">
              <w:rPr>
                <w:rFonts w:cs="Arial"/>
                <w:sz w:val="20"/>
                <w:szCs w:val="20"/>
              </w:rPr>
              <w:t>C06A02 - Porcentaje de visitas realizadas</w:t>
            </w:r>
            <w:r>
              <w:rPr>
                <w:rFonts w:cs="Arial"/>
                <w:sz w:val="20"/>
                <w:szCs w:val="20"/>
              </w:rPr>
              <w:t>.</w:t>
            </w:r>
          </w:p>
        </w:tc>
        <w:tc>
          <w:tcPr>
            <w:tcW w:w="2835" w:type="dxa"/>
            <w:shd w:val="clear" w:color="auto" w:fill="auto"/>
          </w:tcPr>
          <w:p w14:paraId="0D30694F" w14:textId="77777777" w:rsidR="00E23746" w:rsidRPr="00574DAC" w:rsidRDefault="00E23746" w:rsidP="000B2F10">
            <w:pPr>
              <w:rPr>
                <w:rFonts w:cs="Arial"/>
                <w:sz w:val="20"/>
                <w:szCs w:val="20"/>
              </w:rPr>
            </w:pPr>
            <w:r w:rsidRPr="00574DAC">
              <w:rPr>
                <w:rFonts w:cs="Arial"/>
                <w:sz w:val="20"/>
                <w:szCs w:val="20"/>
              </w:rPr>
              <w:t>Informe trimestral de visitas de asesoría, acompañamiento y seguimiento, trimestral, https://qroo.gob.mx/seq/medios-de-verificacion-de-la-planeacion-anual</w:t>
            </w:r>
            <w:r>
              <w:rPr>
                <w:rFonts w:cs="Arial"/>
                <w:sz w:val="20"/>
                <w:szCs w:val="20"/>
              </w:rPr>
              <w:t>.</w:t>
            </w:r>
          </w:p>
        </w:tc>
        <w:tc>
          <w:tcPr>
            <w:tcW w:w="1976" w:type="dxa"/>
            <w:shd w:val="clear" w:color="auto" w:fill="auto"/>
          </w:tcPr>
          <w:p w14:paraId="1544B46C" w14:textId="77777777" w:rsidR="00E23746" w:rsidRPr="00574DAC" w:rsidRDefault="00E23746" w:rsidP="000B2F10">
            <w:pPr>
              <w:rPr>
                <w:rFonts w:cs="Arial"/>
                <w:sz w:val="20"/>
                <w:szCs w:val="20"/>
              </w:rPr>
            </w:pPr>
            <w:r w:rsidRPr="00574DAC">
              <w:rPr>
                <w:rFonts w:cs="Arial"/>
                <w:sz w:val="20"/>
                <w:szCs w:val="20"/>
              </w:rPr>
              <w:t>Se encuentra el/la asesor/a externo/a especializado/a y/o docente de inglés en sus funciones.</w:t>
            </w:r>
          </w:p>
        </w:tc>
      </w:tr>
      <w:tr w:rsidR="00E23746" w:rsidRPr="00574DAC" w14:paraId="52586C4F" w14:textId="77777777" w:rsidTr="00C91C82">
        <w:trPr>
          <w:trHeight w:val="2112"/>
        </w:trPr>
        <w:tc>
          <w:tcPr>
            <w:tcW w:w="1271" w:type="dxa"/>
            <w:shd w:val="clear" w:color="auto" w:fill="auto"/>
          </w:tcPr>
          <w:p w14:paraId="78EA448D" w14:textId="77777777" w:rsidR="00E23746" w:rsidRPr="00574DAC" w:rsidRDefault="00E23746" w:rsidP="000B2F10">
            <w:pPr>
              <w:jc w:val="center"/>
              <w:rPr>
                <w:rFonts w:cs="Arial"/>
                <w:b/>
                <w:bCs/>
                <w:sz w:val="20"/>
                <w:szCs w:val="20"/>
              </w:rPr>
            </w:pPr>
            <w:r w:rsidRPr="00574DAC">
              <w:rPr>
                <w:rFonts w:cs="Arial"/>
                <w:b/>
                <w:bCs/>
                <w:sz w:val="20"/>
                <w:szCs w:val="20"/>
              </w:rPr>
              <w:t>Actividad</w:t>
            </w:r>
          </w:p>
        </w:tc>
        <w:tc>
          <w:tcPr>
            <w:tcW w:w="2835" w:type="dxa"/>
            <w:shd w:val="clear" w:color="auto" w:fill="auto"/>
          </w:tcPr>
          <w:p w14:paraId="4E54BDAC" w14:textId="77777777" w:rsidR="00E23746" w:rsidRPr="00574DAC" w:rsidRDefault="00E23746" w:rsidP="000B2F10">
            <w:pPr>
              <w:rPr>
                <w:rFonts w:cs="Arial"/>
                <w:sz w:val="20"/>
                <w:szCs w:val="20"/>
              </w:rPr>
            </w:pPr>
            <w:r w:rsidRPr="00574DAC">
              <w:rPr>
                <w:rFonts w:cs="Arial"/>
                <w:sz w:val="20"/>
                <w:szCs w:val="20"/>
              </w:rPr>
              <w:t>Promover la enseñanza del inglés como lengua extranjera en los planteles regulares públicos de Educación Básica en la entidad</w:t>
            </w:r>
            <w:r>
              <w:rPr>
                <w:rFonts w:cs="Arial"/>
                <w:sz w:val="20"/>
                <w:szCs w:val="20"/>
              </w:rPr>
              <w:t>.</w:t>
            </w:r>
          </w:p>
        </w:tc>
        <w:tc>
          <w:tcPr>
            <w:tcW w:w="2835" w:type="dxa"/>
            <w:shd w:val="clear" w:color="auto" w:fill="auto"/>
          </w:tcPr>
          <w:p w14:paraId="23FD516B" w14:textId="77777777" w:rsidR="00E23746" w:rsidRPr="00574DAC" w:rsidRDefault="00E23746" w:rsidP="000B2F10">
            <w:pPr>
              <w:rPr>
                <w:rFonts w:cs="Arial"/>
                <w:sz w:val="20"/>
                <w:szCs w:val="20"/>
              </w:rPr>
            </w:pPr>
            <w:r w:rsidRPr="00574DAC">
              <w:rPr>
                <w:rFonts w:cs="Arial"/>
                <w:sz w:val="20"/>
                <w:szCs w:val="20"/>
              </w:rPr>
              <w:t>C06.A03 - Aplicación de una evaluación diagnóstica de competencia lingüística de alumnos y alumnas de 5to grado de primarias y 2do de secundaria públicas focalizadas.</w:t>
            </w:r>
          </w:p>
        </w:tc>
        <w:tc>
          <w:tcPr>
            <w:tcW w:w="2268" w:type="dxa"/>
            <w:shd w:val="clear" w:color="FFFFFF" w:fill="FFFFFF"/>
          </w:tcPr>
          <w:p w14:paraId="482938DB" w14:textId="77777777" w:rsidR="00E23746" w:rsidRPr="00574DAC" w:rsidRDefault="00E23746" w:rsidP="000B2F10">
            <w:pPr>
              <w:rPr>
                <w:rFonts w:cs="Arial"/>
                <w:sz w:val="20"/>
                <w:szCs w:val="20"/>
              </w:rPr>
            </w:pPr>
            <w:r w:rsidRPr="00574DAC">
              <w:rPr>
                <w:rFonts w:cs="Arial"/>
                <w:sz w:val="20"/>
                <w:szCs w:val="20"/>
              </w:rPr>
              <w:t>C06A03 - Porcentaje de alumnos y alumnas de 5to grado de primarias general e indígena y 2do de secundarias técnicas y generales que obtienen un nivel en la evaluación diagnóstica</w:t>
            </w:r>
            <w:r>
              <w:rPr>
                <w:rFonts w:cs="Arial"/>
                <w:sz w:val="20"/>
                <w:szCs w:val="20"/>
              </w:rPr>
              <w:t>.</w:t>
            </w:r>
          </w:p>
        </w:tc>
        <w:tc>
          <w:tcPr>
            <w:tcW w:w="2835" w:type="dxa"/>
            <w:shd w:val="clear" w:color="auto" w:fill="auto"/>
          </w:tcPr>
          <w:p w14:paraId="7077123B" w14:textId="77777777" w:rsidR="00E23746" w:rsidRPr="00574DAC" w:rsidRDefault="00E23746" w:rsidP="000B2F10">
            <w:pPr>
              <w:rPr>
                <w:rFonts w:cs="Arial"/>
                <w:sz w:val="20"/>
                <w:szCs w:val="20"/>
              </w:rPr>
            </w:pPr>
            <w:r w:rsidRPr="00574DAC">
              <w:rPr>
                <w:rFonts w:cs="Arial"/>
                <w:sz w:val="20"/>
                <w:szCs w:val="20"/>
              </w:rPr>
              <w:t>Reporte de los resultados de la Evaluación, trimestral, https://qroo.gob.mx/seq/medios-de-verificacion-de-la-planeacion-anual</w:t>
            </w:r>
            <w:r>
              <w:rPr>
                <w:rFonts w:cs="Arial"/>
                <w:sz w:val="20"/>
                <w:szCs w:val="20"/>
              </w:rPr>
              <w:t>.</w:t>
            </w:r>
          </w:p>
        </w:tc>
        <w:tc>
          <w:tcPr>
            <w:tcW w:w="1976" w:type="dxa"/>
            <w:shd w:val="clear" w:color="auto" w:fill="auto"/>
          </w:tcPr>
          <w:p w14:paraId="2303581F" w14:textId="77777777" w:rsidR="00E23746" w:rsidRPr="00574DAC" w:rsidRDefault="00E23746" w:rsidP="000B2F10">
            <w:pPr>
              <w:rPr>
                <w:rFonts w:cs="Arial"/>
                <w:sz w:val="20"/>
                <w:szCs w:val="20"/>
              </w:rPr>
            </w:pPr>
            <w:r w:rsidRPr="00574DAC">
              <w:rPr>
                <w:rFonts w:cs="Arial"/>
                <w:sz w:val="20"/>
                <w:szCs w:val="20"/>
              </w:rPr>
              <w:t>Los alumnos evaluados aprueban la evaluación diagnostica.</w:t>
            </w:r>
          </w:p>
        </w:tc>
      </w:tr>
    </w:tbl>
    <w:p w14:paraId="2DCB8A8D" w14:textId="77777777" w:rsidR="00A01C9D" w:rsidRDefault="00A01C9D">
      <w:pPr>
        <w:spacing w:after="0" w:line="240" w:lineRule="auto"/>
        <w:jc w:val="left"/>
      </w:pPr>
      <w:r>
        <w:br w:type="page"/>
      </w:r>
    </w:p>
    <w:tbl>
      <w:tblPr>
        <w:tblW w:w="14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3"/>
        <w:gridCol w:w="2693"/>
        <w:gridCol w:w="2835"/>
        <w:gridCol w:w="2268"/>
        <w:gridCol w:w="2835"/>
        <w:gridCol w:w="1976"/>
      </w:tblGrid>
      <w:tr w:rsidR="00E23746" w:rsidRPr="00574DAC" w14:paraId="6621B39C" w14:textId="77777777" w:rsidTr="00BF2AA6">
        <w:trPr>
          <w:trHeight w:val="679"/>
        </w:trPr>
        <w:tc>
          <w:tcPr>
            <w:tcW w:w="1413" w:type="dxa"/>
            <w:shd w:val="clear" w:color="000000" w:fill="BFBFBF"/>
            <w:vAlign w:val="center"/>
            <w:hideMark/>
          </w:tcPr>
          <w:p w14:paraId="254004BE"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lastRenderedPageBreak/>
              <w:t>NIVEL</w:t>
            </w:r>
          </w:p>
        </w:tc>
        <w:tc>
          <w:tcPr>
            <w:tcW w:w="2693" w:type="dxa"/>
            <w:shd w:val="clear" w:color="000000" w:fill="BFBFBF"/>
            <w:vAlign w:val="center"/>
            <w:hideMark/>
          </w:tcPr>
          <w:p w14:paraId="2402B209"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ALINEACIÓN PED/PD</w:t>
            </w:r>
          </w:p>
        </w:tc>
        <w:tc>
          <w:tcPr>
            <w:tcW w:w="2835" w:type="dxa"/>
            <w:shd w:val="clear" w:color="000000" w:fill="BFBFBF"/>
            <w:vAlign w:val="center"/>
            <w:hideMark/>
          </w:tcPr>
          <w:p w14:paraId="1674C1EA"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OBJETIVO</w:t>
            </w:r>
          </w:p>
        </w:tc>
        <w:tc>
          <w:tcPr>
            <w:tcW w:w="2268" w:type="dxa"/>
            <w:shd w:val="clear" w:color="000000" w:fill="BFBFBF"/>
            <w:vAlign w:val="center"/>
            <w:hideMark/>
          </w:tcPr>
          <w:p w14:paraId="183FDBCB"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INDICADOR</w:t>
            </w:r>
          </w:p>
        </w:tc>
        <w:tc>
          <w:tcPr>
            <w:tcW w:w="2835" w:type="dxa"/>
            <w:shd w:val="clear" w:color="000000" w:fill="BFBFBF"/>
            <w:vAlign w:val="center"/>
            <w:hideMark/>
          </w:tcPr>
          <w:p w14:paraId="64DFAD8C"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MEDIOS DE VERIFICACIÓN</w:t>
            </w:r>
          </w:p>
        </w:tc>
        <w:tc>
          <w:tcPr>
            <w:tcW w:w="1976" w:type="dxa"/>
            <w:shd w:val="clear" w:color="000000" w:fill="BFBFBF"/>
            <w:vAlign w:val="center"/>
            <w:hideMark/>
          </w:tcPr>
          <w:p w14:paraId="7411B38A"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SUPUESTO</w:t>
            </w:r>
          </w:p>
        </w:tc>
      </w:tr>
      <w:tr w:rsidR="00E23746" w:rsidRPr="00574DAC" w14:paraId="578D5E6E" w14:textId="77777777" w:rsidTr="00BF2AA6">
        <w:trPr>
          <w:trHeight w:val="2006"/>
        </w:trPr>
        <w:tc>
          <w:tcPr>
            <w:tcW w:w="1413" w:type="dxa"/>
            <w:shd w:val="clear" w:color="auto" w:fill="auto"/>
          </w:tcPr>
          <w:p w14:paraId="35F458E4" w14:textId="77777777" w:rsidR="00E23746" w:rsidRPr="00574DAC" w:rsidRDefault="00E23746" w:rsidP="000B2F10">
            <w:pPr>
              <w:jc w:val="center"/>
              <w:rPr>
                <w:rFonts w:cs="Arial"/>
                <w:b/>
                <w:bCs/>
                <w:sz w:val="20"/>
                <w:szCs w:val="20"/>
              </w:rPr>
            </w:pPr>
            <w:r w:rsidRPr="00574DAC">
              <w:rPr>
                <w:rFonts w:cs="Arial"/>
                <w:b/>
                <w:bCs/>
                <w:sz w:val="20"/>
                <w:szCs w:val="20"/>
              </w:rPr>
              <w:t>Actividad</w:t>
            </w:r>
          </w:p>
        </w:tc>
        <w:tc>
          <w:tcPr>
            <w:tcW w:w="2693" w:type="dxa"/>
            <w:shd w:val="clear" w:color="auto" w:fill="auto"/>
          </w:tcPr>
          <w:p w14:paraId="7A02E7E9" w14:textId="77777777" w:rsidR="00E23746" w:rsidRPr="00574DAC" w:rsidRDefault="00E23746" w:rsidP="000B2F10">
            <w:pPr>
              <w:rPr>
                <w:rFonts w:cs="Arial"/>
                <w:sz w:val="20"/>
                <w:szCs w:val="20"/>
              </w:rPr>
            </w:pPr>
            <w:r w:rsidRPr="00574DAC">
              <w:rPr>
                <w:rFonts w:cs="Arial"/>
                <w:sz w:val="20"/>
                <w:szCs w:val="20"/>
              </w:rPr>
              <w:t>Promover la enseñanza del inglés como lengua extranjera en los planteles regulares públicos de Educación Básica en la entidad</w:t>
            </w:r>
            <w:r>
              <w:rPr>
                <w:rFonts w:cs="Arial"/>
                <w:sz w:val="20"/>
                <w:szCs w:val="20"/>
              </w:rPr>
              <w:t>.</w:t>
            </w:r>
          </w:p>
        </w:tc>
        <w:tc>
          <w:tcPr>
            <w:tcW w:w="2835" w:type="dxa"/>
            <w:shd w:val="clear" w:color="auto" w:fill="auto"/>
          </w:tcPr>
          <w:p w14:paraId="5C87C19D" w14:textId="77777777" w:rsidR="00E23746" w:rsidRPr="00574DAC" w:rsidRDefault="00E23746" w:rsidP="000B2F10">
            <w:pPr>
              <w:rPr>
                <w:rFonts w:cs="Arial"/>
                <w:sz w:val="20"/>
                <w:szCs w:val="20"/>
              </w:rPr>
            </w:pPr>
            <w:r w:rsidRPr="00574DAC">
              <w:rPr>
                <w:rFonts w:cs="Arial"/>
                <w:sz w:val="20"/>
                <w:szCs w:val="20"/>
              </w:rPr>
              <w:t>C06.A04 - Entrega de materiales didácticos complementarios a los asesores externos especializados en escuelas públicas de preescolar y primaria en las que se imparte inglés como lengua extranjera.</w:t>
            </w:r>
          </w:p>
        </w:tc>
        <w:tc>
          <w:tcPr>
            <w:tcW w:w="2268" w:type="dxa"/>
            <w:shd w:val="clear" w:color="FFFFFF" w:fill="FFFFFF"/>
          </w:tcPr>
          <w:p w14:paraId="5F1B9A7F" w14:textId="77777777" w:rsidR="00E23746" w:rsidRPr="00574DAC" w:rsidRDefault="00E23746" w:rsidP="000B2F10">
            <w:pPr>
              <w:rPr>
                <w:rFonts w:cs="Arial"/>
                <w:sz w:val="20"/>
                <w:szCs w:val="20"/>
              </w:rPr>
            </w:pPr>
            <w:r w:rsidRPr="00574DAC">
              <w:rPr>
                <w:rFonts w:cs="Arial"/>
                <w:sz w:val="20"/>
                <w:szCs w:val="20"/>
              </w:rPr>
              <w:t>C06A04 - Porcentaje de asesores externos especializados beneficiados con el material proporcionado.</w:t>
            </w:r>
          </w:p>
        </w:tc>
        <w:tc>
          <w:tcPr>
            <w:tcW w:w="2835" w:type="dxa"/>
            <w:shd w:val="clear" w:color="auto" w:fill="auto"/>
          </w:tcPr>
          <w:p w14:paraId="4102DAA5" w14:textId="77777777" w:rsidR="00E23746" w:rsidRPr="00574DAC" w:rsidRDefault="00E23746" w:rsidP="000B2F10">
            <w:pPr>
              <w:rPr>
                <w:rFonts w:cs="Arial"/>
                <w:sz w:val="20"/>
                <w:szCs w:val="20"/>
              </w:rPr>
            </w:pPr>
            <w:r w:rsidRPr="00574DAC">
              <w:rPr>
                <w:rFonts w:cs="Arial"/>
                <w:sz w:val="20"/>
                <w:szCs w:val="20"/>
              </w:rPr>
              <w:t>Informe de entrega de material, anual, https://qroo.gob.mx/seq/medios-de-verificacion-de-la-planeacion-anual</w:t>
            </w:r>
            <w:r>
              <w:rPr>
                <w:rFonts w:cs="Arial"/>
                <w:sz w:val="20"/>
                <w:szCs w:val="20"/>
              </w:rPr>
              <w:t>.</w:t>
            </w:r>
          </w:p>
        </w:tc>
        <w:tc>
          <w:tcPr>
            <w:tcW w:w="1976" w:type="dxa"/>
            <w:shd w:val="clear" w:color="auto" w:fill="auto"/>
          </w:tcPr>
          <w:p w14:paraId="258AC3FC" w14:textId="77777777" w:rsidR="00E23746" w:rsidRPr="00574DAC" w:rsidRDefault="00E23746" w:rsidP="000B2F10">
            <w:pPr>
              <w:rPr>
                <w:rFonts w:cs="Arial"/>
                <w:sz w:val="20"/>
                <w:szCs w:val="20"/>
              </w:rPr>
            </w:pPr>
            <w:r w:rsidRPr="00574DAC">
              <w:rPr>
                <w:rFonts w:cs="Arial"/>
                <w:sz w:val="20"/>
                <w:szCs w:val="20"/>
              </w:rPr>
              <w:t>Los asesores externos especializados utilizan los materiales a nivel áulico.</w:t>
            </w:r>
          </w:p>
        </w:tc>
      </w:tr>
      <w:tr w:rsidR="00E23746" w:rsidRPr="00574DAC" w14:paraId="53073BED" w14:textId="77777777" w:rsidTr="00BF2AA6">
        <w:trPr>
          <w:trHeight w:val="1975"/>
        </w:trPr>
        <w:tc>
          <w:tcPr>
            <w:tcW w:w="1413" w:type="dxa"/>
            <w:shd w:val="clear" w:color="auto" w:fill="auto"/>
          </w:tcPr>
          <w:p w14:paraId="656C9187" w14:textId="77777777" w:rsidR="00E23746" w:rsidRPr="00574DAC" w:rsidRDefault="00E23746" w:rsidP="000B2F10">
            <w:pPr>
              <w:jc w:val="center"/>
              <w:rPr>
                <w:rFonts w:cs="Arial"/>
                <w:b/>
                <w:bCs/>
                <w:sz w:val="20"/>
                <w:szCs w:val="20"/>
              </w:rPr>
            </w:pPr>
            <w:r w:rsidRPr="00574DAC">
              <w:rPr>
                <w:rFonts w:cs="Arial"/>
                <w:b/>
                <w:bCs/>
                <w:sz w:val="20"/>
                <w:szCs w:val="20"/>
              </w:rPr>
              <w:t>Actividad</w:t>
            </w:r>
          </w:p>
        </w:tc>
        <w:tc>
          <w:tcPr>
            <w:tcW w:w="2693" w:type="dxa"/>
            <w:shd w:val="clear" w:color="auto" w:fill="auto"/>
          </w:tcPr>
          <w:p w14:paraId="1117D3A5" w14:textId="77777777" w:rsidR="00E23746" w:rsidRPr="00574DAC" w:rsidRDefault="00E23746" w:rsidP="000B2F10">
            <w:pPr>
              <w:rPr>
                <w:rFonts w:cs="Arial"/>
                <w:sz w:val="20"/>
                <w:szCs w:val="20"/>
              </w:rPr>
            </w:pPr>
            <w:r w:rsidRPr="00574DAC">
              <w:rPr>
                <w:rFonts w:cs="Arial"/>
                <w:sz w:val="20"/>
                <w:szCs w:val="20"/>
              </w:rPr>
              <w:t>Promover la enseñanza del inglés como lengua extranjera en los planteles regulares públicos de Educación Básica en la entidad</w:t>
            </w:r>
            <w:r>
              <w:rPr>
                <w:rFonts w:cs="Arial"/>
                <w:sz w:val="20"/>
                <w:szCs w:val="20"/>
              </w:rPr>
              <w:t>.</w:t>
            </w:r>
          </w:p>
        </w:tc>
        <w:tc>
          <w:tcPr>
            <w:tcW w:w="2835" w:type="dxa"/>
            <w:shd w:val="clear" w:color="auto" w:fill="auto"/>
          </w:tcPr>
          <w:p w14:paraId="5A1F0E1F" w14:textId="77777777" w:rsidR="00E23746" w:rsidRPr="00574DAC" w:rsidRDefault="00E23746" w:rsidP="000B2F10">
            <w:pPr>
              <w:rPr>
                <w:rFonts w:cs="Arial"/>
                <w:sz w:val="20"/>
                <w:szCs w:val="20"/>
              </w:rPr>
            </w:pPr>
            <w:r w:rsidRPr="00574DAC">
              <w:rPr>
                <w:rFonts w:cs="Arial"/>
                <w:sz w:val="20"/>
                <w:szCs w:val="20"/>
              </w:rPr>
              <w:t xml:space="preserve">C06.A05 - Certificación de alumnos y alumnas de 6to grado de primaria general e indígena y 3ro de secundaria general y </w:t>
            </w:r>
            <w:r w:rsidRPr="00766EE4">
              <w:rPr>
                <w:rFonts w:cs="Arial"/>
                <w:sz w:val="18"/>
                <w:szCs w:val="20"/>
              </w:rPr>
              <w:t>técnica focalizados en el dominio del inglés.</w:t>
            </w:r>
          </w:p>
        </w:tc>
        <w:tc>
          <w:tcPr>
            <w:tcW w:w="2268" w:type="dxa"/>
            <w:shd w:val="clear" w:color="FFFFFF" w:fill="FFFFFF"/>
          </w:tcPr>
          <w:p w14:paraId="746DA967" w14:textId="77777777" w:rsidR="00E23746" w:rsidRPr="00574DAC" w:rsidRDefault="00E23746" w:rsidP="000B2F10">
            <w:pPr>
              <w:rPr>
                <w:rFonts w:cs="Arial"/>
                <w:sz w:val="20"/>
                <w:szCs w:val="20"/>
              </w:rPr>
            </w:pPr>
            <w:r w:rsidRPr="00574DAC">
              <w:rPr>
                <w:rFonts w:cs="Arial"/>
                <w:sz w:val="20"/>
                <w:szCs w:val="20"/>
              </w:rPr>
              <w:t>C06A05 - Porcentaje de alumnos certificados</w:t>
            </w:r>
            <w:r>
              <w:rPr>
                <w:rFonts w:cs="Arial"/>
                <w:sz w:val="20"/>
                <w:szCs w:val="20"/>
              </w:rPr>
              <w:t>.</w:t>
            </w:r>
          </w:p>
        </w:tc>
        <w:tc>
          <w:tcPr>
            <w:tcW w:w="2835" w:type="dxa"/>
            <w:shd w:val="clear" w:color="auto" w:fill="auto"/>
          </w:tcPr>
          <w:p w14:paraId="2E08D512" w14:textId="77777777" w:rsidR="00E23746" w:rsidRPr="00574DAC" w:rsidRDefault="00E23746" w:rsidP="000B2F10">
            <w:pPr>
              <w:rPr>
                <w:rFonts w:cs="Arial"/>
                <w:sz w:val="20"/>
                <w:szCs w:val="20"/>
              </w:rPr>
            </w:pPr>
            <w:r w:rsidRPr="00574DAC">
              <w:rPr>
                <w:rFonts w:cs="Arial"/>
                <w:sz w:val="20"/>
                <w:szCs w:val="20"/>
              </w:rPr>
              <w:t>Informe de certificación del material realizado Anual, https://qroo.gob.mx/seq/medios-de-verificacion-de-la-planeacion-anual</w:t>
            </w:r>
            <w:r>
              <w:rPr>
                <w:rFonts w:cs="Arial"/>
                <w:sz w:val="20"/>
                <w:szCs w:val="20"/>
              </w:rPr>
              <w:t>.</w:t>
            </w:r>
          </w:p>
        </w:tc>
        <w:tc>
          <w:tcPr>
            <w:tcW w:w="1976" w:type="dxa"/>
            <w:shd w:val="clear" w:color="auto" w:fill="auto"/>
          </w:tcPr>
          <w:p w14:paraId="23E2E8BC" w14:textId="77777777" w:rsidR="00E23746" w:rsidRPr="00574DAC" w:rsidRDefault="00E23746" w:rsidP="000B2F10">
            <w:pPr>
              <w:rPr>
                <w:rFonts w:cs="Arial"/>
                <w:sz w:val="20"/>
                <w:szCs w:val="20"/>
              </w:rPr>
            </w:pPr>
            <w:r w:rsidRPr="00574DAC">
              <w:rPr>
                <w:rFonts w:cs="Arial"/>
                <w:sz w:val="20"/>
                <w:szCs w:val="20"/>
              </w:rPr>
              <w:t>Los alumnos obtienen la certificación</w:t>
            </w:r>
            <w:r>
              <w:rPr>
                <w:rFonts w:cs="Arial"/>
                <w:sz w:val="20"/>
                <w:szCs w:val="20"/>
              </w:rPr>
              <w:t>.</w:t>
            </w:r>
          </w:p>
        </w:tc>
      </w:tr>
      <w:tr w:rsidR="00E23746" w:rsidRPr="00574DAC" w14:paraId="168D4F91" w14:textId="77777777" w:rsidTr="00BF2AA6">
        <w:trPr>
          <w:trHeight w:val="2530"/>
        </w:trPr>
        <w:tc>
          <w:tcPr>
            <w:tcW w:w="1413" w:type="dxa"/>
            <w:shd w:val="clear" w:color="auto" w:fill="auto"/>
          </w:tcPr>
          <w:p w14:paraId="5792E5D0" w14:textId="77777777" w:rsidR="00E23746" w:rsidRPr="00574DAC" w:rsidRDefault="00E23746" w:rsidP="000B2F10">
            <w:pPr>
              <w:jc w:val="center"/>
              <w:rPr>
                <w:rFonts w:cs="Arial"/>
                <w:b/>
                <w:bCs/>
                <w:sz w:val="20"/>
                <w:szCs w:val="20"/>
              </w:rPr>
            </w:pPr>
            <w:r w:rsidRPr="00574DAC">
              <w:rPr>
                <w:rFonts w:cs="Arial"/>
                <w:b/>
                <w:bCs/>
                <w:sz w:val="20"/>
                <w:szCs w:val="20"/>
              </w:rPr>
              <w:t>Componente</w:t>
            </w:r>
          </w:p>
        </w:tc>
        <w:tc>
          <w:tcPr>
            <w:tcW w:w="2693" w:type="dxa"/>
            <w:shd w:val="clear" w:color="auto" w:fill="auto"/>
          </w:tcPr>
          <w:p w14:paraId="398739ED" w14:textId="77777777" w:rsidR="00E23746" w:rsidRPr="00574DAC" w:rsidRDefault="00E23746" w:rsidP="000B2F10">
            <w:pPr>
              <w:rPr>
                <w:rFonts w:cs="Arial"/>
                <w:sz w:val="20"/>
                <w:szCs w:val="20"/>
              </w:rPr>
            </w:pPr>
            <w:r w:rsidRPr="00574DAC">
              <w:rPr>
                <w:rFonts w:cs="Arial"/>
                <w:sz w:val="20"/>
                <w:szCs w:val="20"/>
              </w:rPr>
              <w:t>Impulsar un programa de desarrollo de competencias digitales para el aprendizaje</w:t>
            </w:r>
            <w:r>
              <w:rPr>
                <w:rFonts w:cs="Arial"/>
                <w:sz w:val="20"/>
                <w:szCs w:val="20"/>
              </w:rPr>
              <w:t>.</w:t>
            </w:r>
          </w:p>
        </w:tc>
        <w:tc>
          <w:tcPr>
            <w:tcW w:w="2835" w:type="dxa"/>
            <w:shd w:val="clear" w:color="auto" w:fill="auto"/>
          </w:tcPr>
          <w:p w14:paraId="13C5F904" w14:textId="77777777" w:rsidR="00E23746" w:rsidRPr="00574DAC" w:rsidRDefault="00E23746" w:rsidP="000B2F10">
            <w:pPr>
              <w:rPr>
                <w:rFonts w:cs="Arial"/>
                <w:sz w:val="20"/>
                <w:szCs w:val="20"/>
              </w:rPr>
            </w:pPr>
            <w:r w:rsidRPr="00574DAC">
              <w:rPr>
                <w:rFonts w:cs="Arial"/>
                <w:sz w:val="20"/>
                <w:szCs w:val="20"/>
              </w:rPr>
              <w:t>C07 - Programa para impulsar el desarrollo de habilidades digitales para el aprendizaje implementado</w:t>
            </w:r>
            <w:r>
              <w:rPr>
                <w:rFonts w:cs="Arial"/>
                <w:sz w:val="20"/>
                <w:szCs w:val="20"/>
              </w:rPr>
              <w:t>.</w:t>
            </w:r>
          </w:p>
        </w:tc>
        <w:tc>
          <w:tcPr>
            <w:tcW w:w="2268" w:type="dxa"/>
            <w:shd w:val="clear" w:color="FFFFFF" w:fill="FFFFFF"/>
          </w:tcPr>
          <w:p w14:paraId="2CEEBF9C" w14:textId="77777777" w:rsidR="00E23746" w:rsidRPr="00574DAC" w:rsidRDefault="00E23746" w:rsidP="000B2F10">
            <w:pPr>
              <w:rPr>
                <w:rFonts w:cs="Arial"/>
                <w:sz w:val="20"/>
                <w:szCs w:val="20"/>
              </w:rPr>
            </w:pPr>
            <w:r w:rsidRPr="00574DAC">
              <w:rPr>
                <w:rFonts w:cs="Arial"/>
                <w:sz w:val="20"/>
                <w:szCs w:val="20"/>
              </w:rPr>
              <w:t>C07 - Porcentaje de figuras educativas de educación básica pública que participan en el programa de desarrollo de habilidades digitales para el aprendizaje</w:t>
            </w:r>
            <w:r>
              <w:rPr>
                <w:rFonts w:cs="Arial"/>
                <w:sz w:val="20"/>
                <w:szCs w:val="20"/>
              </w:rPr>
              <w:t>.</w:t>
            </w:r>
          </w:p>
        </w:tc>
        <w:tc>
          <w:tcPr>
            <w:tcW w:w="2835" w:type="dxa"/>
            <w:shd w:val="clear" w:color="auto" w:fill="auto"/>
          </w:tcPr>
          <w:p w14:paraId="5E82B421" w14:textId="16EDB632" w:rsidR="00E23746" w:rsidRPr="00574DAC" w:rsidRDefault="00E23746" w:rsidP="00A01C9D">
            <w:pPr>
              <w:rPr>
                <w:rFonts w:cs="Arial"/>
                <w:sz w:val="20"/>
                <w:szCs w:val="20"/>
              </w:rPr>
            </w:pPr>
            <w:r w:rsidRPr="00574DAC">
              <w:rPr>
                <w:rFonts w:cs="Arial"/>
                <w:sz w:val="20"/>
                <w:szCs w:val="20"/>
              </w:rPr>
              <w:t xml:space="preserve">Reporte final del programa de Desarrollo de Habilidades Digitales generado por la Dirección de Sistemas y Telecomunicaciones, </w:t>
            </w:r>
            <w:hyperlink r:id="rId30" w:history="1">
              <w:r w:rsidRPr="003135B9">
                <w:rPr>
                  <w:rStyle w:val="Hipervnculo"/>
                  <w:rFonts w:cs="Arial"/>
                  <w:sz w:val="20"/>
                  <w:szCs w:val="20"/>
                </w:rPr>
                <w:t>https://qroo.gob.mx/seq/medios-de-verificacion-de-la-planeacion-anual</w:t>
              </w:r>
            </w:hyperlink>
            <w:r>
              <w:rPr>
                <w:rFonts w:cs="Arial"/>
                <w:sz w:val="20"/>
                <w:szCs w:val="20"/>
              </w:rPr>
              <w:t>.</w:t>
            </w:r>
          </w:p>
        </w:tc>
        <w:tc>
          <w:tcPr>
            <w:tcW w:w="1976" w:type="dxa"/>
            <w:shd w:val="clear" w:color="auto" w:fill="auto"/>
          </w:tcPr>
          <w:p w14:paraId="57453EF6" w14:textId="77777777" w:rsidR="00E23746" w:rsidRPr="00574DAC" w:rsidRDefault="00E23746" w:rsidP="000B2F10">
            <w:pPr>
              <w:rPr>
                <w:rFonts w:cs="Arial"/>
                <w:sz w:val="20"/>
                <w:szCs w:val="20"/>
              </w:rPr>
            </w:pPr>
            <w:r w:rsidRPr="00574DAC">
              <w:rPr>
                <w:rFonts w:cs="Arial"/>
                <w:sz w:val="20"/>
                <w:szCs w:val="20"/>
              </w:rPr>
              <w:t>Las figuras educativas adquieren habilidades digitales para el apoyo de sus funciones pedagógicas</w:t>
            </w:r>
            <w:r>
              <w:rPr>
                <w:rFonts w:cs="Arial"/>
                <w:sz w:val="20"/>
                <w:szCs w:val="20"/>
              </w:rPr>
              <w:t>.</w:t>
            </w:r>
          </w:p>
        </w:tc>
      </w:tr>
    </w:tbl>
    <w:p w14:paraId="2EB719C0" w14:textId="77777777" w:rsidR="00A01C9D" w:rsidRDefault="00A01C9D">
      <w:pPr>
        <w:spacing w:after="0" w:line="240" w:lineRule="auto"/>
        <w:jc w:val="left"/>
      </w:pPr>
      <w:r>
        <w:br w:type="page"/>
      </w:r>
    </w:p>
    <w:tbl>
      <w:tblPr>
        <w:tblW w:w="14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71"/>
        <w:gridCol w:w="2835"/>
        <w:gridCol w:w="2835"/>
        <w:gridCol w:w="2268"/>
        <w:gridCol w:w="2835"/>
        <w:gridCol w:w="1976"/>
      </w:tblGrid>
      <w:tr w:rsidR="00E23746" w:rsidRPr="00574DAC" w14:paraId="36ECEBC9" w14:textId="77777777" w:rsidTr="00C91C82">
        <w:trPr>
          <w:trHeight w:val="679"/>
        </w:trPr>
        <w:tc>
          <w:tcPr>
            <w:tcW w:w="1271" w:type="dxa"/>
            <w:shd w:val="clear" w:color="000000" w:fill="BFBFBF"/>
            <w:vAlign w:val="center"/>
            <w:hideMark/>
          </w:tcPr>
          <w:p w14:paraId="46322C3E"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lastRenderedPageBreak/>
              <w:t>NIVEL</w:t>
            </w:r>
          </w:p>
        </w:tc>
        <w:tc>
          <w:tcPr>
            <w:tcW w:w="2835" w:type="dxa"/>
            <w:shd w:val="clear" w:color="000000" w:fill="BFBFBF"/>
            <w:vAlign w:val="center"/>
            <w:hideMark/>
          </w:tcPr>
          <w:p w14:paraId="0DD813B4"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ALINEACIÓN PED/PD</w:t>
            </w:r>
          </w:p>
        </w:tc>
        <w:tc>
          <w:tcPr>
            <w:tcW w:w="2835" w:type="dxa"/>
            <w:shd w:val="clear" w:color="000000" w:fill="BFBFBF"/>
            <w:vAlign w:val="center"/>
            <w:hideMark/>
          </w:tcPr>
          <w:p w14:paraId="35789750"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OBJETIVO</w:t>
            </w:r>
          </w:p>
        </w:tc>
        <w:tc>
          <w:tcPr>
            <w:tcW w:w="2268" w:type="dxa"/>
            <w:shd w:val="clear" w:color="000000" w:fill="BFBFBF"/>
            <w:vAlign w:val="center"/>
            <w:hideMark/>
          </w:tcPr>
          <w:p w14:paraId="6E51B75E"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INDICADOR</w:t>
            </w:r>
          </w:p>
        </w:tc>
        <w:tc>
          <w:tcPr>
            <w:tcW w:w="2835" w:type="dxa"/>
            <w:shd w:val="clear" w:color="000000" w:fill="BFBFBF"/>
            <w:vAlign w:val="center"/>
            <w:hideMark/>
          </w:tcPr>
          <w:p w14:paraId="4FF49326"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MEDIOS DE VERIFICACIÓN</w:t>
            </w:r>
          </w:p>
        </w:tc>
        <w:tc>
          <w:tcPr>
            <w:tcW w:w="1976" w:type="dxa"/>
            <w:shd w:val="clear" w:color="000000" w:fill="BFBFBF"/>
            <w:vAlign w:val="center"/>
            <w:hideMark/>
          </w:tcPr>
          <w:p w14:paraId="74BDF856"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SUPUESTO</w:t>
            </w:r>
          </w:p>
        </w:tc>
      </w:tr>
      <w:tr w:rsidR="00E23746" w:rsidRPr="00574DAC" w14:paraId="26564F24" w14:textId="77777777" w:rsidTr="00C91C82">
        <w:trPr>
          <w:trHeight w:val="281"/>
        </w:trPr>
        <w:tc>
          <w:tcPr>
            <w:tcW w:w="1271" w:type="dxa"/>
            <w:shd w:val="clear" w:color="auto" w:fill="auto"/>
          </w:tcPr>
          <w:p w14:paraId="3A1E5144" w14:textId="77777777" w:rsidR="00E23746" w:rsidRPr="00574DAC" w:rsidRDefault="00E23746" w:rsidP="000B2F10">
            <w:pPr>
              <w:jc w:val="center"/>
              <w:rPr>
                <w:rFonts w:cs="Arial"/>
                <w:b/>
                <w:bCs/>
                <w:sz w:val="20"/>
                <w:szCs w:val="20"/>
              </w:rPr>
            </w:pPr>
            <w:r w:rsidRPr="00574DAC">
              <w:rPr>
                <w:rFonts w:cs="Arial"/>
                <w:b/>
                <w:bCs/>
                <w:sz w:val="20"/>
                <w:szCs w:val="20"/>
              </w:rPr>
              <w:t>Actividad</w:t>
            </w:r>
          </w:p>
        </w:tc>
        <w:tc>
          <w:tcPr>
            <w:tcW w:w="2835" w:type="dxa"/>
            <w:shd w:val="clear" w:color="auto" w:fill="auto"/>
          </w:tcPr>
          <w:p w14:paraId="38206FFA" w14:textId="77777777" w:rsidR="00E23746" w:rsidRPr="00574DAC" w:rsidRDefault="00E23746" w:rsidP="000B2F10">
            <w:pPr>
              <w:rPr>
                <w:rFonts w:cs="Arial"/>
                <w:sz w:val="20"/>
                <w:szCs w:val="20"/>
              </w:rPr>
            </w:pPr>
            <w:r w:rsidRPr="00574DAC">
              <w:rPr>
                <w:rFonts w:cs="Arial"/>
                <w:sz w:val="20"/>
                <w:szCs w:val="20"/>
              </w:rPr>
              <w:t>Impulsar un programa de desarrollo de competencias digitales para el aprendizaje</w:t>
            </w:r>
            <w:r>
              <w:rPr>
                <w:rFonts w:cs="Arial"/>
                <w:sz w:val="20"/>
                <w:szCs w:val="20"/>
              </w:rPr>
              <w:t>.</w:t>
            </w:r>
          </w:p>
        </w:tc>
        <w:tc>
          <w:tcPr>
            <w:tcW w:w="2835" w:type="dxa"/>
            <w:shd w:val="clear" w:color="auto" w:fill="auto"/>
          </w:tcPr>
          <w:p w14:paraId="4F748E3B" w14:textId="77777777" w:rsidR="00E23746" w:rsidRPr="00574DAC" w:rsidRDefault="00E23746" w:rsidP="000B2F10">
            <w:pPr>
              <w:rPr>
                <w:rFonts w:cs="Arial"/>
                <w:sz w:val="20"/>
                <w:szCs w:val="20"/>
              </w:rPr>
            </w:pPr>
            <w:r w:rsidRPr="00574DAC">
              <w:rPr>
                <w:rFonts w:cs="Arial"/>
                <w:sz w:val="20"/>
                <w:szCs w:val="20"/>
              </w:rPr>
              <w:t>C07.A01 - Capacitación a figuras educativas a través de cursos, talleres y conferencias en habilidades digitales</w:t>
            </w:r>
            <w:r>
              <w:rPr>
                <w:rFonts w:cs="Arial"/>
                <w:sz w:val="20"/>
                <w:szCs w:val="20"/>
              </w:rPr>
              <w:t>.</w:t>
            </w:r>
          </w:p>
        </w:tc>
        <w:tc>
          <w:tcPr>
            <w:tcW w:w="2268" w:type="dxa"/>
            <w:shd w:val="clear" w:color="FFFFFF" w:fill="FFFFFF"/>
          </w:tcPr>
          <w:p w14:paraId="4581410E" w14:textId="77777777" w:rsidR="00E23746" w:rsidRPr="00574DAC" w:rsidRDefault="00E23746" w:rsidP="000B2F10">
            <w:pPr>
              <w:rPr>
                <w:rFonts w:cs="Arial"/>
                <w:sz w:val="20"/>
                <w:szCs w:val="20"/>
              </w:rPr>
            </w:pPr>
            <w:r w:rsidRPr="00574DAC">
              <w:rPr>
                <w:rFonts w:cs="Arial"/>
                <w:sz w:val="20"/>
                <w:szCs w:val="20"/>
              </w:rPr>
              <w:t>C07A0</w:t>
            </w:r>
            <w:r>
              <w:rPr>
                <w:rFonts w:cs="Arial"/>
                <w:sz w:val="20"/>
                <w:szCs w:val="20"/>
              </w:rPr>
              <w:t>1</w:t>
            </w:r>
            <w:r w:rsidRPr="00574DAC">
              <w:rPr>
                <w:rFonts w:cs="Arial"/>
                <w:sz w:val="20"/>
                <w:szCs w:val="20"/>
              </w:rPr>
              <w:t xml:space="preserve"> - Porcentaje de figuras educativas capacitados</w:t>
            </w:r>
            <w:r>
              <w:rPr>
                <w:rFonts w:cs="Arial"/>
                <w:sz w:val="20"/>
                <w:szCs w:val="20"/>
              </w:rPr>
              <w:t>.</w:t>
            </w:r>
          </w:p>
        </w:tc>
        <w:tc>
          <w:tcPr>
            <w:tcW w:w="2835" w:type="dxa"/>
            <w:shd w:val="clear" w:color="auto" w:fill="auto"/>
          </w:tcPr>
          <w:p w14:paraId="0AA984D7" w14:textId="77777777" w:rsidR="00E23746" w:rsidRPr="00574DAC" w:rsidRDefault="00E23746" w:rsidP="000B2F10">
            <w:pPr>
              <w:rPr>
                <w:rFonts w:cs="Arial"/>
                <w:sz w:val="20"/>
                <w:szCs w:val="20"/>
              </w:rPr>
            </w:pPr>
            <w:r w:rsidRPr="00574DAC">
              <w:rPr>
                <w:rFonts w:cs="Arial"/>
                <w:sz w:val="20"/>
                <w:szCs w:val="20"/>
              </w:rPr>
              <w:t>Listas de asistencia a cursos y talleres. En resguardo de la jefatura de departamento de tecnología educativa. https://qroo.gob.mx/seq/medios-de-verificacion-de-la-planeacion-anual</w:t>
            </w:r>
            <w:r>
              <w:rPr>
                <w:rFonts w:cs="Arial"/>
                <w:sz w:val="20"/>
                <w:szCs w:val="20"/>
              </w:rPr>
              <w:t>.</w:t>
            </w:r>
          </w:p>
        </w:tc>
        <w:tc>
          <w:tcPr>
            <w:tcW w:w="1976" w:type="dxa"/>
            <w:shd w:val="clear" w:color="auto" w:fill="auto"/>
          </w:tcPr>
          <w:p w14:paraId="2459DBE9" w14:textId="77777777" w:rsidR="00E23746" w:rsidRPr="00574DAC" w:rsidRDefault="00E23746" w:rsidP="000B2F10">
            <w:pPr>
              <w:rPr>
                <w:rFonts w:cs="Arial"/>
                <w:sz w:val="20"/>
                <w:szCs w:val="20"/>
              </w:rPr>
            </w:pPr>
            <w:r w:rsidRPr="00574DAC">
              <w:rPr>
                <w:rFonts w:cs="Arial"/>
                <w:sz w:val="20"/>
                <w:szCs w:val="20"/>
              </w:rPr>
              <w:t>Las figuras educativas aplican las habilidades digitales adquiridas.</w:t>
            </w:r>
          </w:p>
        </w:tc>
      </w:tr>
      <w:tr w:rsidR="00E23746" w:rsidRPr="00574DAC" w14:paraId="3B3B1D0A" w14:textId="77777777" w:rsidTr="00C91C82">
        <w:trPr>
          <w:trHeight w:val="1840"/>
        </w:trPr>
        <w:tc>
          <w:tcPr>
            <w:tcW w:w="1271" w:type="dxa"/>
            <w:shd w:val="clear" w:color="auto" w:fill="auto"/>
          </w:tcPr>
          <w:p w14:paraId="5826D538" w14:textId="77777777" w:rsidR="00E23746" w:rsidRPr="00574DAC" w:rsidRDefault="00E23746" w:rsidP="000B2F10">
            <w:pPr>
              <w:jc w:val="center"/>
              <w:rPr>
                <w:rFonts w:cs="Arial"/>
                <w:b/>
                <w:bCs/>
                <w:sz w:val="20"/>
                <w:szCs w:val="20"/>
              </w:rPr>
            </w:pPr>
            <w:r w:rsidRPr="00574DAC">
              <w:rPr>
                <w:rFonts w:cs="Arial"/>
                <w:b/>
                <w:bCs/>
                <w:sz w:val="20"/>
                <w:szCs w:val="20"/>
              </w:rPr>
              <w:t>Actividad</w:t>
            </w:r>
          </w:p>
        </w:tc>
        <w:tc>
          <w:tcPr>
            <w:tcW w:w="2835" w:type="dxa"/>
            <w:shd w:val="clear" w:color="auto" w:fill="auto"/>
          </w:tcPr>
          <w:p w14:paraId="64CEA793" w14:textId="77777777" w:rsidR="00E23746" w:rsidRPr="00574DAC" w:rsidRDefault="00E23746" w:rsidP="000B2F10">
            <w:pPr>
              <w:rPr>
                <w:rFonts w:cs="Arial"/>
                <w:sz w:val="20"/>
                <w:szCs w:val="20"/>
              </w:rPr>
            </w:pPr>
            <w:r w:rsidRPr="00574DAC">
              <w:rPr>
                <w:rFonts w:cs="Arial"/>
                <w:sz w:val="20"/>
                <w:szCs w:val="20"/>
              </w:rPr>
              <w:t>Impulsar un programa de desarrollo de competencias digitales para el aprendizaje</w:t>
            </w:r>
            <w:r>
              <w:rPr>
                <w:rFonts w:cs="Arial"/>
                <w:sz w:val="20"/>
                <w:szCs w:val="20"/>
              </w:rPr>
              <w:t>.</w:t>
            </w:r>
          </w:p>
        </w:tc>
        <w:tc>
          <w:tcPr>
            <w:tcW w:w="2835" w:type="dxa"/>
            <w:shd w:val="clear" w:color="auto" w:fill="auto"/>
          </w:tcPr>
          <w:p w14:paraId="66FF9142" w14:textId="77777777" w:rsidR="00E23746" w:rsidRPr="00574DAC" w:rsidRDefault="00E23746" w:rsidP="000B2F10">
            <w:pPr>
              <w:rPr>
                <w:rFonts w:cs="Arial"/>
                <w:sz w:val="20"/>
                <w:szCs w:val="20"/>
              </w:rPr>
            </w:pPr>
            <w:r w:rsidRPr="00574DAC">
              <w:rPr>
                <w:rFonts w:cs="Arial"/>
                <w:sz w:val="20"/>
                <w:szCs w:val="20"/>
              </w:rPr>
              <w:t>C07.A02 - Asesoramiento de figuras educativas para el desarrollo de proyectos de aprendizaje usando TIC</w:t>
            </w:r>
            <w:r>
              <w:rPr>
                <w:rFonts w:cs="Arial"/>
                <w:sz w:val="20"/>
                <w:szCs w:val="20"/>
              </w:rPr>
              <w:t>.</w:t>
            </w:r>
          </w:p>
        </w:tc>
        <w:tc>
          <w:tcPr>
            <w:tcW w:w="2268" w:type="dxa"/>
            <w:shd w:val="clear" w:color="FFFFFF" w:fill="FFFFFF"/>
          </w:tcPr>
          <w:p w14:paraId="75748F87" w14:textId="77777777" w:rsidR="00E23746" w:rsidRPr="00574DAC" w:rsidRDefault="00E23746" w:rsidP="000B2F10">
            <w:pPr>
              <w:rPr>
                <w:rFonts w:cs="Arial"/>
                <w:sz w:val="20"/>
                <w:szCs w:val="20"/>
              </w:rPr>
            </w:pPr>
            <w:r w:rsidRPr="00574DAC">
              <w:rPr>
                <w:rFonts w:cs="Arial"/>
                <w:sz w:val="20"/>
                <w:szCs w:val="20"/>
              </w:rPr>
              <w:t>C07A02 - Porcentaje de figuras educativas asesoradas para el desarrollo de proyectos de aprendizaje usando TIC</w:t>
            </w:r>
            <w:r>
              <w:rPr>
                <w:rFonts w:cs="Arial"/>
                <w:sz w:val="20"/>
                <w:szCs w:val="20"/>
              </w:rPr>
              <w:t>.</w:t>
            </w:r>
          </w:p>
        </w:tc>
        <w:tc>
          <w:tcPr>
            <w:tcW w:w="2835" w:type="dxa"/>
            <w:shd w:val="clear" w:color="auto" w:fill="auto"/>
          </w:tcPr>
          <w:p w14:paraId="13B3263B" w14:textId="77777777" w:rsidR="00E23746" w:rsidRPr="00574DAC" w:rsidRDefault="00E23746" w:rsidP="000B2F10">
            <w:pPr>
              <w:rPr>
                <w:rFonts w:cs="Arial"/>
                <w:sz w:val="20"/>
                <w:szCs w:val="20"/>
              </w:rPr>
            </w:pPr>
            <w:r w:rsidRPr="00574DAC">
              <w:rPr>
                <w:rFonts w:cs="Arial"/>
                <w:sz w:val="20"/>
                <w:szCs w:val="20"/>
              </w:rPr>
              <w:t>Bitácoras de tutoría y asesorías. En resguardo de la jefatura de departamento de tecnología educativa cuatrimestral. https://qroo.gob.mx/seq/medios-de-verificacion-de-la-planeacion-anual</w:t>
            </w:r>
            <w:r>
              <w:rPr>
                <w:rFonts w:cs="Arial"/>
                <w:sz w:val="20"/>
                <w:szCs w:val="20"/>
              </w:rPr>
              <w:t>.</w:t>
            </w:r>
          </w:p>
        </w:tc>
        <w:tc>
          <w:tcPr>
            <w:tcW w:w="1976" w:type="dxa"/>
            <w:shd w:val="clear" w:color="auto" w:fill="auto"/>
          </w:tcPr>
          <w:p w14:paraId="5ACE6665" w14:textId="77777777" w:rsidR="00E23746" w:rsidRPr="00574DAC" w:rsidRDefault="00E23746" w:rsidP="000B2F10">
            <w:pPr>
              <w:rPr>
                <w:rFonts w:cs="Arial"/>
                <w:sz w:val="20"/>
                <w:szCs w:val="20"/>
              </w:rPr>
            </w:pPr>
            <w:r w:rsidRPr="00574DAC">
              <w:rPr>
                <w:rFonts w:cs="Arial"/>
                <w:sz w:val="20"/>
                <w:szCs w:val="20"/>
              </w:rPr>
              <w:t>Las figuras educativas desarrollan proyectos para aplicar en sus funciones pedagógicas.</w:t>
            </w:r>
          </w:p>
        </w:tc>
      </w:tr>
      <w:tr w:rsidR="00E23746" w:rsidRPr="00574DAC" w14:paraId="103F45EA" w14:textId="77777777" w:rsidTr="00C91C82">
        <w:trPr>
          <w:trHeight w:val="2180"/>
        </w:trPr>
        <w:tc>
          <w:tcPr>
            <w:tcW w:w="1271" w:type="dxa"/>
            <w:shd w:val="clear" w:color="auto" w:fill="auto"/>
          </w:tcPr>
          <w:p w14:paraId="65D5D522" w14:textId="77777777" w:rsidR="00E23746" w:rsidRPr="00574DAC" w:rsidRDefault="00E23746" w:rsidP="000B2F10">
            <w:pPr>
              <w:jc w:val="center"/>
              <w:rPr>
                <w:rFonts w:cs="Arial"/>
                <w:b/>
                <w:bCs/>
                <w:sz w:val="20"/>
                <w:szCs w:val="20"/>
              </w:rPr>
            </w:pPr>
            <w:r w:rsidRPr="00574DAC">
              <w:rPr>
                <w:rFonts w:cs="Arial"/>
                <w:b/>
                <w:bCs/>
                <w:sz w:val="20"/>
                <w:szCs w:val="20"/>
              </w:rPr>
              <w:t>Actividad</w:t>
            </w:r>
          </w:p>
        </w:tc>
        <w:tc>
          <w:tcPr>
            <w:tcW w:w="2835" w:type="dxa"/>
            <w:shd w:val="clear" w:color="auto" w:fill="auto"/>
          </w:tcPr>
          <w:p w14:paraId="575E64A6" w14:textId="77777777" w:rsidR="00E23746" w:rsidRPr="00574DAC" w:rsidRDefault="00E23746" w:rsidP="000B2F10">
            <w:pPr>
              <w:rPr>
                <w:rFonts w:cs="Arial"/>
                <w:sz w:val="20"/>
                <w:szCs w:val="20"/>
              </w:rPr>
            </w:pPr>
            <w:r w:rsidRPr="00574DAC">
              <w:rPr>
                <w:rFonts w:cs="Arial"/>
                <w:sz w:val="20"/>
                <w:szCs w:val="20"/>
              </w:rPr>
              <w:t>Impulsar un programa de desarrollo de competencias digitales para el aprendizaje</w:t>
            </w:r>
            <w:r>
              <w:rPr>
                <w:rFonts w:cs="Arial"/>
                <w:sz w:val="20"/>
                <w:szCs w:val="20"/>
              </w:rPr>
              <w:t>.</w:t>
            </w:r>
          </w:p>
        </w:tc>
        <w:tc>
          <w:tcPr>
            <w:tcW w:w="2835" w:type="dxa"/>
            <w:shd w:val="clear" w:color="auto" w:fill="auto"/>
          </w:tcPr>
          <w:p w14:paraId="5B481257" w14:textId="77777777" w:rsidR="00E23746" w:rsidRPr="00574DAC" w:rsidRDefault="00E23746" w:rsidP="000B2F10">
            <w:pPr>
              <w:rPr>
                <w:rFonts w:cs="Arial"/>
                <w:sz w:val="20"/>
                <w:szCs w:val="20"/>
              </w:rPr>
            </w:pPr>
            <w:r w:rsidRPr="00574DAC">
              <w:rPr>
                <w:rFonts w:cs="Arial"/>
                <w:sz w:val="20"/>
                <w:szCs w:val="20"/>
              </w:rPr>
              <w:t>C07.A03 - Atención de los requerimientos relacionados con Tecnologías de la Información y Comunicación</w:t>
            </w:r>
            <w:r>
              <w:rPr>
                <w:rFonts w:cs="Arial"/>
                <w:sz w:val="20"/>
                <w:szCs w:val="20"/>
              </w:rPr>
              <w:t>.</w:t>
            </w:r>
          </w:p>
        </w:tc>
        <w:tc>
          <w:tcPr>
            <w:tcW w:w="2268" w:type="dxa"/>
            <w:shd w:val="clear" w:color="FFFFFF" w:fill="FFFFFF"/>
          </w:tcPr>
          <w:p w14:paraId="76F46BDE" w14:textId="77777777" w:rsidR="00E23746" w:rsidRPr="00574DAC" w:rsidRDefault="00E23746" w:rsidP="000B2F10">
            <w:pPr>
              <w:rPr>
                <w:rFonts w:cs="Arial"/>
                <w:sz w:val="20"/>
                <w:szCs w:val="20"/>
              </w:rPr>
            </w:pPr>
            <w:r w:rsidRPr="00574DAC">
              <w:rPr>
                <w:rFonts w:cs="Arial"/>
                <w:sz w:val="20"/>
                <w:szCs w:val="20"/>
              </w:rPr>
              <w:t>C07A03 - Porcentaje de requerimientos en tic atendidos</w:t>
            </w:r>
            <w:r>
              <w:rPr>
                <w:rFonts w:cs="Arial"/>
                <w:sz w:val="20"/>
                <w:szCs w:val="20"/>
              </w:rPr>
              <w:t>.</w:t>
            </w:r>
          </w:p>
        </w:tc>
        <w:tc>
          <w:tcPr>
            <w:tcW w:w="2835" w:type="dxa"/>
            <w:shd w:val="clear" w:color="auto" w:fill="auto"/>
          </w:tcPr>
          <w:p w14:paraId="06D2F5C2" w14:textId="5C521BFA" w:rsidR="00E23746" w:rsidRPr="00574DAC" w:rsidRDefault="00E23746" w:rsidP="00A01C9D">
            <w:pPr>
              <w:rPr>
                <w:rFonts w:cs="Arial"/>
                <w:sz w:val="20"/>
                <w:szCs w:val="20"/>
              </w:rPr>
            </w:pPr>
            <w:r w:rsidRPr="00574DAC">
              <w:rPr>
                <w:rFonts w:cs="Arial"/>
                <w:sz w:val="20"/>
                <w:szCs w:val="20"/>
              </w:rPr>
              <w:t xml:space="preserve">Reporte detallado de servicios atendidos capturados en el Sistema de Control de Servicios Informáticos de los SEQ, trimestral. </w:t>
            </w:r>
            <w:hyperlink r:id="rId31" w:history="1">
              <w:r w:rsidRPr="003135B9">
                <w:rPr>
                  <w:rStyle w:val="Hipervnculo"/>
                  <w:rFonts w:cs="Arial"/>
                  <w:sz w:val="20"/>
                  <w:szCs w:val="20"/>
                </w:rPr>
                <w:t>https://qroo.gob.mx/seq/medios-de-verificacion-de-la-planeacion-anual</w:t>
              </w:r>
            </w:hyperlink>
            <w:r>
              <w:rPr>
                <w:rFonts w:cs="Arial"/>
                <w:sz w:val="20"/>
                <w:szCs w:val="20"/>
              </w:rPr>
              <w:t>.</w:t>
            </w:r>
          </w:p>
        </w:tc>
        <w:tc>
          <w:tcPr>
            <w:tcW w:w="1976" w:type="dxa"/>
            <w:shd w:val="clear" w:color="auto" w:fill="auto"/>
          </w:tcPr>
          <w:p w14:paraId="662ABA70" w14:textId="77777777" w:rsidR="00E23746" w:rsidRPr="00574DAC" w:rsidRDefault="00E23746" w:rsidP="000B2F10">
            <w:pPr>
              <w:rPr>
                <w:rFonts w:cs="Arial"/>
                <w:sz w:val="20"/>
                <w:szCs w:val="20"/>
              </w:rPr>
            </w:pPr>
            <w:r w:rsidRPr="00574DAC">
              <w:rPr>
                <w:rFonts w:cs="Arial"/>
                <w:sz w:val="20"/>
                <w:szCs w:val="20"/>
              </w:rPr>
              <w:t>Los usuarios solicitan oportunamente servicios de atención a tecnologías de la información y la comunicación</w:t>
            </w:r>
            <w:r>
              <w:rPr>
                <w:rFonts w:cs="Arial"/>
                <w:sz w:val="20"/>
                <w:szCs w:val="20"/>
              </w:rPr>
              <w:t>.</w:t>
            </w:r>
          </w:p>
        </w:tc>
      </w:tr>
    </w:tbl>
    <w:p w14:paraId="288990F1" w14:textId="77777777" w:rsidR="00A01C9D" w:rsidRDefault="00A01C9D">
      <w:pPr>
        <w:spacing w:after="0" w:line="240" w:lineRule="auto"/>
        <w:jc w:val="left"/>
      </w:pPr>
      <w:r>
        <w:br w:type="page"/>
      </w:r>
    </w:p>
    <w:tbl>
      <w:tblPr>
        <w:tblW w:w="14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3"/>
        <w:gridCol w:w="2693"/>
        <w:gridCol w:w="2835"/>
        <w:gridCol w:w="2268"/>
        <w:gridCol w:w="2835"/>
        <w:gridCol w:w="1976"/>
      </w:tblGrid>
      <w:tr w:rsidR="00E23746" w:rsidRPr="00574DAC" w14:paraId="1909DBA5" w14:textId="77777777" w:rsidTr="00BF2AA6">
        <w:trPr>
          <w:trHeight w:val="679"/>
        </w:trPr>
        <w:tc>
          <w:tcPr>
            <w:tcW w:w="1413" w:type="dxa"/>
            <w:shd w:val="clear" w:color="000000" w:fill="BFBFBF"/>
            <w:vAlign w:val="center"/>
            <w:hideMark/>
          </w:tcPr>
          <w:p w14:paraId="6669D2B6"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lastRenderedPageBreak/>
              <w:t>NIVEL</w:t>
            </w:r>
          </w:p>
        </w:tc>
        <w:tc>
          <w:tcPr>
            <w:tcW w:w="2693" w:type="dxa"/>
            <w:shd w:val="clear" w:color="000000" w:fill="BFBFBF"/>
            <w:vAlign w:val="center"/>
            <w:hideMark/>
          </w:tcPr>
          <w:p w14:paraId="04C56C82"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ALINEACIÓN PED/PD</w:t>
            </w:r>
          </w:p>
        </w:tc>
        <w:tc>
          <w:tcPr>
            <w:tcW w:w="2835" w:type="dxa"/>
            <w:shd w:val="clear" w:color="000000" w:fill="BFBFBF"/>
            <w:vAlign w:val="center"/>
            <w:hideMark/>
          </w:tcPr>
          <w:p w14:paraId="24E06948"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OBJETIVO</w:t>
            </w:r>
          </w:p>
        </w:tc>
        <w:tc>
          <w:tcPr>
            <w:tcW w:w="2268" w:type="dxa"/>
            <w:shd w:val="clear" w:color="000000" w:fill="BFBFBF"/>
            <w:vAlign w:val="center"/>
            <w:hideMark/>
          </w:tcPr>
          <w:p w14:paraId="5033AF85"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INDICADOR</w:t>
            </w:r>
          </w:p>
        </w:tc>
        <w:tc>
          <w:tcPr>
            <w:tcW w:w="2835" w:type="dxa"/>
            <w:shd w:val="clear" w:color="000000" w:fill="BFBFBF"/>
            <w:vAlign w:val="center"/>
            <w:hideMark/>
          </w:tcPr>
          <w:p w14:paraId="69E15C47"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MEDIOS DE VERIFICACIÓN</w:t>
            </w:r>
          </w:p>
        </w:tc>
        <w:tc>
          <w:tcPr>
            <w:tcW w:w="1976" w:type="dxa"/>
            <w:shd w:val="clear" w:color="000000" w:fill="BFBFBF"/>
            <w:vAlign w:val="center"/>
            <w:hideMark/>
          </w:tcPr>
          <w:p w14:paraId="059DFD44"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SUPUESTO</w:t>
            </w:r>
          </w:p>
        </w:tc>
      </w:tr>
      <w:tr w:rsidR="00E23746" w:rsidRPr="00574DAC" w14:paraId="37609D14" w14:textId="77777777" w:rsidTr="00BF2AA6">
        <w:trPr>
          <w:trHeight w:val="1703"/>
        </w:trPr>
        <w:tc>
          <w:tcPr>
            <w:tcW w:w="1413" w:type="dxa"/>
            <w:shd w:val="clear" w:color="auto" w:fill="auto"/>
          </w:tcPr>
          <w:p w14:paraId="2A3BF66D" w14:textId="77777777" w:rsidR="00E23746" w:rsidRPr="00574DAC" w:rsidRDefault="00E23746" w:rsidP="000B2F10">
            <w:pPr>
              <w:jc w:val="center"/>
              <w:rPr>
                <w:rFonts w:cs="Arial"/>
                <w:b/>
                <w:bCs/>
                <w:sz w:val="20"/>
                <w:szCs w:val="20"/>
              </w:rPr>
            </w:pPr>
            <w:r w:rsidRPr="00574DAC">
              <w:rPr>
                <w:rFonts w:cs="Arial"/>
                <w:b/>
                <w:bCs/>
                <w:sz w:val="20"/>
                <w:szCs w:val="20"/>
              </w:rPr>
              <w:t>Componente</w:t>
            </w:r>
          </w:p>
        </w:tc>
        <w:tc>
          <w:tcPr>
            <w:tcW w:w="2693" w:type="dxa"/>
            <w:shd w:val="clear" w:color="auto" w:fill="auto"/>
          </w:tcPr>
          <w:p w14:paraId="596970E3" w14:textId="77777777" w:rsidR="00E23746" w:rsidRPr="00574DAC" w:rsidRDefault="00E23746" w:rsidP="000B2F10">
            <w:pPr>
              <w:rPr>
                <w:rFonts w:cs="Arial"/>
                <w:sz w:val="20"/>
                <w:szCs w:val="20"/>
              </w:rPr>
            </w:pPr>
            <w:r w:rsidRPr="00574DAC">
              <w:rPr>
                <w:rFonts w:cs="Arial"/>
                <w:sz w:val="20"/>
                <w:szCs w:val="20"/>
              </w:rPr>
              <w:t>Fortalecer el liderazgo académico de figuras directivas y docentes para favorecer los aprendizajes significativos entre los estudiantes de Educación Básica</w:t>
            </w:r>
            <w:r>
              <w:rPr>
                <w:rFonts w:cs="Arial"/>
                <w:sz w:val="20"/>
                <w:szCs w:val="20"/>
              </w:rPr>
              <w:t>.</w:t>
            </w:r>
          </w:p>
        </w:tc>
        <w:tc>
          <w:tcPr>
            <w:tcW w:w="2835" w:type="dxa"/>
            <w:shd w:val="clear" w:color="auto" w:fill="auto"/>
          </w:tcPr>
          <w:p w14:paraId="3D1CA4A2" w14:textId="77777777" w:rsidR="00E23746" w:rsidRDefault="00E23746" w:rsidP="000B2F10">
            <w:pPr>
              <w:rPr>
                <w:rFonts w:cs="Arial"/>
                <w:sz w:val="20"/>
                <w:szCs w:val="20"/>
              </w:rPr>
            </w:pPr>
            <w:r w:rsidRPr="00574DAC">
              <w:rPr>
                <w:rFonts w:cs="Arial"/>
                <w:sz w:val="20"/>
                <w:szCs w:val="20"/>
              </w:rPr>
              <w:t>C08 - Liderazgo académico de figuras directivas y docentes de educación básica fortalecidos generando los aprendizajes significativos entre los estudiantes de Educación Básica.</w:t>
            </w:r>
          </w:p>
          <w:p w14:paraId="0EE4B179" w14:textId="77777777" w:rsidR="00E23746" w:rsidRPr="00574DAC" w:rsidRDefault="00E23746" w:rsidP="000B2F10">
            <w:pPr>
              <w:rPr>
                <w:rFonts w:cs="Arial"/>
                <w:sz w:val="20"/>
                <w:szCs w:val="20"/>
              </w:rPr>
            </w:pPr>
          </w:p>
        </w:tc>
        <w:tc>
          <w:tcPr>
            <w:tcW w:w="2268" w:type="dxa"/>
            <w:shd w:val="clear" w:color="FFFFFF" w:fill="FFFFFF"/>
          </w:tcPr>
          <w:p w14:paraId="76792188" w14:textId="77777777" w:rsidR="00E23746" w:rsidRPr="00574DAC" w:rsidRDefault="00E23746" w:rsidP="000B2F10">
            <w:pPr>
              <w:rPr>
                <w:rFonts w:cs="Arial"/>
                <w:sz w:val="20"/>
                <w:szCs w:val="20"/>
              </w:rPr>
            </w:pPr>
            <w:r w:rsidRPr="00574DAC">
              <w:rPr>
                <w:rFonts w:cs="Arial"/>
                <w:sz w:val="20"/>
                <w:szCs w:val="20"/>
              </w:rPr>
              <w:t>C08 - Porcentaje de docentes que concluyen los procesos de formación</w:t>
            </w:r>
            <w:r>
              <w:rPr>
                <w:rFonts w:cs="Arial"/>
                <w:sz w:val="20"/>
                <w:szCs w:val="20"/>
              </w:rPr>
              <w:t>.</w:t>
            </w:r>
          </w:p>
        </w:tc>
        <w:tc>
          <w:tcPr>
            <w:tcW w:w="2835" w:type="dxa"/>
            <w:shd w:val="clear" w:color="auto" w:fill="auto"/>
          </w:tcPr>
          <w:p w14:paraId="20084F8D" w14:textId="77777777" w:rsidR="00E23746" w:rsidRPr="00574DAC" w:rsidRDefault="00E23746" w:rsidP="000B2F10">
            <w:pPr>
              <w:rPr>
                <w:rFonts w:cs="Arial"/>
                <w:sz w:val="20"/>
                <w:szCs w:val="20"/>
              </w:rPr>
            </w:pPr>
            <w:r w:rsidRPr="00574DAC">
              <w:rPr>
                <w:rFonts w:cs="Arial"/>
                <w:sz w:val="20"/>
                <w:szCs w:val="20"/>
              </w:rPr>
              <w:t>Informe cuantitativo del programa de formación, semestral.  https://qroo.gob.mx/seq/medios-de-verificacion-de-la-planeacion-anual</w:t>
            </w:r>
            <w:r>
              <w:rPr>
                <w:rFonts w:cs="Arial"/>
                <w:sz w:val="20"/>
                <w:szCs w:val="20"/>
              </w:rPr>
              <w:t>.</w:t>
            </w:r>
          </w:p>
        </w:tc>
        <w:tc>
          <w:tcPr>
            <w:tcW w:w="1976" w:type="dxa"/>
            <w:shd w:val="clear" w:color="auto" w:fill="auto"/>
          </w:tcPr>
          <w:p w14:paraId="79E0927C" w14:textId="77777777" w:rsidR="00E23746" w:rsidRPr="00574DAC" w:rsidRDefault="00E23746" w:rsidP="000B2F10">
            <w:pPr>
              <w:rPr>
                <w:rFonts w:cs="Arial"/>
                <w:sz w:val="20"/>
                <w:szCs w:val="20"/>
              </w:rPr>
            </w:pPr>
            <w:r w:rsidRPr="00574DAC">
              <w:rPr>
                <w:rFonts w:cs="Arial"/>
                <w:sz w:val="20"/>
                <w:szCs w:val="20"/>
              </w:rPr>
              <w:t>Los docentes asisten a los diferentes programas de formación y seguimiento otorgados.</w:t>
            </w:r>
          </w:p>
        </w:tc>
      </w:tr>
      <w:tr w:rsidR="00E23746" w:rsidRPr="00574DAC" w14:paraId="390BFD33" w14:textId="77777777" w:rsidTr="00BF2AA6">
        <w:trPr>
          <w:trHeight w:val="1699"/>
        </w:trPr>
        <w:tc>
          <w:tcPr>
            <w:tcW w:w="1413" w:type="dxa"/>
            <w:shd w:val="clear" w:color="auto" w:fill="auto"/>
          </w:tcPr>
          <w:p w14:paraId="1076CFD3" w14:textId="77777777" w:rsidR="00E23746" w:rsidRPr="00574DAC" w:rsidRDefault="00E23746" w:rsidP="000B2F10">
            <w:pPr>
              <w:jc w:val="center"/>
              <w:rPr>
                <w:rFonts w:cs="Arial"/>
                <w:b/>
                <w:bCs/>
                <w:sz w:val="20"/>
                <w:szCs w:val="20"/>
              </w:rPr>
            </w:pPr>
            <w:r w:rsidRPr="00574DAC">
              <w:rPr>
                <w:rFonts w:cs="Arial"/>
                <w:b/>
                <w:bCs/>
                <w:sz w:val="20"/>
                <w:szCs w:val="20"/>
              </w:rPr>
              <w:t>Actividad</w:t>
            </w:r>
          </w:p>
        </w:tc>
        <w:tc>
          <w:tcPr>
            <w:tcW w:w="2693" w:type="dxa"/>
            <w:shd w:val="clear" w:color="auto" w:fill="auto"/>
          </w:tcPr>
          <w:p w14:paraId="390F9709" w14:textId="77777777" w:rsidR="00E23746" w:rsidRPr="00574DAC" w:rsidRDefault="00E23746" w:rsidP="000B2F10">
            <w:pPr>
              <w:rPr>
                <w:rFonts w:cs="Arial"/>
                <w:sz w:val="20"/>
                <w:szCs w:val="20"/>
              </w:rPr>
            </w:pPr>
            <w:r w:rsidRPr="00574DAC">
              <w:rPr>
                <w:rFonts w:cs="Arial"/>
                <w:sz w:val="20"/>
                <w:szCs w:val="20"/>
              </w:rPr>
              <w:t xml:space="preserve">Impulsar acciones de atención para mejorar la formación continua y desarrollo profesional de los docentes. </w:t>
            </w:r>
          </w:p>
        </w:tc>
        <w:tc>
          <w:tcPr>
            <w:tcW w:w="2835" w:type="dxa"/>
            <w:shd w:val="clear" w:color="auto" w:fill="auto"/>
          </w:tcPr>
          <w:p w14:paraId="262215C1" w14:textId="77777777" w:rsidR="00E23746" w:rsidRPr="00574DAC" w:rsidRDefault="00E23746" w:rsidP="000B2F10">
            <w:pPr>
              <w:rPr>
                <w:rFonts w:cs="Arial"/>
                <w:sz w:val="20"/>
                <w:szCs w:val="20"/>
              </w:rPr>
            </w:pPr>
            <w:r w:rsidRPr="00574DAC">
              <w:rPr>
                <w:rFonts w:cs="Arial"/>
                <w:sz w:val="20"/>
                <w:szCs w:val="20"/>
              </w:rPr>
              <w:t>C08.A01 - Coordinación de acciones de formación de figuras educativas de acuerdo a las necesidades académicas.</w:t>
            </w:r>
          </w:p>
        </w:tc>
        <w:tc>
          <w:tcPr>
            <w:tcW w:w="2268" w:type="dxa"/>
            <w:shd w:val="clear" w:color="FFFFFF" w:fill="FFFFFF"/>
          </w:tcPr>
          <w:p w14:paraId="04A94CA8" w14:textId="77777777" w:rsidR="00E23746" w:rsidRDefault="00E23746" w:rsidP="000B2F10">
            <w:pPr>
              <w:rPr>
                <w:rFonts w:cs="Arial"/>
                <w:sz w:val="20"/>
                <w:szCs w:val="20"/>
              </w:rPr>
            </w:pPr>
            <w:r w:rsidRPr="00574DAC">
              <w:rPr>
                <w:rFonts w:cs="Arial"/>
                <w:sz w:val="20"/>
                <w:szCs w:val="20"/>
              </w:rPr>
              <w:t>C08A01 - Porcentaje de acciones de formación realizadas con la oferta educativa del Programa de Formación impartido por la Entidad</w:t>
            </w:r>
            <w:r>
              <w:rPr>
                <w:rFonts w:cs="Arial"/>
                <w:sz w:val="20"/>
                <w:szCs w:val="20"/>
              </w:rPr>
              <w:t>.</w:t>
            </w:r>
          </w:p>
          <w:p w14:paraId="6DEE7DB4" w14:textId="77777777" w:rsidR="00E23746" w:rsidRPr="00574DAC" w:rsidRDefault="00E23746" w:rsidP="000B2F10">
            <w:pPr>
              <w:rPr>
                <w:rFonts w:cs="Arial"/>
                <w:sz w:val="20"/>
                <w:szCs w:val="20"/>
              </w:rPr>
            </w:pPr>
          </w:p>
        </w:tc>
        <w:tc>
          <w:tcPr>
            <w:tcW w:w="2835" w:type="dxa"/>
            <w:shd w:val="clear" w:color="auto" w:fill="auto"/>
          </w:tcPr>
          <w:p w14:paraId="715956D4" w14:textId="77777777" w:rsidR="00E23746" w:rsidRPr="00574DAC" w:rsidRDefault="00E23746" w:rsidP="000B2F10">
            <w:pPr>
              <w:rPr>
                <w:rFonts w:cs="Arial"/>
                <w:sz w:val="20"/>
                <w:szCs w:val="20"/>
              </w:rPr>
            </w:pPr>
            <w:r w:rsidRPr="00574DAC">
              <w:rPr>
                <w:rFonts w:cs="Arial"/>
                <w:sz w:val="20"/>
                <w:szCs w:val="20"/>
              </w:rPr>
              <w:t>Informe cualitativo del programa de formación, trimestral, https://qroo.gob.mx/seq/medios-de-verificacion-de-la-planeacion-anual</w:t>
            </w:r>
            <w:r>
              <w:rPr>
                <w:rFonts w:cs="Arial"/>
                <w:sz w:val="20"/>
                <w:szCs w:val="20"/>
              </w:rPr>
              <w:t>.</w:t>
            </w:r>
          </w:p>
        </w:tc>
        <w:tc>
          <w:tcPr>
            <w:tcW w:w="1976" w:type="dxa"/>
            <w:shd w:val="clear" w:color="auto" w:fill="auto"/>
          </w:tcPr>
          <w:p w14:paraId="0B64E759" w14:textId="77777777" w:rsidR="00E23746" w:rsidRPr="00574DAC" w:rsidRDefault="00E23746" w:rsidP="000B2F10">
            <w:pPr>
              <w:rPr>
                <w:rFonts w:cs="Arial"/>
                <w:sz w:val="20"/>
                <w:szCs w:val="20"/>
              </w:rPr>
            </w:pPr>
            <w:r w:rsidRPr="00574DAC">
              <w:rPr>
                <w:rFonts w:cs="Arial"/>
                <w:sz w:val="20"/>
                <w:szCs w:val="20"/>
              </w:rPr>
              <w:t>Los docentes se inscriben y concluyen los programas de formación que se ofrecen.</w:t>
            </w:r>
          </w:p>
        </w:tc>
      </w:tr>
      <w:tr w:rsidR="00E23746" w:rsidRPr="00574DAC" w14:paraId="3AB9EBF7" w14:textId="77777777" w:rsidTr="00BF2AA6">
        <w:trPr>
          <w:trHeight w:val="1809"/>
        </w:trPr>
        <w:tc>
          <w:tcPr>
            <w:tcW w:w="1413" w:type="dxa"/>
            <w:shd w:val="clear" w:color="auto" w:fill="auto"/>
          </w:tcPr>
          <w:p w14:paraId="1BFD6C64" w14:textId="77777777" w:rsidR="00E23746" w:rsidRPr="00574DAC" w:rsidRDefault="00E23746" w:rsidP="000B2F10">
            <w:pPr>
              <w:jc w:val="center"/>
              <w:rPr>
                <w:rFonts w:cs="Arial"/>
                <w:b/>
                <w:bCs/>
                <w:sz w:val="20"/>
                <w:szCs w:val="20"/>
              </w:rPr>
            </w:pPr>
            <w:r w:rsidRPr="00574DAC">
              <w:rPr>
                <w:rFonts w:cs="Arial"/>
                <w:b/>
                <w:bCs/>
                <w:sz w:val="20"/>
                <w:szCs w:val="20"/>
              </w:rPr>
              <w:t>Actividad</w:t>
            </w:r>
          </w:p>
        </w:tc>
        <w:tc>
          <w:tcPr>
            <w:tcW w:w="2693" w:type="dxa"/>
            <w:shd w:val="clear" w:color="auto" w:fill="auto"/>
          </w:tcPr>
          <w:p w14:paraId="6433EA27" w14:textId="77777777" w:rsidR="00E23746" w:rsidRPr="00574DAC" w:rsidRDefault="00E23746" w:rsidP="000B2F10">
            <w:pPr>
              <w:rPr>
                <w:rFonts w:cs="Arial"/>
                <w:sz w:val="20"/>
                <w:szCs w:val="20"/>
              </w:rPr>
            </w:pPr>
            <w:r w:rsidRPr="00574DAC">
              <w:rPr>
                <w:rFonts w:cs="Arial"/>
                <w:sz w:val="20"/>
                <w:szCs w:val="20"/>
              </w:rPr>
              <w:t xml:space="preserve">Impulsar acciones de atención para mejorar la formación continua y desarrollo profesional de los docentes. </w:t>
            </w:r>
          </w:p>
        </w:tc>
        <w:tc>
          <w:tcPr>
            <w:tcW w:w="2835" w:type="dxa"/>
            <w:shd w:val="clear" w:color="auto" w:fill="auto"/>
          </w:tcPr>
          <w:p w14:paraId="36AAD25B" w14:textId="77777777" w:rsidR="00E23746" w:rsidRPr="00574DAC" w:rsidRDefault="00E23746" w:rsidP="000B2F10">
            <w:pPr>
              <w:rPr>
                <w:rFonts w:cs="Arial"/>
                <w:sz w:val="20"/>
                <w:szCs w:val="20"/>
              </w:rPr>
            </w:pPr>
            <w:r w:rsidRPr="00574DAC">
              <w:rPr>
                <w:rFonts w:cs="Arial"/>
                <w:sz w:val="20"/>
                <w:szCs w:val="20"/>
              </w:rPr>
              <w:t>C08.A02 - Atención a docentes de nuevo ingreso que requieren el programa de tutoría.</w:t>
            </w:r>
          </w:p>
        </w:tc>
        <w:tc>
          <w:tcPr>
            <w:tcW w:w="2268" w:type="dxa"/>
            <w:shd w:val="clear" w:color="FFFFFF" w:fill="FFFFFF"/>
          </w:tcPr>
          <w:p w14:paraId="5254AE05" w14:textId="77777777" w:rsidR="00E23746" w:rsidRPr="00574DAC" w:rsidRDefault="00E23746" w:rsidP="000B2F10">
            <w:pPr>
              <w:rPr>
                <w:rFonts w:cs="Arial"/>
                <w:sz w:val="20"/>
                <w:szCs w:val="20"/>
              </w:rPr>
            </w:pPr>
            <w:r w:rsidRPr="00574DAC">
              <w:rPr>
                <w:rFonts w:cs="Arial"/>
                <w:sz w:val="20"/>
                <w:szCs w:val="20"/>
              </w:rPr>
              <w:t>C08A02 - Porcentaje de docentes atendidos con el servicio de tutoría.</w:t>
            </w:r>
          </w:p>
        </w:tc>
        <w:tc>
          <w:tcPr>
            <w:tcW w:w="2835" w:type="dxa"/>
            <w:shd w:val="clear" w:color="auto" w:fill="auto"/>
          </w:tcPr>
          <w:p w14:paraId="15A4E22A" w14:textId="77777777" w:rsidR="00E23746" w:rsidRDefault="00E23746" w:rsidP="000B2F10">
            <w:pPr>
              <w:rPr>
                <w:rFonts w:cs="Arial"/>
                <w:sz w:val="20"/>
                <w:szCs w:val="20"/>
              </w:rPr>
            </w:pPr>
            <w:r w:rsidRPr="00574DAC">
              <w:rPr>
                <w:rFonts w:cs="Arial"/>
                <w:sz w:val="20"/>
                <w:szCs w:val="20"/>
              </w:rPr>
              <w:t xml:space="preserve">Informe cuantitativo de los docentes que reciben tutoría, anual, </w:t>
            </w:r>
            <w:hyperlink r:id="rId32" w:history="1">
              <w:r w:rsidRPr="003135B9">
                <w:rPr>
                  <w:rStyle w:val="Hipervnculo"/>
                  <w:rFonts w:cs="Arial"/>
                  <w:sz w:val="20"/>
                  <w:szCs w:val="20"/>
                </w:rPr>
                <w:t>https://qroo.gob.mx/seq/medios-de-verificacion-de-la-planeacion-anual</w:t>
              </w:r>
            </w:hyperlink>
            <w:r>
              <w:rPr>
                <w:rFonts w:cs="Arial"/>
                <w:sz w:val="20"/>
                <w:szCs w:val="20"/>
              </w:rPr>
              <w:t>.</w:t>
            </w:r>
          </w:p>
          <w:p w14:paraId="718531C2" w14:textId="77777777" w:rsidR="00E23746" w:rsidRPr="00574DAC" w:rsidRDefault="00E23746" w:rsidP="000B2F10">
            <w:pPr>
              <w:rPr>
                <w:rFonts w:cs="Arial"/>
                <w:sz w:val="20"/>
                <w:szCs w:val="20"/>
              </w:rPr>
            </w:pPr>
          </w:p>
        </w:tc>
        <w:tc>
          <w:tcPr>
            <w:tcW w:w="1976" w:type="dxa"/>
            <w:shd w:val="clear" w:color="auto" w:fill="auto"/>
          </w:tcPr>
          <w:p w14:paraId="1DD2CAC7" w14:textId="77777777" w:rsidR="00E23746" w:rsidRPr="00574DAC" w:rsidRDefault="00E23746" w:rsidP="000B2F10">
            <w:pPr>
              <w:rPr>
                <w:rFonts w:cs="Arial"/>
                <w:sz w:val="20"/>
                <w:szCs w:val="20"/>
              </w:rPr>
            </w:pPr>
            <w:r w:rsidRPr="00574DAC">
              <w:rPr>
                <w:rFonts w:cs="Arial"/>
                <w:sz w:val="20"/>
                <w:szCs w:val="20"/>
              </w:rPr>
              <w:t>Los docentes cumplen en tiempo y forma con todas las actividades programadas de tutoría.</w:t>
            </w:r>
          </w:p>
        </w:tc>
      </w:tr>
    </w:tbl>
    <w:p w14:paraId="4CF268D9" w14:textId="77777777" w:rsidR="00A01C9D" w:rsidRDefault="00A01C9D">
      <w:pPr>
        <w:spacing w:after="0" w:line="240" w:lineRule="auto"/>
        <w:jc w:val="left"/>
      </w:pPr>
      <w:r>
        <w:br w:type="page"/>
      </w:r>
    </w:p>
    <w:tbl>
      <w:tblPr>
        <w:tblW w:w="14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3"/>
        <w:gridCol w:w="2693"/>
        <w:gridCol w:w="2835"/>
        <w:gridCol w:w="2268"/>
        <w:gridCol w:w="2835"/>
        <w:gridCol w:w="1976"/>
      </w:tblGrid>
      <w:tr w:rsidR="00E23746" w:rsidRPr="00574DAC" w14:paraId="64A3CF42" w14:textId="77777777" w:rsidTr="00BF2AA6">
        <w:trPr>
          <w:trHeight w:val="679"/>
        </w:trPr>
        <w:tc>
          <w:tcPr>
            <w:tcW w:w="1413" w:type="dxa"/>
            <w:shd w:val="clear" w:color="000000" w:fill="BFBFBF"/>
            <w:vAlign w:val="center"/>
            <w:hideMark/>
          </w:tcPr>
          <w:p w14:paraId="099E3B00"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lastRenderedPageBreak/>
              <w:t>NIVEL</w:t>
            </w:r>
          </w:p>
        </w:tc>
        <w:tc>
          <w:tcPr>
            <w:tcW w:w="2693" w:type="dxa"/>
            <w:shd w:val="clear" w:color="000000" w:fill="BFBFBF"/>
            <w:vAlign w:val="center"/>
            <w:hideMark/>
          </w:tcPr>
          <w:p w14:paraId="164A216E"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ALINEACIÓN PED/PD</w:t>
            </w:r>
          </w:p>
        </w:tc>
        <w:tc>
          <w:tcPr>
            <w:tcW w:w="2835" w:type="dxa"/>
            <w:shd w:val="clear" w:color="000000" w:fill="BFBFBF"/>
            <w:vAlign w:val="center"/>
            <w:hideMark/>
          </w:tcPr>
          <w:p w14:paraId="34F135CE"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OBJETIVO</w:t>
            </w:r>
          </w:p>
        </w:tc>
        <w:tc>
          <w:tcPr>
            <w:tcW w:w="2268" w:type="dxa"/>
            <w:shd w:val="clear" w:color="000000" w:fill="BFBFBF"/>
            <w:vAlign w:val="center"/>
            <w:hideMark/>
          </w:tcPr>
          <w:p w14:paraId="24A9E632"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INDICADOR</w:t>
            </w:r>
          </w:p>
        </w:tc>
        <w:tc>
          <w:tcPr>
            <w:tcW w:w="2835" w:type="dxa"/>
            <w:shd w:val="clear" w:color="000000" w:fill="BFBFBF"/>
            <w:vAlign w:val="center"/>
            <w:hideMark/>
          </w:tcPr>
          <w:p w14:paraId="24F0D525"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MEDIOS DE VERIFICACIÓN</w:t>
            </w:r>
          </w:p>
        </w:tc>
        <w:tc>
          <w:tcPr>
            <w:tcW w:w="1976" w:type="dxa"/>
            <w:shd w:val="clear" w:color="000000" w:fill="BFBFBF"/>
            <w:vAlign w:val="center"/>
            <w:hideMark/>
          </w:tcPr>
          <w:p w14:paraId="462DC322"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SUPUESTO</w:t>
            </w:r>
          </w:p>
        </w:tc>
      </w:tr>
      <w:tr w:rsidR="00E23746" w:rsidRPr="00574DAC" w14:paraId="41BA06B7" w14:textId="77777777" w:rsidTr="00BF2AA6">
        <w:trPr>
          <w:trHeight w:val="1897"/>
        </w:trPr>
        <w:tc>
          <w:tcPr>
            <w:tcW w:w="1413" w:type="dxa"/>
            <w:shd w:val="clear" w:color="auto" w:fill="auto"/>
          </w:tcPr>
          <w:p w14:paraId="7B5303FE" w14:textId="77777777" w:rsidR="00E23746" w:rsidRPr="00574DAC" w:rsidRDefault="00E23746" w:rsidP="000B2F10">
            <w:pPr>
              <w:jc w:val="center"/>
              <w:rPr>
                <w:rFonts w:cs="Arial"/>
                <w:b/>
                <w:bCs/>
                <w:sz w:val="20"/>
                <w:szCs w:val="20"/>
              </w:rPr>
            </w:pPr>
            <w:r w:rsidRPr="00574DAC">
              <w:rPr>
                <w:rFonts w:cs="Arial"/>
                <w:b/>
                <w:bCs/>
                <w:sz w:val="20"/>
                <w:szCs w:val="20"/>
              </w:rPr>
              <w:t>Actividad</w:t>
            </w:r>
          </w:p>
        </w:tc>
        <w:tc>
          <w:tcPr>
            <w:tcW w:w="2693" w:type="dxa"/>
            <w:shd w:val="clear" w:color="auto" w:fill="auto"/>
          </w:tcPr>
          <w:p w14:paraId="3ACD327E" w14:textId="77777777" w:rsidR="00E23746" w:rsidRPr="00574DAC" w:rsidRDefault="00E23746" w:rsidP="000B2F10">
            <w:pPr>
              <w:rPr>
                <w:rFonts w:cs="Arial"/>
                <w:sz w:val="20"/>
                <w:szCs w:val="20"/>
              </w:rPr>
            </w:pPr>
            <w:r w:rsidRPr="00574DAC">
              <w:rPr>
                <w:rFonts w:cs="Arial"/>
                <w:sz w:val="20"/>
                <w:szCs w:val="20"/>
              </w:rPr>
              <w:t xml:space="preserve">Impulsar acciones de atención para mejorar la formación continua y desarrollo profesional de los docentes. </w:t>
            </w:r>
          </w:p>
        </w:tc>
        <w:tc>
          <w:tcPr>
            <w:tcW w:w="2835" w:type="dxa"/>
            <w:shd w:val="clear" w:color="auto" w:fill="auto"/>
          </w:tcPr>
          <w:p w14:paraId="6D16D221" w14:textId="77777777" w:rsidR="00E23746" w:rsidRPr="00574DAC" w:rsidRDefault="00E23746" w:rsidP="000B2F10">
            <w:pPr>
              <w:rPr>
                <w:rFonts w:cs="Arial"/>
                <w:sz w:val="20"/>
                <w:szCs w:val="20"/>
              </w:rPr>
            </w:pPr>
            <w:r w:rsidRPr="00574DAC">
              <w:rPr>
                <w:rFonts w:cs="Arial"/>
                <w:sz w:val="20"/>
                <w:szCs w:val="20"/>
              </w:rPr>
              <w:t>C08.A03 - Coordinación de Seguimiento a través del Sistema de Asesoría y Acompañamiento a la Escuela en Educación Básica</w:t>
            </w:r>
            <w:r>
              <w:rPr>
                <w:rFonts w:cs="Arial"/>
                <w:sz w:val="20"/>
                <w:szCs w:val="20"/>
              </w:rPr>
              <w:t>.</w:t>
            </w:r>
          </w:p>
        </w:tc>
        <w:tc>
          <w:tcPr>
            <w:tcW w:w="2268" w:type="dxa"/>
            <w:shd w:val="clear" w:color="FFFFFF" w:fill="FFFFFF"/>
          </w:tcPr>
          <w:p w14:paraId="1F882B56" w14:textId="77777777" w:rsidR="00E23746" w:rsidRPr="00574DAC" w:rsidRDefault="00E23746" w:rsidP="000B2F10">
            <w:pPr>
              <w:rPr>
                <w:rFonts w:cs="Arial"/>
                <w:sz w:val="20"/>
                <w:szCs w:val="20"/>
              </w:rPr>
            </w:pPr>
            <w:r w:rsidRPr="00574DAC">
              <w:rPr>
                <w:rFonts w:cs="Arial"/>
                <w:sz w:val="20"/>
                <w:szCs w:val="20"/>
              </w:rPr>
              <w:t>C08A03 - Porcentaje de Actividades realizadas en Consejos Técnicos de Zona Escolar en los que participan las figuras educativas de Asesores Técnicos</w:t>
            </w:r>
            <w:r>
              <w:rPr>
                <w:rFonts w:cs="Arial"/>
                <w:sz w:val="20"/>
                <w:szCs w:val="20"/>
              </w:rPr>
              <w:t>.</w:t>
            </w:r>
          </w:p>
        </w:tc>
        <w:tc>
          <w:tcPr>
            <w:tcW w:w="2835" w:type="dxa"/>
            <w:shd w:val="clear" w:color="auto" w:fill="auto"/>
          </w:tcPr>
          <w:p w14:paraId="45F332B9" w14:textId="77777777" w:rsidR="00E23746" w:rsidRPr="00574DAC" w:rsidRDefault="00E23746" w:rsidP="000B2F10">
            <w:pPr>
              <w:rPr>
                <w:rFonts w:cs="Arial"/>
                <w:sz w:val="20"/>
                <w:szCs w:val="20"/>
              </w:rPr>
            </w:pPr>
            <w:r w:rsidRPr="00574DAC">
              <w:rPr>
                <w:rFonts w:cs="Arial"/>
                <w:sz w:val="20"/>
                <w:szCs w:val="20"/>
              </w:rPr>
              <w:t>Informe de acciones realizadas, Dirección de Formación y Desarrollo Profesional, anual, https://qroo.gob.mx/seq/medios-de-verificacion-de-la-planeacion-anual</w:t>
            </w:r>
            <w:r>
              <w:rPr>
                <w:rFonts w:cs="Arial"/>
                <w:sz w:val="20"/>
                <w:szCs w:val="20"/>
              </w:rPr>
              <w:t>.</w:t>
            </w:r>
          </w:p>
        </w:tc>
        <w:tc>
          <w:tcPr>
            <w:tcW w:w="1976" w:type="dxa"/>
            <w:shd w:val="clear" w:color="auto" w:fill="auto"/>
          </w:tcPr>
          <w:p w14:paraId="1DEDAAB1" w14:textId="77777777" w:rsidR="00E23746" w:rsidRPr="00574DAC" w:rsidRDefault="00E23746" w:rsidP="000B2F10">
            <w:pPr>
              <w:rPr>
                <w:rFonts w:cs="Arial"/>
                <w:sz w:val="20"/>
                <w:szCs w:val="20"/>
              </w:rPr>
            </w:pPr>
            <w:r w:rsidRPr="00574DAC">
              <w:rPr>
                <w:rFonts w:cs="Arial"/>
                <w:sz w:val="20"/>
                <w:szCs w:val="20"/>
              </w:rPr>
              <w:t>Las escuelas aplican su ruta de mejora en los Consejos Técnicos de Zona Escolar.</w:t>
            </w:r>
          </w:p>
        </w:tc>
      </w:tr>
      <w:tr w:rsidR="00E23746" w:rsidRPr="00574DAC" w14:paraId="369C130F" w14:textId="77777777" w:rsidTr="00BF2AA6">
        <w:trPr>
          <w:trHeight w:val="1813"/>
        </w:trPr>
        <w:tc>
          <w:tcPr>
            <w:tcW w:w="1413" w:type="dxa"/>
            <w:shd w:val="clear" w:color="auto" w:fill="auto"/>
          </w:tcPr>
          <w:p w14:paraId="18A08016" w14:textId="77777777" w:rsidR="00E23746" w:rsidRPr="00574DAC" w:rsidRDefault="00E23746" w:rsidP="000B2F10">
            <w:pPr>
              <w:jc w:val="center"/>
              <w:rPr>
                <w:rFonts w:cs="Arial"/>
                <w:b/>
                <w:bCs/>
                <w:sz w:val="20"/>
                <w:szCs w:val="20"/>
              </w:rPr>
            </w:pPr>
            <w:r w:rsidRPr="00574DAC">
              <w:rPr>
                <w:rFonts w:cs="Arial"/>
                <w:b/>
                <w:bCs/>
                <w:sz w:val="20"/>
                <w:szCs w:val="20"/>
              </w:rPr>
              <w:t>Componente</w:t>
            </w:r>
          </w:p>
        </w:tc>
        <w:tc>
          <w:tcPr>
            <w:tcW w:w="2693" w:type="dxa"/>
            <w:shd w:val="clear" w:color="auto" w:fill="auto"/>
          </w:tcPr>
          <w:p w14:paraId="605E8B28" w14:textId="77777777" w:rsidR="00E23746" w:rsidRDefault="00E23746" w:rsidP="000B2F10">
            <w:pPr>
              <w:rPr>
                <w:rFonts w:cs="Arial"/>
                <w:sz w:val="20"/>
                <w:szCs w:val="20"/>
              </w:rPr>
            </w:pPr>
            <w:r w:rsidRPr="00574DAC">
              <w:rPr>
                <w:rFonts w:cs="Arial"/>
                <w:sz w:val="20"/>
                <w:szCs w:val="20"/>
              </w:rPr>
              <w:t>Impulsar estrategias de enseñanza-aprendizaje bilingüe para garantizar la atención a los estudiantes indígena y preservación de la lengua maya en educación básica</w:t>
            </w:r>
            <w:r>
              <w:rPr>
                <w:rFonts w:cs="Arial"/>
                <w:sz w:val="20"/>
                <w:szCs w:val="20"/>
              </w:rPr>
              <w:t>.</w:t>
            </w:r>
          </w:p>
          <w:p w14:paraId="260D5C18" w14:textId="77777777" w:rsidR="00E23746" w:rsidRPr="00574DAC" w:rsidRDefault="00E23746" w:rsidP="000B2F10">
            <w:pPr>
              <w:rPr>
                <w:rFonts w:cs="Arial"/>
                <w:sz w:val="20"/>
                <w:szCs w:val="20"/>
              </w:rPr>
            </w:pPr>
          </w:p>
        </w:tc>
        <w:tc>
          <w:tcPr>
            <w:tcW w:w="2835" w:type="dxa"/>
            <w:shd w:val="clear" w:color="auto" w:fill="auto"/>
          </w:tcPr>
          <w:p w14:paraId="6992C109" w14:textId="77777777" w:rsidR="00E23746" w:rsidRPr="00574DAC" w:rsidRDefault="00E23746" w:rsidP="000B2F10">
            <w:pPr>
              <w:rPr>
                <w:rFonts w:cs="Arial"/>
                <w:sz w:val="20"/>
                <w:szCs w:val="20"/>
              </w:rPr>
            </w:pPr>
            <w:r w:rsidRPr="00574DAC">
              <w:rPr>
                <w:rFonts w:cs="Arial"/>
                <w:sz w:val="20"/>
                <w:szCs w:val="20"/>
              </w:rPr>
              <w:t>C09 - Estrategias de enseñanza- aprendizaje bilingüe para garantizar la atención a los/as estudiantes indígenas y preservación de la lengua maya en educación básica, Impulsadas</w:t>
            </w:r>
            <w:r>
              <w:rPr>
                <w:rFonts w:cs="Arial"/>
                <w:sz w:val="20"/>
                <w:szCs w:val="20"/>
              </w:rPr>
              <w:t>.</w:t>
            </w:r>
          </w:p>
        </w:tc>
        <w:tc>
          <w:tcPr>
            <w:tcW w:w="2268" w:type="dxa"/>
            <w:shd w:val="clear" w:color="FFFFFF" w:fill="FFFFFF"/>
          </w:tcPr>
          <w:p w14:paraId="3E045893" w14:textId="77777777" w:rsidR="00E23746" w:rsidRPr="00574DAC" w:rsidRDefault="00E23746" w:rsidP="000B2F10">
            <w:pPr>
              <w:rPr>
                <w:rFonts w:cs="Arial"/>
                <w:sz w:val="20"/>
                <w:szCs w:val="20"/>
              </w:rPr>
            </w:pPr>
            <w:r w:rsidRPr="00574DAC">
              <w:rPr>
                <w:rFonts w:cs="Arial"/>
                <w:sz w:val="20"/>
                <w:szCs w:val="20"/>
              </w:rPr>
              <w:t>C09 - Porcentaje de alumnos de primaria indígena con promedio igual o mayor a 7.0</w:t>
            </w:r>
            <w:r>
              <w:rPr>
                <w:rFonts w:cs="Arial"/>
                <w:sz w:val="20"/>
                <w:szCs w:val="20"/>
              </w:rPr>
              <w:t>.</w:t>
            </w:r>
          </w:p>
        </w:tc>
        <w:tc>
          <w:tcPr>
            <w:tcW w:w="2835" w:type="dxa"/>
            <w:shd w:val="clear" w:color="auto" w:fill="auto"/>
          </w:tcPr>
          <w:p w14:paraId="47C6E53B" w14:textId="77777777" w:rsidR="00E23746" w:rsidRPr="00574DAC" w:rsidRDefault="00E23746" w:rsidP="000B2F10">
            <w:pPr>
              <w:rPr>
                <w:rFonts w:cs="Arial"/>
                <w:sz w:val="20"/>
                <w:szCs w:val="20"/>
              </w:rPr>
            </w:pPr>
            <w:r w:rsidRPr="00574DAC">
              <w:rPr>
                <w:rFonts w:cs="Arial"/>
                <w:sz w:val="20"/>
                <w:szCs w:val="20"/>
              </w:rPr>
              <w:t>Estadística 911, anual. https://qroo.gob.mx/seq/medios-de-verificacion-de-la-planeacion-anual</w:t>
            </w:r>
            <w:r>
              <w:rPr>
                <w:rFonts w:cs="Arial"/>
                <w:sz w:val="20"/>
                <w:szCs w:val="20"/>
              </w:rPr>
              <w:t>.</w:t>
            </w:r>
          </w:p>
        </w:tc>
        <w:tc>
          <w:tcPr>
            <w:tcW w:w="1976" w:type="dxa"/>
            <w:shd w:val="clear" w:color="auto" w:fill="auto"/>
          </w:tcPr>
          <w:p w14:paraId="3454DC81" w14:textId="77777777" w:rsidR="00E23746" w:rsidRPr="00574DAC" w:rsidRDefault="00E23746" w:rsidP="000B2F10">
            <w:pPr>
              <w:rPr>
                <w:rFonts w:cs="Arial"/>
                <w:sz w:val="20"/>
                <w:szCs w:val="20"/>
              </w:rPr>
            </w:pPr>
            <w:r w:rsidRPr="00574DAC">
              <w:rPr>
                <w:rFonts w:cs="Arial"/>
                <w:sz w:val="20"/>
                <w:szCs w:val="20"/>
              </w:rPr>
              <w:t>Los niños y niñas de comunidades indígenas, asisten a la escuela.</w:t>
            </w:r>
          </w:p>
        </w:tc>
      </w:tr>
      <w:tr w:rsidR="00E23746" w:rsidRPr="00574DAC" w14:paraId="5B24493B" w14:textId="77777777" w:rsidTr="00BF2AA6">
        <w:trPr>
          <w:trHeight w:val="1698"/>
        </w:trPr>
        <w:tc>
          <w:tcPr>
            <w:tcW w:w="1413" w:type="dxa"/>
            <w:shd w:val="clear" w:color="auto" w:fill="auto"/>
          </w:tcPr>
          <w:p w14:paraId="1C940A42" w14:textId="77777777" w:rsidR="00E23746" w:rsidRPr="00574DAC" w:rsidRDefault="00E23746" w:rsidP="000B2F10">
            <w:pPr>
              <w:jc w:val="center"/>
              <w:rPr>
                <w:rFonts w:cs="Arial"/>
                <w:b/>
                <w:bCs/>
                <w:sz w:val="20"/>
                <w:szCs w:val="20"/>
              </w:rPr>
            </w:pPr>
            <w:r w:rsidRPr="00574DAC">
              <w:rPr>
                <w:rFonts w:cs="Arial"/>
                <w:b/>
                <w:bCs/>
                <w:sz w:val="20"/>
                <w:szCs w:val="20"/>
              </w:rPr>
              <w:t>Actividad</w:t>
            </w:r>
          </w:p>
        </w:tc>
        <w:tc>
          <w:tcPr>
            <w:tcW w:w="2693" w:type="dxa"/>
            <w:shd w:val="clear" w:color="auto" w:fill="auto"/>
          </w:tcPr>
          <w:p w14:paraId="765A375A" w14:textId="77777777" w:rsidR="00E23746" w:rsidRPr="00574DAC" w:rsidRDefault="00E23746" w:rsidP="000B2F10">
            <w:pPr>
              <w:rPr>
                <w:rFonts w:cs="Arial"/>
                <w:sz w:val="20"/>
                <w:szCs w:val="20"/>
              </w:rPr>
            </w:pPr>
            <w:r w:rsidRPr="00574DAC">
              <w:rPr>
                <w:rFonts w:cs="Arial"/>
                <w:sz w:val="20"/>
                <w:szCs w:val="20"/>
              </w:rPr>
              <w:t>Impulsar estrategias de enseñanza-aprendizaje bilingüe para garantizar la atención a los estudiantes indígena y preservación de la lengua maya en educación básica</w:t>
            </w:r>
            <w:r>
              <w:rPr>
                <w:rFonts w:cs="Arial"/>
                <w:sz w:val="20"/>
                <w:szCs w:val="20"/>
              </w:rPr>
              <w:t>.</w:t>
            </w:r>
          </w:p>
        </w:tc>
        <w:tc>
          <w:tcPr>
            <w:tcW w:w="2835" w:type="dxa"/>
            <w:shd w:val="clear" w:color="auto" w:fill="auto"/>
          </w:tcPr>
          <w:p w14:paraId="7E0A6C6E" w14:textId="77777777" w:rsidR="00E23746" w:rsidRPr="00574DAC" w:rsidRDefault="00E23746" w:rsidP="000B2F10">
            <w:pPr>
              <w:rPr>
                <w:rFonts w:cs="Arial"/>
                <w:sz w:val="20"/>
                <w:szCs w:val="20"/>
              </w:rPr>
            </w:pPr>
            <w:r w:rsidRPr="00574DAC">
              <w:rPr>
                <w:rFonts w:cs="Arial"/>
                <w:sz w:val="20"/>
                <w:szCs w:val="20"/>
              </w:rPr>
              <w:t>C09.A01 - Elaboración y uso de materiales bilingües en lengua maya y español para fortalecer la enseñanza-aprendizaje de los/as alumnos(as) de educación primaria indígena.</w:t>
            </w:r>
          </w:p>
        </w:tc>
        <w:tc>
          <w:tcPr>
            <w:tcW w:w="2268" w:type="dxa"/>
            <w:shd w:val="clear" w:color="FFFFFF" w:fill="FFFFFF"/>
          </w:tcPr>
          <w:p w14:paraId="70EEB829" w14:textId="77777777" w:rsidR="00E23746" w:rsidRPr="00574DAC" w:rsidRDefault="00E23746" w:rsidP="000B2F10">
            <w:pPr>
              <w:rPr>
                <w:rFonts w:cs="Arial"/>
                <w:sz w:val="20"/>
                <w:szCs w:val="20"/>
              </w:rPr>
            </w:pPr>
            <w:r w:rsidRPr="00574DAC">
              <w:rPr>
                <w:rFonts w:cs="Arial"/>
                <w:sz w:val="20"/>
                <w:szCs w:val="20"/>
              </w:rPr>
              <w:t>C09A01 - Porcentaje de escuelas beneficiadas con la elaboración de materiales en lengua maya.</w:t>
            </w:r>
          </w:p>
        </w:tc>
        <w:tc>
          <w:tcPr>
            <w:tcW w:w="2835" w:type="dxa"/>
            <w:shd w:val="clear" w:color="auto" w:fill="auto"/>
          </w:tcPr>
          <w:p w14:paraId="111BF502" w14:textId="77777777" w:rsidR="00E23746" w:rsidRDefault="00E23746" w:rsidP="000B2F10">
            <w:pPr>
              <w:rPr>
                <w:rFonts w:cs="Arial"/>
                <w:sz w:val="20"/>
                <w:szCs w:val="20"/>
              </w:rPr>
            </w:pPr>
            <w:r w:rsidRPr="00574DAC">
              <w:rPr>
                <w:rFonts w:cs="Arial"/>
                <w:sz w:val="20"/>
                <w:szCs w:val="20"/>
              </w:rPr>
              <w:t xml:space="preserve">Informes de Actividades realizadas para la elaboración de materiales de Educación Indígena, Anual. </w:t>
            </w:r>
            <w:hyperlink r:id="rId33" w:history="1">
              <w:r w:rsidRPr="003135B9">
                <w:rPr>
                  <w:rStyle w:val="Hipervnculo"/>
                  <w:rFonts w:cs="Arial"/>
                  <w:sz w:val="20"/>
                  <w:szCs w:val="20"/>
                </w:rPr>
                <w:t>https://qroo.gob.mx/seq/medios-de-verificacion-de-la-planeacion-anual</w:t>
              </w:r>
            </w:hyperlink>
            <w:r>
              <w:rPr>
                <w:rFonts w:cs="Arial"/>
                <w:sz w:val="20"/>
                <w:szCs w:val="20"/>
              </w:rPr>
              <w:t>.</w:t>
            </w:r>
          </w:p>
          <w:p w14:paraId="789307CB" w14:textId="77777777" w:rsidR="00E23746" w:rsidRPr="00574DAC" w:rsidRDefault="00E23746" w:rsidP="000B2F10">
            <w:pPr>
              <w:rPr>
                <w:rFonts w:cs="Arial"/>
                <w:sz w:val="20"/>
                <w:szCs w:val="20"/>
              </w:rPr>
            </w:pPr>
          </w:p>
        </w:tc>
        <w:tc>
          <w:tcPr>
            <w:tcW w:w="1976" w:type="dxa"/>
            <w:shd w:val="clear" w:color="auto" w:fill="auto"/>
          </w:tcPr>
          <w:p w14:paraId="3B9EEE2F" w14:textId="77777777" w:rsidR="00E23746" w:rsidRPr="00574DAC" w:rsidRDefault="00E23746" w:rsidP="000B2F10">
            <w:pPr>
              <w:rPr>
                <w:rFonts w:cs="Arial"/>
                <w:sz w:val="20"/>
                <w:szCs w:val="20"/>
              </w:rPr>
            </w:pPr>
            <w:r w:rsidRPr="00574DAC">
              <w:rPr>
                <w:rFonts w:cs="Arial"/>
                <w:sz w:val="20"/>
                <w:szCs w:val="20"/>
              </w:rPr>
              <w:t>Los alumnos fortalecen su aprendizaje al utilizar los materiales proporcionados.</w:t>
            </w:r>
          </w:p>
        </w:tc>
      </w:tr>
    </w:tbl>
    <w:p w14:paraId="73DD246A" w14:textId="77777777" w:rsidR="00D47ED1" w:rsidRDefault="00D47ED1">
      <w:pPr>
        <w:spacing w:after="0" w:line="240" w:lineRule="auto"/>
        <w:jc w:val="left"/>
      </w:pPr>
      <w:r>
        <w:br w:type="page"/>
      </w:r>
    </w:p>
    <w:tbl>
      <w:tblPr>
        <w:tblW w:w="14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71"/>
        <w:gridCol w:w="2835"/>
        <w:gridCol w:w="2835"/>
        <w:gridCol w:w="2268"/>
        <w:gridCol w:w="2835"/>
        <w:gridCol w:w="1976"/>
      </w:tblGrid>
      <w:tr w:rsidR="00E23746" w:rsidRPr="00574DAC" w14:paraId="48866EC0" w14:textId="77777777" w:rsidTr="00C91C82">
        <w:trPr>
          <w:trHeight w:val="679"/>
        </w:trPr>
        <w:tc>
          <w:tcPr>
            <w:tcW w:w="1271" w:type="dxa"/>
            <w:shd w:val="clear" w:color="000000" w:fill="BFBFBF"/>
            <w:vAlign w:val="center"/>
            <w:hideMark/>
          </w:tcPr>
          <w:p w14:paraId="1A1A3334"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lastRenderedPageBreak/>
              <w:t>NIVEL</w:t>
            </w:r>
          </w:p>
        </w:tc>
        <w:tc>
          <w:tcPr>
            <w:tcW w:w="2835" w:type="dxa"/>
            <w:shd w:val="clear" w:color="000000" w:fill="BFBFBF"/>
            <w:vAlign w:val="center"/>
            <w:hideMark/>
          </w:tcPr>
          <w:p w14:paraId="7A2B1267"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ALINEACIÓN PED/PD</w:t>
            </w:r>
          </w:p>
        </w:tc>
        <w:tc>
          <w:tcPr>
            <w:tcW w:w="2835" w:type="dxa"/>
            <w:shd w:val="clear" w:color="000000" w:fill="BFBFBF"/>
            <w:vAlign w:val="center"/>
            <w:hideMark/>
          </w:tcPr>
          <w:p w14:paraId="616DE251"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OBJETIVO</w:t>
            </w:r>
          </w:p>
        </w:tc>
        <w:tc>
          <w:tcPr>
            <w:tcW w:w="2268" w:type="dxa"/>
            <w:shd w:val="clear" w:color="000000" w:fill="BFBFBF"/>
            <w:vAlign w:val="center"/>
            <w:hideMark/>
          </w:tcPr>
          <w:p w14:paraId="4F9022A7"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INDICADOR</w:t>
            </w:r>
          </w:p>
        </w:tc>
        <w:tc>
          <w:tcPr>
            <w:tcW w:w="2835" w:type="dxa"/>
            <w:shd w:val="clear" w:color="000000" w:fill="BFBFBF"/>
            <w:vAlign w:val="center"/>
            <w:hideMark/>
          </w:tcPr>
          <w:p w14:paraId="678E49B7"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MEDIOS DE VERIFICACIÓN</w:t>
            </w:r>
          </w:p>
        </w:tc>
        <w:tc>
          <w:tcPr>
            <w:tcW w:w="1976" w:type="dxa"/>
            <w:shd w:val="clear" w:color="000000" w:fill="BFBFBF"/>
            <w:vAlign w:val="center"/>
            <w:hideMark/>
          </w:tcPr>
          <w:p w14:paraId="58AEE4A5"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SUPUESTO</w:t>
            </w:r>
          </w:p>
        </w:tc>
      </w:tr>
      <w:tr w:rsidR="00E23746" w:rsidRPr="00574DAC" w14:paraId="06B0AE73" w14:textId="77777777" w:rsidTr="00C91C82">
        <w:trPr>
          <w:trHeight w:val="2100"/>
        </w:trPr>
        <w:tc>
          <w:tcPr>
            <w:tcW w:w="1271" w:type="dxa"/>
            <w:shd w:val="clear" w:color="auto" w:fill="auto"/>
          </w:tcPr>
          <w:p w14:paraId="6853894C" w14:textId="77777777" w:rsidR="00E23746" w:rsidRPr="00574DAC" w:rsidRDefault="00E23746" w:rsidP="000B2F10">
            <w:pPr>
              <w:jc w:val="center"/>
              <w:rPr>
                <w:rFonts w:cs="Arial"/>
                <w:b/>
                <w:bCs/>
                <w:sz w:val="20"/>
                <w:szCs w:val="20"/>
              </w:rPr>
            </w:pPr>
            <w:r w:rsidRPr="00574DAC">
              <w:rPr>
                <w:rFonts w:cs="Arial"/>
                <w:b/>
                <w:bCs/>
                <w:sz w:val="20"/>
                <w:szCs w:val="20"/>
              </w:rPr>
              <w:t>Actividad</w:t>
            </w:r>
          </w:p>
        </w:tc>
        <w:tc>
          <w:tcPr>
            <w:tcW w:w="2835" w:type="dxa"/>
            <w:shd w:val="clear" w:color="auto" w:fill="auto"/>
          </w:tcPr>
          <w:p w14:paraId="67C728BC" w14:textId="77777777" w:rsidR="00E23746" w:rsidRPr="00574DAC" w:rsidRDefault="00E23746" w:rsidP="000B2F10">
            <w:pPr>
              <w:rPr>
                <w:rFonts w:cs="Arial"/>
                <w:sz w:val="20"/>
                <w:szCs w:val="20"/>
              </w:rPr>
            </w:pPr>
            <w:r w:rsidRPr="00574DAC">
              <w:rPr>
                <w:rFonts w:cs="Arial"/>
                <w:sz w:val="20"/>
                <w:szCs w:val="20"/>
              </w:rPr>
              <w:t>Impulsar estrategias de enseñanza-aprendizaje bilingüe para garantizar la atención a los estudiantes indígena y preservación de la lengua maya en educación básica</w:t>
            </w:r>
            <w:r>
              <w:rPr>
                <w:rFonts w:cs="Arial"/>
                <w:sz w:val="20"/>
                <w:szCs w:val="20"/>
              </w:rPr>
              <w:t>.</w:t>
            </w:r>
          </w:p>
        </w:tc>
        <w:tc>
          <w:tcPr>
            <w:tcW w:w="2835" w:type="dxa"/>
            <w:shd w:val="clear" w:color="auto" w:fill="auto"/>
          </w:tcPr>
          <w:p w14:paraId="5E72A55D" w14:textId="77777777" w:rsidR="00E23746" w:rsidRPr="00574DAC" w:rsidRDefault="00E23746" w:rsidP="000B2F10">
            <w:pPr>
              <w:rPr>
                <w:rFonts w:cs="Arial"/>
                <w:sz w:val="20"/>
                <w:szCs w:val="20"/>
              </w:rPr>
            </w:pPr>
            <w:r w:rsidRPr="00574DAC">
              <w:rPr>
                <w:rFonts w:cs="Arial"/>
                <w:sz w:val="20"/>
                <w:szCs w:val="20"/>
              </w:rPr>
              <w:t xml:space="preserve">C09.A02 -Preservación de la lengua materna en las escuelas de educación indígena impulsando actividades académicas. </w:t>
            </w:r>
          </w:p>
        </w:tc>
        <w:tc>
          <w:tcPr>
            <w:tcW w:w="2268" w:type="dxa"/>
            <w:shd w:val="clear" w:color="FFFFFF" w:fill="FFFFFF"/>
          </w:tcPr>
          <w:p w14:paraId="6F3EBE4B" w14:textId="77777777" w:rsidR="00E23746" w:rsidRPr="00574DAC" w:rsidRDefault="00E23746" w:rsidP="000B2F10">
            <w:pPr>
              <w:rPr>
                <w:rFonts w:cs="Arial"/>
                <w:sz w:val="20"/>
                <w:szCs w:val="20"/>
              </w:rPr>
            </w:pPr>
            <w:r w:rsidRPr="00574DAC">
              <w:rPr>
                <w:rFonts w:cs="Arial"/>
                <w:sz w:val="20"/>
                <w:szCs w:val="20"/>
              </w:rPr>
              <w:t>C09A02 - Porcentajes de escuelas de educación básica indígena beneficiadas con actividades académicas.</w:t>
            </w:r>
          </w:p>
        </w:tc>
        <w:tc>
          <w:tcPr>
            <w:tcW w:w="2835" w:type="dxa"/>
            <w:shd w:val="clear" w:color="auto" w:fill="auto"/>
          </w:tcPr>
          <w:p w14:paraId="55173775" w14:textId="77777777" w:rsidR="00E23746" w:rsidRPr="00574DAC" w:rsidRDefault="00E23746" w:rsidP="000B2F10">
            <w:pPr>
              <w:rPr>
                <w:rFonts w:cs="Arial"/>
                <w:sz w:val="20"/>
                <w:szCs w:val="20"/>
              </w:rPr>
            </w:pPr>
            <w:r w:rsidRPr="00574DAC">
              <w:rPr>
                <w:rFonts w:cs="Arial"/>
                <w:sz w:val="20"/>
                <w:szCs w:val="20"/>
              </w:rPr>
              <w:t>Invitaciones, listas de asistencia y fotos, Anual. https://qroo.gob.mx/seq/medios-de-verificacion-de-la-planeacion-anual</w:t>
            </w:r>
            <w:r>
              <w:rPr>
                <w:rFonts w:cs="Arial"/>
                <w:sz w:val="20"/>
                <w:szCs w:val="20"/>
              </w:rPr>
              <w:t>.</w:t>
            </w:r>
          </w:p>
        </w:tc>
        <w:tc>
          <w:tcPr>
            <w:tcW w:w="1976" w:type="dxa"/>
            <w:shd w:val="clear" w:color="auto" w:fill="auto"/>
          </w:tcPr>
          <w:p w14:paraId="76B77937" w14:textId="77777777" w:rsidR="00E23746" w:rsidRDefault="00E23746" w:rsidP="000B2F10">
            <w:pPr>
              <w:rPr>
                <w:rFonts w:cs="Arial"/>
                <w:sz w:val="20"/>
                <w:szCs w:val="20"/>
              </w:rPr>
            </w:pPr>
            <w:r w:rsidRPr="00574DAC">
              <w:rPr>
                <w:rFonts w:cs="Arial"/>
                <w:sz w:val="20"/>
                <w:szCs w:val="20"/>
              </w:rPr>
              <w:t>Las escuelas de Educación indígena fortalecen la lengua materna a través de Actividades Académicas</w:t>
            </w:r>
            <w:r>
              <w:rPr>
                <w:rFonts w:cs="Arial"/>
                <w:sz w:val="20"/>
                <w:szCs w:val="20"/>
              </w:rPr>
              <w:t>.</w:t>
            </w:r>
          </w:p>
          <w:p w14:paraId="77B21A87" w14:textId="77777777" w:rsidR="00E23746" w:rsidRPr="00574DAC" w:rsidRDefault="00E23746" w:rsidP="000B2F10">
            <w:pPr>
              <w:rPr>
                <w:rFonts w:cs="Arial"/>
                <w:sz w:val="20"/>
                <w:szCs w:val="20"/>
              </w:rPr>
            </w:pPr>
          </w:p>
        </w:tc>
      </w:tr>
      <w:tr w:rsidR="00E23746" w:rsidRPr="00574DAC" w14:paraId="6219EABB" w14:textId="77777777" w:rsidTr="00C91C82">
        <w:trPr>
          <w:trHeight w:val="1901"/>
        </w:trPr>
        <w:tc>
          <w:tcPr>
            <w:tcW w:w="1271" w:type="dxa"/>
            <w:shd w:val="clear" w:color="auto" w:fill="auto"/>
          </w:tcPr>
          <w:p w14:paraId="43211990" w14:textId="77777777" w:rsidR="00E23746" w:rsidRPr="00574DAC" w:rsidRDefault="00E23746" w:rsidP="000B2F10">
            <w:pPr>
              <w:jc w:val="center"/>
              <w:rPr>
                <w:rFonts w:cs="Arial"/>
                <w:b/>
                <w:bCs/>
                <w:sz w:val="20"/>
                <w:szCs w:val="20"/>
              </w:rPr>
            </w:pPr>
            <w:r w:rsidRPr="00574DAC">
              <w:rPr>
                <w:rFonts w:cs="Arial"/>
                <w:b/>
                <w:bCs/>
                <w:sz w:val="20"/>
                <w:szCs w:val="20"/>
              </w:rPr>
              <w:t>Actividad</w:t>
            </w:r>
          </w:p>
        </w:tc>
        <w:tc>
          <w:tcPr>
            <w:tcW w:w="2835" w:type="dxa"/>
            <w:shd w:val="clear" w:color="auto" w:fill="auto"/>
          </w:tcPr>
          <w:p w14:paraId="67DE9475" w14:textId="77777777" w:rsidR="00E23746" w:rsidRDefault="00E23746" w:rsidP="000B2F10">
            <w:pPr>
              <w:rPr>
                <w:rFonts w:cs="Arial"/>
                <w:sz w:val="20"/>
                <w:szCs w:val="20"/>
              </w:rPr>
            </w:pPr>
            <w:r w:rsidRPr="00574DAC">
              <w:rPr>
                <w:rFonts w:cs="Arial"/>
                <w:sz w:val="20"/>
                <w:szCs w:val="20"/>
              </w:rPr>
              <w:t>Impulsar estrategias de enseñanza-aprendizaje bilingüe para garantizar la atención a los estudiantes indígena y preservación de la lengua maya en educación básica</w:t>
            </w:r>
            <w:r>
              <w:rPr>
                <w:rFonts w:cs="Arial"/>
                <w:sz w:val="20"/>
                <w:szCs w:val="20"/>
              </w:rPr>
              <w:t>.</w:t>
            </w:r>
          </w:p>
          <w:p w14:paraId="60F242F7" w14:textId="77777777" w:rsidR="00E23746" w:rsidRPr="00574DAC" w:rsidRDefault="00E23746" w:rsidP="000B2F10">
            <w:pPr>
              <w:rPr>
                <w:rFonts w:cs="Arial"/>
                <w:sz w:val="20"/>
                <w:szCs w:val="20"/>
              </w:rPr>
            </w:pPr>
          </w:p>
        </w:tc>
        <w:tc>
          <w:tcPr>
            <w:tcW w:w="2835" w:type="dxa"/>
            <w:shd w:val="clear" w:color="auto" w:fill="auto"/>
          </w:tcPr>
          <w:p w14:paraId="48FFDE3D" w14:textId="77777777" w:rsidR="00E23746" w:rsidRPr="00574DAC" w:rsidRDefault="00E23746" w:rsidP="000B2F10">
            <w:pPr>
              <w:rPr>
                <w:rFonts w:cs="Arial"/>
                <w:sz w:val="20"/>
                <w:szCs w:val="20"/>
              </w:rPr>
            </w:pPr>
            <w:r w:rsidRPr="00574DAC">
              <w:rPr>
                <w:rFonts w:cs="Arial"/>
                <w:sz w:val="20"/>
                <w:szCs w:val="20"/>
              </w:rPr>
              <w:t>C09.A03 - Adquisición de material didáctico para fortalecer las acciones de las figuras educativas de la modalidad de indígena.</w:t>
            </w:r>
          </w:p>
        </w:tc>
        <w:tc>
          <w:tcPr>
            <w:tcW w:w="2268" w:type="dxa"/>
            <w:shd w:val="clear" w:color="FFFFFF" w:fill="FFFFFF"/>
          </w:tcPr>
          <w:p w14:paraId="1AFDA234" w14:textId="77777777" w:rsidR="00E23746" w:rsidRPr="00574DAC" w:rsidRDefault="00E23746" w:rsidP="000B2F10">
            <w:pPr>
              <w:rPr>
                <w:rFonts w:cs="Arial"/>
                <w:sz w:val="20"/>
                <w:szCs w:val="20"/>
              </w:rPr>
            </w:pPr>
            <w:r w:rsidRPr="00574DAC">
              <w:rPr>
                <w:rFonts w:cs="Arial"/>
                <w:sz w:val="20"/>
                <w:szCs w:val="20"/>
              </w:rPr>
              <w:t>C09A03 - Porcentaje de Figuras Educat</w:t>
            </w:r>
            <w:r>
              <w:rPr>
                <w:rFonts w:cs="Arial"/>
                <w:sz w:val="20"/>
                <w:szCs w:val="20"/>
              </w:rPr>
              <w:t>ivas, beneficiadas con material educativo.</w:t>
            </w:r>
          </w:p>
        </w:tc>
        <w:tc>
          <w:tcPr>
            <w:tcW w:w="2835" w:type="dxa"/>
            <w:shd w:val="clear" w:color="auto" w:fill="auto"/>
          </w:tcPr>
          <w:p w14:paraId="0F4468C7" w14:textId="77777777" w:rsidR="00E23746" w:rsidRPr="00574DAC" w:rsidRDefault="00E23746" w:rsidP="000B2F10">
            <w:pPr>
              <w:rPr>
                <w:rFonts w:cs="Arial"/>
                <w:sz w:val="20"/>
                <w:szCs w:val="20"/>
              </w:rPr>
            </w:pPr>
            <w:r w:rsidRPr="00574DAC">
              <w:rPr>
                <w:rFonts w:cs="Arial"/>
                <w:sz w:val="20"/>
                <w:szCs w:val="20"/>
              </w:rPr>
              <w:t>Oficio de solicitud, salida de almacén y recibos, Anual. https://qroo.gob.mx/seq/medios-de-verificacion-de-la-planeacion-anual</w:t>
            </w:r>
            <w:r>
              <w:rPr>
                <w:rFonts w:cs="Arial"/>
                <w:sz w:val="20"/>
                <w:szCs w:val="20"/>
              </w:rPr>
              <w:t>.</w:t>
            </w:r>
          </w:p>
        </w:tc>
        <w:tc>
          <w:tcPr>
            <w:tcW w:w="1976" w:type="dxa"/>
            <w:shd w:val="clear" w:color="auto" w:fill="auto"/>
          </w:tcPr>
          <w:p w14:paraId="4E74637F" w14:textId="77777777" w:rsidR="00E23746" w:rsidRPr="00574DAC" w:rsidRDefault="00E23746" w:rsidP="000B2F10">
            <w:pPr>
              <w:rPr>
                <w:rFonts w:cs="Arial"/>
                <w:sz w:val="20"/>
                <w:szCs w:val="20"/>
              </w:rPr>
            </w:pPr>
            <w:r w:rsidRPr="00574DAC">
              <w:rPr>
                <w:rFonts w:cs="Arial"/>
                <w:sz w:val="20"/>
                <w:szCs w:val="20"/>
              </w:rPr>
              <w:t>Las figuras educativas emplean el material adecuadamente para el desarrollo de sus actividades</w:t>
            </w:r>
            <w:r>
              <w:rPr>
                <w:rFonts w:cs="Arial"/>
                <w:sz w:val="20"/>
                <w:szCs w:val="20"/>
              </w:rPr>
              <w:t>.</w:t>
            </w:r>
          </w:p>
        </w:tc>
      </w:tr>
      <w:tr w:rsidR="00E23746" w:rsidRPr="00574DAC" w14:paraId="3249E7BD" w14:textId="77777777" w:rsidTr="00C91C82">
        <w:trPr>
          <w:trHeight w:val="1174"/>
        </w:trPr>
        <w:tc>
          <w:tcPr>
            <w:tcW w:w="1271" w:type="dxa"/>
            <w:shd w:val="clear" w:color="auto" w:fill="auto"/>
          </w:tcPr>
          <w:p w14:paraId="174F01D8" w14:textId="77777777" w:rsidR="00E23746" w:rsidRPr="00574DAC" w:rsidRDefault="00E23746" w:rsidP="000B2F10">
            <w:pPr>
              <w:jc w:val="center"/>
              <w:rPr>
                <w:rFonts w:cs="Arial"/>
                <w:b/>
                <w:bCs/>
                <w:sz w:val="20"/>
                <w:szCs w:val="20"/>
              </w:rPr>
            </w:pPr>
            <w:r w:rsidRPr="00574DAC">
              <w:rPr>
                <w:rFonts w:cs="Arial"/>
                <w:b/>
                <w:bCs/>
                <w:sz w:val="20"/>
                <w:szCs w:val="20"/>
              </w:rPr>
              <w:t>Actividad</w:t>
            </w:r>
          </w:p>
        </w:tc>
        <w:tc>
          <w:tcPr>
            <w:tcW w:w="2835" w:type="dxa"/>
            <w:shd w:val="clear" w:color="auto" w:fill="auto"/>
          </w:tcPr>
          <w:p w14:paraId="4D068340" w14:textId="77777777" w:rsidR="00E23746" w:rsidRPr="00574DAC" w:rsidRDefault="00E23746" w:rsidP="000B2F10">
            <w:pPr>
              <w:rPr>
                <w:rFonts w:cs="Arial"/>
                <w:sz w:val="20"/>
                <w:szCs w:val="20"/>
              </w:rPr>
            </w:pPr>
            <w:r w:rsidRPr="00574DAC">
              <w:rPr>
                <w:rFonts w:cs="Arial"/>
                <w:sz w:val="20"/>
                <w:szCs w:val="20"/>
              </w:rPr>
              <w:t>Fortalecer las acciones de certificación de docente de lengua maya</w:t>
            </w:r>
            <w:r>
              <w:rPr>
                <w:rFonts w:cs="Arial"/>
                <w:sz w:val="20"/>
                <w:szCs w:val="20"/>
              </w:rPr>
              <w:t>.</w:t>
            </w:r>
          </w:p>
        </w:tc>
        <w:tc>
          <w:tcPr>
            <w:tcW w:w="2835" w:type="dxa"/>
            <w:shd w:val="clear" w:color="auto" w:fill="auto"/>
          </w:tcPr>
          <w:p w14:paraId="0DE6088B" w14:textId="77777777" w:rsidR="00E23746" w:rsidRPr="00574DAC" w:rsidRDefault="00E23746" w:rsidP="000B2F10">
            <w:pPr>
              <w:rPr>
                <w:rFonts w:cs="Arial"/>
                <w:sz w:val="20"/>
                <w:szCs w:val="20"/>
              </w:rPr>
            </w:pPr>
            <w:r w:rsidRPr="00574DAC">
              <w:rPr>
                <w:rFonts w:cs="Arial"/>
                <w:sz w:val="20"/>
                <w:szCs w:val="20"/>
              </w:rPr>
              <w:t>C09.A04.- Fortalecimiento de las acciones para la certifica</w:t>
            </w:r>
            <w:r>
              <w:rPr>
                <w:rFonts w:cs="Arial"/>
                <w:sz w:val="20"/>
                <w:szCs w:val="20"/>
              </w:rPr>
              <w:t>ción de docentes en lengua maya.</w:t>
            </w:r>
          </w:p>
        </w:tc>
        <w:tc>
          <w:tcPr>
            <w:tcW w:w="2268" w:type="dxa"/>
            <w:shd w:val="clear" w:color="FFFFFF" w:fill="FFFFFF"/>
          </w:tcPr>
          <w:p w14:paraId="4CE26B40" w14:textId="77777777" w:rsidR="00E23746" w:rsidRPr="00574DAC" w:rsidRDefault="00E23746" w:rsidP="000B2F10">
            <w:pPr>
              <w:rPr>
                <w:rFonts w:cs="Arial"/>
                <w:sz w:val="20"/>
                <w:szCs w:val="20"/>
              </w:rPr>
            </w:pPr>
            <w:r w:rsidRPr="00574DAC">
              <w:rPr>
                <w:rFonts w:cs="Arial"/>
                <w:sz w:val="20"/>
                <w:szCs w:val="20"/>
              </w:rPr>
              <w:t>C09A04- Porcentaje de docentes que obtienen u</w:t>
            </w:r>
            <w:r>
              <w:rPr>
                <w:rFonts w:cs="Arial"/>
                <w:sz w:val="20"/>
                <w:szCs w:val="20"/>
              </w:rPr>
              <w:t>na certificación en lengua maya.</w:t>
            </w:r>
          </w:p>
        </w:tc>
        <w:tc>
          <w:tcPr>
            <w:tcW w:w="2835" w:type="dxa"/>
            <w:shd w:val="clear" w:color="auto" w:fill="auto"/>
          </w:tcPr>
          <w:p w14:paraId="25395D47" w14:textId="77777777" w:rsidR="00E23746" w:rsidRDefault="00E23746" w:rsidP="000B2F10">
            <w:pPr>
              <w:rPr>
                <w:rFonts w:cs="Arial"/>
                <w:sz w:val="20"/>
                <w:szCs w:val="20"/>
              </w:rPr>
            </w:pPr>
            <w:r w:rsidRPr="00574DAC">
              <w:rPr>
                <w:rFonts w:cs="Arial"/>
                <w:sz w:val="20"/>
                <w:szCs w:val="20"/>
              </w:rPr>
              <w:t xml:space="preserve">Listas de asistencia y registro de docentes a cursos, Anual, </w:t>
            </w:r>
            <w:hyperlink r:id="rId34" w:history="1">
              <w:r w:rsidRPr="003135B9">
                <w:rPr>
                  <w:rStyle w:val="Hipervnculo"/>
                  <w:rFonts w:cs="Arial"/>
                  <w:sz w:val="20"/>
                  <w:szCs w:val="20"/>
                </w:rPr>
                <w:t>https://qroo.gob.mx/seq/medios-de-verificacion-de-la-planeacion-anual</w:t>
              </w:r>
            </w:hyperlink>
            <w:r>
              <w:rPr>
                <w:rFonts w:cs="Arial"/>
                <w:sz w:val="20"/>
                <w:szCs w:val="20"/>
              </w:rPr>
              <w:t>.</w:t>
            </w:r>
          </w:p>
          <w:p w14:paraId="24BC3D45" w14:textId="77777777" w:rsidR="00E23746" w:rsidRPr="00574DAC" w:rsidRDefault="00E23746" w:rsidP="000B2F10">
            <w:pPr>
              <w:rPr>
                <w:rFonts w:cs="Arial"/>
                <w:sz w:val="20"/>
                <w:szCs w:val="20"/>
              </w:rPr>
            </w:pPr>
          </w:p>
        </w:tc>
        <w:tc>
          <w:tcPr>
            <w:tcW w:w="1976" w:type="dxa"/>
            <w:shd w:val="clear" w:color="auto" w:fill="auto"/>
          </w:tcPr>
          <w:p w14:paraId="648736B0" w14:textId="77777777" w:rsidR="00E23746" w:rsidRPr="00574DAC" w:rsidRDefault="00E23746" w:rsidP="000B2F10">
            <w:pPr>
              <w:rPr>
                <w:rFonts w:cs="Arial"/>
                <w:sz w:val="20"/>
                <w:szCs w:val="20"/>
              </w:rPr>
            </w:pPr>
            <w:r w:rsidRPr="00574DAC">
              <w:rPr>
                <w:rFonts w:cs="Arial"/>
                <w:sz w:val="20"/>
                <w:szCs w:val="20"/>
              </w:rPr>
              <w:t>Los docentes culminan su curso para certificarse e</w:t>
            </w:r>
            <w:r>
              <w:rPr>
                <w:rFonts w:cs="Arial"/>
                <w:sz w:val="20"/>
                <w:szCs w:val="20"/>
              </w:rPr>
              <w:t>n lengua maya.</w:t>
            </w:r>
          </w:p>
        </w:tc>
      </w:tr>
    </w:tbl>
    <w:p w14:paraId="4C3A9C35" w14:textId="742CD60D" w:rsidR="00D47ED1" w:rsidRDefault="00D47ED1"/>
    <w:p w14:paraId="771C9486" w14:textId="77777777" w:rsidR="00D47ED1" w:rsidRDefault="00D47ED1">
      <w:pPr>
        <w:spacing w:after="0" w:line="240" w:lineRule="auto"/>
        <w:jc w:val="left"/>
      </w:pPr>
      <w:r>
        <w:br w:type="page"/>
      </w:r>
    </w:p>
    <w:tbl>
      <w:tblPr>
        <w:tblW w:w="140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3"/>
        <w:gridCol w:w="2693"/>
        <w:gridCol w:w="2835"/>
        <w:gridCol w:w="2268"/>
        <w:gridCol w:w="2835"/>
        <w:gridCol w:w="1976"/>
      </w:tblGrid>
      <w:tr w:rsidR="00E23746" w:rsidRPr="00574DAC" w14:paraId="6BB5C450" w14:textId="77777777" w:rsidTr="00BF2AA6">
        <w:trPr>
          <w:trHeight w:val="679"/>
        </w:trPr>
        <w:tc>
          <w:tcPr>
            <w:tcW w:w="1413" w:type="dxa"/>
            <w:shd w:val="clear" w:color="000000" w:fill="BFBFBF"/>
            <w:vAlign w:val="center"/>
            <w:hideMark/>
          </w:tcPr>
          <w:p w14:paraId="584C036B"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lastRenderedPageBreak/>
              <w:t>NIVEL</w:t>
            </w:r>
          </w:p>
        </w:tc>
        <w:tc>
          <w:tcPr>
            <w:tcW w:w="2693" w:type="dxa"/>
            <w:shd w:val="clear" w:color="000000" w:fill="BFBFBF"/>
            <w:vAlign w:val="center"/>
            <w:hideMark/>
          </w:tcPr>
          <w:p w14:paraId="772BFDD4"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ALINEACIÓN PED/PD</w:t>
            </w:r>
          </w:p>
        </w:tc>
        <w:tc>
          <w:tcPr>
            <w:tcW w:w="2835" w:type="dxa"/>
            <w:shd w:val="clear" w:color="000000" w:fill="BFBFBF"/>
            <w:vAlign w:val="center"/>
            <w:hideMark/>
          </w:tcPr>
          <w:p w14:paraId="6DB5A5AC"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OBJETIVO</w:t>
            </w:r>
          </w:p>
        </w:tc>
        <w:tc>
          <w:tcPr>
            <w:tcW w:w="2268" w:type="dxa"/>
            <w:shd w:val="clear" w:color="000000" w:fill="BFBFBF"/>
            <w:vAlign w:val="center"/>
            <w:hideMark/>
          </w:tcPr>
          <w:p w14:paraId="6CA1BAD5"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INDICADOR</w:t>
            </w:r>
          </w:p>
        </w:tc>
        <w:tc>
          <w:tcPr>
            <w:tcW w:w="2835" w:type="dxa"/>
            <w:shd w:val="clear" w:color="000000" w:fill="BFBFBF"/>
            <w:vAlign w:val="center"/>
            <w:hideMark/>
          </w:tcPr>
          <w:p w14:paraId="13896741"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MEDIOS DE VERIFICACIÓN</w:t>
            </w:r>
          </w:p>
        </w:tc>
        <w:tc>
          <w:tcPr>
            <w:tcW w:w="1976" w:type="dxa"/>
            <w:shd w:val="clear" w:color="000000" w:fill="BFBFBF"/>
            <w:vAlign w:val="center"/>
            <w:hideMark/>
          </w:tcPr>
          <w:p w14:paraId="194AF56B"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SUPUESTO</w:t>
            </w:r>
          </w:p>
        </w:tc>
      </w:tr>
      <w:tr w:rsidR="00E23746" w:rsidRPr="00574DAC" w14:paraId="72DF2CBF" w14:textId="77777777" w:rsidTr="00BF2AA6">
        <w:trPr>
          <w:trHeight w:val="3527"/>
        </w:trPr>
        <w:tc>
          <w:tcPr>
            <w:tcW w:w="1413" w:type="dxa"/>
            <w:shd w:val="clear" w:color="auto" w:fill="auto"/>
          </w:tcPr>
          <w:p w14:paraId="373924FA" w14:textId="77777777" w:rsidR="00E23746" w:rsidRPr="00574DAC" w:rsidRDefault="00E23746" w:rsidP="000B2F10">
            <w:pPr>
              <w:jc w:val="center"/>
              <w:rPr>
                <w:rFonts w:cs="Arial"/>
                <w:b/>
                <w:bCs/>
                <w:sz w:val="20"/>
                <w:szCs w:val="20"/>
              </w:rPr>
            </w:pPr>
            <w:r w:rsidRPr="00574DAC">
              <w:rPr>
                <w:rFonts w:cs="Arial"/>
                <w:b/>
                <w:bCs/>
                <w:sz w:val="20"/>
                <w:szCs w:val="20"/>
              </w:rPr>
              <w:t>Componente</w:t>
            </w:r>
          </w:p>
        </w:tc>
        <w:tc>
          <w:tcPr>
            <w:tcW w:w="2693" w:type="dxa"/>
            <w:shd w:val="clear" w:color="auto" w:fill="auto"/>
          </w:tcPr>
          <w:p w14:paraId="264C64A9" w14:textId="77777777" w:rsidR="00E23746" w:rsidRPr="00574DAC" w:rsidRDefault="00E23746" w:rsidP="000B2F10">
            <w:pPr>
              <w:rPr>
                <w:rFonts w:cs="Arial"/>
                <w:sz w:val="20"/>
                <w:szCs w:val="20"/>
              </w:rPr>
            </w:pPr>
            <w:r w:rsidRPr="00574DAC">
              <w:rPr>
                <w:rFonts w:cs="Arial"/>
                <w:sz w:val="20"/>
                <w:szCs w:val="20"/>
              </w:rPr>
              <w:t>Ampliar la atención a niños y jóvenes con discapacidad, necesidades educativas especiales y/o aptitudes sobresalientes, propiciando ambientes inclusivos</w:t>
            </w:r>
            <w:r>
              <w:rPr>
                <w:rFonts w:cs="Arial"/>
                <w:sz w:val="20"/>
                <w:szCs w:val="20"/>
              </w:rPr>
              <w:t>.</w:t>
            </w:r>
          </w:p>
        </w:tc>
        <w:tc>
          <w:tcPr>
            <w:tcW w:w="2835" w:type="dxa"/>
            <w:shd w:val="clear" w:color="auto" w:fill="auto"/>
          </w:tcPr>
          <w:p w14:paraId="5BBE7911" w14:textId="77777777" w:rsidR="00E23746" w:rsidRPr="00574DAC" w:rsidRDefault="00E23746" w:rsidP="000B2F10">
            <w:pPr>
              <w:rPr>
                <w:rFonts w:cs="Arial"/>
                <w:sz w:val="20"/>
                <w:szCs w:val="20"/>
              </w:rPr>
            </w:pPr>
            <w:r w:rsidRPr="00574DAC">
              <w:rPr>
                <w:rFonts w:cs="Arial"/>
                <w:sz w:val="20"/>
                <w:szCs w:val="20"/>
              </w:rPr>
              <w:t>C10 - Alumnos y alumnas con discapacidad, necesidades especiales y/o aptitudes sobresalientes atendidos/as en los Servicios de Educación Básica en la modalidad de Educación Especial del Estado de Quintana Roo</w:t>
            </w:r>
            <w:r>
              <w:rPr>
                <w:rFonts w:cs="Arial"/>
                <w:sz w:val="20"/>
                <w:szCs w:val="20"/>
              </w:rPr>
              <w:t>.</w:t>
            </w:r>
          </w:p>
        </w:tc>
        <w:tc>
          <w:tcPr>
            <w:tcW w:w="2268" w:type="dxa"/>
            <w:shd w:val="clear" w:color="FFFFFF" w:fill="FFFFFF"/>
          </w:tcPr>
          <w:p w14:paraId="35375A91" w14:textId="77777777" w:rsidR="00E23746" w:rsidRPr="00574DAC" w:rsidRDefault="00E23746" w:rsidP="000B2F10">
            <w:pPr>
              <w:rPr>
                <w:rFonts w:cs="Arial"/>
                <w:sz w:val="20"/>
                <w:szCs w:val="20"/>
              </w:rPr>
            </w:pPr>
            <w:r w:rsidRPr="00574DAC">
              <w:rPr>
                <w:rFonts w:cs="Arial"/>
                <w:sz w:val="20"/>
                <w:szCs w:val="20"/>
              </w:rPr>
              <w:t xml:space="preserve">C10 - Tasa de variación anual de alumnos y alumnas de Educación Especial del Estado de Quintana Roo con discapacidad, necesidades especiales y/o aptitudes sobresalientes atendidos. </w:t>
            </w:r>
          </w:p>
        </w:tc>
        <w:tc>
          <w:tcPr>
            <w:tcW w:w="2835" w:type="dxa"/>
            <w:shd w:val="clear" w:color="auto" w:fill="auto"/>
          </w:tcPr>
          <w:p w14:paraId="279A3AE7" w14:textId="77777777" w:rsidR="00E23746" w:rsidRPr="00574DAC" w:rsidRDefault="00E23746" w:rsidP="000B2F10">
            <w:pPr>
              <w:rPr>
                <w:rFonts w:cs="Arial"/>
                <w:sz w:val="20"/>
                <w:szCs w:val="20"/>
              </w:rPr>
            </w:pPr>
            <w:r w:rsidRPr="00574DAC">
              <w:rPr>
                <w:rFonts w:cs="Arial"/>
                <w:sz w:val="20"/>
                <w:szCs w:val="20"/>
              </w:rPr>
              <w:t>Estadística 911, anual. https://qroo.gob.mx/seq/medios-de-verificacion-de-la-planeacion-anual</w:t>
            </w:r>
            <w:r>
              <w:rPr>
                <w:rFonts w:cs="Arial"/>
                <w:sz w:val="20"/>
                <w:szCs w:val="20"/>
              </w:rPr>
              <w:t>.</w:t>
            </w:r>
          </w:p>
        </w:tc>
        <w:tc>
          <w:tcPr>
            <w:tcW w:w="1976" w:type="dxa"/>
            <w:shd w:val="clear" w:color="auto" w:fill="auto"/>
          </w:tcPr>
          <w:p w14:paraId="62D27BAB" w14:textId="77777777" w:rsidR="00E23746" w:rsidRDefault="00E23746" w:rsidP="000B2F10">
            <w:pPr>
              <w:rPr>
                <w:rFonts w:cs="Arial"/>
                <w:sz w:val="20"/>
                <w:szCs w:val="20"/>
              </w:rPr>
            </w:pPr>
            <w:r w:rsidRPr="00574DAC">
              <w:rPr>
                <w:rFonts w:cs="Arial"/>
                <w:sz w:val="20"/>
                <w:szCs w:val="20"/>
              </w:rPr>
              <w:t>Escuelas de Educación Básica realizan acciones que contribuyen a disminuir las barreras para el aprendizaje y la participación, para una atención inclusiva de la población con discapacidad y aptitudes sobresalientes.</w:t>
            </w:r>
          </w:p>
          <w:p w14:paraId="3FDF4176" w14:textId="77777777" w:rsidR="00E23746" w:rsidRPr="00574DAC" w:rsidRDefault="00E23746" w:rsidP="000B2F10">
            <w:pPr>
              <w:rPr>
                <w:rFonts w:cs="Arial"/>
                <w:sz w:val="20"/>
                <w:szCs w:val="20"/>
              </w:rPr>
            </w:pPr>
          </w:p>
        </w:tc>
      </w:tr>
      <w:tr w:rsidR="00E23746" w:rsidRPr="00574DAC" w14:paraId="3C42AE87" w14:textId="77777777" w:rsidTr="00BF2AA6">
        <w:trPr>
          <w:trHeight w:val="2412"/>
        </w:trPr>
        <w:tc>
          <w:tcPr>
            <w:tcW w:w="1413" w:type="dxa"/>
            <w:shd w:val="clear" w:color="auto" w:fill="auto"/>
          </w:tcPr>
          <w:p w14:paraId="76C49644" w14:textId="77777777" w:rsidR="00E23746" w:rsidRPr="00574DAC" w:rsidRDefault="00E23746" w:rsidP="000B2F10">
            <w:pPr>
              <w:jc w:val="center"/>
              <w:rPr>
                <w:rFonts w:cs="Arial"/>
                <w:b/>
                <w:bCs/>
                <w:sz w:val="20"/>
                <w:szCs w:val="20"/>
              </w:rPr>
            </w:pPr>
            <w:r w:rsidRPr="00574DAC">
              <w:rPr>
                <w:rFonts w:cs="Arial"/>
                <w:b/>
                <w:bCs/>
                <w:sz w:val="20"/>
                <w:szCs w:val="20"/>
              </w:rPr>
              <w:t>Actividad</w:t>
            </w:r>
          </w:p>
        </w:tc>
        <w:tc>
          <w:tcPr>
            <w:tcW w:w="2693" w:type="dxa"/>
            <w:shd w:val="clear" w:color="auto" w:fill="auto"/>
          </w:tcPr>
          <w:p w14:paraId="6EC5AAB5" w14:textId="77777777" w:rsidR="00E23746" w:rsidRPr="00574DAC" w:rsidRDefault="00E23746" w:rsidP="000B2F10">
            <w:pPr>
              <w:rPr>
                <w:rFonts w:cs="Arial"/>
                <w:sz w:val="20"/>
                <w:szCs w:val="20"/>
              </w:rPr>
            </w:pPr>
            <w:r w:rsidRPr="00574DAC">
              <w:rPr>
                <w:rFonts w:cs="Arial"/>
                <w:sz w:val="20"/>
                <w:szCs w:val="20"/>
              </w:rPr>
              <w:t>Ampliar la atención a niños y jóvenes con discapacidad, necesidades educativas especiales y/o aptitudes sobresalientes, propiciando ambientes inclusivos</w:t>
            </w:r>
            <w:r>
              <w:rPr>
                <w:rFonts w:cs="Arial"/>
                <w:sz w:val="20"/>
                <w:szCs w:val="20"/>
              </w:rPr>
              <w:t>.</w:t>
            </w:r>
          </w:p>
        </w:tc>
        <w:tc>
          <w:tcPr>
            <w:tcW w:w="2835" w:type="dxa"/>
            <w:shd w:val="clear" w:color="auto" w:fill="auto"/>
          </w:tcPr>
          <w:p w14:paraId="28DFDF1A" w14:textId="70E07386" w:rsidR="001906E0" w:rsidRPr="00574DAC" w:rsidRDefault="00E23746" w:rsidP="009D52D8">
            <w:pPr>
              <w:rPr>
                <w:rFonts w:cs="Arial"/>
                <w:sz w:val="20"/>
                <w:szCs w:val="20"/>
              </w:rPr>
            </w:pPr>
            <w:r w:rsidRPr="00574DAC">
              <w:rPr>
                <w:rFonts w:cs="Arial"/>
                <w:sz w:val="20"/>
                <w:szCs w:val="20"/>
              </w:rPr>
              <w:t>C10.A01 - Fortalecimiento al servicio escolarizado de Educación Especial en el Centro de Atención Múltiple (CAM) para mejorar la atención de alumnos y alumnas con discapacidad que enfrentan barreras para el aprendizaje y la participación.</w:t>
            </w:r>
          </w:p>
        </w:tc>
        <w:tc>
          <w:tcPr>
            <w:tcW w:w="2268" w:type="dxa"/>
            <w:shd w:val="clear" w:color="FFFFFF" w:fill="FFFFFF"/>
          </w:tcPr>
          <w:p w14:paraId="2F7EA48A" w14:textId="77777777" w:rsidR="00E23746" w:rsidRPr="00574DAC" w:rsidRDefault="00E23746" w:rsidP="000B2F10">
            <w:pPr>
              <w:rPr>
                <w:rFonts w:cs="Arial"/>
                <w:sz w:val="20"/>
                <w:szCs w:val="20"/>
              </w:rPr>
            </w:pPr>
            <w:r w:rsidRPr="00574DAC">
              <w:rPr>
                <w:rFonts w:cs="Arial"/>
                <w:sz w:val="20"/>
                <w:szCs w:val="20"/>
              </w:rPr>
              <w:t>C010A0</w:t>
            </w:r>
            <w:r>
              <w:rPr>
                <w:rFonts w:cs="Arial"/>
                <w:sz w:val="20"/>
                <w:szCs w:val="20"/>
              </w:rPr>
              <w:t>1</w:t>
            </w:r>
            <w:r w:rsidRPr="00574DAC">
              <w:rPr>
                <w:rFonts w:cs="Arial"/>
                <w:sz w:val="20"/>
                <w:szCs w:val="20"/>
              </w:rPr>
              <w:t xml:space="preserve"> - Porcentaje de alumnos y alumnas atendidos en los Centros de Atención Múltiple (CAM) en el Estado.  </w:t>
            </w:r>
          </w:p>
        </w:tc>
        <w:tc>
          <w:tcPr>
            <w:tcW w:w="2835" w:type="dxa"/>
            <w:shd w:val="clear" w:color="auto" w:fill="auto"/>
          </w:tcPr>
          <w:p w14:paraId="287B0F89" w14:textId="77777777" w:rsidR="00E23746" w:rsidRPr="00574DAC" w:rsidRDefault="00E23746" w:rsidP="000B2F10">
            <w:pPr>
              <w:rPr>
                <w:rFonts w:cs="Arial"/>
                <w:sz w:val="20"/>
                <w:szCs w:val="20"/>
              </w:rPr>
            </w:pPr>
            <w:r w:rsidRPr="00574DAC">
              <w:rPr>
                <w:rFonts w:cs="Arial"/>
                <w:sz w:val="20"/>
                <w:szCs w:val="20"/>
              </w:rPr>
              <w:t>Estadística 911, Anual. https://qroo.gob.mx/seq/medios-de-verificacion-de-la-planeacion-anual</w:t>
            </w:r>
            <w:r>
              <w:rPr>
                <w:rFonts w:cs="Arial"/>
                <w:sz w:val="20"/>
                <w:szCs w:val="20"/>
              </w:rPr>
              <w:t>.</w:t>
            </w:r>
          </w:p>
        </w:tc>
        <w:tc>
          <w:tcPr>
            <w:tcW w:w="1976" w:type="dxa"/>
            <w:shd w:val="clear" w:color="auto" w:fill="auto"/>
          </w:tcPr>
          <w:p w14:paraId="140FC69A" w14:textId="77777777" w:rsidR="00E23746" w:rsidRPr="00574DAC" w:rsidRDefault="00E23746" w:rsidP="000B2F10">
            <w:pPr>
              <w:rPr>
                <w:rFonts w:cs="Arial"/>
                <w:sz w:val="20"/>
                <w:szCs w:val="20"/>
              </w:rPr>
            </w:pPr>
            <w:r w:rsidRPr="00574DAC">
              <w:rPr>
                <w:rFonts w:cs="Arial"/>
                <w:sz w:val="20"/>
                <w:szCs w:val="20"/>
              </w:rPr>
              <w:t>Los padres de familia de los niños o niñas con alguna discapacidad inscriben a sus hijos a los servicios de educación especial.</w:t>
            </w:r>
          </w:p>
        </w:tc>
      </w:tr>
    </w:tbl>
    <w:p w14:paraId="7F32663B" w14:textId="1419C32F" w:rsidR="00D47ED1" w:rsidRDefault="00D47ED1"/>
    <w:p w14:paraId="3B618ECF" w14:textId="77777777" w:rsidR="00D47ED1" w:rsidRDefault="00D47ED1">
      <w:pPr>
        <w:spacing w:after="0" w:line="240" w:lineRule="auto"/>
        <w:jc w:val="left"/>
      </w:pPr>
      <w:r>
        <w:br w:type="page"/>
      </w:r>
    </w:p>
    <w:tbl>
      <w:tblPr>
        <w:tblW w:w="14020" w:type="dxa"/>
        <w:tblLayout w:type="fixed"/>
        <w:tblCellMar>
          <w:left w:w="70" w:type="dxa"/>
          <w:right w:w="70" w:type="dxa"/>
        </w:tblCellMar>
        <w:tblLook w:val="04A0" w:firstRow="1" w:lastRow="0" w:firstColumn="1" w:lastColumn="0" w:noHBand="0" w:noVBand="1"/>
      </w:tblPr>
      <w:tblGrid>
        <w:gridCol w:w="1271"/>
        <w:gridCol w:w="2835"/>
        <w:gridCol w:w="2835"/>
        <w:gridCol w:w="2268"/>
        <w:gridCol w:w="2835"/>
        <w:gridCol w:w="1976"/>
      </w:tblGrid>
      <w:tr w:rsidR="00E23746" w:rsidRPr="00574DAC" w14:paraId="69C33E56" w14:textId="77777777" w:rsidTr="000B2F10">
        <w:trPr>
          <w:trHeight w:val="679"/>
        </w:trPr>
        <w:tc>
          <w:tcPr>
            <w:tcW w:w="1271"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652E4DCD"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lastRenderedPageBreak/>
              <w:t>NIVEL</w:t>
            </w:r>
          </w:p>
        </w:tc>
        <w:tc>
          <w:tcPr>
            <w:tcW w:w="2835"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3C6BACBB"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ALINEACIÓN PED/PD</w:t>
            </w:r>
          </w:p>
        </w:tc>
        <w:tc>
          <w:tcPr>
            <w:tcW w:w="2835"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09CE540F"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OBJETIVO</w:t>
            </w:r>
          </w:p>
        </w:tc>
        <w:tc>
          <w:tcPr>
            <w:tcW w:w="2268"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4B7B79EC"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INDICADOR</w:t>
            </w:r>
          </w:p>
        </w:tc>
        <w:tc>
          <w:tcPr>
            <w:tcW w:w="2835"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5B012E98"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MEDIOS DE VERIFICACIÓN</w:t>
            </w:r>
          </w:p>
        </w:tc>
        <w:tc>
          <w:tcPr>
            <w:tcW w:w="1976"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57657195"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SUPUESTO</w:t>
            </w:r>
          </w:p>
        </w:tc>
      </w:tr>
      <w:tr w:rsidR="00E23746" w:rsidRPr="00574DAC" w14:paraId="206C1F9E" w14:textId="77777777" w:rsidTr="00C91C82">
        <w:trPr>
          <w:trHeight w:val="2412"/>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023B67F3" w14:textId="77777777" w:rsidR="00E23746" w:rsidRPr="00574DAC" w:rsidRDefault="00E23746" w:rsidP="000B2F10">
            <w:pPr>
              <w:jc w:val="center"/>
              <w:rPr>
                <w:rFonts w:cs="Arial"/>
                <w:b/>
                <w:bCs/>
                <w:sz w:val="20"/>
                <w:szCs w:val="20"/>
              </w:rPr>
            </w:pPr>
            <w:r w:rsidRPr="00574DAC">
              <w:rPr>
                <w:rFonts w:cs="Arial"/>
                <w:b/>
                <w:bCs/>
                <w:sz w:val="20"/>
                <w:szCs w:val="20"/>
              </w:rPr>
              <w:t>Actividad</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C0F8EAC" w14:textId="77777777" w:rsidR="00E23746" w:rsidRPr="00574DAC" w:rsidRDefault="00E23746" w:rsidP="000B2F10">
            <w:pPr>
              <w:rPr>
                <w:rFonts w:cs="Arial"/>
                <w:sz w:val="20"/>
                <w:szCs w:val="20"/>
              </w:rPr>
            </w:pPr>
            <w:r w:rsidRPr="00574DAC">
              <w:rPr>
                <w:rFonts w:cs="Arial"/>
                <w:sz w:val="20"/>
                <w:szCs w:val="20"/>
              </w:rPr>
              <w:t>Ampliar la atención a niños y jóvenes con discapacidad, necesidades educativas especiales y/o aptitudes sobresalientes, propiciando ambientes inclusivos</w:t>
            </w:r>
            <w:r>
              <w:rPr>
                <w:rFonts w:cs="Arial"/>
                <w:sz w:val="20"/>
                <w:szCs w:val="20"/>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BE13B92" w14:textId="77777777" w:rsidR="00E23746" w:rsidRPr="00574DAC" w:rsidRDefault="00E23746" w:rsidP="000B2F10">
            <w:pPr>
              <w:rPr>
                <w:rFonts w:cs="Arial"/>
                <w:sz w:val="20"/>
                <w:szCs w:val="20"/>
              </w:rPr>
            </w:pPr>
            <w:r w:rsidRPr="00574DAC">
              <w:rPr>
                <w:rFonts w:cs="Arial"/>
                <w:sz w:val="20"/>
                <w:szCs w:val="20"/>
              </w:rPr>
              <w:t>C10.A02 - Fortalecimiento al Servicio de Apoyo a la Educación Regular de la Unidad de Servicios de Apoyo a la Educación Regular (USAER) para mejorar la atención de alumnos y alumnas que enfrentan barreras para el aprendizaje y la participación.</w:t>
            </w:r>
          </w:p>
        </w:tc>
        <w:tc>
          <w:tcPr>
            <w:tcW w:w="2268" w:type="dxa"/>
            <w:tcBorders>
              <w:top w:val="single" w:sz="4" w:space="0" w:color="auto"/>
              <w:left w:val="single" w:sz="4" w:space="0" w:color="auto"/>
              <w:bottom w:val="single" w:sz="4" w:space="0" w:color="auto"/>
              <w:right w:val="single" w:sz="4" w:space="0" w:color="auto"/>
            </w:tcBorders>
            <w:shd w:val="clear" w:color="FFFFFF" w:fill="FFFFFF"/>
          </w:tcPr>
          <w:p w14:paraId="4AB72DC6" w14:textId="77777777" w:rsidR="00E23746" w:rsidRPr="00574DAC" w:rsidRDefault="00E23746" w:rsidP="000B2F10">
            <w:pPr>
              <w:rPr>
                <w:rFonts w:cs="Arial"/>
                <w:sz w:val="20"/>
                <w:szCs w:val="20"/>
              </w:rPr>
            </w:pPr>
            <w:r w:rsidRPr="00574DAC">
              <w:rPr>
                <w:rFonts w:cs="Arial"/>
                <w:sz w:val="20"/>
                <w:szCs w:val="20"/>
              </w:rPr>
              <w:t>C10A0</w:t>
            </w:r>
            <w:r>
              <w:rPr>
                <w:rFonts w:cs="Arial"/>
                <w:sz w:val="20"/>
                <w:szCs w:val="20"/>
              </w:rPr>
              <w:t>2</w:t>
            </w:r>
            <w:r w:rsidRPr="00574DAC">
              <w:rPr>
                <w:rFonts w:cs="Arial"/>
                <w:sz w:val="20"/>
                <w:szCs w:val="20"/>
              </w:rPr>
              <w:t xml:space="preserve"> - Porcentaje de alumnos y alumnas atendidos por los Servicios de Apoyo a la Educación Regular de la Unidad de Servicios de Apoyo a la Educación Regular (USAER).</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063E7AF" w14:textId="77777777" w:rsidR="00E23746" w:rsidRPr="00574DAC" w:rsidRDefault="00E23746" w:rsidP="000B2F10">
            <w:pPr>
              <w:rPr>
                <w:rFonts w:cs="Arial"/>
                <w:sz w:val="20"/>
                <w:szCs w:val="20"/>
              </w:rPr>
            </w:pPr>
            <w:r w:rsidRPr="00574DAC">
              <w:rPr>
                <w:rFonts w:cs="Arial"/>
                <w:sz w:val="20"/>
                <w:szCs w:val="20"/>
              </w:rPr>
              <w:t>Estadística 911, Anual, https://qroo.gob.mx/seq/medios-de-verificacion-de-la-planeacion-anual</w:t>
            </w:r>
            <w:r>
              <w:rPr>
                <w:rFonts w:cs="Arial"/>
                <w:sz w:val="20"/>
                <w:szCs w:val="20"/>
              </w:rPr>
              <w:t>.</w:t>
            </w:r>
          </w:p>
        </w:tc>
        <w:tc>
          <w:tcPr>
            <w:tcW w:w="1976" w:type="dxa"/>
            <w:tcBorders>
              <w:top w:val="single" w:sz="4" w:space="0" w:color="auto"/>
              <w:left w:val="single" w:sz="4" w:space="0" w:color="auto"/>
              <w:bottom w:val="single" w:sz="4" w:space="0" w:color="auto"/>
              <w:right w:val="single" w:sz="4" w:space="0" w:color="auto"/>
            </w:tcBorders>
            <w:shd w:val="clear" w:color="auto" w:fill="auto"/>
          </w:tcPr>
          <w:p w14:paraId="43BC0DD9" w14:textId="77777777" w:rsidR="00E23746" w:rsidRPr="00574DAC" w:rsidRDefault="00E23746" w:rsidP="000B2F10">
            <w:pPr>
              <w:rPr>
                <w:rFonts w:cs="Arial"/>
                <w:sz w:val="20"/>
                <w:szCs w:val="20"/>
              </w:rPr>
            </w:pPr>
            <w:r w:rsidRPr="00574DAC">
              <w:rPr>
                <w:rFonts w:cs="Arial"/>
                <w:sz w:val="20"/>
                <w:szCs w:val="20"/>
              </w:rPr>
              <w:t>Los alumnos y alumnas con alguna discapacidad, aptitud sobresaliente o necesidad especial, aprovechan los apoyos brindados por la Unidad de Servicios de Apoyo a la Educación Regular (USAER) en el Estado, logrando la inclusión en el servicio regular.</w:t>
            </w:r>
          </w:p>
        </w:tc>
      </w:tr>
      <w:tr w:rsidR="00E23746" w:rsidRPr="00574DAC" w14:paraId="73A83125" w14:textId="77777777" w:rsidTr="00C91C82">
        <w:trPr>
          <w:trHeight w:val="2412"/>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6F05A572" w14:textId="77777777" w:rsidR="00E23746" w:rsidRPr="00574DAC" w:rsidRDefault="00E23746" w:rsidP="000B2F10">
            <w:pPr>
              <w:jc w:val="center"/>
              <w:rPr>
                <w:rFonts w:cs="Arial"/>
                <w:b/>
                <w:bCs/>
                <w:sz w:val="20"/>
                <w:szCs w:val="20"/>
              </w:rPr>
            </w:pPr>
            <w:r w:rsidRPr="00574DAC">
              <w:rPr>
                <w:rFonts w:cs="Arial"/>
                <w:b/>
                <w:bCs/>
                <w:sz w:val="20"/>
                <w:szCs w:val="20"/>
              </w:rPr>
              <w:t>Actividad</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6A8F755" w14:textId="77777777" w:rsidR="00E23746" w:rsidRPr="00574DAC" w:rsidRDefault="00E23746" w:rsidP="000B2F10">
            <w:pPr>
              <w:rPr>
                <w:rFonts w:cs="Arial"/>
                <w:sz w:val="20"/>
                <w:szCs w:val="20"/>
              </w:rPr>
            </w:pPr>
            <w:r w:rsidRPr="00574DAC">
              <w:rPr>
                <w:rFonts w:cs="Arial"/>
                <w:sz w:val="20"/>
                <w:szCs w:val="20"/>
              </w:rPr>
              <w:t>Ampliar la atención a niños y jóvenes con discapacidad, necesidades educativas especiales y/o aptitudes sobresalientes, propiciando ambientes inclusivos</w:t>
            </w:r>
            <w:r>
              <w:rPr>
                <w:rFonts w:cs="Arial"/>
                <w:sz w:val="20"/>
                <w:szCs w:val="20"/>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B254787" w14:textId="77777777" w:rsidR="00E23746" w:rsidRPr="00574DAC" w:rsidRDefault="00E23746" w:rsidP="000B2F10">
            <w:pPr>
              <w:rPr>
                <w:rFonts w:cs="Arial"/>
                <w:sz w:val="20"/>
                <w:szCs w:val="20"/>
              </w:rPr>
            </w:pPr>
            <w:r w:rsidRPr="00574DAC">
              <w:rPr>
                <w:rFonts w:cs="Arial"/>
                <w:sz w:val="20"/>
                <w:szCs w:val="20"/>
              </w:rPr>
              <w:t>C10.A03 - Elaboración del Manual Operativo para ofrecer una respuesta educativa integral.</w:t>
            </w:r>
          </w:p>
        </w:tc>
        <w:tc>
          <w:tcPr>
            <w:tcW w:w="2268" w:type="dxa"/>
            <w:tcBorders>
              <w:top w:val="single" w:sz="4" w:space="0" w:color="auto"/>
              <w:left w:val="single" w:sz="4" w:space="0" w:color="auto"/>
              <w:bottom w:val="single" w:sz="4" w:space="0" w:color="auto"/>
              <w:right w:val="single" w:sz="4" w:space="0" w:color="auto"/>
            </w:tcBorders>
            <w:shd w:val="clear" w:color="FFFFFF" w:fill="FFFFFF"/>
          </w:tcPr>
          <w:p w14:paraId="6E564D36" w14:textId="11286C5A" w:rsidR="001906E0" w:rsidRPr="00574DAC" w:rsidRDefault="00E23746" w:rsidP="002B38A6">
            <w:pPr>
              <w:rPr>
                <w:rFonts w:cs="Arial"/>
                <w:sz w:val="20"/>
                <w:szCs w:val="20"/>
              </w:rPr>
            </w:pPr>
            <w:r w:rsidRPr="00574DAC">
              <w:rPr>
                <w:rFonts w:cs="Arial"/>
                <w:sz w:val="20"/>
                <w:szCs w:val="20"/>
              </w:rPr>
              <w:t>C010A03 - Porcentaje de Centros de Atención Múltiple (CAM) y Unidades de Servicio de Apoyo a la Educación Regular (USAER) que atienden alumnos en base al manual operativo de educación integral inclusiva.</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FDCF89D" w14:textId="77777777" w:rsidR="00E23746" w:rsidRPr="00574DAC" w:rsidRDefault="00E23746" w:rsidP="000B2F10">
            <w:pPr>
              <w:rPr>
                <w:rFonts w:cs="Arial"/>
                <w:sz w:val="20"/>
                <w:szCs w:val="20"/>
              </w:rPr>
            </w:pPr>
            <w:r w:rsidRPr="00574DAC">
              <w:rPr>
                <w:rFonts w:cs="Arial"/>
                <w:sz w:val="20"/>
                <w:szCs w:val="20"/>
              </w:rPr>
              <w:t>Estadística 911, Anual, https://qroo.gob.mx/seq/medios-de-verificacion-de-la-planeacion-anual</w:t>
            </w:r>
            <w:r>
              <w:rPr>
                <w:rFonts w:cs="Arial"/>
                <w:sz w:val="20"/>
                <w:szCs w:val="20"/>
              </w:rPr>
              <w:t>.</w:t>
            </w:r>
          </w:p>
        </w:tc>
        <w:tc>
          <w:tcPr>
            <w:tcW w:w="1976" w:type="dxa"/>
            <w:tcBorders>
              <w:top w:val="single" w:sz="4" w:space="0" w:color="auto"/>
              <w:left w:val="single" w:sz="4" w:space="0" w:color="auto"/>
              <w:bottom w:val="single" w:sz="4" w:space="0" w:color="auto"/>
              <w:right w:val="single" w:sz="4" w:space="0" w:color="auto"/>
            </w:tcBorders>
            <w:shd w:val="clear" w:color="auto" w:fill="auto"/>
          </w:tcPr>
          <w:p w14:paraId="5B3AA3BB" w14:textId="77777777" w:rsidR="00E23746" w:rsidRPr="00574DAC" w:rsidRDefault="00E23746" w:rsidP="000B2F10">
            <w:pPr>
              <w:rPr>
                <w:rFonts w:cs="Arial"/>
                <w:sz w:val="20"/>
                <w:szCs w:val="20"/>
              </w:rPr>
            </w:pPr>
            <w:r w:rsidRPr="00574DAC">
              <w:rPr>
                <w:rFonts w:cs="Arial"/>
                <w:sz w:val="20"/>
                <w:szCs w:val="20"/>
              </w:rPr>
              <w:t>Los servicios de educación especial utilizan un Manual Operativo para la intervención oportuna a los alumnos y alumnas con trastorno de espectro autista.</w:t>
            </w:r>
          </w:p>
        </w:tc>
      </w:tr>
      <w:tr w:rsidR="00E23746" w:rsidRPr="00574DAC" w14:paraId="17435791" w14:textId="77777777" w:rsidTr="00C91C82">
        <w:trPr>
          <w:trHeight w:val="679"/>
        </w:trPr>
        <w:tc>
          <w:tcPr>
            <w:tcW w:w="1271"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16724E15"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lastRenderedPageBreak/>
              <w:t>NIVEL</w:t>
            </w:r>
          </w:p>
        </w:tc>
        <w:tc>
          <w:tcPr>
            <w:tcW w:w="2835"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3A2A3600"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ALINEACIÓN PED/PD</w:t>
            </w:r>
          </w:p>
        </w:tc>
        <w:tc>
          <w:tcPr>
            <w:tcW w:w="2835"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00666496"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OBJETIVO</w:t>
            </w:r>
          </w:p>
        </w:tc>
        <w:tc>
          <w:tcPr>
            <w:tcW w:w="2268"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732D8603"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INDICADOR</w:t>
            </w:r>
          </w:p>
        </w:tc>
        <w:tc>
          <w:tcPr>
            <w:tcW w:w="2835"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347B11C9"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MEDIOS DE VERIFICACIÓN</w:t>
            </w:r>
          </w:p>
        </w:tc>
        <w:tc>
          <w:tcPr>
            <w:tcW w:w="1976"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70661512"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SUPUESTO</w:t>
            </w:r>
          </w:p>
        </w:tc>
      </w:tr>
      <w:tr w:rsidR="00E23746" w:rsidRPr="00574DAC" w14:paraId="43E2F1A8" w14:textId="77777777" w:rsidTr="00C91C82">
        <w:trPr>
          <w:trHeight w:val="2684"/>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0D830B41" w14:textId="77777777" w:rsidR="00E23746" w:rsidRPr="00574DAC" w:rsidRDefault="00E23746" w:rsidP="000B2F10">
            <w:pPr>
              <w:jc w:val="center"/>
              <w:rPr>
                <w:rFonts w:cs="Arial"/>
                <w:b/>
                <w:bCs/>
                <w:sz w:val="20"/>
                <w:szCs w:val="20"/>
              </w:rPr>
            </w:pPr>
            <w:r w:rsidRPr="00574DAC">
              <w:rPr>
                <w:rFonts w:cs="Arial"/>
                <w:b/>
                <w:bCs/>
                <w:sz w:val="20"/>
                <w:szCs w:val="20"/>
              </w:rPr>
              <w:t>Actividad</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7536B37" w14:textId="77777777" w:rsidR="00E23746" w:rsidRPr="00574DAC" w:rsidRDefault="00E23746" w:rsidP="000B2F10">
            <w:pPr>
              <w:rPr>
                <w:rFonts w:cs="Arial"/>
                <w:sz w:val="20"/>
                <w:szCs w:val="20"/>
              </w:rPr>
            </w:pPr>
            <w:r w:rsidRPr="00574DAC">
              <w:rPr>
                <w:rFonts w:cs="Arial"/>
                <w:sz w:val="20"/>
                <w:szCs w:val="20"/>
              </w:rPr>
              <w:t>Ampliar la atención a niños y jóvenes con discapacidad, necesidades educativas especiales y/o aptitudes sobresalientes, propiciando ambientes inclusivos</w:t>
            </w:r>
            <w:r>
              <w:rPr>
                <w:rFonts w:cs="Arial"/>
                <w:sz w:val="20"/>
                <w:szCs w:val="20"/>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6451C6F" w14:textId="77777777" w:rsidR="00E23746" w:rsidRPr="00574DAC" w:rsidRDefault="00E23746" w:rsidP="000B2F10">
            <w:pPr>
              <w:rPr>
                <w:rFonts w:cs="Arial"/>
                <w:sz w:val="20"/>
                <w:szCs w:val="20"/>
              </w:rPr>
            </w:pPr>
            <w:r w:rsidRPr="00574DAC">
              <w:rPr>
                <w:rFonts w:cs="Arial"/>
                <w:sz w:val="20"/>
                <w:szCs w:val="20"/>
              </w:rPr>
              <w:t>C10.A04 - Implementación de actividades de fortalecimiento, actualización, acompañamiento y seguimiento a beneficio de los servicios públicos de Educación Especial en el Estado.</w:t>
            </w:r>
          </w:p>
        </w:tc>
        <w:tc>
          <w:tcPr>
            <w:tcW w:w="2268" w:type="dxa"/>
            <w:tcBorders>
              <w:top w:val="single" w:sz="4" w:space="0" w:color="auto"/>
              <w:left w:val="single" w:sz="4" w:space="0" w:color="auto"/>
              <w:bottom w:val="single" w:sz="4" w:space="0" w:color="auto"/>
              <w:right w:val="single" w:sz="4" w:space="0" w:color="auto"/>
            </w:tcBorders>
            <w:shd w:val="clear" w:color="FFFFFF" w:fill="FFFFFF"/>
          </w:tcPr>
          <w:p w14:paraId="3460A71E" w14:textId="77777777" w:rsidR="00E23746" w:rsidRPr="00574DAC" w:rsidRDefault="00E23746" w:rsidP="000B2F10">
            <w:pPr>
              <w:rPr>
                <w:rFonts w:cs="Arial"/>
                <w:sz w:val="20"/>
                <w:szCs w:val="20"/>
              </w:rPr>
            </w:pPr>
            <w:r w:rsidRPr="00574DAC">
              <w:rPr>
                <w:rFonts w:cs="Arial"/>
                <w:sz w:val="20"/>
                <w:szCs w:val="20"/>
              </w:rPr>
              <w:t xml:space="preserve">C10A04 - Porcentaje de actividades de fortalecimiento, actualización, acompañamiento y seguimiento realizadas a beneficio de los servicios de educación especial en el Estado. </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AF7E6BD" w14:textId="77777777" w:rsidR="00E23746" w:rsidRPr="00574DAC" w:rsidRDefault="00E23746" w:rsidP="000B2F10">
            <w:pPr>
              <w:rPr>
                <w:rFonts w:cs="Arial"/>
                <w:sz w:val="20"/>
                <w:szCs w:val="20"/>
              </w:rPr>
            </w:pPr>
            <w:r w:rsidRPr="00574DAC">
              <w:rPr>
                <w:rFonts w:cs="Arial"/>
                <w:sz w:val="20"/>
                <w:szCs w:val="20"/>
              </w:rPr>
              <w:t>Minutas de trabajo, informes, oficios de comisión, fotografías, agendas de trabajo, fichas técnicas, resumen de la actividad, anual. https://qroo.gob.mx/seq/medios-de-verificacion-de-la-planeacion-anual</w:t>
            </w:r>
            <w:r>
              <w:rPr>
                <w:rFonts w:cs="Arial"/>
                <w:sz w:val="20"/>
                <w:szCs w:val="20"/>
              </w:rPr>
              <w:t>.</w:t>
            </w:r>
          </w:p>
        </w:tc>
        <w:tc>
          <w:tcPr>
            <w:tcW w:w="1976" w:type="dxa"/>
            <w:tcBorders>
              <w:top w:val="single" w:sz="4" w:space="0" w:color="auto"/>
              <w:left w:val="single" w:sz="4" w:space="0" w:color="auto"/>
              <w:bottom w:val="single" w:sz="4" w:space="0" w:color="auto"/>
              <w:right w:val="single" w:sz="4" w:space="0" w:color="auto"/>
            </w:tcBorders>
            <w:shd w:val="clear" w:color="auto" w:fill="auto"/>
          </w:tcPr>
          <w:p w14:paraId="135BCD62" w14:textId="77777777" w:rsidR="00E23746" w:rsidRPr="00574DAC" w:rsidRDefault="00E23746" w:rsidP="000B2F10">
            <w:pPr>
              <w:rPr>
                <w:rFonts w:cs="Arial"/>
                <w:sz w:val="20"/>
                <w:szCs w:val="20"/>
              </w:rPr>
            </w:pPr>
            <w:r w:rsidRPr="00574DAC">
              <w:rPr>
                <w:rFonts w:cs="Arial"/>
                <w:sz w:val="20"/>
                <w:szCs w:val="20"/>
              </w:rPr>
              <w:t>Los servicios de educación especial se benefician periódicamente con acciones de fortalecimiento como reuniones, supervisiones, eventos y otras actividades.</w:t>
            </w:r>
          </w:p>
        </w:tc>
      </w:tr>
    </w:tbl>
    <w:p w14:paraId="745D97B0" w14:textId="77777777" w:rsidR="00E23746" w:rsidRPr="00766EE4" w:rsidRDefault="00E23746" w:rsidP="00E23746">
      <w:pPr>
        <w:rPr>
          <w:rFonts w:eastAsia="Calibri" w:cs="Arial"/>
          <w:bCs/>
          <w:color w:val="595959" w:themeColor="text1" w:themeTint="A6"/>
          <w:sz w:val="18"/>
          <w:szCs w:val="20"/>
        </w:rPr>
      </w:pPr>
      <w:r w:rsidRPr="00766EE4">
        <w:rPr>
          <w:rFonts w:eastAsia="Calibri" w:cs="Arial"/>
          <w:bCs/>
          <w:color w:val="595959" w:themeColor="text1" w:themeTint="A6"/>
          <w:sz w:val="18"/>
          <w:szCs w:val="20"/>
        </w:rPr>
        <w:t>El anexo aquí presentado es perfectible, y se encuentra susceptible de modificaciones programáticas toda vez que así se le indique por observaciones de auditorías, evaluaciones al desempeño y revisiones de la Secretaría de Finanzas y Planeación antes y durante el ejercicio fiscal del que se trate, así como también, cuando las condiciones del Ente Público responsable de dicha información programática requiera hacer modificaciones a sus necesidades institucionales, atendiendo a lo establecido en los Lineamientos para la Creación, Modificación y Cancelación de Programas Presupuestarios y para la Modificación de Metas del Gobierno del Estado de Quintana Roo.</w:t>
      </w:r>
    </w:p>
    <w:p w14:paraId="60D342E2" w14:textId="77777777" w:rsidR="00E23746" w:rsidRDefault="00E23746" w:rsidP="00E23746">
      <w:pPr>
        <w:rPr>
          <w:lang w:val="es-MX" w:eastAsia="en-US"/>
        </w:rPr>
      </w:pPr>
      <w:r>
        <w:rPr>
          <w:lang w:val="es-MX" w:eastAsia="en-US"/>
        </w:rPr>
        <w:br w:type="page"/>
      </w:r>
    </w:p>
    <w:tbl>
      <w:tblPr>
        <w:tblW w:w="14029" w:type="dxa"/>
        <w:tblLayout w:type="fixed"/>
        <w:tblCellMar>
          <w:left w:w="70" w:type="dxa"/>
          <w:right w:w="70" w:type="dxa"/>
        </w:tblCellMar>
        <w:tblLook w:val="04A0" w:firstRow="1" w:lastRow="0" w:firstColumn="1" w:lastColumn="0" w:noHBand="0" w:noVBand="1"/>
      </w:tblPr>
      <w:tblGrid>
        <w:gridCol w:w="1213"/>
        <w:gridCol w:w="2893"/>
        <w:gridCol w:w="2835"/>
        <w:gridCol w:w="2268"/>
        <w:gridCol w:w="2835"/>
        <w:gridCol w:w="1985"/>
      </w:tblGrid>
      <w:tr w:rsidR="00E23746" w:rsidRPr="00FD08F8" w14:paraId="50C67383" w14:textId="77777777" w:rsidTr="000B2F10">
        <w:trPr>
          <w:trHeight w:val="720"/>
        </w:trPr>
        <w:tc>
          <w:tcPr>
            <w:tcW w:w="4106" w:type="dxa"/>
            <w:gridSpan w:val="2"/>
            <w:tcBorders>
              <w:top w:val="single" w:sz="4" w:space="0" w:color="auto"/>
              <w:left w:val="single" w:sz="4" w:space="0" w:color="auto"/>
              <w:bottom w:val="single" w:sz="4" w:space="0" w:color="auto"/>
              <w:right w:val="single" w:sz="4" w:space="0" w:color="000000"/>
            </w:tcBorders>
            <w:shd w:val="clear" w:color="000000" w:fill="BFBFBF"/>
            <w:vAlign w:val="center"/>
            <w:hideMark/>
          </w:tcPr>
          <w:p w14:paraId="23B9C845"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lastRenderedPageBreak/>
              <w:t>PROGRAMA PRESUPUESTARIO:</w:t>
            </w:r>
          </w:p>
        </w:tc>
        <w:tc>
          <w:tcPr>
            <w:tcW w:w="9923" w:type="dxa"/>
            <w:gridSpan w:val="4"/>
            <w:tcBorders>
              <w:top w:val="single" w:sz="4" w:space="0" w:color="auto"/>
              <w:left w:val="nil"/>
              <w:bottom w:val="single" w:sz="4" w:space="0" w:color="auto"/>
              <w:right w:val="single" w:sz="4" w:space="0" w:color="auto"/>
            </w:tcBorders>
            <w:shd w:val="clear" w:color="auto" w:fill="auto"/>
            <w:vAlign w:val="center"/>
            <w:hideMark/>
          </w:tcPr>
          <w:p w14:paraId="2944D5AF" w14:textId="77777777" w:rsidR="00E23746" w:rsidRPr="00FD08F8" w:rsidRDefault="00E23746" w:rsidP="000B2F10">
            <w:pPr>
              <w:spacing w:after="0" w:line="240" w:lineRule="auto"/>
              <w:jc w:val="left"/>
              <w:rPr>
                <w:rFonts w:eastAsia="Times New Roman" w:cs="Arial"/>
                <w:sz w:val="20"/>
                <w:szCs w:val="20"/>
                <w:lang w:val="es-MX" w:eastAsia="es-MX"/>
              </w:rPr>
            </w:pPr>
            <w:r w:rsidRPr="00FD08F8">
              <w:rPr>
                <w:rFonts w:eastAsia="Times New Roman" w:cs="Arial"/>
                <w:sz w:val="20"/>
                <w:szCs w:val="20"/>
                <w:lang w:val="es-MX" w:eastAsia="es-MX"/>
              </w:rPr>
              <w:t>Apoyos a la Permanencia en la Educación Básica</w:t>
            </w:r>
          </w:p>
        </w:tc>
      </w:tr>
      <w:tr w:rsidR="00E23746" w:rsidRPr="00FD08F8" w14:paraId="38CA8F3D" w14:textId="77777777" w:rsidTr="000B2F10">
        <w:trPr>
          <w:trHeight w:val="552"/>
        </w:trPr>
        <w:tc>
          <w:tcPr>
            <w:tcW w:w="4106" w:type="dxa"/>
            <w:gridSpan w:val="2"/>
            <w:tcBorders>
              <w:top w:val="single" w:sz="4" w:space="0" w:color="auto"/>
              <w:left w:val="single" w:sz="4" w:space="0" w:color="auto"/>
              <w:bottom w:val="single" w:sz="4" w:space="0" w:color="auto"/>
              <w:right w:val="single" w:sz="4" w:space="0" w:color="000000"/>
            </w:tcBorders>
            <w:shd w:val="clear" w:color="000000" w:fill="BFBFBF"/>
            <w:vAlign w:val="center"/>
            <w:hideMark/>
          </w:tcPr>
          <w:p w14:paraId="684A59BB"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INSTITUCIÓN:</w:t>
            </w:r>
          </w:p>
        </w:tc>
        <w:tc>
          <w:tcPr>
            <w:tcW w:w="9923" w:type="dxa"/>
            <w:gridSpan w:val="4"/>
            <w:tcBorders>
              <w:top w:val="single" w:sz="4" w:space="0" w:color="auto"/>
              <w:left w:val="nil"/>
              <w:bottom w:val="single" w:sz="4" w:space="0" w:color="auto"/>
              <w:right w:val="single" w:sz="4" w:space="0" w:color="auto"/>
            </w:tcBorders>
            <w:shd w:val="clear" w:color="auto" w:fill="auto"/>
            <w:vAlign w:val="center"/>
            <w:hideMark/>
          </w:tcPr>
          <w:p w14:paraId="07613F6B" w14:textId="77777777" w:rsidR="00E23746" w:rsidRPr="00FD08F8" w:rsidRDefault="00E23746" w:rsidP="000B2F10">
            <w:pPr>
              <w:spacing w:after="0" w:line="240" w:lineRule="auto"/>
              <w:jc w:val="left"/>
              <w:rPr>
                <w:rFonts w:eastAsia="Times New Roman" w:cs="Arial"/>
                <w:sz w:val="20"/>
                <w:szCs w:val="20"/>
                <w:lang w:val="es-MX" w:eastAsia="es-MX"/>
              </w:rPr>
            </w:pPr>
            <w:r w:rsidRPr="00FD08F8">
              <w:rPr>
                <w:rFonts w:eastAsia="Times New Roman" w:cs="Arial"/>
                <w:sz w:val="20"/>
                <w:szCs w:val="20"/>
                <w:lang w:val="es-MX" w:eastAsia="es-MX"/>
              </w:rPr>
              <w:t>1109 Secretaría de Educación de Quintana Roo</w:t>
            </w:r>
          </w:p>
        </w:tc>
      </w:tr>
      <w:tr w:rsidR="00E23746" w:rsidRPr="00FD08F8" w14:paraId="6D117C3D" w14:textId="77777777" w:rsidTr="00C91C82">
        <w:trPr>
          <w:trHeight w:val="282"/>
        </w:trPr>
        <w:tc>
          <w:tcPr>
            <w:tcW w:w="1213" w:type="dxa"/>
            <w:tcBorders>
              <w:top w:val="nil"/>
              <w:left w:val="nil"/>
              <w:bottom w:val="single" w:sz="4" w:space="0" w:color="auto"/>
              <w:right w:val="nil"/>
            </w:tcBorders>
            <w:shd w:val="clear" w:color="auto" w:fill="auto"/>
            <w:hideMark/>
          </w:tcPr>
          <w:p w14:paraId="4DE5E6CF" w14:textId="77777777" w:rsidR="00E23746" w:rsidRPr="00FD08F8" w:rsidRDefault="00E23746" w:rsidP="000B2F10">
            <w:pPr>
              <w:spacing w:after="0" w:line="240" w:lineRule="auto"/>
              <w:jc w:val="left"/>
              <w:rPr>
                <w:rFonts w:eastAsia="Times New Roman" w:cs="Arial"/>
                <w:sz w:val="20"/>
                <w:szCs w:val="20"/>
                <w:lang w:val="es-MX" w:eastAsia="es-MX"/>
              </w:rPr>
            </w:pPr>
          </w:p>
        </w:tc>
        <w:tc>
          <w:tcPr>
            <w:tcW w:w="2893" w:type="dxa"/>
            <w:tcBorders>
              <w:top w:val="nil"/>
              <w:left w:val="nil"/>
              <w:bottom w:val="single" w:sz="4" w:space="0" w:color="auto"/>
              <w:right w:val="nil"/>
            </w:tcBorders>
            <w:shd w:val="clear" w:color="auto" w:fill="auto"/>
            <w:hideMark/>
          </w:tcPr>
          <w:p w14:paraId="07D47044" w14:textId="77777777" w:rsidR="00E23746" w:rsidRPr="00FD08F8" w:rsidRDefault="00E23746" w:rsidP="000B2F10">
            <w:pPr>
              <w:spacing w:after="0" w:line="240" w:lineRule="auto"/>
              <w:jc w:val="left"/>
              <w:rPr>
                <w:rFonts w:ascii="Times New Roman" w:eastAsia="Times New Roman" w:hAnsi="Times New Roman" w:cs="Times New Roman"/>
                <w:sz w:val="20"/>
                <w:szCs w:val="20"/>
                <w:lang w:val="es-MX" w:eastAsia="es-MX"/>
              </w:rPr>
            </w:pPr>
          </w:p>
        </w:tc>
        <w:tc>
          <w:tcPr>
            <w:tcW w:w="2835" w:type="dxa"/>
            <w:tcBorders>
              <w:top w:val="nil"/>
              <w:left w:val="nil"/>
              <w:bottom w:val="single" w:sz="4" w:space="0" w:color="auto"/>
              <w:right w:val="nil"/>
            </w:tcBorders>
            <w:shd w:val="clear" w:color="auto" w:fill="auto"/>
            <w:hideMark/>
          </w:tcPr>
          <w:p w14:paraId="7BE384BE" w14:textId="77777777" w:rsidR="00E23746" w:rsidRPr="00FD08F8" w:rsidRDefault="00E23746" w:rsidP="000B2F10">
            <w:pPr>
              <w:spacing w:after="0" w:line="240" w:lineRule="auto"/>
              <w:jc w:val="left"/>
              <w:rPr>
                <w:rFonts w:ascii="Times New Roman" w:eastAsia="Times New Roman" w:hAnsi="Times New Roman" w:cs="Times New Roman"/>
                <w:sz w:val="20"/>
                <w:szCs w:val="20"/>
                <w:lang w:val="es-MX" w:eastAsia="es-MX"/>
              </w:rPr>
            </w:pPr>
          </w:p>
        </w:tc>
        <w:tc>
          <w:tcPr>
            <w:tcW w:w="2268" w:type="dxa"/>
            <w:tcBorders>
              <w:top w:val="nil"/>
              <w:left w:val="nil"/>
              <w:bottom w:val="single" w:sz="4" w:space="0" w:color="auto"/>
              <w:right w:val="nil"/>
            </w:tcBorders>
            <w:shd w:val="clear" w:color="auto" w:fill="auto"/>
            <w:hideMark/>
          </w:tcPr>
          <w:p w14:paraId="62685506" w14:textId="77777777" w:rsidR="00E23746" w:rsidRPr="00FD08F8" w:rsidRDefault="00E23746" w:rsidP="000B2F10">
            <w:pPr>
              <w:spacing w:after="0" w:line="240" w:lineRule="auto"/>
              <w:jc w:val="left"/>
              <w:rPr>
                <w:rFonts w:ascii="Times New Roman" w:eastAsia="Times New Roman" w:hAnsi="Times New Roman" w:cs="Times New Roman"/>
                <w:sz w:val="20"/>
                <w:szCs w:val="20"/>
                <w:lang w:val="es-MX" w:eastAsia="es-MX"/>
              </w:rPr>
            </w:pPr>
          </w:p>
        </w:tc>
        <w:tc>
          <w:tcPr>
            <w:tcW w:w="2835" w:type="dxa"/>
            <w:tcBorders>
              <w:top w:val="nil"/>
              <w:left w:val="nil"/>
              <w:bottom w:val="single" w:sz="4" w:space="0" w:color="auto"/>
              <w:right w:val="nil"/>
            </w:tcBorders>
            <w:shd w:val="clear" w:color="auto" w:fill="auto"/>
            <w:hideMark/>
          </w:tcPr>
          <w:p w14:paraId="5792A583" w14:textId="77777777" w:rsidR="00E23746" w:rsidRPr="00FD08F8" w:rsidRDefault="00E23746" w:rsidP="000B2F10">
            <w:pPr>
              <w:spacing w:after="0" w:line="240" w:lineRule="auto"/>
              <w:jc w:val="left"/>
              <w:rPr>
                <w:rFonts w:ascii="Times New Roman" w:eastAsia="Times New Roman" w:hAnsi="Times New Roman" w:cs="Times New Roman"/>
                <w:sz w:val="20"/>
                <w:szCs w:val="20"/>
                <w:lang w:val="es-MX" w:eastAsia="es-MX"/>
              </w:rPr>
            </w:pPr>
          </w:p>
        </w:tc>
        <w:tc>
          <w:tcPr>
            <w:tcW w:w="1985" w:type="dxa"/>
            <w:tcBorders>
              <w:top w:val="nil"/>
              <w:left w:val="nil"/>
              <w:bottom w:val="single" w:sz="4" w:space="0" w:color="auto"/>
              <w:right w:val="nil"/>
            </w:tcBorders>
            <w:shd w:val="clear" w:color="auto" w:fill="auto"/>
            <w:hideMark/>
          </w:tcPr>
          <w:p w14:paraId="2FE486BB" w14:textId="77777777" w:rsidR="00E23746" w:rsidRPr="00FD08F8" w:rsidRDefault="00E23746" w:rsidP="000B2F10">
            <w:pPr>
              <w:spacing w:after="0" w:line="240" w:lineRule="auto"/>
              <w:jc w:val="left"/>
              <w:rPr>
                <w:rFonts w:ascii="Times New Roman" w:eastAsia="Times New Roman" w:hAnsi="Times New Roman" w:cs="Times New Roman"/>
                <w:sz w:val="20"/>
                <w:szCs w:val="20"/>
                <w:lang w:val="es-MX" w:eastAsia="es-MX"/>
              </w:rPr>
            </w:pPr>
          </w:p>
        </w:tc>
      </w:tr>
      <w:tr w:rsidR="00E23746" w:rsidRPr="00FD08F8" w14:paraId="46A540EB" w14:textId="77777777" w:rsidTr="00C91C82">
        <w:trPr>
          <w:trHeight w:val="375"/>
        </w:trPr>
        <w:tc>
          <w:tcPr>
            <w:tcW w:w="14029" w:type="dxa"/>
            <w:gridSpan w:val="6"/>
            <w:tcBorders>
              <w:top w:val="single" w:sz="4" w:space="0" w:color="auto"/>
              <w:left w:val="single" w:sz="4" w:space="0" w:color="auto"/>
              <w:bottom w:val="single" w:sz="4" w:space="0" w:color="auto"/>
              <w:right w:val="single" w:sz="4" w:space="0" w:color="auto"/>
            </w:tcBorders>
            <w:shd w:val="clear" w:color="000000" w:fill="BFBFBF"/>
            <w:vAlign w:val="center"/>
            <w:hideMark/>
          </w:tcPr>
          <w:p w14:paraId="52D814DD"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MATRIZ DE INDICADORES PARA RESULTADOS (MIR)</w:t>
            </w:r>
          </w:p>
        </w:tc>
      </w:tr>
      <w:tr w:rsidR="00E23746" w:rsidRPr="00FD08F8" w14:paraId="16F7371D" w14:textId="77777777" w:rsidTr="00C91C82">
        <w:trPr>
          <w:trHeight w:val="679"/>
        </w:trPr>
        <w:tc>
          <w:tcPr>
            <w:tcW w:w="1213"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4CB86105"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NIVEL</w:t>
            </w:r>
          </w:p>
        </w:tc>
        <w:tc>
          <w:tcPr>
            <w:tcW w:w="2893" w:type="dxa"/>
            <w:tcBorders>
              <w:top w:val="single" w:sz="4" w:space="0" w:color="auto"/>
              <w:left w:val="nil"/>
              <w:bottom w:val="single" w:sz="4" w:space="0" w:color="auto"/>
              <w:right w:val="single" w:sz="4" w:space="0" w:color="auto"/>
            </w:tcBorders>
            <w:shd w:val="clear" w:color="000000" w:fill="BFBFBF"/>
            <w:vAlign w:val="center"/>
            <w:hideMark/>
          </w:tcPr>
          <w:p w14:paraId="586EDB00"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ALINEACIÓN PED/PD</w:t>
            </w:r>
          </w:p>
        </w:tc>
        <w:tc>
          <w:tcPr>
            <w:tcW w:w="2835" w:type="dxa"/>
            <w:tcBorders>
              <w:top w:val="single" w:sz="4" w:space="0" w:color="auto"/>
              <w:left w:val="nil"/>
              <w:bottom w:val="single" w:sz="4" w:space="0" w:color="auto"/>
              <w:right w:val="single" w:sz="4" w:space="0" w:color="auto"/>
            </w:tcBorders>
            <w:shd w:val="clear" w:color="000000" w:fill="BFBFBF"/>
            <w:vAlign w:val="center"/>
            <w:hideMark/>
          </w:tcPr>
          <w:p w14:paraId="2FD47534"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OBJETIVO</w:t>
            </w:r>
          </w:p>
        </w:tc>
        <w:tc>
          <w:tcPr>
            <w:tcW w:w="2268" w:type="dxa"/>
            <w:tcBorders>
              <w:top w:val="single" w:sz="4" w:space="0" w:color="auto"/>
              <w:left w:val="nil"/>
              <w:bottom w:val="single" w:sz="4" w:space="0" w:color="auto"/>
              <w:right w:val="single" w:sz="4" w:space="0" w:color="auto"/>
            </w:tcBorders>
            <w:shd w:val="clear" w:color="000000" w:fill="BFBFBF"/>
            <w:vAlign w:val="center"/>
            <w:hideMark/>
          </w:tcPr>
          <w:p w14:paraId="04A11C71"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INDICADOR</w:t>
            </w:r>
          </w:p>
        </w:tc>
        <w:tc>
          <w:tcPr>
            <w:tcW w:w="2835" w:type="dxa"/>
            <w:tcBorders>
              <w:top w:val="single" w:sz="4" w:space="0" w:color="auto"/>
              <w:left w:val="nil"/>
              <w:bottom w:val="single" w:sz="4" w:space="0" w:color="auto"/>
              <w:right w:val="single" w:sz="4" w:space="0" w:color="auto"/>
            </w:tcBorders>
            <w:shd w:val="clear" w:color="000000" w:fill="BFBFBF"/>
            <w:vAlign w:val="center"/>
            <w:hideMark/>
          </w:tcPr>
          <w:p w14:paraId="33CCD8A5"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MEDIOS DE VERIFICACIÓN</w:t>
            </w:r>
          </w:p>
        </w:tc>
        <w:tc>
          <w:tcPr>
            <w:tcW w:w="1985" w:type="dxa"/>
            <w:tcBorders>
              <w:top w:val="single" w:sz="4" w:space="0" w:color="auto"/>
              <w:left w:val="nil"/>
              <w:bottom w:val="single" w:sz="4" w:space="0" w:color="auto"/>
              <w:right w:val="single" w:sz="4" w:space="0" w:color="auto"/>
            </w:tcBorders>
            <w:shd w:val="clear" w:color="000000" w:fill="BFBFBF"/>
            <w:vAlign w:val="center"/>
            <w:hideMark/>
          </w:tcPr>
          <w:p w14:paraId="549FF141"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SUPUESTO</w:t>
            </w:r>
          </w:p>
        </w:tc>
      </w:tr>
      <w:tr w:rsidR="00E23746" w:rsidRPr="00FD08F8" w14:paraId="50EA1509" w14:textId="77777777" w:rsidTr="00C91C82">
        <w:trPr>
          <w:trHeight w:val="2136"/>
        </w:trPr>
        <w:tc>
          <w:tcPr>
            <w:tcW w:w="1213" w:type="dxa"/>
            <w:tcBorders>
              <w:top w:val="single" w:sz="4" w:space="0" w:color="auto"/>
              <w:left w:val="single" w:sz="4" w:space="0" w:color="auto"/>
              <w:bottom w:val="single" w:sz="4" w:space="0" w:color="auto"/>
              <w:right w:val="single" w:sz="4" w:space="0" w:color="auto"/>
            </w:tcBorders>
            <w:shd w:val="clear" w:color="auto" w:fill="auto"/>
            <w:hideMark/>
          </w:tcPr>
          <w:p w14:paraId="250A079D"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Fin</w:t>
            </w:r>
          </w:p>
        </w:tc>
        <w:tc>
          <w:tcPr>
            <w:tcW w:w="2893" w:type="dxa"/>
            <w:tcBorders>
              <w:top w:val="single" w:sz="4" w:space="0" w:color="auto"/>
              <w:left w:val="single" w:sz="4" w:space="0" w:color="auto"/>
              <w:bottom w:val="single" w:sz="4" w:space="0" w:color="auto"/>
              <w:right w:val="single" w:sz="4" w:space="0" w:color="auto"/>
            </w:tcBorders>
            <w:shd w:val="clear" w:color="auto" w:fill="auto"/>
            <w:hideMark/>
          </w:tcPr>
          <w:p w14:paraId="0CD2CEBB" w14:textId="77777777" w:rsidR="00E23746" w:rsidRPr="00477A2C" w:rsidRDefault="00E23746" w:rsidP="004931F7">
            <w:pPr>
              <w:spacing w:after="0" w:line="240" w:lineRule="auto"/>
              <w:rPr>
                <w:rFonts w:cs="Arial"/>
                <w:sz w:val="20"/>
                <w:szCs w:val="20"/>
              </w:rPr>
            </w:pPr>
            <w:r>
              <w:rPr>
                <w:rFonts w:cs="Arial"/>
                <w:sz w:val="20"/>
                <w:szCs w:val="20"/>
              </w:rPr>
              <w:t>Garantizar el acceso y permanencia a una educación inclusiva y de calidad en todos los niveles educativos que promueva en los educandos aprendizajes para la vida.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E51945C" w14:textId="77777777" w:rsidR="00E23746" w:rsidRDefault="00E23746" w:rsidP="004931F7">
            <w:pPr>
              <w:spacing w:after="0" w:line="240" w:lineRule="auto"/>
              <w:rPr>
                <w:rFonts w:eastAsia="Times New Roman" w:cs="Arial"/>
                <w:sz w:val="20"/>
                <w:szCs w:val="20"/>
                <w:lang w:val="es-MX" w:eastAsia="es-MX"/>
              </w:rPr>
            </w:pPr>
            <w:r w:rsidRPr="00FD08F8">
              <w:rPr>
                <w:rFonts w:eastAsia="Times New Roman" w:cs="Arial"/>
                <w:sz w:val="20"/>
                <w:szCs w:val="20"/>
                <w:lang w:val="es-MX" w:eastAsia="es-MX"/>
              </w:rPr>
              <w:t>F - Contribuir a garantizar el acceso y permanencia a una educación inclusiva y de calidad en todos los niveles educativos que promueva en los educandos aprendizajes para la vida</w:t>
            </w:r>
            <w:r>
              <w:rPr>
                <w:rFonts w:eastAsia="Times New Roman" w:cs="Arial"/>
                <w:sz w:val="20"/>
                <w:szCs w:val="20"/>
                <w:lang w:val="es-MX" w:eastAsia="es-MX"/>
              </w:rPr>
              <w:t xml:space="preserve"> mediante estrategias de atenció</w:t>
            </w:r>
            <w:r w:rsidRPr="00FD08F8">
              <w:rPr>
                <w:rFonts w:eastAsia="Times New Roman" w:cs="Arial"/>
                <w:sz w:val="20"/>
                <w:szCs w:val="20"/>
                <w:lang w:val="es-MX" w:eastAsia="es-MX"/>
              </w:rPr>
              <w:t>n a la demanda y permanencia en todos los niveles educativos.</w:t>
            </w:r>
          </w:p>
          <w:p w14:paraId="6AB53847" w14:textId="77777777" w:rsidR="00E23746" w:rsidRPr="00FD08F8" w:rsidRDefault="00E23746" w:rsidP="004931F7">
            <w:pPr>
              <w:spacing w:after="0" w:line="240" w:lineRule="auto"/>
              <w:rPr>
                <w:rFonts w:eastAsia="Times New Roman" w:cs="Arial"/>
                <w:sz w:val="20"/>
                <w:szCs w:val="20"/>
                <w:lang w:val="es-MX" w:eastAsia="es-MX"/>
              </w:rPr>
            </w:pPr>
          </w:p>
        </w:tc>
        <w:tc>
          <w:tcPr>
            <w:tcW w:w="2268" w:type="dxa"/>
            <w:tcBorders>
              <w:top w:val="single" w:sz="4" w:space="0" w:color="auto"/>
              <w:left w:val="single" w:sz="4" w:space="0" w:color="auto"/>
              <w:bottom w:val="single" w:sz="4" w:space="0" w:color="auto"/>
              <w:right w:val="single" w:sz="4" w:space="0" w:color="auto"/>
            </w:tcBorders>
            <w:shd w:val="clear" w:color="FFFFFF" w:fill="FFFFFF"/>
            <w:hideMark/>
          </w:tcPr>
          <w:p w14:paraId="453CF819" w14:textId="77777777" w:rsidR="00E23746" w:rsidRPr="00FD08F8" w:rsidRDefault="00E23746" w:rsidP="004931F7">
            <w:pPr>
              <w:spacing w:after="0" w:line="240" w:lineRule="auto"/>
              <w:rPr>
                <w:rFonts w:eastAsia="Times New Roman" w:cs="Arial"/>
                <w:sz w:val="20"/>
                <w:szCs w:val="20"/>
                <w:lang w:val="es-MX" w:eastAsia="es-MX"/>
              </w:rPr>
            </w:pPr>
            <w:r w:rsidRPr="00FD08F8">
              <w:rPr>
                <w:rFonts w:eastAsia="Times New Roman" w:cs="Arial"/>
                <w:sz w:val="20"/>
                <w:szCs w:val="20"/>
                <w:lang w:val="es-MX" w:eastAsia="es-MX"/>
              </w:rPr>
              <w:t>Tasa de cobertura estatal de educación básica.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F06BE08" w14:textId="77777777" w:rsidR="00E23746" w:rsidRPr="00FD08F8" w:rsidRDefault="00E23746" w:rsidP="004931F7">
            <w:pPr>
              <w:spacing w:after="0" w:line="240" w:lineRule="auto"/>
              <w:rPr>
                <w:rFonts w:eastAsia="Times New Roman" w:cs="Arial"/>
                <w:sz w:val="20"/>
                <w:szCs w:val="20"/>
                <w:lang w:val="es-MX" w:eastAsia="es-MX"/>
              </w:rPr>
            </w:pPr>
            <w:r w:rsidRPr="00846E84">
              <w:rPr>
                <w:rFonts w:eastAsia="Times New Roman" w:cs="Arial"/>
                <w:sz w:val="20"/>
                <w:szCs w:val="20"/>
                <w:lang w:val="es-MX" w:eastAsia="es-MX"/>
              </w:rPr>
              <w:t>Estadísticas continúas del formato 911, matrícula de inicio de ciclo escolar, SEQ. Proyecciones de población por edad desplegada, entidad federativa (Quintana Roo) 1970-2050, CONAPO, https://qroo.gob.mx/seq/medios-de-verificacion-de-la-planeacion-anual</w:t>
            </w:r>
            <w:r>
              <w:rPr>
                <w:rFonts w:eastAsia="Times New Roman" w:cs="Arial"/>
                <w:sz w:val="20"/>
                <w:szCs w:val="20"/>
                <w:lang w:val="es-MX" w:eastAsia="es-MX"/>
              </w:rPr>
              <w:t>.</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50B528C6" w14:textId="77777777" w:rsidR="00E23746" w:rsidRPr="00FD08F8" w:rsidRDefault="00E23746" w:rsidP="004931F7">
            <w:pPr>
              <w:spacing w:after="0" w:line="240" w:lineRule="auto"/>
              <w:rPr>
                <w:rFonts w:eastAsia="Times New Roman" w:cs="Arial"/>
                <w:sz w:val="20"/>
                <w:szCs w:val="20"/>
                <w:lang w:val="es-MX" w:eastAsia="es-MX"/>
              </w:rPr>
            </w:pPr>
            <w:r w:rsidRPr="00FD08F8">
              <w:rPr>
                <w:rFonts w:eastAsia="Times New Roman" w:cs="Arial"/>
                <w:sz w:val="20"/>
                <w:szCs w:val="20"/>
                <w:lang w:val="es-MX" w:eastAsia="es-MX"/>
              </w:rPr>
              <w:t>Los alumnos en edad de cursar la educaci</w:t>
            </w:r>
            <w:r>
              <w:rPr>
                <w:rFonts w:eastAsia="Times New Roman" w:cs="Arial"/>
                <w:sz w:val="20"/>
                <w:szCs w:val="20"/>
                <w:lang w:val="es-MX" w:eastAsia="es-MX"/>
              </w:rPr>
              <w:t>ón básica en el estado, permane</w:t>
            </w:r>
            <w:r w:rsidRPr="00FD08F8">
              <w:rPr>
                <w:rFonts w:eastAsia="Times New Roman" w:cs="Arial"/>
                <w:sz w:val="20"/>
                <w:szCs w:val="20"/>
                <w:lang w:val="es-MX" w:eastAsia="es-MX"/>
              </w:rPr>
              <w:t>cen y concluyen cada ciclo e</w:t>
            </w:r>
            <w:r>
              <w:rPr>
                <w:rFonts w:eastAsia="Times New Roman" w:cs="Arial"/>
                <w:sz w:val="20"/>
                <w:szCs w:val="20"/>
                <w:lang w:val="es-MX" w:eastAsia="es-MX"/>
              </w:rPr>
              <w:t>s</w:t>
            </w:r>
            <w:r w:rsidRPr="00FD08F8">
              <w:rPr>
                <w:rFonts w:eastAsia="Times New Roman" w:cs="Arial"/>
                <w:sz w:val="20"/>
                <w:szCs w:val="20"/>
                <w:lang w:val="es-MX" w:eastAsia="es-MX"/>
              </w:rPr>
              <w:t>colar</w:t>
            </w:r>
          </w:p>
        </w:tc>
      </w:tr>
      <w:tr w:rsidR="00E23746" w:rsidRPr="00FD08F8" w14:paraId="1AD50179" w14:textId="77777777" w:rsidTr="00C91C82">
        <w:trPr>
          <w:trHeight w:val="1692"/>
        </w:trPr>
        <w:tc>
          <w:tcPr>
            <w:tcW w:w="1213" w:type="dxa"/>
            <w:tcBorders>
              <w:top w:val="single" w:sz="4" w:space="0" w:color="auto"/>
              <w:left w:val="single" w:sz="4" w:space="0" w:color="auto"/>
              <w:bottom w:val="single" w:sz="4" w:space="0" w:color="auto"/>
              <w:right w:val="single" w:sz="4" w:space="0" w:color="auto"/>
            </w:tcBorders>
            <w:shd w:val="clear" w:color="auto" w:fill="auto"/>
            <w:hideMark/>
          </w:tcPr>
          <w:p w14:paraId="3F35E3B2"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Propósito</w:t>
            </w:r>
          </w:p>
        </w:tc>
        <w:tc>
          <w:tcPr>
            <w:tcW w:w="2893" w:type="dxa"/>
            <w:tcBorders>
              <w:top w:val="single" w:sz="4" w:space="0" w:color="auto"/>
              <w:left w:val="single" w:sz="4" w:space="0" w:color="auto"/>
              <w:bottom w:val="single" w:sz="4" w:space="0" w:color="auto"/>
              <w:right w:val="single" w:sz="4" w:space="0" w:color="auto"/>
            </w:tcBorders>
            <w:shd w:val="clear" w:color="auto" w:fill="auto"/>
            <w:hideMark/>
          </w:tcPr>
          <w:p w14:paraId="116CECF2" w14:textId="77777777" w:rsidR="00E23746" w:rsidRPr="00FD08F8" w:rsidRDefault="00E23746" w:rsidP="004931F7">
            <w:pPr>
              <w:spacing w:after="0" w:line="240" w:lineRule="auto"/>
              <w:rPr>
                <w:rFonts w:eastAsia="Times New Roman" w:cs="Arial"/>
                <w:sz w:val="20"/>
                <w:szCs w:val="20"/>
                <w:lang w:val="es-MX" w:eastAsia="es-MX"/>
              </w:rPr>
            </w:pPr>
            <w:r w:rsidRPr="00FD08F8">
              <w:rPr>
                <w:rFonts w:eastAsia="Times New Roman" w:cs="Arial"/>
                <w:sz w:val="20"/>
                <w:szCs w:val="20"/>
                <w:lang w:val="es-MX" w:eastAsia="es-MX"/>
              </w:rPr>
              <w:t>Favorecer la permanencia y el egreso de los estudiantes de educación básica en el Sistema Educativo Estatal mediante diversos apoyos compensatorios.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ACACC1E" w14:textId="77777777" w:rsidR="00E23746" w:rsidRPr="00FD08F8" w:rsidRDefault="00E23746" w:rsidP="004931F7">
            <w:pPr>
              <w:spacing w:after="0" w:line="240" w:lineRule="auto"/>
              <w:rPr>
                <w:rFonts w:eastAsia="Times New Roman" w:cs="Arial"/>
                <w:sz w:val="20"/>
                <w:szCs w:val="20"/>
                <w:lang w:val="es-MX" w:eastAsia="es-MX"/>
              </w:rPr>
            </w:pPr>
            <w:r w:rsidRPr="00FD08F8">
              <w:rPr>
                <w:rFonts w:eastAsia="Times New Roman" w:cs="Arial"/>
                <w:sz w:val="20"/>
                <w:szCs w:val="20"/>
                <w:lang w:val="es-MX" w:eastAsia="es-MX"/>
              </w:rPr>
              <w:t>P - Los alumnos de Educación Básica elevan su logro educativo.</w:t>
            </w:r>
          </w:p>
        </w:tc>
        <w:tc>
          <w:tcPr>
            <w:tcW w:w="2268" w:type="dxa"/>
            <w:tcBorders>
              <w:top w:val="single" w:sz="4" w:space="0" w:color="auto"/>
              <w:left w:val="single" w:sz="4" w:space="0" w:color="auto"/>
              <w:bottom w:val="single" w:sz="4" w:space="0" w:color="auto"/>
              <w:right w:val="single" w:sz="4" w:space="0" w:color="auto"/>
            </w:tcBorders>
            <w:shd w:val="clear" w:color="FFFFFF" w:fill="FFFFFF"/>
            <w:hideMark/>
          </w:tcPr>
          <w:p w14:paraId="71056A52" w14:textId="77777777" w:rsidR="00E23746" w:rsidRPr="00FD08F8" w:rsidRDefault="00E23746" w:rsidP="004931F7">
            <w:pPr>
              <w:spacing w:after="0" w:line="240" w:lineRule="auto"/>
              <w:rPr>
                <w:rFonts w:eastAsia="Times New Roman" w:cs="Arial"/>
                <w:sz w:val="20"/>
                <w:szCs w:val="20"/>
                <w:lang w:val="es-MX" w:eastAsia="es-MX"/>
              </w:rPr>
            </w:pPr>
            <w:r w:rsidRPr="00FD08F8">
              <w:rPr>
                <w:rFonts w:eastAsia="Times New Roman" w:cs="Arial"/>
                <w:sz w:val="20"/>
                <w:szCs w:val="20"/>
                <w:lang w:val="es-MX" w:eastAsia="es-MX"/>
              </w:rPr>
              <w:t>Tasa de eficiencia terminal de Educación Básica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7CCBA4E" w14:textId="77777777" w:rsidR="00E23746" w:rsidRDefault="00E23746" w:rsidP="004931F7">
            <w:pPr>
              <w:spacing w:after="0" w:line="240" w:lineRule="auto"/>
              <w:rPr>
                <w:rFonts w:eastAsia="Times New Roman" w:cs="Arial"/>
                <w:sz w:val="20"/>
                <w:szCs w:val="20"/>
                <w:lang w:val="es-MX" w:eastAsia="es-MX"/>
              </w:rPr>
            </w:pPr>
            <w:r w:rsidRPr="00FD08F8">
              <w:rPr>
                <w:rFonts w:eastAsia="Times New Roman" w:cs="Arial"/>
                <w:sz w:val="20"/>
                <w:szCs w:val="20"/>
                <w:lang w:val="es-MX" w:eastAsia="es-MX"/>
              </w:rPr>
              <w:t>Estadísticas continúas del formato 911, matrícula de inicio de ciclo escolar, SEQ. Proyecciones de población por edad desplegada, entidad federativa (Quintana Roo) 1970-2050, CONAPO.https://qroo.gob.mx/seq/medios-de-verificacion-de-la-planeacion-anual</w:t>
            </w:r>
          </w:p>
          <w:p w14:paraId="04143F8C" w14:textId="77777777" w:rsidR="00E23746" w:rsidRPr="00FD08F8" w:rsidRDefault="00E23746" w:rsidP="004931F7">
            <w:pPr>
              <w:spacing w:after="0" w:line="240" w:lineRule="auto"/>
              <w:rPr>
                <w:rFonts w:eastAsia="Times New Roman" w:cs="Arial"/>
                <w:sz w:val="20"/>
                <w:szCs w:val="20"/>
                <w:lang w:val="es-MX" w:eastAsia="es-MX"/>
              </w:rPr>
            </w:pPr>
          </w:p>
        </w:tc>
        <w:tc>
          <w:tcPr>
            <w:tcW w:w="1985" w:type="dxa"/>
            <w:tcBorders>
              <w:top w:val="single" w:sz="4" w:space="0" w:color="auto"/>
              <w:left w:val="single" w:sz="4" w:space="0" w:color="auto"/>
              <w:bottom w:val="single" w:sz="4" w:space="0" w:color="auto"/>
              <w:right w:val="single" w:sz="4" w:space="0" w:color="auto"/>
            </w:tcBorders>
            <w:shd w:val="clear" w:color="FFFFFF" w:fill="FFFFFF"/>
            <w:hideMark/>
          </w:tcPr>
          <w:p w14:paraId="17D67F0E" w14:textId="77777777" w:rsidR="00E23746" w:rsidRPr="00FD08F8" w:rsidRDefault="00E23746" w:rsidP="004931F7">
            <w:pPr>
              <w:spacing w:after="0" w:line="240" w:lineRule="auto"/>
              <w:rPr>
                <w:rFonts w:eastAsia="Times New Roman" w:cs="Arial"/>
                <w:sz w:val="20"/>
                <w:szCs w:val="20"/>
                <w:lang w:val="es-MX" w:eastAsia="es-MX"/>
              </w:rPr>
            </w:pPr>
            <w:r w:rsidRPr="00FD08F8">
              <w:rPr>
                <w:rFonts w:eastAsia="Times New Roman" w:cs="Arial"/>
                <w:sz w:val="20"/>
                <w:szCs w:val="20"/>
                <w:lang w:val="es-MX" w:eastAsia="es-MX"/>
              </w:rPr>
              <w:t>Los alumnos concluyen su educación básica.</w:t>
            </w:r>
          </w:p>
        </w:tc>
      </w:tr>
    </w:tbl>
    <w:p w14:paraId="5B8C862F" w14:textId="77777777" w:rsidR="00D47ED1" w:rsidRDefault="00D47ED1">
      <w:pPr>
        <w:spacing w:after="0" w:line="240" w:lineRule="auto"/>
        <w:jc w:val="left"/>
      </w:pPr>
      <w:r>
        <w:br w:type="page"/>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3"/>
        <w:gridCol w:w="2693"/>
        <w:gridCol w:w="2835"/>
        <w:gridCol w:w="2268"/>
        <w:gridCol w:w="2835"/>
        <w:gridCol w:w="1985"/>
      </w:tblGrid>
      <w:tr w:rsidR="00E23746" w:rsidRPr="00FD08F8" w14:paraId="0B8488A0" w14:textId="77777777" w:rsidTr="00BF2AA6">
        <w:trPr>
          <w:trHeight w:val="679"/>
        </w:trPr>
        <w:tc>
          <w:tcPr>
            <w:tcW w:w="1413" w:type="dxa"/>
            <w:shd w:val="clear" w:color="000000" w:fill="BFBFBF"/>
            <w:vAlign w:val="center"/>
            <w:hideMark/>
          </w:tcPr>
          <w:p w14:paraId="78A63A13"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lastRenderedPageBreak/>
              <w:t>NIVEL</w:t>
            </w:r>
          </w:p>
        </w:tc>
        <w:tc>
          <w:tcPr>
            <w:tcW w:w="2693" w:type="dxa"/>
            <w:shd w:val="clear" w:color="000000" w:fill="BFBFBF"/>
            <w:vAlign w:val="center"/>
            <w:hideMark/>
          </w:tcPr>
          <w:p w14:paraId="1C0ED0CF"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ALINEACIÓN PED/PD</w:t>
            </w:r>
          </w:p>
        </w:tc>
        <w:tc>
          <w:tcPr>
            <w:tcW w:w="2835" w:type="dxa"/>
            <w:shd w:val="clear" w:color="000000" w:fill="BFBFBF"/>
            <w:vAlign w:val="center"/>
            <w:hideMark/>
          </w:tcPr>
          <w:p w14:paraId="7F6D49DF"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OBJETIVO</w:t>
            </w:r>
          </w:p>
        </w:tc>
        <w:tc>
          <w:tcPr>
            <w:tcW w:w="2268" w:type="dxa"/>
            <w:shd w:val="clear" w:color="000000" w:fill="BFBFBF"/>
            <w:vAlign w:val="center"/>
            <w:hideMark/>
          </w:tcPr>
          <w:p w14:paraId="1EB7E474"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INDICADOR</w:t>
            </w:r>
          </w:p>
        </w:tc>
        <w:tc>
          <w:tcPr>
            <w:tcW w:w="2835" w:type="dxa"/>
            <w:shd w:val="clear" w:color="000000" w:fill="BFBFBF"/>
            <w:vAlign w:val="center"/>
            <w:hideMark/>
          </w:tcPr>
          <w:p w14:paraId="0FC3F41C"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MEDIOS DE VERIFICACIÓN</w:t>
            </w:r>
          </w:p>
        </w:tc>
        <w:tc>
          <w:tcPr>
            <w:tcW w:w="1985" w:type="dxa"/>
            <w:shd w:val="clear" w:color="000000" w:fill="BFBFBF"/>
            <w:vAlign w:val="center"/>
            <w:hideMark/>
          </w:tcPr>
          <w:p w14:paraId="6B7891F6"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SUPUESTO</w:t>
            </w:r>
          </w:p>
        </w:tc>
      </w:tr>
      <w:tr w:rsidR="00E23746" w:rsidRPr="00FD08F8" w14:paraId="3912A968" w14:textId="77777777" w:rsidTr="00BF2AA6">
        <w:trPr>
          <w:trHeight w:val="2110"/>
        </w:trPr>
        <w:tc>
          <w:tcPr>
            <w:tcW w:w="1413" w:type="dxa"/>
            <w:shd w:val="clear" w:color="auto" w:fill="auto"/>
            <w:hideMark/>
          </w:tcPr>
          <w:p w14:paraId="767A1825"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Componente</w:t>
            </w:r>
          </w:p>
        </w:tc>
        <w:tc>
          <w:tcPr>
            <w:tcW w:w="2693" w:type="dxa"/>
            <w:shd w:val="clear" w:color="auto" w:fill="auto"/>
            <w:hideMark/>
          </w:tcPr>
          <w:p w14:paraId="44FD4238" w14:textId="77777777" w:rsidR="00E23746" w:rsidRPr="00FD08F8" w:rsidRDefault="00E23746" w:rsidP="004931F7">
            <w:pPr>
              <w:spacing w:after="0" w:line="240" w:lineRule="auto"/>
              <w:rPr>
                <w:rFonts w:eastAsia="Times New Roman" w:cs="Arial"/>
                <w:sz w:val="20"/>
                <w:szCs w:val="20"/>
                <w:lang w:val="es-MX" w:eastAsia="es-MX"/>
              </w:rPr>
            </w:pPr>
            <w:r w:rsidRPr="00FD08F8">
              <w:rPr>
                <w:rFonts w:eastAsia="Times New Roman" w:cs="Arial"/>
                <w:sz w:val="20"/>
                <w:szCs w:val="20"/>
                <w:lang w:val="es-MX" w:eastAsia="es-MX"/>
              </w:rPr>
              <w:t>Promover la atención de la educación Inicial no escolarizada que asegure la mejora del trabajo comunitario con madres y padres de familia de niños y niñas de 0 a 3 años 11 meses de edad, en grupos de mayor grado de vulnerabilidad</w:t>
            </w:r>
          </w:p>
        </w:tc>
        <w:tc>
          <w:tcPr>
            <w:tcW w:w="2835" w:type="dxa"/>
            <w:shd w:val="clear" w:color="auto" w:fill="auto"/>
            <w:hideMark/>
          </w:tcPr>
          <w:p w14:paraId="42E24512" w14:textId="77777777" w:rsidR="00E23746" w:rsidRPr="00FD08F8" w:rsidRDefault="00E23746" w:rsidP="004931F7">
            <w:pPr>
              <w:spacing w:after="0" w:line="240" w:lineRule="auto"/>
              <w:rPr>
                <w:rFonts w:eastAsia="Times New Roman" w:cs="Arial"/>
                <w:sz w:val="20"/>
                <w:szCs w:val="20"/>
                <w:lang w:val="es-MX" w:eastAsia="es-MX"/>
              </w:rPr>
            </w:pPr>
            <w:r w:rsidRPr="00FD08F8">
              <w:rPr>
                <w:rFonts w:eastAsia="Times New Roman" w:cs="Arial"/>
                <w:sz w:val="20"/>
                <w:szCs w:val="20"/>
                <w:lang w:val="es-MX" w:eastAsia="es-MX"/>
              </w:rPr>
              <w:t>C01 - Atención de Educación Inicial no Escolarizada en grupos de población con mayor grado de vulnerabilidad, promovida.</w:t>
            </w:r>
          </w:p>
        </w:tc>
        <w:tc>
          <w:tcPr>
            <w:tcW w:w="2268" w:type="dxa"/>
            <w:shd w:val="clear" w:color="FFFFFF" w:fill="FFFFFF"/>
            <w:hideMark/>
          </w:tcPr>
          <w:p w14:paraId="7D809E80" w14:textId="77777777" w:rsidR="00E23746" w:rsidRPr="00FD08F8" w:rsidRDefault="00E23746" w:rsidP="004931F7">
            <w:pPr>
              <w:spacing w:after="0" w:line="240" w:lineRule="auto"/>
              <w:rPr>
                <w:rFonts w:eastAsia="Times New Roman" w:cs="Arial"/>
                <w:sz w:val="20"/>
                <w:szCs w:val="20"/>
                <w:lang w:val="es-MX" w:eastAsia="es-MX"/>
              </w:rPr>
            </w:pPr>
            <w:r>
              <w:rPr>
                <w:rFonts w:eastAsia="Times New Roman" w:cs="Arial"/>
                <w:sz w:val="20"/>
                <w:szCs w:val="20"/>
                <w:lang w:val="es-MX" w:eastAsia="es-MX"/>
              </w:rPr>
              <w:t>C01</w:t>
            </w:r>
            <w:r w:rsidRPr="00FD08F8">
              <w:rPr>
                <w:rFonts w:eastAsia="Times New Roman" w:cs="Arial"/>
                <w:sz w:val="20"/>
                <w:szCs w:val="20"/>
                <w:lang w:val="es-MX" w:eastAsia="es-MX"/>
              </w:rPr>
              <w:t xml:space="preserve"> - Tasa de variación de infantes atendidos con Educación Inicial No Escolarizada del Universo Compensado CONAFE.</w:t>
            </w:r>
          </w:p>
        </w:tc>
        <w:tc>
          <w:tcPr>
            <w:tcW w:w="2835" w:type="dxa"/>
            <w:shd w:val="clear" w:color="auto" w:fill="auto"/>
            <w:hideMark/>
          </w:tcPr>
          <w:p w14:paraId="4A4D81F8" w14:textId="77777777" w:rsidR="00E23746" w:rsidRPr="00FD08F8" w:rsidRDefault="00E23746" w:rsidP="004931F7">
            <w:pPr>
              <w:spacing w:after="0" w:line="240" w:lineRule="auto"/>
              <w:rPr>
                <w:rFonts w:eastAsia="Times New Roman" w:cs="Arial"/>
                <w:sz w:val="20"/>
                <w:szCs w:val="20"/>
                <w:lang w:val="es-MX" w:eastAsia="es-MX"/>
              </w:rPr>
            </w:pPr>
            <w:r w:rsidRPr="00FD08F8">
              <w:rPr>
                <w:rFonts w:eastAsia="Times New Roman" w:cs="Arial"/>
                <w:sz w:val="20"/>
                <w:szCs w:val="20"/>
                <w:lang w:val="es-MX" w:eastAsia="es-MX"/>
              </w:rPr>
              <w:t>Estadísticas continúas del formato 911, https://qroo.gob.mx/seq/medios-de-verificacion-de-la-planeacion-anual</w:t>
            </w:r>
          </w:p>
        </w:tc>
        <w:tc>
          <w:tcPr>
            <w:tcW w:w="1985" w:type="dxa"/>
            <w:shd w:val="clear" w:color="auto" w:fill="auto"/>
            <w:hideMark/>
          </w:tcPr>
          <w:p w14:paraId="1A7FEF79" w14:textId="77777777" w:rsidR="00E23746" w:rsidRPr="00FD08F8" w:rsidRDefault="00E23746" w:rsidP="004931F7">
            <w:pPr>
              <w:spacing w:after="0" w:line="240" w:lineRule="auto"/>
              <w:rPr>
                <w:rFonts w:eastAsia="Times New Roman" w:cs="Arial"/>
                <w:sz w:val="20"/>
                <w:szCs w:val="20"/>
                <w:lang w:val="es-MX" w:eastAsia="es-MX"/>
              </w:rPr>
            </w:pPr>
            <w:r w:rsidRPr="00FD08F8">
              <w:rPr>
                <w:rFonts w:eastAsia="Times New Roman" w:cs="Arial"/>
                <w:sz w:val="20"/>
                <w:szCs w:val="20"/>
                <w:lang w:val="es-MX" w:eastAsia="es-MX"/>
              </w:rPr>
              <w:t>Los padres de familia participan en el programa de Educación Inicial no Escolarizada.</w:t>
            </w:r>
          </w:p>
        </w:tc>
      </w:tr>
      <w:tr w:rsidR="00E23746" w:rsidRPr="00FD08F8" w14:paraId="18BE0784" w14:textId="77777777" w:rsidTr="00BF2AA6">
        <w:trPr>
          <w:trHeight w:val="2412"/>
        </w:trPr>
        <w:tc>
          <w:tcPr>
            <w:tcW w:w="1413" w:type="dxa"/>
            <w:shd w:val="clear" w:color="auto" w:fill="auto"/>
            <w:hideMark/>
          </w:tcPr>
          <w:p w14:paraId="1BF9DA51"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Actividad</w:t>
            </w:r>
          </w:p>
        </w:tc>
        <w:tc>
          <w:tcPr>
            <w:tcW w:w="2693" w:type="dxa"/>
            <w:shd w:val="clear" w:color="auto" w:fill="auto"/>
            <w:hideMark/>
          </w:tcPr>
          <w:p w14:paraId="5B391F9A" w14:textId="77777777" w:rsidR="00E23746" w:rsidRPr="00FD08F8" w:rsidRDefault="00E23746" w:rsidP="004931F7">
            <w:pPr>
              <w:spacing w:after="0" w:line="240" w:lineRule="auto"/>
              <w:rPr>
                <w:rFonts w:eastAsia="Times New Roman" w:cs="Arial"/>
                <w:sz w:val="20"/>
                <w:szCs w:val="20"/>
                <w:lang w:val="es-MX" w:eastAsia="es-MX"/>
              </w:rPr>
            </w:pPr>
            <w:r w:rsidRPr="00FD08F8">
              <w:rPr>
                <w:rFonts w:eastAsia="Times New Roman" w:cs="Arial"/>
                <w:sz w:val="20"/>
                <w:szCs w:val="20"/>
                <w:lang w:val="es-MX" w:eastAsia="es-MX"/>
              </w:rPr>
              <w:t>Promover la atención de la educación Inicial no escolarizada que asegure la mejora del trabajo comunitario con madres y padres de familia de niños y niñas de 0 a 3 años 11 meses de edad, en grupos de mayor grado de vulnerabilidad</w:t>
            </w:r>
          </w:p>
        </w:tc>
        <w:tc>
          <w:tcPr>
            <w:tcW w:w="2835" w:type="dxa"/>
            <w:shd w:val="clear" w:color="auto" w:fill="auto"/>
            <w:hideMark/>
          </w:tcPr>
          <w:p w14:paraId="397E5068" w14:textId="77777777" w:rsidR="00E23746" w:rsidRPr="00FD08F8" w:rsidRDefault="00E23746" w:rsidP="004931F7">
            <w:pPr>
              <w:spacing w:after="0" w:line="240" w:lineRule="auto"/>
              <w:rPr>
                <w:rFonts w:eastAsia="Times New Roman" w:cs="Arial"/>
                <w:sz w:val="20"/>
                <w:szCs w:val="20"/>
                <w:lang w:val="es-MX" w:eastAsia="es-MX"/>
              </w:rPr>
            </w:pPr>
            <w:r w:rsidRPr="00FD08F8">
              <w:rPr>
                <w:rFonts w:eastAsia="Times New Roman" w:cs="Arial"/>
                <w:sz w:val="20"/>
                <w:szCs w:val="20"/>
                <w:lang w:val="es-MX" w:eastAsia="es-MX"/>
              </w:rPr>
              <w:t>C01.A01 - Impartición sesiones de prácticas de crianza a padres, madres de familia y mujeres embarazadas.</w:t>
            </w:r>
          </w:p>
        </w:tc>
        <w:tc>
          <w:tcPr>
            <w:tcW w:w="2268" w:type="dxa"/>
            <w:shd w:val="clear" w:color="FFFFFF" w:fill="FFFFFF"/>
            <w:hideMark/>
          </w:tcPr>
          <w:p w14:paraId="3DDF6A1E" w14:textId="77777777" w:rsidR="00E23746" w:rsidRPr="00FD08F8" w:rsidRDefault="00E23746" w:rsidP="004931F7">
            <w:pPr>
              <w:spacing w:after="0" w:line="240" w:lineRule="auto"/>
              <w:rPr>
                <w:rFonts w:eastAsia="Times New Roman" w:cs="Arial"/>
                <w:sz w:val="20"/>
                <w:szCs w:val="20"/>
                <w:lang w:val="es-MX" w:eastAsia="es-MX"/>
              </w:rPr>
            </w:pPr>
            <w:r>
              <w:rPr>
                <w:rFonts w:eastAsia="Times New Roman" w:cs="Arial"/>
                <w:sz w:val="20"/>
                <w:szCs w:val="20"/>
                <w:lang w:val="es-MX" w:eastAsia="es-MX"/>
              </w:rPr>
              <w:t>C01A01</w:t>
            </w:r>
            <w:r w:rsidRPr="00FD08F8">
              <w:rPr>
                <w:rFonts w:eastAsia="Times New Roman" w:cs="Arial"/>
                <w:sz w:val="20"/>
                <w:szCs w:val="20"/>
                <w:lang w:val="es-MX" w:eastAsia="es-MX"/>
              </w:rPr>
              <w:t xml:space="preserve"> - Promedio de padres, madres de familia y mujeres embarazadas que reciben el servicio de Educación Inicial no Escolarizada.</w:t>
            </w:r>
          </w:p>
        </w:tc>
        <w:tc>
          <w:tcPr>
            <w:tcW w:w="2835" w:type="dxa"/>
            <w:shd w:val="clear" w:color="auto" w:fill="auto"/>
            <w:hideMark/>
          </w:tcPr>
          <w:p w14:paraId="3EF6CD8D" w14:textId="77777777" w:rsidR="00E23746" w:rsidRPr="00FD08F8" w:rsidRDefault="00E23746" w:rsidP="004931F7">
            <w:pPr>
              <w:spacing w:after="0" w:line="240" w:lineRule="auto"/>
              <w:rPr>
                <w:rFonts w:eastAsia="Times New Roman" w:cs="Arial"/>
                <w:sz w:val="20"/>
                <w:szCs w:val="20"/>
                <w:lang w:val="es-MX" w:eastAsia="es-MX"/>
              </w:rPr>
            </w:pPr>
            <w:r w:rsidRPr="00FD08F8">
              <w:rPr>
                <w:rFonts w:eastAsia="Times New Roman" w:cs="Arial"/>
                <w:sz w:val="20"/>
                <w:szCs w:val="20"/>
                <w:lang w:val="es-MX" w:eastAsia="es-MX"/>
              </w:rPr>
              <w:t>Reporte de seguimiento mensual. https://qroo.gob.mx/seq/medios-de-verificacion-de-la-planeacion-anual</w:t>
            </w:r>
          </w:p>
        </w:tc>
        <w:tc>
          <w:tcPr>
            <w:tcW w:w="1985" w:type="dxa"/>
            <w:shd w:val="clear" w:color="auto" w:fill="auto"/>
            <w:hideMark/>
          </w:tcPr>
          <w:p w14:paraId="1D386D19" w14:textId="77777777" w:rsidR="00E23746" w:rsidRPr="00FD08F8" w:rsidRDefault="00E23746" w:rsidP="004931F7">
            <w:pPr>
              <w:spacing w:after="0" w:line="240" w:lineRule="auto"/>
              <w:rPr>
                <w:rFonts w:eastAsia="Times New Roman" w:cs="Arial"/>
                <w:sz w:val="20"/>
                <w:szCs w:val="20"/>
                <w:lang w:val="es-MX" w:eastAsia="es-MX"/>
              </w:rPr>
            </w:pPr>
            <w:r w:rsidRPr="00FD08F8">
              <w:rPr>
                <w:rFonts w:eastAsia="Times New Roman" w:cs="Arial"/>
                <w:sz w:val="20"/>
                <w:szCs w:val="20"/>
                <w:lang w:val="es-MX" w:eastAsia="es-MX"/>
              </w:rPr>
              <w:t>Los padres y madres de familia y mujeres embarazadas aplican los aprendizajes en prácticas de crianza efectivas.</w:t>
            </w:r>
          </w:p>
        </w:tc>
      </w:tr>
      <w:tr w:rsidR="00E23746" w:rsidRPr="00FD08F8" w14:paraId="6049C749" w14:textId="77777777" w:rsidTr="00BF2AA6">
        <w:trPr>
          <w:trHeight w:val="2412"/>
        </w:trPr>
        <w:tc>
          <w:tcPr>
            <w:tcW w:w="1413" w:type="dxa"/>
            <w:shd w:val="clear" w:color="auto" w:fill="auto"/>
            <w:hideMark/>
          </w:tcPr>
          <w:p w14:paraId="4D33059B"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Actividad</w:t>
            </w:r>
          </w:p>
        </w:tc>
        <w:tc>
          <w:tcPr>
            <w:tcW w:w="2693" w:type="dxa"/>
            <w:shd w:val="clear" w:color="auto" w:fill="auto"/>
            <w:hideMark/>
          </w:tcPr>
          <w:p w14:paraId="396ADD0E" w14:textId="77777777" w:rsidR="00E23746" w:rsidRPr="00FD08F8" w:rsidRDefault="00E23746" w:rsidP="004931F7">
            <w:pPr>
              <w:spacing w:after="0" w:line="240" w:lineRule="auto"/>
              <w:rPr>
                <w:rFonts w:eastAsia="Times New Roman" w:cs="Arial"/>
                <w:sz w:val="20"/>
                <w:szCs w:val="20"/>
                <w:lang w:val="es-MX" w:eastAsia="es-MX"/>
              </w:rPr>
            </w:pPr>
            <w:r w:rsidRPr="00FD08F8">
              <w:rPr>
                <w:rFonts w:eastAsia="Times New Roman" w:cs="Arial"/>
                <w:sz w:val="20"/>
                <w:szCs w:val="20"/>
                <w:lang w:val="es-MX" w:eastAsia="es-MX"/>
              </w:rPr>
              <w:t>Ampliar la cobertura de los programas de becas y apoyos compensatorios hacia grupos y zonas vulnerables rurales e indígenas</w:t>
            </w:r>
          </w:p>
        </w:tc>
        <w:tc>
          <w:tcPr>
            <w:tcW w:w="2835" w:type="dxa"/>
            <w:shd w:val="clear" w:color="auto" w:fill="auto"/>
            <w:hideMark/>
          </w:tcPr>
          <w:p w14:paraId="53AF4271" w14:textId="77777777" w:rsidR="00E23746" w:rsidRPr="00FD08F8" w:rsidRDefault="00E23746" w:rsidP="004931F7">
            <w:pPr>
              <w:spacing w:after="0" w:line="240" w:lineRule="auto"/>
              <w:rPr>
                <w:rFonts w:eastAsia="Times New Roman" w:cs="Arial"/>
                <w:sz w:val="20"/>
                <w:szCs w:val="20"/>
                <w:lang w:val="es-MX" w:eastAsia="es-MX"/>
              </w:rPr>
            </w:pPr>
            <w:r w:rsidRPr="00FD08F8">
              <w:rPr>
                <w:rFonts w:eastAsia="Times New Roman" w:cs="Arial"/>
                <w:sz w:val="20"/>
                <w:szCs w:val="20"/>
                <w:lang w:val="es-MX" w:eastAsia="es-MX"/>
              </w:rPr>
              <w:t>C01.A02 - Distribución de material didáctico y equipamiento a figuras educativas de Educación Inicial No Escolarizada.</w:t>
            </w:r>
          </w:p>
        </w:tc>
        <w:tc>
          <w:tcPr>
            <w:tcW w:w="2268" w:type="dxa"/>
            <w:shd w:val="clear" w:color="FFFFFF" w:fill="FFFFFF"/>
            <w:hideMark/>
          </w:tcPr>
          <w:p w14:paraId="0594D986" w14:textId="77777777" w:rsidR="00E23746" w:rsidRPr="00FD08F8" w:rsidRDefault="00E23746" w:rsidP="004931F7">
            <w:pPr>
              <w:spacing w:after="0" w:line="240" w:lineRule="auto"/>
              <w:rPr>
                <w:rFonts w:eastAsia="Times New Roman" w:cs="Arial"/>
                <w:sz w:val="20"/>
                <w:szCs w:val="20"/>
                <w:lang w:val="es-MX" w:eastAsia="es-MX"/>
              </w:rPr>
            </w:pPr>
            <w:r>
              <w:rPr>
                <w:rFonts w:eastAsia="Times New Roman" w:cs="Arial"/>
                <w:sz w:val="20"/>
                <w:szCs w:val="20"/>
                <w:lang w:val="es-MX" w:eastAsia="es-MX"/>
              </w:rPr>
              <w:t>C01A02</w:t>
            </w:r>
            <w:r w:rsidRPr="00FD08F8">
              <w:rPr>
                <w:rFonts w:eastAsia="Times New Roman" w:cs="Arial"/>
                <w:sz w:val="20"/>
                <w:szCs w:val="20"/>
                <w:lang w:val="es-MX" w:eastAsia="es-MX"/>
              </w:rPr>
              <w:t xml:space="preserve"> - Porcentaje de niños y niñas de educación inicial beneficiados con material didáctico.</w:t>
            </w:r>
          </w:p>
        </w:tc>
        <w:tc>
          <w:tcPr>
            <w:tcW w:w="2835" w:type="dxa"/>
            <w:shd w:val="clear" w:color="auto" w:fill="auto"/>
            <w:hideMark/>
          </w:tcPr>
          <w:p w14:paraId="3A698F72" w14:textId="77777777" w:rsidR="00E23746" w:rsidRPr="00FD08F8" w:rsidRDefault="00E23746" w:rsidP="004931F7">
            <w:pPr>
              <w:spacing w:after="0" w:line="240" w:lineRule="auto"/>
              <w:rPr>
                <w:rFonts w:eastAsia="Times New Roman" w:cs="Arial"/>
                <w:sz w:val="20"/>
                <w:szCs w:val="20"/>
                <w:lang w:val="es-MX" w:eastAsia="es-MX"/>
              </w:rPr>
            </w:pPr>
            <w:r w:rsidRPr="00FD08F8">
              <w:rPr>
                <w:rFonts w:eastAsia="Times New Roman" w:cs="Arial"/>
                <w:sz w:val="20"/>
                <w:szCs w:val="20"/>
                <w:lang w:val="es-MX" w:eastAsia="es-MX"/>
              </w:rPr>
              <w:t>Reporte de seguimiento mensual, https://qroo.gob.mx/seq/medios-de-verificacion-de-la-planeacion-anual</w:t>
            </w:r>
          </w:p>
        </w:tc>
        <w:tc>
          <w:tcPr>
            <w:tcW w:w="1985" w:type="dxa"/>
            <w:shd w:val="clear" w:color="auto" w:fill="auto"/>
            <w:hideMark/>
          </w:tcPr>
          <w:p w14:paraId="7EB0D0DE" w14:textId="77777777" w:rsidR="00E23746" w:rsidRPr="00FD08F8" w:rsidRDefault="00E23746" w:rsidP="004931F7">
            <w:pPr>
              <w:spacing w:after="0" w:line="240" w:lineRule="auto"/>
              <w:rPr>
                <w:rFonts w:eastAsia="Times New Roman" w:cs="Arial"/>
                <w:sz w:val="20"/>
                <w:szCs w:val="20"/>
                <w:lang w:val="es-MX" w:eastAsia="es-MX"/>
              </w:rPr>
            </w:pPr>
            <w:r w:rsidRPr="00FD08F8">
              <w:rPr>
                <w:rFonts w:eastAsia="Times New Roman" w:cs="Arial"/>
                <w:sz w:val="20"/>
                <w:szCs w:val="20"/>
                <w:lang w:val="es-MX" w:eastAsia="es-MX"/>
              </w:rPr>
              <w:t>Las niños y niñas mejoran el aprendizaje en las sesiones.</w:t>
            </w:r>
          </w:p>
        </w:tc>
      </w:tr>
    </w:tbl>
    <w:p w14:paraId="3C409F8D" w14:textId="77777777" w:rsidR="00D47ED1" w:rsidRDefault="00D47ED1">
      <w:pPr>
        <w:spacing w:after="0" w:line="240" w:lineRule="auto"/>
        <w:jc w:val="left"/>
      </w:pPr>
      <w:r>
        <w:br w:type="page"/>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3"/>
        <w:gridCol w:w="2693"/>
        <w:gridCol w:w="2835"/>
        <w:gridCol w:w="2268"/>
        <w:gridCol w:w="2835"/>
        <w:gridCol w:w="1985"/>
      </w:tblGrid>
      <w:tr w:rsidR="00E23746" w:rsidRPr="00FD08F8" w14:paraId="43C22684" w14:textId="77777777" w:rsidTr="00BF2AA6">
        <w:trPr>
          <w:trHeight w:val="679"/>
        </w:trPr>
        <w:tc>
          <w:tcPr>
            <w:tcW w:w="1413" w:type="dxa"/>
            <w:shd w:val="clear" w:color="000000" w:fill="BFBFBF"/>
            <w:vAlign w:val="center"/>
            <w:hideMark/>
          </w:tcPr>
          <w:p w14:paraId="096F386E"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lastRenderedPageBreak/>
              <w:t>NIVEL</w:t>
            </w:r>
          </w:p>
        </w:tc>
        <w:tc>
          <w:tcPr>
            <w:tcW w:w="2693" w:type="dxa"/>
            <w:shd w:val="clear" w:color="000000" w:fill="BFBFBF"/>
            <w:vAlign w:val="center"/>
            <w:hideMark/>
          </w:tcPr>
          <w:p w14:paraId="0AD47F93"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ALINEACIÓN PED/PD</w:t>
            </w:r>
          </w:p>
        </w:tc>
        <w:tc>
          <w:tcPr>
            <w:tcW w:w="2835" w:type="dxa"/>
            <w:shd w:val="clear" w:color="000000" w:fill="BFBFBF"/>
            <w:vAlign w:val="center"/>
            <w:hideMark/>
          </w:tcPr>
          <w:p w14:paraId="152ED2F1"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OBJETIVO</w:t>
            </w:r>
          </w:p>
        </w:tc>
        <w:tc>
          <w:tcPr>
            <w:tcW w:w="2268" w:type="dxa"/>
            <w:shd w:val="clear" w:color="000000" w:fill="BFBFBF"/>
            <w:vAlign w:val="center"/>
            <w:hideMark/>
          </w:tcPr>
          <w:p w14:paraId="405F254B"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INDICADOR</w:t>
            </w:r>
          </w:p>
        </w:tc>
        <w:tc>
          <w:tcPr>
            <w:tcW w:w="2835" w:type="dxa"/>
            <w:shd w:val="clear" w:color="000000" w:fill="BFBFBF"/>
            <w:vAlign w:val="center"/>
            <w:hideMark/>
          </w:tcPr>
          <w:p w14:paraId="1D267B80"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MEDIOS DE VERIFICACIÓN</w:t>
            </w:r>
          </w:p>
        </w:tc>
        <w:tc>
          <w:tcPr>
            <w:tcW w:w="1985" w:type="dxa"/>
            <w:shd w:val="clear" w:color="000000" w:fill="BFBFBF"/>
            <w:vAlign w:val="center"/>
            <w:hideMark/>
          </w:tcPr>
          <w:p w14:paraId="685C9B63"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SUPUESTO</w:t>
            </w:r>
          </w:p>
        </w:tc>
      </w:tr>
      <w:tr w:rsidR="00E23746" w:rsidRPr="00FD08F8" w14:paraId="11EFA7A1" w14:textId="77777777" w:rsidTr="00BF2AA6">
        <w:trPr>
          <w:trHeight w:val="1968"/>
        </w:trPr>
        <w:tc>
          <w:tcPr>
            <w:tcW w:w="1413" w:type="dxa"/>
            <w:shd w:val="clear" w:color="auto" w:fill="auto"/>
            <w:hideMark/>
          </w:tcPr>
          <w:p w14:paraId="0A4C71F8"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Actividad</w:t>
            </w:r>
          </w:p>
        </w:tc>
        <w:tc>
          <w:tcPr>
            <w:tcW w:w="2693" w:type="dxa"/>
            <w:shd w:val="clear" w:color="auto" w:fill="auto"/>
            <w:hideMark/>
          </w:tcPr>
          <w:p w14:paraId="31BCECAB" w14:textId="77777777" w:rsidR="00E23746" w:rsidRPr="00FD08F8" w:rsidRDefault="00E23746" w:rsidP="004931F7">
            <w:pPr>
              <w:spacing w:after="0" w:line="240" w:lineRule="auto"/>
              <w:rPr>
                <w:rFonts w:eastAsia="Times New Roman" w:cs="Arial"/>
                <w:sz w:val="20"/>
                <w:szCs w:val="20"/>
                <w:lang w:val="es-MX" w:eastAsia="es-MX"/>
              </w:rPr>
            </w:pPr>
            <w:r w:rsidRPr="00FD08F8">
              <w:rPr>
                <w:rFonts w:eastAsia="Times New Roman" w:cs="Arial"/>
                <w:sz w:val="20"/>
                <w:szCs w:val="20"/>
                <w:lang w:val="es-MX" w:eastAsia="es-MX"/>
              </w:rPr>
              <w:t>Promover la atención de la educación Inicial no escolarizada que asegure la mejora del trabajo comunitario con madres y padres de familia de niños y niñas de 0 a 3 años 11 meses de edad, en grupos de mayor grado de vulnerabilidad</w:t>
            </w:r>
          </w:p>
        </w:tc>
        <w:tc>
          <w:tcPr>
            <w:tcW w:w="2835" w:type="dxa"/>
            <w:shd w:val="clear" w:color="auto" w:fill="auto"/>
            <w:hideMark/>
          </w:tcPr>
          <w:p w14:paraId="37D03117" w14:textId="77777777" w:rsidR="00E23746" w:rsidRPr="00FD08F8" w:rsidRDefault="00E23746" w:rsidP="004931F7">
            <w:pPr>
              <w:spacing w:after="0" w:line="240" w:lineRule="auto"/>
              <w:rPr>
                <w:rFonts w:eastAsia="Times New Roman" w:cs="Arial"/>
                <w:sz w:val="20"/>
                <w:szCs w:val="20"/>
                <w:lang w:val="es-MX" w:eastAsia="es-MX"/>
              </w:rPr>
            </w:pPr>
            <w:r w:rsidRPr="00FD08F8">
              <w:rPr>
                <w:rFonts w:eastAsia="Times New Roman" w:cs="Arial"/>
                <w:sz w:val="20"/>
                <w:szCs w:val="20"/>
                <w:lang w:val="es-MX" w:eastAsia="es-MX"/>
              </w:rPr>
              <w:t>C01.A03 - Capacitación de figuras educativas de Educación Inicial No Escolarizada.</w:t>
            </w:r>
          </w:p>
        </w:tc>
        <w:tc>
          <w:tcPr>
            <w:tcW w:w="2268" w:type="dxa"/>
            <w:shd w:val="clear" w:color="FFFFFF" w:fill="FFFFFF"/>
            <w:hideMark/>
          </w:tcPr>
          <w:p w14:paraId="48F81872" w14:textId="77777777" w:rsidR="00E23746" w:rsidRPr="00FD08F8" w:rsidRDefault="00E23746" w:rsidP="004931F7">
            <w:pPr>
              <w:spacing w:after="0" w:line="240" w:lineRule="auto"/>
              <w:rPr>
                <w:rFonts w:eastAsia="Times New Roman" w:cs="Arial"/>
                <w:sz w:val="20"/>
                <w:szCs w:val="20"/>
                <w:lang w:val="es-MX" w:eastAsia="es-MX"/>
              </w:rPr>
            </w:pPr>
            <w:r>
              <w:rPr>
                <w:rFonts w:eastAsia="Times New Roman" w:cs="Arial"/>
                <w:sz w:val="20"/>
                <w:szCs w:val="20"/>
                <w:lang w:val="es-MX" w:eastAsia="es-MX"/>
              </w:rPr>
              <w:t>C01A03</w:t>
            </w:r>
            <w:r w:rsidRPr="00FD08F8">
              <w:rPr>
                <w:rFonts w:eastAsia="Times New Roman" w:cs="Arial"/>
                <w:sz w:val="20"/>
                <w:szCs w:val="20"/>
                <w:lang w:val="es-MX" w:eastAsia="es-MX"/>
              </w:rPr>
              <w:t xml:space="preserve"> - Promedio de figuras educativas de Educación Inicial capacitadas.</w:t>
            </w:r>
          </w:p>
        </w:tc>
        <w:tc>
          <w:tcPr>
            <w:tcW w:w="2835" w:type="dxa"/>
            <w:shd w:val="clear" w:color="auto" w:fill="auto"/>
            <w:hideMark/>
          </w:tcPr>
          <w:p w14:paraId="70CEA620" w14:textId="77777777" w:rsidR="00E23746" w:rsidRPr="00FD08F8" w:rsidRDefault="00E23746" w:rsidP="004931F7">
            <w:pPr>
              <w:spacing w:after="0" w:line="240" w:lineRule="auto"/>
              <w:rPr>
                <w:rFonts w:eastAsia="Times New Roman" w:cs="Arial"/>
                <w:sz w:val="20"/>
                <w:szCs w:val="20"/>
                <w:lang w:val="es-MX" w:eastAsia="es-MX"/>
              </w:rPr>
            </w:pPr>
            <w:r w:rsidRPr="00FD08F8">
              <w:rPr>
                <w:rFonts w:eastAsia="Times New Roman" w:cs="Arial"/>
                <w:sz w:val="20"/>
                <w:szCs w:val="20"/>
                <w:lang w:val="es-MX" w:eastAsia="es-MX"/>
              </w:rPr>
              <w:t>Informe de eventos de formación, https://qroo.gob.mx/seq/medios-de-verificacion-de-la-planeacion-anual</w:t>
            </w:r>
          </w:p>
        </w:tc>
        <w:tc>
          <w:tcPr>
            <w:tcW w:w="1985" w:type="dxa"/>
            <w:shd w:val="clear" w:color="auto" w:fill="auto"/>
            <w:hideMark/>
          </w:tcPr>
          <w:p w14:paraId="42C81C3A" w14:textId="77777777" w:rsidR="00E23746" w:rsidRPr="00FD08F8" w:rsidRDefault="00E23746" w:rsidP="004931F7">
            <w:pPr>
              <w:spacing w:after="0" w:line="240" w:lineRule="auto"/>
              <w:rPr>
                <w:rFonts w:eastAsia="Times New Roman" w:cs="Arial"/>
                <w:sz w:val="20"/>
                <w:szCs w:val="20"/>
                <w:lang w:val="es-MX" w:eastAsia="es-MX"/>
              </w:rPr>
            </w:pPr>
            <w:r w:rsidRPr="00FD08F8">
              <w:rPr>
                <w:rFonts w:eastAsia="Times New Roman" w:cs="Arial"/>
                <w:sz w:val="20"/>
                <w:szCs w:val="20"/>
                <w:lang w:val="es-MX" w:eastAsia="es-MX"/>
              </w:rPr>
              <w:t>Las figuras educativas mejoran sus procesos de enseñanza en prácticas de crianza.</w:t>
            </w:r>
          </w:p>
        </w:tc>
      </w:tr>
      <w:tr w:rsidR="00E23746" w:rsidRPr="00FD08F8" w14:paraId="410E4935" w14:textId="77777777" w:rsidTr="00BF2AA6">
        <w:trPr>
          <w:trHeight w:val="2412"/>
        </w:trPr>
        <w:tc>
          <w:tcPr>
            <w:tcW w:w="1413" w:type="dxa"/>
            <w:shd w:val="clear" w:color="auto" w:fill="auto"/>
            <w:hideMark/>
          </w:tcPr>
          <w:p w14:paraId="31FE74B3"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Componente</w:t>
            </w:r>
          </w:p>
        </w:tc>
        <w:tc>
          <w:tcPr>
            <w:tcW w:w="2693" w:type="dxa"/>
            <w:shd w:val="clear" w:color="auto" w:fill="auto"/>
            <w:hideMark/>
          </w:tcPr>
          <w:p w14:paraId="09CFCD20" w14:textId="77777777" w:rsidR="00E23746" w:rsidRPr="00FD08F8" w:rsidRDefault="00E23746" w:rsidP="004931F7">
            <w:pPr>
              <w:spacing w:after="0" w:line="240" w:lineRule="auto"/>
              <w:rPr>
                <w:rFonts w:eastAsia="Times New Roman" w:cs="Arial"/>
                <w:sz w:val="20"/>
                <w:szCs w:val="20"/>
                <w:lang w:val="es-MX" w:eastAsia="es-MX"/>
              </w:rPr>
            </w:pPr>
            <w:r w:rsidRPr="00FD08F8">
              <w:rPr>
                <w:rFonts w:eastAsia="Times New Roman" w:cs="Arial"/>
                <w:sz w:val="20"/>
                <w:szCs w:val="20"/>
                <w:lang w:val="es-MX" w:eastAsia="es-MX"/>
              </w:rPr>
              <w:t>Ampliar la cobertura de los programas de becas y apoyos compensatorios hacia grupos y zonas vulnerables rurales e indígenas</w:t>
            </w:r>
          </w:p>
        </w:tc>
        <w:tc>
          <w:tcPr>
            <w:tcW w:w="2835" w:type="dxa"/>
            <w:shd w:val="clear" w:color="auto" w:fill="auto"/>
            <w:hideMark/>
          </w:tcPr>
          <w:p w14:paraId="03FCECCA" w14:textId="77777777" w:rsidR="00E23746" w:rsidRPr="00FD08F8" w:rsidRDefault="00E23746" w:rsidP="004931F7">
            <w:pPr>
              <w:spacing w:after="0" w:line="240" w:lineRule="auto"/>
              <w:rPr>
                <w:rFonts w:eastAsia="Times New Roman" w:cs="Arial"/>
                <w:sz w:val="20"/>
                <w:szCs w:val="20"/>
                <w:lang w:val="es-MX" w:eastAsia="es-MX"/>
              </w:rPr>
            </w:pPr>
            <w:r w:rsidRPr="00FD08F8">
              <w:rPr>
                <w:rFonts w:eastAsia="Times New Roman" w:cs="Arial"/>
                <w:sz w:val="20"/>
                <w:szCs w:val="20"/>
                <w:lang w:val="es-MX" w:eastAsia="es-MX"/>
              </w:rPr>
              <w:t>C02 - Cobertura de los apoyos compensatorios hacia grupos y zonas vulnerables rurales e indígenas, ampliada.</w:t>
            </w:r>
          </w:p>
        </w:tc>
        <w:tc>
          <w:tcPr>
            <w:tcW w:w="2268" w:type="dxa"/>
            <w:shd w:val="clear" w:color="FFFFFF" w:fill="FFFFFF"/>
            <w:hideMark/>
          </w:tcPr>
          <w:p w14:paraId="1914C2A6" w14:textId="77777777" w:rsidR="00E23746" w:rsidRPr="00FD08F8" w:rsidRDefault="00E23746" w:rsidP="004931F7">
            <w:pPr>
              <w:spacing w:after="0" w:line="240" w:lineRule="auto"/>
              <w:rPr>
                <w:rFonts w:eastAsia="Times New Roman" w:cs="Arial"/>
                <w:sz w:val="20"/>
                <w:szCs w:val="20"/>
                <w:lang w:val="es-MX" w:eastAsia="es-MX"/>
              </w:rPr>
            </w:pPr>
            <w:r>
              <w:rPr>
                <w:rFonts w:eastAsia="Times New Roman" w:cs="Arial"/>
                <w:sz w:val="20"/>
                <w:szCs w:val="20"/>
                <w:lang w:val="es-MX" w:eastAsia="es-MX"/>
              </w:rPr>
              <w:t>C02</w:t>
            </w:r>
            <w:r w:rsidRPr="00FD08F8">
              <w:rPr>
                <w:rFonts w:eastAsia="Times New Roman" w:cs="Arial"/>
                <w:sz w:val="20"/>
                <w:szCs w:val="20"/>
                <w:lang w:val="es-MX" w:eastAsia="es-MX"/>
              </w:rPr>
              <w:t xml:space="preserve"> - Tasa de variación de estudiantes de educación básica de grupos y zonas vulnerables rurales e indígenas, beneficiados con algún apoyo compensatorio.</w:t>
            </w:r>
          </w:p>
        </w:tc>
        <w:tc>
          <w:tcPr>
            <w:tcW w:w="2835" w:type="dxa"/>
            <w:shd w:val="clear" w:color="auto" w:fill="auto"/>
            <w:hideMark/>
          </w:tcPr>
          <w:p w14:paraId="4C7C15CC" w14:textId="77777777" w:rsidR="00E23746" w:rsidRPr="00FD08F8" w:rsidRDefault="00E23746" w:rsidP="004931F7">
            <w:pPr>
              <w:spacing w:after="0" w:line="240" w:lineRule="auto"/>
              <w:rPr>
                <w:rFonts w:eastAsia="Times New Roman" w:cs="Arial"/>
                <w:sz w:val="20"/>
                <w:szCs w:val="20"/>
                <w:lang w:val="es-MX" w:eastAsia="es-MX"/>
              </w:rPr>
            </w:pPr>
            <w:r w:rsidRPr="00FD08F8">
              <w:rPr>
                <w:rFonts w:eastAsia="Times New Roman" w:cs="Arial"/>
                <w:sz w:val="20"/>
                <w:szCs w:val="20"/>
                <w:lang w:val="es-MX" w:eastAsia="es-MX"/>
              </w:rPr>
              <w:t>Reporte del seguimiento de meta mensual e Informe final de distribución anual. https://qroo.gob.mx/seq/medios-de-verificacion-de-la-planeacion-anual</w:t>
            </w:r>
          </w:p>
        </w:tc>
        <w:tc>
          <w:tcPr>
            <w:tcW w:w="1985" w:type="dxa"/>
            <w:shd w:val="clear" w:color="auto" w:fill="auto"/>
            <w:hideMark/>
          </w:tcPr>
          <w:p w14:paraId="4F5D157D" w14:textId="77777777" w:rsidR="00E23746" w:rsidRPr="00FD08F8" w:rsidRDefault="00E23746" w:rsidP="004931F7">
            <w:pPr>
              <w:spacing w:after="0" w:line="240" w:lineRule="auto"/>
              <w:rPr>
                <w:rFonts w:eastAsia="Times New Roman" w:cs="Arial"/>
                <w:sz w:val="20"/>
                <w:szCs w:val="20"/>
                <w:lang w:val="es-MX" w:eastAsia="es-MX"/>
              </w:rPr>
            </w:pPr>
            <w:r w:rsidRPr="00FD08F8">
              <w:rPr>
                <w:rFonts w:eastAsia="Times New Roman" w:cs="Arial"/>
                <w:sz w:val="20"/>
                <w:szCs w:val="20"/>
                <w:lang w:val="es-MX" w:eastAsia="es-MX"/>
              </w:rPr>
              <w:t>Los estudiantes de localidades de alta y muy alta marginación, utilizan el apoyo compensatorio para continuar sus estudios de educación básica.</w:t>
            </w:r>
          </w:p>
        </w:tc>
      </w:tr>
      <w:tr w:rsidR="00E23746" w:rsidRPr="00FD08F8" w14:paraId="21564634" w14:textId="77777777" w:rsidTr="00BF2AA6">
        <w:trPr>
          <w:trHeight w:val="2412"/>
        </w:trPr>
        <w:tc>
          <w:tcPr>
            <w:tcW w:w="1413" w:type="dxa"/>
            <w:shd w:val="clear" w:color="auto" w:fill="auto"/>
            <w:hideMark/>
          </w:tcPr>
          <w:p w14:paraId="5C1B4633"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Actividad</w:t>
            </w:r>
          </w:p>
        </w:tc>
        <w:tc>
          <w:tcPr>
            <w:tcW w:w="2693" w:type="dxa"/>
            <w:shd w:val="clear" w:color="auto" w:fill="auto"/>
            <w:hideMark/>
          </w:tcPr>
          <w:p w14:paraId="1D610B77" w14:textId="77777777" w:rsidR="00E23746" w:rsidRPr="00FD08F8" w:rsidRDefault="00E23746" w:rsidP="004931F7">
            <w:pPr>
              <w:spacing w:after="0" w:line="240" w:lineRule="auto"/>
              <w:rPr>
                <w:rFonts w:eastAsia="Times New Roman" w:cs="Arial"/>
                <w:sz w:val="20"/>
                <w:szCs w:val="20"/>
                <w:lang w:val="es-MX" w:eastAsia="es-MX"/>
              </w:rPr>
            </w:pPr>
            <w:r w:rsidRPr="00FD08F8">
              <w:rPr>
                <w:rFonts w:eastAsia="Times New Roman" w:cs="Arial"/>
                <w:sz w:val="20"/>
                <w:szCs w:val="20"/>
                <w:lang w:val="es-MX" w:eastAsia="es-MX"/>
              </w:rPr>
              <w:t>Ampliar la cobertura de los programas de becas y apoyos compensatorios hacia grupos y zonas vulnerables rurales e indígenas</w:t>
            </w:r>
          </w:p>
        </w:tc>
        <w:tc>
          <w:tcPr>
            <w:tcW w:w="2835" w:type="dxa"/>
            <w:shd w:val="clear" w:color="auto" w:fill="auto"/>
            <w:hideMark/>
          </w:tcPr>
          <w:p w14:paraId="2F018E27" w14:textId="77777777" w:rsidR="00E23746" w:rsidRPr="00FD08F8" w:rsidRDefault="00E23746" w:rsidP="004931F7">
            <w:pPr>
              <w:spacing w:after="0" w:line="240" w:lineRule="auto"/>
              <w:rPr>
                <w:rFonts w:eastAsia="Times New Roman" w:cs="Arial"/>
                <w:sz w:val="20"/>
                <w:szCs w:val="20"/>
                <w:lang w:val="es-MX" w:eastAsia="es-MX"/>
              </w:rPr>
            </w:pPr>
            <w:r w:rsidRPr="00FD08F8">
              <w:rPr>
                <w:rFonts w:eastAsia="Times New Roman" w:cs="Arial"/>
                <w:sz w:val="20"/>
                <w:szCs w:val="20"/>
                <w:lang w:val="es-MX" w:eastAsia="es-MX"/>
              </w:rPr>
              <w:t>C02.A01 - Distribución útiles escolares a alumnos de educación básica  de localidades de alta y muy alta imanación.</w:t>
            </w:r>
          </w:p>
        </w:tc>
        <w:tc>
          <w:tcPr>
            <w:tcW w:w="2268" w:type="dxa"/>
            <w:shd w:val="clear" w:color="FFFFFF" w:fill="FFFFFF"/>
            <w:hideMark/>
          </w:tcPr>
          <w:p w14:paraId="69B7314D" w14:textId="77777777" w:rsidR="00E23746" w:rsidRPr="00FD08F8" w:rsidRDefault="00E23746" w:rsidP="004931F7">
            <w:pPr>
              <w:spacing w:after="0" w:line="240" w:lineRule="auto"/>
              <w:rPr>
                <w:rFonts w:eastAsia="Times New Roman" w:cs="Arial"/>
                <w:sz w:val="20"/>
                <w:szCs w:val="20"/>
                <w:lang w:val="es-MX" w:eastAsia="es-MX"/>
              </w:rPr>
            </w:pPr>
            <w:r>
              <w:rPr>
                <w:rFonts w:eastAsia="Times New Roman" w:cs="Arial"/>
                <w:sz w:val="20"/>
                <w:szCs w:val="20"/>
                <w:lang w:val="es-MX" w:eastAsia="es-MX"/>
              </w:rPr>
              <w:t>C02A01</w:t>
            </w:r>
            <w:r w:rsidRPr="00FD08F8">
              <w:rPr>
                <w:rFonts w:eastAsia="Times New Roman" w:cs="Arial"/>
                <w:sz w:val="20"/>
                <w:szCs w:val="20"/>
                <w:lang w:val="es-MX" w:eastAsia="es-MX"/>
              </w:rPr>
              <w:t xml:space="preserve"> - Porcentaje de alumnos y alumnas de educación básica de localidades de alta y muy alta marginación beneficiadas con útiles escolares.</w:t>
            </w:r>
          </w:p>
        </w:tc>
        <w:tc>
          <w:tcPr>
            <w:tcW w:w="2835" w:type="dxa"/>
            <w:shd w:val="clear" w:color="auto" w:fill="auto"/>
            <w:hideMark/>
          </w:tcPr>
          <w:p w14:paraId="33EB4D96" w14:textId="77777777" w:rsidR="00E23746" w:rsidRPr="00FD08F8" w:rsidRDefault="00E23746" w:rsidP="004931F7">
            <w:pPr>
              <w:spacing w:after="0" w:line="240" w:lineRule="auto"/>
              <w:rPr>
                <w:rFonts w:eastAsia="Times New Roman" w:cs="Arial"/>
                <w:sz w:val="20"/>
                <w:szCs w:val="20"/>
                <w:lang w:val="es-MX" w:eastAsia="es-MX"/>
              </w:rPr>
            </w:pPr>
            <w:r w:rsidRPr="00FD08F8">
              <w:rPr>
                <w:rFonts w:eastAsia="Times New Roman" w:cs="Arial"/>
                <w:sz w:val="20"/>
                <w:szCs w:val="20"/>
                <w:lang w:val="es-MX" w:eastAsia="es-MX"/>
              </w:rPr>
              <w:t>Informe final de distribución de útiles escolares,  https://qroo.gob.mx/seq/medios-de-verificacion-de-la-planeacion-anual</w:t>
            </w:r>
          </w:p>
        </w:tc>
        <w:tc>
          <w:tcPr>
            <w:tcW w:w="1985" w:type="dxa"/>
            <w:shd w:val="clear" w:color="auto" w:fill="auto"/>
            <w:hideMark/>
          </w:tcPr>
          <w:p w14:paraId="650C3B92" w14:textId="77777777" w:rsidR="00E23746" w:rsidRPr="00FD08F8" w:rsidRDefault="00E23746" w:rsidP="004931F7">
            <w:pPr>
              <w:spacing w:after="0" w:line="240" w:lineRule="auto"/>
              <w:rPr>
                <w:rFonts w:eastAsia="Times New Roman" w:cs="Arial"/>
                <w:sz w:val="20"/>
                <w:szCs w:val="20"/>
                <w:lang w:val="es-MX" w:eastAsia="es-MX"/>
              </w:rPr>
            </w:pPr>
            <w:r w:rsidRPr="00FD08F8">
              <w:rPr>
                <w:rFonts w:eastAsia="Times New Roman" w:cs="Arial"/>
                <w:sz w:val="20"/>
                <w:szCs w:val="20"/>
                <w:lang w:val="es-MX" w:eastAsia="es-MX"/>
              </w:rPr>
              <w:t>Los estudiantes de educación básica, mejoran sus condiciones educativas y obtienen mejor rendimiento académico con el uso del material entregado.</w:t>
            </w:r>
          </w:p>
        </w:tc>
      </w:tr>
    </w:tbl>
    <w:p w14:paraId="4FCE49DC" w14:textId="77777777" w:rsidR="00D47ED1" w:rsidRDefault="00D47ED1">
      <w:pPr>
        <w:spacing w:after="0" w:line="240" w:lineRule="auto"/>
        <w:jc w:val="left"/>
      </w:pPr>
      <w:r>
        <w:br w:type="page"/>
      </w:r>
    </w:p>
    <w:tbl>
      <w:tblPr>
        <w:tblW w:w="14029" w:type="dxa"/>
        <w:tblLayout w:type="fixed"/>
        <w:tblCellMar>
          <w:left w:w="70" w:type="dxa"/>
          <w:right w:w="70" w:type="dxa"/>
        </w:tblCellMar>
        <w:tblLook w:val="04A0" w:firstRow="1" w:lastRow="0" w:firstColumn="1" w:lastColumn="0" w:noHBand="0" w:noVBand="1"/>
      </w:tblPr>
      <w:tblGrid>
        <w:gridCol w:w="1413"/>
        <w:gridCol w:w="2693"/>
        <w:gridCol w:w="2835"/>
        <w:gridCol w:w="2268"/>
        <w:gridCol w:w="2835"/>
        <w:gridCol w:w="1985"/>
      </w:tblGrid>
      <w:tr w:rsidR="00E23746" w:rsidRPr="00FD08F8" w14:paraId="7B9360DE" w14:textId="77777777" w:rsidTr="00BF2AA6">
        <w:trPr>
          <w:trHeight w:val="679"/>
        </w:trPr>
        <w:tc>
          <w:tcPr>
            <w:tcW w:w="1413"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05CFFD87"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lastRenderedPageBreak/>
              <w:t>NIVEL</w:t>
            </w:r>
          </w:p>
        </w:tc>
        <w:tc>
          <w:tcPr>
            <w:tcW w:w="2693" w:type="dxa"/>
            <w:tcBorders>
              <w:top w:val="single" w:sz="4" w:space="0" w:color="auto"/>
              <w:left w:val="nil"/>
              <w:bottom w:val="single" w:sz="4" w:space="0" w:color="auto"/>
              <w:right w:val="single" w:sz="4" w:space="0" w:color="auto"/>
            </w:tcBorders>
            <w:shd w:val="clear" w:color="000000" w:fill="BFBFBF"/>
            <w:vAlign w:val="center"/>
            <w:hideMark/>
          </w:tcPr>
          <w:p w14:paraId="173DE635"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ALINEACIÓN PED/PD</w:t>
            </w:r>
          </w:p>
        </w:tc>
        <w:tc>
          <w:tcPr>
            <w:tcW w:w="2835" w:type="dxa"/>
            <w:tcBorders>
              <w:top w:val="single" w:sz="4" w:space="0" w:color="auto"/>
              <w:left w:val="nil"/>
              <w:bottom w:val="single" w:sz="4" w:space="0" w:color="auto"/>
              <w:right w:val="single" w:sz="4" w:space="0" w:color="auto"/>
            </w:tcBorders>
            <w:shd w:val="clear" w:color="000000" w:fill="BFBFBF"/>
            <w:vAlign w:val="center"/>
            <w:hideMark/>
          </w:tcPr>
          <w:p w14:paraId="3CB541A4"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OBJETIVO</w:t>
            </w:r>
          </w:p>
        </w:tc>
        <w:tc>
          <w:tcPr>
            <w:tcW w:w="2268" w:type="dxa"/>
            <w:tcBorders>
              <w:top w:val="single" w:sz="4" w:space="0" w:color="auto"/>
              <w:left w:val="nil"/>
              <w:bottom w:val="single" w:sz="4" w:space="0" w:color="auto"/>
              <w:right w:val="single" w:sz="4" w:space="0" w:color="auto"/>
            </w:tcBorders>
            <w:shd w:val="clear" w:color="000000" w:fill="BFBFBF"/>
            <w:vAlign w:val="center"/>
            <w:hideMark/>
          </w:tcPr>
          <w:p w14:paraId="10A407DF"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INDICADOR</w:t>
            </w:r>
          </w:p>
        </w:tc>
        <w:tc>
          <w:tcPr>
            <w:tcW w:w="2835" w:type="dxa"/>
            <w:tcBorders>
              <w:top w:val="single" w:sz="4" w:space="0" w:color="auto"/>
              <w:left w:val="nil"/>
              <w:bottom w:val="single" w:sz="4" w:space="0" w:color="auto"/>
              <w:right w:val="single" w:sz="4" w:space="0" w:color="auto"/>
            </w:tcBorders>
            <w:shd w:val="clear" w:color="000000" w:fill="BFBFBF"/>
            <w:vAlign w:val="center"/>
            <w:hideMark/>
          </w:tcPr>
          <w:p w14:paraId="7FCEC0F0"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MEDIOS DE VERIFICACIÓN</w:t>
            </w:r>
          </w:p>
        </w:tc>
        <w:tc>
          <w:tcPr>
            <w:tcW w:w="1985" w:type="dxa"/>
            <w:tcBorders>
              <w:top w:val="single" w:sz="4" w:space="0" w:color="auto"/>
              <w:left w:val="nil"/>
              <w:bottom w:val="single" w:sz="4" w:space="0" w:color="auto"/>
              <w:right w:val="single" w:sz="4" w:space="0" w:color="auto"/>
            </w:tcBorders>
            <w:shd w:val="clear" w:color="000000" w:fill="BFBFBF"/>
            <w:vAlign w:val="center"/>
            <w:hideMark/>
          </w:tcPr>
          <w:p w14:paraId="39CCA99B"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SUPUESTO</w:t>
            </w:r>
          </w:p>
        </w:tc>
      </w:tr>
      <w:tr w:rsidR="00E23746" w:rsidRPr="00FD08F8" w14:paraId="27A7EC25" w14:textId="77777777" w:rsidTr="00BF2AA6">
        <w:trPr>
          <w:trHeight w:val="2412"/>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14:paraId="5FF82260"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Componente</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4D4BB549" w14:textId="77777777" w:rsidR="00E23746" w:rsidRPr="00FD08F8" w:rsidRDefault="00E23746" w:rsidP="004931F7">
            <w:pPr>
              <w:spacing w:after="0" w:line="240" w:lineRule="auto"/>
              <w:rPr>
                <w:rFonts w:eastAsia="Times New Roman" w:cs="Arial"/>
                <w:sz w:val="20"/>
                <w:szCs w:val="20"/>
                <w:lang w:val="es-MX" w:eastAsia="es-MX"/>
              </w:rPr>
            </w:pPr>
            <w:r w:rsidRPr="00FD08F8">
              <w:rPr>
                <w:rFonts w:eastAsia="Times New Roman" w:cs="Arial"/>
                <w:sz w:val="20"/>
                <w:szCs w:val="20"/>
                <w:lang w:val="es-MX" w:eastAsia="es-MX"/>
              </w:rPr>
              <w:t>Realizar, al interior de las escuelas públicas, la entrega de útiles, mochilas y uniformes escolares gratuitos de nivel básico al inicio del ciclo escolar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C768763" w14:textId="77777777" w:rsidR="00E23746" w:rsidRPr="00FD08F8" w:rsidRDefault="00E23746" w:rsidP="004931F7">
            <w:pPr>
              <w:spacing w:after="0" w:line="240" w:lineRule="auto"/>
              <w:rPr>
                <w:rFonts w:eastAsia="Times New Roman" w:cs="Arial"/>
                <w:sz w:val="20"/>
                <w:szCs w:val="20"/>
                <w:lang w:val="es-MX" w:eastAsia="es-MX"/>
              </w:rPr>
            </w:pPr>
            <w:r w:rsidRPr="00FD08F8">
              <w:rPr>
                <w:rFonts w:eastAsia="Times New Roman" w:cs="Arial"/>
                <w:sz w:val="20"/>
                <w:szCs w:val="20"/>
                <w:lang w:val="es-MX" w:eastAsia="es-MX"/>
              </w:rPr>
              <w:t>C03 - Útiles y uniformes escolares gratuitos de nivel básico al inicio del ciclo escolar ent</w:t>
            </w:r>
            <w:r>
              <w:rPr>
                <w:rFonts w:eastAsia="Times New Roman" w:cs="Arial"/>
                <w:sz w:val="20"/>
                <w:szCs w:val="20"/>
                <w:lang w:val="es-MX" w:eastAsia="es-MX"/>
              </w:rPr>
              <w:t>r</w:t>
            </w:r>
            <w:r w:rsidRPr="00FD08F8">
              <w:rPr>
                <w:rFonts w:eastAsia="Times New Roman" w:cs="Arial"/>
                <w:sz w:val="20"/>
                <w:szCs w:val="20"/>
                <w:lang w:val="es-MX" w:eastAsia="es-MX"/>
              </w:rPr>
              <w:t>egados.</w:t>
            </w:r>
          </w:p>
        </w:tc>
        <w:tc>
          <w:tcPr>
            <w:tcW w:w="2268" w:type="dxa"/>
            <w:tcBorders>
              <w:top w:val="single" w:sz="4" w:space="0" w:color="auto"/>
              <w:left w:val="single" w:sz="4" w:space="0" w:color="auto"/>
              <w:bottom w:val="single" w:sz="4" w:space="0" w:color="auto"/>
              <w:right w:val="single" w:sz="4" w:space="0" w:color="auto"/>
            </w:tcBorders>
            <w:shd w:val="clear" w:color="FFFFFF" w:fill="FFFFFF"/>
            <w:hideMark/>
          </w:tcPr>
          <w:p w14:paraId="1A34C0F3" w14:textId="77777777" w:rsidR="00E23746" w:rsidRPr="00FD08F8" w:rsidRDefault="00E23746" w:rsidP="004931F7">
            <w:pPr>
              <w:spacing w:after="0" w:line="240" w:lineRule="auto"/>
              <w:rPr>
                <w:rFonts w:eastAsia="Times New Roman" w:cs="Arial"/>
                <w:sz w:val="20"/>
                <w:szCs w:val="20"/>
                <w:lang w:val="es-MX" w:eastAsia="es-MX"/>
              </w:rPr>
            </w:pPr>
            <w:r>
              <w:rPr>
                <w:rFonts w:eastAsia="Times New Roman" w:cs="Arial"/>
                <w:sz w:val="20"/>
                <w:szCs w:val="20"/>
                <w:lang w:val="es-MX" w:eastAsia="es-MX"/>
              </w:rPr>
              <w:t>C03</w:t>
            </w:r>
            <w:r w:rsidRPr="00FD08F8">
              <w:rPr>
                <w:rFonts w:eastAsia="Times New Roman" w:cs="Arial"/>
                <w:sz w:val="20"/>
                <w:szCs w:val="20"/>
                <w:lang w:val="es-MX" w:eastAsia="es-MX"/>
              </w:rPr>
              <w:t xml:space="preserve"> - Porcentaje de alumnos de educación básica (preescolar, primaria, telesecundaria), educación comunitaria del CONAFE y alumnos del CEDAR-Chetumal beneficiados con uniformes, mochilas y útiles escolares.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4DAF7FA" w14:textId="77777777" w:rsidR="00E23746" w:rsidRPr="00FD08F8" w:rsidRDefault="00E23746" w:rsidP="004931F7">
            <w:pPr>
              <w:spacing w:after="0" w:line="240" w:lineRule="auto"/>
              <w:rPr>
                <w:rFonts w:eastAsia="Times New Roman" w:cs="Arial"/>
                <w:sz w:val="20"/>
                <w:szCs w:val="20"/>
                <w:lang w:val="es-MX" w:eastAsia="es-MX"/>
              </w:rPr>
            </w:pPr>
            <w:r w:rsidRPr="00FD08F8">
              <w:rPr>
                <w:rFonts w:eastAsia="Times New Roman" w:cs="Arial"/>
                <w:sz w:val="20"/>
                <w:szCs w:val="20"/>
                <w:lang w:val="es-MX" w:eastAsia="es-MX"/>
              </w:rPr>
              <w:t>Concentrados finales de entrega de apoyos y Base de datos de control escolar de alumnos inscritos. https://qroo.gob.mx/seq/medios-de-verificacion-de-la-planeacion-anual</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0F681986" w14:textId="77777777" w:rsidR="00E23746" w:rsidRPr="00FD08F8" w:rsidRDefault="00E23746" w:rsidP="004931F7">
            <w:pPr>
              <w:spacing w:after="0" w:line="240" w:lineRule="auto"/>
              <w:rPr>
                <w:rFonts w:eastAsia="Times New Roman" w:cs="Arial"/>
                <w:sz w:val="20"/>
                <w:szCs w:val="20"/>
                <w:lang w:val="es-MX" w:eastAsia="es-MX"/>
              </w:rPr>
            </w:pPr>
            <w:r w:rsidRPr="00FD08F8">
              <w:rPr>
                <w:rFonts w:eastAsia="Times New Roman" w:cs="Arial"/>
                <w:sz w:val="20"/>
                <w:szCs w:val="20"/>
                <w:lang w:val="es-MX" w:eastAsia="es-MX"/>
              </w:rPr>
              <w:t>Los proveedores entregan las mochilas, útiles y uniformes escolares en tiempo y forma.</w:t>
            </w:r>
          </w:p>
        </w:tc>
      </w:tr>
      <w:tr w:rsidR="00E23746" w:rsidRPr="00FD08F8" w14:paraId="0ED499AE" w14:textId="77777777" w:rsidTr="00BF2AA6">
        <w:trPr>
          <w:trHeight w:val="2412"/>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14:paraId="701AFF56"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Actividad</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56C27369" w14:textId="77777777" w:rsidR="00E23746" w:rsidRPr="00FD08F8" w:rsidRDefault="00E23746" w:rsidP="004931F7">
            <w:pPr>
              <w:spacing w:after="0" w:line="240" w:lineRule="auto"/>
              <w:rPr>
                <w:rFonts w:eastAsia="Times New Roman" w:cs="Arial"/>
                <w:sz w:val="20"/>
                <w:szCs w:val="20"/>
                <w:lang w:val="es-MX" w:eastAsia="es-MX"/>
              </w:rPr>
            </w:pPr>
            <w:r w:rsidRPr="00FD08F8">
              <w:rPr>
                <w:rFonts w:eastAsia="Times New Roman" w:cs="Arial"/>
                <w:sz w:val="20"/>
                <w:szCs w:val="20"/>
                <w:lang w:val="es-MX" w:eastAsia="es-MX"/>
              </w:rPr>
              <w:t>Realizar, al interior de las escuelas públicas, la entrega de útiles, mochilas y uniformes escolares gratuitos de nivel básico al inicio del ciclo escolar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CD27602" w14:textId="77777777" w:rsidR="00E23746" w:rsidRPr="00FD08F8" w:rsidRDefault="00E23746" w:rsidP="004931F7">
            <w:pPr>
              <w:spacing w:after="0" w:line="240" w:lineRule="auto"/>
              <w:rPr>
                <w:rFonts w:eastAsia="Times New Roman" w:cs="Arial"/>
                <w:sz w:val="20"/>
                <w:szCs w:val="20"/>
                <w:lang w:val="es-MX" w:eastAsia="es-MX"/>
              </w:rPr>
            </w:pPr>
            <w:r w:rsidRPr="00FD08F8">
              <w:rPr>
                <w:rFonts w:eastAsia="Times New Roman" w:cs="Arial"/>
                <w:sz w:val="20"/>
                <w:szCs w:val="20"/>
                <w:lang w:val="es-MX" w:eastAsia="es-MX"/>
              </w:rPr>
              <w:t>C03.A01 - Distribución de mochilas y útiles escolares a alumnos y alumnas de educación primaria.</w:t>
            </w:r>
          </w:p>
        </w:tc>
        <w:tc>
          <w:tcPr>
            <w:tcW w:w="2268" w:type="dxa"/>
            <w:tcBorders>
              <w:top w:val="single" w:sz="4" w:space="0" w:color="auto"/>
              <w:left w:val="single" w:sz="4" w:space="0" w:color="auto"/>
              <w:bottom w:val="single" w:sz="4" w:space="0" w:color="auto"/>
              <w:right w:val="single" w:sz="4" w:space="0" w:color="auto"/>
            </w:tcBorders>
            <w:shd w:val="clear" w:color="FFFFFF" w:fill="FFFFFF"/>
            <w:hideMark/>
          </w:tcPr>
          <w:p w14:paraId="31061606" w14:textId="77777777" w:rsidR="00E23746" w:rsidRPr="00FD08F8" w:rsidRDefault="00E23746" w:rsidP="004931F7">
            <w:pPr>
              <w:spacing w:after="0" w:line="240" w:lineRule="auto"/>
              <w:rPr>
                <w:rFonts w:eastAsia="Times New Roman" w:cs="Arial"/>
                <w:sz w:val="20"/>
                <w:szCs w:val="20"/>
                <w:lang w:val="es-MX" w:eastAsia="es-MX"/>
              </w:rPr>
            </w:pPr>
            <w:r>
              <w:rPr>
                <w:rFonts w:eastAsia="Times New Roman" w:cs="Arial"/>
                <w:sz w:val="20"/>
                <w:szCs w:val="20"/>
                <w:lang w:val="es-MX" w:eastAsia="es-MX"/>
              </w:rPr>
              <w:t>C03A01</w:t>
            </w:r>
            <w:r w:rsidRPr="00FD08F8">
              <w:rPr>
                <w:rFonts w:eastAsia="Times New Roman" w:cs="Arial"/>
                <w:sz w:val="20"/>
                <w:szCs w:val="20"/>
                <w:lang w:val="es-MX" w:eastAsia="es-MX"/>
              </w:rPr>
              <w:t xml:space="preserve"> - Porcentaje de alumnos y alumnas de educación primaria que reciben mochilas y útiles escolares.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187C237" w14:textId="77777777" w:rsidR="00E23746" w:rsidRPr="00FD08F8" w:rsidRDefault="00E23746" w:rsidP="004931F7">
            <w:pPr>
              <w:spacing w:after="0" w:line="240" w:lineRule="auto"/>
              <w:rPr>
                <w:rFonts w:eastAsia="Times New Roman" w:cs="Arial"/>
                <w:sz w:val="20"/>
                <w:szCs w:val="20"/>
                <w:lang w:val="es-MX" w:eastAsia="es-MX"/>
              </w:rPr>
            </w:pPr>
            <w:r w:rsidRPr="00FD08F8">
              <w:rPr>
                <w:rFonts w:eastAsia="Times New Roman" w:cs="Arial"/>
                <w:sz w:val="20"/>
                <w:szCs w:val="20"/>
                <w:lang w:val="es-MX" w:eastAsia="es-MX"/>
              </w:rPr>
              <w:t>Concentrado de mochilas y útiles escolares entregados. https://qroo.gob.mx/seq/medios-de-verificacion-de-la-planeacion-anual</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6032903F" w14:textId="77777777" w:rsidR="00E23746" w:rsidRPr="00FD08F8" w:rsidRDefault="00E23746" w:rsidP="004931F7">
            <w:pPr>
              <w:spacing w:after="0" w:line="240" w:lineRule="auto"/>
              <w:rPr>
                <w:rFonts w:eastAsia="Times New Roman" w:cs="Arial"/>
                <w:sz w:val="20"/>
                <w:szCs w:val="20"/>
                <w:lang w:val="es-MX" w:eastAsia="es-MX"/>
              </w:rPr>
            </w:pPr>
            <w:r w:rsidRPr="00FD08F8">
              <w:rPr>
                <w:rFonts w:eastAsia="Times New Roman" w:cs="Arial"/>
                <w:sz w:val="20"/>
                <w:szCs w:val="20"/>
                <w:lang w:val="es-MX" w:eastAsia="es-MX"/>
              </w:rPr>
              <w:t>Los alumnos y alumnas hacen uso adecuado de los útiles y mochilas escolares.</w:t>
            </w:r>
          </w:p>
        </w:tc>
      </w:tr>
      <w:tr w:rsidR="00E23746" w:rsidRPr="00FD08F8" w14:paraId="3FDD7025" w14:textId="77777777" w:rsidTr="00BF2AA6">
        <w:trPr>
          <w:trHeight w:val="1826"/>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14:paraId="0D18650E"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Actividad</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7BE99071" w14:textId="77777777" w:rsidR="00E23746" w:rsidRPr="00FD08F8" w:rsidRDefault="00E23746" w:rsidP="004931F7">
            <w:pPr>
              <w:spacing w:after="0" w:line="240" w:lineRule="auto"/>
              <w:rPr>
                <w:rFonts w:eastAsia="Times New Roman" w:cs="Arial"/>
                <w:sz w:val="20"/>
                <w:szCs w:val="20"/>
                <w:lang w:val="es-MX" w:eastAsia="es-MX"/>
              </w:rPr>
            </w:pPr>
            <w:r w:rsidRPr="00FD08F8">
              <w:rPr>
                <w:rFonts w:eastAsia="Times New Roman" w:cs="Arial"/>
                <w:sz w:val="20"/>
                <w:szCs w:val="20"/>
                <w:lang w:val="es-MX" w:eastAsia="es-MX"/>
              </w:rPr>
              <w:t>Realizar, al interior de las escuelas públicas, la entrega de útiles, mochilas y uniformes escolares gratuitos de nivel básico al inicio del ciclo escolar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A572E65" w14:textId="77777777" w:rsidR="00E23746" w:rsidRPr="00FD08F8" w:rsidRDefault="00E23746" w:rsidP="004931F7">
            <w:pPr>
              <w:spacing w:after="0" w:line="240" w:lineRule="auto"/>
              <w:rPr>
                <w:rFonts w:eastAsia="Times New Roman" w:cs="Arial"/>
                <w:sz w:val="20"/>
                <w:szCs w:val="20"/>
                <w:lang w:val="es-MX" w:eastAsia="es-MX"/>
              </w:rPr>
            </w:pPr>
            <w:r w:rsidRPr="00FD08F8">
              <w:rPr>
                <w:rFonts w:eastAsia="Times New Roman" w:cs="Arial"/>
                <w:sz w:val="20"/>
                <w:szCs w:val="20"/>
                <w:lang w:val="es-MX" w:eastAsia="es-MX"/>
              </w:rPr>
              <w:t>C03.A02 - Distribución de uniformes escolares a alumnos de educación básica (preescolar, primaria y telesecundaria) educación comunitaria del CONAFE y alumnos del CEDAR-Chetumal.</w:t>
            </w:r>
          </w:p>
        </w:tc>
        <w:tc>
          <w:tcPr>
            <w:tcW w:w="2268" w:type="dxa"/>
            <w:tcBorders>
              <w:top w:val="single" w:sz="4" w:space="0" w:color="auto"/>
              <w:left w:val="single" w:sz="4" w:space="0" w:color="auto"/>
              <w:bottom w:val="single" w:sz="4" w:space="0" w:color="auto"/>
              <w:right w:val="single" w:sz="4" w:space="0" w:color="auto"/>
            </w:tcBorders>
            <w:shd w:val="clear" w:color="FFFFFF" w:fill="FFFFFF"/>
            <w:hideMark/>
          </w:tcPr>
          <w:p w14:paraId="0D9BAF89" w14:textId="77777777" w:rsidR="00E23746" w:rsidRPr="00FD08F8" w:rsidRDefault="00E23746" w:rsidP="004931F7">
            <w:pPr>
              <w:spacing w:after="0" w:line="240" w:lineRule="auto"/>
              <w:rPr>
                <w:rFonts w:eastAsia="Times New Roman" w:cs="Arial"/>
                <w:sz w:val="20"/>
                <w:szCs w:val="20"/>
                <w:lang w:val="es-MX" w:eastAsia="es-MX"/>
              </w:rPr>
            </w:pPr>
            <w:r>
              <w:rPr>
                <w:rFonts w:eastAsia="Times New Roman" w:cs="Arial"/>
                <w:sz w:val="20"/>
                <w:szCs w:val="20"/>
                <w:lang w:val="es-MX" w:eastAsia="es-MX"/>
              </w:rPr>
              <w:t>C03A02</w:t>
            </w:r>
            <w:r w:rsidRPr="00FD08F8">
              <w:rPr>
                <w:rFonts w:eastAsia="Times New Roman" w:cs="Arial"/>
                <w:sz w:val="20"/>
                <w:szCs w:val="20"/>
                <w:lang w:val="es-MX" w:eastAsia="es-MX"/>
              </w:rPr>
              <w:t xml:space="preserve"> - Porcentaje de alumnos y alumnas de preescolar, primaria, telesecundaria y educación comunitaria del CONAFE que reciben uniformes escolares </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8A9E241" w14:textId="77777777" w:rsidR="00E23746" w:rsidRPr="00FD08F8" w:rsidRDefault="00E23746" w:rsidP="004931F7">
            <w:pPr>
              <w:spacing w:after="0" w:line="240" w:lineRule="auto"/>
              <w:rPr>
                <w:rFonts w:eastAsia="Times New Roman" w:cs="Arial"/>
                <w:sz w:val="20"/>
                <w:szCs w:val="20"/>
                <w:lang w:val="es-MX" w:eastAsia="es-MX"/>
              </w:rPr>
            </w:pPr>
            <w:r w:rsidRPr="00FD08F8">
              <w:rPr>
                <w:rFonts w:eastAsia="Times New Roman" w:cs="Arial"/>
                <w:sz w:val="20"/>
                <w:szCs w:val="20"/>
                <w:lang w:val="es-MX" w:eastAsia="es-MX"/>
              </w:rPr>
              <w:t>Concentrado de uniformes entregados. https://qroo.gob.mx/seq/medios-de-verificacion-de-la-planeacion-anual</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18599608" w14:textId="77777777" w:rsidR="00E23746" w:rsidRPr="00FD08F8" w:rsidRDefault="00E23746" w:rsidP="004931F7">
            <w:pPr>
              <w:spacing w:after="0" w:line="240" w:lineRule="auto"/>
              <w:rPr>
                <w:rFonts w:eastAsia="Times New Roman" w:cs="Arial"/>
                <w:sz w:val="20"/>
                <w:szCs w:val="20"/>
                <w:lang w:val="es-MX" w:eastAsia="es-MX"/>
              </w:rPr>
            </w:pPr>
            <w:r w:rsidRPr="00FD08F8">
              <w:rPr>
                <w:rFonts w:eastAsia="Times New Roman" w:cs="Arial"/>
                <w:sz w:val="20"/>
                <w:szCs w:val="20"/>
                <w:lang w:val="es-MX" w:eastAsia="es-MX"/>
              </w:rPr>
              <w:t>Los alumnos y las alumnas reciben su uniforme escolar</w:t>
            </w:r>
          </w:p>
        </w:tc>
      </w:tr>
      <w:tr w:rsidR="00E23746" w:rsidRPr="00FD08F8" w14:paraId="54B0B45F" w14:textId="77777777" w:rsidTr="00BF2AA6">
        <w:trPr>
          <w:trHeight w:val="679"/>
        </w:trPr>
        <w:tc>
          <w:tcPr>
            <w:tcW w:w="1413"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2D2420F9"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lastRenderedPageBreak/>
              <w:t>NIVEL</w:t>
            </w:r>
          </w:p>
        </w:tc>
        <w:tc>
          <w:tcPr>
            <w:tcW w:w="2693" w:type="dxa"/>
            <w:tcBorders>
              <w:top w:val="single" w:sz="4" w:space="0" w:color="auto"/>
              <w:left w:val="nil"/>
              <w:bottom w:val="single" w:sz="4" w:space="0" w:color="auto"/>
              <w:right w:val="single" w:sz="4" w:space="0" w:color="auto"/>
            </w:tcBorders>
            <w:shd w:val="clear" w:color="000000" w:fill="BFBFBF"/>
            <w:vAlign w:val="center"/>
            <w:hideMark/>
          </w:tcPr>
          <w:p w14:paraId="5E11A8A7"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ALINEACIÓN PED/PD</w:t>
            </w:r>
          </w:p>
        </w:tc>
        <w:tc>
          <w:tcPr>
            <w:tcW w:w="2835" w:type="dxa"/>
            <w:tcBorders>
              <w:top w:val="single" w:sz="4" w:space="0" w:color="auto"/>
              <w:left w:val="nil"/>
              <w:bottom w:val="single" w:sz="4" w:space="0" w:color="auto"/>
              <w:right w:val="single" w:sz="4" w:space="0" w:color="auto"/>
            </w:tcBorders>
            <w:shd w:val="clear" w:color="000000" w:fill="BFBFBF"/>
            <w:vAlign w:val="center"/>
            <w:hideMark/>
          </w:tcPr>
          <w:p w14:paraId="667FF159"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OBJETIVO</w:t>
            </w:r>
          </w:p>
        </w:tc>
        <w:tc>
          <w:tcPr>
            <w:tcW w:w="2268" w:type="dxa"/>
            <w:tcBorders>
              <w:top w:val="single" w:sz="4" w:space="0" w:color="auto"/>
              <w:left w:val="nil"/>
              <w:bottom w:val="single" w:sz="4" w:space="0" w:color="auto"/>
              <w:right w:val="single" w:sz="4" w:space="0" w:color="auto"/>
            </w:tcBorders>
            <w:shd w:val="clear" w:color="000000" w:fill="BFBFBF"/>
            <w:vAlign w:val="center"/>
            <w:hideMark/>
          </w:tcPr>
          <w:p w14:paraId="555AC5A3"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INDICADOR</w:t>
            </w:r>
          </w:p>
        </w:tc>
        <w:tc>
          <w:tcPr>
            <w:tcW w:w="2835" w:type="dxa"/>
            <w:tcBorders>
              <w:top w:val="single" w:sz="4" w:space="0" w:color="auto"/>
              <w:left w:val="nil"/>
              <w:bottom w:val="single" w:sz="4" w:space="0" w:color="auto"/>
              <w:right w:val="single" w:sz="4" w:space="0" w:color="auto"/>
            </w:tcBorders>
            <w:shd w:val="clear" w:color="000000" w:fill="BFBFBF"/>
            <w:vAlign w:val="center"/>
            <w:hideMark/>
          </w:tcPr>
          <w:p w14:paraId="165CE40C"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MEDIOS DE VERIFICACIÓN</w:t>
            </w:r>
          </w:p>
        </w:tc>
        <w:tc>
          <w:tcPr>
            <w:tcW w:w="1985" w:type="dxa"/>
            <w:tcBorders>
              <w:top w:val="single" w:sz="4" w:space="0" w:color="auto"/>
              <w:left w:val="nil"/>
              <w:bottom w:val="single" w:sz="4" w:space="0" w:color="auto"/>
              <w:right w:val="single" w:sz="4" w:space="0" w:color="auto"/>
            </w:tcBorders>
            <w:shd w:val="clear" w:color="000000" w:fill="BFBFBF"/>
            <w:vAlign w:val="center"/>
            <w:hideMark/>
          </w:tcPr>
          <w:p w14:paraId="04A54E12"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SUPUESTO</w:t>
            </w:r>
          </w:p>
        </w:tc>
      </w:tr>
      <w:tr w:rsidR="00E23746" w:rsidRPr="00FD08F8" w14:paraId="1435EF95" w14:textId="77777777" w:rsidTr="00BF2AA6">
        <w:trPr>
          <w:trHeight w:val="2115"/>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14:paraId="1A048452"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Componente</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3A54EF2B" w14:textId="77777777" w:rsidR="00E23746" w:rsidRPr="00FD08F8" w:rsidRDefault="00E23746" w:rsidP="004931F7">
            <w:pPr>
              <w:spacing w:after="0" w:line="240" w:lineRule="auto"/>
              <w:rPr>
                <w:rFonts w:eastAsia="Times New Roman" w:cs="Arial"/>
                <w:sz w:val="20"/>
                <w:szCs w:val="20"/>
                <w:lang w:val="es-MX" w:eastAsia="es-MX"/>
              </w:rPr>
            </w:pPr>
            <w:r w:rsidRPr="00FD08F8">
              <w:rPr>
                <w:rFonts w:eastAsia="Times New Roman" w:cs="Arial"/>
                <w:sz w:val="20"/>
                <w:szCs w:val="20"/>
                <w:lang w:val="es-MX" w:eastAsia="es-MX"/>
              </w:rPr>
              <w:t>Reorientar el programa de becas e incentivos para otorgarlas a alumnos de escasos recursos a fin de que concluyan sus estudios.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76812FE" w14:textId="77777777" w:rsidR="00E23746" w:rsidRPr="00FD08F8" w:rsidRDefault="00E23746" w:rsidP="004931F7">
            <w:pPr>
              <w:spacing w:after="0" w:line="240" w:lineRule="auto"/>
              <w:rPr>
                <w:rFonts w:eastAsia="Times New Roman" w:cs="Arial"/>
                <w:sz w:val="20"/>
                <w:szCs w:val="20"/>
                <w:lang w:val="es-MX" w:eastAsia="es-MX"/>
              </w:rPr>
            </w:pPr>
            <w:r w:rsidRPr="00FD08F8">
              <w:rPr>
                <w:rFonts w:eastAsia="Times New Roman" w:cs="Arial"/>
                <w:sz w:val="20"/>
                <w:szCs w:val="20"/>
                <w:lang w:val="es-MX" w:eastAsia="es-MX"/>
              </w:rPr>
              <w:t>C04 - Alumnos de educación básica beneficiados con una beca que concluyen el ciclo escolar.</w:t>
            </w:r>
          </w:p>
        </w:tc>
        <w:tc>
          <w:tcPr>
            <w:tcW w:w="2268" w:type="dxa"/>
            <w:tcBorders>
              <w:top w:val="single" w:sz="4" w:space="0" w:color="auto"/>
              <w:left w:val="single" w:sz="4" w:space="0" w:color="auto"/>
              <w:bottom w:val="single" w:sz="4" w:space="0" w:color="auto"/>
              <w:right w:val="single" w:sz="4" w:space="0" w:color="auto"/>
            </w:tcBorders>
            <w:shd w:val="clear" w:color="FFFFFF" w:fill="FFFFFF"/>
            <w:hideMark/>
          </w:tcPr>
          <w:p w14:paraId="1EAD9A54" w14:textId="77777777" w:rsidR="00E23746" w:rsidRPr="00FD08F8" w:rsidRDefault="00E23746" w:rsidP="004931F7">
            <w:pPr>
              <w:spacing w:after="0" w:line="240" w:lineRule="auto"/>
              <w:rPr>
                <w:rFonts w:eastAsia="Times New Roman" w:cs="Arial"/>
                <w:sz w:val="20"/>
                <w:szCs w:val="20"/>
                <w:lang w:val="es-MX" w:eastAsia="es-MX"/>
              </w:rPr>
            </w:pPr>
            <w:r>
              <w:rPr>
                <w:rFonts w:eastAsia="Times New Roman" w:cs="Arial"/>
                <w:sz w:val="20"/>
                <w:szCs w:val="20"/>
                <w:lang w:val="es-MX" w:eastAsia="es-MX"/>
              </w:rPr>
              <w:t>C04</w:t>
            </w:r>
            <w:r w:rsidRPr="00FD08F8">
              <w:rPr>
                <w:rFonts w:eastAsia="Times New Roman" w:cs="Arial"/>
                <w:sz w:val="20"/>
                <w:szCs w:val="20"/>
                <w:lang w:val="es-MX" w:eastAsia="es-MX"/>
              </w:rPr>
              <w:t xml:space="preserve"> - Porcentaje de estudiantes de educación básica beneficiados con una beca que concluyen el ciclo escolar.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5064C41" w14:textId="77777777" w:rsidR="00E23746" w:rsidRPr="00FD08F8" w:rsidRDefault="00E23746" w:rsidP="004931F7">
            <w:pPr>
              <w:spacing w:after="0" w:line="240" w:lineRule="auto"/>
              <w:rPr>
                <w:rFonts w:eastAsia="Times New Roman" w:cs="Arial"/>
                <w:sz w:val="20"/>
                <w:szCs w:val="20"/>
                <w:lang w:val="es-MX" w:eastAsia="es-MX"/>
              </w:rPr>
            </w:pPr>
            <w:r w:rsidRPr="00FD08F8">
              <w:rPr>
                <w:rFonts w:eastAsia="Times New Roman" w:cs="Arial"/>
                <w:sz w:val="20"/>
                <w:szCs w:val="20"/>
                <w:lang w:val="es-MX" w:eastAsia="es-MX"/>
              </w:rPr>
              <w:t>Base de datos de estudiantes seleccionados en los programas de la Dirección de becas. https://qroo.gob.mx/seq/medios-de-verificacion-de-la-planeacion-anual</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5DA814E1" w14:textId="77777777" w:rsidR="00E23746" w:rsidRPr="00FD08F8" w:rsidRDefault="00E23746" w:rsidP="004931F7">
            <w:pPr>
              <w:spacing w:after="0" w:line="240" w:lineRule="auto"/>
              <w:rPr>
                <w:rFonts w:eastAsia="Times New Roman" w:cs="Arial"/>
                <w:sz w:val="20"/>
                <w:szCs w:val="20"/>
                <w:lang w:val="es-MX" w:eastAsia="es-MX"/>
              </w:rPr>
            </w:pPr>
            <w:r w:rsidRPr="00FD08F8">
              <w:rPr>
                <w:rFonts w:eastAsia="Times New Roman" w:cs="Arial"/>
                <w:sz w:val="20"/>
                <w:szCs w:val="20"/>
                <w:lang w:val="es-MX" w:eastAsia="es-MX"/>
              </w:rPr>
              <w:t>Todos los alumnos de educación básica beneficiados con los programas de becas en nivel básico, concluyen el ciclo escolar.</w:t>
            </w:r>
          </w:p>
        </w:tc>
      </w:tr>
      <w:tr w:rsidR="00E23746" w:rsidRPr="00FD08F8" w14:paraId="5B82C2DD" w14:textId="77777777" w:rsidTr="00BF2AA6">
        <w:trPr>
          <w:trHeight w:val="1809"/>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14:paraId="7434D38F"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Actividad</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29A50A24" w14:textId="77777777" w:rsidR="00E23746" w:rsidRPr="00FD08F8" w:rsidRDefault="00E23746" w:rsidP="004931F7">
            <w:pPr>
              <w:spacing w:after="0" w:line="240" w:lineRule="auto"/>
              <w:rPr>
                <w:rFonts w:eastAsia="Times New Roman" w:cs="Arial"/>
                <w:sz w:val="20"/>
                <w:szCs w:val="20"/>
                <w:lang w:val="es-MX" w:eastAsia="es-MX"/>
              </w:rPr>
            </w:pPr>
            <w:r w:rsidRPr="00FD08F8">
              <w:rPr>
                <w:rFonts w:eastAsia="Times New Roman" w:cs="Arial"/>
                <w:sz w:val="20"/>
                <w:szCs w:val="20"/>
                <w:lang w:val="es-MX" w:eastAsia="es-MX"/>
              </w:rPr>
              <w:t>Reorientar el programa de becas e incentivos para otorgarlas a alumnos de escasos recursos a fin de que concluyan sus estudios.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B82BDDA" w14:textId="77777777" w:rsidR="00E23746" w:rsidRPr="00FD08F8" w:rsidRDefault="00E23746" w:rsidP="004931F7">
            <w:pPr>
              <w:spacing w:after="0" w:line="240" w:lineRule="auto"/>
              <w:rPr>
                <w:rFonts w:eastAsia="Times New Roman" w:cs="Arial"/>
                <w:sz w:val="20"/>
                <w:szCs w:val="20"/>
                <w:lang w:val="es-MX" w:eastAsia="es-MX"/>
              </w:rPr>
            </w:pPr>
            <w:r w:rsidRPr="00FD08F8">
              <w:rPr>
                <w:rFonts w:eastAsia="Times New Roman" w:cs="Arial"/>
                <w:sz w:val="20"/>
                <w:szCs w:val="20"/>
                <w:lang w:val="es-MX" w:eastAsia="es-MX"/>
              </w:rPr>
              <w:t>C04.A01 - Atención de solicitudes de alumnos para el otorgamiento de una beca.</w:t>
            </w:r>
          </w:p>
        </w:tc>
        <w:tc>
          <w:tcPr>
            <w:tcW w:w="2268" w:type="dxa"/>
            <w:tcBorders>
              <w:top w:val="single" w:sz="4" w:space="0" w:color="auto"/>
              <w:left w:val="single" w:sz="4" w:space="0" w:color="auto"/>
              <w:bottom w:val="single" w:sz="4" w:space="0" w:color="auto"/>
              <w:right w:val="single" w:sz="4" w:space="0" w:color="auto"/>
            </w:tcBorders>
            <w:shd w:val="clear" w:color="FFFFFF" w:fill="FFFFFF"/>
            <w:hideMark/>
          </w:tcPr>
          <w:p w14:paraId="21BA2592" w14:textId="77777777" w:rsidR="00E23746" w:rsidRPr="00FD08F8" w:rsidRDefault="00E23746" w:rsidP="004931F7">
            <w:pPr>
              <w:spacing w:after="0" w:line="240" w:lineRule="auto"/>
              <w:rPr>
                <w:rFonts w:eastAsia="Times New Roman" w:cs="Arial"/>
                <w:sz w:val="20"/>
                <w:szCs w:val="20"/>
                <w:lang w:val="es-MX" w:eastAsia="es-MX"/>
              </w:rPr>
            </w:pPr>
            <w:r>
              <w:rPr>
                <w:rFonts w:eastAsia="Times New Roman" w:cs="Arial"/>
                <w:sz w:val="20"/>
                <w:szCs w:val="20"/>
                <w:lang w:val="es-MX" w:eastAsia="es-MX"/>
              </w:rPr>
              <w:t>C04A01</w:t>
            </w:r>
            <w:r w:rsidRPr="00FD08F8">
              <w:rPr>
                <w:rFonts w:eastAsia="Times New Roman" w:cs="Arial"/>
                <w:sz w:val="20"/>
                <w:szCs w:val="20"/>
                <w:lang w:val="es-MX" w:eastAsia="es-MX"/>
              </w:rPr>
              <w:t xml:space="preserve"> - Porcentaje de alumnos y alumnas de nivel básico que obtienen una beca.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D400F8D" w14:textId="77777777" w:rsidR="00E23746" w:rsidRPr="00FD08F8" w:rsidRDefault="00E23746" w:rsidP="004931F7">
            <w:pPr>
              <w:spacing w:after="0" w:line="240" w:lineRule="auto"/>
              <w:rPr>
                <w:rFonts w:eastAsia="Times New Roman" w:cs="Arial"/>
                <w:sz w:val="20"/>
                <w:szCs w:val="20"/>
                <w:lang w:val="es-MX" w:eastAsia="es-MX"/>
              </w:rPr>
            </w:pPr>
            <w:r w:rsidRPr="00FD08F8">
              <w:rPr>
                <w:rFonts w:eastAsia="Times New Roman" w:cs="Arial"/>
                <w:sz w:val="20"/>
                <w:szCs w:val="20"/>
                <w:lang w:val="es-MX" w:eastAsia="es-MX"/>
              </w:rPr>
              <w:t>Padrón de beneficiarios del programa de becas académicas del ciclo escolar 2018-2019, https://qroo.gob.mx/seq/medios-de-verificacion-de-la-planeacion-anual</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1DA1994C" w14:textId="77777777" w:rsidR="00E23746" w:rsidRPr="00FD08F8" w:rsidRDefault="00E23746" w:rsidP="004931F7">
            <w:pPr>
              <w:spacing w:after="0" w:line="240" w:lineRule="auto"/>
              <w:rPr>
                <w:rFonts w:eastAsia="Times New Roman" w:cs="Arial"/>
                <w:sz w:val="20"/>
                <w:szCs w:val="20"/>
                <w:lang w:val="es-MX" w:eastAsia="es-MX"/>
              </w:rPr>
            </w:pPr>
            <w:r w:rsidRPr="00FD08F8">
              <w:rPr>
                <w:rFonts w:eastAsia="Times New Roman" w:cs="Arial"/>
                <w:sz w:val="20"/>
                <w:szCs w:val="20"/>
                <w:lang w:val="es-MX" w:eastAsia="es-MX"/>
              </w:rPr>
              <w:t>Padres de familia y estudiantes realizan su solicitud de Beca, en los periodos establecidos en las convocatorias.</w:t>
            </w:r>
          </w:p>
        </w:tc>
      </w:tr>
    </w:tbl>
    <w:p w14:paraId="427A7259" w14:textId="77777777" w:rsidR="00E23746" w:rsidRDefault="00E23746" w:rsidP="00E23746">
      <w:pPr>
        <w:rPr>
          <w:rFonts w:eastAsia="Calibri" w:cs="Arial"/>
          <w:bCs/>
          <w:color w:val="595959" w:themeColor="text1" w:themeTint="A6"/>
          <w:sz w:val="18"/>
          <w:szCs w:val="20"/>
        </w:rPr>
      </w:pPr>
      <w:r w:rsidRPr="0093279A">
        <w:rPr>
          <w:rFonts w:eastAsia="Calibri" w:cs="Arial"/>
          <w:bCs/>
          <w:color w:val="595959" w:themeColor="text1" w:themeTint="A6"/>
          <w:sz w:val="18"/>
          <w:szCs w:val="20"/>
        </w:rPr>
        <w:t>El anexo aquí presentado es perfectible, y se encuentra susceptible de modificaciones programáticas toda vez que así se le indique por observaciones de auditorías, evaluaciones al desempeño y revisiones de la Secretaría de Finanzas y Planeación antes y durante el ejercicio fiscal del que se trate, así como también, cuando las condiciones del Ente Público responsable de dicha información programática requiera hacer modificaciones a sus necesidades institucionales, atendiendo a lo establecido en los Lineamientos para la Creación, Modificación y Cancelación de Programas Presupuestarios y para la Modificación de Metas del Gobierno del Estado de Quintana Roo.</w:t>
      </w:r>
    </w:p>
    <w:p w14:paraId="1218E102" w14:textId="77777777" w:rsidR="00E23746" w:rsidRDefault="00E23746" w:rsidP="00E23746">
      <w:pPr>
        <w:rPr>
          <w:rFonts w:eastAsia="Calibri" w:cs="Arial"/>
          <w:bCs/>
          <w:color w:val="595959" w:themeColor="text1" w:themeTint="A6"/>
          <w:sz w:val="18"/>
          <w:szCs w:val="20"/>
        </w:rPr>
      </w:pPr>
      <w:r>
        <w:rPr>
          <w:rFonts w:eastAsia="Calibri" w:cs="Arial"/>
          <w:bCs/>
          <w:color w:val="595959" w:themeColor="text1" w:themeTint="A6"/>
          <w:sz w:val="18"/>
          <w:szCs w:val="20"/>
        </w:rPr>
        <w:br w:type="page"/>
      </w:r>
    </w:p>
    <w:tbl>
      <w:tblPr>
        <w:tblW w:w="14029" w:type="dxa"/>
        <w:tblLayout w:type="fixed"/>
        <w:tblCellMar>
          <w:left w:w="70" w:type="dxa"/>
          <w:right w:w="70" w:type="dxa"/>
        </w:tblCellMar>
        <w:tblLook w:val="04A0" w:firstRow="1" w:lastRow="0" w:firstColumn="1" w:lastColumn="0" w:noHBand="0" w:noVBand="1"/>
      </w:tblPr>
      <w:tblGrid>
        <w:gridCol w:w="1271"/>
        <w:gridCol w:w="2835"/>
        <w:gridCol w:w="2835"/>
        <w:gridCol w:w="2268"/>
        <w:gridCol w:w="2835"/>
        <w:gridCol w:w="1985"/>
      </w:tblGrid>
      <w:tr w:rsidR="00E23746" w:rsidRPr="00574DAC" w14:paraId="6A2F134F" w14:textId="77777777" w:rsidTr="000B2F10">
        <w:trPr>
          <w:trHeight w:val="720"/>
        </w:trPr>
        <w:tc>
          <w:tcPr>
            <w:tcW w:w="4106" w:type="dxa"/>
            <w:gridSpan w:val="2"/>
            <w:tcBorders>
              <w:top w:val="single" w:sz="4" w:space="0" w:color="auto"/>
              <w:left w:val="single" w:sz="4" w:space="0" w:color="auto"/>
              <w:bottom w:val="single" w:sz="4" w:space="0" w:color="auto"/>
              <w:right w:val="single" w:sz="4" w:space="0" w:color="000000"/>
            </w:tcBorders>
            <w:shd w:val="clear" w:color="000000" w:fill="BFBFBF"/>
            <w:vAlign w:val="center"/>
            <w:hideMark/>
          </w:tcPr>
          <w:p w14:paraId="50A6D7B9" w14:textId="77777777" w:rsidR="00E23746" w:rsidRPr="00574DAC" w:rsidRDefault="00E23746" w:rsidP="000B2F10">
            <w:pPr>
              <w:spacing w:after="0" w:line="240" w:lineRule="auto"/>
              <w:jc w:val="center"/>
              <w:rPr>
                <w:rFonts w:eastAsia="Times New Roman" w:cs="Arial"/>
                <w:b/>
                <w:bCs/>
                <w:sz w:val="20"/>
                <w:szCs w:val="20"/>
                <w:lang w:val="es-MX" w:eastAsia="es-MX"/>
              </w:rPr>
            </w:pPr>
            <w:r>
              <w:rPr>
                <w:rFonts w:eastAsia="Times New Roman" w:cs="Arial"/>
                <w:b/>
                <w:bCs/>
                <w:sz w:val="20"/>
                <w:szCs w:val="20"/>
                <w:lang w:val="es-MX" w:eastAsia="es-MX"/>
              </w:rPr>
              <w:lastRenderedPageBreak/>
              <w:t>P</w:t>
            </w:r>
            <w:r w:rsidRPr="00574DAC">
              <w:rPr>
                <w:rFonts w:eastAsia="Times New Roman" w:cs="Arial"/>
                <w:b/>
                <w:bCs/>
                <w:sz w:val="20"/>
                <w:szCs w:val="20"/>
                <w:lang w:val="es-MX" w:eastAsia="es-MX"/>
              </w:rPr>
              <w:t>ROGRAMA PRESUPUESTARIO:</w:t>
            </w:r>
          </w:p>
        </w:tc>
        <w:tc>
          <w:tcPr>
            <w:tcW w:w="9923" w:type="dxa"/>
            <w:gridSpan w:val="4"/>
            <w:tcBorders>
              <w:top w:val="single" w:sz="4" w:space="0" w:color="auto"/>
              <w:left w:val="nil"/>
              <w:bottom w:val="single" w:sz="4" w:space="0" w:color="auto"/>
              <w:right w:val="single" w:sz="4" w:space="0" w:color="auto"/>
            </w:tcBorders>
            <w:shd w:val="clear" w:color="auto" w:fill="auto"/>
            <w:vAlign w:val="center"/>
            <w:hideMark/>
          </w:tcPr>
          <w:p w14:paraId="2BAEC101" w14:textId="77777777" w:rsidR="00E23746" w:rsidRPr="00574DAC" w:rsidRDefault="00E23746" w:rsidP="000B2F10">
            <w:pPr>
              <w:spacing w:after="0" w:line="240" w:lineRule="auto"/>
              <w:jc w:val="left"/>
              <w:rPr>
                <w:rFonts w:eastAsia="Times New Roman" w:cs="Arial"/>
                <w:sz w:val="20"/>
                <w:szCs w:val="20"/>
                <w:lang w:val="es-MX" w:eastAsia="es-MX"/>
              </w:rPr>
            </w:pPr>
            <w:r w:rsidRPr="00D73BB2">
              <w:rPr>
                <w:rFonts w:eastAsia="Times New Roman" w:cs="Arial"/>
                <w:sz w:val="20"/>
                <w:szCs w:val="20"/>
                <w:lang w:val="es-MX" w:eastAsia="es-MX"/>
              </w:rPr>
              <w:t>Programas de Apoyo</w:t>
            </w:r>
            <w:r>
              <w:rPr>
                <w:rFonts w:eastAsia="Times New Roman" w:cs="Arial"/>
                <w:sz w:val="20"/>
                <w:szCs w:val="20"/>
                <w:lang w:val="es-MX" w:eastAsia="es-MX"/>
              </w:rPr>
              <w:t xml:space="preserve"> a la Educación Básica</w:t>
            </w:r>
          </w:p>
        </w:tc>
      </w:tr>
      <w:tr w:rsidR="00E23746" w:rsidRPr="00574DAC" w14:paraId="066C12DB" w14:textId="77777777" w:rsidTr="000B2F10">
        <w:trPr>
          <w:trHeight w:val="552"/>
        </w:trPr>
        <w:tc>
          <w:tcPr>
            <w:tcW w:w="4106" w:type="dxa"/>
            <w:gridSpan w:val="2"/>
            <w:tcBorders>
              <w:top w:val="single" w:sz="4" w:space="0" w:color="auto"/>
              <w:left w:val="single" w:sz="4" w:space="0" w:color="auto"/>
              <w:bottom w:val="single" w:sz="4" w:space="0" w:color="auto"/>
              <w:right w:val="single" w:sz="4" w:space="0" w:color="000000"/>
            </w:tcBorders>
            <w:shd w:val="clear" w:color="000000" w:fill="BFBFBF"/>
            <w:vAlign w:val="center"/>
            <w:hideMark/>
          </w:tcPr>
          <w:p w14:paraId="2B04B6A3"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INSTITUCIÓN:</w:t>
            </w:r>
          </w:p>
        </w:tc>
        <w:tc>
          <w:tcPr>
            <w:tcW w:w="9923" w:type="dxa"/>
            <w:gridSpan w:val="4"/>
            <w:tcBorders>
              <w:top w:val="single" w:sz="4" w:space="0" w:color="auto"/>
              <w:left w:val="nil"/>
              <w:bottom w:val="single" w:sz="4" w:space="0" w:color="auto"/>
              <w:right w:val="single" w:sz="4" w:space="0" w:color="auto"/>
            </w:tcBorders>
            <w:shd w:val="clear" w:color="auto" w:fill="auto"/>
            <w:vAlign w:val="center"/>
            <w:hideMark/>
          </w:tcPr>
          <w:p w14:paraId="6EDF4522" w14:textId="79B616D3" w:rsidR="00E23746" w:rsidRPr="00574DAC" w:rsidRDefault="004931F7" w:rsidP="000B2F10">
            <w:pPr>
              <w:spacing w:after="0" w:line="240" w:lineRule="auto"/>
              <w:jc w:val="left"/>
              <w:rPr>
                <w:rFonts w:eastAsia="Times New Roman" w:cs="Arial"/>
                <w:sz w:val="20"/>
                <w:szCs w:val="20"/>
                <w:lang w:val="es-MX" w:eastAsia="es-MX"/>
              </w:rPr>
            </w:pPr>
            <w:r>
              <w:rPr>
                <w:rFonts w:eastAsia="Times New Roman" w:cs="Arial"/>
                <w:sz w:val="20"/>
                <w:szCs w:val="20"/>
                <w:lang w:val="es-MX" w:eastAsia="es-MX"/>
              </w:rPr>
              <w:t xml:space="preserve">1301  Servicios Educativos </w:t>
            </w:r>
            <w:r w:rsidR="00E23746" w:rsidRPr="000B2C13">
              <w:rPr>
                <w:rFonts w:eastAsia="Times New Roman" w:cs="Arial"/>
                <w:sz w:val="20"/>
                <w:szCs w:val="20"/>
                <w:lang w:val="es-MX" w:eastAsia="es-MX"/>
              </w:rPr>
              <w:t xml:space="preserve"> de Quintana Roo</w:t>
            </w:r>
            <w:r>
              <w:rPr>
                <w:rFonts w:eastAsia="Times New Roman" w:cs="Arial"/>
                <w:sz w:val="20"/>
                <w:szCs w:val="20"/>
                <w:lang w:val="es-MX" w:eastAsia="es-MX"/>
              </w:rPr>
              <w:t>.</w:t>
            </w:r>
          </w:p>
        </w:tc>
      </w:tr>
      <w:tr w:rsidR="00E23746" w:rsidRPr="00574DAC" w14:paraId="6DE9252F" w14:textId="77777777" w:rsidTr="000B2F10">
        <w:trPr>
          <w:trHeight w:val="282"/>
        </w:trPr>
        <w:tc>
          <w:tcPr>
            <w:tcW w:w="1271" w:type="dxa"/>
            <w:tcBorders>
              <w:top w:val="nil"/>
              <w:left w:val="nil"/>
              <w:bottom w:val="nil"/>
              <w:right w:val="nil"/>
            </w:tcBorders>
            <w:shd w:val="clear" w:color="auto" w:fill="auto"/>
            <w:hideMark/>
          </w:tcPr>
          <w:p w14:paraId="7B1C0571" w14:textId="77777777" w:rsidR="00E23746" w:rsidRPr="00574DAC" w:rsidRDefault="00E23746" w:rsidP="000B2F10">
            <w:pPr>
              <w:spacing w:after="0" w:line="240" w:lineRule="auto"/>
              <w:jc w:val="left"/>
              <w:rPr>
                <w:rFonts w:eastAsia="Times New Roman" w:cs="Arial"/>
                <w:sz w:val="20"/>
                <w:szCs w:val="20"/>
                <w:lang w:val="es-MX" w:eastAsia="es-MX"/>
              </w:rPr>
            </w:pPr>
          </w:p>
        </w:tc>
        <w:tc>
          <w:tcPr>
            <w:tcW w:w="2835" w:type="dxa"/>
            <w:tcBorders>
              <w:top w:val="nil"/>
              <w:left w:val="nil"/>
              <w:bottom w:val="nil"/>
              <w:right w:val="nil"/>
            </w:tcBorders>
            <w:shd w:val="clear" w:color="auto" w:fill="auto"/>
            <w:hideMark/>
          </w:tcPr>
          <w:p w14:paraId="7D09AE7E" w14:textId="77777777" w:rsidR="00E23746" w:rsidRPr="00574DAC" w:rsidRDefault="00E23746" w:rsidP="000B2F10">
            <w:pPr>
              <w:spacing w:after="0" w:line="240" w:lineRule="auto"/>
              <w:jc w:val="left"/>
              <w:rPr>
                <w:rFonts w:ascii="Times New Roman" w:eastAsia="Times New Roman" w:hAnsi="Times New Roman"/>
                <w:sz w:val="20"/>
                <w:szCs w:val="20"/>
                <w:lang w:val="es-MX" w:eastAsia="es-MX"/>
              </w:rPr>
            </w:pPr>
          </w:p>
        </w:tc>
        <w:tc>
          <w:tcPr>
            <w:tcW w:w="2835" w:type="dxa"/>
            <w:tcBorders>
              <w:top w:val="nil"/>
              <w:left w:val="nil"/>
              <w:bottom w:val="nil"/>
              <w:right w:val="nil"/>
            </w:tcBorders>
            <w:shd w:val="clear" w:color="auto" w:fill="auto"/>
            <w:hideMark/>
          </w:tcPr>
          <w:p w14:paraId="77780E15" w14:textId="77777777" w:rsidR="00E23746" w:rsidRPr="00574DAC" w:rsidRDefault="00E23746" w:rsidP="000B2F10">
            <w:pPr>
              <w:spacing w:after="0" w:line="240" w:lineRule="auto"/>
              <w:jc w:val="left"/>
              <w:rPr>
                <w:rFonts w:ascii="Times New Roman" w:eastAsia="Times New Roman" w:hAnsi="Times New Roman"/>
                <w:sz w:val="20"/>
                <w:szCs w:val="20"/>
                <w:lang w:val="es-MX" w:eastAsia="es-MX"/>
              </w:rPr>
            </w:pPr>
          </w:p>
        </w:tc>
        <w:tc>
          <w:tcPr>
            <w:tcW w:w="2268" w:type="dxa"/>
            <w:tcBorders>
              <w:top w:val="nil"/>
              <w:left w:val="nil"/>
              <w:bottom w:val="nil"/>
              <w:right w:val="nil"/>
            </w:tcBorders>
            <w:shd w:val="clear" w:color="auto" w:fill="auto"/>
            <w:hideMark/>
          </w:tcPr>
          <w:p w14:paraId="53C134A3" w14:textId="77777777" w:rsidR="00E23746" w:rsidRPr="00574DAC" w:rsidRDefault="00E23746" w:rsidP="000B2F10">
            <w:pPr>
              <w:spacing w:after="0" w:line="240" w:lineRule="auto"/>
              <w:jc w:val="left"/>
              <w:rPr>
                <w:rFonts w:ascii="Times New Roman" w:eastAsia="Times New Roman" w:hAnsi="Times New Roman"/>
                <w:sz w:val="20"/>
                <w:szCs w:val="20"/>
                <w:lang w:val="es-MX" w:eastAsia="es-MX"/>
              </w:rPr>
            </w:pPr>
          </w:p>
        </w:tc>
        <w:tc>
          <w:tcPr>
            <w:tcW w:w="2835" w:type="dxa"/>
            <w:tcBorders>
              <w:top w:val="nil"/>
              <w:left w:val="nil"/>
              <w:bottom w:val="nil"/>
              <w:right w:val="nil"/>
            </w:tcBorders>
            <w:shd w:val="clear" w:color="auto" w:fill="auto"/>
            <w:hideMark/>
          </w:tcPr>
          <w:p w14:paraId="360D388B" w14:textId="77777777" w:rsidR="00E23746" w:rsidRPr="00574DAC" w:rsidRDefault="00E23746" w:rsidP="000B2F10">
            <w:pPr>
              <w:spacing w:after="0" w:line="240" w:lineRule="auto"/>
              <w:jc w:val="left"/>
              <w:rPr>
                <w:rFonts w:ascii="Times New Roman" w:eastAsia="Times New Roman" w:hAnsi="Times New Roman"/>
                <w:sz w:val="20"/>
                <w:szCs w:val="20"/>
                <w:lang w:val="es-MX" w:eastAsia="es-MX"/>
              </w:rPr>
            </w:pPr>
          </w:p>
        </w:tc>
        <w:tc>
          <w:tcPr>
            <w:tcW w:w="1985" w:type="dxa"/>
            <w:tcBorders>
              <w:top w:val="nil"/>
              <w:left w:val="nil"/>
              <w:bottom w:val="nil"/>
              <w:right w:val="nil"/>
            </w:tcBorders>
            <w:shd w:val="clear" w:color="auto" w:fill="auto"/>
            <w:hideMark/>
          </w:tcPr>
          <w:p w14:paraId="343EF27B" w14:textId="77777777" w:rsidR="00E23746" w:rsidRPr="00574DAC" w:rsidRDefault="00E23746" w:rsidP="000B2F10">
            <w:pPr>
              <w:spacing w:after="0" w:line="240" w:lineRule="auto"/>
              <w:jc w:val="left"/>
              <w:rPr>
                <w:rFonts w:ascii="Times New Roman" w:eastAsia="Times New Roman" w:hAnsi="Times New Roman"/>
                <w:sz w:val="20"/>
                <w:szCs w:val="20"/>
                <w:lang w:val="es-MX" w:eastAsia="es-MX"/>
              </w:rPr>
            </w:pPr>
          </w:p>
        </w:tc>
      </w:tr>
      <w:tr w:rsidR="00E23746" w:rsidRPr="00574DAC" w14:paraId="6F3E858B" w14:textId="77777777" w:rsidTr="006B434D">
        <w:trPr>
          <w:trHeight w:val="375"/>
        </w:trPr>
        <w:tc>
          <w:tcPr>
            <w:tcW w:w="14029" w:type="dxa"/>
            <w:gridSpan w:val="6"/>
            <w:tcBorders>
              <w:top w:val="single" w:sz="4" w:space="0" w:color="auto"/>
              <w:left w:val="single" w:sz="4" w:space="0" w:color="auto"/>
              <w:bottom w:val="single" w:sz="4" w:space="0" w:color="auto"/>
              <w:right w:val="single" w:sz="4" w:space="0" w:color="000000"/>
            </w:tcBorders>
            <w:shd w:val="clear" w:color="000000" w:fill="BFBFBF"/>
            <w:vAlign w:val="center"/>
            <w:hideMark/>
          </w:tcPr>
          <w:p w14:paraId="24446760"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MATRIZ DE INDICADORES PARA RESULTADOS (MIR)</w:t>
            </w:r>
          </w:p>
        </w:tc>
      </w:tr>
      <w:tr w:rsidR="00E23746" w:rsidRPr="00574DAC" w14:paraId="5735E94B" w14:textId="77777777" w:rsidTr="006B434D">
        <w:trPr>
          <w:trHeight w:val="679"/>
        </w:trPr>
        <w:tc>
          <w:tcPr>
            <w:tcW w:w="1271"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4C962420"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NIVEL</w:t>
            </w:r>
          </w:p>
        </w:tc>
        <w:tc>
          <w:tcPr>
            <w:tcW w:w="2835" w:type="dxa"/>
            <w:tcBorders>
              <w:top w:val="single" w:sz="4" w:space="0" w:color="auto"/>
              <w:left w:val="nil"/>
              <w:bottom w:val="single" w:sz="4" w:space="0" w:color="auto"/>
              <w:right w:val="single" w:sz="4" w:space="0" w:color="auto"/>
            </w:tcBorders>
            <w:shd w:val="clear" w:color="000000" w:fill="BFBFBF"/>
            <w:vAlign w:val="center"/>
            <w:hideMark/>
          </w:tcPr>
          <w:p w14:paraId="36F4B891"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ALINEACIÓN PED/PD</w:t>
            </w:r>
          </w:p>
        </w:tc>
        <w:tc>
          <w:tcPr>
            <w:tcW w:w="2835" w:type="dxa"/>
            <w:tcBorders>
              <w:top w:val="single" w:sz="4" w:space="0" w:color="auto"/>
              <w:left w:val="nil"/>
              <w:bottom w:val="single" w:sz="4" w:space="0" w:color="auto"/>
              <w:right w:val="single" w:sz="4" w:space="0" w:color="auto"/>
            </w:tcBorders>
            <w:shd w:val="clear" w:color="000000" w:fill="BFBFBF"/>
            <w:vAlign w:val="center"/>
            <w:hideMark/>
          </w:tcPr>
          <w:p w14:paraId="65595D74"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OBJETIVO</w:t>
            </w:r>
          </w:p>
        </w:tc>
        <w:tc>
          <w:tcPr>
            <w:tcW w:w="2268" w:type="dxa"/>
            <w:tcBorders>
              <w:top w:val="single" w:sz="4" w:space="0" w:color="auto"/>
              <w:left w:val="nil"/>
              <w:bottom w:val="single" w:sz="4" w:space="0" w:color="auto"/>
              <w:right w:val="single" w:sz="4" w:space="0" w:color="auto"/>
            </w:tcBorders>
            <w:shd w:val="clear" w:color="000000" w:fill="BFBFBF"/>
            <w:vAlign w:val="center"/>
            <w:hideMark/>
          </w:tcPr>
          <w:p w14:paraId="30630F9F"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INDICADOR</w:t>
            </w:r>
          </w:p>
        </w:tc>
        <w:tc>
          <w:tcPr>
            <w:tcW w:w="2835" w:type="dxa"/>
            <w:tcBorders>
              <w:top w:val="single" w:sz="4" w:space="0" w:color="auto"/>
              <w:left w:val="nil"/>
              <w:bottom w:val="single" w:sz="4" w:space="0" w:color="auto"/>
              <w:right w:val="single" w:sz="4" w:space="0" w:color="auto"/>
            </w:tcBorders>
            <w:shd w:val="clear" w:color="000000" w:fill="BFBFBF"/>
            <w:vAlign w:val="center"/>
            <w:hideMark/>
          </w:tcPr>
          <w:p w14:paraId="635B107D"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MEDIOS DE VERIFICACIÓN</w:t>
            </w:r>
          </w:p>
        </w:tc>
        <w:tc>
          <w:tcPr>
            <w:tcW w:w="1985" w:type="dxa"/>
            <w:tcBorders>
              <w:top w:val="single" w:sz="4" w:space="0" w:color="auto"/>
              <w:left w:val="nil"/>
              <w:bottom w:val="single" w:sz="4" w:space="0" w:color="auto"/>
              <w:right w:val="single" w:sz="4" w:space="0" w:color="auto"/>
            </w:tcBorders>
            <w:shd w:val="clear" w:color="000000" w:fill="BFBFBF"/>
            <w:vAlign w:val="center"/>
            <w:hideMark/>
          </w:tcPr>
          <w:p w14:paraId="3794816C"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SUPUESTO</w:t>
            </w:r>
          </w:p>
        </w:tc>
      </w:tr>
      <w:tr w:rsidR="00E23746" w:rsidRPr="00574DAC" w14:paraId="537DF5A8" w14:textId="77777777" w:rsidTr="006B434D">
        <w:trPr>
          <w:trHeight w:val="267"/>
        </w:trPr>
        <w:tc>
          <w:tcPr>
            <w:tcW w:w="1271" w:type="dxa"/>
            <w:tcBorders>
              <w:top w:val="single" w:sz="4" w:space="0" w:color="auto"/>
              <w:left w:val="single" w:sz="4" w:space="0" w:color="auto"/>
              <w:bottom w:val="single" w:sz="4" w:space="0" w:color="auto"/>
              <w:right w:val="single" w:sz="4" w:space="0" w:color="auto"/>
            </w:tcBorders>
            <w:shd w:val="clear" w:color="auto" w:fill="auto"/>
            <w:hideMark/>
          </w:tcPr>
          <w:p w14:paraId="4A43D303" w14:textId="77777777" w:rsidR="00E23746" w:rsidRDefault="00E23746" w:rsidP="000B2F10">
            <w:pPr>
              <w:spacing w:after="0" w:line="240" w:lineRule="auto"/>
              <w:jc w:val="center"/>
              <w:rPr>
                <w:rFonts w:cs="Arial"/>
                <w:b/>
                <w:bCs/>
                <w:sz w:val="20"/>
                <w:szCs w:val="20"/>
              </w:rPr>
            </w:pPr>
            <w:r>
              <w:rPr>
                <w:rFonts w:cs="Arial"/>
                <w:b/>
                <w:bCs/>
                <w:sz w:val="20"/>
                <w:szCs w:val="20"/>
              </w:rPr>
              <w:t>Fin</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7030218" w14:textId="77777777" w:rsidR="00E23746" w:rsidRDefault="00E23746" w:rsidP="000B2F10">
            <w:pPr>
              <w:jc w:val="left"/>
              <w:rPr>
                <w:rFonts w:cs="Arial"/>
                <w:sz w:val="20"/>
                <w:szCs w:val="20"/>
              </w:rPr>
            </w:pPr>
            <w:r>
              <w:rPr>
                <w:rFonts w:cs="Arial"/>
                <w:sz w:val="20"/>
                <w:szCs w:val="20"/>
              </w:rPr>
              <w:t>Garantizar el acceso y permanencia a una educación inclusiva y de calidad en todos los niveles educativos que promueva en los educandos aprendizajes para la vida.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9740AB1" w14:textId="77777777" w:rsidR="00E23746" w:rsidRDefault="00E23746" w:rsidP="000B2F10">
            <w:pPr>
              <w:rPr>
                <w:rFonts w:cs="Arial"/>
                <w:sz w:val="20"/>
                <w:szCs w:val="20"/>
              </w:rPr>
            </w:pPr>
            <w:r>
              <w:rPr>
                <w:rFonts w:cs="Arial"/>
                <w:sz w:val="20"/>
                <w:szCs w:val="20"/>
              </w:rPr>
              <w:t>F - Contribuir a garantizar el acceso y permanencia a una educación inclusiva y de calidad en todos los niveles educativos que promueva en los educandos aprendizajes para la vida mediante estrategias de atención a la demanda y permanencia en todos los niveles educativos.</w:t>
            </w:r>
          </w:p>
        </w:tc>
        <w:tc>
          <w:tcPr>
            <w:tcW w:w="2268" w:type="dxa"/>
            <w:tcBorders>
              <w:top w:val="single" w:sz="4" w:space="0" w:color="auto"/>
              <w:left w:val="single" w:sz="4" w:space="0" w:color="auto"/>
              <w:bottom w:val="single" w:sz="4" w:space="0" w:color="auto"/>
              <w:right w:val="single" w:sz="4" w:space="0" w:color="auto"/>
            </w:tcBorders>
            <w:shd w:val="clear" w:color="FFFFFF" w:fill="FFFFFF"/>
            <w:hideMark/>
          </w:tcPr>
          <w:p w14:paraId="33CAF614" w14:textId="77777777" w:rsidR="00E23746" w:rsidRDefault="00E23746" w:rsidP="000B2F10">
            <w:pPr>
              <w:rPr>
                <w:rFonts w:cs="Arial"/>
                <w:sz w:val="20"/>
                <w:szCs w:val="20"/>
              </w:rPr>
            </w:pPr>
            <w:r>
              <w:rPr>
                <w:rFonts w:cs="Arial"/>
                <w:sz w:val="20"/>
                <w:szCs w:val="20"/>
              </w:rPr>
              <w:t>Tasa de cobertura estatal de educación básica.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C4F2593" w14:textId="77777777" w:rsidR="00E23746" w:rsidRDefault="00E23746" w:rsidP="000B2F10">
            <w:pPr>
              <w:rPr>
                <w:rFonts w:cs="Arial"/>
                <w:sz w:val="20"/>
                <w:szCs w:val="20"/>
              </w:rPr>
            </w:pPr>
            <w:r w:rsidRPr="00846E84">
              <w:rPr>
                <w:rFonts w:eastAsia="Times New Roman" w:cs="Arial"/>
                <w:sz w:val="20"/>
                <w:szCs w:val="20"/>
                <w:lang w:val="es-MX" w:eastAsia="es-MX"/>
              </w:rPr>
              <w:t>Estadísticas continúas del formato 911, matrícula de inicio de ciclo escolar, SEQ. Proyecciones de población por edad desplegada, entidad federativa (Quintana Roo) 1970-2050, CONAPO, https://qroo.gob.mx/seq/medios-de-verificacion-de-la-planeacion-anual</w:t>
            </w:r>
            <w:r>
              <w:rPr>
                <w:rFonts w:eastAsia="Times New Roman" w:cs="Arial"/>
                <w:sz w:val="20"/>
                <w:szCs w:val="20"/>
                <w:lang w:val="es-MX" w:eastAsia="es-MX"/>
              </w:rPr>
              <w:t>.</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536136BE" w14:textId="77777777" w:rsidR="00E23746" w:rsidRDefault="00E23746" w:rsidP="000B2F10">
            <w:pPr>
              <w:ind w:right="82"/>
              <w:rPr>
                <w:rFonts w:cs="Arial"/>
                <w:sz w:val="20"/>
                <w:szCs w:val="20"/>
              </w:rPr>
            </w:pPr>
            <w:r>
              <w:rPr>
                <w:rFonts w:cs="Arial"/>
                <w:sz w:val="20"/>
                <w:szCs w:val="20"/>
              </w:rPr>
              <w:t>Los alumnos en edad de cursar la educación básica en el estado, permanecen y concluyen cada ciclo escolar.</w:t>
            </w:r>
          </w:p>
        </w:tc>
      </w:tr>
      <w:tr w:rsidR="00E23746" w:rsidRPr="00574DAC" w14:paraId="28045D9D" w14:textId="77777777" w:rsidTr="006B434D">
        <w:trPr>
          <w:trHeight w:val="692"/>
        </w:trPr>
        <w:tc>
          <w:tcPr>
            <w:tcW w:w="1271" w:type="dxa"/>
            <w:tcBorders>
              <w:top w:val="single" w:sz="4" w:space="0" w:color="auto"/>
              <w:left w:val="single" w:sz="4" w:space="0" w:color="auto"/>
              <w:bottom w:val="single" w:sz="4" w:space="0" w:color="auto"/>
              <w:right w:val="single" w:sz="4" w:space="0" w:color="auto"/>
            </w:tcBorders>
            <w:shd w:val="clear" w:color="auto" w:fill="auto"/>
            <w:hideMark/>
          </w:tcPr>
          <w:p w14:paraId="224617AF" w14:textId="77777777" w:rsidR="00E23746" w:rsidRDefault="00E23746" w:rsidP="000B2F10">
            <w:pPr>
              <w:spacing w:after="0" w:line="240" w:lineRule="auto"/>
              <w:jc w:val="center"/>
              <w:rPr>
                <w:rFonts w:cs="Arial"/>
                <w:b/>
                <w:bCs/>
                <w:sz w:val="20"/>
                <w:szCs w:val="20"/>
              </w:rPr>
            </w:pPr>
            <w:r>
              <w:rPr>
                <w:rFonts w:cs="Arial"/>
                <w:b/>
                <w:bCs/>
                <w:sz w:val="20"/>
                <w:szCs w:val="20"/>
              </w:rPr>
              <w:t>Propósito</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6074C65" w14:textId="77777777" w:rsidR="00E23746" w:rsidRDefault="00E23746" w:rsidP="000B2F10">
            <w:pPr>
              <w:jc w:val="left"/>
              <w:rPr>
                <w:rFonts w:cs="Arial"/>
                <w:sz w:val="20"/>
                <w:szCs w:val="20"/>
              </w:rPr>
            </w:pPr>
            <w:r>
              <w:rPr>
                <w:rFonts w:cs="Arial"/>
                <w:sz w:val="20"/>
                <w:szCs w:val="20"/>
              </w:rPr>
              <w:t>Impulsar en educación básica acciones de respaldo a la trayectoria escolar, permanencia y egreso de los estudiantes.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10AA4E6" w14:textId="77777777" w:rsidR="00E23746" w:rsidRDefault="00E23746" w:rsidP="000B2F10">
            <w:pPr>
              <w:rPr>
                <w:rFonts w:cs="Arial"/>
                <w:sz w:val="20"/>
                <w:szCs w:val="20"/>
              </w:rPr>
            </w:pPr>
            <w:r>
              <w:rPr>
                <w:rFonts w:cs="Arial"/>
                <w:sz w:val="20"/>
                <w:szCs w:val="20"/>
              </w:rPr>
              <w:t>P - Los alumnos de Educación Básica reciben acciones de respaldo a la trayectoria escolar, permanencia y egreso.</w:t>
            </w:r>
          </w:p>
        </w:tc>
        <w:tc>
          <w:tcPr>
            <w:tcW w:w="2268" w:type="dxa"/>
            <w:tcBorders>
              <w:top w:val="single" w:sz="4" w:space="0" w:color="auto"/>
              <w:left w:val="single" w:sz="4" w:space="0" w:color="auto"/>
              <w:bottom w:val="single" w:sz="4" w:space="0" w:color="auto"/>
              <w:right w:val="single" w:sz="4" w:space="0" w:color="auto"/>
            </w:tcBorders>
            <w:shd w:val="clear" w:color="FFFFFF" w:fill="FFFFFF"/>
            <w:hideMark/>
          </w:tcPr>
          <w:p w14:paraId="6064B5BD" w14:textId="77777777" w:rsidR="00E23746" w:rsidRDefault="00E23746" w:rsidP="000B2F10">
            <w:pPr>
              <w:rPr>
                <w:rFonts w:cs="Arial"/>
                <w:sz w:val="20"/>
                <w:szCs w:val="20"/>
              </w:rPr>
            </w:pPr>
            <w:r>
              <w:rPr>
                <w:rFonts w:cs="Arial"/>
                <w:sz w:val="20"/>
                <w:szCs w:val="20"/>
              </w:rPr>
              <w:t>Tasa de egreso de educación Básica.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29CF79E" w14:textId="77777777" w:rsidR="00E23746" w:rsidRDefault="00E23746" w:rsidP="000B2F10">
            <w:pPr>
              <w:rPr>
                <w:rFonts w:cs="Arial"/>
                <w:sz w:val="20"/>
                <w:szCs w:val="20"/>
              </w:rPr>
            </w:pPr>
            <w:r>
              <w:rPr>
                <w:rFonts w:cs="Arial"/>
                <w:sz w:val="20"/>
                <w:szCs w:val="20"/>
              </w:rPr>
              <w:t>Estadísticas continúas del formato 911 (inicio de ciclo escolar), SEQ. Liga: https://qroo.gob.mx/seq/medios-de-verificacion-de-la-planeacion-anual</w:t>
            </w:r>
          </w:p>
        </w:tc>
        <w:tc>
          <w:tcPr>
            <w:tcW w:w="1985" w:type="dxa"/>
            <w:tcBorders>
              <w:top w:val="single" w:sz="4" w:space="0" w:color="auto"/>
              <w:left w:val="single" w:sz="4" w:space="0" w:color="auto"/>
              <w:bottom w:val="single" w:sz="4" w:space="0" w:color="auto"/>
              <w:right w:val="single" w:sz="4" w:space="0" w:color="auto"/>
            </w:tcBorders>
            <w:shd w:val="clear" w:color="FFFFFF" w:fill="FFFFFF"/>
            <w:hideMark/>
          </w:tcPr>
          <w:p w14:paraId="2AD427B7" w14:textId="77777777" w:rsidR="00E23746" w:rsidRDefault="00E23746" w:rsidP="000B2F10">
            <w:pPr>
              <w:rPr>
                <w:rFonts w:cs="Arial"/>
                <w:sz w:val="20"/>
                <w:szCs w:val="20"/>
              </w:rPr>
            </w:pPr>
            <w:r>
              <w:rPr>
                <w:rFonts w:cs="Arial"/>
                <w:sz w:val="20"/>
                <w:szCs w:val="20"/>
              </w:rPr>
              <w:t>Los alumnos concluyen su Educación Básica.</w:t>
            </w:r>
          </w:p>
        </w:tc>
      </w:tr>
    </w:tbl>
    <w:p w14:paraId="226B995C" w14:textId="77777777" w:rsidR="00D47ED1" w:rsidRDefault="00D47ED1">
      <w:pPr>
        <w:spacing w:after="0" w:line="240" w:lineRule="auto"/>
        <w:jc w:val="left"/>
      </w:pPr>
      <w:r>
        <w:br w:type="page"/>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3"/>
        <w:gridCol w:w="2693"/>
        <w:gridCol w:w="2835"/>
        <w:gridCol w:w="2268"/>
        <w:gridCol w:w="2835"/>
        <w:gridCol w:w="1985"/>
      </w:tblGrid>
      <w:tr w:rsidR="00E23746" w:rsidRPr="00574DAC" w14:paraId="2F2B205C" w14:textId="77777777" w:rsidTr="00295ECB">
        <w:trPr>
          <w:trHeight w:val="679"/>
        </w:trPr>
        <w:tc>
          <w:tcPr>
            <w:tcW w:w="1413" w:type="dxa"/>
            <w:shd w:val="clear" w:color="000000" w:fill="BFBFBF"/>
            <w:vAlign w:val="center"/>
            <w:hideMark/>
          </w:tcPr>
          <w:p w14:paraId="4A882A79"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lastRenderedPageBreak/>
              <w:t>NIVEL</w:t>
            </w:r>
          </w:p>
        </w:tc>
        <w:tc>
          <w:tcPr>
            <w:tcW w:w="2693" w:type="dxa"/>
            <w:shd w:val="clear" w:color="000000" w:fill="BFBFBF"/>
            <w:vAlign w:val="center"/>
            <w:hideMark/>
          </w:tcPr>
          <w:p w14:paraId="64D24703"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ALINEACIÓN PED/PD</w:t>
            </w:r>
          </w:p>
        </w:tc>
        <w:tc>
          <w:tcPr>
            <w:tcW w:w="2835" w:type="dxa"/>
            <w:shd w:val="clear" w:color="000000" w:fill="BFBFBF"/>
            <w:vAlign w:val="center"/>
            <w:hideMark/>
          </w:tcPr>
          <w:p w14:paraId="71FB1CDF"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OBJETIVO</w:t>
            </w:r>
          </w:p>
        </w:tc>
        <w:tc>
          <w:tcPr>
            <w:tcW w:w="2268" w:type="dxa"/>
            <w:shd w:val="clear" w:color="000000" w:fill="BFBFBF"/>
            <w:vAlign w:val="center"/>
            <w:hideMark/>
          </w:tcPr>
          <w:p w14:paraId="498F8E99"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INDICADOR</w:t>
            </w:r>
          </w:p>
        </w:tc>
        <w:tc>
          <w:tcPr>
            <w:tcW w:w="2835" w:type="dxa"/>
            <w:shd w:val="clear" w:color="000000" w:fill="BFBFBF"/>
            <w:vAlign w:val="center"/>
            <w:hideMark/>
          </w:tcPr>
          <w:p w14:paraId="235E5987"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MEDIOS DE VERIFICACIÓN</w:t>
            </w:r>
          </w:p>
        </w:tc>
        <w:tc>
          <w:tcPr>
            <w:tcW w:w="1985" w:type="dxa"/>
            <w:shd w:val="clear" w:color="000000" w:fill="BFBFBF"/>
            <w:vAlign w:val="center"/>
            <w:hideMark/>
          </w:tcPr>
          <w:p w14:paraId="759D50A1"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SUPUESTO</w:t>
            </w:r>
          </w:p>
        </w:tc>
      </w:tr>
      <w:tr w:rsidR="00E23746" w:rsidRPr="00574DAC" w14:paraId="4DBD49D8" w14:textId="77777777" w:rsidTr="00295ECB">
        <w:trPr>
          <w:trHeight w:val="1599"/>
        </w:trPr>
        <w:tc>
          <w:tcPr>
            <w:tcW w:w="1413" w:type="dxa"/>
            <w:shd w:val="clear" w:color="auto" w:fill="auto"/>
            <w:hideMark/>
          </w:tcPr>
          <w:p w14:paraId="2485243E" w14:textId="77777777" w:rsidR="00E23746" w:rsidRDefault="00E23746" w:rsidP="000B2F10">
            <w:pPr>
              <w:spacing w:after="0" w:line="240" w:lineRule="auto"/>
              <w:jc w:val="center"/>
              <w:rPr>
                <w:rFonts w:cs="Arial"/>
                <w:b/>
                <w:bCs/>
                <w:sz w:val="20"/>
                <w:szCs w:val="20"/>
              </w:rPr>
            </w:pPr>
            <w:r>
              <w:rPr>
                <w:rFonts w:cs="Arial"/>
                <w:b/>
                <w:bCs/>
                <w:sz w:val="20"/>
                <w:szCs w:val="20"/>
              </w:rPr>
              <w:t>Componente</w:t>
            </w:r>
          </w:p>
        </w:tc>
        <w:tc>
          <w:tcPr>
            <w:tcW w:w="2693" w:type="dxa"/>
            <w:shd w:val="clear" w:color="auto" w:fill="auto"/>
            <w:hideMark/>
          </w:tcPr>
          <w:p w14:paraId="22CC288E" w14:textId="77777777" w:rsidR="00E23746" w:rsidRDefault="00E23746" w:rsidP="000B2F10">
            <w:pPr>
              <w:jc w:val="left"/>
              <w:rPr>
                <w:rFonts w:cs="Arial"/>
                <w:sz w:val="20"/>
                <w:szCs w:val="20"/>
              </w:rPr>
            </w:pPr>
            <w:r>
              <w:rPr>
                <w:rFonts w:cs="Arial"/>
                <w:sz w:val="20"/>
                <w:szCs w:val="20"/>
              </w:rPr>
              <w:t>Impulsar la formación integral de los estudiantes de educación básica a través de acciones formativas.</w:t>
            </w:r>
          </w:p>
        </w:tc>
        <w:tc>
          <w:tcPr>
            <w:tcW w:w="2835" w:type="dxa"/>
            <w:shd w:val="clear" w:color="auto" w:fill="auto"/>
            <w:hideMark/>
          </w:tcPr>
          <w:p w14:paraId="0D3C94C0" w14:textId="77777777" w:rsidR="00E23746" w:rsidRDefault="00E23746" w:rsidP="000B2F10">
            <w:pPr>
              <w:rPr>
                <w:rFonts w:cs="Arial"/>
                <w:sz w:val="20"/>
                <w:szCs w:val="20"/>
              </w:rPr>
            </w:pPr>
            <w:r>
              <w:rPr>
                <w:rFonts w:cs="Arial"/>
                <w:sz w:val="20"/>
                <w:szCs w:val="20"/>
              </w:rPr>
              <w:t xml:space="preserve"> C01 - Escuelas de educación básica atendidas con acciones integrales.</w:t>
            </w:r>
          </w:p>
        </w:tc>
        <w:tc>
          <w:tcPr>
            <w:tcW w:w="2268" w:type="dxa"/>
            <w:shd w:val="clear" w:color="FFFFFF" w:fill="FFFFFF"/>
            <w:hideMark/>
          </w:tcPr>
          <w:p w14:paraId="68232FF6" w14:textId="77777777" w:rsidR="00E23746" w:rsidRDefault="00E23746" w:rsidP="000B2F10">
            <w:pPr>
              <w:rPr>
                <w:rFonts w:cs="Arial"/>
                <w:sz w:val="20"/>
                <w:szCs w:val="20"/>
              </w:rPr>
            </w:pPr>
            <w:r>
              <w:rPr>
                <w:rFonts w:cs="Arial"/>
                <w:sz w:val="20"/>
                <w:szCs w:val="20"/>
              </w:rPr>
              <w:t>C01 - Porcentaje de escuelas de educación básica atendidas con acciones integrales.</w:t>
            </w:r>
          </w:p>
        </w:tc>
        <w:tc>
          <w:tcPr>
            <w:tcW w:w="2835" w:type="dxa"/>
            <w:shd w:val="clear" w:color="auto" w:fill="auto"/>
            <w:hideMark/>
          </w:tcPr>
          <w:p w14:paraId="28F3E2A2" w14:textId="77777777" w:rsidR="00E23746" w:rsidRDefault="00E23746" w:rsidP="000B2F10">
            <w:pPr>
              <w:rPr>
                <w:rFonts w:cs="Arial"/>
                <w:sz w:val="20"/>
                <w:szCs w:val="20"/>
              </w:rPr>
            </w:pPr>
            <w:r>
              <w:rPr>
                <w:rFonts w:cs="Arial"/>
                <w:sz w:val="20"/>
                <w:szCs w:val="20"/>
              </w:rPr>
              <w:t>Listas de asistencia, fotografías, reporte de escuelas que lleven a cabo acciones integrales generado por el área de Convivencia Escolar.SEQ.Liga: https://qroo.gob.mx/seq/medios-de-verificacion-de-la-planeacion-anual.</w:t>
            </w:r>
          </w:p>
        </w:tc>
        <w:tc>
          <w:tcPr>
            <w:tcW w:w="1985" w:type="dxa"/>
            <w:shd w:val="clear" w:color="auto" w:fill="auto"/>
            <w:hideMark/>
          </w:tcPr>
          <w:p w14:paraId="2F4A3AC4" w14:textId="77777777" w:rsidR="00E23746" w:rsidRDefault="00E23746" w:rsidP="000B2F10">
            <w:pPr>
              <w:rPr>
                <w:rFonts w:cs="Arial"/>
                <w:sz w:val="20"/>
                <w:szCs w:val="20"/>
              </w:rPr>
            </w:pPr>
            <w:r>
              <w:rPr>
                <w:rFonts w:cs="Arial"/>
                <w:sz w:val="20"/>
                <w:szCs w:val="20"/>
              </w:rPr>
              <w:t>En la comunidad escolar prevalece una buena convivencia.</w:t>
            </w:r>
          </w:p>
        </w:tc>
      </w:tr>
      <w:tr w:rsidR="00E23746" w:rsidRPr="00574DAC" w14:paraId="4612131C" w14:textId="77777777" w:rsidTr="00295ECB">
        <w:trPr>
          <w:trHeight w:val="2400"/>
        </w:trPr>
        <w:tc>
          <w:tcPr>
            <w:tcW w:w="1413" w:type="dxa"/>
            <w:shd w:val="clear" w:color="auto" w:fill="auto"/>
            <w:hideMark/>
          </w:tcPr>
          <w:p w14:paraId="71C6B8BC" w14:textId="77777777" w:rsidR="00E23746" w:rsidRDefault="00E23746" w:rsidP="000B2F10">
            <w:pPr>
              <w:jc w:val="center"/>
              <w:rPr>
                <w:rFonts w:cs="Arial"/>
                <w:b/>
                <w:bCs/>
                <w:sz w:val="20"/>
                <w:szCs w:val="20"/>
              </w:rPr>
            </w:pPr>
            <w:r>
              <w:rPr>
                <w:rFonts w:cs="Arial"/>
                <w:b/>
                <w:bCs/>
                <w:sz w:val="20"/>
                <w:szCs w:val="20"/>
              </w:rPr>
              <w:t>Actividad</w:t>
            </w:r>
          </w:p>
        </w:tc>
        <w:tc>
          <w:tcPr>
            <w:tcW w:w="2693" w:type="dxa"/>
            <w:shd w:val="clear" w:color="auto" w:fill="auto"/>
            <w:hideMark/>
          </w:tcPr>
          <w:p w14:paraId="6FA9F942" w14:textId="77777777" w:rsidR="00E23746" w:rsidRDefault="00E23746" w:rsidP="000B2F10">
            <w:pPr>
              <w:jc w:val="left"/>
              <w:rPr>
                <w:rFonts w:cs="Arial"/>
                <w:sz w:val="20"/>
                <w:szCs w:val="20"/>
              </w:rPr>
            </w:pPr>
            <w:r>
              <w:rPr>
                <w:rFonts w:cs="Arial"/>
                <w:sz w:val="20"/>
                <w:szCs w:val="20"/>
              </w:rPr>
              <w:t>Brindar seguro escolar en caso de accidentes a los alumnos de educación básica.</w:t>
            </w:r>
          </w:p>
        </w:tc>
        <w:tc>
          <w:tcPr>
            <w:tcW w:w="2835" w:type="dxa"/>
            <w:shd w:val="clear" w:color="auto" w:fill="auto"/>
            <w:hideMark/>
          </w:tcPr>
          <w:p w14:paraId="66CC47A5" w14:textId="77777777" w:rsidR="00E23746" w:rsidRDefault="00E23746" w:rsidP="000B2F10">
            <w:pPr>
              <w:rPr>
                <w:rFonts w:cs="Arial"/>
                <w:sz w:val="20"/>
                <w:szCs w:val="20"/>
              </w:rPr>
            </w:pPr>
            <w:r>
              <w:rPr>
                <w:rFonts w:cs="Arial"/>
                <w:sz w:val="20"/>
                <w:szCs w:val="20"/>
              </w:rPr>
              <w:t>C01.A01 - Otorgamiento de cobertura del seguro escolar en caso de accidentes a los alumnos y alumnas de escuelas públicas de Educación Básica.</w:t>
            </w:r>
          </w:p>
        </w:tc>
        <w:tc>
          <w:tcPr>
            <w:tcW w:w="2268" w:type="dxa"/>
            <w:shd w:val="clear" w:color="FFFFFF" w:fill="FFFFFF"/>
            <w:hideMark/>
          </w:tcPr>
          <w:p w14:paraId="45E569B8" w14:textId="77777777" w:rsidR="00E23746" w:rsidRDefault="00E23746" w:rsidP="000B2F10">
            <w:pPr>
              <w:rPr>
                <w:rFonts w:cs="Arial"/>
                <w:sz w:val="20"/>
                <w:szCs w:val="20"/>
              </w:rPr>
            </w:pPr>
            <w:r>
              <w:rPr>
                <w:rFonts w:cs="Arial"/>
                <w:sz w:val="20"/>
                <w:szCs w:val="20"/>
              </w:rPr>
              <w:t>C01A01 - Porcentaje de alumnos beneficiados con el seguro escolar de nivel básico.</w:t>
            </w:r>
          </w:p>
        </w:tc>
        <w:tc>
          <w:tcPr>
            <w:tcW w:w="2835" w:type="dxa"/>
            <w:shd w:val="clear" w:color="auto" w:fill="auto"/>
            <w:hideMark/>
          </w:tcPr>
          <w:p w14:paraId="0D159D73" w14:textId="77777777" w:rsidR="00E23746" w:rsidRDefault="00E23746" w:rsidP="000B2F10">
            <w:pPr>
              <w:rPr>
                <w:rFonts w:cs="Arial"/>
                <w:sz w:val="20"/>
                <w:szCs w:val="20"/>
              </w:rPr>
            </w:pPr>
            <w:r>
              <w:rPr>
                <w:rFonts w:cs="Arial"/>
                <w:sz w:val="20"/>
                <w:szCs w:val="20"/>
              </w:rPr>
              <w:t>Concentrado de alumnos beneficiados generado por el Área de Convivencia.SEQ.Liga: https://qroo.gob.mx/seq/medios-de-verificacion-de-la-planeacion-anual.</w:t>
            </w:r>
          </w:p>
        </w:tc>
        <w:tc>
          <w:tcPr>
            <w:tcW w:w="1985" w:type="dxa"/>
            <w:shd w:val="clear" w:color="auto" w:fill="auto"/>
            <w:hideMark/>
          </w:tcPr>
          <w:p w14:paraId="114603F2" w14:textId="77777777" w:rsidR="00E23746" w:rsidRDefault="00E23746" w:rsidP="000B2F10">
            <w:pPr>
              <w:rPr>
                <w:rFonts w:cs="Arial"/>
                <w:sz w:val="20"/>
                <w:szCs w:val="20"/>
              </w:rPr>
            </w:pPr>
            <w:r>
              <w:rPr>
                <w:rFonts w:cs="Arial"/>
                <w:sz w:val="20"/>
                <w:szCs w:val="20"/>
              </w:rPr>
              <w:t>La clínica particular atiende al estudiante de manera oportuna.</w:t>
            </w:r>
          </w:p>
        </w:tc>
      </w:tr>
      <w:tr w:rsidR="00E23746" w:rsidRPr="00574DAC" w14:paraId="1928C247" w14:textId="77777777" w:rsidTr="00295ECB">
        <w:trPr>
          <w:trHeight w:val="2216"/>
        </w:trPr>
        <w:tc>
          <w:tcPr>
            <w:tcW w:w="1413" w:type="dxa"/>
            <w:shd w:val="clear" w:color="auto" w:fill="auto"/>
            <w:hideMark/>
          </w:tcPr>
          <w:p w14:paraId="3E73FBDA" w14:textId="77777777" w:rsidR="00E23746" w:rsidRDefault="00E23746" w:rsidP="000B2F10">
            <w:pPr>
              <w:jc w:val="center"/>
              <w:rPr>
                <w:rFonts w:cs="Arial"/>
                <w:b/>
                <w:bCs/>
                <w:sz w:val="20"/>
                <w:szCs w:val="20"/>
              </w:rPr>
            </w:pPr>
            <w:r>
              <w:rPr>
                <w:rFonts w:cs="Arial"/>
                <w:b/>
                <w:bCs/>
                <w:sz w:val="20"/>
                <w:szCs w:val="20"/>
              </w:rPr>
              <w:t>Actividad</w:t>
            </w:r>
          </w:p>
        </w:tc>
        <w:tc>
          <w:tcPr>
            <w:tcW w:w="2693" w:type="dxa"/>
            <w:shd w:val="clear" w:color="auto" w:fill="auto"/>
            <w:hideMark/>
          </w:tcPr>
          <w:p w14:paraId="0291BC81" w14:textId="77777777" w:rsidR="00E23746" w:rsidRPr="0003602B" w:rsidRDefault="00E23746" w:rsidP="000B2F10">
            <w:pPr>
              <w:jc w:val="left"/>
              <w:rPr>
                <w:rFonts w:cs="Arial"/>
                <w:sz w:val="18"/>
                <w:szCs w:val="20"/>
              </w:rPr>
            </w:pPr>
            <w:r w:rsidRPr="0003602B">
              <w:rPr>
                <w:rFonts w:cs="Arial"/>
                <w:sz w:val="18"/>
                <w:szCs w:val="20"/>
              </w:rPr>
              <w:t>Implementar el Programa de Seguridad Escolar para el fortalecimiento de valores, la tolerancia y la promoción de la paz social en las escuelas de todos los niveles educativos.</w:t>
            </w:r>
          </w:p>
        </w:tc>
        <w:tc>
          <w:tcPr>
            <w:tcW w:w="2835" w:type="dxa"/>
            <w:shd w:val="clear" w:color="auto" w:fill="auto"/>
            <w:hideMark/>
          </w:tcPr>
          <w:p w14:paraId="2BF96054" w14:textId="77777777" w:rsidR="00E23746" w:rsidRPr="0003602B" w:rsidRDefault="00E23746" w:rsidP="000B2F10">
            <w:pPr>
              <w:rPr>
                <w:rFonts w:cs="Arial"/>
                <w:sz w:val="18"/>
                <w:szCs w:val="20"/>
              </w:rPr>
            </w:pPr>
            <w:r w:rsidRPr="0003602B">
              <w:rPr>
                <w:rFonts w:cs="Arial"/>
                <w:sz w:val="18"/>
                <w:szCs w:val="20"/>
              </w:rPr>
              <w:t>C01.A02 - Atención a las escuelas de educación básica con el protocolo de prevención.</w:t>
            </w:r>
          </w:p>
        </w:tc>
        <w:tc>
          <w:tcPr>
            <w:tcW w:w="2268" w:type="dxa"/>
            <w:shd w:val="clear" w:color="FFFFFF" w:fill="FFFFFF"/>
            <w:hideMark/>
          </w:tcPr>
          <w:p w14:paraId="18F14A97" w14:textId="77777777" w:rsidR="00E23746" w:rsidRPr="0003602B" w:rsidRDefault="00E23746" w:rsidP="000B2F10">
            <w:pPr>
              <w:rPr>
                <w:rFonts w:cs="Arial"/>
                <w:sz w:val="18"/>
                <w:szCs w:val="20"/>
              </w:rPr>
            </w:pPr>
            <w:r w:rsidRPr="0003602B">
              <w:rPr>
                <w:rFonts w:cs="Arial"/>
                <w:sz w:val="18"/>
                <w:szCs w:val="20"/>
              </w:rPr>
              <w:t>C01A02 - Tasa de variación de casos atendidos sobre violencia escolar.</w:t>
            </w:r>
          </w:p>
        </w:tc>
        <w:tc>
          <w:tcPr>
            <w:tcW w:w="2835" w:type="dxa"/>
            <w:shd w:val="clear" w:color="auto" w:fill="auto"/>
            <w:hideMark/>
          </w:tcPr>
          <w:p w14:paraId="7BC745B0" w14:textId="77777777" w:rsidR="00E23746" w:rsidRPr="0003602B" w:rsidRDefault="00E23746" w:rsidP="000B2F10">
            <w:pPr>
              <w:rPr>
                <w:rFonts w:cs="Arial"/>
                <w:sz w:val="18"/>
                <w:szCs w:val="20"/>
              </w:rPr>
            </w:pPr>
            <w:r w:rsidRPr="0003602B">
              <w:rPr>
                <w:rFonts w:cs="Arial"/>
                <w:sz w:val="18"/>
                <w:szCs w:val="20"/>
              </w:rPr>
              <w:t xml:space="preserve">Listas de asistencia, fotografías, Concentrado de casos atendidos generado por el área de Convivencia Escolar. SEQ. Liga: </w:t>
            </w:r>
            <w:hyperlink r:id="rId35" w:history="1">
              <w:r w:rsidRPr="0003602B">
                <w:rPr>
                  <w:rStyle w:val="Hipervnculo"/>
                  <w:rFonts w:cs="Arial"/>
                  <w:sz w:val="18"/>
                  <w:szCs w:val="20"/>
                </w:rPr>
                <w:t>https://qroo.gob.mx/seq/medios-de-verificacion-de-la-planeacion-anual</w:t>
              </w:r>
            </w:hyperlink>
            <w:r w:rsidRPr="0003602B">
              <w:rPr>
                <w:rFonts w:cs="Arial"/>
                <w:sz w:val="18"/>
                <w:szCs w:val="20"/>
              </w:rPr>
              <w:t>.</w:t>
            </w:r>
          </w:p>
        </w:tc>
        <w:tc>
          <w:tcPr>
            <w:tcW w:w="1985" w:type="dxa"/>
            <w:shd w:val="clear" w:color="auto" w:fill="auto"/>
            <w:hideMark/>
          </w:tcPr>
          <w:p w14:paraId="26C9720A" w14:textId="77777777" w:rsidR="00E23746" w:rsidRPr="0003602B" w:rsidRDefault="00E23746" w:rsidP="000B2F10">
            <w:pPr>
              <w:rPr>
                <w:rFonts w:cs="Arial"/>
                <w:sz w:val="18"/>
                <w:szCs w:val="20"/>
              </w:rPr>
            </w:pPr>
            <w:r w:rsidRPr="0003602B">
              <w:rPr>
                <w:rFonts w:cs="Arial"/>
                <w:sz w:val="18"/>
                <w:szCs w:val="20"/>
              </w:rPr>
              <w:t>Las escuelas de educación básica propician un ambiente de armonía, respeto y paz.</w:t>
            </w:r>
          </w:p>
        </w:tc>
      </w:tr>
    </w:tbl>
    <w:p w14:paraId="251CF43B" w14:textId="77777777" w:rsidR="00D47ED1" w:rsidRDefault="00D47ED1">
      <w:pPr>
        <w:spacing w:after="0" w:line="240" w:lineRule="auto"/>
        <w:jc w:val="left"/>
      </w:pPr>
      <w:r>
        <w:br w:type="page"/>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3"/>
        <w:gridCol w:w="2693"/>
        <w:gridCol w:w="2835"/>
        <w:gridCol w:w="2268"/>
        <w:gridCol w:w="2835"/>
        <w:gridCol w:w="1985"/>
      </w:tblGrid>
      <w:tr w:rsidR="00E23746" w:rsidRPr="00574DAC" w14:paraId="6B1FBE8F" w14:textId="77777777" w:rsidTr="00295ECB">
        <w:trPr>
          <w:trHeight w:val="679"/>
        </w:trPr>
        <w:tc>
          <w:tcPr>
            <w:tcW w:w="1413" w:type="dxa"/>
            <w:shd w:val="clear" w:color="000000" w:fill="BFBFBF"/>
            <w:vAlign w:val="center"/>
            <w:hideMark/>
          </w:tcPr>
          <w:p w14:paraId="4BB1CCB3"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lastRenderedPageBreak/>
              <w:t>NIVEL</w:t>
            </w:r>
          </w:p>
        </w:tc>
        <w:tc>
          <w:tcPr>
            <w:tcW w:w="2693" w:type="dxa"/>
            <w:shd w:val="clear" w:color="000000" w:fill="BFBFBF"/>
            <w:vAlign w:val="center"/>
            <w:hideMark/>
          </w:tcPr>
          <w:p w14:paraId="7F06BDA0"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ALINEACIÓN PED/PD</w:t>
            </w:r>
          </w:p>
        </w:tc>
        <w:tc>
          <w:tcPr>
            <w:tcW w:w="2835" w:type="dxa"/>
            <w:shd w:val="clear" w:color="000000" w:fill="BFBFBF"/>
            <w:vAlign w:val="center"/>
            <w:hideMark/>
          </w:tcPr>
          <w:p w14:paraId="40A591B8"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OBJETIVO</w:t>
            </w:r>
          </w:p>
        </w:tc>
        <w:tc>
          <w:tcPr>
            <w:tcW w:w="2268" w:type="dxa"/>
            <w:shd w:val="clear" w:color="000000" w:fill="BFBFBF"/>
            <w:vAlign w:val="center"/>
            <w:hideMark/>
          </w:tcPr>
          <w:p w14:paraId="2AD41D95"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INDICADOR</w:t>
            </w:r>
          </w:p>
        </w:tc>
        <w:tc>
          <w:tcPr>
            <w:tcW w:w="2835" w:type="dxa"/>
            <w:shd w:val="clear" w:color="000000" w:fill="BFBFBF"/>
            <w:vAlign w:val="center"/>
            <w:hideMark/>
          </w:tcPr>
          <w:p w14:paraId="267F9986"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MEDIOS DE VERIFICACIÓN</w:t>
            </w:r>
          </w:p>
        </w:tc>
        <w:tc>
          <w:tcPr>
            <w:tcW w:w="1985" w:type="dxa"/>
            <w:shd w:val="clear" w:color="000000" w:fill="BFBFBF"/>
            <w:vAlign w:val="center"/>
            <w:hideMark/>
          </w:tcPr>
          <w:p w14:paraId="08316C98"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SUPUESTO</w:t>
            </w:r>
          </w:p>
        </w:tc>
      </w:tr>
      <w:tr w:rsidR="00E23746" w:rsidRPr="00574DAC" w14:paraId="4805B1BB" w14:textId="77777777" w:rsidTr="00295ECB">
        <w:trPr>
          <w:trHeight w:val="2134"/>
        </w:trPr>
        <w:tc>
          <w:tcPr>
            <w:tcW w:w="1413" w:type="dxa"/>
            <w:shd w:val="clear" w:color="auto" w:fill="auto"/>
            <w:hideMark/>
          </w:tcPr>
          <w:p w14:paraId="3BDE6EC2" w14:textId="77777777" w:rsidR="00E23746" w:rsidRDefault="00E23746" w:rsidP="000B2F10">
            <w:pPr>
              <w:jc w:val="center"/>
              <w:rPr>
                <w:rFonts w:cs="Arial"/>
                <w:b/>
                <w:bCs/>
                <w:sz w:val="20"/>
                <w:szCs w:val="20"/>
              </w:rPr>
            </w:pPr>
            <w:r>
              <w:rPr>
                <w:rFonts w:cs="Arial"/>
                <w:b/>
                <w:bCs/>
                <w:sz w:val="20"/>
                <w:szCs w:val="20"/>
              </w:rPr>
              <w:t>Actividad</w:t>
            </w:r>
          </w:p>
        </w:tc>
        <w:tc>
          <w:tcPr>
            <w:tcW w:w="2693" w:type="dxa"/>
            <w:shd w:val="clear" w:color="auto" w:fill="auto"/>
            <w:hideMark/>
          </w:tcPr>
          <w:p w14:paraId="5F4BD73A" w14:textId="77777777" w:rsidR="00E23746" w:rsidRDefault="00E23746" w:rsidP="000C7A08">
            <w:pPr>
              <w:rPr>
                <w:rFonts w:cs="Arial"/>
                <w:sz w:val="20"/>
                <w:szCs w:val="20"/>
              </w:rPr>
            </w:pPr>
            <w:r>
              <w:rPr>
                <w:rFonts w:cs="Arial"/>
                <w:sz w:val="20"/>
                <w:szCs w:val="20"/>
              </w:rPr>
              <w:t>Impulsar la formación integral de los estudiantes de educación básica a través de acciones formativas.</w:t>
            </w:r>
          </w:p>
        </w:tc>
        <w:tc>
          <w:tcPr>
            <w:tcW w:w="2835" w:type="dxa"/>
            <w:shd w:val="clear" w:color="auto" w:fill="auto"/>
            <w:hideMark/>
          </w:tcPr>
          <w:p w14:paraId="7B8CA23C" w14:textId="77777777" w:rsidR="00E23746" w:rsidRDefault="00E23746" w:rsidP="000C7A08">
            <w:pPr>
              <w:rPr>
                <w:rFonts w:cs="Arial"/>
                <w:sz w:val="20"/>
                <w:szCs w:val="20"/>
              </w:rPr>
            </w:pPr>
            <w:r>
              <w:rPr>
                <w:rFonts w:cs="Arial"/>
                <w:sz w:val="20"/>
                <w:szCs w:val="20"/>
              </w:rPr>
              <w:t xml:space="preserve">C01.A03 - Seguimiento a la implementación de programas federales en escuelas de educación básica. </w:t>
            </w:r>
          </w:p>
        </w:tc>
        <w:tc>
          <w:tcPr>
            <w:tcW w:w="2268" w:type="dxa"/>
            <w:shd w:val="clear" w:color="FFFFFF" w:fill="FFFFFF"/>
            <w:hideMark/>
          </w:tcPr>
          <w:p w14:paraId="5D38D3A7" w14:textId="77777777" w:rsidR="00E23746" w:rsidRDefault="00E23746" w:rsidP="000C7A08">
            <w:pPr>
              <w:rPr>
                <w:rFonts w:cs="Arial"/>
                <w:sz w:val="20"/>
                <w:szCs w:val="20"/>
              </w:rPr>
            </w:pPr>
            <w:r>
              <w:rPr>
                <w:rFonts w:cs="Arial"/>
                <w:sz w:val="20"/>
                <w:szCs w:val="20"/>
              </w:rPr>
              <w:t>C01A03 - Porcentaje de escuelas públicas beneficiadas con programas federales en educación básica.</w:t>
            </w:r>
          </w:p>
        </w:tc>
        <w:tc>
          <w:tcPr>
            <w:tcW w:w="2835" w:type="dxa"/>
            <w:shd w:val="clear" w:color="auto" w:fill="auto"/>
            <w:hideMark/>
          </w:tcPr>
          <w:p w14:paraId="681C913F" w14:textId="77777777" w:rsidR="00E23746" w:rsidRDefault="00E23746" w:rsidP="000C7A08">
            <w:pPr>
              <w:rPr>
                <w:rFonts w:cs="Arial"/>
                <w:sz w:val="20"/>
                <w:szCs w:val="20"/>
              </w:rPr>
            </w:pPr>
            <w:r>
              <w:rPr>
                <w:rFonts w:cs="Arial"/>
                <w:sz w:val="20"/>
                <w:szCs w:val="20"/>
              </w:rPr>
              <w:t>Bases de datos de las escuelas públicas de educación básica que son beneficiadas de algún programa federal, SEQ. Liga: https://qroo.gob.mx/seq/medios-de-verificacion-de-la-planeacion-anual.</w:t>
            </w:r>
          </w:p>
        </w:tc>
        <w:tc>
          <w:tcPr>
            <w:tcW w:w="1985" w:type="dxa"/>
            <w:shd w:val="clear" w:color="auto" w:fill="auto"/>
            <w:hideMark/>
          </w:tcPr>
          <w:p w14:paraId="2AFD0716" w14:textId="77777777" w:rsidR="00E23746" w:rsidRDefault="00E23746" w:rsidP="000C7A08">
            <w:pPr>
              <w:rPr>
                <w:rFonts w:cs="Arial"/>
                <w:sz w:val="20"/>
                <w:szCs w:val="20"/>
              </w:rPr>
            </w:pPr>
            <w:r>
              <w:rPr>
                <w:rFonts w:cs="Arial"/>
                <w:sz w:val="20"/>
                <w:szCs w:val="20"/>
              </w:rPr>
              <w:t>Las figuras educativas de los centros escolares se interesan en la incorporación de los programas federales.</w:t>
            </w:r>
          </w:p>
        </w:tc>
      </w:tr>
      <w:tr w:rsidR="00E23746" w:rsidRPr="000C7A08" w14:paraId="103584F5" w14:textId="77777777" w:rsidTr="00295ECB">
        <w:trPr>
          <w:trHeight w:val="2789"/>
        </w:trPr>
        <w:tc>
          <w:tcPr>
            <w:tcW w:w="1413" w:type="dxa"/>
            <w:shd w:val="clear" w:color="auto" w:fill="auto"/>
            <w:hideMark/>
          </w:tcPr>
          <w:p w14:paraId="1D802B80" w14:textId="77777777" w:rsidR="00E23746" w:rsidRDefault="00E23746" w:rsidP="000B2F10">
            <w:pPr>
              <w:spacing w:after="0" w:line="240" w:lineRule="auto"/>
              <w:jc w:val="center"/>
              <w:rPr>
                <w:rFonts w:cs="Arial"/>
                <w:b/>
                <w:bCs/>
                <w:sz w:val="20"/>
                <w:szCs w:val="20"/>
              </w:rPr>
            </w:pPr>
            <w:r>
              <w:rPr>
                <w:rFonts w:cs="Arial"/>
                <w:b/>
                <w:bCs/>
                <w:sz w:val="20"/>
                <w:szCs w:val="20"/>
              </w:rPr>
              <w:t>Componente</w:t>
            </w:r>
          </w:p>
        </w:tc>
        <w:tc>
          <w:tcPr>
            <w:tcW w:w="2693" w:type="dxa"/>
            <w:shd w:val="clear" w:color="auto" w:fill="auto"/>
            <w:hideMark/>
          </w:tcPr>
          <w:p w14:paraId="59119BCD" w14:textId="77777777" w:rsidR="00E23746" w:rsidRPr="000C7A08" w:rsidRDefault="00E23746" w:rsidP="000C7A08">
            <w:pPr>
              <w:rPr>
                <w:rFonts w:cs="Arial"/>
                <w:sz w:val="18"/>
                <w:szCs w:val="20"/>
              </w:rPr>
            </w:pPr>
            <w:r w:rsidRPr="000C7A08">
              <w:rPr>
                <w:rFonts w:cs="Arial"/>
                <w:sz w:val="18"/>
                <w:szCs w:val="20"/>
              </w:rPr>
              <w:t>Impulsar la participación de los padres de familia en la formación integral de los alumnos de educación básica.</w:t>
            </w:r>
          </w:p>
        </w:tc>
        <w:tc>
          <w:tcPr>
            <w:tcW w:w="2835" w:type="dxa"/>
            <w:shd w:val="clear" w:color="auto" w:fill="auto"/>
            <w:hideMark/>
          </w:tcPr>
          <w:p w14:paraId="1392DA32" w14:textId="77777777" w:rsidR="00E23746" w:rsidRPr="000C7A08" w:rsidRDefault="00E23746" w:rsidP="000C7A08">
            <w:pPr>
              <w:rPr>
                <w:rFonts w:cs="Arial"/>
                <w:sz w:val="18"/>
                <w:szCs w:val="20"/>
              </w:rPr>
            </w:pPr>
            <w:r w:rsidRPr="000C7A08">
              <w:rPr>
                <w:rFonts w:cs="Arial"/>
                <w:sz w:val="18"/>
                <w:szCs w:val="20"/>
              </w:rPr>
              <w:t>C02 -   Órganos de participación de padres de familia integrados.</w:t>
            </w:r>
          </w:p>
        </w:tc>
        <w:tc>
          <w:tcPr>
            <w:tcW w:w="2268" w:type="dxa"/>
            <w:shd w:val="clear" w:color="FFFFFF" w:fill="FFFFFF"/>
            <w:hideMark/>
          </w:tcPr>
          <w:p w14:paraId="03C97806" w14:textId="77777777" w:rsidR="00E23746" w:rsidRPr="000C7A08" w:rsidRDefault="00E23746" w:rsidP="000C7A08">
            <w:pPr>
              <w:rPr>
                <w:rFonts w:cs="Arial"/>
                <w:sz w:val="18"/>
                <w:szCs w:val="20"/>
              </w:rPr>
            </w:pPr>
            <w:r w:rsidRPr="000C7A08">
              <w:rPr>
                <w:rFonts w:cs="Arial"/>
                <w:sz w:val="18"/>
                <w:szCs w:val="20"/>
              </w:rPr>
              <w:t>C02 - Porcentaje de órganos de participación social que coadyuvan a la mejora de la calidad educativa.</w:t>
            </w:r>
          </w:p>
        </w:tc>
        <w:tc>
          <w:tcPr>
            <w:tcW w:w="2835" w:type="dxa"/>
            <w:shd w:val="clear" w:color="auto" w:fill="auto"/>
            <w:hideMark/>
          </w:tcPr>
          <w:p w14:paraId="630E3912" w14:textId="77777777" w:rsidR="00E23746" w:rsidRPr="000C7A08" w:rsidRDefault="00E23746" w:rsidP="000C7A08">
            <w:pPr>
              <w:rPr>
                <w:rFonts w:cs="Arial"/>
                <w:sz w:val="18"/>
                <w:szCs w:val="20"/>
              </w:rPr>
            </w:pPr>
            <w:r w:rsidRPr="000C7A08">
              <w:rPr>
                <w:rFonts w:cs="Arial"/>
                <w:sz w:val="18"/>
                <w:szCs w:val="20"/>
              </w:rPr>
              <w:t>Reporte trimestral de comunidades escolares que promueven la participación de los padres y madres de familia en las escuelas de educación básica. Dirección de Participación Social,anual.SEQ.Liga:https://qroo.gob.mx/seq/medios-de-verificacion-de-la-planeacion-anual.</w:t>
            </w:r>
          </w:p>
        </w:tc>
        <w:tc>
          <w:tcPr>
            <w:tcW w:w="1985" w:type="dxa"/>
            <w:shd w:val="clear" w:color="auto" w:fill="auto"/>
            <w:hideMark/>
          </w:tcPr>
          <w:p w14:paraId="33B05EE7" w14:textId="77777777" w:rsidR="00E23746" w:rsidRPr="000C7A08" w:rsidRDefault="00E23746" w:rsidP="000C7A08">
            <w:pPr>
              <w:rPr>
                <w:rFonts w:cs="Arial"/>
                <w:sz w:val="18"/>
                <w:szCs w:val="20"/>
              </w:rPr>
            </w:pPr>
            <w:r w:rsidRPr="000C7A08">
              <w:rPr>
                <w:rFonts w:cs="Arial"/>
                <w:sz w:val="18"/>
                <w:szCs w:val="20"/>
              </w:rPr>
              <w:t>Las comunidades escolares colaboran activamente en las actividades que se desarrollan en las escuelas de educación básica.</w:t>
            </w:r>
          </w:p>
        </w:tc>
      </w:tr>
      <w:tr w:rsidR="00E23746" w:rsidRPr="000C7A08" w14:paraId="2D021583" w14:textId="77777777" w:rsidTr="00295ECB">
        <w:trPr>
          <w:trHeight w:val="1826"/>
        </w:trPr>
        <w:tc>
          <w:tcPr>
            <w:tcW w:w="1413" w:type="dxa"/>
            <w:shd w:val="clear" w:color="auto" w:fill="auto"/>
            <w:hideMark/>
          </w:tcPr>
          <w:p w14:paraId="703A77F4" w14:textId="77777777" w:rsidR="00E23746" w:rsidRDefault="00E23746" w:rsidP="000B2F10">
            <w:pPr>
              <w:jc w:val="center"/>
              <w:rPr>
                <w:rFonts w:cs="Arial"/>
                <w:b/>
                <w:bCs/>
                <w:sz w:val="20"/>
                <w:szCs w:val="20"/>
              </w:rPr>
            </w:pPr>
            <w:r>
              <w:rPr>
                <w:rFonts w:cs="Arial"/>
                <w:b/>
                <w:bCs/>
                <w:sz w:val="20"/>
                <w:szCs w:val="20"/>
              </w:rPr>
              <w:t>Actividad</w:t>
            </w:r>
          </w:p>
        </w:tc>
        <w:tc>
          <w:tcPr>
            <w:tcW w:w="2693" w:type="dxa"/>
            <w:shd w:val="clear" w:color="auto" w:fill="auto"/>
            <w:hideMark/>
          </w:tcPr>
          <w:p w14:paraId="0E18BA63" w14:textId="77777777" w:rsidR="00E23746" w:rsidRPr="000C7A08" w:rsidRDefault="00E23746" w:rsidP="000C7A08">
            <w:pPr>
              <w:rPr>
                <w:rFonts w:cs="Arial"/>
                <w:sz w:val="18"/>
                <w:szCs w:val="20"/>
              </w:rPr>
            </w:pPr>
            <w:r w:rsidRPr="000C7A08">
              <w:rPr>
                <w:rFonts w:cs="Arial"/>
                <w:sz w:val="18"/>
                <w:szCs w:val="20"/>
              </w:rPr>
              <w:t>Impulsar la participación de los padres de familia en la formación integral de los alumnos de educación básica.</w:t>
            </w:r>
          </w:p>
        </w:tc>
        <w:tc>
          <w:tcPr>
            <w:tcW w:w="2835" w:type="dxa"/>
            <w:shd w:val="clear" w:color="auto" w:fill="auto"/>
            <w:hideMark/>
          </w:tcPr>
          <w:p w14:paraId="65B32D6C" w14:textId="77777777" w:rsidR="00E23746" w:rsidRPr="000C7A08" w:rsidRDefault="00E23746" w:rsidP="000C7A08">
            <w:pPr>
              <w:rPr>
                <w:rFonts w:cs="Arial"/>
                <w:sz w:val="18"/>
                <w:szCs w:val="20"/>
              </w:rPr>
            </w:pPr>
            <w:r w:rsidRPr="000C7A08">
              <w:rPr>
                <w:rFonts w:cs="Arial"/>
                <w:sz w:val="18"/>
                <w:szCs w:val="20"/>
              </w:rPr>
              <w:t>C02.A01 - Participación de los padres de familia en la formación integral de los alumnos de educación básica.</w:t>
            </w:r>
          </w:p>
        </w:tc>
        <w:tc>
          <w:tcPr>
            <w:tcW w:w="2268" w:type="dxa"/>
            <w:shd w:val="clear" w:color="FFFFFF" w:fill="FFFFFF"/>
            <w:hideMark/>
          </w:tcPr>
          <w:p w14:paraId="25E270B0" w14:textId="77777777" w:rsidR="00E23746" w:rsidRPr="000C7A08" w:rsidRDefault="00E23746" w:rsidP="000C7A08">
            <w:pPr>
              <w:rPr>
                <w:rFonts w:cs="Arial"/>
                <w:sz w:val="18"/>
                <w:szCs w:val="20"/>
              </w:rPr>
            </w:pPr>
            <w:r w:rsidRPr="000C7A08">
              <w:rPr>
                <w:rFonts w:cs="Arial"/>
                <w:sz w:val="18"/>
                <w:szCs w:val="20"/>
              </w:rPr>
              <w:t>C02A01 - Porcentaje de escuelas que promueven la participación de padres de familia en actividades escolares.</w:t>
            </w:r>
          </w:p>
        </w:tc>
        <w:tc>
          <w:tcPr>
            <w:tcW w:w="2835" w:type="dxa"/>
            <w:shd w:val="clear" w:color="auto" w:fill="auto"/>
            <w:hideMark/>
          </w:tcPr>
          <w:p w14:paraId="7B09CB5A" w14:textId="77777777" w:rsidR="00E23746" w:rsidRPr="000C7A08" w:rsidRDefault="00E23746" w:rsidP="000C7A08">
            <w:pPr>
              <w:rPr>
                <w:rFonts w:cs="Arial"/>
                <w:sz w:val="18"/>
                <w:szCs w:val="20"/>
              </w:rPr>
            </w:pPr>
            <w:r w:rsidRPr="000C7A08">
              <w:rPr>
                <w:rFonts w:cs="Arial"/>
                <w:sz w:val="18"/>
                <w:szCs w:val="20"/>
              </w:rPr>
              <w:t>Relación de escuela que participan en actividades familiares. Dirección de Participación Social,anual.SEQ.Liga:qroo.gob.mx/seq/medios-de-verificacion-de-la-planeacion-anual.</w:t>
            </w:r>
          </w:p>
        </w:tc>
        <w:tc>
          <w:tcPr>
            <w:tcW w:w="1985" w:type="dxa"/>
            <w:shd w:val="clear" w:color="auto" w:fill="auto"/>
            <w:hideMark/>
          </w:tcPr>
          <w:p w14:paraId="41CB3D79" w14:textId="77777777" w:rsidR="00E23746" w:rsidRPr="000C7A08" w:rsidRDefault="00E23746" w:rsidP="000C7A08">
            <w:pPr>
              <w:rPr>
                <w:rFonts w:cs="Arial"/>
                <w:sz w:val="18"/>
                <w:szCs w:val="20"/>
              </w:rPr>
            </w:pPr>
            <w:r w:rsidRPr="000C7A08">
              <w:rPr>
                <w:rFonts w:cs="Arial"/>
                <w:sz w:val="18"/>
                <w:szCs w:val="20"/>
              </w:rPr>
              <w:t>Los padres de familia participan en actividades para la formación y desarrollo de sus hijos.</w:t>
            </w:r>
          </w:p>
        </w:tc>
      </w:tr>
    </w:tbl>
    <w:p w14:paraId="2A7DE1CF" w14:textId="77777777" w:rsidR="00D47ED1" w:rsidRDefault="00D47ED1">
      <w:pPr>
        <w:spacing w:after="0" w:line="240" w:lineRule="auto"/>
        <w:jc w:val="left"/>
      </w:pPr>
      <w:r>
        <w:br w:type="page"/>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71"/>
        <w:gridCol w:w="2835"/>
        <w:gridCol w:w="2835"/>
        <w:gridCol w:w="2268"/>
        <w:gridCol w:w="2835"/>
        <w:gridCol w:w="1985"/>
      </w:tblGrid>
      <w:tr w:rsidR="00E23746" w:rsidRPr="00574DAC" w14:paraId="75FA59D3" w14:textId="77777777" w:rsidTr="006B434D">
        <w:trPr>
          <w:trHeight w:val="679"/>
        </w:trPr>
        <w:tc>
          <w:tcPr>
            <w:tcW w:w="1271" w:type="dxa"/>
            <w:shd w:val="clear" w:color="000000" w:fill="BFBFBF"/>
            <w:vAlign w:val="center"/>
            <w:hideMark/>
          </w:tcPr>
          <w:p w14:paraId="4400122A"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lastRenderedPageBreak/>
              <w:t>NIVEL</w:t>
            </w:r>
          </w:p>
        </w:tc>
        <w:tc>
          <w:tcPr>
            <w:tcW w:w="2835" w:type="dxa"/>
            <w:shd w:val="clear" w:color="000000" w:fill="BFBFBF"/>
            <w:vAlign w:val="center"/>
            <w:hideMark/>
          </w:tcPr>
          <w:p w14:paraId="51C5AB5A"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ALINEACIÓN PED/PD</w:t>
            </w:r>
          </w:p>
        </w:tc>
        <w:tc>
          <w:tcPr>
            <w:tcW w:w="2835" w:type="dxa"/>
            <w:shd w:val="clear" w:color="000000" w:fill="BFBFBF"/>
            <w:vAlign w:val="center"/>
            <w:hideMark/>
          </w:tcPr>
          <w:p w14:paraId="274B6A39"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OBJETIVO</w:t>
            </w:r>
          </w:p>
        </w:tc>
        <w:tc>
          <w:tcPr>
            <w:tcW w:w="2268" w:type="dxa"/>
            <w:shd w:val="clear" w:color="000000" w:fill="BFBFBF"/>
            <w:vAlign w:val="center"/>
            <w:hideMark/>
          </w:tcPr>
          <w:p w14:paraId="1336CDF9"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INDICADOR</w:t>
            </w:r>
          </w:p>
        </w:tc>
        <w:tc>
          <w:tcPr>
            <w:tcW w:w="2835" w:type="dxa"/>
            <w:shd w:val="clear" w:color="000000" w:fill="BFBFBF"/>
            <w:vAlign w:val="center"/>
            <w:hideMark/>
          </w:tcPr>
          <w:p w14:paraId="388884F3"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MEDIOS DE VERIFICACIÓN</w:t>
            </w:r>
          </w:p>
        </w:tc>
        <w:tc>
          <w:tcPr>
            <w:tcW w:w="1985" w:type="dxa"/>
            <w:shd w:val="clear" w:color="000000" w:fill="BFBFBF"/>
            <w:vAlign w:val="center"/>
            <w:hideMark/>
          </w:tcPr>
          <w:p w14:paraId="686140A8"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SUPUESTO</w:t>
            </w:r>
          </w:p>
        </w:tc>
      </w:tr>
      <w:tr w:rsidR="00E23746" w:rsidRPr="00574DAC" w14:paraId="6753978E" w14:textId="77777777" w:rsidTr="006B434D">
        <w:trPr>
          <w:trHeight w:val="2110"/>
        </w:trPr>
        <w:tc>
          <w:tcPr>
            <w:tcW w:w="1271" w:type="dxa"/>
            <w:shd w:val="clear" w:color="auto" w:fill="auto"/>
            <w:hideMark/>
          </w:tcPr>
          <w:p w14:paraId="2054E9F7" w14:textId="77777777" w:rsidR="00E23746" w:rsidRDefault="00E23746" w:rsidP="000B2F10">
            <w:pPr>
              <w:jc w:val="center"/>
              <w:rPr>
                <w:rFonts w:cs="Arial"/>
                <w:b/>
                <w:bCs/>
                <w:sz w:val="20"/>
                <w:szCs w:val="20"/>
              </w:rPr>
            </w:pPr>
            <w:r>
              <w:rPr>
                <w:rFonts w:cs="Arial"/>
                <w:b/>
                <w:bCs/>
                <w:sz w:val="20"/>
                <w:szCs w:val="20"/>
              </w:rPr>
              <w:t>Actividad</w:t>
            </w:r>
          </w:p>
        </w:tc>
        <w:tc>
          <w:tcPr>
            <w:tcW w:w="2835" w:type="dxa"/>
            <w:shd w:val="clear" w:color="auto" w:fill="auto"/>
            <w:hideMark/>
          </w:tcPr>
          <w:p w14:paraId="74A07B60" w14:textId="77777777" w:rsidR="00E23746" w:rsidRDefault="00E23746" w:rsidP="000C7A08">
            <w:pPr>
              <w:rPr>
                <w:rFonts w:cs="Arial"/>
                <w:sz w:val="20"/>
                <w:szCs w:val="20"/>
              </w:rPr>
            </w:pPr>
            <w:r>
              <w:rPr>
                <w:rFonts w:cs="Arial"/>
                <w:sz w:val="20"/>
                <w:szCs w:val="20"/>
              </w:rPr>
              <w:t>Impulsar la participación de los padres de familia en la formación integral de los alumnos de educación básica.</w:t>
            </w:r>
          </w:p>
        </w:tc>
        <w:tc>
          <w:tcPr>
            <w:tcW w:w="2835" w:type="dxa"/>
            <w:shd w:val="clear" w:color="auto" w:fill="auto"/>
            <w:hideMark/>
          </w:tcPr>
          <w:p w14:paraId="4BA9F920" w14:textId="77777777" w:rsidR="00E23746" w:rsidRDefault="00E23746" w:rsidP="000C7A08">
            <w:pPr>
              <w:rPr>
                <w:rFonts w:cs="Arial"/>
                <w:sz w:val="20"/>
                <w:szCs w:val="20"/>
              </w:rPr>
            </w:pPr>
            <w:r>
              <w:rPr>
                <w:rFonts w:cs="Arial"/>
                <w:sz w:val="20"/>
                <w:szCs w:val="20"/>
              </w:rPr>
              <w:t>C02.A02 - Participación de escuelas en la estrategia familias educadoras.</w:t>
            </w:r>
          </w:p>
        </w:tc>
        <w:tc>
          <w:tcPr>
            <w:tcW w:w="2268" w:type="dxa"/>
            <w:shd w:val="clear" w:color="FFFFFF" w:fill="FFFFFF"/>
            <w:hideMark/>
          </w:tcPr>
          <w:p w14:paraId="52C72627" w14:textId="77777777" w:rsidR="00E23746" w:rsidRDefault="00E23746" w:rsidP="000C7A08">
            <w:pPr>
              <w:rPr>
                <w:rFonts w:cs="Arial"/>
                <w:sz w:val="20"/>
                <w:szCs w:val="20"/>
              </w:rPr>
            </w:pPr>
            <w:r>
              <w:rPr>
                <w:rFonts w:cs="Arial"/>
                <w:sz w:val="20"/>
                <w:szCs w:val="20"/>
              </w:rPr>
              <w:t>C02A02I01 - Porcentaje de escuelas que participan en la estrategia familias educadoras.</w:t>
            </w:r>
          </w:p>
        </w:tc>
        <w:tc>
          <w:tcPr>
            <w:tcW w:w="2835" w:type="dxa"/>
            <w:shd w:val="clear" w:color="auto" w:fill="auto"/>
            <w:hideMark/>
          </w:tcPr>
          <w:p w14:paraId="3D0F84BA" w14:textId="77777777" w:rsidR="00E23746" w:rsidRDefault="00E23746" w:rsidP="000C7A08">
            <w:pPr>
              <w:rPr>
                <w:rFonts w:cs="Arial"/>
                <w:sz w:val="20"/>
                <w:szCs w:val="20"/>
              </w:rPr>
            </w:pPr>
            <w:r>
              <w:rPr>
                <w:rFonts w:cs="Arial"/>
                <w:sz w:val="20"/>
                <w:szCs w:val="20"/>
              </w:rPr>
              <w:t>Relación de escuelas que participan en la estrategia familias educadoras. Dirección de Participación Social, trimestral. SEQ. Liga:https://qroo.gob.mx/seq/medios-de-verificacion-de-la-planeacion-anual.</w:t>
            </w:r>
          </w:p>
        </w:tc>
        <w:tc>
          <w:tcPr>
            <w:tcW w:w="1985" w:type="dxa"/>
            <w:shd w:val="clear" w:color="auto" w:fill="auto"/>
            <w:hideMark/>
          </w:tcPr>
          <w:p w14:paraId="1763B641" w14:textId="77777777" w:rsidR="00E23746" w:rsidRDefault="00E23746" w:rsidP="000C7A08">
            <w:pPr>
              <w:rPr>
                <w:rFonts w:cs="Arial"/>
                <w:sz w:val="20"/>
                <w:szCs w:val="20"/>
              </w:rPr>
            </w:pPr>
            <w:r>
              <w:rPr>
                <w:rFonts w:cs="Arial"/>
                <w:sz w:val="20"/>
                <w:szCs w:val="20"/>
              </w:rPr>
              <w:t>Los padres de familia adquieren conocimientos para apoyar en el desarrollo y formación de sus hijos.</w:t>
            </w:r>
          </w:p>
        </w:tc>
      </w:tr>
      <w:tr w:rsidR="00E23746" w:rsidRPr="00574DAC" w14:paraId="795E57C0" w14:textId="77777777" w:rsidTr="006B434D">
        <w:trPr>
          <w:trHeight w:val="2110"/>
        </w:trPr>
        <w:tc>
          <w:tcPr>
            <w:tcW w:w="1271" w:type="dxa"/>
            <w:shd w:val="clear" w:color="auto" w:fill="auto"/>
          </w:tcPr>
          <w:p w14:paraId="0CEA086B" w14:textId="77777777" w:rsidR="00E23746" w:rsidRDefault="00E23746" w:rsidP="000B2F10">
            <w:pPr>
              <w:jc w:val="center"/>
              <w:rPr>
                <w:rFonts w:cs="Arial"/>
                <w:b/>
                <w:bCs/>
                <w:sz w:val="20"/>
                <w:szCs w:val="20"/>
              </w:rPr>
            </w:pPr>
            <w:r>
              <w:rPr>
                <w:rFonts w:cs="Arial"/>
                <w:b/>
                <w:bCs/>
                <w:sz w:val="20"/>
                <w:szCs w:val="20"/>
              </w:rPr>
              <w:t>Actividad</w:t>
            </w:r>
          </w:p>
        </w:tc>
        <w:tc>
          <w:tcPr>
            <w:tcW w:w="2835" w:type="dxa"/>
            <w:shd w:val="clear" w:color="auto" w:fill="auto"/>
          </w:tcPr>
          <w:p w14:paraId="09519E95" w14:textId="77777777" w:rsidR="00E23746" w:rsidRDefault="00E23746" w:rsidP="000C7A08">
            <w:pPr>
              <w:rPr>
                <w:rFonts w:cs="Arial"/>
                <w:sz w:val="20"/>
                <w:szCs w:val="20"/>
              </w:rPr>
            </w:pPr>
            <w:r>
              <w:rPr>
                <w:rFonts w:cs="Arial"/>
                <w:sz w:val="20"/>
                <w:szCs w:val="20"/>
              </w:rPr>
              <w:t>Impulsar la participación de los padres de familia en la formación integral de los alumnos de educación básica.</w:t>
            </w:r>
          </w:p>
        </w:tc>
        <w:tc>
          <w:tcPr>
            <w:tcW w:w="2835" w:type="dxa"/>
            <w:shd w:val="clear" w:color="auto" w:fill="auto"/>
          </w:tcPr>
          <w:p w14:paraId="1B3D65F7" w14:textId="77777777" w:rsidR="00E23746" w:rsidRDefault="00E23746" w:rsidP="000C7A08">
            <w:pPr>
              <w:rPr>
                <w:rFonts w:cs="Arial"/>
                <w:sz w:val="20"/>
                <w:szCs w:val="20"/>
              </w:rPr>
            </w:pPr>
            <w:r>
              <w:rPr>
                <w:rFonts w:cs="Arial"/>
                <w:sz w:val="20"/>
                <w:szCs w:val="20"/>
              </w:rPr>
              <w:t>C02.A03 - Coordinación de las tiendas escolares.</w:t>
            </w:r>
          </w:p>
        </w:tc>
        <w:tc>
          <w:tcPr>
            <w:tcW w:w="2268" w:type="dxa"/>
            <w:shd w:val="clear" w:color="FFFFFF" w:fill="FFFFFF"/>
          </w:tcPr>
          <w:p w14:paraId="1D7D722D" w14:textId="77777777" w:rsidR="00E23746" w:rsidRDefault="00E23746" w:rsidP="000C7A08">
            <w:pPr>
              <w:rPr>
                <w:rFonts w:cs="Arial"/>
                <w:sz w:val="20"/>
                <w:szCs w:val="20"/>
              </w:rPr>
            </w:pPr>
            <w:r>
              <w:rPr>
                <w:rFonts w:cs="Arial"/>
                <w:sz w:val="20"/>
                <w:szCs w:val="20"/>
              </w:rPr>
              <w:t>C02A03 - Porcentaje de tiendas escolares en funcionamiento.</w:t>
            </w:r>
          </w:p>
        </w:tc>
        <w:tc>
          <w:tcPr>
            <w:tcW w:w="2835" w:type="dxa"/>
            <w:shd w:val="clear" w:color="auto" w:fill="auto"/>
          </w:tcPr>
          <w:p w14:paraId="7091D9B9" w14:textId="77777777" w:rsidR="00E23746" w:rsidRDefault="00E23746" w:rsidP="000C7A08">
            <w:pPr>
              <w:rPr>
                <w:rFonts w:cs="Arial"/>
                <w:sz w:val="20"/>
                <w:szCs w:val="20"/>
              </w:rPr>
            </w:pPr>
            <w:r>
              <w:rPr>
                <w:rFonts w:cs="Arial"/>
                <w:sz w:val="20"/>
                <w:szCs w:val="20"/>
              </w:rPr>
              <w:t>Reportes de escuelas con tiendas escolares. Dirección de Participación Social, trimestral. SEQ. Liga:https://qroo.gob.mx/seq/medios-de-verificacion-de-la-planeacion-anual.</w:t>
            </w:r>
          </w:p>
        </w:tc>
        <w:tc>
          <w:tcPr>
            <w:tcW w:w="1985" w:type="dxa"/>
            <w:shd w:val="clear" w:color="auto" w:fill="auto"/>
          </w:tcPr>
          <w:p w14:paraId="265A82F2" w14:textId="77777777" w:rsidR="00E23746" w:rsidRDefault="00E23746" w:rsidP="000C7A08">
            <w:pPr>
              <w:rPr>
                <w:rFonts w:cs="Arial"/>
                <w:sz w:val="20"/>
                <w:szCs w:val="20"/>
              </w:rPr>
            </w:pPr>
            <w:r>
              <w:rPr>
                <w:rFonts w:cs="Arial"/>
                <w:sz w:val="20"/>
                <w:szCs w:val="20"/>
              </w:rPr>
              <w:t>Los padres de familia participan en la alimentación saludable de sus hijos en las escuelas de educación básica.</w:t>
            </w:r>
          </w:p>
        </w:tc>
      </w:tr>
      <w:tr w:rsidR="00E23746" w:rsidRPr="00574DAC" w14:paraId="460E750D" w14:textId="77777777" w:rsidTr="006B434D">
        <w:trPr>
          <w:trHeight w:val="2110"/>
        </w:trPr>
        <w:tc>
          <w:tcPr>
            <w:tcW w:w="1271" w:type="dxa"/>
            <w:shd w:val="clear" w:color="auto" w:fill="auto"/>
          </w:tcPr>
          <w:p w14:paraId="335958C9" w14:textId="77777777" w:rsidR="00E23746" w:rsidRDefault="00E23746" w:rsidP="000B2F10">
            <w:pPr>
              <w:jc w:val="center"/>
              <w:rPr>
                <w:rFonts w:cs="Arial"/>
                <w:b/>
                <w:bCs/>
                <w:sz w:val="20"/>
                <w:szCs w:val="20"/>
              </w:rPr>
            </w:pPr>
            <w:r>
              <w:rPr>
                <w:rFonts w:cs="Arial"/>
                <w:b/>
                <w:bCs/>
                <w:sz w:val="20"/>
                <w:szCs w:val="20"/>
              </w:rPr>
              <w:t>Actividad</w:t>
            </w:r>
          </w:p>
        </w:tc>
        <w:tc>
          <w:tcPr>
            <w:tcW w:w="2835" w:type="dxa"/>
            <w:shd w:val="clear" w:color="auto" w:fill="auto"/>
          </w:tcPr>
          <w:p w14:paraId="05AFF090" w14:textId="77777777" w:rsidR="00E23746" w:rsidRDefault="00E23746" w:rsidP="000C7A08">
            <w:pPr>
              <w:rPr>
                <w:rFonts w:cs="Arial"/>
                <w:sz w:val="20"/>
                <w:szCs w:val="20"/>
              </w:rPr>
            </w:pPr>
            <w:r>
              <w:rPr>
                <w:rFonts w:cs="Arial"/>
                <w:sz w:val="20"/>
                <w:szCs w:val="20"/>
              </w:rPr>
              <w:t>Impulsar la participación de los padres de familia en la formación integral de los alumnos de educación básica.</w:t>
            </w:r>
          </w:p>
        </w:tc>
        <w:tc>
          <w:tcPr>
            <w:tcW w:w="2835" w:type="dxa"/>
            <w:shd w:val="clear" w:color="auto" w:fill="auto"/>
          </w:tcPr>
          <w:p w14:paraId="49AC7A1C" w14:textId="77777777" w:rsidR="00E23746" w:rsidRDefault="00E23746" w:rsidP="000C7A08">
            <w:pPr>
              <w:rPr>
                <w:rFonts w:cs="Arial"/>
                <w:sz w:val="20"/>
                <w:szCs w:val="20"/>
              </w:rPr>
            </w:pPr>
            <w:r>
              <w:rPr>
                <w:rFonts w:cs="Arial"/>
                <w:sz w:val="20"/>
                <w:szCs w:val="20"/>
              </w:rPr>
              <w:t>C02.A04 - Realización de actividades para fomentar la cultura de transparencia y rendición de cuentas de los comités de contraloría social.</w:t>
            </w:r>
          </w:p>
        </w:tc>
        <w:tc>
          <w:tcPr>
            <w:tcW w:w="2268" w:type="dxa"/>
            <w:shd w:val="clear" w:color="FFFFFF" w:fill="FFFFFF"/>
          </w:tcPr>
          <w:p w14:paraId="78D56E0B" w14:textId="77777777" w:rsidR="00E23746" w:rsidRDefault="00E23746" w:rsidP="000C7A08">
            <w:pPr>
              <w:rPr>
                <w:rFonts w:cs="Arial"/>
                <w:sz w:val="20"/>
                <w:szCs w:val="20"/>
              </w:rPr>
            </w:pPr>
            <w:r>
              <w:rPr>
                <w:rFonts w:cs="Arial"/>
                <w:sz w:val="20"/>
                <w:szCs w:val="20"/>
              </w:rPr>
              <w:t>C02A04 - Porcentaje de comités de contraloría social que realizan actividades para fomentar la transparencia y rendición de cuentas.</w:t>
            </w:r>
          </w:p>
        </w:tc>
        <w:tc>
          <w:tcPr>
            <w:tcW w:w="2835" w:type="dxa"/>
            <w:shd w:val="clear" w:color="auto" w:fill="auto"/>
          </w:tcPr>
          <w:p w14:paraId="231D84C6" w14:textId="77777777" w:rsidR="00E23746" w:rsidRDefault="00E23746" w:rsidP="000C7A08">
            <w:pPr>
              <w:rPr>
                <w:rFonts w:cs="Arial"/>
                <w:sz w:val="20"/>
                <w:szCs w:val="20"/>
              </w:rPr>
            </w:pPr>
            <w:r>
              <w:rPr>
                <w:rFonts w:cs="Arial"/>
                <w:sz w:val="20"/>
                <w:szCs w:val="20"/>
              </w:rPr>
              <w:t>Reporte de comités constituidos. Dirección de Participación Social, trimestral. SEQ. Liga:https://qroo.gob.mx/seq/medios-de-verificacion-de-la-planeacion-anual.</w:t>
            </w:r>
          </w:p>
          <w:p w14:paraId="2EEB8F16" w14:textId="2690FBED" w:rsidR="000C7A08" w:rsidRDefault="000C7A08" w:rsidP="000C7A08">
            <w:pPr>
              <w:rPr>
                <w:rFonts w:cs="Arial"/>
                <w:sz w:val="20"/>
                <w:szCs w:val="20"/>
              </w:rPr>
            </w:pPr>
          </w:p>
        </w:tc>
        <w:tc>
          <w:tcPr>
            <w:tcW w:w="1985" w:type="dxa"/>
            <w:shd w:val="clear" w:color="auto" w:fill="auto"/>
          </w:tcPr>
          <w:p w14:paraId="1DDD18D5" w14:textId="77777777" w:rsidR="00E23746" w:rsidRDefault="00E23746" w:rsidP="000C7A08">
            <w:pPr>
              <w:rPr>
                <w:rFonts w:cs="Arial"/>
                <w:sz w:val="20"/>
                <w:szCs w:val="20"/>
              </w:rPr>
            </w:pPr>
            <w:r>
              <w:rPr>
                <w:rFonts w:cs="Arial"/>
                <w:sz w:val="20"/>
                <w:szCs w:val="20"/>
              </w:rPr>
              <w:t>Padres de familia cumplen con las actividades de la educación básica de sus hijos.</w:t>
            </w:r>
          </w:p>
        </w:tc>
      </w:tr>
    </w:tbl>
    <w:p w14:paraId="5C9CE642" w14:textId="77777777" w:rsidR="00D47ED1" w:rsidRDefault="00D47ED1">
      <w:pPr>
        <w:spacing w:after="0" w:line="240" w:lineRule="auto"/>
        <w:jc w:val="left"/>
      </w:pPr>
      <w:r>
        <w:br w:type="page"/>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3"/>
        <w:gridCol w:w="2693"/>
        <w:gridCol w:w="2835"/>
        <w:gridCol w:w="2268"/>
        <w:gridCol w:w="2835"/>
        <w:gridCol w:w="1985"/>
      </w:tblGrid>
      <w:tr w:rsidR="00E23746" w:rsidRPr="00574DAC" w14:paraId="0CA4EE2B" w14:textId="77777777" w:rsidTr="00295ECB">
        <w:trPr>
          <w:trHeight w:val="679"/>
        </w:trPr>
        <w:tc>
          <w:tcPr>
            <w:tcW w:w="1413" w:type="dxa"/>
            <w:shd w:val="clear" w:color="000000" w:fill="BFBFBF"/>
            <w:vAlign w:val="center"/>
            <w:hideMark/>
          </w:tcPr>
          <w:p w14:paraId="33AD4D1D"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lastRenderedPageBreak/>
              <w:t>NIVEL</w:t>
            </w:r>
          </w:p>
        </w:tc>
        <w:tc>
          <w:tcPr>
            <w:tcW w:w="2693" w:type="dxa"/>
            <w:shd w:val="clear" w:color="000000" w:fill="BFBFBF"/>
            <w:vAlign w:val="center"/>
            <w:hideMark/>
          </w:tcPr>
          <w:p w14:paraId="1A741FC3"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ALINEACIÓN PED/PD</w:t>
            </w:r>
          </w:p>
        </w:tc>
        <w:tc>
          <w:tcPr>
            <w:tcW w:w="2835" w:type="dxa"/>
            <w:shd w:val="clear" w:color="000000" w:fill="BFBFBF"/>
            <w:vAlign w:val="center"/>
            <w:hideMark/>
          </w:tcPr>
          <w:p w14:paraId="73F34797"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OBJETIVO</w:t>
            </w:r>
          </w:p>
        </w:tc>
        <w:tc>
          <w:tcPr>
            <w:tcW w:w="2268" w:type="dxa"/>
            <w:shd w:val="clear" w:color="000000" w:fill="BFBFBF"/>
            <w:vAlign w:val="center"/>
            <w:hideMark/>
          </w:tcPr>
          <w:p w14:paraId="570E5E32"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INDICADOR</w:t>
            </w:r>
          </w:p>
        </w:tc>
        <w:tc>
          <w:tcPr>
            <w:tcW w:w="2835" w:type="dxa"/>
            <w:shd w:val="clear" w:color="000000" w:fill="BFBFBF"/>
            <w:vAlign w:val="center"/>
            <w:hideMark/>
          </w:tcPr>
          <w:p w14:paraId="5D408532"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MEDIOS DE VERIFICACIÓN</w:t>
            </w:r>
          </w:p>
        </w:tc>
        <w:tc>
          <w:tcPr>
            <w:tcW w:w="1985" w:type="dxa"/>
            <w:shd w:val="clear" w:color="000000" w:fill="BFBFBF"/>
            <w:vAlign w:val="center"/>
            <w:hideMark/>
          </w:tcPr>
          <w:p w14:paraId="0F42B1A0"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SUPUESTO</w:t>
            </w:r>
          </w:p>
        </w:tc>
      </w:tr>
      <w:tr w:rsidR="00E23746" w:rsidRPr="00574DAC" w14:paraId="0E8B4CD7" w14:textId="77777777" w:rsidTr="00295ECB">
        <w:trPr>
          <w:trHeight w:val="2110"/>
        </w:trPr>
        <w:tc>
          <w:tcPr>
            <w:tcW w:w="1413" w:type="dxa"/>
            <w:shd w:val="clear" w:color="auto" w:fill="auto"/>
          </w:tcPr>
          <w:p w14:paraId="2E518D16" w14:textId="77777777" w:rsidR="00E23746" w:rsidRDefault="00E23746" w:rsidP="000B2F10">
            <w:pPr>
              <w:spacing w:after="0" w:line="240" w:lineRule="auto"/>
              <w:jc w:val="center"/>
              <w:rPr>
                <w:rFonts w:cs="Arial"/>
                <w:b/>
                <w:bCs/>
                <w:sz w:val="20"/>
                <w:szCs w:val="20"/>
              </w:rPr>
            </w:pPr>
            <w:r>
              <w:rPr>
                <w:rFonts w:cs="Arial"/>
                <w:b/>
                <w:bCs/>
                <w:sz w:val="20"/>
                <w:szCs w:val="20"/>
              </w:rPr>
              <w:t>Componente</w:t>
            </w:r>
          </w:p>
        </w:tc>
        <w:tc>
          <w:tcPr>
            <w:tcW w:w="2693" w:type="dxa"/>
            <w:shd w:val="clear" w:color="auto" w:fill="auto"/>
          </w:tcPr>
          <w:p w14:paraId="099E57F1" w14:textId="77777777" w:rsidR="00E23746" w:rsidRDefault="00E23746" w:rsidP="000C7A08">
            <w:pPr>
              <w:rPr>
                <w:rFonts w:cs="Arial"/>
                <w:sz w:val="20"/>
                <w:szCs w:val="20"/>
              </w:rPr>
            </w:pPr>
            <w:r>
              <w:rPr>
                <w:rFonts w:cs="Arial"/>
                <w:sz w:val="20"/>
                <w:szCs w:val="20"/>
              </w:rPr>
              <w:t>Impulsar e implementar acciones permanentes en materia de promoción, protección y defensa de los Derechos Humanos, con la aplicación de planteamientos legales, estructurales, así como la constante formación de los Servidores Públicos fortaleciendo el ejercicio de los Derechos Humanos de los ciudadanos.</w:t>
            </w:r>
          </w:p>
          <w:p w14:paraId="1AA06EF4" w14:textId="77777777" w:rsidR="00E23746" w:rsidRDefault="00E23746" w:rsidP="000C7A08">
            <w:pPr>
              <w:rPr>
                <w:rFonts w:cs="Arial"/>
                <w:sz w:val="20"/>
                <w:szCs w:val="20"/>
              </w:rPr>
            </w:pPr>
          </w:p>
        </w:tc>
        <w:tc>
          <w:tcPr>
            <w:tcW w:w="2835" w:type="dxa"/>
            <w:shd w:val="clear" w:color="auto" w:fill="auto"/>
          </w:tcPr>
          <w:p w14:paraId="17CD352D" w14:textId="77777777" w:rsidR="00E23746" w:rsidRDefault="00E23746" w:rsidP="000C7A08">
            <w:pPr>
              <w:rPr>
                <w:rFonts w:cs="Arial"/>
                <w:sz w:val="20"/>
                <w:szCs w:val="20"/>
              </w:rPr>
            </w:pPr>
            <w:r>
              <w:rPr>
                <w:rFonts w:cs="Arial"/>
                <w:sz w:val="20"/>
                <w:szCs w:val="20"/>
              </w:rPr>
              <w:t>C03 - Gestión institucional en la comunidad educativa, fortalecida.</w:t>
            </w:r>
          </w:p>
        </w:tc>
        <w:tc>
          <w:tcPr>
            <w:tcW w:w="2268" w:type="dxa"/>
            <w:shd w:val="clear" w:color="FFFFFF" w:fill="FFFFFF"/>
          </w:tcPr>
          <w:p w14:paraId="367DAB1B" w14:textId="77777777" w:rsidR="00E23746" w:rsidRDefault="00E23746" w:rsidP="000C7A08">
            <w:pPr>
              <w:rPr>
                <w:rFonts w:cs="Arial"/>
                <w:sz w:val="20"/>
                <w:szCs w:val="20"/>
              </w:rPr>
            </w:pPr>
            <w:r>
              <w:rPr>
                <w:rFonts w:cs="Arial"/>
                <w:sz w:val="20"/>
                <w:szCs w:val="20"/>
              </w:rPr>
              <w:t>C03 - Porcentaje de integrantes de la comunidad escolar que concluyen su formación con enfoque inclusivo.</w:t>
            </w:r>
          </w:p>
        </w:tc>
        <w:tc>
          <w:tcPr>
            <w:tcW w:w="2835" w:type="dxa"/>
            <w:shd w:val="clear" w:color="auto" w:fill="auto"/>
          </w:tcPr>
          <w:p w14:paraId="0E1A07A6" w14:textId="77777777" w:rsidR="00E23746" w:rsidRDefault="00E23746" w:rsidP="000C7A08">
            <w:pPr>
              <w:rPr>
                <w:rFonts w:cs="Arial"/>
                <w:sz w:val="20"/>
                <w:szCs w:val="20"/>
              </w:rPr>
            </w:pPr>
            <w:r>
              <w:rPr>
                <w:rFonts w:cs="Arial"/>
                <w:sz w:val="20"/>
                <w:szCs w:val="20"/>
              </w:rPr>
              <w:t>Informe trimestral de la actividad de formación elaborado por la Dirección de Gestión Institucional y Proyectos Estratégicos, anual. SEQ. Liga:https://qroo.gob.mx/seq/medios-de-verificacion-de-la-planeacion-anual.</w:t>
            </w:r>
          </w:p>
        </w:tc>
        <w:tc>
          <w:tcPr>
            <w:tcW w:w="1985" w:type="dxa"/>
            <w:shd w:val="clear" w:color="auto" w:fill="auto"/>
          </w:tcPr>
          <w:p w14:paraId="17A420CE" w14:textId="77777777" w:rsidR="00E23746" w:rsidRDefault="00E23746" w:rsidP="000C7A08">
            <w:pPr>
              <w:rPr>
                <w:rFonts w:cs="Arial"/>
                <w:sz w:val="20"/>
                <w:szCs w:val="20"/>
              </w:rPr>
            </w:pPr>
            <w:r>
              <w:rPr>
                <w:rFonts w:cs="Arial"/>
                <w:sz w:val="20"/>
                <w:szCs w:val="20"/>
              </w:rPr>
              <w:t>Los docentes asisten y participan en los procesos de formación.</w:t>
            </w:r>
          </w:p>
        </w:tc>
      </w:tr>
      <w:tr w:rsidR="00E23746" w:rsidRPr="00574DAC" w14:paraId="644EAD2B" w14:textId="77777777" w:rsidTr="00295ECB">
        <w:trPr>
          <w:trHeight w:val="692"/>
        </w:trPr>
        <w:tc>
          <w:tcPr>
            <w:tcW w:w="1413" w:type="dxa"/>
            <w:shd w:val="clear" w:color="auto" w:fill="auto"/>
          </w:tcPr>
          <w:p w14:paraId="110F8AF5" w14:textId="77777777" w:rsidR="00E23746" w:rsidRDefault="00E23746" w:rsidP="000B2F10">
            <w:pPr>
              <w:jc w:val="center"/>
              <w:rPr>
                <w:rFonts w:cs="Arial"/>
                <w:b/>
                <w:bCs/>
                <w:sz w:val="20"/>
                <w:szCs w:val="20"/>
              </w:rPr>
            </w:pPr>
            <w:r>
              <w:rPr>
                <w:rFonts w:cs="Arial"/>
                <w:b/>
                <w:bCs/>
                <w:sz w:val="20"/>
                <w:szCs w:val="20"/>
              </w:rPr>
              <w:t>Actividad</w:t>
            </w:r>
          </w:p>
        </w:tc>
        <w:tc>
          <w:tcPr>
            <w:tcW w:w="2693" w:type="dxa"/>
            <w:shd w:val="clear" w:color="auto" w:fill="auto"/>
          </w:tcPr>
          <w:p w14:paraId="25AA9EF2" w14:textId="6DBCC10E" w:rsidR="001906E0" w:rsidRDefault="00E23746" w:rsidP="009D52D8">
            <w:pPr>
              <w:rPr>
                <w:rFonts w:cs="Arial"/>
                <w:sz w:val="20"/>
                <w:szCs w:val="20"/>
              </w:rPr>
            </w:pPr>
            <w:r>
              <w:rPr>
                <w:rFonts w:cs="Arial"/>
                <w:sz w:val="20"/>
                <w:szCs w:val="20"/>
              </w:rPr>
              <w:t>Impulsar e implementar acciones permanentes en materia de promoción, protección y defensa de los Derechos Humanos, con la aplicación de planteamientos legales, estructurales, así como la constante formación de los Servidores Públicos fortaleciendo el ejercicio de los Derechos Humanos de los ciudadanos.</w:t>
            </w:r>
          </w:p>
        </w:tc>
        <w:tc>
          <w:tcPr>
            <w:tcW w:w="2835" w:type="dxa"/>
            <w:shd w:val="clear" w:color="auto" w:fill="auto"/>
          </w:tcPr>
          <w:p w14:paraId="1DA062A3" w14:textId="77777777" w:rsidR="00E23746" w:rsidRDefault="00E23746" w:rsidP="000C7A08">
            <w:pPr>
              <w:rPr>
                <w:rFonts w:cs="Arial"/>
                <w:sz w:val="20"/>
                <w:szCs w:val="20"/>
              </w:rPr>
            </w:pPr>
            <w:r>
              <w:rPr>
                <w:rFonts w:cs="Arial"/>
                <w:sz w:val="20"/>
                <w:szCs w:val="20"/>
              </w:rPr>
              <w:t>C03.A01 - Realización de acciones de formación con enfoque de Derechos Humanos, perspectiva de género y erradicación de la violencia con la comunidad educativa.</w:t>
            </w:r>
          </w:p>
        </w:tc>
        <w:tc>
          <w:tcPr>
            <w:tcW w:w="2268" w:type="dxa"/>
            <w:shd w:val="clear" w:color="FFFFFF" w:fill="FFFFFF"/>
          </w:tcPr>
          <w:p w14:paraId="2CF4CDF3" w14:textId="77777777" w:rsidR="00E23746" w:rsidRDefault="00E23746" w:rsidP="000C7A08">
            <w:pPr>
              <w:rPr>
                <w:rFonts w:cs="Arial"/>
                <w:sz w:val="20"/>
                <w:szCs w:val="20"/>
              </w:rPr>
            </w:pPr>
            <w:r>
              <w:rPr>
                <w:rFonts w:cs="Arial"/>
                <w:sz w:val="20"/>
                <w:szCs w:val="20"/>
              </w:rPr>
              <w:t>C03A01 - Porcentaje de integrantes de la comunidad escolar formados.</w:t>
            </w:r>
          </w:p>
        </w:tc>
        <w:tc>
          <w:tcPr>
            <w:tcW w:w="2835" w:type="dxa"/>
            <w:shd w:val="clear" w:color="auto" w:fill="auto"/>
          </w:tcPr>
          <w:p w14:paraId="468DA8BC" w14:textId="77777777" w:rsidR="00E23746" w:rsidRDefault="00E23746" w:rsidP="000C7A08">
            <w:pPr>
              <w:rPr>
                <w:rFonts w:cs="Arial"/>
                <w:sz w:val="20"/>
                <w:szCs w:val="20"/>
              </w:rPr>
            </w:pPr>
            <w:r>
              <w:rPr>
                <w:rFonts w:cs="Arial"/>
                <w:sz w:val="20"/>
                <w:szCs w:val="20"/>
              </w:rPr>
              <w:t>Informe trimestral de la actividad de formación elaborado por la Dirección de Gestión Institucional y Proyectos Estratégicos, anual. SEQ. Liga:qroo.gob.mx/seq/medios-de-verificacion-de-la-planeacion-anual.</w:t>
            </w:r>
          </w:p>
        </w:tc>
        <w:tc>
          <w:tcPr>
            <w:tcW w:w="1985" w:type="dxa"/>
            <w:shd w:val="clear" w:color="auto" w:fill="auto"/>
          </w:tcPr>
          <w:p w14:paraId="438F1CBF" w14:textId="77777777" w:rsidR="00E23746" w:rsidRDefault="00E23746" w:rsidP="000C7A08">
            <w:pPr>
              <w:rPr>
                <w:rFonts w:cs="Arial"/>
                <w:sz w:val="20"/>
                <w:szCs w:val="20"/>
              </w:rPr>
            </w:pPr>
            <w:r>
              <w:rPr>
                <w:rFonts w:cs="Arial"/>
                <w:sz w:val="20"/>
                <w:szCs w:val="20"/>
              </w:rPr>
              <w:t>Comunidad educativa asisten a las acciones de formación con enfoque de Derechos Humanos, perspectiva de género y erradicación de la violencia.</w:t>
            </w:r>
          </w:p>
        </w:tc>
      </w:tr>
    </w:tbl>
    <w:p w14:paraId="03386879" w14:textId="77777777" w:rsidR="00D47ED1" w:rsidRDefault="00D47ED1">
      <w:pPr>
        <w:spacing w:after="0" w:line="240" w:lineRule="auto"/>
        <w:jc w:val="left"/>
      </w:pPr>
      <w:r>
        <w:br w:type="page"/>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3"/>
        <w:gridCol w:w="2693"/>
        <w:gridCol w:w="2835"/>
        <w:gridCol w:w="2268"/>
        <w:gridCol w:w="2835"/>
        <w:gridCol w:w="1985"/>
      </w:tblGrid>
      <w:tr w:rsidR="00E23746" w:rsidRPr="00574DAC" w14:paraId="56977746" w14:textId="77777777" w:rsidTr="00295ECB">
        <w:trPr>
          <w:trHeight w:val="679"/>
        </w:trPr>
        <w:tc>
          <w:tcPr>
            <w:tcW w:w="1413" w:type="dxa"/>
            <w:shd w:val="clear" w:color="000000" w:fill="BFBFBF"/>
            <w:vAlign w:val="center"/>
            <w:hideMark/>
          </w:tcPr>
          <w:p w14:paraId="39562609"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lastRenderedPageBreak/>
              <w:t>NIVEL</w:t>
            </w:r>
          </w:p>
        </w:tc>
        <w:tc>
          <w:tcPr>
            <w:tcW w:w="2693" w:type="dxa"/>
            <w:shd w:val="clear" w:color="000000" w:fill="BFBFBF"/>
            <w:vAlign w:val="center"/>
            <w:hideMark/>
          </w:tcPr>
          <w:p w14:paraId="38FDF1D3"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ALINEACIÓN PED/PD</w:t>
            </w:r>
          </w:p>
        </w:tc>
        <w:tc>
          <w:tcPr>
            <w:tcW w:w="2835" w:type="dxa"/>
            <w:shd w:val="clear" w:color="000000" w:fill="BFBFBF"/>
            <w:vAlign w:val="center"/>
            <w:hideMark/>
          </w:tcPr>
          <w:p w14:paraId="0132FB3B"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OBJETIVO</w:t>
            </w:r>
          </w:p>
        </w:tc>
        <w:tc>
          <w:tcPr>
            <w:tcW w:w="2268" w:type="dxa"/>
            <w:shd w:val="clear" w:color="000000" w:fill="BFBFBF"/>
            <w:vAlign w:val="center"/>
            <w:hideMark/>
          </w:tcPr>
          <w:p w14:paraId="1BDCB62A"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INDICADOR</w:t>
            </w:r>
          </w:p>
        </w:tc>
        <w:tc>
          <w:tcPr>
            <w:tcW w:w="2835" w:type="dxa"/>
            <w:shd w:val="clear" w:color="000000" w:fill="BFBFBF"/>
            <w:vAlign w:val="center"/>
            <w:hideMark/>
          </w:tcPr>
          <w:p w14:paraId="7D4537C8"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MEDIOS DE VERIFICACIÓN</w:t>
            </w:r>
          </w:p>
        </w:tc>
        <w:tc>
          <w:tcPr>
            <w:tcW w:w="1985" w:type="dxa"/>
            <w:shd w:val="clear" w:color="000000" w:fill="BFBFBF"/>
            <w:vAlign w:val="center"/>
            <w:hideMark/>
          </w:tcPr>
          <w:p w14:paraId="6379E6C8"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SUPUESTO</w:t>
            </w:r>
          </w:p>
        </w:tc>
      </w:tr>
      <w:tr w:rsidR="00E23746" w:rsidRPr="00574DAC" w14:paraId="22B09DE2" w14:textId="77777777" w:rsidTr="00295ECB">
        <w:trPr>
          <w:trHeight w:val="2110"/>
        </w:trPr>
        <w:tc>
          <w:tcPr>
            <w:tcW w:w="1413" w:type="dxa"/>
            <w:shd w:val="clear" w:color="auto" w:fill="auto"/>
          </w:tcPr>
          <w:p w14:paraId="0BC7927F" w14:textId="77777777" w:rsidR="00E23746" w:rsidRDefault="00E23746" w:rsidP="000B2F10">
            <w:pPr>
              <w:jc w:val="center"/>
              <w:rPr>
                <w:rFonts w:cs="Arial"/>
                <w:b/>
                <w:bCs/>
                <w:sz w:val="20"/>
                <w:szCs w:val="20"/>
              </w:rPr>
            </w:pPr>
            <w:r>
              <w:rPr>
                <w:rFonts w:cs="Arial"/>
                <w:b/>
                <w:bCs/>
                <w:sz w:val="20"/>
                <w:szCs w:val="20"/>
              </w:rPr>
              <w:t>Actividad</w:t>
            </w:r>
          </w:p>
        </w:tc>
        <w:tc>
          <w:tcPr>
            <w:tcW w:w="2693" w:type="dxa"/>
            <w:shd w:val="clear" w:color="auto" w:fill="auto"/>
          </w:tcPr>
          <w:p w14:paraId="024BD25B" w14:textId="77777777" w:rsidR="00E23746" w:rsidRDefault="00E23746" w:rsidP="000B2F10">
            <w:pPr>
              <w:jc w:val="left"/>
              <w:rPr>
                <w:rFonts w:cs="Arial"/>
                <w:sz w:val="20"/>
                <w:szCs w:val="20"/>
              </w:rPr>
            </w:pPr>
            <w:r>
              <w:rPr>
                <w:rFonts w:cs="Arial"/>
                <w:sz w:val="20"/>
                <w:szCs w:val="20"/>
              </w:rPr>
              <w:t> Impulsar e implementar acciones permanentes en materia de promoción, protección y defensa de los Derechos Humanos, con la aplicación de planteamientos legales, estructurales, así como la constante formación de los Servidores Públicos fortaleciendo el ejercicio de los Derechos Humanos de los ciudadanos.</w:t>
            </w:r>
          </w:p>
        </w:tc>
        <w:tc>
          <w:tcPr>
            <w:tcW w:w="2835" w:type="dxa"/>
            <w:shd w:val="clear" w:color="auto" w:fill="auto"/>
          </w:tcPr>
          <w:p w14:paraId="31D193B9" w14:textId="77777777" w:rsidR="00E23746" w:rsidRDefault="00E23746" w:rsidP="000B2F10">
            <w:pPr>
              <w:rPr>
                <w:rFonts w:cs="Arial"/>
                <w:sz w:val="20"/>
                <w:szCs w:val="20"/>
              </w:rPr>
            </w:pPr>
            <w:r>
              <w:rPr>
                <w:rFonts w:cs="Arial"/>
                <w:sz w:val="20"/>
                <w:szCs w:val="20"/>
              </w:rPr>
              <w:t>C03.A02 - Implementación de procesos en las Unidades administrativas de los Servicios Educativos, promoviendo la gestión institucional.</w:t>
            </w:r>
          </w:p>
        </w:tc>
        <w:tc>
          <w:tcPr>
            <w:tcW w:w="2268" w:type="dxa"/>
            <w:shd w:val="clear" w:color="FFFFFF" w:fill="FFFFFF"/>
          </w:tcPr>
          <w:p w14:paraId="501CEF8F" w14:textId="77777777" w:rsidR="00E23746" w:rsidRDefault="00E23746" w:rsidP="000B2F10">
            <w:pPr>
              <w:rPr>
                <w:rFonts w:cs="Arial"/>
                <w:sz w:val="20"/>
                <w:szCs w:val="20"/>
              </w:rPr>
            </w:pPr>
            <w:r>
              <w:rPr>
                <w:rFonts w:cs="Arial"/>
                <w:sz w:val="20"/>
                <w:szCs w:val="20"/>
              </w:rPr>
              <w:t>C03A02 - Porcentaje de procesos implementados en el año.</w:t>
            </w:r>
          </w:p>
        </w:tc>
        <w:tc>
          <w:tcPr>
            <w:tcW w:w="2835" w:type="dxa"/>
            <w:shd w:val="clear" w:color="auto" w:fill="auto"/>
          </w:tcPr>
          <w:p w14:paraId="011F1925" w14:textId="77777777" w:rsidR="00E23746" w:rsidRDefault="00E23746" w:rsidP="000B2F10">
            <w:pPr>
              <w:rPr>
                <w:rFonts w:cs="Arial"/>
                <w:sz w:val="20"/>
                <w:szCs w:val="20"/>
              </w:rPr>
            </w:pPr>
            <w:r>
              <w:rPr>
                <w:rFonts w:cs="Arial"/>
                <w:sz w:val="20"/>
                <w:szCs w:val="20"/>
              </w:rPr>
              <w:t>Informe trimestral de la actividad de capacitación. SEQ. Liga: https://qroo.gob.mx/seq/medios-de-verificacion-de-la-planeacion-anual.</w:t>
            </w:r>
          </w:p>
        </w:tc>
        <w:tc>
          <w:tcPr>
            <w:tcW w:w="1985" w:type="dxa"/>
            <w:shd w:val="clear" w:color="auto" w:fill="auto"/>
          </w:tcPr>
          <w:p w14:paraId="21144BE7" w14:textId="77777777" w:rsidR="00E23746" w:rsidRDefault="00E23746" w:rsidP="000B2F10">
            <w:pPr>
              <w:rPr>
                <w:rFonts w:cs="Arial"/>
                <w:sz w:val="20"/>
                <w:szCs w:val="20"/>
              </w:rPr>
            </w:pPr>
            <w:r>
              <w:rPr>
                <w:rFonts w:cs="Arial"/>
                <w:sz w:val="20"/>
                <w:szCs w:val="20"/>
              </w:rPr>
              <w:t>Los Servicios Educativos de Quintana Roo cuentan con procesos eficientes mediante la gestión institucional y la actualización de los procesos en alineación a su marco normativo.</w:t>
            </w:r>
          </w:p>
        </w:tc>
      </w:tr>
      <w:tr w:rsidR="00E23746" w:rsidRPr="00574DAC" w14:paraId="2C63419D" w14:textId="77777777" w:rsidTr="00295ECB">
        <w:trPr>
          <w:trHeight w:val="1779"/>
        </w:trPr>
        <w:tc>
          <w:tcPr>
            <w:tcW w:w="1413" w:type="dxa"/>
            <w:shd w:val="clear" w:color="auto" w:fill="auto"/>
          </w:tcPr>
          <w:p w14:paraId="6CA5B895" w14:textId="77777777" w:rsidR="00E23746" w:rsidRDefault="00E23746" w:rsidP="000B2F10">
            <w:pPr>
              <w:spacing w:after="0" w:line="240" w:lineRule="auto"/>
              <w:jc w:val="center"/>
              <w:rPr>
                <w:rFonts w:cs="Arial"/>
                <w:b/>
                <w:bCs/>
                <w:sz w:val="20"/>
                <w:szCs w:val="20"/>
              </w:rPr>
            </w:pPr>
            <w:r>
              <w:rPr>
                <w:rFonts w:cs="Arial"/>
                <w:b/>
                <w:bCs/>
                <w:sz w:val="20"/>
                <w:szCs w:val="20"/>
              </w:rPr>
              <w:t>Componente</w:t>
            </w:r>
          </w:p>
        </w:tc>
        <w:tc>
          <w:tcPr>
            <w:tcW w:w="2693" w:type="dxa"/>
            <w:shd w:val="clear" w:color="auto" w:fill="auto"/>
          </w:tcPr>
          <w:p w14:paraId="2CA72DA5" w14:textId="77777777" w:rsidR="00E23746" w:rsidRDefault="00E23746" w:rsidP="000B2F10">
            <w:pPr>
              <w:jc w:val="left"/>
              <w:rPr>
                <w:rFonts w:cs="Arial"/>
                <w:sz w:val="20"/>
                <w:szCs w:val="20"/>
              </w:rPr>
            </w:pPr>
            <w:r>
              <w:rPr>
                <w:rFonts w:cs="Arial"/>
                <w:sz w:val="20"/>
                <w:szCs w:val="20"/>
              </w:rPr>
              <w:t>Promover la operación de centros educativos de capacitación de artes y oficios para atención a grupos y zonas vulnerables.</w:t>
            </w:r>
          </w:p>
        </w:tc>
        <w:tc>
          <w:tcPr>
            <w:tcW w:w="2835" w:type="dxa"/>
            <w:shd w:val="clear" w:color="auto" w:fill="auto"/>
          </w:tcPr>
          <w:p w14:paraId="248ED867" w14:textId="77777777" w:rsidR="00E23746" w:rsidRDefault="00E23746" w:rsidP="000B2F10">
            <w:pPr>
              <w:rPr>
                <w:rFonts w:cs="Arial"/>
                <w:sz w:val="20"/>
                <w:szCs w:val="20"/>
              </w:rPr>
            </w:pPr>
            <w:r>
              <w:rPr>
                <w:rFonts w:cs="Arial"/>
                <w:sz w:val="20"/>
                <w:szCs w:val="20"/>
              </w:rPr>
              <w:t>C04 - Programa compensatorio para capacitación de artes y oficios instalado.</w:t>
            </w:r>
          </w:p>
        </w:tc>
        <w:tc>
          <w:tcPr>
            <w:tcW w:w="2268" w:type="dxa"/>
            <w:shd w:val="clear" w:color="FFFFFF" w:fill="FFFFFF"/>
          </w:tcPr>
          <w:p w14:paraId="1710A982" w14:textId="77777777" w:rsidR="00E23746" w:rsidRDefault="00E23746" w:rsidP="000B2F10">
            <w:pPr>
              <w:rPr>
                <w:rFonts w:cs="Arial"/>
                <w:sz w:val="20"/>
                <w:szCs w:val="20"/>
              </w:rPr>
            </w:pPr>
            <w:r>
              <w:rPr>
                <w:rFonts w:cs="Arial"/>
                <w:sz w:val="20"/>
                <w:szCs w:val="20"/>
              </w:rPr>
              <w:t>C04 - Porcentaje de población atendida en los centros de capacitación de artes y oficios instalados.</w:t>
            </w:r>
          </w:p>
        </w:tc>
        <w:tc>
          <w:tcPr>
            <w:tcW w:w="2835" w:type="dxa"/>
            <w:shd w:val="clear" w:color="auto" w:fill="auto"/>
          </w:tcPr>
          <w:p w14:paraId="75439BA4" w14:textId="77777777" w:rsidR="00E23746" w:rsidRDefault="00E23746" w:rsidP="000B2F10">
            <w:pPr>
              <w:rPr>
                <w:rFonts w:cs="Arial"/>
                <w:sz w:val="20"/>
                <w:szCs w:val="20"/>
              </w:rPr>
            </w:pPr>
            <w:r>
              <w:rPr>
                <w:rFonts w:cs="Arial"/>
                <w:sz w:val="20"/>
                <w:szCs w:val="20"/>
              </w:rPr>
              <w:t>Listado de alumnos atendidos en los centros instalados, anual. SEQ. Liga:ttps://qroo.gob.mx/seq/medios-de-verificacion-de-la-planeacion-anual.</w:t>
            </w:r>
          </w:p>
        </w:tc>
        <w:tc>
          <w:tcPr>
            <w:tcW w:w="1985" w:type="dxa"/>
            <w:shd w:val="clear" w:color="auto" w:fill="auto"/>
          </w:tcPr>
          <w:p w14:paraId="3DB6E45B" w14:textId="77777777" w:rsidR="00E23746" w:rsidRDefault="00E23746" w:rsidP="000B2F10">
            <w:pPr>
              <w:rPr>
                <w:rFonts w:cs="Arial"/>
                <w:sz w:val="20"/>
                <w:szCs w:val="20"/>
              </w:rPr>
            </w:pPr>
            <w:r>
              <w:rPr>
                <w:rFonts w:cs="Arial"/>
                <w:sz w:val="20"/>
                <w:szCs w:val="20"/>
              </w:rPr>
              <w:t>Las alumnas y alumnos mayores de 12 tienen habilidades en oficios y artes.</w:t>
            </w:r>
          </w:p>
        </w:tc>
      </w:tr>
      <w:tr w:rsidR="00E23746" w:rsidRPr="00574DAC" w14:paraId="03B8B098" w14:textId="77777777" w:rsidTr="00295ECB">
        <w:trPr>
          <w:trHeight w:val="1684"/>
        </w:trPr>
        <w:tc>
          <w:tcPr>
            <w:tcW w:w="1413" w:type="dxa"/>
            <w:shd w:val="clear" w:color="auto" w:fill="auto"/>
          </w:tcPr>
          <w:p w14:paraId="76D8F39B" w14:textId="77777777" w:rsidR="00E23746" w:rsidRDefault="00E23746" w:rsidP="000B2F10">
            <w:pPr>
              <w:jc w:val="center"/>
              <w:rPr>
                <w:rFonts w:cs="Arial"/>
                <w:b/>
                <w:bCs/>
                <w:sz w:val="20"/>
                <w:szCs w:val="20"/>
              </w:rPr>
            </w:pPr>
            <w:r>
              <w:rPr>
                <w:rFonts w:cs="Arial"/>
                <w:b/>
                <w:bCs/>
                <w:sz w:val="20"/>
                <w:szCs w:val="20"/>
              </w:rPr>
              <w:t>Actividad</w:t>
            </w:r>
          </w:p>
        </w:tc>
        <w:tc>
          <w:tcPr>
            <w:tcW w:w="2693" w:type="dxa"/>
            <w:shd w:val="clear" w:color="auto" w:fill="auto"/>
          </w:tcPr>
          <w:p w14:paraId="7C067DC3" w14:textId="77777777" w:rsidR="00E23746" w:rsidRDefault="00E23746" w:rsidP="000B2F10">
            <w:pPr>
              <w:jc w:val="left"/>
              <w:rPr>
                <w:rFonts w:cs="Arial"/>
                <w:sz w:val="20"/>
                <w:szCs w:val="20"/>
              </w:rPr>
            </w:pPr>
            <w:r>
              <w:rPr>
                <w:rFonts w:cs="Arial"/>
                <w:sz w:val="20"/>
                <w:szCs w:val="20"/>
              </w:rPr>
              <w:t>Promover la operación de centros educativos de capacitación de artes y oficios para atención a grupos y zonas vulnerables.</w:t>
            </w:r>
          </w:p>
        </w:tc>
        <w:tc>
          <w:tcPr>
            <w:tcW w:w="2835" w:type="dxa"/>
            <w:shd w:val="clear" w:color="auto" w:fill="auto"/>
          </w:tcPr>
          <w:p w14:paraId="201396CE" w14:textId="77777777" w:rsidR="00E23746" w:rsidRDefault="00E23746" w:rsidP="000B2F10">
            <w:pPr>
              <w:rPr>
                <w:rFonts w:cs="Arial"/>
                <w:sz w:val="20"/>
                <w:szCs w:val="20"/>
              </w:rPr>
            </w:pPr>
            <w:r>
              <w:rPr>
                <w:rFonts w:cs="Arial"/>
                <w:sz w:val="20"/>
                <w:szCs w:val="20"/>
              </w:rPr>
              <w:t>C04.A01- Capacitación a los jóvenes de 12 años a más en temas de artes y oficios.</w:t>
            </w:r>
          </w:p>
        </w:tc>
        <w:tc>
          <w:tcPr>
            <w:tcW w:w="2268" w:type="dxa"/>
            <w:shd w:val="clear" w:color="FFFFFF" w:fill="FFFFFF"/>
          </w:tcPr>
          <w:p w14:paraId="2A8D2525" w14:textId="77777777" w:rsidR="00E23746" w:rsidRDefault="00E23746" w:rsidP="000B2F10">
            <w:pPr>
              <w:rPr>
                <w:rFonts w:cs="Arial"/>
                <w:sz w:val="20"/>
                <w:szCs w:val="20"/>
              </w:rPr>
            </w:pPr>
            <w:r>
              <w:rPr>
                <w:rFonts w:cs="Arial"/>
                <w:sz w:val="20"/>
                <w:szCs w:val="20"/>
              </w:rPr>
              <w:t>C04A01 - Tasa de variación de jóvenes de12 años o más capacitados en artes y oficios.</w:t>
            </w:r>
          </w:p>
        </w:tc>
        <w:tc>
          <w:tcPr>
            <w:tcW w:w="2835" w:type="dxa"/>
            <w:shd w:val="clear" w:color="auto" w:fill="auto"/>
          </w:tcPr>
          <w:p w14:paraId="5FC8694A" w14:textId="493533B6" w:rsidR="00E23746" w:rsidRDefault="00E23746" w:rsidP="00295ECB">
            <w:pPr>
              <w:rPr>
                <w:rFonts w:cs="Arial"/>
                <w:sz w:val="20"/>
                <w:szCs w:val="20"/>
              </w:rPr>
            </w:pPr>
            <w:r>
              <w:rPr>
                <w:rFonts w:cs="Arial"/>
                <w:sz w:val="20"/>
                <w:szCs w:val="20"/>
              </w:rPr>
              <w:t>Concentrado de constancias de los jóvenes capacitados, Anual.SEQ.Liga:qroo.gob.mx/seq/medios-de-verificacion-de-la-planeacion-anual.</w:t>
            </w:r>
          </w:p>
        </w:tc>
        <w:tc>
          <w:tcPr>
            <w:tcW w:w="1985" w:type="dxa"/>
            <w:shd w:val="clear" w:color="auto" w:fill="auto"/>
          </w:tcPr>
          <w:p w14:paraId="267C2589" w14:textId="77777777" w:rsidR="00E23746" w:rsidRDefault="00E23746" w:rsidP="000B2F10">
            <w:pPr>
              <w:rPr>
                <w:rFonts w:cs="Arial"/>
                <w:sz w:val="20"/>
                <w:szCs w:val="20"/>
              </w:rPr>
            </w:pPr>
            <w:r>
              <w:rPr>
                <w:rFonts w:cs="Arial"/>
                <w:sz w:val="20"/>
                <w:szCs w:val="20"/>
              </w:rPr>
              <w:t>Las alumnas y alumnos mayores de 12 años acuden a las capacitaciones.</w:t>
            </w:r>
          </w:p>
        </w:tc>
      </w:tr>
    </w:tbl>
    <w:p w14:paraId="0E503341" w14:textId="77777777" w:rsidR="00D47ED1" w:rsidRDefault="00D47ED1">
      <w:pPr>
        <w:spacing w:after="0" w:line="240" w:lineRule="auto"/>
        <w:jc w:val="left"/>
      </w:pPr>
      <w:r>
        <w:br w:type="page"/>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3"/>
        <w:gridCol w:w="2693"/>
        <w:gridCol w:w="2835"/>
        <w:gridCol w:w="2268"/>
        <w:gridCol w:w="2835"/>
        <w:gridCol w:w="1985"/>
      </w:tblGrid>
      <w:tr w:rsidR="00E23746" w:rsidRPr="00574DAC" w14:paraId="5D4AED1D" w14:textId="77777777" w:rsidTr="00295ECB">
        <w:trPr>
          <w:trHeight w:val="679"/>
        </w:trPr>
        <w:tc>
          <w:tcPr>
            <w:tcW w:w="1413" w:type="dxa"/>
            <w:shd w:val="clear" w:color="000000" w:fill="BFBFBF"/>
            <w:vAlign w:val="center"/>
            <w:hideMark/>
          </w:tcPr>
          <w:p w14:paraId="5F5B770E"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lastRenderedPageBreak/>
              <w:t>NIVEL</w:t>
            </w:r>
          </w:p>
        </w:tc>
        <w:tc>
          <w:tcPr>
            <w:tcW w:w="2693" w:type="dxa"/>
            <w:shd w:val="clear" w:color="000000" w:fill="BFBFBF"/>
            <w:vAlign w:val="center"/>
            <w:hideMark/>
          </w:tcPr>
          <w:p w14:paraId="52F34AFF"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ALINEACIÓN PED/PD</w:t>
            </w:r>
          </w:p>
        </w:tc>
        <w:tc>
          <w:tcPr>
            <w:tcW w:w="2835" w:type="dxa"/>
            <w:shd w:val="clear" w:color="000000" w:fill="BFBFBF"/>
            <w:vAlign w:val="center"/>
            <w:hideMark/>
          </w:tcPr>
          <w:p w14:paraId="5A90FC97"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OBJETIVO</w:t>
            </w:r>
          </w:p>
        </w:tc>
        <w:tc>
          <w:tcPr>
            <w:tcW w:w="2268" w:type="dxa"/>
            <w:shd w:val="clear" w:color="000000" w:fill="BFBFBF"/>
            <w:vAlign w:val="center"/>
            <w:hideMark/>
          </w:tcPr>
          <w:p w14:paraId="07371289"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INDICADOR</w:t>
            </w:r>
          </w:p>
        </w:tc>
        <w:tc>
          <w:tcPr>
            <w:tcW w:w="2835" w:type="dxa"/>
            <w:shd w:val="clear" w:color="000000" w:fill="BFBFBF"/>
            <w:vAlign w:val="center"/>
            <w:hideMark/>
          </w:tcPr>
          <w:p w14:paraId="66CED7E6"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MEDIOS DE VERIFICACIÓN</w:t>
            </w:r>
          </w:p>
        </w:tc>
        <w:tc>
          <w:tcPr>
            <w:tcW w:w="1985" w:type="dxa"/>
            <w:shd w:val="clear" w:color="000000" w:fill="BFBFBF"/>
            <w:vAlign w:val="center"/>
            <w:hideMark/>
          </w:tcPr>
          <w:p w14:paraId="283D935C"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SUPUESTO</w:t>
            </w:r>
          </w:p>
        </w:tc>
      </w:tr>
      <w:tr w:rsidR="00E23746" w:rsidRPr="00574DAC" w14:paraId="14069149" w14:textId="77777777" w:rsidTr="00295ECB">
        <w:trPr>
          <w:trHeight w:val="2110"/>
        </w:trPr>
        <w:tc>
          <w:tcPr>
            <w:tcW w:w="1413" w:type="dxa"/>
            <w:shd w:val="clear" w:color="auto" w:fill="auto"/>
          </w:tcPr>
          <w:p w14:paraId="1E775052" w14:textId="77777777" w:rsidR="00E23746" w:rsidRDefault="00E23746" w:rsidP="000B2F10">
            <w:pPr>
              <w:jc w:val="center"/>
              <w:rPr>
                <w:rFonts w:cs="Arial"/>
                <w:b/>
                <w:bCs/>
                <w:sz w:val="20"/>
                <w:szCs w:val="20"/>
              </w:rPr>
            </w:pPr>
            <w:r>
              <w:rPr>
                <w:rFonts w:cs="Arial"/>
                <w:b/>
                <w:bCs/>
                <w:sz w:val="20"/>
                <w:szCs w:val="20"/>
              </w:rPr>
              <w:t>Actividad</w:t>
            </w:r>
          </w:p>
        </w:tc>
        <w:tc>
          <w:tcPr>
            <w:tcW w:w="2693" w:type="dxa"/>
            <w:shd w:val="clear" w:color="auto" w:fill="auto"/>
          </w:tcPr>
          <w:p w14:paraId="62512B02" w14:textId="77777777" w:rsidR="00E23746" w:rsidRDefault="00E23746" w:rsidP="000B2F10">
            <w:pPr>
              <w:jc w:val="left"/>
              <w:rPr>
                <w:rFonts w:cs="Arial"/>
                <w:sz w:val="20"/>
                <w:szCs w:val="20"/>
              </w:rPr>
            </w:pPr>
            <w:r>
              <w:rPr>
                <w:rFonts w:cs="Arial"/>
                <w:sz w:val="20"/>
                <w:szCs w:val="20"/>
              </w:rPr>
              <w:t>Promover la operación de centros educativos de capacitación de artes y oficios para atención a grupos y zonas vulnerables.</w:t>
            </w:r>
          </w:p>
        </w:tc>
        <w:tc>
          <w:tcPr>
            <w:tcW w:w="2835" w:type="dxa"/>
            <w:shd w:val="clear" w:color="auto" w:fill="auto"/>
          </w:tcPr>
          <w:p w14:paraId="5EEBE808" w14:textId="77777777" w:rsidR="00E23746" w:rsidRDefault="00E23746" w:rsidP="000B2F10">
            <w:pPr>
              <w:rPr>
                <w:rFonts w:cs="Arial"/>
                <w:sz w:val="20"/>
                <w:szCs w:val="20"/>
              </w:rPr>
            </w:pPr>
            <w:r>
              <w:rPr>
                <w:rFonts w:cs="Arial"/>
                <w:sz w:val="20"/>
                <w:szCs w:val="20"/>
              </w:rPr>
              <w:t>C04.A02 - Participación de personas en los Proyectos Productivos y Comunitarios.</w:t>
            </w:r>
          </w:p>
        </w:tc>
        <w:tc>
          <w:tcPr>
            <w:tcW w:w="2268" w:type="dxa"/>
            <w:shd w:val="clear" w:color="FFFFFF" w:fill="FFFFFF"/>
          </w:tcPr>
          <w:p w14:paraId="1B3161DC" w14:textId="77777777" w:rsidR="00E23746" w:rsidRDefault="00E23746" w:rsidP="000B2F10">
            <w:pPr>
              <w:rPr>
                <w:rFonts w:cs="Arial"/>
                <w:sz w:val="20"/>
                <w:szCs w:val="20"/>
              </w:rPr>
            </w:pPr>
            <w:r>
              <w:rPr>
                <w:rFonts w:cs="Arial"/>
                <w:sz w:val="20"/>
                <w:szCs w:val="20"/>
              </w:rPr>
              <w:t>C04A02 - Porcentaje de personas que entran a los proyectos productivos y de desarrollo comunitario.</w:t>
            </w:r>
          </w:p>
        </w:tc>
        <w:tc>
          <w:tcPr>
            <w:tcW w:w="2835" w:type="dxa"/>
            <w:shd w:val="clear" w:color="auto" w:fill="auto"/>
          </w:tcPr>
          <w:p w14:paraId="5083FE6D" w14:textId="77777777" w:rsidR="00E23746" w:rsidRDefault="00E23746" w:rsidP="000B2F10">
            <w:pPr>
              <w:rPr>
                <w:rFonts w:cs="Arial"/>
                <w:sz w:val="20"/>
                <w:szCs w:val="20"/>
              </w:rPr>
            </w:pPr>
            <w:r>
              <w:rPr>
                <w:rFonts w:cs="Arial"/>
                <w:sz w:val="20"/>
                <w:szCs w:val="20"/>
              </w:rPr>
              <w:t>Porcentaje de personas que entran a los proyectos productivos y de desarrollo comunitario. SEQ. Liga:https://qroo.gob.mx/seq/medios-de-verificacion-de-la-planeacion-anual.</w:t>
            </w:r>
          </w:p>
          <w:p w14:paraId="72C47CB4" w14:textId="77777777" w:rsidR="00E23746" w:rsidRDefault="00E23746" w:rsidP="000B2F10">
            <w:pPr>
              <w:rPr>
                <w:rFonts w:cs="Arial"/>
                <w:sz w:val="20"/>
                <w:szCs w:val="20"/>
              </w:rPr>
            </w:pPr>
          </w:p>
        </w:tc>
        <w:tc>
          <w:tcPr>
            <w:tcW w:w="1985" w:type="dxa"/>
            <w:shd w:val="clear" w:color="auto" w:fill="auto"/>
          </w:tcPr>
          <w:p w14:paraId="76F0EED0" w14:textId="77777777" w:rsidR="00E23746" w:rsidRDefault="00E23746" w:rsidP="000B2F10">
            <w:pPr>
              <w:rPr>
                <w:rFonts w:cs="Arial"/>
                <w:sz w:val="20"/>
                <w:szCs w:val="20"/>
              </w:rPr>
            </w:pPr>
            <w:r>
              <w:rPr>
                <w:rFonts w:cs="Arial"/>
                <w:sz w:val="20"/>
                <w:szCs w:val="20"/>
              </w:rPr>
              <w:t xml:space="preserve">Personas participan en los proyectos productivos y de desarrollo comunitario. </w:t>
            </w:r>
          </w:p>
        </w:tc>
      </w:tr>
      <w:tr w:rsidR="00E23746" w:rsidRPr="00574DAC" w14:paraId="4A05F36D" w14:textId="77777777" w:rsidTr="00295ECB">
        <w:trPr>
          <w:trHeight w:val="2110"/>
        </w:trPr>
        <w:tc>
          <w:tcPr>
            <w:tcW w:w="1413" w:type="dxa"/>
            <w:shd w:val="clear" w:color="auto" w:fill="auto"/>
          </w:tcPr>
          <w:p w14:paraId="5B004A66" w14:textId="77777777" w:rsidR="00E23746" w:rsidRDefault="00E23746" w:rsidP="000B2F10">
            <w:pPr>
              <w:spacing w:after="0" w:line="240" w:lineRule="auto"/>
              <w:jc w:val="center"/>
              <w:rPr>
                <w:rFonts w:cs="Arial"/>
                <w:b/>
                <w:bCs/>
                <w:sz w:val="20"/>
                <w:szCs w:val="20"/>
              </w:rPr>
            </w:pPr>
            <w:r>
              <w:rPr>
                <w:rFonts w:cs="Arial"/>
                <w:b/>
                <w:bCs/>
                <w:sz w:val="20"/>
                <w:szCs w:val="20"/>
              </w:rPr>
              <w:t>Componente</w:t>
            </w:r>
          </w:p>
        </w:tc>
        <w:tc>
          <w:tcPr>
            <w:tcW w:w="2693" w:type="dxa"/>
            <w:shd w:val="clear" w:color="auto" w:fill="auto"/>
          </w:tcPr>
          <w:p w14:paraId="353323B1" w14:textId="77777777" w:rsidR="00E23746" w:rsidRDefault="00E23746" w:rsidP="000B2F10">
            <w:pPr>
              <w:jc w:val="left"/>
              <w:rPr>
                <w:rFonts w:cs="Arial"/>
                <w:sz w:val="20"/>
                <w:szCs w:val="20"/>
              </w:rPr>
            </w:pPr>
            <w:r>
              <w:rPr>
                <w:rFonts w:cs="Arial"/>
                <w:sz w:val="20"/>
                <w:szCs w:val="20"/>
              </w:rPr>
              <w:t>Promover la formación docente y operación del Programa Educativo Telebachillerato Comunitario.</w:t>
            </w:r>
          </w:p>
        </w:tc>
        <w:tc>
          <w:tcPr>
            <w:tcW w:w="2835" w:type="dxa"/>
            <w:shd w:val="clear" w:color="auto" w:fill="auto"/>
          </w:tcPr>
          <w:p w14:paraId="05ED01B7" w14:textId="77777777" w:rsidR="00E23746" w:rsidRDefault="00E23746" w:rsidP="000B2F10">
            <w:pPr>
              <w:rPr>
                <w:rFonts w:cs="Arial"/>
                <w:sz w:val="20"/>
                <w:szCs w:val="20"/>
              </w:rPr>
            </w:pPr>
            <w:r>
              <w:rPr>
                <w:rFonts w:cs="Arial"/>
                <w:sz w:val="20"/>
                <w:szCs w:val="20"/>
              </w:rPr>
              <w:t>C05 - Programa Educativo Telebachillerato Comunitario brindado.</w:t>
            </w:r>
          </w:p>
        </w:tc>
        <w:tc>
          <w:tcPr>
            <w:tcW w:w="2268" w:type="dxa"/>
            <w:shd w:val="clear" w:color="FFFFFF" w:fill="FFFFFF"/>
          </w:tcPr>
          <w:p w14:paraId="706776BC" w14:textId="77777777" w:rsidR="00E23746" w:rsidRDefault="00E23746" w:rsidP="000B2F10">
            <w:pPr>
              <w:rPr>
                <w:rFonts w:cs="Arial"/>
                <w:sz w:val="20"/>
                <w:szCs w:val="20"/>
              </w:rPr>
            </w:pPr>
            <w:r>
              <w:rPr>
                <w:rFonts w:cs="Arial"/>
                <w:sz w:val="20"/>
                <w:szCs w:val="20"/>
              </w:rPr>
              <w:t>C05 - Tasa de eficiencia terminal de los alumnos del Servicio Educativo Telebachillerato Comunitario.</w:t>
            </w:r>
          </w:p>
        </w:tc>
        <w:tc>
          <w:tcPr>
            <w:tcW w:w="2835" w:type="dxa"/>
            <w:shd w:val="clear" w:color="auto" w:fill="auto"/>
          </w:tcPr>
          <w:p w14:paraId="4C42FF69" w14:textId="77777777" w:rsidR="00E23746" w:rsidRDefault="00E23746" w:rsidP="000B2F10">
            <w:pPr>
              <w:rPr>
                <w:rFonts w:cs="Arial"/>
                <w:sz w:val="20"/>
                <w:szCs w:val="20"/>
              </w:rPr>
            </w:pPr>
            <w:r>
              <w:rPr>
                <w:rFonts w:cs="Arial"/>
                <w:sz w:val="20"/>
                <w:szCs w:val="20"/>
              </w:rPr>
              <w:t>Estadística 911, Anual. SEQ. Liga: https://qroo.gob.mx/seq/medios-de-verificación-de-la-planeacion-anual.</w:t>
            </w:r>
          </w:p>
        </w:tc>
        <w:tc>
          <w:tcPr>
            <w:tcW w:w="1985" w:type="dxa"/>
            <w:shd w:val="clear" w:color="auto" w:fill="auto"/>
          </w:tcPr>
          <w:p w14:paraId="414D3563" w14:textId="77777777" w:rsidR="00E23746" w:rsidRDefault="00E23746" w:rsidP="000B2F10">
            <w:pPr>
              <w:rPr>
                <w:rFonts w:cs="Arial"/>
                <w:sz w:val="20"/>
                <w:szCs w:val="20"/>
              </w:rPr>
            </w:pPr>
            <w:r>
              <w:rPr>
                <w:rFonts w:cs="Arial"/>
                <w:sz w:val="20"/>
                <w:szCs w:val="20"/>
              </w:rPr>
              <w:t>Los alumnos concluyen sus estudios de nivel Medio Superior.</w:t>
            </w:r>
          </w:p>
        </w:tc>
      </w:tr>
      <w:tr w:rsidR="00E23746" w:rsidRPr="00574DAC" w14:paraId="4CA9B4F6" w14:textId="77777777" w:rsidTr="00295ECB">
        <w:trPr>
          <w:trHeight w:val="2110"/>
        </w:trPr>
        <w:tc>
          <w:tcPr>
            <w:tcW w:w="1413" w:type="dxa"/>
            <w:shd w:val="clear" w:color="auto" w:fill="auto"/>
          </w:tcPr>
          <w:p w14:paraId="61587BFB" w14:textId="77777777" w:rsidR="00E23746" w:rsidRDefault="00E23746" w:rsidP="000B2F10">
            <w:pPr>
              <w:jc w:val="center"/>
              <w:rPr>
                <w:rFonts w:cs="Arial"/>
                <w:b/>
                <w:bCs/>
                <w:sz w:val="20"/>
                <w:szCs w:val="20"/>
              </w:rPr>
            </w:pPr>
            <w:r>
              <w:rPr>
                <w:rFonts w:cs="Arial"/>
                <w:b/>
                <w:bCs/>
                <w:sz w:val="20"/>
                <w:szCs w:val="20"/>
              </w:rPr>
              <w:t>Actividad</w:t>
            </w:r>
          </w:p>
        </w:tc>
        <w:tc>
          <w:tcPr>
            <w:tcW w:w="2693" w:type="dxa"/>
            <w:shd w:val="clear" w:color="auto" w:fill="auto"/>
          </w:tcPr>
          <w:p w14:paraId="1A992ECB" w14:textId="77777777" w:rsidR="00E23746" w:rsidRDefault="00E23746" w:rsidP="000B2F10">
            <w:pPr>
              <w:jc w:val="left"/>
              <w:rPr>
                <w:rFonts w:cs="Arial"/>
                <w:sz w:val="20"/>
                <w:szCs w:val="20"/>
              </w:rPr>
            </w:pPr>
            <w:r>
              <w:rPr>
                <w:rFonts w:cs="Arial"/>
                <w:sz w:val="20"/>
                <w:szCs w:val="20"/>
              </w:rPr>
              <w:t>Promover la formación docente y operación del Programa Educativo Telebachillerato Comunitario.</w:t>
            </w:r>
          </w:p>
        </w:tc>
        <w:tc>
          <w:tcPr>
            <w:tcW w:w="2835" w:type="dxa"/>
            <w:shd w:val="clear" w:color="auto" w:fill="auto"/>
          </w:tcPr>
          <w:p w14:paraId="01A4D6B9" w14:textId="77777777" w:rsidR="00E23746" w:rsidRDefault="00E23746" w:rsidP="000B2F10">
            <w:pPr>
              <w:rPr>
                <w:rFonts w:cs="Arial"/>
                <w:sz w:val="20"/>
                <w:szCs w:val="20"/>
              </w:rPr>
            </w:pPr>
            <w:r>
              <w:rPr>
                <w:rFonts w:cs="Arial"/>
                <w:sz w:val="20"/>
                <w:szCs w:val="20"/>
              </w:rPr>
              <w:t>C05.A01 - Fortalecimiento académico a los Servicios del Telebachillerato Comunitario.</w:t>
            </w:r>
          </w:p>
        </w:tc>
        <w:tc>
          <w:tcPr>
            <w:tcW w:w="2268" w:type="dxa"/>
            <w:shd w:val="clear" w:color="FFFFFF" w:fill="FFFFFF"/>
          </w:tcPr>
          <w:p w14:paraId="2BCE3ACB" w14:textId="77777777" w:rsidR="00E23746" w:rsidRDefault="00E23746" w:rsidP="000B2F10">
            <w:pPr>
              <w:rPr>
                <w:rFonts w:cs="Arial"/>
                <w:sz w:val="20"/>
                <w:szCs w:val="20"/>
              </w:rPr>
            </w:pPr>
            <w:r>
              <w:rPr>
                <w:rFonts w:cs="Arial"/>
                <w:sz w:val="20"/>
                <w:szCs w:val="20"/>
              </w:rPr>
              <w:t>C05A01 - Porcentaje de horas de capacitación recibidas por los docentes de Telebachillerato.</w:t>
            </w:r>
          </w:p>
        </w:tc>
        <w:tc>
          <w:tcPr>
            <w:tcW w:w="2835" w:type="dxa"/>
            <w:shd w:val="clear" w:color="auto" w:fill="auto"/>
          </w:tcPr>
          <w:p w14:paraId="6B9A60C2" w14:textId="7D472D25" w:rsidR="00E23746" w:rsidRDefault="00E23746" w:rsidP="000B2F10">
            <w:pPr>
              <w:rPr>
                <w:rFonts w:cs="Arial"/>
                <w:sz w:val="20"/>
                <w:szCs w:val="20"/>
              </w:rPr>
            </w:pPr>
            <w:r>
              <w:rPr>
                <w:rFonts w:cs="Arial"/>
                <w:sz w:val="20"/>
                <w:szCs w:val="20"/>
              </w:rPr>
              <w:t>Listas de asistencia y registro de docentes a cursos, Anual. SEQ. Liga:https://qroo.gob.mx/seq/medios-de-verificacion-de-la-planeacio-anual.</w:t>
            </w:r>
          </w:p>
        </w:tc>
        <w:tc>
          <w:tcPr>
            <w:tcW w:w="1985" w:type="dxa"/>
            <w:shd w:val="clear" w:color="auto" w:fill="auto"/>
          </w:tcPr>
          <w:p w14:paraId="1C7EEF29" w14:textId="77777777" w:rsidR="00E23746" w:rsidRDefault="00E23746" w:rsidP="000B2F10">
            <w:pPr>
              <w:rPr>
                <w:rFonts w:cs="Arial"/>
                <w:sz w:val="20"/>
                <w:szCs w:val="20"/>
              </w:rPr>
            </w:pPr>
            <w:r>
              <w:rPr>
                <w:rFonts w:cs="Arial"/>
                <w:sz w:val="20"/>
                <w:szCs w:val="20"/>
              </w:rPr>
              <w:t>Docentes del Telebachillerato toman los cursos de apoyo académico.</w:t>
            </w:r>
          </w:p>
        </w:tc>
      </w:tr>
    </w:tbl>
    <w:p w14:paraId="13D8A5B8" w14:textId="77777777" w:rsidR="00D47ED1" w:rsidRDefault="00D47ED1">
      <w:pPr>
        <w:spacing w:after="0" w:line="240" w:lineRule="auto"/>
        <w:jc w:val="left"/>
      </w:pPr>
      <w:r>
        <w:br w:type="page"/>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71"/>
        <w:gridCol w:w="2835"/>
        <w:gridCol w:w="2835"/>
        <w:gridCol w:w="2268"/>
        <w:gridCol w:w="2835"/>
        <w:gridCol w:w="1985"/>
      </w:tblGrid>
      <w:tr w:rsidR="00E23746" w:rsidRPr="00574DAC" w14:paraId="6E14035B" w14:textId="77777777" w:rsidTr="006B434D">
        <w:trPr>
          <w:trHeight w:val="679"/>
        </w:trPr>
        <w:tc>
          <w:tcPr>
            <w:tcW w:w="1271" w:type="dxa"/>
            <w:shd w:val="clear" w:color="000000" w:fill="BFBFBF"/>
            <w:vAlign w:val="center"/>
            <w:hideMark/>
          </w:tcPr>
          <w:p w14:paraId="25901CA2"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lastRenderedPageBreak/>
              <w:t>NIVEL</w:t>
            </w:r>
          </w:p>
        </w:tc>
        <w:tc>
          <w:tcPr>
            <w:tcW w:w="2835" w:type="dxa"/>
            <w:shd w:val="clear" w:color="000000" w:fill="BFBFBF"/>
            <w:vAlign w:val="center"/>
            <w:hideMark/>
          </w:tcPr>
          <w:p w14:paraId="24A72F78"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ALINEACIÓN PED/PD</w:t>
            </w:r>
          </w:p>
        </w:tc>
        <w:tc>
          <w:tcPr>
            <w:tcW w:w="2835" w:type="dxa"/>
            <w:shd w:val="clear" w:color="000000" w:fill="BFBFBF"/>
            <w:vAlign w:val="center"/>
            <w:hideMark/>
          </w:tcPr>
          <w:p w14:paraId="3CD4E669"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OBJETIVO</w:t>
            </w:r>
          </w:p>
        </w:tc>
        <w:tc>
          <w:tcPr>
            <w:tcW w:w="2268" w:type="dxa"/>
            <w:shd w:val="clear" w:color="000000" w:fill="BFBFBF"/>
            <w:vAlign w:val="center"/>
            <w:hideMark/>
          </w:tcPr>
          <w:p w14:paraId="4E981F7D"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INDICADOR</w:t>
            </w:r>
          </w:p>
        </w:tc>
        <w:tc>
          <w:tcPr>
            <w:tcW w:w="2835" w:type="dxa"/>
            <w:shd w:val="clear" w:color="000000" w:fill="BFBFBF"/>
            <w:vAlign w:val="center"/>
            <w:hideMark/>
          </w:tcPr>
          <w:p w14:paraId="3CFCD3FB"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MEDIOS DE VERIFICACIÓN</w:t>
            </w:r>
          </w:p>
        </w:tc>
        <w:tc>
          <w:tcPr>
            <w:tcW w:w="1985" w:type="dxa"/>
            <w:shd w:val="clear" w:color="000000" w:fill="BFBFBF"/>
            <w:vAlign w:val="center"/>
            <w:hideMark/>
          </w:tcPr>
          <w:p w14:paraId="4A5D084B"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SUPUESTO</w:t>
            </w:r>
          </w:p>
        </w:tc>
      </w:tr>
      <w:tr w:rsidR="00E23746" w:rsidRPr="00574DAC" w14:paraId="1D2FA7BC" w14:textId="77777777" w:rsidTr="006B434D">
        <w:trPr>
          <w:trHeight w:val="1826"/>
        </w:trPr>
        <w:tc>
          <w:tcPr>
            <w:tcW w:w="1271" w:type="dxa"/>
            <w:shd w:val="clear" w:color="auto" w:fill="auto"/>
          </w:tcPr>
          <w:p w14:paraId="10D1994C" w14:textId="77777777" w:rsidR="00E23746" w:rsidRDefault="00E23746" w:rsidP="000B2F10">
            <w:pPr>
              <w:jc w:val="center"/>
              <w:rPr>
                <w:rFonts w:cs="Arial"/>
                <w:b/>
                <w:bCs/>
                <w:sz w:val="20"/>
                <w:szCs w:val="20"/>
              </w:rPr>
            </w:pPr>
            <w:r>
              <w:rPr>
                <w:rFonts w:cs="Arial"/>
                <w:b/>
                <w:bCs/>
                <w:sz w:val="20"/>
                <w:szCs w:val="20"/>
              </w:rPr>
              <w:t>Actividad</w:t>
            </w:r>
          </w:p>
        </w:tc>
        <w:tc>
          <w:tcPr>
            <w:tcW w:w="2835" w:type="dxa"/>
            <w:shd w:val="clear" w:color="auto" w:fill="auto"/>
          </w:tcPr>
          <w:p w14:paraId="53F2A6FD" w14:textId="77777777" w:rsidR="00E23746" w:rsidRDefault="00E23746" w:rsidP="000B2F10">
            <w:pPr>
              <w:jc w:val="left"/>
              <w:rPr>
                <w:rFonts w:cs="Arial"/>
                <w:sz w:val="20"/>
                <w:szCs w:val="20"/>
              </w:rPr>
            </w:pPr>
            <w:r>
              <w:rPr>
                <w:rFonts w:cs="Arial"/>
                <w:sz w:val="20"/>
                <w:szCs w:val="20"/>
              </w:rPr>
              <w:t>Promover la formación docente y operación del Programa Educativo Telebachillerato Comunitario.</w:t>
            </w:r>
          </w:p>
        </w:tc>
        <w:tc>
          <w:tcPr>
            <w:tcW w:w="2835" w:type="dxa"/>
            <w:shd w:val="clear" w:color="auto" w:fill="auto"/>
          </w:tcPr>
          <w:p w14:paraId="1EFD2276" w14:textId="77777777" w:rsidR="00E23746" w:rsidRDefault="00E23746" w:rsidP="000B2F10">
            <w:pPr>
              <w:rPr>
                <w:rFonts w:cs="Arial"/>
                <w:sz w:val="20"/>
                <w:szCs w:val="20"/>
              </w:rPr>
            </w:pPr>
            <w:r>
              <w:rPr>
                <w:rFonts w:cs="Arial"/>
                <w:sz w:val="20"/>
                <w:szCs w:val="20"/>
              </w:rPr>
              <w:t>C05.A02 - Coordinación de encuentros estatales entre los Telebachilleratos Comunitarios.</w:t>
            </w:r>
          </w:p>
        </w:tc>
        <w:tc>
          <w:tcPr>
            <w:tcW w:w="2268" w:type="dxa"/>
            <w:shd w:val="clear" w:color="FFFFFF" w:fill="FFFFFF"/>
          </w:tcPr>
          <w:p w14:paraId="701FC794" w14:textId="77777777" w:rsidR="00E23746" w:rsidRDefault="00E23746" w:rsidP="000B2F10">
            <w:pPr>
              <w:rPr>
                <w:rFonts w:cs="Arial"/>
                <w:sz w:val="20"/>
                <w:szCs w:val="20"/>
              </w:rPr>
            </w:pPr>
            <w:r>
              <w:rPr>
                <w:rFonts w:cs="Arial"/>
                <w:sz w:val="20"/>
                <w:szCs w:val="20"/>
              </w:rPr>
              <w:t>C05A02 - Porcentaje de alumnos participantes.</w:t>
            </w:r>
          </w:p>
        </w:tc>
        <w:tc>
          <w:tcPr>
            <w:tcW w:w="2835" w:type="dxa"/>
            <w:shd w:val="clear" w:color="auto" w:fill="auto"/>
          </w:tcPr>
          <w:p w14:paraId="0E387A3F" w14:textId="77777777" w:rsidR="00E23746" w:rsidRDefault="00E23746" w:rsidP="000B2F10">
            <w:pPr>
              <w:rPr>
                <w:rFonts w:cs="Arial"/>
                <w:sz w:val="20"/>
                <w:szCs w:val="20"/>
              </w:rPr>
            </w:pPr>
            <w:r>
              <w:rPr>
                <w:rFonts w:cs="Arial"/>
                <w:sz w:val="20"/>
                <w:szCs w:val="20"/>
              </w:rPr>
              <w:t>Lista de participantes por campo disciplinar, Anual. SEQ. Liga:https://qroo.gob.mx/seq/medios-de-verificacion-de-la-planeacion-anual.</w:t>
            </w:r>
          </w:p>
        </w:tc>
        <w:tc>
          <w:tcPr>
            <w:tcW w:w="1985" w:type="dxa"/>
            <w:shd w:val="clear" w:color="auto" w:fill="auto"/>
          </w:tcPr>
          <w:p w14:paraId="27B67192" w14:textId="77777777" w:rsidR="00E23746" w:rsidRDefault="00E23746" w:rsidP="000B2F10">
            <w:pPr>
              <w:rPr>
                <w:rFonts w:cs="Arial"/>
                <w:sz w:val="20"/>
                <w:szCs w:val="20"/>
              </w:rPr>
            </w:pPr>
            <w:r>
              <w:rPr>
                <w:rFonts w:cs="Arial"/>
                <w:sz w:val="20"/>
                <w:szCs w:val="20"/>
              </w:rPr>
              <w:t>Los alumnos de Telebachillerato Comunitario participan en los encuentros estatales.</w:t>
            </w:r>
          </w:p>
        </w:tc>
      </w:tr>
      <w:tr w:rsidR="00E23746" w:rsidRPr="00574DAC" w14:paraId="0A520DA3" w14:textId="77777777" w:rsidTr="006B434D">
        <w:trPr>
          <w:trHeight w:val="2110"/>
        </w:trPr>
        <w:tc>
          <w:tcPr>
            <w:tcW w:w="1271" w:type="dxa"/>
            <w:shd w:val="clear" w:color="auto" w:fill="auto"/>
          </w:tcPr>
          <w:p w14:paraId="4842ABE4" w14:textId="77777777" w:rsidR="00E23746" w:rsidRDefault="00E23746" w:rsidP="000B2F10">
            <w:pPr>
              <w:jc w:val="center"/>
              <w:rPr>
                <w:rFonts w:cs="Arial"/>
                <w:b/>
                <w:bCs/>
                <w:sz w:val="20"/>
                <w:szCs w:val="20"/>
              </w:rPr>
            </w:pPr>
            <w:r>
              <w:rPr>
                <w:rFonts w:cs="Arial"/>
                <w:b/>
                <w:bCs/>
                <w:sz w:val="20"/>
                <w:szCs w:val="20"/>
              </w:rPr>
              <w:t>Actividad</w:t>
            </w:r>
          </w:p>
        </w:tc>
        <w:tc>
          <w:tcPr>
            <w:tcW w:w="2835" w:type="dxa"/>
            <w:shd w:val="clear" w:color="auto" w:fill="auto"/>
          </w:tcPr>
          <w:p w14:paraId="40C92671" w14:textId="77777777" w:rsidR="00E23746" w:rsidRDefault="00E23746" w:rsidP="000B2F10">
            <w:pPr>
              <w:jc w:val="left"/>
              <w:rPr>
                <w:rFonts w:cs="Arial"/>
                <w:sz w:val="20"/>
                <w:szCs w:val="20"/>
              </w:rPr>
            </w:pPr>
            <w:r>
              <w:rPr>
                <w:rFonts w:cs="Arial"/>
                <w:sz w:val="20"/>
                <w:szCs w:val="20"/>
              </w:rPr>
              <w:t>Promover la formación docente y operación del Programa Educativo Telebachillerato Comunitario.</w:t>
            </w:r>
          </w:p>
        </w:tc>
        <w:tc>
          <w:tcPr>
            <w:tcW w:w="2835" w:type="dxa"/>
            <w:shd w:val="clear" w:color="auto" w:fill="auto"/>
          </w:tcPr>
          <w:p w14:paraId="7FD48401" w14:textId="77777777" w:rsidR="00E23746" w:rsidRDefault="00E23746" w:rsidP="000B2F10">
            <w:pPr>
              <w:rPr>
                <w:rFonts w:cs="Arial"/>
                <w:sz w:val="20"/>
                <w:szCs w:val="20"/>
              </w:rPr>
            </w:pPr>
            <w:r>
              <w:rPr>
                <w:rFonts w:cs="Arial"/>
                <w:sz w:val="20"/>
                <w:szCs w:val="20"/>
              </w:rPr>
              <w:t>C05.A03 - Implementación de talleres de prevención y atención de adicciones a los Telebachilleratos.</w:t>
            </w:r>
          </w:p>
        </w:tc>
        <w:tc>
          <w:tcPr>
            <w:tcW w:w="2268" w:type="dxa"/>
            <w:shd w:val="clear" w:color="FFFFFF" w:fill="FFFFFF"/>
          </w:tcPr>
          <w:p w14:paraId="16D91B18" w14:textId="77777777" w:rsidR="00E23746" w:rsidRDefault="00E23746" w:rsidP="000B2F10">
            <w:pPr>
              <w:rPr>
                <w:rFonts w:cs="Arial"/>
                <w:sz w:val="20"/>
                <w:szCs w:val="20"/>
              </w:rPr>
            </w:pPr>
            <w:r>
              <w:rPr>
                <w:rFonts w:cs="Arial"/>
                <w:sz w:val="20"/>
                <w:szCs w:val="20"/>
              </w:rPr>
              <w:t>CO5A03 - Porcentaje de alumnos y alumnas atendidos en los talleres de prevención y atención de adicciones.</w:t>
            </w:r>
          </w:p>
        </w:tc>
        <w:tc>
          <w:tcPr>
            <w:tcW w:w="2835" w:type="dxa"/>
            <w:shd w:val="clear" w:color="auto" w:fill="auto"/>
          </w:tcPr>
          <w:p w14:paraId="21F11D98" w14:textId="77777777" w:rsidR="00E23746" w:rsidRDefault="00E23746" w:rsidP="000B2F10">
            <w:pPr>
              <w:rPr>
                <w:rFonts w:cs="Arial"/>
                <w:sz w:val="20"/>
                <w:szCs w:val="20"/>
              </w:rPr>
            </w:pPr>
            <w:r>
              <w:rPr>
                <w:rFonts w:cs="Arial"/>
                <w:sz w:val="20"/>
                <w:szCs w:val="20"/>
              </w:rPr>
              <w:t>Lista de asistencia de los alumnos a los talleres, Anual. SEQ. Liga: https://qroo.gob.mx/seq/medios-de-verificacion-de-la-planeacion-anual.</w:t>
            </w:r>
          </w:p>
        </w:tc>
        <w:tc>
          <w:tcPr>
            <w:tcW w:w="1985" w:type="dxa"/>
            <w:shd w:val="clear" w:color="auto" w:fill="auto"/>
          </w:tcPr>
          <w:p w14:paraId="3A091AB3" w14:textId="77777777" w:rsidR="00E23746" w:rsidRDefault="00E23746" w:rsidP="000B2F10">
            <w:pPr>
              <w:rPr>
                <w:rFonts w:cs="Arial"/>
                <w:sz w:val="20"/>
                <w:szCs w:val="20"/>
              </w:rPr>
            </w:pPr>
            <w:r>
              <w:rPr>
                <w:rFonts w:cs="Arial"/>
                <w:sz w:val="20"/>
                <w:szCs w:val="20"/>
              </w:rPr>
              <w:t>Los alumnos y alumnas de Telebachillerato, participan en los talleres de prevención y atención de adicciones.</w:t>
            </w:r>
          </w:p>
        </w:tc>
      </w:tr>
    </w:tbl>
    <w:p w14:paraId="5B778C53" w14:textId="4BA0BF72" w:rsidR="00E23746" w:rsidRPr="000C7A08" w:rsidRDefault="00E23746" w:rsidP="000C7A08">
      <w:pPr>
        <w:rPr>
          <w:rFonts w:eastAsia="Calibri" w:cs="Arial"/>
          <w:bCs/>
          <w:color w:val="595959" w:themeColor="text1" w:themeTint="A6"/>
          <w:sz w:val="18"/>
          <w:szCs w:val="20"/>
        </w:rPr>
      </w:pPr>
      <w:r w:rsidRPr="0093279A">
        <w:rPr>
          <w:rFonts w:eastAsia="Calibri" w:cs="Arial"/>
          <w:bCs/>
          <w:color w:val="595959" w:themeColor="text1" w:themeTint="A6"/>
          <w:sz w:val="18"/>
          <w:szCs w:val="20"/>
        </w:rPr>
        <w:t>El anexo aquí presentado es perfectible, y se encuentra susceptible de modificaciones programáticas toda vez que así se le indique por observaciones de auditorías, evaluaciones al desempeño y revisiones de la Secretaría de Finanzas y Planeación antes y durante el ejercicio fiscal del que se trate, así como también, cuando las condiciones del Ente Público responsable de dicha información programática requiera hacer modificaciones a sus necesidades institucionales, atendiendo a lo establecido en los Lineamientos para la Creación, Modificación y Cancelación de Programas Presupuestarios y para la Modificación de Metas del Gobierno del Estado de Quintana Roo.</w:t>
      </w:r>
    </w:p>
    <w:p w14:paraId="144F374E" w14:textId="77777777" w:rsidR="00E23746" w:rsidRDefault="00E23746" w:rsidP="00E23746">
      <w:pPr>
        <w:rPr>
          <w:lang w:val="es-MX" w:eastAsia="en-US"/>
        </w:rPr>
      </w:pPr>
      <w:r>
        <w:rPr>
          <w:lang w:val="es-MX" w:eastAsia="en-US"/>
        </w:rPr>
        <w:br w:type="page"/>
      </w:r>
    </w:p>
    <w:tbl>
      <w:tblPr>
        <w:tblW w:w="14029" w:type="dxa"/>
        <w:tblLayout w:type="fixed"/>
        <w:tblCellMar>
          <w:left w:w="70" w:type="dxa"/>
          <w:right w:w="70" w:type="dxa"/>
        </w:tblCellMar>
        <w:tblLook w:val="04A0" w:firstRow="1" w:lastRow="0" w:firstColumn="1" w:lastColumn="0" w:noHBand="0" w:noVBand="1"/>
      </w:tblPr>
      <w:tblGrid>
        <w:gridCol w:w="1271"/>
        <w:gridCol w:w="2835"/>
        <w:gridCol w:w="2835"/>
        <w:gridCol w:w="2268"/>
        <w:gridCol w:w="2835"/>
        <w:gridCol w:w="1985"/>
      </w:tblGrid>
      <w:tr w:rsidR="00E23746" w:rsidRPr="00574DAC" w14:paraId="171DDB4E" w14:textId="77777777" w:rsidTr="000B2F10">
        <w:trPr>
          <w:trHeight w:val="720"/>
        </w:trPr>
        <w:tc>
          <w:tcPr>
            <w:tcW w:w="4106" w:type="dxa"/>
            <w:gridSpan w:val="2"/>
            <w:tcBorders>
              <w:top w:val="single" w:sz="4" w:space="0" w:color="auto"/>
              <w:left w:val="single" w:sz="4" w:space="0" w:color="auto"/>
              <w:bottom w:val="single" w:sz="4" w:space="0" w:color="auto"/>
              <w:right w:val="single" w:sz="4" w:space="0" w:color="000000"/>
            </w:tcBorders>
            <w:shd w:val="clear" w:color="000000" w:fill="BFBFBF"/>
            <w:vAlign w:val="center"/>
            <w:hideMark/>
          </w:tcPr>
          <w:p w14:paraId="0711740D" w14:textId="77777777" w:rsidR="00E23746" w:rsidRPr="00574DAC" w:rsidRDefault="00E23746" w:rsidP="000B2F10">
            <w:pPr>
              <w:spacing w:after="0" w:line="240" w:lineRule="auto"/>
              <w:jc w:val="center"/>
              <w:rPr>
                <w:rFonts w:eastAsia="Times New Roman" w:cs="Arial"/>
                <w:b/>
                <w:bCs/>
                <w:sz w:val="20"/>
                <w:szCs w:val="20"/>
                <w:lang w:val="es-MX" w:eastAsia="es-MX"/>
              </w:rPr>
            </w:pPr>
            <w:r>
              <w:rPr>
                <w:rFonts w:eastAsia="Times New Roman" w:cs="Arial"/>
                <w:b/>
                <w:bCs/>
                <w:sz w:val="20"/>
                <w:szCs w:val="20"/>
                <w:lang w:val="es-MX" w:eastAsia="es-MX"/>
              </w:rPr>
              <w:lastRenderedPageBreak/>
              <w:t>P</w:t>
            </w:r>
            <w:r w:rsidRPr="00574DAC">
              <w:rPr>
                <w:rFonts w:eastAsia="Times New Roman" w:cs="Arial"/>
                <w:b/>
                <w:bCs/>
                <w:sz w:val="20"/>
                <w:szCs w:val="20"/>
                <w:lang w:val="es-MX" w:eastAsia="es-MX"/>
              </w:rPr>
              <w:t>ROGRAMA PRESUPUESTARIO:</w:t>
            </w:r>
          </w:p>
        </w:tc>
        <w:tc>
          <w:tcPr>
            <w:tcW w:w="9923" w:type="dxa"/>
            <w:gridSpan w:val="4"/>
            <w:tcBorders>
              <w:top w:val="single" w:sz="4" w:space="0" w:color="auto"/>
              <w:left w:val="nil"/>
              <w:bottom w:val="single" w:sz="4" w:space="0" w:color="auto"/>
              <w:right w:val="single" w:sz="4" w:space="0" w:color="auto"/>
            </w:tcBorders>
            <w:shd w:val="clear" w:color="auto" w:fill="auto"/>
            <w:vAlign w:val="center"/>
            <w:hideMark/>
          </w:tcPr>
          <w:p w14:paraId="439DC866" w14:textId="77777777" w:rsidR="00E23746" w:rsidRPr="00574DAC" w:rsidRDefault="00E23746" w:rsidP="000B2F10">
            <w:pPr>
              <w:spacing w:after="0" w:line="240" w:lineRule="auto"/>
              <w:jc w:val="left"/>
              <w:rPr>
                <w:rFonts w:eastAsia="Times New Roman" w:cs="Arial"/>
                <w:sz w:val="20"/>
                <w:szCs w:val="20"/>
                <w:lang w:val="es-MX" w:eastAsia="es-MX"/>
              </w:rPr>
            </w:pPr>
            <w:r>
              <w:rPr>
                <w:rFonts w:eastAsia="Times New Roman" w:cs="Arial"/>
                <w:sz w:val="20"/>
                <w:szCs w:val="20"/>
                <w:lang w:val="es-MX" w:eastAsia="es-MX"/>
              </w:rPr>
              <w:t xml:space="preserve">Fortalecimiento de </w:t>
            </w:r>
            <w:r w:rsidRPr="000B2C13">
              <w:rPr>
                <w:rFonts w:eastAsia="Times New Roman" w:cs="Arial"/>
                <w:sz w:val="20"/>
                <w:szCs w:val="20"/>
                <w:lang w:val="es-MX" w:eastAsia="es-MX"/>
              </w:rPr>
              <w:t>Instituciones Formadoras de Docentes</w:t>
            </w:r>
          </w:p>
        </w:tc>
      </w:tr>
      <w:tr w:rsidR="00E23746" w:rsidRPr="00574DAC" w14:paraId="594CB67A" w14:textId="77777777" w:rsidTr="000B2F10">
        <w:trPr>
          <w:trHeight w:val="552"/>
        </w:trPr>
        <w:tc>
          <w:tcPr>
            <w:tcW w:w="4106" w:type="dxa"/>
            <w:gridSpan w:val="2"/>
            <w:tcBorders>
              <w:top w:val="single" w:sz="4" w:space="0" w:color="auto"/>
              <w:left w:val="single" w:sz="4" w:space="0" w:color="auto"/>
              <w:bottom w:val="single" w:sz="4" w:space="0" w:color="auto"/>
              <w:right w:val="single" w:sz="4" w:space="0" w:color="000000"/>
            </w:tcBorders>
            <w:shd w:val="clear" w:color="000000" w:fill="BFBFBF"/>
            <w:vAlign w:val="center"/>
            <w:hideMark/>
          </w:tcPr>
          <w:p w14:paraId="6F73088A"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INSTITUCIÓN:</w:t>
            </w:r>
          </w:p>
        </w:tc>
        <w:tc>
          <w:tcPr>
            <w:tcW w:w="9923" w:type="dxa"/>
            <w:gridSpan w:val="4"/>
            <w:tcBorders>
              <w:top w:val="single" w:sz="4" w:space="0" w:color="auto"/>
              <w:left w:val="nil"/>
              <w:bottom w:val="single" w:sz="4" w:space="0" w:color="auto"/>
              <w:right w:val="single" w:sz="4" w:space="0" w:color="auto"/>
            </w:tcBorders>
            <w:shd w:val="clear" w:color="auto" w:fill="auto"/>
            <w:vAlign w:val="center"/>
            <w:hideMark/>
          </w:tcPr>
          <w:p w14:paraId="2B1B81BB" w14:textId="08660B9C" w:rsidR="00E23746" w:rsidRPr="00574DAC" w:rsidRDefault="001477D5" w:rsidP="000B2F10">
            <w:pPr>
              <w:spacing w:after="0" w:line="240" w:lineRule="auto"/>
              <w:jc w:val="left"/>
              <w:rPr>
                <w:rFonts w:eastAsia="Times New Roman" w:cs="Arial"/>
                <w:sz w:val="20"/>
                <w:szCs w:val="20"/>
                <w:lang w:val="es-MX" w:eastAsia="es-MX"/>
              </w:rPr>
            </w:pPr>
            <w:r>
              <w:rPr>
                <w:rFonts w:eastAsia="Times New Roman" w:cs="Arial"/>
                <w:sz w:val="20"/>
                <w:szCs w:val="20"/>
                <w:lang w:val="es-MX" w:eastAsia="es-MX"/>
              </w:rPr>
              <w:t xml:space="preserve">1301  Servicios Educativos </w:t>
            </w:r>
            <w:r w:rsidR="00E23746" w:rsidRPr="000B2C13">
              <w:rPr>
                <w:rFonts w:eastAsia="Times New Roman" w:cs="Arial"/>
                <w:sz w:val="20"/>
                <w:szCs w:val="20"/>
                <w:lang w:val="es-MX" w:eastAsia="es-MX"/>
              </w:rPr>
              <w:t xml:space="preserve"> de Quintana Roo</w:t>
            </w:r>
            <w:r w:rsidR="00CF7501">
              <w:rPr>
                <w:rFonts w:eastAsia="Times New Roman" w:cs="Arial"/>
                <w:sz w:val="20"/>
                <w:szCs w:val="20"/>
                <w:lang w:val="es-MX" w:eastAsia="es-MX"/>
              </w:rPr>
              <w:t>.</w:t>
            </w:r>
          </w:p>
        </w:tc>
      </w:tr>
      <w:tr w:rsidR="00E23746" w:rsidRPr="00574DAC" w14:paraId="59F8DD7A" w14:textId="77777777" w:rsidTr="000B2F10">
        <w:trPr>
          <w:trHeight w:val="282"/>
        </w:trPr>
        <w:tc>
          <w:tcPr>
            <w:tcW w:w="1271" w:type="dxa"/>
            <w:tcBorders>
              <w:top w:val="nil"/>
              <w:left w:val="nil"/>
              <w:bottom w:val="nil"/>
              <w:right w:val="nil"/>
            </w:tcBorders>
            <w:shd w:val="clear" w:color="auto" w:fill="auto"/>
            <w:hideMark/>
          </w:tcPr>
          <w:p w14:paraId="6F015476" w14:textId="77777777" w:rsidR="00E23746" w:rsidRPr="00574DAC" w:rsidRDefault="00E23746" w:rsidP="000B2F10">
            <w:pPr>
              <w:spacing w:after="0" w:line="240" w:lineRule="auto"/>
              <w:jc w:val="left"/>
              <w:rPr>
                <w:rFonts w:eastAsia="Times New Roman" w:cs="Arial"/>
                <w:sz w:val="20"/>
                <w:szCs w:val="20"/>
                <w:lang w:val="es-MX" w:eastAsia="es-MX"/>
              </w:rPr>
            </w:pPr>
          </w:p>
        </w:tc>
        <w:tc>
          <w:tcPr>
            <w:tcW w:w="2835" w:type="dxa"/>
            <w:tcBorders>
              <w:top w:val="nil"/>
              <w:left w:val="nil"/>
              <w:bottom w:val="nil"/>
              <w:right w:val="nil"/>
            </w:tcBorders>
            <w:shd w:val="clear" w:color="auto" w:fill="auto"/>
            <w:hideMark/>
          </w:tcPr>
          <w:p w14:paraId="21123385" w14:textId="77777777" w:rsidR="00E23746" w:rsidRPr="00574DAC" w:rsidRDefault="00E23746" w:rsidP="000B2F10">
            <w:pPr>
              <w:spacing w:after="0" w:line="240" w:lineRule="auto"/>
              <w:jc w:val="left"/>
              <w:rPr>
                <w:rFonts w:ascii="Times New Roman" w:eastAsia="Times New Roman" w:hAnsi="Times New Roman"/>
                <w:sz w:val="20"/>
                <w:szCs w:val="20"/>
                <w:lang w:val="es-MX" w:eastAsia="es-MX"/>
              </w:rPr>
            </w:pPr>
          </w:p>
        </w:tc>
        <w:tc>
          <w:tcPr>
            <w:tcW w:w="2835" w:type="dxa"/>
            <w:tcBorders>
              <w:top w:val="nil"/>
              <w:left w:val="nil"/>
              <w:bottom w:val="nil"/>
              <w:right w:val="nil"/>
            </w:tcBorders>
            <w:shd w:val="clear" w:color="auto" w:fill="auto"/>
            <w:hideMark/>
          </w:tcPr>
          <w:p w14:paraId="524F4A82" w14:textId="77777777" w:rsidR="00E23746" w:rsidRPr="00574DAC" w:rsidRDefault="00E23746" w:rsidP="000B2F10">
            <w:pPr>
              <w:spacing w:after="0" w:line="240" w:lineRule="auto"/>
              <w:jc w:val="left"/>
              <w:rPr>
                <w:rFonts w:ascii="Times New Roman" w:eastAsia="Times New Roman" w:hAnsi="Times New Roman"/>
                <w:sz w:val="20"/>
                <w:szCs w:val="20"/>
                <w:lang w:val="es-MX" w:eastAsia="es-MX"/>
              </w:rPr>
            </w:pPr>
          </w:p>
        </w:tc>
        <w:tc>
          <w:tcPr>
            <w:tcW w:w="2268" w:type="dxa"/>
            <w:tcBorders>
              <w:top w:val="nil"/>
              <w:left w:val="nil"/>
              <w:bottom w:val="nil"/>
              <w:right w:val="nil"/>
            </w:tcBorders>
            <w:shd w:val="clear" w:color="auto" w:fill="auto"/>
            <w:hideMark/>
          </w:tcPr>
          <w:p w14:paraId="46EA4B39" w14:textId="77777777" w:rsidR="00E23746" w:rsidRPr="00574DAC" w:rsidRDefault="00E23746" w:rsidP="000B2F10">
            <w:pPr>
              <w:spacing w:after="0" w:line="240" w:lineRule="auto"/>
              <w:jc w:val="left"/>
              <w:rPr>
                <w:rFonts w:ascii="Times New Roman" w:eastAsia="Times New Roman" w:hAnsi="Times New Roman"/>
                <w:sz w:val="20"/>
                <w:szCs w:val="20"/>
                <w:lang w:val="es-MX" w:eastAsia="es-MX"/>
              </w:rPr>
            </w:pPr>
          </w:p>
        </w:tc>
        <w:tc>
          <w:tcPr>
            <w:tcW w:w="2835" w:type="dxa"/>
            <w:tcBorders>
              <w:top w:val="nil"/>
              <w:left w:val="nil"/>
              <w:bottom w:val="nil"/>
              <w:right w:val="nil"/>
            </w:tcBorders>
            <w:shd w:val="clear" w:color="auto" w:fill="auto"/>
            <w:hideMark/>
          </w:tcPr>
          <w:p w14:paraId="25549610" w14:textId="77777777" w:rsidR="00E23746" w:rsidRPr="00574DAC" w:rsidRDefault="00E23746" w:rsidP="000B2F10">
            <w:pPr>
              <w:spacing w:after="0" w:line="240" w:lineRule="auto"/>
              <w:jc w:val="left"/>
              <w:rPr>
                <w:rFonts w:ascii="Times New Roman" w:eastAsia="Times New Roman" w:hAnsi="Times New Roman"/>
                <w:sz w:val="20"/>
                <w:szCs w:val="20"/>
                <w:lang w:val="es-MX" w:eastAsia="es-MX"/>
              </w:rPr>
            </w:pPr>
          </w:p>
        </w:tc>
        <w:tc>
          <w:tcPr>
            <w:tcW w:w="1985" w:type="dxa"/>
            <w:tcBorders>
              <w:top w:val="nil"/>
              <w:left w:val="nil"/>
              <w:bottom w:val="nil"/>
              <w:right w:val="nil"/>
            </w:tcBorders>
            <w:shd w:val="clear" w:color="auto" w:fill="auto"/>
            <w:hideMark/>
          </w:tcPr>
          <w:p w14:paraId="390D9AD0" w14:textId="77777777" w:rsidR="00E23746" w:rsidRPr="00574DAC" w:rsidRDefault="00E23746" w:rsidP="000B2F10">
            <w:pPr>
              <w:spacing w:after="0" w:line="240" w:lineRule="auto"/>
              <w:jc w:val="left"/>
              <w:rPr>
                <w:rFonts w:ascii="Times New Roman" w:eastAsia="Times New Roman" w:hAnsi="Times New Roman"/>
                <w:sz w:val="20"/>
                <w:szCs w:val="20"/>
                <w:lang w:val="es-MX" w:eastAsia="es-MX"/>
              </w:rPr>
            </w:pPr>
          </w:p>
        </w:tc>
      </w:tr>
      <w:tr w:rsidR="00E23746" w:rsidRPr="00574DAC" w14:paraId="56A3B993" w14:textId="77777777" w:rsidTr="006B434D">
        <w:trPr>
          <w:trHeight w:val="375"/>
        </w:trPr>
        <w:tc>
          <w:tcPr>
            <w:tcW w:w="14029" w:type="dxa"/>
            <w:gridSpan w:val="6"/>
            <w:tcBorders>
              <w:top w:val="single" w:sz="4" w:space="0" w:color="auto"/>
              <w:left w:val="single" w:sz="4" w:space="0" w:color="auto"/>
              <w:bottom w:val="single" w:sz="4" w:space="0" w:color="auto"/>
              <w:right w:val="single" w:sz="4" w:space="0" w:color="000000"/>
            </w:tcBorders>
            <w:shd w:val="clear" w:color="000000" w:fill="BFBFBF"/>
            <w:vAlign w:val="center"/>
            <w:hideMark/>
          </w:tcPr>
          <w:p w14:paraId="3B5568D6"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MATRIZ DE INDICADORES PARA RESULTADOS (MIR)</w:t>
            </w:r>
          </w:p>
        </w:tc>
      </w:tr>
      <w:tr w:rsidR="00E23746" w:rsidRPr="00574DAC" w14:paraId="047562D6" w14:textId="77777777" w:rsidTr="006B434D">
        <w:trPr>
          <w:trHeight w:val="679"/>
        </w:trPr>
        <w:tc>
          <w:tcPr>
            <w:tcW w:w="1271"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62132274"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NIVEL</w:t>
            </w:r>
          </w:p>
        </w:tc>
        <w:tc>
          <w:tcPr>
            <w:tcW w:w="2835" w:type="dxa"/>
            <w:tcBorders>
              <w:top w:val="single" w:sz="4" w:space="0" w:color="auto"/>
              <w:left w:val="nil"/>
              <w:bottom w:val="single" w:sz="4" w:space="0" w:color="auto"/>
              <w:right w:val="single" w:sz="4" w:space="0" w:color="auto"/>
            </w:tcBorders>
            <w:shd w:val="clear" w:color="000000" w:fill="BFBFBF"/>
            <w:vAlign w:val="center"/>
            <w:hideMark/>
          </w:tcPr>
          <w:p w14:paraId="131DA51E"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ALINEACIÓN PED/PD</w:t>
            </w:r>
          </w:p>
        </w:tc>
        <w:tc>
          <w:tcPr>
            <w:tcW w:w="2835" w:type="dxa"/>
            <w:tcBorders>
              <w:top w:val="single" w:sz="4" w:space="0" w:color="auto"/>
              <w:left w:val="nil"/>
              <w:bottom w:val="single" w:sz="4" w:space="0" w:color="auto"/>
              <w:right w:val="single" w:sz="4" w:space="0" w:color="auto"/>
            </w:tcBorders>
            <w:shd w:val="clear" w:color="000000" w:fill="BFBFBF"/>
            <w:vAlign w:val="center"/>
            <w:hideMark/>
          </w:tcPr>
          <w:p w14:paraId="735435BB"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OBJETIVO</w:t>
            </w:r>
          </w:p>
        </w:tc>
        <w:tc>
          <w:tcPr>
            <w:tcW w:w="2268" w:type="dxa"/>
            <w:tcBorders>
              <w:top w:val="single" w:sz="4" w:space="0" w:color="auto"/>
              <w:left w:val="nil"/>
              <w:bottom w:val="single" w:sz="4" w:space="0" w:color="auto"/>
              <w:right w:val="single" w:sz="4" w:space="0" w:color="auto"/>
            </w:tcBorders>
            <w:shd w:val="clear" w:color="000000" w:fill="BFBFBF"/>
            <w:vAlign w:val="center"/>
            <w:hideMark/>
          </w:tcPr>
          <w:p w14:paraId="009E2BDE"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INDICADOR</w:t>
            </w:r>
          </w:p>
        </w:tc>
        <w:tc>
          <w:tcPr>
            <w:tcW w:w="2835" w:type="dxa"/>
            <w:tcBorders>
              <w:top w:val="single" w:sz="4" w:space="0" w:color="auto"/>
              <w:left w:val="nil"/>
              <w:bottom w:val="single" w:sz="4" w:space="0" w:color="auto"/>
              <w:right w:val="single" w:sz="4" w:space="0" w:color="auto"/>
            </w:tcBorders>
            <w:shd w:val="clear" w:color="000000" w:fill="BFBFBF"/>
            <w:vAlign w:val="center"/>
            <w:hideMark/>
          </w:tcPr>
          <w:p w14:paraId="4F058A89"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MEDIOS DE VERIFICACIÓN</w:t>
            </w:r>
          </w:p>
        </w:tc>
        <w:tc>
          <w:tcPr>
            <w:tcW w:w="1985" w:type="dxa"/>
            <w:tcBorders>
              <w:top w:val="single" w:sz="4" w:space="0" w:color="auto"/>
              <w:left w:val="nil"/>
              <w:bottom w:val="single" w:sz="4" w:space="0" w:color="auto"/>
              <w:right w:val="single" w:sz="4" w:space="0" w:color="auto"/>
            </w:tcBorders>
            <w:shd w:val="clear" w:color="000000" w:fill="BFBFBF"/>
            <w:vAlign w:val="center"/>
            <w:hideMark/>
          </w:tcPr>
          <w:p w14:paraId="22A08E07"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SUPUESTO</w:t>
            </w:r>
          </w:p>
        </w:tc>
      </w:tr>
      <w:tr w:rsidR="00E23746" w:rsidRPr="00574DAC" w14:paraId="3CA11C73" w14:textId="77777777" w:rsidTr="006B434D">
        <w:trPr>
          <w:trHeight w:val="267"/>
        </w:trPr>
        <w:tc>
          <w:tcPr>
            <w:tcW w:w="1271" w:type="dxa"/>
            <w:tcBorders>
              <w:top w:val="single" w:sz="4" w:space="0" w:color="auto"/>
              <w:left w:val="single" w:sz="4" w:space="0" w:color="auto"/>
              <w:bottom w:val="single" w:sz="4" w:space="0" w:color="auto"/>
              <w:right w:val="single" w:sz="4" w:space="0" w:color="auto"/>
            </w:tcBorders>
            <w:shd w:val="clear" w:color="auto" w:fill="auto"/>
            <w:hideMark/>
          </w:tcPr>
          <w:p w14:paraId="265D5960" w14:textId="77777777" w:rsidR="00E23746" w:rsidRDefault="00E23746" w:rsidP="000B2F10">
            <w:pPr>
              <w:spacing w:after="0" w:line="240" w:lineRule="auto"/>
              <w:jc w:val="center"/>
              <w:rPr>
                <w:rFonts w:cs="Arial"/>
                <w:b/>
                <w:bCs/>
                <w:sz w:val="20"/>
                <w:szCs w:val="20"/>
              </w:rPr>
            </w:pPr>
            <w:r>
              <w:rPr>
                <w:rFonts w:cs="Arial"/>
                <w:b/>
                <w:bCs/>
                <w:sz w:val="20"/>
                <w:szCs w:val="20"/>
              </w:rPr>
              <w:t>Fin</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63A831A" w14:textId="77777777" w:rsidR="00E23746" w:rsidRDefault="00E23746" w:rsidP="000B2F10">
            <w:pPr>
              <w:jc w:val="left"/>
              <w:rPr>
                <w:rFonts w:cs="Arial"/>
                <w:sz w:val="20"/>
                <w:szCs w:val="20"/>
              </w:rPr>
            </w:pPr>
            <w:r>
              <w:rPr>
                <w:rFonts w:cs="Arial"/>
                <w:sz w:val="20"/>
                <w:szCs w:val="20"/>
              </w:rPr>
              <w:t>Garantizar el acceso y permanencia a una educación inclusiva y de calidad en todos los niveles educativos que promueva en los educandos aprendizajes para la vida.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DC4645E" w14:textId="77777777" w:rsidR="00E23746" w:rsidRDefault="00E23746" w:rsidP="000B2F10">
            <w:pPr>
              <w:rPr>
                <w:rFonts w:cs="Arial"/>
                <w:sz w:val="20"/>
                <w:szCs w:val="20"/>
              </w:rPr>
            </w:pPr>
            <w:r>
              <w:rPr>
                <w:rFonts w:cs="Arial"/>
                <w:sz w:val="20"/>
                <w:szCs w:val="20"/>
              </w:rPr>
              <w:t>Contribuir a garantizar el acceso y permanencia a una educación inclusiva y de calidad en todos los niveles educativos que promueva en los educandos aprendizajes para la vida mediante estrategias de atención a la demanda y permanencia en todos los niveles educativos.</w:t>
            </w:r>
          </w:p>
        </w:tc>
        <w:tc>
          <w:tcPr>
            <w:tcW w:w="2268" w:type="dxa"/>
            <w:tcBorders>
              <w:top w:val="single" w:sz="4" w:space="0" w:color="auto"/>
              <w:left w:val="single" w:sz="4" w:space="0" w:color="auto"/>
              <w:bottom w:val="single" w:sz="4" w:space="0" w:color="auto"/>
              <w:right w:val="single" w:sz="4" w:space="0" w:color="auto"/>
            </w:tcBorders>
            <w:shd w:val="clear" w:color="FFFFFF" w:fill="FFFFFF"/>
            <w:hideMark/>
          </w:tcPr>
          <w:p w14:paraId="224B67E1" w14:textId="77777777" w:rsidR="00E23746" w:rsidRDefault="00E23746" w:rsidP="000B2F10">
            <w:pPr>
              <w:rPr>
                <w:rFonts w:cs="Arial"/>
                <w:sz w:val="20"/>
                <w:szCs w:val="20"/>
              </w:rPr>
            </w:pPr>
            <w:r>
              <w:rPr>
                <w:rFonts w:cs="Arial"/>
                <w:sz w:val="20"/>
                <w:szCs w:val="20"/>
              </w:rPr>
              <w:t>Tasa de cobertura estatal de educación superior.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1DCF4C9" w14:textId="77777777" w:rsidR="00E23746" w:rsidRDefault="00E23746" w:rsidP="000B2F10">
            <w:pPr>
              <w:rPr>
                <w:rFonts w:cs="Arial"/>
                <w:sz w:val="20"/>
                <w:szCs w:val="20"/>
              </w:rPr>
            </w:pPr>
            <w:r w:rsidRPr="00846E84">
              <w:rPr>
                <w:rFonts w:eastAsia="Times New Roman" w:cs="Arial"/>
                <w:sz w:val="20"/>
                <w:szCs w:val="20"/>
                <w:lang w:val="es-MX" w:eastAsia="es-MX"/>
              </w:rPr>
              <w:t>Estadísticas continúas del formato 911, matrícula de inicio de ciclo escolar, SEQ. Proyecciones de población por edad desplegada, entidad federativa (Quintana Roo) 1970-2050, CONAPO, https://qroo.gob.mx/seq/medios-de-verificacion-de-la-planeacion-anual</w:t>
            </w:r>
            <w:r>
              <w:rPr>
                <w:rFonts w:eastAsia="Times New Roman" w:cs="Arial"/>
                <w:sz w:val="20"/>
                <w:szCs w:val="20"/>
                <w:lang w:val="es-MX" w:eastAsia="es-MX"/>
              </w:rPr>
              <w:t>.</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54A798E3" w14:textId="77777777" w:rsidR="00E23746" w:rsidRDefault="00E23746" w:rsidP="000B2F10">
            <w:pPr>
              <w:rPr>
                <w:rFonts w:cs="Arial"/>
                <w:sz w:val="20"/>
                <w:szCs w:val="20"/>
              </w:rPr>
            </w:pPr>
            <w:r>
              <w:rPr>
                <w:rFonts w:cs="Arial"/>
                <w:sz w:val="20"/>
                <w:szCs w:val="20"/>
              </w:rPr>
              <w:t>Los alumnos en edad de cursar la educación superior en el estado, se interesan en continuar sus estudios y los concluyen.</w:t>
            </w:r>
          </w:p>
        </w:tc>
      </w:tr>
      <w:tr w:rsidR="00E23746" w:rsidRPr="00454962" w14:paraId="2754E164" w14:textId="77777777" w:rsidTr="006B434D">
        <w:trPr>
          <w:trHeight w:val="692"/>
        </w:trPr>
        <w:tc>
          <w:tcPr>
            <w:tcW w:w="1271" w:type="dxa"/>
            <w:tcBorders>
              <w:top w:val="single" w:sz="4" w:space="0" w:color="auto"/>
              <w:left w:val="single" w:sz="4" w:space="0" w:color="auto"/>
              <w:bottom w:val="single" w:sz="4" w:space="0" w:color="auto"/>
              <w:right w:val="single" w:sz="4" w:space="0" w:color="auto"/>
            </w:tcBorders>
            <w:shd w:val="clear" w:color="auto" w:fill="auto"/>
            <w:hideMark/>
          </w:tcPr>
          <w:p w14:paraId="0BCD3568" w14:textId="77777777" w:rsidR="00E23746" w:rsidRDefault="00E23746" w:rsidP="000B2F10">
            <w:pPr>
              <w:jc w:val="center"/>
              <w:rPr>
                <w:rFonts w:cs="Arial"/>
                <w:b/>
                <w:bCs/>
                <w:sz w:val="20"/>
                <w:szCs w:val="20"/>
              </w:rPr>
            </w:pPr>
            <w:r>
              <w:rPr>
                <w:rFonts w:cs="Arial"/>
                <w:b/>
                <w:bCs/>
                <w:sz w:val="20"/>
                <w:szCs w:val="20"/>
              </w:rPr>
              <w:t>Propósito</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A869126" w14:textId="77777777" w:rsidR="00E23746" w:rsidRPr="00454962" w:rsidRDefault="00E23746" w:rsidP="00454962">
            <w:pPr>
              <w:rPr>
                <w:rFonts w:cs="Arial"/>
                <w:sz w:val="18"/>
                <w:szCs w:val="20"/>
              </w:rPr>
            </w:pPr>
            <w:r w:rsidRPr="00454962">
              <w:rPr>
                <w:rFonts w:cs="Arial"/>
                <w:sz w:val="18"/>
                <w:szCs w:val="20"/>
              </w:rPr>
              <w:t>Mejorar el proceso de formación docente de los estudiantes de las escuelas normales de Quintana Roo.</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77B4BBF" w14:textId="77777777" w:rsidR="00E23746" w:rsidRPr="00454962" w:rsidRDefault="00E23746" w:rsidP="00454962">
            <w:pPr>
              <w:rPr>
                <w:rFonts w:cs="Arial"/>
                <w:sz w:val="18"/>
                <w:szCs w:val="20"/>
              </w:rPr>
            </w:pPr>
            <w:r w:rsidRPr="00454962">
              <w:rPr>
                <w:rFonts w:cs="Arial"/>
                <w:sz w:val="18"/>
                <w:szCs w:val="20"/>
              </w:rPr>
              <w:t>P - Los estudiantes de las escuelas normales de Quintana Roo egresan con un proceso de formación mejorado.</w:t>
            </w:r>
          </w:p>
        </w:tc>
        <w:tc>
          <w:tcPr>
            <w:tcW w:w="2268" w:type="dxa"/>
            <w:tcBorders>
              <w:top w:val="single" w:sz="4" w:space="0" w:color="auto"/>
              <w:left w:val="single" w:sz="4" w:space="0" w:color="auto"/>
              <w:bottom w:val="single" w:sz="4" w:space="0" w:color="auto"/>
              <w:right w:val="single" w:sz="4" w:space="0" w:color="auto"/>
            </w:tcBorders>
            <w:shd w:val="clear" w:color="FFFFFF" w:fill="FFFFFF"/>
            <w:hideMark/>
          </w:tcPr>
          <w:p w14:paraId="5015E2A2" w14:textId="77777777" w:rsidR="00E23746" w:rsidRPr="00454962" w:rsidRDefault="00E23746" w:rsidP="00454962">
            <w:pPr>
              <w:rPr>
                <w:rFonts w:cs="Arial"/>
                <w:sz w:val="18"/>
                <w:szCs w:val="20"/>
              </w:rPr>
            </w:pPr>
            <w:r w:rsidRPr="00454962">
              <w:rPr>
                <w:rFonts w:cs="Arial"/>
                <w:sz w:val="18"/>
                <w:szCs w:val="20"/>
              </w:rPr>
              <w:t>Tasa de eficiencia terminal de los alumnos de escuelas normales.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2A4519E" w14:textId="77777777" w:rsidR="00E23746" w:rsidRPr="00454962" w:rsidRDefault="00E23746" w:rsidP="00454962">
            <w:pPr>
              <w:rPr>
                <w:rFonts w:cs="Arial"/>
                <w:sz w:val="18"/>
                <w:szCs w:val="20"/>
              </w:rPr>
            </w:pPr>
            <w:r w:rsidRPr="00454962">
              <w:rPr>
                <w:rFonts w:cs="Arial"/>
                <w:sz w:val="18"/>
                <w:szCs w:val="20"/>
              </w:rPr>
              <w:t>Estadísticas continúas del formato 911 inicio de ciclo escolar, SEQ, https://qroo.gob.mx/seq/medios-de-verificacion-de-la-planeacion-anual.</w:t>
            </w:r>
          </w:p>
        </w:tc>
        <w:tc>
          <w:tcPr>
            <w:tcW w:w="1985" w:type="dxa"/>
            <w:tcBorders>
              <w:top w:val="single" w:sz="4" w:space="0" w:color="auto"/>
              <w:left w:val="single" w:sz="4" w:space="0" w:color="auto"/>
              <w:bottom w:val="single" w:sz="4" w:space="0" w:color="auto"/>
              <w:right w:val="single" w:sz="4" w:space="0" w:color="auto"/>
            </w:tcBorders>
            <w:shd w:val="clear" w:color="FFFFFF" w:fill="FFFFFF"/>
            <w:hideMark/>
          </w:tcPr>
          <w:p w14:paraId="24DC0267" w14:textId="77777777" w:rsidR="00E23746" w:rsidRPr="00454962" w:rsidRDefault="00E23746" w:rsidP="00454962">
            <w:pPr>
              <w:rPr>
                <w:rFonts w:cs="Arial"/>
                <w:sz w:val="18"/>
                <w:szCs w:val="20"/>
              </w:rPr>
            </w:pPr>
            <w:r w:rsidRPr="00454962">
              <w:rPr>
                <w:rFonts w:cs="Arial"/>
                <w:sz w:val="18"/>
                <w:szCs w:val="20"/>
              </w:rPr>
              <w:t>Los estudiantes egresados de Instituciones Formadoras de Docentes imparten una educación de calidad.</w:t>
            </w:r>
          </w:p>
        </w:tc>
      </w:tr>
    </w:tbl>
    <w:p w14:paraId="176DDCBB" w14:textId="77777777" w:rsidR="00D47ED1" w:rsidRDefault="00D47ED1">
      <w:pPr>
        <w:spacing w:after="0" w:line="240" w:lineRule="auto"/>
        <w:jc w:val="left"/>
      </w:pPr>
      <w:r>
        <w:br w:type="page"/>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3"/>
        <w:gridCol w:w="2693"/>
        <w:gridCol w:w="2835"/>
        <w:gridCol w:w="2268"/>
        <w:gridCol w:w="2835"/>
        <w:gridCol w:w="1985"/>
      </w:tblGrid>
      <w:tr w:rsidR="00E23746" w:rsidRPr="00574DAC" w14:paraId="7373EFE8" w14:textId="77777777" w:rsidTr="00295ECB">
        <w:trPr>
          <w:trHeight w:val="679"/>
        </w:trPr>
        <w:tc>
          <w:tcPr>
            <w:tcW w:w="1413" w:type="dxa"/>
            <w:shd w:val="clear" w:color="000000" w:fill="BFBFBF"/>
            <w:vAlign w:val="center"/>
            <w:hideMark/>
          </w:tcPr>
          <w:p w14:paraId="7E57871A"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lastRenderedPageBreak/>
              <w:t>NIVEL</w:t>
            </w:r>
          </w:p>
        </w:tc>
        <w:tc>
          <w:tcPr>
            <w:tcW w:w="2693" w:type="dxa"/>
            <w:shd w:val="clear" w:color="000000" w:fill="BFBFBF"/>
            <w:vAlign w:val="center"/>
            <w:hideMark/>
          </w:tcPr>
          <w:p w14:paraId="7EE6DF1C"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ALINEACIÓN PED/PD</w:t>
            </w:r>
          </w:p>
        </w:tc>
        <w:tc>
          <w:tcPr>
            <w:tcW w:w="2835" w:type="dxa"/>
            <w:shd w:val="clear" w:color="000000" w:fill="BFBFBF"/>
            <w:vAlign w:val="center"/>
            <w:hideMark/>
          </w:tcPr>
          <w:p w14:paraId="7A0A404F"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OBJETIVO</w:t>
            </w:r>
          </w:p>
        </w:tc>
        <w:tc>
          <w:tcPr>
            <w:tcW w:w="2268" w:type="dxa"/>
            <w:shd w:val="clear" w:color="000000" w:fill="BFBFBF"/>
            <w:vAlign w:val="center"/>
            <w:hideMark/>
          </w:tcPr>
          <w:p w14:paraId="765222BD"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INDICADOR</w:t>
            </w:r>
          </w:p>
        </w:tc>
        <w:tc>
          <w:tcPr>
            <w:tcW w:w="2835" w:type="dxa"/>
            <w:shd w:val="clear" w:color="000000" w:fill="BFBFBF"/>
            <w:vAlign w:val="center"/>
            <w:hideMark/>
          </w:tcPr>
          <w:p w14:paraId="480B993B"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MEDIOS DE VERIFICACIÓN</w:t>
            </w:r>
          </w:p>
        </w:tc>
        <w:tc>
          <w:tcPr>
            <w:tcW w:w="1985" w:type="dxa"/>
            <w:shd w:val="clear" w:color="000000" w:fill="BFBFBF"/>
            <w:vAlign w:val="center"/>
            <w:hideMark/>
          </w:tcPr>
          <w:p w14:paraId="00024DEB"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SUPUESTO</w:t>
            </w:r>
          </w:p>
        </w:tc>
      </w:tr>
      <w:tr w:rsidR="00E23746" w:rsidRPr="00574DAC" w14:paraId="4A03EF84" w14:textId="77777777" w:rsidTr="00295ECB">
        <w:trPr>
          <w:trHeight w:val="1599"/>
        </w:trPr>
        <w:tc>
          <w:tcPr>
            <w:tcW w:w="1413" w:type="dxa"/>
            <w:shd w:val="clear" w:color="auto" w:fill="auto"/>
            <w:hideMark/>
          </w:tcPr>
          <w:p w14:paraId="41C798AF" w14:textId="77777777" w:rsidR="00E23746" w:rsidRDefault="00E23746" w:rsidP="000B2F10">
            <w:pPr>
              <w:spacing w:after="0" w:line="240" w:lineRule="auto"/>
              <w:jc w:val="center"/>
              <w:rPr>
                <w:rFonts w:cs="Arial"/>
                <w:b/>
                <w:bCs/>
                <w:sz w:val="20"/>
                <w:szCs w:val="20"/>
              </w:rPr>
            </w:pPr>
            <w:r>
              <w:rPr>
                <w:rFonts w:cs="Arial"/>
                <w:b/>
                <w:bCs/>
                <w:sz w:val="20"/>
                <w:szCs w:val="20"/>
              </w:rPr>
              <w:t>Componente</w:t>
            </w:r>
          </w:p>
        </w:tc>
        <w:tc>
          <w:tcPr>
            <w:tcW w:w="2693" w:type="dxa"/>
            <w:shd w:val="clear" w:color="auto" w:fill="auto"/>
            <w:hideMark/>
          </w:tcPr>
          <w:p w14:paraId="21394D83" w14:textId="77777777" w:rsidR="00E23746" w:rsidRDefault="00E23746" w:rsidP="00454962">
            <w:pPr>
              <w:rPr>
                <w:rFonts w:cs="Arial"/>
                <w:sz w:val="20"/>
                <w:szCs w:val="20"/>
              </w:rPr>
            </w:pPr>
            <w:r>
              <w:rPr>
                <w:rFonts w:cs="Arial"/>
                <w:sz w:val="20"/>
                <w:szCs w:val="20"/>
              </w:rPr>
              <w:t>Desarrollar una estrategia integral que permita ampliar la cobertura educativa de nivel superior en las instituciones públicas.</w:t>
            </w:r>
          </w:p>
        </w:tc>
        <w:tc>
          <w:tcPr>
            <w:tcW w:w="2835" w:type="dxa"/>
            <w:shd w:val="clear" w:color="auto" w:fill="auto"/>
            <w:hideMark/>
          </w:tcPr>
          <w:p w14:paraId="2E5F6F8F" w14:textId="77777777" w:rsidR="00E23746" w:rsidRDefault="00E23746" w:rsidP="00454962">
            <w:pPr>
              <w:rPr>
                <w:rFonts w:cs="Arial"/>
                <w:sz w:val="20"/>
                <w:szCs w:val="20"/>
              </w:rPr>
            </w:pPr>
            <w:r>
              <w:rPr>
                <w:rFonts w:cs="Arial"/>
                <w:sz w:val="20"/>
                <w:szCs w:val="20"/>
              </w:rPr>
              <w:t>C01 - Instituciones Formadoras de Docentes fortalecidas académicamente.</w:t>
            </w:r>
          </w:p>
        </w:tc>
        <w:tc>
          <w:tcPr>
            <w:tcW w:w="2268" w:type="dxa"/>
            <w:shd w:val="clear" w:color="FFFFFF" w:fill="FFFFFF"/>
            <w:hideMark/>
          </w:tcPr>
          <w:p w14:paraId="1E479A0B" w14:textId="77777777" w:rsidR="00E23746" w:rsidRDefault="00E23746" w:rsidP="00454962">
            <w:pPr>
              <w:rPr>
                <w:rFonts w:cs="Arial"/>
                <w:sz w:val="20"/>
                <w:szCs w:val="20"/>
              </w:rPr>
            </w:pPr>
            <w:r>
              <w:rPr>
                <w:rFonts w:cs="Arial"/>
                <w:sz w:val="20"/>
                <w:szCs w:val="20"/>
              </w:rPr>
              <w:t>C01 - Porcentaje de alumnos egresados de las Instituciones Formadoras de Docentes con promedio mayor de 8.5.</w:t>
            </w:r>
          </w:p>
        </w:tc>
        <w:tc>
          <w:tcPr>
            <w:tcW w:w="2835" w:type="dxa"/>
            <w:shd w:val="clear" w:color="auto" w:fill="auto"/>
            <w:hideMark/>
          </w:tcPr>
          <w:p w14:paraId="3BED4A59" w14:textId="77777777" w:rsidR="00E23746" w:rsidRDefault="00E23746" w:rsidP="00454962">
            <w:pPr>
              <w:rPr>
                <w:rFonts w:cs="Arial"/>
                <w:sz w:val="20"/>
                <w:szCs w:val="20"/>
              </w:rPr>
            </w:pPr>
            <w:r>
              <w:rPr>
                <w:rFonts w:cs="Arial"/>
                <w:sz w:val="20"/>
                <w:szCs w:val="20"/>
              </w:rPr>
              <w:t>Expedientes en las áreas de control escolar de las Instituciones Formadoras de Docentes, https://qroo.gob.mx/seq/medios-de-verificacion-de-la-planeacion-anual.</w:t>
            </w:r>
          </w:p>
        </w:tc>
        <w:tc>
          <w:tcPr>
            <w:tcW w:w="1985" w:type="dxa"/>
            <w:shd w:val="clear" w:color="auto" w:fill="auto"/>
            <w:hideMark/>
          </w:tcPr>
          <w:p w14:paraId="194A1492" w14:textId="77777777" w:rsidR="00E23746" w:rsidRDefault="00E23746" w:rsidP="00454962">
            <w:pPr>
              <w:rPr>
                <w:rFonts w:cs="Arial"/>
                <w:sz w:val="20"/>
                <w:szCs w:val="20"/>
              </w:rPr>
            </w:pPr>
            <w:r>
              <w:rPr>
                <w:rFonts w:cs="Arial"/>
                <w:sz w:val="20"/>
                <w:szCs w:val="20"/>
              </w:rPr>
              <w:t>Los alumnos egresan con un promedio superior a 8.5.</w:t>
            </w:r>
          </w:p>
        </w:tc>
      </w:tr>
      <w:tr w:rsidR="00E23746" w:rsidRPr="00574DAC" w14:paraId="05DE0BA1" w14:textId="77777777" w:rsidTr="00295ECB">
        <w:trPr>
          <w:trHeight w:val="2400"/>
        </w:trPr>
        <w:tc>
          <w:tcPr>
            <w:tcW w:w="1413" w:type="dxa"/>
            <w:shd w:val="clear" w:color="auto" w:fill="auto"/>
            <w:hideMark/>
          </w:tcPr>
          <w:p w14:paraId="140889ED" w14:textId="77777777" w:rsidR="00E23746" w:rsidRDefault="00E23746" w:rsidP="000B2F10">
            <w:pPr>
              <w:jc w:val="center"/>
              <w:rPr>
                <w:rFonts w:cs="Arial"/>
                <w:b/>
                <w:bCs/>
                <w:sz w:val="20"/>
                <w:szCs w:val="20"/>
              </w:rPr>
            </w:pPr>
            <w:r>
              <w:rPr>
                <w:rFonts w:cs="Arial"/>
                <w:b/>
                <w:bCs/>
                <w:sz w:val="20"/>
                <w:szCs w:val="20"/>
              </w:rPr>
              <w:t>Actividad</w:t>
            </w:r>
          </w:p>
        </w:tc>
        <w:tc>
          <w:tcPr>
            <w:tcW w:w="2693" w:type="dxa"/>
            <w:shd w:val="clear" w:color="auto" w:fill="auto"/>
            <w:hideMark/>
          </w:tcPr>
          <w:p w14:paraId="269FFCF3" w14:textId="77777777" w:rsidR="00E23746" w:rsidRDefault="00E23746" w:rsidP="00454962">
            <w:pPr>
              <w:rPr>
                <w:rFonts w:cs="Arial"/>
                <w:sz w:val="20"/>
                <w:szCs w:val="20"/>
              </w:rPr>
            </w:pPr>
            <w:r>
              <w:rPr>
                <w:rFonts w:cs="Arial"/>
                <w:sz w:val="20"/>
                <w:szCs w:val="20"/>
              </w:rPr>
              <w:t>Fortalecer la investigación básica y aplicada con la participación de los estudiantes de educación superior.</w:t>
            </w:r>
          </w:p>
        </w:tc>
        <w:tc>
          <w:tcPr>
            <w:tcW w:w="2835" w:type="dxa"/>
            <w:shd w:val="clear" w:color="auto" w:fill="auto"/>
            <w:hideMark/>
          </w:tcPr>
          <w:p w14:paraId="62B7C46D" w14:textId="77777777" w:rsidR="00E23746" w:rsidRDefault="00E23746" w:rsidP="00454962">
            <w:pPr>
              <w:rPr>
                <w:rFonts w:cs="Arial"/>
                <w:sz w:val="20"/>
                <w:szCs w:val="20"/>
              </w:rPr>
            </w:pPr>
            <w:r>
              <w:rPr>
                <w:rFonts w:cs="Arial"/>
                <w:sz w:val="20"/>
                <w:szCs w:val="20"/>
              </w:rPr>
              <w:t>C01.A06 - Apoyo a docentes y alumnos para la elaboración y difusión de sus proyectos de investigación en las Instituciones Formadoras de Docentes.</w:t>
            </w:r>
          </w:p>
        </w:tc>
        <w:tc>
          <w:tcPr>
            <w:tcW w:w="2268" w:type="dxa"/>
            <w:shd w:val="clear" w:color="FFFFFF" w:fill="FFFFFF"/>
            <w:hideMark/>
          </w:tcPr>
          <w:p w14:paraId="3EF774BF" w14:textId="77777777" w:rsidR="00E23746" w:rsidRDefault="00E23746" w:rsidP="00454962">
            <w:pPr>
              <w:rPr>
                <w:rFonts w:cs="Arial"/>
                <w:sz w:val="20"/>
                <w:szCs w:val="20"/>
              </w:rPr>
            </w:pPr>
            <w:r>
              <w:rPr>
                <w:rFonts w:cs="Arial"/>
                <w:sz w:val="20"/>
                <w:szCs w:val="20"/>
              </w:rPr>
              <w:t>C01A06 - Porcentaje de docentes y alumnos que reciben apoyo para la elaboración y difusión de sus proyectos de investigación.</w:t>
            </w:r>
          </w:p>
        </w:tc>
        <w:tc>
          <w:tcPr>
            <w:tcW w:w="2835" w:type="dxa"/>
            <w:shd w:val="clear" w:color="auto" w:fill="auto"/>
            <w:hideMark/>
          </w:tcPr>
          <w:p w14:paraId="3646937C" w14:textId="77777777" w:rsidR="00E23746" w:rsidRDefault="00E23746" w:rsidP="00454962">
            <w:pPr>
              <w:rPr>
                <w:rFonts w:cs="Arial"/>
                <w:sz w:val="20"/>
                <w:szCs w:val="20"/>
              </w:rPr>
            </w:pPr>
            <w:r>
              <w:rPr>
                <w:rFonts w:cs="Arial"/>
                <w:sz w:val="20"/>
                <w:szCs w:val="20"/>
              </w:rPr>
              <w:t>Lista de participantes en cursos y talleres y programas de congresos, talleres y foros, https://qroo.gob.mx/seq/medios-de-verificacion-de-la-planeacion-anual.</w:t>
            </w:r>
          </w:p>
        </w:tc>
        <w:tc>
          <w:tcPr>
            <w:tcW w:w="1985" w:type="dxa"/>
            <w:shd w:val="clear" w:color="auto" w:fill="auto"/>
            <w:hideMark/>
          </w:tcPr>
          <w:p w14:paraId="4C94DC8E" w14:textId="77777777" w:rsidR="00E23746" w:rsidRDefault="00E23746" w:rsidP="00454962">
            <w:pPr>
              <w:rPr>
                <w:rFonts w:cs="Arial"/>
                <w:sz w:val="20"/>
                <w:szCs w:val="20"/>
              </w:rPr>
            </w:pPr>
            <w:r>
              <w:rPr>
                <w:rFonts w:cs="Arial"/>
                <w:sz w:val="20"/>
                <w:szCs w:val="20"/>
              </w:rPr>
              <w:t>Los docentes y alumnos de las Instituciones Formadoras de Docentes aprovechan el apoyo que se les brinda para que elaboren proyectos de investigación.</w:t>
            </w:r>
          </w:p>
        </w:tc>
      </w:tr>
      <w:tr w:rsidR="00E23746" w:rsidRPr="00574DAC" w14:paraId="0F34A2D5" w14:textId="77777777" w:rsidTr="00295ECB">
        <w:trPr>
          <w:trHeight w:val="1943"/>
        </w:trPr>
        <w:tc>
          <w:tcPr>
            <w:tcW w:w="1413" w:type="dxa"/>
            <w:shd w:val="clear" w:color="auto" w:fill="auto"/>
            <w:hideMark/>
          </w:tcPr>
          <w:p w14:paraId="3270E360" w14:textId="77777777" w:rsidR="00E23746" w:rsidRDefault="00E23746" w:rsidP="000B2F10">
            <w:pPr>
              <w:jc w:val="center"/>
              <w:rPr>
                <w:rFonts w:cs="Arial"/>
                <w:b/>
                <w:bCs/>
                <w:sz w:val="20"/>
                <w:szCs w:val="20"/>
              </w:rPr>
            </w:pPr>
            <w:r>
              <w:rPr>
                <w:rFonts w:cs="Arial"/>
                <w:b/>
                <w:bCs/>
                <w:sz w:val="20"/>
                <w:szCs w:val="20"/>
              </w:rPr>
              <w:t>Actividad</w:t>
            </w:r>
          </w:p>
        </w:tc>
        <w:tc>
          <w:tcPr>
            <w:tcW w:w="2693" w:type="dxa"/>
            <w:shd w:val="clear" w:color="auto" w:fill="auto"/>
            <w:hideMark/>
          </w:tcPr>
          <w:p w14:paraId="2FCFA315" w14:textId="77777777" w:rsidR="00E23746" w:rsidRPr="00454962" w:rsidRDefault="00E23746" w:rsidP="00454962">
            <w:pPr>
              <w:rPr>
                <w:rFonts w:cs="Arial"/>
                <w:sz w:val="18"/>
                <w:szCs w:val="20"/>
              </w:rPr>
            </w:pPr>
            <w:r w:rsidRPr="00454962">
              <w:rPr>
                <w:rFonts w:cs="Arial"/>
                <w:sz w:val="18"/>
                <w:szCs w:val="20"/>
              </w:rPr>
              <w:t>Impulsar acciones de atención para mejorar la formación inicial y continua de docentes.</w:t>
            </w:r>
          </w:p>
        </w:tc>
        <w:tc>
          <w:tcPr>
            <w:tcW w:w="2835" w:type="dxa"/>
            <w:shd w:val="clear" w:color="auto" w:fill="auto"/>
            <w:hideMark/>
          </w:tcPr>
          <w:p w14:paraId="4BB021DD" w14:textId="77777777" w:rsidR="00E23746" w:rsidRPr="00454962" w:rsidRDefault="00E23746" w:rsidP="00454962">
            <w:pPr>
              <w:rPr>
                <w:rFonts w:cs="Arial"/>
                <w:sz w:val="18"/>
                <w:szCs w:val="20"/>
              </w:rPr>
            </w:pPr>
            <w:r w:rsidRPr="00454962">
              <w:rPr>
                <w:rFonts w:cs="Arial"/>
                <w:sz w:val="18"/>
                <w:szCs w:val="20"/>
              </w:rPr>
              <w:t>C01.A01 - Gestión de talleres, cursos y actividades que fortalezcan la formación integral de los alumnos de las Instituciones Formadoras de Docentes.</w:t>
            </w:r>
          </w:p>
        </w:tc>
        <w:tc>
          <w:tcPr>
            <w:tcW w:w="2268" w:type="dxa"/>
            <w:shd w:val="clear" w:color="FFFFFF" w:fill="FFFFFF"/>
            <w:hideMark/>
          </w:tcPr>
          <w:p w14:paraId="614A2929" w14:textId="698B0AC4" w:rsidR="001906E0" w:rsidRPr="00454962" w:rsidRDefault="00E23746" w:rsidP="00204AFF">
            <w:pPr>
              <w:rPr>
                <w:rFonts w:cs="Arial"/>
                <w:sz w:val="18"/>
                <w:szCs w:val="20"/>
              </w:rPr>
            </w:pPr>
            <w:r w:rsidRPr="00454962">
              <w:rPr>
                <w:rFonts w:cs="Arial"/>
                <w:sz w:val="18"/>
                <w:szCs w:val="20"/>
              </w:rPr>
              <w:t>C01A01 - Porcentaje de alumnos que participan en los talleres, cursos o actividades que fortalezcan la formación integral de los alumnos de las Instituciones Formadoras de Docentes.</w:t>
            </w:r>
          </w:p>
        </w:tc>
        <w:tc>
          <w:tcPr>
            <w:tcW w:w="2835" w:type="dxa"/>
            <w:shd w:val="clear" w:color="auto" w:fill="auto"/>
            <w:hideMark/>
          </w:tcPr>
          <w:p w14:paraId="7519E42E" w14:textId="77777777" w:rsidR="00E23746" w:rsidRPr="00454962" w:rsidRDefault="00E23746" w:rsidP="00454962">
            <w:pPr>
              <w:rPr>
                <w:rFonts w:cs="Arial"/>
                <w:sz w:val="18"/>
                <w:szCs w:val="20"/>
              </w:rPr>
            </w:pPr>
            <w:r w:rsidRPr="00454962">
              <w:rPr>
                <w:rFonts w:cs="Arial"/>
                <w:sz w:val="18"/>
                <w:szCs w:val="20"/>
              </w:rPr>
              <w:t>Lista de participantes, constancias, https://qroo.gob.mx/seq/medios-de-verificacion-de-la-planeacion-anual.</w:t>
            </w:r>
          </w:p>
        </w:tc>
        <w:tc>
          <w:tcPr>
            <w:tcW w:w="1985" w:type="dxa"/>
            <w:shd w:val="clear" w:color="auto" w:fill="auto"/>
            <w:hideMark/>
          </w:tcPr>
          <w:p w14:paraId="7D53B430" w14:textId="77777777" w:rsidR="00E23746" w:rsidRPr="00454962" w:rsidRDefault="00E23746" w:rsidP="00454962">
            <w:pPr>
              <w:rPr>
                <w:rFonts w:cs="Arial"/>
                <w:sz w:val="18"/>
                <w:szCs w:val="20"/>
              </w:rPr>
            </w:pPr>
            <w:r w:rsidRPr="00454962">
              <w:rPr>
                <w:rFonts w:cs="Arial"/>
                <w:sz w:val="18"/>
                <w:szCs w:val="20"/>
              </w:rPr>
              <w:t>Los alumnos participan en los talleres.</w:t>
            </w:r>
          </w:p>
        </w:tc>
      </w:tr>
    </w:tbl>
    <w:p w14:paraId="5AD95FA5" w14:textId="77777777" w:rsidR="00D47ED1" w:rsidRDefault="00D47ED1">
      <w:pPr>
        <w:spacing w:after="0" w:line="240" w:lineRule="auto"/>
        <w:jc w:val="left"/>
      </w:pPr>
      <w:r>
        <w:br w:type="page"/>
      </w:r>
    </w:p>
    <w:tbl>
      <w:tblPr>
        <w:tblW w:w="14029" w:type="dxa"/>
        <w:tblLayout w:type="fixed"/>
        <w:tblCellMar>
          <w:left w:w="70" w:type="dxa"/>
          <w:right w:w="70" w:type="dxa"/>
        </w:tblCellMar>
        <w:tblLook w:val="04A0" w:firstRow="1" w:lastRow="0" w:firstColumn="1" w:lastColumn="0" w:noHBand="0" w:noVBand="1"/>
      </w:tblPr>
      <w:tblGrid>
        <w:gridCol w:w="1413"/>
        <w:gridCol w:w="2693"/>
        <w:gridCol w:w="2835"/>
        <w:gridCol w:w="2268"/>
        <w:gridCol w:w="2835"/>
        <w:gridCol w:w="1985"/>
      </w:tblGrid>
      <w:tr w:rsidR="00E23746" w:rsidRPr="00574DAC" w14:paraId="691834FF" w14:textId="77777777" w:rsidTr="00295ECB">
        <w:trPr>
          <w:trHeight w:val="679"/>
        </w:trPr>
        <w:tc>
          <w:tcPr>
            <w:tcW w:w="1413"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71576F90"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lastRenderedPageBreak/>
              <w:t>NIVEL</w:t>
            </w:r>
          </w:p>
        </w:tc>
        <w:tc>
          <w:tcPr>
            <w:tcW w:w="2693" w:type="dxa"/>
            <w:tcBorders>
              <w:top w:val="single" w:sz="4" w:space="0" w:color="auto"/>
              <w:left w:val="nil"/>
              <w:bottom w:val="single" w:sz="4" w:space="0" w:color="auto"/>
              <w:right w:val="single" w:sz="4" w:space="0" w:color="auto"/>
            </w:tcBorders>
            <w:shd w:val="clear" w:color="000000" w:fill="BFBFBF"/>
            <w:vAlign w:val="center"/>
            <w:hideMark/>
          </w:tcPr>
          <w:p w14:paraId="425FCB44"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ALINEACIÓN PED/PD</w:t>
            </w:r>
          </w:p>
        </w:tc>
        <w:tc>
          <w:tcPr>
            <w:tcW w:w="2835" w:type="dxa"/>
            <w:tcBorders>
              <w:top w:val="single" w:sz="4" w:space="0" w:color="auto"/>
              <w:left w:val="nil"/>
              <w:bottom w:val="single" w:sz="4" w:space="0" w:color="auto"/>
              <w:right w:val="single" w:sz="4" w:space="0" w:color="auto"/>
            </w:tcBorders>
            <w:shd w:val="clear" w:color="000000" w:fill="BFBFBF"/>
            <w:vAlign w:val="center"/>
            <w:hideMark/>
          </w:tcPr>
          <w:p w14:paraId="7005D587"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OBJETIVO</w:t>
            </w:r>
          </w:p>
        </w:tc>
        <w:tc>
          <w:tcPr>
            <w:tcW w:w="2268" w:type="dxa"/>
            <w:tcBorders>
              <w:top w:val="single" w:sz="4" w:space="0" w:color="auto"/>
              <w:left w:val="nil"/>
              <w:bottom w:val="single" w:sz="4" w:space="0" w:color="auto"/>
              <w:right w:val="single" w:sz="4" w:space="0" w:color="auto"/>
            </w:tcBorders>
            <w:shd w:val="clear" w:color="000000" w:fill="BFBFBF"/>
            <w:vAlign w:val="center"/>
            <w:hideMark/>
          </w:tcPr>
          <w:p w14:paraId="2ADD967A"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INDICADOR</w:t>
            </w:r>
          </w:p>
        </w:tc>
        <w:tc>
          <w:tcPr>
            <w:tcW w:w="2835" w:type="dxa"/>
            <w:tcBorders>
              <w:top w:val="single" w:sz="4" w:space="0" w:color="auto"/>
              <w:left w:val="nil"/>
              <w:bottom w:val="single" w:sz="4" w:space="0" w:color="auto"/>
              <w:right w:val="single" w:sz="4" w:space="0" w:color="auto"/>
            </w:tcBorders>
            <w:shd w:val="clear" w:color="000000" w:fill="BFBFBF"/>
            <w:vAlign w:val="center"/>
            <w:hideMark/>
          </w:tcPr>
          <w:p w14:paraId="11E298AB"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MEDIOS DE VERIFICACIÓN</w:t>
            </w:r>
          </w:p>
        </w:tc>
        <w:tc>
          <w:tcPr>
            <w:tcW w:w="1985" w:type="dxa"/>
            <w:tcBorders>
              <w:top w:val="single" w:sz="4" w:space="0" w:color="auto"/>
              <w:left w:val="nil"/>
              <w:bottom w:val="single" w:sz="4" w:space="0" w:color="auto"/>
              <w:right w:val="single" w:sz="4" w:space="0" w:color="auto"/>
            </w:tcBorders>
            <w:shd w:val="clear" w:color="000000" w:fill="BFBFBF"/>
            <w:vAlign w:val="center"/>
            <w:hideMark/>
          </w:tcPr>
          <w:p w14:paraId="3D07A380"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SUPUESTO</w:t>
            </w:r>
          </w:p>
        </w:tc>
      </w:tr>
      <w:tr w:rsidR="00E23746" w:rsidRPr="00574DAC" w14:paraId="67E72209" w14:textId="77777777" w:rsidTr="00295ECB">
        <w:trPr>
          <w:trHeight w:val="416"/>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14:paraId="60B6101F" w14:textId="77777777" w:rsidR="00E23746" w:rsidRDefault="00E23746" w:rsidP="000B2F10">
            <w:pPr>
              <w:jc w:val="center"/>
              <w:rPr>
                <w:rFonts w:cs="Arial"/>
                <w:b/>
                <w:bCs/>
                <w:sz w:val="20"/>
                <w:szCs w:val="20"/>
              </w:rPr>
            </w:pPr>
            <w:r>
              <w:rPr>
                <w:rFonts w:cs="Arial"/>
                <w:b/>
                <w:bCs/>
                <w:sz w:val="20"/>
                <w:szCs w:val="20"/>
              </w:rPr>
              <w:t>Componente</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43956E45" w14:textId="77777777" w:rsidR="00E23746" w:rsidRDefault="00E23746" w:rsidP="00454962">
            <w:pPr>
              <w:rPr>
                <w:rFonts w:cs="Arial"/>
                <w:sz w:val="18"/>
                <w:szCs w:val="20"/>
              </w:rPr>
            </w:pPr>
            <w:r>
              <w:rPr>
                <w:rFonts w:cs="Arial"/>
                <w:sz w:val="20"/>
                <w:szCs w:val="20"/>
              </w:rPr>
              <w:t xml:space="preserve">Fortalecer la oferta educativa de las instituciones de educación superior para asegurar la </w:t>
            </w:r>
            <w:r w:rsidRPr="00766EE4">
              <w:rPr>
                <w:rFonts w:cs="Arial"/>
                <w:sz w:val="18"/>
                <w:szCs w:val="20"/>
              </w:rPr>
              <w:t>pertinencia con base en las necesidades de la entidad.</w:t>
            </w:r>
          </w:p>
          <w:p w14:paraId="56B43451" w14:textId="77777777" w:rsidR="00E23746" w:rsidRDefault="00E23746" w:rsidP="00454962">
            <w:pPr>
              <w:rPr>
                <w:rFonts w:cs="Arial"/>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A47ECCD" w14:textId="77777777" w:rsidR="00E23746" w:rsidRDefault="00E23746" w:rsidP="00454962">
            <w:pPr>
              <w:rPr>
                <w:rFonts w:cs="Arial"/>
                <w:sz w:val="20"/>
                <w:szCs w:val="20"/>
              </w:rPr>
            </w:pPr>
            <w:r>
              <w:rPr>
                <w:rFonts w:cs="Arial"/>
                <w:sz w:val="20"/>
                <w:szCs w:val="20"/>
              </w:rPr>
              <w:t>C01.A02 - Certificación de alumnos y docentes en una segunda lengua.</w:t>
            </w:r>
          </w:p>
        </w:tc>
        <w:tc>
          <w:tcPr>
            <w:tcW w:w="2268" w:type="dxa"/>
            <w:tcBorders>
              <w:top w:val="single" w:sz="4" w:space="0" w:color="auto"/>
              <w:left w:val="single" w:sz="4" w:space="0" w:color="auto"/>
              <w:bottom w:val="single" w:sz="4" w:space="0" w:color="auto"/>
              <w:right w:val="single" w:sz="4" w:space="0" w:color="auto"/>
            </w:tcBorders>
            <w:shd w:val="clear" w:color="FFFFFF" w:fill="FFFFFF"/>
            <w:hideMark/>
          </w:tcPr>
          <w:p w14:paraId="14546B76" w14:textId="77777777" w:rsidR="00E23746" w:rsidRDefault="00E23746" w:rsidP="00454962">
            <w:pPr>
              <w:rPr>
                <w:rFonts w:cs="Arial"/>
                <w:sz w:val="20"/>
                <w:szCs w:val="20"/>
              </w:rPr>
            </w:pPr>
            <w:r>
              <w:rPr>
                <w:rFonts w:cs="Arial"/>
                <w:sz w:val="20"/>
                <w:szCs w:val="20"/>
              </w:rPr>
              <w:t>C01A02 - Porcentaje de alumnos y docentes certificados en una segunda lengua.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5AB526E" w14:textId="77777777" w:rsidR="00E23746" w:rsidRDefault="00E23746" w:rsidP="00454962">
            <w:pPr>
              <w:rPr>
                <w:rFonts w:cs="Arial"/>
                <w:sz w:val="20"/>
                <w:szCs w:val="20"/>
              </w:rPr>
            </w:pPr>
            <w:r>
              <w:rPr>
                <w:rFonts w:cs="Arial"/>
                <w:sz w:val="20"/>
                <w:szCs w:val="20"/>
              </w:rPr>
              <w:t>Certificados, https://qroo.gob.mx/seq/medios-de-verificacion-de-la-planeacion-anual.</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18860128" w14:textId="77777777" w:rsidR="00E23746" w:rsidRDefault="00E23746" w:rsidP="00454962">
            <w:pPr>
              <w:rPr>
                <w:rFonts w:cs="Arial"/>
                <w:sz w:val="20"/>
                <w:szCs w:val="20"/>
              </w:rPr>
            </w:pPr>
            <w:r>
              <w:rPr>
                <w:rFonts w:cs="Arial"/>
                <w:sz w:val="20"/>
                <w:szCs w:val="20"/>
              </w:rPr>
              <w:t>Los alumnos y docentes se certifican en una segunda lengua.</w:t>
            </w:r>
          </w:p>
        </w:tc>
      </w:tr>
      <w:tr w:rsidR="00E23746" w:rsidRPr="00574DAC" w14:paraId="7A139909" w14:textId="77777777" w:rsidTr="00295ECB">
        <w:trPr>
          <w:trHeight w:val="409"/>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14:paraId="2911B08D" w14:textId="77777777" w:rsidR="00E23746" w:rsidRDefault="00E23746" w:rsidP="000B2F10">
            <w:pPr>
              <w:jc w:val="center"/>
              <w:rPr>
                <w:rFonts w:cs="Arial"/>
                <w:b/>
                <w:bCs/>
                <w:sz w:val="20"/>
                <w:szCs w:val="20"/>
              </w:rPr>
            </w:pPr>
            <w:r>
              <w:rPr>
                <w:rFonts w:cs="Arial"/>
                <w:b/>
                <w:bCs/>
                <w:sz w:val="20"/>
                <w:szCs w:val="20"/>
              </w:rPr>
              <w:t>Actividad</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26AEDFAD" w14:textId="77777777" w:rsidR="00E23746" w:rsidRDefault="00E23746" w:rsidP="00454962">
            <w:pPr>
              <w:rPr>
                <w:rFonts w:cs="Arial"/>
                <w:sz w:val="20"/>
                <w:szCs w:val="20"/>
              </w:rPr>
            </w:pPr>
            <w:r>
              <w:rPr>
                <w:rFonts w:cs="Arial"/>
                <w:sz w:val="20"/>
                <w:szCs w:val="20"/>
              </w:rPr>
              <w:t>Desarrollar una estrategia integral que permita ampliar la cobertura educativa de nivel superior en las instituciones públicas.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DC7AA25" w14:textId="77777777" w:rsidR="00E23746" w:rsidRDefault="00E23746" w:rsidP="00454962">
            <w:pPr>
              <w:rPr>
                <w:rFonts w:cs="Arial"/>
                <w:sz w:val="20"/>
                <w:szCs w:val="20"/>
              </w:rPr>
            </w:pPr>
            <w:r>
              <w:rPr>
                <w:rFonts w:cs="Arial"/>
                <w:sz w:val="20"/>
                <w:szCs w:val="20"/>
              </w:rPr>
              <w:t>C01.A03 - Coordinación de actividades para la promoción de la oferta educativa de las Instituciones Formadoras de Docentes.</w:t>
            </w:r>
          </w:p>
        </w:tc>
        <w:tc>
          <w:tcPr>
            <w:tcW w:w="2268" w:type="dxa"/>
            <w:tcBorders>
              <w:top w:val="single" w:sz="4" w:space="0" w:color="auto"/>
              <w:left w:val="single" w:sz="4" w:space="0" w:color="auto"/>
              <w:bottom w:val="single" w:sz="4" w:space="0" w:color="auto"/>
              <w:right w:val="single" w:sz="4" w:space="0" w:color="auto"/>
            </w:tcBorders>
            <w:shd w:val="clear" w:color="FFFFFF" w:fill="FFFFFF"/>
            <w:hideMark/>
          </w:tcPr>
          <w:p w14:paraId="0FD70D0F" w14:textId="77777777" w:rsidR="00E23746" w:rsidRDefault="00E23746" w:rsidP="00454962">
            <w:pPr>
              <w:rPr>
                <w:rFonts w:cs="Arial"/>
                <w:sz w:val="20"/>
                <w:szCs w:val="20"/>
              </w:rPr>
            </w:pPr>
            <w:r>
              <w:rPr>
                <w:rFonts w:cs="Arial"/>
                <w:sz w:val="20"/>
                <w:szCs w:val="20"/>
              </w:rPr>
              <w:t>C01A03 - Tasa de variación de alumnos que presentan el examen de ingreso a las Instituciones Formadoras de Docentes.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81CB418" w14:textId="77777777" w:rsidR="00E23746" w:rsidRDefault="00E23746" w:rsidP="00454962">
            <w:pPr>
              <w:rPr>
                <w:rFonts w:cs="Arial"/>
                <w:sz w:val="20"/>
                <w:szCs w:val="20"/>
              </w:rPr>
            </w:pPr>
            <w:r>
              <w:rPr>
                <w:rFonts w:cs="Arial"/>
                <w:sz w:val="20"/>
                <w:szCs w:val="20"/>
              </w:rPr>
              <w:t>Listas de participación anual, https://qroo.gob.mx/seq/medios-de-verificacion-de-la-planeacion-anual.</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1035C6AD" w14:textId="77777777" w:rsidR="00E23746" w:rsidRDefault="00E23746" w:rsidP="00454962">
            <w:pPr>
              <w:rPr>
                <w:rFonts w:cs="Arial"/>
                <w:sz w:val="20"/>
                <w:szCs w:val="20"/>
              </w:rPr>
            </w:pPr>
            <w:r>
              <w:rPr>
                <w:rFonts w:cs="Arial"/>
                <w:sz w:val="20"/>
                <w:szCs w:val="20"/>
              </w:rPr>
              <w:t>Los alumnos se interesan en ingresar a las instituciones formadoras de docentes para continuar su formación profesional.</w:t>
            </w:r>
          </w:p>
        </w:tc>
      </w:tr>
    </w:tbl>
    <w:p w14:paraId="493C5022" w14:textId="59C78183" w:rsidR="00295ECB" w:rsidRDefault="00295ECB"/>
    <w:p w14:paraId="55C05EB9" w14:textId="77777777" w:rsidR="00295ECB" w:rsidRDefault="00295ECB">
      <w:pPr>
        <w:spacing w:after="0" w:line="240" w:lineRule="auto"/>
        <w:jc w:val="left"/>
      </w:pPr>
      <w:r>
        <w:br w:type="page"/>
      </w:r>
    </w:p>
    <w:tbl>
      <w:tblPr>
        <w:tblW w:w="14029" w:type="dxa"/>
        <w:tblLayout w:type="fixed"/>
        <w:tblCellMar>
          <w:left w:w="70" w:type="dxa"/>
          <w:right w:w="70" w:type="dxa"/>
        </w:tblCellMar>
        <w:tblLook w:val="04A0" w:firstRow="1" w:lastRow="0" w:firstColumn="1" w:lastColumn="0" w:noHBand="0" w:noVBand="1"/>
      </w:tblPr>
      <w:tblGrid>
        <w:gridCol w:w="1413"/>
        <w:gridCol w:w="2693"/>
        <w:gridCol w:w="2835"/>
        <w:gridCol w:w="2268"/>
        <w:gridCol w:w="2835"/>
        <w:gridCol w:w="1985"/>
      </w:tblGrid>
      <w:tr w:rsidR="00E23746" w:rsidRPr="00574DAC" w14:paraId="1B12DE20" w14:textId="77777777" w:rsidTr="00295ECB">
        <w:trPr>
          <w:trHeight w:val="679"/>
        </w:trPr>
        <w:tc>
          <w:tcPr>
            <w:tcW w:w="1413"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13467869"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lastRenderedPageBreak/>
              <w:t>NIVEL</w:t>
            </w:r>
          </w:p>
        </w:tc>
        <w:tc>
          <w:tcPr>
            <w:tcW w:w="2693" w:type="dxa"/>
            <w:tcBorders>
              <w:top w:val="single" w:sz="4" w:space="0" w:color="auto"/>
              <w:left w:val="nil"/>
              <w:bottom w:val="single" w:sz="4" w:space="0" w:color="auto"/>
              <w:right w:val="single" w:sz="4" w:space="0" w:color="auto"/>
            </w:tcBorders>
            <w:shd w:val="clear" w:color="000000" w:fill="BFBFBF"/>
            <w:vAlign w:val="center"/>
            <w:hideMark/>
          </w:tcPr>
          <w:p w14:paraId="11860DFE"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ALINEACIÓN PED/PD</w:t>
            </w:r>
          </w:p>
        </w:tc>
        <w:tc>
          <w:tcPr>
            <w:tcW w:w="2835" w:type="dxa"/>
            <w:tcBorders>
              <w:top w:val="single" w:sz="4" w:space="0" w:color="auto"/>
              <w:left w:val="nil"/>
              <w:bottom w:val="single" w:sz="4" w:space="0" w:color="auto"/>
              <w:right w:val="single" w:sz="4" w:space="0" w:color="auto"/>
            </w:tcBorders>
            <w:shd w:val="clear" w:color="000000" w:fill="BFBFBF"/>
            <w:vAlign w:val="center"/>
            <w:hideMark/>
          </w:tcPr>
          <w:p w14:paraId="5ED38570"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OBJETIVO</w:t>
            </w:r>
          </w:p>
        </w:tc>
        <w:tc>
          <w:tcPr>
            <w:tcW w:w="2268" w:type="dxa"/>
            <w:tcBorders>
              <w:top w:val="single" w:sz="4" w:space="0" w:color="auto"/>
              <w:left w:val="nil"/>
              <w:bottom w:val="single" w:sz="4" w:space="0" w:color="auto"/>
              <w:right w:val="single" w:sz="4" w:space="0" w:color="auto"/>
            </w:tcBorders>
            <w:shd w:val="clear" w:color="000000" w:fill="BFBFBF"/>
            <w:vAlign w:val="center"/>
            <w:hideMark/>
          </w:tcPr>
          <w:p w14:paraId="73B3146B"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INDICADOR</w:t>
            </w:r>
          </w:p>
        </w:tc>
        <w:tc>
          <w:tcPr>
            <w:tcW w:w="2835" w:type="dxa"/>
            <w:tcBorders>
              <w:top w:val="single" w:sz="4" w:space="0" w:color="auto"/>
              <w:left w:val="nil"/>
              <w:bottom w:val="single" w:sz="4" w:space="0" w:color="auto"/>
              <w:right w:val="single" w:sz="4" w:space="0" w:color="auto"/>
            </w:tcBorders>
            <w:shd w:val="clear" w:color="000000" w:fill="BFBFBF"/>
            <w:vAlign w:val="center"/>
            <w:hideMark/>
          </w:tcPr>
          <w:p w14:paraId="38233AF1"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MEDIOS DE VERIFICACIÓN</w:t>
            </w:r>
          </w:p>
        </w:tc>
        <w:tc>
          <w:tcPr>
            <w:tcW w:w="1985" w:type="dxa"/>
            <w:tcBorders>
              <w:top w:val="single" w:sz="4" w:space="0" w:color="auto"/>
              <w:left w:val="nil"/>
              <w:bottom w:val="single" w:sz="4" w:space="0" w:color="auto"/>
              <w:right w:val="single" w:sz="4" w:space="0" w:color="auto"/>
            </w:tcBorders>
            <w:shd w:val="clear" w:color="000000" w:fill="BFBFBF"/>
            <w:vAlign w:val="center"/>
            <w:hideMark/>
          </w:tcPr>
          <w:p w14:paraId="3A9902F2"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SUPUESTO</w:t>
            </w:r>
          </w:p>
        </w:tc>
      </w:tr>
      <w:tr w:rsidR="003F037A" w:rsidRPr="00574DAC" w14:paraId="3401EF45" w14:textId="77777777" w:rsidTr="00295ECB">
        <w:trPr>
          <w:trHeight w:val="2110"/>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6A2F293B" w14:textId="62DC9D5B" w:rsidR="003F037A" w:rsidRPr="00A64F10" w:rsidRDefault="003F037A" w:rsidP="003F037A">
            <w:pPr>
              <w:jc w:val="center"/>
              <w:rPr>
                <w:rFonts w:cs="Arial"/>
                <w:b/>
                <w:bCs/>
                <w:sz w:val="20"/>
                <w:szCs w:val="20"/>
              </w:rPr>
            </w:pPr>
            <w:r>
              <w:rPr>
                <w:rFonts w:cs="Arial"/>
                <w:b/>
                <w:bCs/>
                <w:sz w:val="20"/>
                <w:szCs w:val="20"/>
              </w:rPr>
              <w:t>Actividad</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48D8B25" w14:textId="77777777" w:rsidR="003F037A" w:rsidRDefault="003F037A" w:rsidP="003F037A">
            <w:pPr>
              <w:rPr>
                <w:rFonts w:cs="Arial"/>
                <w:sz w:val="20"/>
                <w:szCs w:val="20"/>
              </w:rPr>
            </w:pPr>
            <w:r>
              <w:rPr>
                <w:rFonts w:cs="Arial"/>
                <w:sz w:val="20"/>
                <w:szCs w:val="20"/>
              </w:rPr>
              <w:t>Fortalecer los programas de asesoría tutoría y acompañamiento académico, programas de becas y apoyos a fin de mejorar el desempeño académico, permanencia escolar y la eficiencia terminal.</w:t>
            </w:r>
          </w:p>
          <w:p w14:paraId="2E4D9F57" w14:textId="77777777" w:rsidR="003F037A" w:rsidRPr="00A64F10" w:rsidRDefault="003F037A" w:rsidP="003F037A">
            <w:pPr>
              <w:rPr>
                <w:rFonts w:cs="Arial"/>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2E69D73" w14:textId="051FD12D" w:rsidR="003F037A" w:rsidRPr="00A64F10" w:rsidRDefault="003F037A" w:rsidP="003F037A">
            <w:pPr>
              <w:rPr>
                <w:rFonts w:cs="Arial"/>
                <w:sz w:val="20"/>
                <w:szCs w:val="20"/>
              </w:rPr>
            </w:pPr>
            <w:r>
              <w:rPr>
                <w:rFonts w:cs="Arial"/>
                <w:sz w:val="20"/>
                <w:szCs w:val="20"/>
              </w:rPr>
              <w:t>C01.A04 - Dotación de material didáctico y útiles de enseñanza para alumnos de las Instituciones Formadoras de Docentes.</w:t>
            </w:r>
          </w:p>
        </w:tc>
        <w:tc>
          <w:tcPr>
            <w:tcW w:w="2268" w:type="dxa"/>
            <w:tcBorders>
              <w:top w:val="single" w:sz="4" w:space="0" w:color="auto"/>
              <w:left w:val="single" w:sz="4" w:space="0" w:color="auto"/>
              <w:bottom w:val="single" w:sz="4" w:space="0" w:color="auto"/>
              <w:right w:val="single" w:sz="4" w:space="0" w:color="auto"/>
            </w:tcBorders>
            <w:shd w:val="clear" w:color="FFFFFF" w:fill="FFFFFF"/>
          </w:tcPr>
          <w:p w14:paraId="1433449C" w14:textId="30A870CF" w:rsidR="003F037A" w:rsidRPr="00A64F10" w:rsidRDefault="003F037A" w:rsidP="003F037A">
            <w:pPr>
              <w:rPr>
                <w:rFonts w:cs="Arial"/>
                <w:sz w:val="20"/>
                <w:szCs w:val="20"/>
              </w:rPr>
            </w:pPr>
            <w:r>
              <w:rPr>
                <w:rFonts w:cs="Arial"/>
                <w:sz w:val="20"/>
                <w:szCs w:val="20"/>
              </w:rPr>
              <w:t>C01A04 - Porcentaje de alumnos beneficiados con el material.</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DDBC3A8" w14:textId="48FC7749" w:rsidR="003F037A" w:rsidRPr="00A64F10" w:rsidRDefault="003F037A" w:rsidP="003F037A">
            <w:pPr>
              <w:rPr>
                <w:rFonts w:cs="Arial"/>
                <w:sz w:val="20"/>
                <w:szCs w:val="20"/>
              </w:rPr>
            </w:pPr>
            <w:r>
              <w:rPr>
                <w:rFonts w:cs="Arial"/>
                <w:sz w:val="20"/>
                <w:szCs w:val="20"/>
              </w:rPr>
              <w:t>Listas de alumnos inscritos en clubes anual, https://qroo.gob.mx/seq/medios-de-verificacion-de-la-planeacion-anual.</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42EDB33C" w14:textId="18790D4E" w:rsidR="003F037A" w:rsidRPr="00A64F10" w:rsidRDefault="003F037A" w:rsidP="003F037A">
            <w:pPr>
              <w:rPr>
                <w:rFonts w:cs="Arial"/>
                <w:sz w:val="20"/>
                <w:szCs w:val="20"/>
              </w:rPr>
            </w:pPr>
            <w:r>
              <w:rPr>
                <w:rFonts w:cs="Arial"/>
                <w:sz w:val="20"/>
                <w:szCs w:val="20"/>
              </w:rPr>
              <w:t>Los alumnos utilizan los materiales de una manera eficiente en su práctica.</w:t>
            </w:r>
          </w:p>
        </w:tc>
      </w:tr>
      <w:tr w:rsidR="00E23746" w:rsidRPr="00574DAC" w14:paraId="18C7B9A6" w14:textId="77777777" w:rsidTr="00295ECB">
        <w:trPr>
          <w:trHeight w:val="2110"/>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14:paraId="3DE02DCB" w14:textId="77777777" w:rsidR="00E23746" w:rsidRPr="00A64F10" w:rsidRDefault="00E23746" w:rsidP="000B2F10">
            <w:pPr>
              <w:jc w:val="center"/>
              <w:rPr>
                <w:rFonts w:cs="Arial"/>
                <w:b/>
                <w:bCs/>
                <w:sz w:val="20"/>
                <w:szCs w:val="20"/>
              </w:rPr>
            </w:pPr>
            <w:r w:rsidRPr="00A64F10">
              <w:rPr>
                <w:rFonts w:cs="Arial"/>
                <w:b/>
                <w:bCs/>
                <w:sz w:val="20"/>
                <w:szCs w:val="20"/>
              </w:rPr>
              <w:t>Actividad</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5C49991D" w14:textId="77777777" w:rsidR="00E23746" w:rsidRPr="00A64F10" w:rsidRDefault="00E23746" w:rsidP="00454962">
            <w:pPr>
              <w:rPr>
                <w:rFonts w:cs="Arial"/>
                <w:sz w:val="20"/>
                <w:szCs w:val="20"/>
              </w:rPr>
            </w:pPr>
            <w:r w:rsidRPr="00A64F10">
              <w:rPr>
                <w:rFonts w:cs="Arial"/>
                <w:sz w:val="20"/>
                <w:szCs w:val="20"/>
              </w:rPr>
              <w:t>Impulsar la vinculación con instituciones públicas y privadas para la realización del servicio social, prácticas profesionales o su equivalente y modelo dual por parte de los estudiantes de educación superior.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E83DB9C" w14:textId="77777777" w:rsidR="00E23746" w:rsidRPr="00A64F10" w:rsidRDefault="00E23746" w:rsidP="00454962">
            <w:pPr>
              <w:rPr>
                <w:rFonts w:cs="Arial"/>
                <w:sz w:val="20"/>
                <w:szCs w:val="20"/>
              </w:rPr>
            </w:pPr>
            <w:r w:rsidRPr="00A64F10">
              <w:rPr>
                <w:rFonts w:cs="Arial"/>
                <w:sz w:val="20"/>
                <w:szCs w:val="20"/>
              </w:rPr>
              <w:t>C01.A05 - Supervisión de prácticas profesionales de los alumnos de las Instituciones Formadoras de Docentes.</w:t>
            </w:r>
          </w:p>
        </w:tc>
        <w:tc>
          <w:tcPr>
            <w:tcW w:w="2268" w:type="dxa"/>
            <w:tcBorders>
              <w:top w:val="single" w:sz="4" w:space="0" w:color="auto"/>
              <w:left w:val="single" w:sz="4" w:space="0" w:color="auto"/>
              <w:bottom w:val="single" w:sz="4" w:space="0" w:color="auto"/>
              <w:right w:val="single" w:sz="4" w:space="0" w:color="auto"/>
            </w:tcBorders>
            <w:shd w:val="clear" w:color="FFFFFF" w:fill="FFFFFF"/>
            <w:hideMark/>
          </w:tcPr>
          <w:p w14:paraId="738C9CA0" w14:textId="77777777" w:rsidR="00E23746" w:rsidRPr="00A64F10" w:rsidRDefault="00E23746" w:rsidP="00454962">
            <w:pPr>
              <w:rPr>
                <w:rFonts w:cs="Arial"/>
                <w:sz w:val="20"/>
                <w:szCs w:val="20"/>
              </w:rPr>
            </w:pPr>
            <w:r w:rsidRPr="00A64F10">
              <w:rPr>
                <w:rFonts w:cs="Arial"/>
                <w:sz w:val="20"/>
                <w:szCs w:val="20"/>
              </w:rPr>
              <w:t>C01A05 - Porcentaje de alumnos supervisados en sus prácticas docentes.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461A5BA" w14:textId="77777777" w:rsidR="00E23746" w:rsidRPr="00A64F10" w:rsidRDefault="00E23746" w:rsidP="00454962">
            <w:pPr>
              <w:rPr>
                <w:rFonts w:cs="Arial"/>
                <w:sz w:val="20"/>
                <w:szCs w:val="20"/>
              </w:rPr>
            </w:pPr>
            <w:r w:rsidRPr="00A64F10">
              <w:rPr>
                <w:rFonts w:cs="Arial"/>
                <w:sz w:val="20"/>
                <w:szCs w:val="20"/>
              </w:rPr>
              <w:t>Listas de alumnos tutorados, https://qroo.gob.mx/seq/medios-de-verificacion-de-la-planeacion-anual.</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611FB74C" w14:textId="77777777" w:rsidR="00E23746" w:rsidRPr="00A64F10" w:rsidRDefault="00E23746" w:rsidP="00454962">
            <w:pPr>
              <w:rPr>
                <w:rFonts w:cs="Arial"/>
                <w:sz w:val="20"/>
                <w:szCs w:val="20"/>
              </w:rPr>
            </w:pPr>
            <w:r w:rsidRPr="00A64F10">
              <w:rPr>
                <w:rFonts w:cs="Arial"/>
                <w:sz w:val="20"/>
                <w:szCs w:val="20"/>
              </w:rPr>
              <w:t>Los alumnos aprovechan el acompañamiento y la supervisión por parte de sus tutores.</w:t>
            </w:r>
          </w:p>
        </w:tc>
      </w:tr>
    </w:tbl>
    <w:p w14:paraId="4129E361" w14:textId="77777777" w:rsidR="00E23746" w:rsidRDefault="00E23746" w:rsidP="00E23746">
      <w:pPr>
        <w:rPr>
          <w:rFonts w:eastAsia="Calibri" w:cs="Arial"/>
          <w:bCs/>
          <w:color w:val="595959" w:themeColor="text1" w:themeTint="A6"/>
          <w:sz w:val="18"/>
          <w:szCs w:val="20"/>
        </w:rPr>
      </w:pPr>
      <w:r w:rsidRPr="0093279A">
        <w:rPr>
          <w:rFonts w:eastAsia="Calibri" w:cs="Arial"/>
          <w:bCs/>
          <w:color w:val="595959" w:themeColor="text1" w:themeTint="A6"/>
          <w:sz w:val="18"/>
          <w:szCs w:val="20"/>
        </w:rPr>
        <w:t>El anexo aquí presentado es perfectible, y se encuentra susceptible de modificaciones programáticas toda vez que así se le indique por observaciones de auditorías, evaluaciones al desempeño y revisiones de la Secretaría de Finanzas y Planeación antes y durante el ejercicio fiscal del que se trate, así como también, cuando las condiciones del Ente Público responsable de dicha información programática requiera hacer modificaciones a sus necesidades institucionales, atendiendo a lo establecido en los Lineamientos para la Creación, Modificación y Cancelación de Programas Presupuestarios y para la Modificación de Metas del Gobierno del Estado de Quintana Roo.</w:t>
      </w:r>
    </w:p>
    <w:p w14:paraId="1D5C79B8" w14:textId="77777777" w:rsidR="00E23746" w:rsidRDefault="00E23746" w:rsidP="00E23746">
      <w:pPr>
        <w:rPr>
          <w:sz w:val="18"/>
          <w:lang w:val="es-MX" w:eastAsia="en-US"/>
        </w:rPr>
      </w:pPr>
      <w:r>
        <w:rPr>
          <w:sz w:val="18"/>
          <w:lang w:val="es-MX" w:eastAsia="en-US"/>
        </w:rPr>
        <w:br w:type="page"/>
      </w:r>
    </w:p>
    <w:tbl>
      <w:tblPr>
        <w:tblW w:w="14047" w:type="dxa"/>
        <w:tblLayout w:type="fixed"/>
        <w:tblCellMar>
          <w:left w:w="70" w:type="dxa"/>
          <w:right w:w="70" w:type="dxa"/>
        </w:tblCellMar>
        <w:tblLook w:val="04A0" w:firstRow="1" w:lastRow="0" w:firstColumn="1" w:lastColumn="0" w:noHBand="0" w:noVBand="1"/>
      </w:tblPr>
      <w:tblGrid>
        <w:gridCol w:w="1271"/>
        <w:gridCol w:w="2835"/>
        <w:gridCol w:w="2835"/>
        <w:gridCol w:w="2268"/>
        <w:gridCol w:w="2835"/>
        <w:gridCol w:w="1985"/>
        <w:gridCol w:w="18"/>
      </w:tblGrid>
      <w:tr w:rsidR="00E23746" w:rsidRPr="00574DAC" w14:paraId="4545208D" w14:textId="77777777" w:rsidTr="000B2F10">
        <w:trPr>
          <w:trHeight w:val="720"/>
        </w:trPr>
        <w:tc>
          <w:tcPr>
            <w:tcW w:w="4106" w:type="dxa"/>
            <w:gridSpan w:val="2"/>
            <w:tcBorders>
              <w:top w:val="single" w:sz="4" w:space="0" w:color="auto"/>
              <w:left w:val="single" w:sz="4" w:space="0" w:color="auto"/>
              <w:bottom w:val="single" w:sz="4" w:space="0" w:color="auto"/>
              <w:right w:val="single" w:sz="4" w:space="0" w:color="000000"/>
            </w:tcBorders>
            <w:shd w:val="clear" w:color="000000" w:fill="BFBFBF"/>
            <w:vAlign w:val="center"/>
            <w:hideMark/>
          </w:tcPr>
          <w:p w14:paraId="0F86EE03" w14:textId="77777777" w:rsidR="00E23746" w:rsidRPr="00574DAC" w:rsidRDefault="00E23746" w:rsidP="000B2F10">
            <w:pPr>
              <w:spacing w:after="0" w:line="240" w:lineRule="auto"/>
              <w:jc w:val="center"/>
              <w:rPr>
                <w:rFonts w:eastAsia="Times New Roman" w:cs="Arial"/>
                <w:b/>
                <w:bCs/>
                <w:sz w:val="20"/>
                <w:szCs w:val="20"/>
                <w:lang w:val="es-MX" w:eastAsia="es-MX"/>
              </w:rPr>
            </w:pPr>
            <w:r>
              <w:rPr>
                <w:rFonts w:eastAsia="Times New Roman" w:cs="Arial"/>
                <w:b/>
                <w:bCs/>
                <w:sz w:val="20"/>
                <w:szCs w:val="20"/>
                <w:lang w:val="es-MX" w:eastAsia="es-MX"/>
              </w:rPr>
              <w:lastRenderedPageBreak/>
              <w:t>P</w:t>
            </w:r>
            <w:r w:rsidRPr="00574DAC">
              <w:rPr>
                <w:rFonts w:eastAsia="Times New Roman" w:cs="Arial"/>
                <w:b/>
                <w:bCs/>
                <w:sz w:val="20"/>
                <w:szCs w:val="20"/>
                <w:lang w:val="es-MX" w:eastAsia="es-MX"/>
              </w:rPr>
              <w:t>ROGRAMA PRESUPUESTARIO:</w:t>
            </w:r>
          </w:p>
        </w:tc>
        <w:tc>
          <w:tcPr>
            <w:tcW w:w="9941" w:type="dxa"/>
            <w:gridSpan w:val="5"/>
            <w:tcBorders>
              <w:top w:val="single" w:sz="4" w:space="0" w:color="auto"/>
              <w:left w:val="nil"/>
              <w:bottom w:val="single" w:sz="4" w:space="0" w:color="auto"/>
              <w:right w:val="single" w:sz="4" w:space="0" w:color="auto"/>
            </w:tcBorders>
            <w:shd w:val="clear" w:color="auto" w:fill="auto"/>
            <w:vAlign w:val="center"/>
            <w:hideMark/>
          </w:tcPr>
          <w:p w14:paraId="4665AA5A" w14:textId="77777777" w:rsidR="00E23746" w:rsidRPr="00574DAC" w:rsidRDefault="00E23746" w:rsidP="000B2F10">
            <w:pPr>
              <w:spacing w:after="0" w:line="240" w:lineRule="auto"/>
              <w:jc w:val="left"/>
              <w:rPr>
                <w:rFonts w:eastAsia="Times New Roman" w:cs="Arial"/>
                <w:sz w:val="20"/>
                <w:szCs w:val="20"/>
                <w:lang w:val="es-MX" w:eastAsia="es-MX"/>
              </w:rPr>
            </w:pPr>
            <w:r w:rsidRPr="00693FA1">
              <w:rPr>
                <w:rFonts w:eastAsia="Times New Roman" w:cs="Arial"/>
                <w:sz w:val="20"/>
                <w:szCs w:val="20"/>
                <w:lang w:val="es-MX" w:eastAsia="es-MX"/>
              </w:rPr>
              <w:t>Educación</w:t>
            </w:r>
            <w:r>
              <w:rPr>
                <w:rFonts w:eastAsia="Times New Roman" w:cs="Arial"/>
                <w:sz w:val="20"/>
                <w:szCs w:val="20"/>
                <w:lang w:val="es-MX" w:eastAsia="es-MX"/>
              </w:rPr>
              <w:t xml:space="preserve"> Media </w:t>
            </w:r>
            <w:r w:rsidRPr="00693FA1">
              <w:rPr>
                <w:rFonts w:eastAsia="Times New Roman" w:cs="Arial"/>
                <w:sz w:val="20"/>
                <w:szCs w:val="20"/>
                <w:lang w:val="es-MX" w:eastAsia="es-MX"/>
              </w:rPr>
              <w:t>Superior</w:t>
            </w:r>
          </w:p>
        </w:tc>
      </w:tr>
      <w:tr w:rsidR="00E23746" w:rsidRPr="00574DAC" w14:paraId="318243F9" w14:textId="77777777" w:rsidTr="000B2F10">
        <w:trPr>
          <w:trHeight w:val="552"/>
        </w:trPr>
        <w:tc>
          <w:tcPr>
            <w:tcW w:w="4106" w:type="dxa"/>
            <w:gridSpan w:val="2"/>
            <w:tcBorders>
              <w:top w:val="single" w:sz="4" w:space="0" w:color="auto"/>
              <w:left w:val="single" w:sz="4" w:space="0" w:color="auto"/>
              <w:bottom w:val="single" w:sz="4" w:space="0" w:color="auto"/>
              <w:right w:val="single" w:sz="4" w:space="0" w:color="000000"/>
            </w:tcBorders>
            <w:shd w:val="clear" w:color="000000" w:fill="BFBFBF"/>
            <w:vAlign w:val="center"/>
            <w:hideMark/>
          </w:tcPr>
          <w:p w14:paraId="07FEA39B"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INSTITUCIÓN:</w:t>
            </w:r>
          </w:p>
        </w:tc>
        <w:tc>
          <w:tcPr>
            <w:tcW w:w="9941" w:type="dxa"/>
            <w:gridSpan w:val="5"/>
            <w:tcBorders>
              <w:top w:val="single" w:sz="4" w:space="0" w:color="auto"/>
              <w:left w:val="nil"/>
              <w:bottom w:val="single" w:sz="4" w:space="0" w:color="auto"/>
              <w:right w:val="single" w:sz="4" w:space="0" w:color="auto"/>
            </w:tcBorders>
            <w:shd w:val="clear" w:color="auto" w:fill="auto"/>
            <w:vAlign w:val="center"/>
            <w:hideMark/>
          </w:tcPr>
          <w:p w14:paraId="4ED737BE" w14:textId="77777777" w:rsidR="00E23746" w:rsidRPr="00574DAC" w:rsidRDefault="00E23746" w:rsidP="000B2F10">
            <w:pPr>
              <w:spacing w:after="0" w:line="240" w:lineRule="auto"/>
              <w:jc w:val="left"/>
              <w:rPr>
                <w:rFonts w:eastAsia="Times New Roman" w:cs="Arial"/>
                <w:sz w:val="20"/>
                <w:szCs w:val="20"/>
                <w:lang w:val="es-MX" w:eastAsia="es-MX"/>
              </w:rPr>
            </w:pPr>
            <w:r w:rsidRPr="00693FA1">
              <w:rPr>
                <w:rFonts w:eastAsia="Times New Roman" w:cs="Arial"/>
                <w:sz w:val="20"/>
                <w:szCs w:val="20"/>
                <w:lang w:val="es-MX" w:eastAsia="es-MX"/>
              </w:rPr>
              <w:t xml:space="preserve">1109 </w:t>
            </w:r>
            <w:r>
              <w:rPr>
                <w:rFonts w:eastAsia="Times New Roman" w:cs="Arial"/>
                <w:sz w:val="20"/>
                <w:szCs w:val="20"/>
                <w:lang w:val="es-MX" w:eastAsia="es-MX"/>
              </w:rPr>
              <w:t xml:space="preserve"> </w:t>
            </w:r>
            <w:r w:rsidRPr="00693FA1">
              <w:rPr>
                <w:rFonts w:eastAsia="Times New Roman" w:cs="Arial"/>
                <w:sz w:val="20"/>
                <w:szCs w:val="20"/>
                <w:lang w:val="es-MX" w:eastAsia="es-MX"/>
              </w:rPr>
              <w:t>Secretaría de Educación de Quintana Roo</w:t>
            </w:r>
          </w:p>
        </w:tc>
      </w:tr>
      <w:tr w:rsidR="00E23746" w:rsidRPr="00574DAC" w14:paraId="37490B05" w14:textId="77777777" w:rsidTr="000B2F10">
        <w:trPr>
          <w:gridAfter w:val="1"/>
          <w:wAfter w:w="18" w:type="dxa"/>
          <w:trHeight w:val="282"/>
        </w:trPr>
        <w:tc>
          <w:tcPr>
            <w:tcW w:w="1271" w:type="dxa"/>
            <w:tcBorders>
              <w:top w:val="nil"/>
              <w:left w:val="nil"/>
              <w:bottom w:val="nil"/>
              <w:right w:val="nil"/>
            </w:tcBorders>
            <w:shd w:val="clear" w:color="auto" w:fill="auto"/>
            <w:hideMark/>
          </w:tcPr>
          <w:p w14:paraId="6D767A07" w14:textId="77777777" w:rsidR="00E23746" w:rsidRPr="00574DAC" w:rsidRDefault="00E23746" w:rsidP="000B2F10">
            <w:pPr>
              <w:spacing w:after="0" w:line="240" w:lineRule="auto"/>
              <w:jc w:val="left"/>
              <w:rPr>
                <w:rFonts w:eastAsia="Times New Roman" w:cs="Arial"/>
                <w:sz w:val="20"/>
                <w:szCs w:val="20"/>
                <w:lang w:val="es-MX" w:eastAsia="es-MX"/>
              </w:rPr>
            </w:pPr>
          </w:p>
        </w:tc>
        <w:tc>
          <w:tcPr>
            <w:tcW w:w="2835" w:type="dxa"/>
            <w:tcBorders>
              <w:top w:val="nil"/>
              <w:left w:val="nil"/>
              <w:bottom w:val="nil"/>
              <w:right w:val="nil"/>
            </w:tcBorders>
            <w:shd w:val="clear" w:color="auto" w:fill="auto"/>
            <w:hideMark/>
          </w:tcPr>
          <w:p w14:paraId="75343ED3" w14:textId="77777777" w:rsidR="00E23746" w:rsidRPr="00574DAC" w:rsidRDefault="00E23746" w:rsidP="000B2F10">
            <w:pPr>
              <w:spacing w:after="0" w:line="240" w:lineRule="auto"/>
              <w:jc w:val="left"/>
              <w:rPr>
                <w:rFonts w:ascii="Times New Roman" w:eastAsia="Times New Roman" w:hAnsi="Times New Roman"/>
                <w:sz w:val="20"/>
                <w:szCs w:val="20"/>
                <w:lang w:val="es-MX" w:eastAsia="es-MX"/>
              </w:rPr>
            </w:pPr>
          </w:p>
        </w:tc>
        <w:tc>
          <w:tcPr>
            <w:tcW w:w="2835" w:type="dxa"/>
            <w:tcBorders>
              <w:top w:val="nil"/>
              <w:left w:val="nil"/>
              <w:bottom w:val="nil"/>
              <w:right w:val="nil"/>
            </w:tcBorders>
            <w:shd w:val="clear" w:color="auto" w:fill="auto"/>
            <w:hideMark/>
          </w:tcPr>
          <w:p w14:paraId="705B0E39" w14:textId="77777777" w:rsidR="00E23746" w:rsidRPr="00574DAC" w:rsidRDefault="00E23746" w:rsidP="000B2F10">
            <w:pPr>
              <w:spacing w:after="0" w:line="240" w:lineRule="auto"/>
              <w:jc w:val="left"/>
              <w:rPr>
                <w:rFonts w:ascii="Times New Roman" w:eastAsia="Times New Roman" w:hAnsi="Times New Roman"/>
                <w:sz w:val="20"/>
                <w:szCs w:val="20"/>
                <w:lang w:val="es-MX" w:eastAsia="es-MX"/>
              </w:rPr>
            </w:pPr>
          </w:p>
        </w:tc>
        <w:tc>
          <w:tcPr>
            <w:tcW w:w="2268" w:type="dxa"/>
            <w:tcBorders>
              <w:top w:val="nil"/>
              <w:left w:val="nil"/>
              <w:bottom w:val="nil"/>
              <w:right w:val="nil"/>
            </w:tcBorders>
            <w:shd w:val="clear" w:color="auto" w:fill="auto"/>
            <w:hideMark/>
          </w:tcPr>
          <w:p w14:paraId="703D9E5C" w14:textId="77777777" w:rsidR="00E23746" w:rsidRPr="00574DAC" w:rsidRDefault="00E23746" w:rsidP="000B2F10">
            <w:pPr>
              <w:spacing w:after="0" w:line="240" w:lineRule="auto"/>
              <w:jc w:val="left"/>
              <w:rPr>
                <w:rFonts w:ascii="Times New Roman" w:eastAsia="Times New Roman" w:hAnsi="Times New Roman"/>
                <w:sz w:val="20"/>
                <w:szCs w:val="20"/>
                <w:lang w:val="es-MX" w:eastAsia="es-MX"/>
              </w:rPr>
            </w:pPr>
          </w:p>
        </w:tc>
        <w:tc>
          <w:tcPr>
            <w:tcW w:w="2835" w:type="dxa"/>
            <w:tcBorders>
              <w:top w:val="nil"/>
              <w:left w:val="nil"/>
              <w:bottom w:val="nil"/>
              <w:right w:val="nil"/>
            </w:tcBorders>
            <w:shd w:val="clear" w:color="auto" w:fill="auto"/>
            <w:hideMark/>
          </w:tcPr>
          <w:p w14:paraId="06F120CB" w14:textId="77777777" w:rsidR="00E23746" w:rsidRPr="00574DAC" w:rsidRDefault="00E23746" w:rsidP="000B2F10">
            <w:pPr>
              <w:spacing w:after="0" w:line="240" w:lineRule="auto"/>
              <w:jc w:val="left"/>
              <w:rPr>
                <w:rFonts w:ascii="Times New Roman" w:eastAsia="Times New Roman" w:hAnsi="Times New Roman"/>
                <w:sz w:val="20"/>
                <w:szCs w:val="20"/>
                <w:lang w:val="es-MX" w:eastAsia="es-MX"/>
              </w:rPr>
            </w:pPr>
          </w:p>
        </w:tc>
        <w:tc>
          <w:tcPr>
            <w:tcW w:w="1985" w:type="dxa"/>
            <w:tcBorders>
              <w:top w:val="nil"/>
              <w:left w:val="nil"/>
              <w:bottom w:val="nil"/>
              <w:right w:val="nil"/>
            </w:tcBorders>
            <w:shd w:val="clear" w:color="auto" w:fill="auto"/>
            <w:hideMark/>
          </w:tcPr>
          <w:p w14:paraId="6B83B87A" w14:textId="77777777" w:rsidR="00E23746" w:rsidRPr="00574DAC" w:rsidRDefault="00E23746" w:rsidP="000B2F10">
            <w:pPr>
              <w:spacing w:after="0" w:line="240" w:lineRule="auto"/>
              <w:jc w:val="left"/>
              <w:rPr>
                <w:rFonts w:ascii="Times New Roman" w:eastAsia="Times New Roman" w:hAnsi="Times New Roman"/>
                <w:sz w:val="20"/>
                <w:szCs w:val="20"/>
                <w:lang w:val="es-MX" w:eastAsia="es-MX"/>
              </w:rPr>
            </w:pPr>
          </w:p>
        </w:tc>
      </w:tr>
      <w:tr w:rsidR="00E23746" w:rsidRPr="00574DAC" w14:paraId="7C4B4D76" w14:textId="77777777" w:rsidTr="000B2F10">
        <w:trPr>
          <w:trHeight w:val="375"/>
        </w:trPr>
        <w:tc>
          <w:tcPr>
            <w:tcW w:w="14047" w:type="dxa"/>
            <w:gridSpan w:val="7"/>
            <w:tcBorders>
              <w:top w:val="single" w:sz="4" w:space="0" w:color="auto"/>
              <w:left w:val="single" w:sz="4" w:space="0" w:color="auto"/>
              <w:bottom w:val="single" w:sz="4" w:space="0" w:color="auto"/>
              <w:right w:val="single" w:sz="4" w:space="0" w:color="000000"/>
            </w:tcBorders>
            <w:shd w:val="clear" w:color="000000" w:fill="BFBFBF"/>
            <w:vAlign w:val="center"/>
            <w:hideMark/>
          </w:tcPr>
          <w:p w14:paraId="08388B79"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MATRIZ DE INDICADORES PARA RESULTADOS (MIR)</w:t>
            </w:r>
          </w:p>
        </w:tc>
      </w:tr>
      <w:tr w:rsidR="00E23746" w:rsidRPr="00574DAC" w14:paraId="5401A416" w14:textId="77777777" w:rsidTr="006B434D">
        <w:trPr>
          <w:gridAfter w:val="1"/>
          <w:wAfter w:w="18" w:type="dxa"/>
          <w:trHeight w:val="679"/>
        </w:trPr>
        <w:tc>
          <w:tcPr>
            <w:tcW w:w="1271"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6FE7A405"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NIVEL</w:t>
            </w:r>
          </w:p>
        </w:tc>
        <w:tc>
          <w:tcPr>
            <w:tcW w:w="2835" w:type="dxa"/>
            <w:tcBorders>
              <w:top w:val="single" w:sz="4" w:space="0" w:color="auto"/>
              <w:left w:val="nil"/>
              <w:bottom w:val="single" w:sz="4" w:space="0" w:color="auto"/>
              <w:right w:val="single" w:sz="4" w:space="0" w:color="auto"/>
            </w:tcBorders>
            <w:shd w:val="clear" w:color="000000" w:fill="BFBFBF"/>
            <w:vAlign w:val="center"/>
            <w:hideMark/>
          </w:tcPr>
          <w:p w14:paraId="248C5345"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ALINEACIÓN PED/PD</w:t>
            </w:r>
          </w:p>
        </w:tc>
        <w:tc>
          <w:tcPr>
            <w:tcW w:w="2835" w:type="dxa"/>
            <w:tcBorders>
              <w:top w:val="single" w:sz="4" w:space="0" w:color="auto"/>
              <w:left w:val="nil"/>
              <w:bottom w:val="single" w:sz="4" w:space="0" w:color="auto"/>
              <w:right w:val="single" w:sz="4" w:space="0" w:color="auto"/>
            </w:tcBorders>
            <w:shd w:val="clear" w:color="000000" w:fill="BFBFBF"/>
            <w:vAlign w:val="center"/>
            <w:hideMark/>
          </w:tcPr>
          <w:p w14:paraId="366356DB"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OBJETIVO</w:t>
            </w:r>
          </w:p>
        </w:tc>
        <w:tc>
          <w:tcPr>
            <w:tcW w:w="2268" w:type="dxa"/>
            <w:tcBorders>
              <w:top w:val="single" w:sz="4" w:space="0" w:color="auto"/>
              <w:left w:val="nil"/>
              <w:bottom w:val="single" w:sz="4" w:space="0" w:color="auto"/>
              <w:right w:val="single" w:sz="4" w:space="0" w:color="auto"/>
            </w:tcBorders>
            <w:shd w:val="clear" w:color="000000" w:fill="BFBFBF"/>
            <w:vAlign w:val="center"/>
            <w:hideMark/>
          </w:tcPr>
          <w:p w14:paraId="1C07F2C4"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INDICADOR</w:t>
            </w:r>
          </w:p>
        </w:tc>
        <w:tc>
          <w:tcPr>
            <w:tcW w:w="2835" w:type="dxa"/>
            <w:tcBorders>
              <w:top w:val="single" w:sz="4" w:space="0" w:color="auto"/>
              <w:left w:val="nil"/>
              <w:bottom w:val="single" w:sz="4" w:space="0" w:color="auto"/>
              <w:right w:val="single" w:sz="4" w:space="0" w:color="auto"/>
            </w:tcBorders>
            <w:shd w:val="clear" w:color="000000" w:fill="BFBFBF"/>
            <w:vAlign w:val="center"/>
            <w:hideMark/>
          </w:tcPr>
          <w:p w14:paraId="77F90F8F"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MEDIOS DE VERIFICACIÓN</w:t>
            </w:r>
          </w:p>
        </w:tc>
        <w:tc>
          <w:tcPr>
            <w:tcW w:w="1985" w:type="dxa"/>
            <w:tcBorders>
              <w:top w:val="single" w:sz="4" w:space="0" w:color="auto"/>
              <w:left w:val="nil"/>
              <w:bottom w:val="single" w:sz="4" w:space="0" w:color="auto"/>
              <w:right w:val="single" w:sz="4" w:space="0" w:color="auto"/>
            </w:tcBorders>
            <w:shd w:val="clear" w:color="000000" w:fill="BFBFBF"/>
            <w:vAlign w:val="center"/>
            <w:hideMark/>
          </w:tcPr>
          <w:p w14:paraId="28D6D04B"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SUPUESTO</w:t>
            </w:r>
          </w:p>
        </w:tc>
      </w:tr>
      <w:tr w:rsidR="00E23746" w:rsidRPr="00574DAC" w14:paraId="0576112E" w14:textId="77777777" w:rsidTr="006B434D">
        <w:trPr>
          <w:gridAfter w:val="1"/>
          <w:wAfter w:w="18" w:type="dxa"/>
          <w:trHeight w:val="2422"/>
        </w:trPr>
        <w:tc>
          <w:tcPr>
            <w:tcW w:w="1271" w:type="dxa"/>
            <w:tcBorders>
              <w:top w:val="single" w:sz="4" w:space="0" w:color="auto"/>
              <w:left w:val="single" w:sz="4" w:space="0" w:color="auto"/>
              <w:bottom w:val="single" w:sz="4" w:space="0" w:color="auto"/>
              <w:right w:val="single" w:sz="4" w:space="0" w:color="auto"/>
            </w:tcBorders>
            <w:shd w:val="clear" w:color="auto" w:fill="auto"/>
            <w:hideMark/>
          </w:tcPr>
          <w:p w14:paraId="5E00CDD6" w14:textId="77777777" w:rsidR="00E23746" w:rsidRDefault="00E23746" w:rsidP="000B2F10">
            <w:pPr>
              <w:spacing w:after="0" w:line="240" w:lineRule="auto"/>
              <w:jc w:val="center"/>
              <w:rPr>
                <w:rFonts w:cs="Arial"/>
                <w:b/>
                <w:bCs/>
                <w:sz w:val="20"/>
                <w:szCs w:val="20"/>
              </w:rPr>
            </w:pPr>
            <w:r>
              <w:rPr>
                <w:rFonts w:cs="Arial"/>
                <w:b/>
                <w:bCs/>
                <w:sz w:val="20"/>
                <w:szCs w:val="20"/>
              </w:rPr>
              <w:t>Fin</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FE56F85" w14:textId="77777777" w:rsidR="00E23746" w:rsidRDefault="00E23746" w:rsidP="000B2F10">
            <w:pPr>
              <w:rPr>
                <w:rFonts w:cs="Arial"/>
                <w:sz w:val="20"/>
                <w:szCs w:val="20"/>
              </w:rPr>
            </w:pPr>
            <w:r>
              <w:rPr>
                <w:rFonts w:cs="Arial"/>
                <w:sz w:val="20"/>
                <w:szCs w:val="20"/>
              </w:rPr>
              <w:t>Garantizar el acceso y permanencia a una educación inclusiva y de calidad en todos los niveles educativos que promueva en los educandos aprendizajes para la vida.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FF426EA" w14:textId="77777777" w:rsidR="00E23746" w:rsidRDefault="00E23746" w:rsidP="000B2F10">
            <w:pPr>
              <w:rPr>
                <w:rFonts w:cs="Arial"/>
                <w:sz w:val="20"/>
                <w:szCs w:val="20"/>
              </w:rPr>
            </w:pPr>
            <w:r>
              <w:rPr>
                <w:rFonts w:cs="Arial"/>
                <w:sz w:val="20"/>
                <w:szCs w:val="20"/>
              </w:rPr>
              <w:t>F - Contribuir a garantizar el acceso y permanencia a una educación inclusiva y de calidad en todos los niveles educativos que promueva en los educandos aprendizajes para la vida mediante estrategias de atención a la demanda y permanencia.</w:t>
            </w:r>
          </w:p>
        </w:tc>
        <w:tc>
          <w:tcPr>
            <w:tcW w:w="2268" w:type="dxa"/>
            <w:tcBorders>
              <w:top w:val="single" w:sz="4" w:space="0" w:color="auto"/>
              <w:left w:val="single" w:sz="4" w:space="0" w:color="auto"/>
              <w:bottom w:val="single" w:sz="4" w:space="0" w:color="auto"/>
              <w:right w:val="single" w:sz="4" w:space="0" w:color="auto"/>
            </w:tcBorders>
            <w:shd w:val="clear" w:color="FFFFFF" w:fill="FFFFFF"/>
            <w:hideMark/>
          </w:tcPr>
          <w:p w14:paraId="5485EAE6" w14:textId="77777777" w:rsidR="00E23746" w:rsidRDefault="00E23746" w:rsidP="000B2F10">
            <w:pPr>
              <w:rPr>
                <w:rFonts w:cs="Arial"/>
                <w:sz w:val="20"/>
                <w:szCs w:val="20"/>
              </w:rPr>
            </w:pPr>
            <w:r>
              <w:rPr>
                <w:rFonts w:cs="Arial"/>
                <w:sz w:val="20"/>
                <w:szCs w:val="20"/>
              </w:rPr>
              <w:t>Tasa de cobertura estatal de educación media superior.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0915831" w14:textId="77777777" w:rsidR="00E23746" w:rsidRDefault="00E23746" w:rsidP="000B2F10">
            <w:pPr>
              <w:rPr>
                <w:rFonts w:cs="Arial"/>
                <w:sz w:val="20"/>
                <w:szCs w:val="20"/>
              </w:rPr>
            </w:pPr>
            <w:r w:rsidRPr="00846E84">
              <w:rPr>
                <w:rFonts w:eastAsia="Times New Roman" w:cs="Arial"/>
                <w:sz w:val="20"/>
                <w:szCs w:val="20"/>
                <w:lang w:val="es-MX" w:eastAsia="es-MX"/>
              </w:rPr>
              <w:t>Estadísticas continúas del formato 911, matrícula de inicio de ciclo escolar, SEQ. Proyecciones de población por edad desplegada, entidad federativa (Quintana Roo) 1970-2050, CONAPO, https://qroo.gob.mx/seq/medios-de-verificacion-de-la-planeacion-anual</w:t>
            </w:r>
            <w:r>
              <w:rPr>
                <w:rFonts w:eastAsia="Times New Roman" w:cs="Arial"/>
                <w:sz w:val="20"/>
                <w:szCs w:val="20"/>
                <w:lang w:val="es-MX" w:eastAsia="es-MX"/>
              </w:rPr>
              <w:t>.</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52F11316" w14:textId="77777777" w:rsidR="00E23746" w:rsidRDefault="00E23746" w:rsidP="000B2F10">
            <w:pPr>
              <w:rPr>
                <w:rFonts w:cs="Arial"/>
                <w:sz w:val="20"/>
                <w:szCs w:val="20"/>
              </w:rPr>
            </w:pPr>
            <w:r>
              <w:rPr>
                <w:rFonts w:cs="Arial"/>
                <w:sz w:val="20"/>
                <w:szCs w:val="20"/>
              </w:rPr>
              <w:t>La población del Estado obtiene una educación integral de calidad que les permite progresar individual y colectivamente.</w:t>
            </w:r>
          </w:p>
        </w:tc>
      </w:tr>
      <w:tr w:rsidR="00E23746" w:rsidRPr="00574DAC" w14:paraId="38812DB7" w14:textId="77777777" w:rsidTr="006B434D">
        <w:trPr>
          <w:gridAfter w:val="1"/>
          <w:wAfter w:w="18" w:type="dxa"/>
          <w:trHeight w:val="1692"/>
        </w:trPr>
        <w:tc>
          <w:tcPr>
            <w:tcW w:w="1271" w:type="dxa"/>
            <w:tcBorders>
              <w:top w:val="single" w:sz="4" w:space="0" w:color="auto"/>
              <w:left w:val="single" w:sz="4" w:space="0" w:color="auto"/>
              <w:bottom w:val="single" w:sz="4" w:space="0" w:color="auto"/>
              <w:right w:val="single" w:sz="4" w:space="0" w:color="auto"/>
            </w:tcBorders>
            <w:shd w:val="clear" w:color="auto" w:fill="auto"/>
            <w:hideMark/>
          </w:tcPr>
          <w:p w14:paraId="1D7DD18D" w14:textId="77777777" w:rsidR="00E23746" w:rsidRDefault="00E23746" w:rsidP="000B2F10">
            <w:pPr>
              <w:jc w:val="center"/>
              <w:rPr>
                <w:rFonts w:cs="Arial"/>
                <w:b/>
                <w:bCs/>
                <w:sz w:val="20"/>
                <w:szCs w:val="20"/>
              </w:rPr>
            </w:pPr>
            <w:r>
              <w:rPr>
                <w:rFonts w:cs="Arial"/>
                <w:b/>
                <w:bCs/>
                <w:sz w:val="20"/>
                <w:szCs w:val="20"/>
              </w:rPr>
              <w:t>Propósito</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EDCDEC4" w14:textId="77777777" w:rsidR="00E23746" w:rsidRPr="00454962" w:rsidRDefault="00E23746" w:rsidP="000B2F10">
            <w:pPr>
              <w:rPr>
                <w:rFonts w:cs="Arial"/>
                <w:sz w:val="18"/>
                <w:szCs w:val="20"/>
              </w:rPr>
            </w:pPr>
            <w:r w:rsidRPr="00454962">
              <w:rPr>
                <w:rFonts w:cs="Arial"/>
                <w:sz w:val="18"/>
                <w:szCs w:val="20"/>
              </w:rPr>
              <w:t>Brindar una educación media superior de calidad relevante y pertinente centrada en el mejoramiento del desempeño escolar del estudiante.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A5B0F84" w14:textId="77777777" w:rsidR="00E23746" w:rsidRPr="00454962" w:rsidRDefault="00E23746" w:rsidP="000B2F10">
            <w:pPr>
              <w:rPr>
                <w:rFonts w:cs="Arial"/>
                <w:sz w:val="18"/>
                <w:szCs w:val="20"/>
              </w:rPr>
            </w:pPr>
            <w:r w:rsidRPr="00454962">
              <w:rPr>
                <w:rFonts w:cs="Arial"/>
                <w:sz w:val="18"/>
                <w:szCs w:val="20"/>
              </w:rPr>
              <w:t>P - Los alumnos de educación media superior reciben una educación de calidad relevante y pertinente centrada en el mejoramiento de su desempeño escolar.</w:t>
            </w:r>
          </w:p>
        </w:tc>
        <w:tc>
          <w:tcPr>
            <w:tcW w:w="2268" w:type="dxa"/>
            <w:tcBorders>
              <w:top w:val="single" w:sz="4" w:space="0" w:color="auto"/>
              <w:left w:val="single" w:sz="4" w:space="0" w:color="auto"/>
              <w:bottom w:val="single" w:sz="4" w:space="0" w:color="auto"/>
              <w:right w:val="single" w:sz="4" w:space="0" w:color="auto"/>
            </w:tcBorders>
            <w:shd w:val="clear" w:color="FFFFFF" w:fill="FFFFFF"/>
            <w:hideMark/>
          </w:tcPr>
          <w:p w14:paraId="126F4726" w14:textId="77777777" w:rsidR="00E23746" w:rsidRPr="00454962" w:rsidRDefault="00E23746" w:rsidP="000B2F10">
            <w:pPr>
              <w:rPr>
                <w:rFonts w:cs="Arial"/>
                <w:sz w:val="18"/>
                <w:szCs w:val="20"/>
              </w:rPr>
            </w:pPr>
            <w:r w:rsidRPr="00454962">
              <w:rPr>
                <w:rFonts w:cs="Arial"/>
                <w:sz w:val="18"/>
                <w:szCs w:val="20"/>
              </w:rPr>
              <w:t>Porcentaje de los alumnos que concluyen el último semestre de educación media superior con un promedio mayor o igual a 8.</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2092A96" w14:textId="77777777" w:rsidR="00E23746" w:rsidRPr="00454962" w:rsidRDefault="00E23746" w:rsidP="000B2F10">
            <w:pPr>
              <w:rPr>
                <w:rFonts w:cs="Arial"/>
                <w:sz w:val="18"/>
                <w:szCs w:val="20"/>
              </w:rPr>
            </w:pPr>
            <w:r w:rsidRPr="00454962">
              <w:rPr>
                <w:rFonts w:cs="Arial"/>
                <w:sz w:val="18"/>
                <w:szCs w:val="20"/>
              </w:rPr>
              <w:t>Tabla de promedios generales del último semestre de educación media superior, Subsecretaría de Educación Media y Superior, https://qroo.gob.mx/seq/medios-de-verificacion-de-la-planeacion-anual.</w:t>
            </w:r>
          </w:p>
        </w:tc>
        <w:tc>
          <w:tcPr>
            <w:tcW w:w="1985" w:type="dxa"/>
            <w:tcBorders>
              <w:top w:val="single" w:sz="4" w:space="0" w:color="auto"/>
              <w:left w:val="single" w:sz="4" w:space="0" w:color="auto"/>
              <w:bottom w:val="single" w:sz="4" w:space="0" w:color="auto"/>
              <w:right w:val="single" w:sz="4" w:space="0" w:color="auto"/>
            </w:tcBorders>
            <w:shd w:val="clear" w:color="FFFFFF" w:fill="FFFFFF"/>
            <w:hideMark/>
          </w:tcPr>
          <w:p w14:paraId="44B395A8" w14:textId="77777777" w:rsidR="00E23746" w:rsidRPr="00454962" w:rsidRDefault="00E23746" w:rsidP="000B2F10">
            <w:pPr>
              <w:rPr>
                <w:rFonts w:cs="Arial"/>
                <w:sz w:val="18"/>
                <w:szCs w:val="20"/>
              </w:rPr>
            </w:pPr>
            <w:r w:rsidRPr="00454962">
              <w:rPr>
                <w:rFonts w:cs="Arial"/>
                <w:sz w:val="18"/>
                <w:szCs w:val="20"/>
              </w:rPr>
              <w:t>Los alumnos concluyen sus estudios de nivel medio superior con una formación integral de calidad.</w:t>
            </w:r>
          </w:p>
        </w:tc>
      </w:tr>
    </w:tbl>
    <w:p w14:paraId="2B4F3B11" w14:textId="77777777" w:rsidR="00D47ED1" w:rsidRDefault="00D47ED1">
      <w:pPr>
        <w:spacing w:after="0" w:line="240" w:lineRule="auto"/>
        <w:jc w:val="left"/>
      </w:pPr>
      <w:r>
        <w:br w:type="page"/>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3"/>
        <w:gridCol w:w="2693"/>
        <w:gridCol w:w="2835"/>
        <w:gridCol w:w="2268"/>
        <w:gridCol w:w="2835"/>
        <w:gridCol w:w="1985"/>
      </w:tblGrid>
      <w:tr w:rsidR="00E23746" w:rsidRPr="00574DAC" w14:paraId="5D1CF3B3" w14:textId="77777777" w:rsidTr="003F037A">
        <w:trPr>
          <w:trHeight w:val="679"/>
        </w:trPr>
        <w:tc>
          <w:tcPr>
            <w:tcW w:w="1413" w:type="dxa"/>
            <w:shd w:val="clear" w:color="000000" w:fill="BFBFBF"/>
            <w:vAlign w:val="center"/>
            <w:hideMark/>
          </w:tcPr>
          <w:p w14:paraId="4EC39D98"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lastRenderedPageBreak/>
              <w:t>NIVEL</w:t>
            </w:r>
          </w:p>
        </w:tc>
        <w:tc>
          <w:tcPr>
            <w:tcW w:w="2693" w:type="dxa"/>
            <w:shd w:val="clear" w:color="000000" w:fill="BFBFBF"/>
            <w:vAlign w:val="center"/>
            <w:hideMark/>
          </w:tcPr>
          <w:p w14:paraId="4181C170"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ALINEACIÓN PED/PD</w:t>
            </w:r>
          </w:p>
        </w:tc>
        <w:tc>
          <w:tcPr>
            <w:tcW w:w="2835" w:type="dxa"/>
            <w:shd w:val="clear" w:color="000000" w:fill="BFBFBF"/>
            <w:vAlign w:val="center"/>
            <w:hideMark/>
          </w:tcPr>
          <w:p w14:paraId="29E6AAC6"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OBJETIVO</w:t>
            </w:r>
          </w:p>
        </w:tc>
        <w:tc>
          <w:tcPr>
            <w:tcW w:w="2268" w:type="dxa"/>
            <w:shd w:val="clear" w:color="000000" w:fill="BFBFBF"/>
            <w:vAlign w:val="center"/>
            <w:hideMark/>
          </w:tcPr>
          <w:p w14:paraId="1132338B"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INDICADOR</w:t>
            </w:r>
          </w:p>
        </w:tc>
        <w:tc>
          <w:tcPr>
            <w:tcW w:w="2835" w:type="dxa"/>
            <w:shd w:val="clear" w:color="000000" w:fill="BFBFBF"/>
            <w:vAlign w:val="center"/>
            <w:hideMark/>
          </w:tcPr>
          <w:p w14:paraId="4DF00528"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MEDIOS DE VERIFICACIÓN</w:t>
            </w:r>
          </w:p>
        </w:tc>
        <w:tc>
          <w:tcPr>
            <w:tcW w:w="1985" w:type="dxa"/>
            <w:shd w:val="clear" w:color="000000" w:fill="BFBFBF"/>
            <w:vAlign w:val="center"/>
            <w:hideMark/>
          </w:tcPr>
          <w:p w14:paraId="0C02A913"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SUPUESTO</w:t>
            </w:r>
          </w:p>
        </w:tc>
      </w:tr>
      <w:tr w:rsidR="00E23746" w:rsidRPr="00574DAC" w14:paraId="3C32D9FB" w14:textId="77777777" w:rsidTr="003F037A">
        <w:trPr>
          <w:trHeight w:val="1968"/>
        </w:trPr>
        <w:tc>
          <w:tcPr>
            <w:tcW w:w="1413" w:type="dxa"/>
            <w:shd w:val="clear" w:color="auto" w:fill="auto"/>
            <w:hideMark/>
          </w:tcPr>
          <w:p w14:paraId="3ABE03E7" w14:textId="77777777" w:rsidR="00E23746" w:rsidRDefault="00E23746" w:rsidP="000B2F10">
            <w:pPr>
              <w:jc w:val="center"/>
              <w:rPr>
                <w:rFonts w:cs="Arial"/>
                <w:b/>
                <w:bCs/>
                <w:sz w:val="20"/>
                <w:szCs w:val="20"/>
              </w:rPr>
            </w:pPr>
            <w:r>
              <w:rPr>
                <w:rFonts w:cs="Arial"/>
                <w:b/>
                <w:bCs/>
                <w:sz w:val="20"/>
                <w:szCs w:val="20"/>
              </w:rPr>
              <w:t>Componente</w:t>
            </w:r>
          </w:p>
        </w:tc>
        <w:tc>
          <w:tcPr>
            <w:tcW w:w="2693" w:type="dxa"/>
            <w:shd w:val="clear" w:color="auto" w:fill="auto"/>
            <w:hideMark/>
          </w:tcPr>
          <w:p w14:paraId="26A881A5" w14:textId="77777777" w:rsidR="00E23746" w:rsidRDefault="00E23746" w:rsidP="000B2F10">
            <w:pPr>
              <w:rPr>
                <w:rFonts w:cs="Arial"/>
                <w:sz w:val="20"/>
                <w:szCs w:val="20"/>
              </w:rPr>
            </w:pPr>
            <w:r>
              <w:rPr>
                <w:rFonts w:cs="Arial"/>
                <w:sz w:val="20"/>
                <w:szCs w:val="20"/>
              </w:rPr>
              <w:t>Desarrollar una estrategia integral que permita ampliar la cobertura educativa de nivel medio superior en las instituciones públicas.</w:t>
            </w:r>
          </w:p>
        </w:tc>
        <w:tc>
          <w:tcPr>
            <w:tcW w:w="2835" w:type="dxa"/>
            <w:shd w:val="clear" w:color="auto" w:fill="auto"/>
            <w:hideMark/>
          </w:tcPr>
          <w:p w14:paraId="298270C8" w14:textId="77777777" w:rsidR="00E23746" w:rsidRDefault="00E23746" w:rsidP="000B2F10">
            <w:pPr>
              <w:spacing w:after="240"/>
              <w:rPr>
                <w:rFonts w:cs="Arial"/>
                <w:sz w:val="20"/>
                <w:szCs w:val="20"/>
              </w:rPr>
            </w:pPr>
            <w:r>
              <w:rPr>
                <w:rFonts w:cs="Arial"/>
                <w:sz w:val="20"/>
                <w:szCs w:val="20"/>
              </w:rPr>
              <w:t>C01 - Alumnos en Educación Media Superior, inscritos.</w:t>
            </w:r>
          </w:p>
        </w:tc>
        <w:tc>
          <w:tcPr>
            <w:tcW w:w="2268" w:type="dxa"/>
            <w:shd w:val="clear" w:color="FFFFFF" w:fill="FFFFFF"/>
            <w:hideMark/>
          </w:tcPr>
          <w:p w14:paraId="0C2D7A55" w14:textId="77777777" w:rsidR="00E23746" w:rsidRDefault="00E23746" w:rsidP="000B2F10">
            <w:pPr>
              <w:spacing w:after="0"/>
              <w:rPr>
                <w:rFonts w:cs="Arial"/>
                <w:sz w:val="20"/>
                <w:szCs w:val="20"/>
              </w:rPr>
            </w:pPr>
            <w:r>
              <w:rPr>
                <w:rFonts w:cs="Arial"/>
                <w:sz w:val="20"/>
                <w:szCs w:val="20"/>
              </w:rPr>
              <w:t>C01 - Porcentaje de Alumnos que egresan de nivel básico (secundaria) que continúan su educación en Media Superior.</w:t>
            </w:r>
          </w:p>
        </w:tc>
        <w:tc>
          <w:tcPr>
            <w:tcW w:w="2835" w:type="dxa"/>
            <w:shd w:val="clear" w:color="auto" w:fill="auto"/>
            <w:hideMark/>
          </w:tcPr>
          <w:p w14:paraId="47BAC1E8" w14:textId="77777777" w:rsidR="00E23746" w:rsidRDefault="00E23746" w:rsidP="000B2F10">
            <w:pPr>
              <w:rPr>
                <w:rFonts w:cs="Arial"/>
                <w:sz w:val="20"/>
                <w:szCs w:val="20"/>
              </w:rPr>
            </w:pPr>
            <w:r>
              <w:rPr>
                <w:rFonts w:cs="Arial"/>
                <w:sz w:val="20"/>
                <w:szCs w:val="20"/>
              </w:rPr>
              <w:t>Estadísticas continúas del formato 911, matrícula de inicio de ciclo escolar, SEQ, Anual, https://qroo.gob.mx/seq/medios-de-verificacion-de-la-planeacion-anual.</w:t>
            </w:r>
          </w:p>
        </w:tc>
        <w:tc>
          <w:tcPr>
            <w:tcW w:w="1985" w:type="dxa"/>
            <w:shd w:val="clear" w:color="auto" w:fill="auto"/>
            <w:hideMark/>
          </w:tcPr>
          <w:p w14:paraId="62ADAF81" w14:textId="77777777" w:rsidR="00E23746" w:rsidRDefault="00E23746" w:rsidP="000B2F10">
            <w:pPr>
              <w:rPr>
                <w:rFonts w:cs="Arial"/>
                <w:sz w:val="20"/>
                <w:szCs w:val="20"/>
              </w:rPr>
            </w:pPr>
            <w:r>
              <w:rPr>
                <w:rFonts w:cs="Arial"/>
                <w:sz w:val="20"/>
                <w:szCs w:val="20"/>
              </w:rPr>
              <w:t>Todos los alumnos que concluyen la secundaria, ingresan a la educación media superior, así como los ya inscritos continúan.</w:t>
            </w:r>
          </w:p>
        </w:tc>
      </w:tr>
      <w:tr w:rsidR="00E23746" w:rsidRPr="00574DAC" w14:paraId="0FFDE227" w14:textId="77777777" w:rsidTr="003F037A">
        <w:trPr>
          <w:trHeight w:val="2264"/>
        </w:trPr>
        <w:tc>
          <w:tcPr>
            <w:tcW w:w="1413" w:type="dxa"/>
            <w:shd w:val="clear" w:color="auto" w:fill="auto"/>
            <w:hideMark/>
          </w:tcPr>
          <w:p w14:paraId="05E13E2A" w14:textId="77777777" w:rsidR="00E23746" w:rsidRDefault="00E23746" w:rsidP="000B2F10">
            <w:pPr>
              <w:jc w:val="center"/>
              <w:rPr>
                <w:rFonts w:cs="Arial"/>
                <w:b/>
                <w:bCs/>
                <w:sz w:val="20"/>
                <w:szCs w:val="20"/>
              </w:rPr>
            </w:pPr>
            <w:r>
              <w:rPr>
                <w:rFonts w:cs="Arial"/>
                <w:b/>
                <w:bCs/>
                <w:sz w:val="20"/>
                <w:szCs w:val="20"/>
              </w:rPr>
              <w:t>Actividad</w:t>
            </w:r>
          </w:p>
        </w:tc>
        <w:tc>
          <w:tcPr>
            <w:tcW w:w="2693" w:type="dxa"/>
            <w:shd w:val="clear" w:color="auto" w:fill="auto"/>
            <w:hideMark/>
          </w:tcPr>
          <w:p w14:paraId="2D1A8BC7" w14:textId="77777777" w:rsidR="00E23746" w:rsidRDefault="00E23746" w:rsidP="000B2F10">
            <w:pPr>
              <w:rPr>
                <w:rFonts w:cs="Arial"/>
                <w:sz w:val="20"/>
                <w:szCs w:val="20"/>
              </w:rPr>
            </w:pPr>
            <w:r>
              <w:rPr>
                <w:rFonts w:cs="Arial"/>
                <w:sz w:val="20"/>
                <w:szCs w:val="20"/>
              </w:rPr>
              <w:t>Implementar un programa para elevar la eficiencia terminal en la educación media superior.</w:t>
            </w:r>
          </w:p>
        </w:tc>
        <w:tc>
          <w:tcPr>
            <w:tcW w:w="2835" w:type="dxa"/>
            <w:shd w:val="clear" w:color="auto" w:fill="auto"/>
            <w:hideMark/>
          </w:tcPr>
          <w:p w14:paraId="6E7125CF" w14:textId="77777777" w:rsidR="00E23746" w:rsidRDefault="00E23746" w:rsidP="000B2F10">
            <w:pPr>
              <w:rPr>
                <w:rFonts w:cs="Arial"/>
                <w:sz w:val="20"/>
                <w:szCs w:val="20"/>
              </w:rPr>
            </w:pPr>
            <w:r>
              <w:rPr>
                <w:rFonts w:cs="Arial"/>
                <w:sz w:val="20"/>
                <w:szCs w:val="20"/>
              </w:rPr>
              <w:t>C01.A01 - Elaboración de certificados a estudiantes matriculados de Educación Media Superior en la modalidad de Preparatoria Abierta (terminación, parciales y duplicados).</w:t>
            </w:r>
          </w:p>
        </w:tc>
        <w:tc>
          <w:tcPr>
            <w:tcW w:w="2268" w:type="dxa"/>
            <w:shd w:val="clear" w:color="FFFFFF" w:fill="FFFFFF"/>
            <w:hideMark/>
          </w:tcPr>
          <w:p w14:paraId="05C47236" w14:textId="77777777" w:rsidR="00E23746" w:rsidRDefault="00E23746" w:rsidP="000B2F10">
            <w:pPr>
              <w:rPr>
                <w:rFonts w:cs="Arial"/>
                <w:sz w:val="20"/>
                <w:szCs w:val="20"/>
              </w:rPr>
            </w:pPr>
            <w:r>
              <w:rPr>
                <w:rFonts w:cs="Arial"/>
                <w:sz w:val="20"/>
                <w:szCs w:val="20"/>
              </w:rPr>
              <w:t>C01A01 - Porcentaje de alumnos que obtienen su certificado en Preparatoria Abierta.</w:t>
            </w:r>
          </w:p>
        </w:tc>
        <w:tc>
          <w:tcPr>
            <w:tcW w:w="2835" w:type="dxa"/>
            <w:shd w:val="clear" w:color="auto" w:fill="auto"/>
            <w:hideMark/>
          </w:tcPr>
          <w:p w14:paraId="5C5E2668" w14:textId="77777777" w:rsidR="00E23746" w:rsidRDefault="00E23746" w:rsidP="000B2F10">
            <w:pPr>
              <w:rPr>
                <w:rFonts w:cs="Arial"/>
                <w:sz w:val="20"/>
                <w:szCs w:val="20"/>
              </w:rPr>
            </w:pPr>
            <w:r>
              <w:rPr>
                <w:rFonts w:cs="Arial"/>
                <w:sz w:val="20"/>
                <w:szCs w:val="20"/>
              </w:rPr>
              <w:t>Sistema Integral para la Operación de Sistemas Abiertos y a Distancia (SIOSAD), Libro de control de folios, Anual, https://qroo.gob.mx/seq/medios-de-verificacion-de-la-planeacion-anual.</w:t>
            </w:r>
          </w:p>
        </w:tc>
        <w:tc>
          <w:tcPr>
            <w:tcW w:w="1985" w:type="dxa"/>
            <w:shd w:val="clear" w:color="auto" w:fill="auto"/>
            <w:hideMark/>
          </w:tcPr>
          <w:p w14:paraId="22F444BE" w14:textId="77777777" w:rsidR="00E23746" w:rsidRDefault="00E23746" w:rsidP="000B2F10">
            <w:pPr>
              <w:rPr>
                <w:rFonts w:cs="Arial"/>
                <w:sz w:val="20"/>
                <w:szCs w:val="20"/>
              </w:rPr>
            </w:pPr>
            <w:r>
              <w:rPr>
                <w:rFonts w:cs="Arial"/>
                <w:sz w:val="20"/>
                <w:szCs w:val="20"/>
              </w:rPr>
              <w:t>Los estudiantes solicitan certificados en la modalidad de Preparatoria Abierta.</w:t>
            </w:r>
          </w:p>
        </w:tc>
      </w:tr>
      <w:tr w:rsidR="00E23746" w:rsidRPr="00574DAC" w14:paraId="3563F44A" w14:textId="77777777" w:rsidTr="003F037A">
        <w:trPr>
          <w:trHeight w:val="2410"/>
        </w:trPr>
        <w:tc>
          <w:tcPr>
            <w:tcW w:w="1413" w:type="dxa"/>
            <w:shd w:val="clear" w:color="auto" w:fill="auto"/>
            <w:hideMark/>
          </w:tcPr>
          <w:p w14:paraId="19D99D54" w14:textId="77777777" w:rsidR="00E23746" w:rsidRDefault="00E23746" w:rsidP="000B2F10">
            <w:pPr>
              <w:jc w:val="center"/>
              <w:rPr>
                <w:rFonts w:cs="Arial"/>
                <w:b/>
                <w:bCs/>
                <w:sz w:val="20"/>
                <w:szCs w:val="20"/>
              </w:rPr>
            </w:pPr>
            <w:r>
              <w:rPr>
                <w:rFonts w:cs="Arial"/>
                <w:b/>
                <w:bCs/>
                <w:sz w:val="20"/>
                <w:szCs w:val="20"/>
              </w:rPr>
              <w:t>Actividad</w:t>
            </w:r>
          </w:p>
        </w:tc>
        <w:tc>
          <w:tcPr>
            <w:tcW w:w="2693" w:type="dxa"/>
            <w:shd w:val="clear" w:color="auto" w:fill="auto"/>
            <w:hideMark/>
          </w:tcPr>
          <w:p w14:paraId="4C756AF8" w14:textId="77777777" w:rsidR="00E23746" w:rsidRDefault="00E23746" w:rsidP="000B2F10">
            <w:pPr>
              <w:rPr>
                <w:rFonts w:cs="Arial"/>
                <w:sz w:val="20"/>
                <w:szCs w:val="20"/>
              </w:rPr>
            </w:pPr>
            <w:r>
              <w:rPr>
                <w:rFonts w:cs="Arial"/>
                <w:sz w:val="20"/>
                <w:szCs w:val="20"/>
              </w:rPr>
              <w:t>Implementar un programa para elevar la eficiencia terminal en la educación media superior.</w:t>
            </w:r>
          </w:p>
        </w:tc>
        <w:tc>
          <w:tcPr>
            <w:tcW w:w="2835" w:type="dxa"/>
            <w:shd w:val="clear" w:color="auto" w:fill="auto"/>
            <w:hideMark/>
          </w:tcPr>
          <w:p w14:paraId="4F95828F" w14:textId="77777777" w:rsidR="00E23746" w:rsidRDefault="00E23746" w:rsidP="000B2F10">
            <w:pPr>
              <w:rPr>
                <w:rFonts w:cs="Arial"/>
                <w:sz w:val="20"/>
                <w:szCs w:val="20"/>
              </w:rPr>
            </w:pPr>
            <w:r>
              <w:rPr>
                <w:rFonts w:cs="Arial"/>
                <w:sz w:val="20"/>
                <w:szCs w:val="20"/>
              </w:rPr>
              <w:t>C01.A02 - Aplicación de evaluaciones a los estudiantes que cursan la modalidad de Preparatoria Abierta.</w:t>
            </w:r>
          </w:p>
        </w:tc>
        <w:tc>
          <w:tcPr>
            <w:tcW w:w="2268" w:type="dxa"/>
            <w:shd w:val="clear" w:color="FFFFFF" w:fill="FFFFFF"/>
            <w:hideMark/>
          </w:tcPr>
          <w:p w14:paraId="35BE9951" w14:textId="77777777" w:rsidR="00E23746" w:rsidRDefault="00E23746" w:rsidP="000B2F10">
            <w:pPr>
              <w:rPr>
                <w:rFonts w:cs="Arial"/>
                <w:sz w:val="20"/>
                <w:szCs w:val="20"/>
              </w:rPr>
            </w:pPr>
            <w:r>
              <w:rPr>
                <w:rFonts w:cs="Arial"/>
                <w:sz w:val="20"/>
                <w:szCs w:val="20"/>
              </w:rPr>
              <w:t>C01A02 - Porcentaje de evaluaciones acreditadas en la modalidad de Preparatoria Abierta.</w:t>
            </w:r>
          </w:p>
        </w:tc>
        <w:tc>
          <w:tcPr>
            <w:tcW w:w="2835" w:type="dxa"/>
            <w:shd w:val="clear" w:color="auto" w:fill="auto"/>
            <w:hideMark/>
          </w:tcPr>
          <w:p w14:paraId="6C0C8B72" w14:textId="77777777" w:rsidR="00E23746" w:rsidRDefault="00E23746" w:rsidP="000B2F10">
            <w:pPr>
              <w:rPr>
                <w:rFonts w:cs="Arial"/>
                <w:sz w:val="20"/>
                <w:szCs w:val="20"/>
              </w:rPr>
            </w:pPr>
            <w:r>
              <w:rPr>
                <w:rFonts w:cs="Arial"/>
                <w:sz w:val="20"/>
                <w:szCs w:val="20"/>
              </w:rPr>
              <w:t>Sistema Integral para la Operación de Sistemas Abiertos y a Distancia (SIOSAD), Libro de control de folios, Cuatrimestral, https://qroo.gob.mx/seq/medios-de-verificacion-de-la-planeacion-anual.</w:t>
            </w:r>
          </w:p>
        </w:tc>
        <w:tc>
          <w:tcPr>
            <w:tcW w:w="1985" w:type="dxa"/>
            <w:shd w:val="clear" w:color="auto" w:fill="auto"/>
            <w:hideMark/>
          </w:tcPr>
          <w:p w14:paraId="384E7825" w14:textId="77777777" w:rsidR="00E23746" w:rsidRDefault="00E23746" w:rsidP="000B2F10">
            <w:pPr>
              <w:rPr>
                <w:rFonts w:cs="Arial"/>
                <w:sz w:val="20"/>
                <w:szCs w:val="20"/>
              </w:rPr>
            </w:pPr>
            <w:r>
              <w:rPr>
                <w:rFonts w:cs="Arial"/>
                <w:sz w:val="20"/>
                <w:szCs w:val="20"/>
              </w:rPr>
              <w:t>Los estudiantes aprueban las evaluaciones que presentan en la modalidad de Preparatoria Abierta.</w:t>
            </w:r>
          </w:p>
        </w:tc>
      </w:tr>
    </w:tbl>
    <w:p w14:paraId="38BA6006" w14:textId="77777777" w:rsidR="00D47ED1" w:rsidRDefault="00D47ED1">
      <w:pPr>
        <w:spacing w:after="0" w:line="240" w:lineRule="auto"/>
        <w:jc w:val="left"/>
      </w:pPr>
      <w:r>
        <w:br w:type="page"/>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71"/>
        <w:gridCol w:w="2835"/>
        <w:gridCol w:w="2835"/>
        <w:gridCol w:w="2268"/>
        <w:gridCol w:w="2835"/>
        <w:gridCol w:w="1985"/>
      </w:tblGrid>
      <w:tr w:rsidR="00E23746" w:rsidRPr="00574DAC" w14:paraId="12F41D8B" w14:textId="77777777" w:rsidTr="006B434D">
        <w:trPr>
          <w:trHeight w:val="679"/>
        </w:trPr>
        <w:tc>
          <w:tcPr>
            <w:tcW w:w="1271" w:type="dxa"/>
            <w:shd w:val="clear" w:color="000000" w:fill="BFBFBF"/>
            <w:vAlign w:val="center"/>
            <w:hideMark/>
          </w:tcPr>
          <w:p w14:paraId="569F9459"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lastRenderedPageBreak/>
              <w:t>NIVEL</w:t>
            </w:r>
          </w:p>
        </w:tc>
        <w:tc>
          <w:tcPr>
            <w:tcW w:w="2835" w:type="dxa"/>
            <w:shd w:val="clear" w:color="000000" w:fill="BFBFBF"/>
            <w:vAlign w:val="center"/>
            <w:hideMark/>
          </w:tcPr>
          <w:p w14:paraId="430AEF87"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ALINEACIÓN PED/PD</w:t>
            </w:r>
          </w:p>
        </w:tc>
        <w:tc>
          <w:tcPr>
            <w:tcW w:w="2835" w:type="dxa"/>
            <w:shd w:val="clear" w:color="000000" w:fill="BFBFBF"/>
            <w:vAlign w:val="center"/>
            <w:hideMark/>
          </w:tcPr>
          <w:p w14:paraId="1593D5AD"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OBJETIVO</w:t>
            </w:r>
          </w:p>
        </w:tc>
        <w:tc>
          <w:tcPr>
            <w:tcW w:w="2268" w:type="dxa"/>
            <w:shd w:val="clear" w:color="000000" w:fill="BFBFBF"/>
            <w:vAlign w:val="center"/>
            <w:hideMark/>
          </w:tcPr>
          <w:p w14:paraId="63791A33"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INDICADOR</w:t>
            </w:r>
          </w:p>
        </w:tc>
        <w:tc>
          <w:tcPr>
            <w:tcW w:w="2835" w:type="dxa"/>
            <w:shd w:val="clear" w:color="000000" w:fill="BFBFBF"/>
            <w:vAlign w:val="center"/>
            <w:hideMark/>
          </w:tcPr>
          <w:p w14:paraId="37EEF3E4"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MEDIOS DE VERIFICACIÓN</w:t>
            </w:r>
          </w:p>
        </w:tc>
        <w:tc>
          <w:tcPr>
            <w:tcW w:w="1985" w:type="dxa"/>
            <w:shd w:val="clear" w:color="000000" w:fill="BFBFBF"/>
            <w:vAlign w:val="center"/>
            <w:hideMark/>
          </w:tcPr>
          <w:p w14:paraId="650F31BD"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SUPUESTO</w:t>
            </w:r>
          </w:p>
        </w:tc>
      </w:tr>
      <w:tr w:rsidR="00E23746" w:rsidRPr="00574DAC" w14:paraId="380A72AE" w14:textId="77777777" w:rsidTr="006B434D">
        <w:trPr>
          <w:trHeight w:val="416"/>
        </w:trPr>
        <w:tc>
          <w:tcPr>
            <w:tcW w:w="1271" w:type="dxa"/>
            <w:shd w:val="clear" w:color="auto" w:fill="auto"/>
            <w:hideMark/>
          </w:tcPr>
          <w:p w14:paraId="3A1E16F7" w14:textId="77777777" w:rsidR="00E23746" w:rsidRDefault="00E23746" w:rsidP="000B2F10">
            <w:pPr>
              <w:jc w:val="center"/>
              <w:rPr>
                <w:rFonts w:cs="Arial"/>
                <w:b/>
                <w:bCs/>
                <w:sz w:val="20"/>
                <w:szCs w:val="20"/>
              </w:rPr>
            </w:pPr>
            <w:r>
              <w:rPr>
                <w:rFonts w:cs="Arial"/>
                <w:b/>
                <w:bCs/>
                <w:sz w:val="20"/>
                <w:szCs w:val="20"/>
              </w:rPr>
              <w:t>Actividad</w:t>
            </w:r>
          </w:p>
        </w:tc>
        <w:tc>
          <w:tcPr>
            <w:tcW w:w="2835" w:type="dxa"/>
            <w:shd w:val="clear" w:color="auto" w:fill="auto"/>
            <w:hideMark/>
          </w:tcPr>
          <w:p w14:paraId="2F63E7C9" w14:textId="77777777" w:rsidR="00E23746" w:rsidRDefault="00E23746" w:rsidP="000B2F10">
            <w:pPr>
              <w:rPr>
                <w:rFonts w:cs="Arial"/>
                <w:sz w:val="20"/>
                <w:szCs w:val="20"/>
              </w:rPr>
            </w:pPr>
            <w:r>
              <w:rPr>
                <w:rFonts w:cs="Arial"/>
                <w:sz w:val="20"/>
                <w:szCs w:val="20"/>
              </w:rPr>
              <w:t>Desarrollar una estrategia integral que permita ampliar la cobertura educativa de nivel medio superior en las instituciones públicas.</w:t>
            </w:r>
          </w:p>
        </w:tc>
        <w:tc>
          <w:tcPr>
            <w:tcW w:w="2835" w:type="dxa"/>
            <w:shd w:val="clear" w:color="auto" w:fill="auto"/>
            <w:hideMark/>
          </w:tcPr>
          <w:p w14:paraId="26BFCCA2" w14:textId="77777777" w:rsidR="00E23746" w:rsidRDefault="00E23746" w:rsidP="000B2F10">
            <w:pPr>
              <w:rPr>
                <w:rFonts w:cs="Arial"/>
                <w:sz w:val="20"/>
                <w:szCs w:val="20"/>
              </w:rPr>
            </w:pPr>
            <w:r>
              <w:rPr>
                <w:rFonts w:cs="Arial"/>
                <w:sz w:val="20"/>
                <w:szCs w:val="20"/>
              </w:rPr>
              <w:t>C01.A03 - Asignación de Espacios a alumnos y alumnas para el nivel Medio Superior en Quintana Roo.</w:t>
            </w:r>
          </w:p>
        </w:tc>
        <w:tc>
          <w:tcPr>
            <w:tcW w:w="2268" w:type="dxa"/>
            <w:shd w:val="clear" w:color="FFFFFF" w:fill="FFFFFF"/>
            <w:hideMark/>
          </w:tcPr>
          <w:p w14:paraId="271A28B0" w14:textId="77777777" w:rsidR="00E23746" w:rsidRDefault="00E23746" w:rsidP="000B2F10">
            <w:pPr>
              <w:rPr>
                <w:rFonts w:cs="Arial"/>
                <w:sz w:val="20"/>
                <w:szCs w:val="20"/>
              </w:rPr>
            </w:pPr>
            <w:r w:rsidRPr="005308D9">
              <w:rPr>
                <w:rFonts w:cs="Arial"/>
                <w:sz w:val="20"/>
                <w:szCs w:val="20"/>
              </w:rPr>
              <w:t xml:space="preserve">C01A03 - Porcentaje de alumnos y alumnas con un espacio asignado en el proceso </w:t>
            </w:r>
            <w:r>
              <w:rPr>
                <w:rFonts w:cs="Arial"/>
                <w:sz w:val="20"/>
                <w:szCs w:val="20"/>
              </w:rPr>
              <w:t xml:space="preserve">a una institución de educación </w:t>
            </w:r>
            <w:r w:rsidRPr="005308D9">
              <w:rPr>
                <w:rFonts w:cs="Arial"/>
                <w:sz w:val="20"/>
                <w:szCs w:val="20"/>
              </w:rPr>
              <w:t>media superior escolarizada.</w:t>
            </w:r>
          </w:p>
          <w:p w14:paraId="3197A681" w14:textId="77777777" w:rsidR="00E23746" w:rsidRPr="005308D9" w:rsidRDefault="00E23746" w:rsidP="000B2F10">
            <w:pPr>
              <w:rPr>
                <w:rFonts w:cs="Arial"/>
                <w:sz w:val="20"/>
                <w:szCs w:val="20"/>
              </w:rPr>
            </w:pPr>
          </w:p>
        </w:tc>
        <w:tc>
          <w:tcPr>
            <w:tcW w:w="2835" w:type="dxa"/>
            <w:shd w:val="clear" w:color="auto" w:fill="auto"/>
            <w:hideMark/>
          </w:tcPr>
          <w:p w14:paraId="21DB700B" w14:textId="77777777" w:rsidR="00E23746" w:rsidRPr="005308D9" w:rsidRDefault="00E23746" w:rsidP="000B2F10">
            <w:pPr>
              <w:rPr>
                <w:rFonts w:cs="Arial"/>
                <w:sz w:val="20"/>
                <w:szCs w:val="20"/>
              </w:rPr>
            </w:pPr>
            <w:r w:rsidRPr="005308D9">
              <w:rPr>
                <w:rFonts w:cs="Arial"/>
                <w:sz w:val="20"/>
                <w:szCs w:val="20"/>
              </w:rPr>
              <w:t>Informes de Ceneval, Anual, https://qroo.gob.mx/seq/medios-de-verificacion-de-la-planeacion-anual.</w:t>
            </w:r>
          </w:p>
        </w:tc>
        <w:tc>
          <w:tcPr>
            <w:tcW w:w="1985" w:type="dxa"/>
            <w:shd w:val="clear" w:color="auto" w:fill="auto"/>
            <w:hideMark/>
          </w:tcPr>
          <w:p w14:paraId="7A660CEA" w14:textId="77777777" w:rsidR="00E23746" w:rsidRPr="005308D9" w:rsidRDefault="00E23746" w:rsidP="000B2F10">
            <w:pPr>
              <w:rPr>
                <w:rFonts w:cs="Arial"/>
                <w:sz w:val="20"/>
                <w:szCs w:val="20"/>
              </w:rPr>
            </w:pPr>
            <w:r w:rsidRPr="005308D9">
              <w:rPr>
                <w:rFonts w:cs="Arial"/>
                <w:sz w:val="20"/>
                <w:szCs w:val="20"/>
              </w:rPr>
              <w:t>Los alumnos y alumnas que egresan de Secundaria tienen un espacio asignado en los planteles de Media Superior Escolarizados.</w:t>
            </w:r>
          </w:p>
        </w:tc>
      </w:tr>
      <w:tr w:rsidR="00E23746" w:rsidRPr="00574DAC" w14:paraId="6D084A71" w14:textId="77777777" w:rsidTr="006B434D">
        <w:trPr>
          <w:trHeight w:val="409"/>
        </w:trPr>
        <w:tc>
          <w:tcPr>
            <w:tcW w:w="1271" w:type="dxa"/>
            <w:shd w:val="clear" w:color="auto" w:fill="auto"/>
            <w:hideMark/>
          </w:tcPr>
          <w:p w14:paraId="03DE58DA" w14:textId="77777777" w:rsidR="00E23746" w:rsidRDefault="00E23746" w:rsidP="000B2F10">
            <w:pPr>
              <w:jc w:val="center"/>
              <w:rPr>
                <w:rFonts w:cs="Arial"/>
                <w:b/>
                <w:bCs/>
                <w:sz w:val="20"/>
                <w:szCs w:val="20"/>
              </w:rPr>
            </w:pPr>
            <w:r>
              <w:rPr>
                <w:rFonts w:cs="Arial"/>
                <w:b/>
                <w:bCs/>
                <w:sz w:val="20"/>
                <w:szCs w:val="20"/>
              </w:rPr>
              <w:t>Actividad</w:t>
            </w:r>
          </w:p>
        </w:tc>
        <w:tc>
          <w:tcPr>
            <w:tcW w:w="2835" w:type="dxa"/>
            <w:shd w:val="clear" w:color="auto" w:fill="auto"/>
            <w:hideMark/>
          </w:tcPr>
          <w:p w14:paraId="04035C4B" w14:textId="77777777" w:rsidR="00E23746" w:rsidRDefault="00E23746" w:rsidP="000B2F10">
            <w:pPr>
              <w:rPr>
                <w:rFonts w:cs="Arial"/>
                <w:sz w:val="20"/>
                <w:szCs w:val="20"/>
              </w:rPr>
            </w:pPr>
            <w:r>
              <w:rPr>
                <w:rFonts w:cs="Arial"/>
                <w:sz w:val="20"/>
                <w:szCs w:val="20"/>
              </w:rPr>
              <w:t>Desarrollar una estrategia integral que permita ampliar la cobertura educativa de nivel medio superior en las instituciones públicas.</w:t>
            </w:r>
          </w:p>
        </w:tc>
        <w:tc>
          <w:tcPr>
            <w:tcW w:w="2835" w:type="dxa"/>
            <w:shd w:val="clear" w:color="auto" w:fill="auto"/>
            <w:hideMark/>
          </w:tcPr>
          <w:p w14:paraId="0FF86C76" w14:textId="77777777" w:rsidR="00E23746" w:rsidRDefault="00E23746" w:rsidP="000B2F10">
            <w:pPr>
              <w:rPr>
                <w:rFonts w:cs="Arial"/>
                <w:sz w:val="20"/>
                <w:szCs w:val="20"/>
              </w:rPr>
            </w:pPr>
            <w:r>
              <w:rPr>
                <w:rFonts w:cs="Arial"/>
                <w:sz w:val="20"/>
                <w:szCs w:val="20"/>
              </w:rPr>
              <w:t>C01.A04 - Implementación de las Ferias de la Orientación Educativa dirigidas a los alumnos de tercer grado de secundaria.</w:t>
            </w:r>
          </w:p>
        </w:tc>
        <w:tc>
          <w:tcPr>
            <w:tcW w:w="2268" w:type="dxa"/>
            <w:shd w:val="clear" w:color="FFFFFF" w:fill="FFFFFF"/>
            <w:hideMark/>
          </w:tcPr>
          <w:p w14:paraId="48659BB8" w14:textId="77777777" w:rsidR="00E23746" w:rsidRDefault="00E23746" w:rsidP="000B2F10">
            <w:pPr>
              <w:rPr>
                <w:rFonts w:cs="Arial"/>
                <w:sz w:val="20"/>
                <w:szCs w:val="20"/>
              </w:rPr>
            </w:pPr>
            <w:r>
              <w:rPr>
                <w:rFonts w:cs="Arial"/>
                <w:sz w:val="20"/>
                <w:szCs w:val="20"/>
              </w:rPr>
              <w:t xml:space="preserve">C01A04 - Porcentaje de alumnos que participan en la Feria de la Orientación Educativa.   </w:t>
            </w:r>
          </w:p>
        </w:tc>
        <w:tc>
          <w:tcPr>
            <w:tcW w:w="2835" w:type="dxa"/>
            <w:shd w:val="clear" w:color="auto" w:fill="auto"/>
            <w:hideMark/>
          </w:tcPr>
          <w:p w14:paraId="7D13CC2A" w14:textId="77777777" w:rsidR="00E23746" w:rsidRDefault="00E23746" w:rsidP="000B2F10">
            <w:pPr>
              <w:rPr>
                <w:rFonts w:cs="Arial"/>
                <w:sz w:val="20"/>
                <w:szCs w:val="20"/>
              </w:rPr>
            </w:pPr>
            <w:r>
              <w:rPr>
                <w:rFonts w:cs="Arial"/>
                <w:sz w:val="20"/>
                <w:szCs w:val="20"/>
              </w:rPr>
              <w:t xml:space="preserve">Informes de la Dirección de Educación Media Superior, Anual, </w:t>
            </w:r>
            <w:hyperlink r:id="rId36" w:history="1">
              <w:r w:rsidRPr="003135B9">
                <w:rPr>
                  <w:rStyle w:val="Hipervnculo"/>
                  <w:rFonts w:cs="Arial"/>
                  <w:sz w:val="20"/>
                  <w:szCs w:val="20"/>
                </w:rPr>
                <w:t>https://qroo.gob.mx/seq/medios-de-verificacion-de-la-planeacion-anual</w:t>
              </w:r>
            </w:hyperlink>
            <w:r>
              <w:rPr>
                <w:rFonts w:cs="Arial"/>
                <w:sz w:val="20"/>
                <w:szCs w:val="20"/>
              </w:rPr>
              <w:t>.</w:t>
            </w:r>
          </w:p>
          <w:p w14:paraId="7B8C5DCB" w14:textId="77777777" w:rsidR="00E23746" w:rsidRDefault="00E23746" w:rsidP="000B2F10">
            <w:pPr>
              <w:rPr>
                <w:rFonts w:cs="Arial"/>
                <w:sz w:val="20"/>
                <w:szCs w:val="20"/>
              </w:rPr>
            </w:pPr>
          </w:p>
        </w:tc>
        <w:tc>
          <w:tcPr>
            <w:tcW w:w="1985" w:type="dxa"/>
            <w:shd w:val="clear" w:color="auto" w:fill="auto"/>
            <w:hideMark/>
          </w:tcPr>
          <w:p w14:paraId="52F71C5F" w14:textId="77777777" w:rsidR="00E23746" w:rsidRDefault="00E23746" w:rsidP="000B2F10">
            <w:pPr>
              <w:rPr>
                <w:rFonts w:cs="Arial"/>
                <w:sz w:val="20"/>
                <w:szCs w:val="20"/>
              </w:rPr>
            </w:pPr>
            <w:r>
              <w:rPr>
                <w:rFonts w:cs="Arial"/>
                <w:sz w:val="20"/>
                <w:szCs w:val="20"/>
              </w:rPr>
              <w:t>Alumnos interesados en participar en la Feria de Orientación Educativa.</w:t>
            </w:r>
          </w:p>
        </w:tc>
      </w:tr>
      <w:tr w:rsidR="00E23746" w:rsidRPr="00574DAC" w14:paraId="75432467" w14:textId="77777777" w:rsidTr="006B434D">
        <w:trPr>
          <w:trHeight w:val="1826"/>
        </w:trPr>
        <w:tc>
          <w:tcPr>
            <w:tcW w:w="1271" w:type="dxa"/>
            <w:shd w:val="clear" w:color="auto" w:fill="auto"/>
            <w:hideMark/>
          </w:tcPr>
          <w:p w14:paraId="721CBA66" w14:textId="77777777" w:rsidR="00E23746" w:rsidRDefault="00E23746" w:rsidP="000B2F10">
            <w:pPr>
              <w:jc w:val="center"/>
              <w:rPr>
                <w:rFonts w:cs="Arial"/>
                <w:b/>
                <w:bCs/>
                <w:sz w:val="20"/>
                <w:szCs w:val="20"/>
              </w:rPr>
            </w:pPr>
            <w:r>
              <w:rPr>
                <w:rFonts w:cs="Arial"/>
                <w:b/>
                <w:bCs/>
                <w:sz w:val="20"/>
                <w:szCs w:val="20"/>
              </w:rPr>
              <w:t>Actividad</w:t>
            </w:r>
          </w:p>
        </w:tc>
        <w:tc>
          <w:tcPr>
            <w:tcW w:w="2835" w:type="dxa"/>
            <w:shd w:val="clear" w:color="auto" w:fill="auto"/>
            <w:hideMark/>
          </w:tcPr>
          <w:p w14:paraId="5327C3E1" w14:textId="77777777" w:rsidR="00E23746" w:rsidRDefault="00E23746" w:rsidP="000B2F10">
            <w:pPr>
              <w:rPr>
                <w:rFonts w:cs="Arial"/>
                <w:sz w:val="20"/>
                <w:szCs w:val="20"/>
              </w:rPr>
            </w:pPr>
            <w:r>
              <w:rPr>
                <w:rFonts w:cs="Arial"/>
                <w:sz w:val="20"/>
                <w:szCs w:val="20"/>
              </w:rPr>
              <w:t>Implementar un programa para elevar la eficiencia terminal en la educación media superior.</w:t>
            </w:r>
          </w:p>
        </w:tc>
        <w:tc>
          <w:tcPr>
            <w:tcW w:w="2835" w:type="dxa"/>
            <w:shd w:val="clear" w:color="auto" w:fill="auto"/>
            <w:hideMark/>
          </w:tcPr>
          <w:p w14:paraId="37926D13" w14:textId="77777777" w:rsidR="00E23746" w:rsidRDefault="00E23746" w:rsidP="000B2F10">
            <w:pPr>
              <w:rPr>
                <w:rFonts w:cs="Arial"/>
                <w:sz w:val="20"/>
                <w:szCs w:val="20"/>
              </w:rPr>
            </w:pPr>
            <w:r>
              <w:rPr>
                <w:rFonts w:cs="Arial"/>
                <w:sz w:val="20"/>
                <w:szCs w:val="20"/>
              </w:rPr>
              <w:t xml:space="preserve">C01.A05 - Colaboración entre las instituciones de Educación Media Superior públicas y privadas con el fin de elaborar programas para elevar la eficiencia terminal. </w:t>
            </w:r>
          </w:p>
        </w:tc>
        <w:tc>
          <w:tcPr>
            <w:tcW w:w="2268" w:type="dxa"/>
            <w:shd w:val="clear" w:color="FFFFFF" w:fill="FFFFFF"/>
            <w:hideMark/>
          </w:tcPr>
          <w:p w14:paraId="076F3FAF" w14:textId="77777777" w:rsidR="00E23746" w:rsidRDefault="00E23746" w:rsidP="000B2F10">
            <w:pPr>
              <w:rPr>
                <w:rFonts w:cs="Arial"/>
                <w:sz w:val="20"/>
                <w:szCs w:val="20"/>
              </w:rPr>
            </w:pPr>
            <w:r>
              <w:rPr>
                <w:rFonts w:cs="Arial"/>
                <w:sz w:val="20"/>
                <w:szCs w:val="20"/>
              </w:rPr>
              <w:t>C01A05 - Porcentaje de proyectos elaborados.</w:t>
            </w:r>
          </w:p>
        </w:tc>
        <w:tc>
          <w:tcPr>
            <w:tcW w:w="2835" w:type="dxa"/>
            <w:shd w:val="clear" w:color="auto" w:fill="auto"/>
            <w:hideMark/>
          </w:tcPr>
          <w:p w14:paraId="51EABE84" w14:textId="77777777" w:rsidR="00E23746" w:rsidRDefault="00E23746" w:rsidP="000B2F10">
            <w:pPr>
              <w:rPr>
                <w:rFonts w:cs="Arial"/>
                <w:sz w:val="20"/>
                <w:szCs w:val="20"/>
              </w:rPr>
            </w:pPr>
            <w:r>
              <w:rPr>
                <w:rFonts w:cs="Arial"/>
                <w:sz w:val="20"/>
                <w:szCs w:val="20"/>
              </w:rPr>
              <w:t>Actas y minutas de las reuniones, Anual, https://qroo.gob.mx/seq/medios-de-verificacion-de-la-planeacion-anual.</w:t>
            </w:r>
          </w:p>
        </w:tc>
        <w:tc>
          <w:tcPr>
            <w:tcW w:w="1985" w:type="dxa"/>
            <w:shd w:val="clear" w:color="auto" w:fill="auto"/>
            <w:hideMark/>
          </w:tcPr>
          <w:p w14:paraId="3121B5AB" w14:textId="1628FE30" w:rsidR="001906E0" w:rsidRDefault="00E23746" w:rsidP="00204AFF">
            <w:pPr>
              <w:rPr>
                <w:rFonts w:cs="Arial"/>
                <w:sz w:val="20"/>
                <w:szCs w:val="20"/>
              </w:rPr>
            </w:pPr>
            <w:r>
              <w:rPr>
                <w:rFonts w:cs="Arial"/>
                <w:sz w:val="20"/>
                <w:szCs w:val="20"/>
              </w:rPr>
              <w:t>Los directores colaboran con la Subsecretaria de Educación Media Superior en la elaboración de proyectos.</w:t>
            </w:r>
          </w:p>
        </w:tc>
      </w:tr>
    </w:tbl>
    <w:p w14:paraId="3BA848EE" w14:textId="77777777" w:rsidR="00D47ED1" w:rsidRDefault="00D47ED1">
      <w:pPr>
        <w:spacing w:after="0" w:line="240" w:lineRule="auto"/>
        <w:jc w:val="left"/>
      </w:pPr>
      <w:r>
        <w:br w:type="page"/>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3"/>
        <w:gridCol w:w="2693"/>
        <w:gridCol w:w="2835"/>
        <w:gridCol w:w="2268"/>
        <w:gridCol w:w="2835"/>
        <w:gridCol w:w="1985"/>
      </w:tblGrid>
      <w:tr w:rsidR="00E23746" w:rsidRPr="00574DAC" w14:paraId="1FA39E62" w14:textId="77777777" w:rsidTr="003F037A">
        <w:trPr>
          <w:trHeight w:val="679"/>
        </w:trPr>
        <w:tc>
          <w:tcPr>
            <w:tcW w:w="1413" w:type="dxa"/>
            <w:shd w:val="clear" w:color="000000" w:fill="BFBFBF"/>
            <w:vAlign w:val="center"/>
            <w:hideMark/>
          </w:tcPr>
          <w:p w14:paraId="2BD887F8"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lastRenderedPageBreak/>
              <w:t>NIVEL</w:t>
            </w:r>
          </w:p>
        </w:tc>
        <w:tc>
          <w:tcPr>
            <w:tcW w:w="2693" w:type="dxa"/>
            <w:shd w:val="clear" w:color="000000" w:fill="BFBFBF"/>
            <w:vAlign w:val="center"/>
            <w:hideMark/>
          </w:tcPr>
          <w:p w14:paraId="2CE4F502"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ALINEACIÓN PED/PD</w:t>
            </w:r>
          </w:p>
        </w:tc>
        <w:tc>
          <w:tcPr>
            <w:tcW w:w="2835" w:type="dxa"/>
            <w:shd w:val="clear" w:color="000000" w:fill="BFBFBF"/>
            <w:vAlign w:val="center"/>
            <w:hideMark/>
          </w:tcPr>
          <w:p w14:paraId="6698253E"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OBJETIVO</w:t>
            </w:r>
          </w:p>
        </w:tc>
        <w:tc>
          <w:tcPr>
            <w:tcW w:w="2268" w:type="dxa"/>
            <w:shd w:val="clear" w:color="000000" w:fill="BFBFBF"/>
            <w:vAlign w:val="center"/>
            <w:hideMark/>
          </w:tcPr>
          <w:p w14:paraId="75D99B5B"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INDICADOR</w:t>
            </w:r>
          </w:p>
        </w:tc>
        <w:tc>
          <w:tcPr>
            <w:tcW w:w="2835" w:type="dxa"/>
            <w:shd w:val="clear" w:color="000000" w:fill="BFBFBF"/>
            <w:vAlign w:val="center"/>
            <w:hideMark/>
          </w:tcPr>
          <w:p w14:paraId="3829D81D"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MEDIOS DE VERIFICACIÓN</w:t>
            </w:r>
          </w:p>
        </w:tc>
        <w:tc>
          <w:tcPr>
            <w:tcW w:w="1985" w:type="dxa"/>
            <w:shd w:val="clear" w:color="000000" w:fill="BFBFBF"/>
            <w:vAlign w:val="center"/>
            <w:hideMark/>
          </w:tcPr>
          <w:p w14:paraId="3854934C"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SUPUESTO</w:t>
            </w:r>
          </w:p>
        </w:tc>
      </w:tr>
      <w:tr w:rsidR="00E23746" w:rsidRPr="00574DAC" w14:paraId="4A4C8320" w14:textId="77777777" w:rsidTr="003F037A">
        <w:trPr>
          <w:trHeight w:val="1826"/>
        </w:trPr>
        <w:tc>
          <w:tcPr>
            <w:tcW w:w="1413" w:type="dxa"/>
            <w:shd w:val="clear" w:color="auto" w:fill="auto"/>
          </w:tcPr>
          <w:p w14:paraId="62FFCBEC" w14:textId="77777777" w:rsidR="00E23746" w:rsidRDefault="00E23746" w:rsidP="000B2F10">
            <w:pPr>
              <w:jc w:val="center"/>
              <w:rPr>
                <w:rFonts w:cs="Arial"/>
                <w:b/>
                <w:bCs/>
                <w:sz w:val="20"/>
                <w:szCs w:val="20"/>
              </w:rPr>
            </w:pPr>
            <w:r>
              <w:rPr>
                <w:rFonts w:cs="Arial"/>
                <w:b/>
                <w:bCs/>
                <w:sz w:val="20"/>
                <w:szCs w:val="20"/>
              </w:rPr>
              <w:t>Actividad</w:t>
            </w:r>
          </w:p>
        </w:tc>
        <w:tc>
          <w:tcPr>
            <w:tcW w:w="2693" w:type="dxa"/>
            <w:shd w:val="clear" w:color="auto" w:fill="auto"/>
          </w:tcPr>
          <w:p w14:paraId="0A3F1107" w14:textId="77777777" w:rsidR="00E23746" w:rsidRDefault="00E23746" w:rsidP="000B2F10">
            <w:pPr>
              <w:rPr>
                <w:rFonts w:cs="Arial"/>
                <w:sz w:val="20"/>
                <w:szCs w:val="20"/>
              </w:rPr>
            </w:pPr>
            <w:r>
              <w:rPr>
                <w:rFonts w:cs="Arial"/>
                <w:sz w:val="20"/>
                <w:szCs w:val="20"/>
              </w:rPr>
              <w:t>Impulsar la calidad en los planteles de Educación Media Superior mediante evaluaciones y/o acreditaciones.</w:t>
            </w:r>
          </w:p>
        </w:tc>
        <w:tc>
          <w:tcPr>
            <w:tcW w:w="2835" w:type="dxa"/>
            <w:shd w:val="clear" w:color="auto" w:fill="auto"/>
          </w:tcPr>
          <w:p w14:paraId="307CE96C" w14:textId="77777777" w:rsidR="00E23746" w:rsidRDefault="00E23746" w:rsidP="000B2F10">
            <w:pPr>
              <w:rPr>
                <w:rFonts w:cs="Arial"/>
                <w:sz w:val="20"/>
                <w:szCs w:val="20"/>
              </w:rPr>
            </w:pPr>
            <w:r>
              <w:rPr>
                <w:rFonts w:cs="Arial"/>
                <w:sz w:val="20"/>
                <w:szCs w:val="20"/>
              </w:rPr>
              <w:t>C01.A06 - Supervisión académica de instituciones de Educación Media Superior Privadas para su acreditación.</w:t>
            </w:r>
          </w:p>
        </w:tc>
        <w:tc>
          <w:tcPr>
            <w:tcW w:w="2268" w:type="dxa"/>
            <w:shd w:val="clear" w:color="FFFFFF" w:fill="FFFFFF"/>
          </w:tcPr>
          <w:p w14:paraId="4313B0B2" w14:textId="77777777" w:rsidR="00E23746" w:rsidRDefault="00E23746" w:rsidP="000B2F10">
            <w:pPr>
              <w:rPr>
                <w:rFonts w:cs="Arial"/>
                <w:sz w:val="20"/>
                <w:szCs w:val="20"/>
              </w:rPr>
            </w:pPr>
            <w:r>
              <w:rPr>
                <w:rFonts w:cs="Arial"/>
                <w:sz w:val="20"/>
                <w:szCs w:val="20"/>
              </w:rPr>
              <w:t xml:space="preserve">C01A06 - Porcentaje de escuelas particulares evaluadas y/o acreditadas. </w:t>
            </w:r>
          </w:p>
        </w:tc>
        <w:tc>
          <w:tcPr>
            <w:tcW w:w="2835" w:type="dxa"/>
            <w:shd w:val="clear" w:color="auto" w:fill="auto"/>
          </w:tcPr>
          <w:p w14:paraId="656E7C0C" w14:textId="77777777" w:rsidR="00E23746" w:rsidRDefault="00E23746" w:rsidP="000B2F10">
            <w:pPr>
              <w:rPr>
                <w:rFonts w:cs="Arial"/>
                <w:sz w:val="20"/>
                <w:szCs w:val="20"/>
              </w:rPr>
            </w:pPr>
            <w:r>
              <w:rPr>
                <w:rFonts w:cs="Arial"/>
                <w:sz w:val="20"/>
                <w:szCs w:val="20"/>
              </w:rPr>
              <w:t>Minutas de seguimiento, formato de visita, formato de asesoría, Semestral, https://qroo.gob.mx/seq/medios-de-verificacion-de-la-planeacion-anual.</w:t>
            </w:r>
          </w:p>
        </w:tc>
        <w:tc>
          <w:tcPr>
            <w:tcW w:w="1985" w:type="dxa"/>
            <w:shd w:val="clear" w:color="auto" w:fill="auto"/>
          </w:tcPr>
          <w:p w14:paraId="5A99BAF7" w14:textId="77777777" w:rsidR="00E23746" w:rsidRDefault="00E23746" w:rsidP="000B2F10">
            <w:pPr>
              <w:rPr>
                <w:rFonts w:cs="Arial"/>
                <w:sz w:val="20"/>
                <w:szCs w:val="20"/>
              </w:rPr>
            </w:pPr>
            <w:r>
              <w:rPr>
                <w:rFonts w:cs="Arial"/>
                <w:sz w:val="20"/>
                <w:szCs w:val="20"/>
              </w:rPr>
              <w:t>Los directores de escuelas particulares cuentan con los planes y programas de estudios actualizados conforme lo marca la ley.</w:t>
            </w:r>
          </w:p>
          <w:p w14:paraId="56A67111" w14:textId="77777777" w:rsidR="00E23746" w:rsidRDefault="00E23746" w:rsidP="000B2F10">
            <w:pPr>
              <w:rPr>
                <w:rFonts w:cs="Arial"/>
                <w:sz w:val="20"/>
                <w:szCs w:val="20"/>
              </w:rPr>
            </w:pPr>
          </w:p>
        </w:tc>
      </w:tr>
      <w:tr w:rsidR="00E23746" w:rsidRPr="00574DAC" w14:paraId="1793787A" w14:textId="77777777" w:rsidTr="003F037A">
        <w:trPr>
          <w:trHeight w:val="1826"/>
        </w:trPr>
        <w:tc>
          <w:tcPr>
            <w:tcW w:w="1413" w:type="dxa"/>
            <w:shd w:val="clear" w:color="auto" w:fill="auto"/>
          </w:tcPr>
          <w:p w14:paraId="744F3651" w14:textId="77777777" w:rsidR="00E23746" w:rsidRDefault="00E23746" w:rsidP="000B2F10">
            <w:pPr>
              <w:jc w:val="center"/>
              <w:rPr>
                <w:rFonts w:cs="Arial"/>
                <w:b/>
                <w:bCs/>
                <w:sz w:val="20"/>
                <w:szCs w:val="20"/>
              </w:rPr>
            </w:pPr>
            <w:r>
              <w:rPr>
                <w:rFonts w:cs="Arial"/>
                <w:b/>
                <w:bCs/>
                <w:sz w:val="20"/>
                <w:szCs w:val="20"/>
              </w:rPr>
              <w:t>Actividad</w:t>
            </w:r>
          </w:p>
        </w:tc>
        <w:tc>
          <w:tcPr>
            <w:tcW w:w="2693" w:type="dxa"/>
            <w:shd w:val="clear" w:color="auto" w:fill="auto"/>
          </w:tcPr>
          <w:p w14:paraId="1DE3BD82" w14:textId="77777777" w:rsidR="00E23746" w:rsidRDefault="00E23746" w:rsidP="000B2F10">
            <w:pPr>
              <w:rPr>
                <w:rFonts w:cs="Arial"/>
                <w:sz w:val="20"/>
                <w:szCs w:val="20"/>
              </w:rPr>
            </w:pPr>
            <w:r>
              <w:rPr>
                <w:rFonts w:cs="Arial"/>
                <w:sz w:val="20"/>
                <w:szCs w:val="20"/>
              </w:rPr>
              <w:t>Desarrollar una estrategia integral que permita ampliar la cobertura educativa de nivel medio superior en las instituciones públicas.</w:t>
            </w:r>
          </w:p>
        </w:tc>
        <w:tc>
          <w:tcPr>
            <w:tcW w:w="2835" w:type="dxa"/>
            <w:shd w:val="clear" w:color="auto" w:fill="auto"/>
          </w:tcPr>
          <w:p w14:paraId="44E9F646" w14:textId="77777777" w:rsidR="00E23746" w:rsidRDefault="00E23746" w:rsidP="000B2F10">
            <w:pPr>
              <w:rPr>
                <w:rFonts w:cs="Arial"/>
                <w:sz w:val="20"/>
                <w:szCs w:val="20"/>
              </w:rPr>
            </w:pPr>
            <w:r>
              <w:rPr>
                <w:rFonts w:cs="Arial"/>
                <w:sz w:val="20"/>
                <w:szCs w:val="20"/>
              </w:rPr>
              <w:t>C01.A07 - Fortalecimiento de la modalidad educativa escolarizada en horario ampliado a través de la formación militarizada.</w:t>
            </w:r>
          </w:p>
        </w:tc>
        <w:tc>
          <w:tcPr>
            <w:tcW w:w="2268" w:type="dxa"/>
            <w:shd w:val="clear" w:color="FFFFFF" w:fill="FFFFFF"/>
          </w:tcPr>
          <w:p w14:paraId="5E99B14C" w14:textId="77777777" w:rsidR="00E23746" w:rsidRDefault="00E23746" w:rsidP="000B2F10">
            <w:pPr>
              <w:rPr>
                <w:rFonts w:cs="Arial"/>
                <w:sz w:val="20"/>
                <w:szCs w:val="20"/>
              </w:rPr>
            </w:pPr>
            <w:r>
              <w:rPr>
                <w:rFonts w:cs="Arial"/>
                <w:sz w:val="20"/>
                <w:szCs w:val="20"/>
              </w:rPr>
              <w:t>C01A07 - Porcentaje de alumnos y alumnas inscritos, que cursan el Bachillerato Tecnológico Militarizado.</w:t>
            </w:r>
          </w:p>
          <w:p w14:paraId="49339098" w14:textId="77777777" w:rsidR="00E23746" w:rsidRDefault="00E23746" w:rsidP="000B2F10">
            <w:pPr>
              <w:rPr>
                <w:rFonts w:cs="Arial"/>
                <w:sz w:val="20"/>
                <w:szCs w:val="20"/>
              </w:rPr>
            </w:pPr>
          </w:p>
        </w:tc>
        <w:tc>
          <w:tcPr>
            <w:tcW w:w="2835" w:type="dxa"/>
            <w:shd w:val="clear" w:color="auto" w:fill="auto"/>
          </w:tcPr>
          <w:p w14:paraId="5A3EE4D8" w14:textId="77777777" w:rsidR="00E23746" w:rsidRDefault="00E23746" w:rsidP="000B2F10">
            <w:pPr>
              <w:rPr>
                <w:rFonts w:cs="Arial"/>
                <w:sz w:val="20"/>
                <w:szCs w:val="20"/>
              </w:rPr>
            </w:pPr>
            <w:r>
              <w:rPr>
                <w:rFonts w:cs="Arial"/>
                <w:sz w:val="20"/>
                <w:szCs w:val="20"/>
              </w:rPr>
              <w:t>Estadística 911, Anual, https://qroo.gob.mx/seq/medios-de-verificacion-de-la-planeacion-anual.</w:t>
            </w:r>
          </w:p>
        </w:tc>
        <w:tc>
          <w:tcPr>
            <w:tcW w:w="1985" w:type="dxa"/>
            <w:shd w:val="clear" w:color="auto" w:fill="auto"/>
          </w:tcPr>
          <w:p w14:paraId="39DE1334" w14:textId="77777777" w:rsidR="00E23746" w:rsidRDefault="00E23746" w:rsidP="000B2F10">
            <w:pPr>
              <w:rPr>
                <w:rFonts w:cs="Arial"/>
                <w:sz w:val="20"/>
                <w:szCs w:val="20"/>
              </w:rPr>
            </w:pPr>
            <w:r>
              <w:rPr>
                <w:rFonts w:cs="Arial"/>
                <w:sz w:val="20"/>
                <w:szCs w:val="20"/>
              </w:rPr>
              <w:t>Alumnos y alumnas se interesan por la oferta de la institución militarizada (CETMAR 10).</w:t>
            </w:r>
          </w:p>
        </w:tc>
      </w:tr>
      <w:tr w:rsidR="00E23746" w:rsidRPr="00574DAC" w14:paraId="66A96623" w14:textId="77777777" w:rsidTr="003F037A">
        <w:trPr>
          <w:trHeight w:val="1826"/>
        </w:trPr>
        <w:tc>
          <w:tcPr>
            <w:tcW w:w="1413" w:type="dxa"/>
            <w:shd w:val="clear" w:color="auto" w:fill="auto"/>
          </w:tcPr>
          <w:p w14:paraId="0F8197D8" w14:textId="77777777" w:rsidR="00E23746" w:rsidRDefault="00E23746" w:rsidP="000B2F10">
            <w:pPr>
              <w:jc w:val="center"/>
              <w:rPr>
                <w:rFonts w:cs="Arial"/>
                <w:b/>
                <w:bCs/>
                <w:sz w:val="20"/>
                <w:szCs w:val="20"/>
              </w:rPr>
            </w:pPr>
            <w:r>
              <w:rPr>
                <w:rFonts w:cs="Arial"/>
                <w:b/>
                <w:bCs/>
                <w:sz w:val="20"/>
                <w:szCs w:val="20"/>
              </w:rPr>
              <w:t>Componente</w:t>
            </w:r>
          </w:p>
        </w:tc>
        <w:tc>
          <w:tcPr>
            <w:tcW w:w="2693" w:type="dxa"/>
            <w:shd w:val="clear" w:color="auto" w:fill="auto"/>
          </w:tcPr>
          <w:p w14:paraId="79AB03CB" w14:textId="77777777" w:rsidR="00E23746" w:rsidRDefault="00E23746" w:rsidP="000B2F10">
            <w:pPr>
              <w:rPr>
                <w:rFonts w:cs="Arial"/>
                <w:sz w:val="20"/>
                <w:szCs w:val="20"/>
              </w:rPr>
            </w:pPr>
            <w:r>
              <w:rPr>
                <w:rFonts w:cs="Arial"/>
                <w:sz w:val="20"/>
                <w:szCs w:val="20"/>
              </w:rPr>
              <w:t>Impulsar la formación integral de los estudiantes en el nivel medio superior.</w:t>
            </w:r>
          </w:p>
        </w:tc>
        <w:tc>
          <w:tcPr>
            <w:tcW w:w="2835" w:type="dxa"/>
            <w:shd w:val="clear" w:color="auto" w:fill="auto"/>
          </w:tcPr>
          <w:p w14:paraId="30BD8A25" w14:textId="77777777" w:rsidR="00E23746" w:rsidRDefault="00E23746" w:rsidP="000B2F10">
            <w:pPr>
              <w:rPr>
                <w:rFonts w:cs="Arial"/>
                <w:sz w:val="20"/>
                <w:szCs w:val="20"/>
              </w:rPr>
            </w:pPr>
            <w:r>
              <w:rPr>
                <w:rFonts w:cs="Arial"/>
                <w:sz w:val="20"/>
                <w:szCs w:val="20"/>
              </w:rPr>
              <w:t>C02 - Alumnos con programas de formación integral, atendidos.</w:t>
            </w:r>
          </w:p>
        </w:tc>
        <w:tc>
          <w:tcPr>
            <w:tcW w:w="2268" w:type="dxa"/>
            <w:shd w:val="clear" w:color="FFFFFF" w:fill="FFFFFF"/>
          </w:tcPr>
          <w:p w14:paraId="7269699B" w14:textId="77777777" w:rsidR="00E23746" w:rsidRDefault="00E23746" w:rsidP="000B2F10">
            <w:pPr>
              <w:rPr>
                <w:rFonts w:cs="Arial"/>
                <w:sz w:val="20"/>
                <w:szCs w:val="20"/>
              </w:rPr>
            </w:pPr>
            <w:r>
              <w:rPr>
                <w:rFonts w:cs="Arial"/>
                <w:sz w:val="20"/>
                <w:szCs w:val="20"/>
              </w:rPr>
              <w:t>C02 - Porcentaje de alumnos atendidos con los programas de formación.</w:t>
            </w:r>
          </w:p>
        </w:tc>
        <w:tc>
          <w:tcPr>
            <w:tcW w:w="2835" w:type="dxa"/>
            <w:shd w:val="clear" w:color="auto" w:fill="auto"/>
          </w:tcPr>
          <w:p w14:paraId="51055A0A" w14:textId="77777777" w:rsidR="00E23746" w:rsidRDefault="00E23746" w:rsidP="000B2F10">
            <w:pPr>
              <w:rPr>
                <w:rFonts w:cs="Arial"/>
                <w:sz w:val="20"/>
                <w:szCs w:val="20"/>
              </w:rPr>
            </w:pPr>
            <w:r>
              <w:rPr>
                <w:rFonts w:cs="Arial"/>
                <w:sz w:val="20"/>
                <w:szCs w:val="20"/>
              </w:rPr>
              <w:t>Registro de alumnos, Anual, https://qroo.gob.mx/seq/medios-de-verificacion-de-la-planeacion-anual.</w:t>
            </w:r>
          </w:p>
        </w:tc>
        <w:tc>
          <w:tcPr>
            <w:tcW w:w="1985" w:type="dxa"/>
            <w:shd w:val="clear" w:color="auto" w:fill="auto"/>
          </w:tcPr>
          <w:p w14:paraId="4A3ECF74" w14:textId="3DAC2A04" w:rsidR="001906E0" w:rsidRDefault="00E23746" w:rsidP="00204AFF">
            <w:pPr>
              <w:rPr>
                <w:rFonts w:cs="Arial"/>
                <w:sz w:val="20"/>
                <w:szCs w:val="20"/>
              </w:rPr>
            </w:pPr>
            <w:r>
              <w:rPr>
                <w:rFonts w:cs="Arial"/>
                <w:sz w:val="20"/>
                <w:szCs w:val="20"/>
              </w:rPr>
              <w:t>Los alumnos y alumnas participan en las actividades para el desarrollo de su formación integral.</w:t>
            </w:r>
          </w:p>
        </w:tc>
      </w:tr>
    </w:tbl>
    <w:p w14:paraId="5D8470FE" w14:textId="77777777" w:rsidR="00D47ED1" w:rsidRDefault="00D47ED1">
      <w:pPr>
        <w:spacing w:after="0" w:line="240" w:lineRule="auto"/>
        <w:jc w:val="left"/>
      </w:pPr>
      <w:r>
        <w:br w:type="page"/>
      </w:r>
    </w:p>
    <w:tbl>
      <w:tblPr>
        <w:tblW w:w="14029" w:type="dxa"/>
        <w:tblLayout w:type="fixed"/>
        <w:tblCellMar>
          <w:left w:w="70" w:type="dxa"/>
          <w:right w:w="70" w:type="dxa"/>
        </w:tblCellMar>
        <w:tblLook w:val="04A0" w:firstRow="1" w:lastRow="0" w:firstColumn="1" w:lastColumn="0" w:noHBand="0" w:noVBand="1"/>
      </w:tblPr>
      <w:tblGrid>
        <w:gridCol w:w="1413"/>
        <w:gridCol w:w="2693"/>
        <w:gridCol w:w="2835"/>
        <w:gridCol w:w="2268"/>
        <w:gridCol w:w="2835"/>
        <w:gridCol w:w="1985"/>
      </w:tblGrid>
      <w:tr w:rsidR="00E23746" w:rsidRPr="00574DAC" w14:paraId="14A551D5" w14:textId="77777777" w:rsidTr="003F037A">
        <w:trPr>
          <w:trHeight w:val="679"/>
        </w:trPr>
        <w:tc>
          <w:tcPr>
            <w:tcW w:w="1413"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0BC0341F"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lastRenderedPageBreak/>
              <w:t>NIVEL</w:t>
            </w:r>
          </w:p>
        </w:tc>
        <w:tc>
          <w:tcPr>
            <w:tcW w:w="2693" w:type="dxa"/>
            <w:tcBorders>
              <w:top w:val="single" w:sz="4" w:space="0" w:color="auto"/>
              <w:left w:val="nil"/>
              <w:bottom w:val="single" w:sz="4" w:space="0" w:color="auto"/>
              <w:right w:val="single" w:sz="4" w:space="0" w:color="auto"/>
            </w:tcBorders>
            <w:shd w:val="clear" w:color="000000" w:fill="BFBFBF"/>
            <w:vAlign w:val="center"/>
            <w:hideMark/>
          </w:tcPr>
          <w:p w14:paraId="679C2FD9"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ALINEACIÓN PED/PD</w:t>
            </w:r>
          </w:p>
        </w:tc>
        <w:tc>
          <w:tcPr>
            <w:tcW w:w="2835" w:type="dxa"/>
            <w:tcBorders>
              <w:top w:val="single" w:sz="4" w:space="0" w:color="auto"/>
              <w:left w:val="nil"/>
              <w:bottom w:val="single" w:sz="4" w:space="0" w:color="auto"/>
              <w:right w:val="single" w:sz="4" w:space="0" w:color="auto"/>
            </w:tcBorders>
            <w:shd w:val="clear" w:color="000000" w:fill="BFBFBF"/>
            <w:vAlign w:val="center"/>
            <w:hideMark/>
          </w:tcPr>
          <w:p w14:paraId="6DE48693"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OBJETIVO</w:t>
            </w:r>
          </w:p>
        </w:tc>
        <w:tc>
          <w:tcPr>
            <w:tcW w:w="2268" w:type="dxa"/>
            <w:tcBorders>
              <w:top w:val="single" w:sz="4" w:space="0" w:color="auto"/>
              <w:left w:val="nil"/>
              <w:bottom w:val="single" w:sz="4" w:space="0" w:color="auto"/>
              <w:right w:val="single" w:sz="4" w:space="0" w:color="auto"/>
            </w:tcBorders>
            <w:shd w:val="clear" w:color="000000" w:fill="BFBFBF"/>
            <w:vAlign w:val="center"/>
            <w:hideMark/>
          </w:tcPr>
          <w:p w14:paraId="730BA112"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INDICADOR</w:t>
            </w:r>
          </w:p>
        </w:tc>
        <w:tc>
          <w:tcPr>
            <w:tcW w:w="2835" w:type="dxa"/>
            <w:tcBorders>
              <w:top w:val="single" w:sz="4" w:space="0" w:color="auto"/>
              <w:left w:val="nil"/>
              <w:bottom w:val="single" w:sz="4" w:space="0" w:color="auto"/>
              <w:right w:val="single" w:sz="4" w:space="0" w:color="auto"/>
            </w:tcBorders>
            <w:shd w:val="clear" w:color="000000" w:fill="BFBFBF"/>
            <w:vAlign w:val="center"/>
            <w:hideMark/>
          </w:tcPr>
          <w:p w14:paraId="202F307E"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MEDIOS DE VERIFICACIÓN</w:t>
            </w:r>
          </w:p>
        </w:tc>
        <w:tc>
          <w:tcPr>
            <w:tcW w:w="1985" w:type="dxa"/>
            <w:tcBorders>
              <w:top w:val="single" w:sz="4" w:space="0" w:color="auto"/>
              <w:left w:val="nil"/>
              <w:bottom w:val="single" w:sz="4" w:space="0" w:color="auto"/>
              <w:right w:val="single" w:sz="4" w:space="0" w:color="auto"/>
            </w:tcBorders>
            <w:shd w:val="clear" w:color="000000" w:fill="BFBFBF"/>
            <w:vAlign w:val="center"/>
            <w:hideMark/>
          </w:tcPr>
          <w:p w14:paraId="4D641C7A"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SUPUESTO</w:t>
            </w:r>
          </w:p>
        </w:tc>
      </w:tr>
      <w:tr w:rsidR="00E23746" w:rsidRPr="00574DAC" w14:paraId="1F42EA32" w14:textId="77777777" w:rsidTr="003F037A">
        <w:trPr>
          <w:trHeight w:val="1826"/>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2541263B" w14:textId="77777777" w:rsidR="00E23746" w:rsidRDefault="00E23746" w:rsidP="000B2F10">
            <w:pPr>
              <w:jc w:val="center"/>
              <w:rPr>
                <w:rFonts w:cs="Arial"/>
                <w:b/>
                <w:bCs/>
                <w:sz w:val="20"/>
                <w:szCs w:val="20"/>
              </w:rPr>
            </w:pPr>
            <w:r>
              <w:rPr>
                <w:rFonts w:cs="Arial"/>
                <w:b/>
                <w:bCs/>
                <w:sz w:val="20"/>
                <w:szCs w:val="20"/>
              </w:rPr>
              <w:t>Actividad</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F6474B5" w14:textId="77777777" w:rsidR="00E23746" w:rsidRDefault="00E23746" w:rsidP="000B2F10">
            <w:pPr>
              <w:rPr>
                <w:rFonts w:cs="Arial"/>
                <w:sz w:val="20"/>
                <w:szCs w:val="20"/>
              </w:rPr>
            </w:pPr>
            <w:r>
              <w:rPr>
                <w:rFonts w:cs="Arial"/>
                <w:sz w:val="20"/>
                <w:szCs w:val="20"/>
              </w:rPr>
              <w:t>Impulsar estrategias para fortalecer la comprensión de lectura, escritura y pensamiento lógico matemático y demás áreas del conocimiento en escuelas de nivel medio superior.</w:t>
            </w:r>
          </w:p>
          <w:p w14:paraId="5BDE2456" w14:textId="77777777" w:rsidR="00E23746" w:rsidRDefault="00E23746" w:rsidP="000B2F10">
            <w:pPr>
              <w:rPr>
                <w:rFonts w:cs="Arial"/>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424D640" w14:textId="77777777" w:rsidR="00E23746" w:rsidRDefault="00E23746" w:rsidP="000B2F10">
            <w:pPr>
              <w:rPr>
                <w:rFonts w:cs="Arial"/>
                <w:sz w:val="20"/>
                <w:szCs w:val="20"/>
              </w:rPr>
            </w:pPr>
            <w:r>
              <w:rPr>
                <w:rFonts w:cs="Arial"/>
                <w:sz w:val="20"/>
                <w:szCs w:val="20"/>
              </w:rPr>
              <w:t>C02.A02 - Participación de los alumnos de Educación Media Superior en las Olimpiadas del Conocimiento.</w:t>
            </w:r>
          </w:p>
        </w:tc>
        <w:tc>
          <w:tcPr>
            <w:tcW w:w="2268" w:type="dxa"/>
            <w:tcBorders>
              <w:top w:val="single" w:sz="4" w:space="0" w:color="auto"/>
              <w:left w:val="single" w:sz="4" w:space="0" w:color="auto"/>
              <w:bottom w:val="single" w:sz="4" w:space="0" w:color="auto"/>
              <w:right w:val="single" w:sz="4" w:space="0" w:color="auto"/>
            </w:tcBorders>
            <w:shd w:val="clear" w:color="FFFFFF" w:fill="FFFFFF"/>
          </w:tcPr>
          <w:p w14:paraId="443C3B61" w14:textId="77777777" w:rsidR="00E23746" w:rsidRDefault="00E23746" w:rsidP="000B2F10">
            <w:pPr>
              <w:rPr>
                <w:rFonts w:cs="Arial"/>
                <w:sz w:val="20"/>
                <w:szCs w:val="20"/>
              </w:rPr>
            </w:pPr>
            <w:r>
              <w:rPr>
                <w:rFonts w:cs="Arial"/>
                <w:sz w:val="20"/>
                <w:szCs w:val="20"/>
              </w:rPr>
              <w:t>C02A02 - Porcentaje de alumnos que participan en las Olimpiadas del Conocimiento.</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5BEC1E4" w14:textId="77777777" w:rsidR="00E23746" w:rsidRDefault="00E23746" w:rsidP="000B2F10">
            <w:pPr>
              <w:rPr>
                <w:rFonts w:cs="Arial"/>
                <w:sz w:val="20"/>
                <w:szCs w:val="20"/>
              </w:rPr>
            </w:pPr>
            <w:r>
              <w:rPr>
                <w:rFonts w:cs="Arial"/>
                <w:sz w:val="20"/>
                <w:szCs w:val="20"/>
              </w:rPr>
              <w:t>Registro de Instituciones participantes, Anual, https://qroo.gob.mx/seq/medios-de-verificacion-de-la-planeacion-anual.</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22136E0" w14:textId="77777777" w:rsidR="00E23746" w:rsidRDefault="00E23746" w:rsidP="000B2F10">
            <w:pPr>
              <w:rPr>
                <w:rFonts w:cs="Arial"/>
                <w:sz w:val="20"/>
                <w:szCs w:val="20"/>
              </w:rPr>
            </w:pPr>
            <w:r>
              <w:rPr>
                <w:rFonts w:cs="Arial"/>
                <w:sz w:val="20"/>
                <w:szCs w:val="20"/>
              </w:rPr>
              <w:t>Los alumnos de los planteles de educación media superior participan  en las olimpiadas del Conocimiento.</w:t>
            </w:r>
          </w:p>
        </w:tc>
      </w:tr>
      <w:tr w:rsidR="00E23746" w:rsidRPr="00574DAC" w14:paraId="2B1F0674" w14:textId="77777777" w:rsidTr="003F037A">
        <w:trPr>
          <w:trHeight w:val="1826"/>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651F4A31" w14:textId="77777777" w:rsidR="00E23746" w:rsidRDefault="00E23746" w:rsidP="000B2F10">
            <w:pPr>
              <w:jc w:val="center"/>
              <w:rPr>
                <w:rFonts w:cs="Arial"/>
                <w:b/>
                <w:bCs/>
                <w:sz w:val="20"/>
                <w:szCs w:val="20"/>
              </w:rPr>
            </w:pPr>
            <w:r>
              <w:rPr>
                <w:rFonts w:cs="Arial"/>
                <w:b/>
                <w:bCs/>
                <w:sz w:val="20"/>
                <w:szCs w:val="20"/>
              </w:rPr>
              <w:t>Actividad</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C6E2552" w14:textId="77777777" w:rsidR="00E23746" w:rsidRDefault="00E23746" w:rsidP="000B2F10">
            <w:pPr>
              <w:rPr>
                <w:rFonts w:cs="Arial"/>
                <w:sz w:val="20"/>
                <w:szCs w:val="20"/>
              </w:rPr>
            </w:pPr>
            <w:r>
              <w:rPr>
                <w:rFonts w:cs="Arial"/>
                <w:sz w:val="20"/>
                <w:szCs w:val="20"/>
              </w:rPr>
              <w:t>Impulsar la formación integral de los estudiantes en el nivel medio superior.</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89AADBB" w14:textId="77777777" w:rsidR="00E23746" w:rsidRDefault="00E23746" w:rsidP="000B2F10">
            <w:pPr>
              <w:rPr>
                <w:rFonts w:cs="Arial"/>
                <w:sz w:val="20"/>
                <w:szCs w:val="20"/>
              </w:rPr>
            </w:pPr>
            <w:r>
              <w:rPr>
                <w:rFonts w:cs="Arial"/>
                <w:sz w:val="20"/>
                <w:szCs w:val="20"/>
              </w:rPr>
              <w:t>C02.A03 - Alumnos y alumnas beneficiados en las olimpiadas del conocimiento y otros proyectos o programas académicos.</w:t>
            </w:r>
          </w:p>
        </w:tc>
        <w:tc>
          <w:tcPr>
            <w:tcW w:w="2268" w:type="dxa"/>
            <w:tcBorders>
              <w:top w:val="single" w:sz="4" w:space="0" w:color="auto"/>
              <w:left w:val="single" w:sz="4" w:space="0" w:color="auto"/>
              <w:bottom w:val="single" w:sz="4" w:space="0" w:color="auto"/>
              <w:right w:val="single" w:sz="4" w:space="0" w:color="auto"/>
            </w:tcBorders>
            <w:shd w:val="clear" w:color="FFFFFF" w:fill="FFFFFF"/>
          </w:tcPr>
          <w:p w14:paraId="5107AAFC" w14:textId="77777777" w:rsidR="00E23746" w:rsidRDefault="00E23746" w:rsidP="000B2F10">
            <w:pPr>
              <w:rPr>
                <w:rFonts w:cs="Arial"/>
                <w:sz w:val="20"/>
                <w:szCs w:val="20"/>
              </w:rPr>
            </w:pPr>
            <w:r>
              <w:rPr>
                <w:rFonts w:cs="Arial"/>
                <w:sz w:val="20"/>
                <w:szCs w:val="20"/>
              </w:rPr>
              <w:t>C02A03 - Porcentaje de alumnos y alumnas beneficiados en las Olimpiadas del Conocimiento y otros proyectos académicos.</w:t>
            </w:r>
          </w:p>
          <w:p w14:paraId="2E376D66" w14:textId="77777777" w:rsidR="00E23746" w:rsidRDefault="00E23746" w:rsidP="000B2F10">
            <w:pPr>
              <w:rPr>
                <w:rFonts w:cs="Arial"/>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F6CB274" w14:textId="77777777" w:rsidR="00E23746" w:rsidRDefault="00E23746" w:rsidP="000B2F10">
            <w:pPr>
              <w:rPr>
                <w:rFonts w:cs="Arial"/>
                <w:sz w:val="20"/>
                <w:szCs w:val="20"/>
              </w:rPr>
            </w:pPr>
            <w:r>
              <w:rPr>
                <w:rFonts w:cs="Arial"/>
                <w:sz w:val="20"/>
                <w:szCs w:val="20"/>
              </w:rPr>
              <w:t>Reporte de finalistas de las olimpiadas y otros proyectos académicos, Anual, https://qroo.gob.mx/seq/medios-de-verificacion-de-la-planeacion-anual.</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806E229" w14:textId="77777777" w:rsidR="00E23746" w:rsidRDefault="00E23746" w:rsidP="000B2F10">
            <w:pPr>
              <w:rPr>
                <w:rFonts w:cs="Arial"/>
                <w:sz w:val="20"/>
                <w:szCs w:val="20"/>
              </w:rPr>
            </w:pPr>
            <w:r>
              <w:rPr>
                <w:rFonts w:cs="Arial"/>
                <w:sz w:val="20"/>
                <w:szCs w:val="20"/>
              </w:rPr>
              <w:t>Alumnos y alumnas participan en las olimpiadas del conocimiento y otros proyectos académicos.</w:t>
            </w:r>
          </w:p>
        </w:tc>
      </w:tr>
      <w:tr w:rsidR="00E23746" w:rsidRPr="00574DAC" w14:paraId="6E48EBFC" w14:textId="77777777" w:rsidTr="003F037A">
        <w:trPr>
          <w:trHeight w:val="1826"/>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60475586" w14:textId="77777777" w:rsidR="00E23746" w:rsidRDefault="00E23746" w:rsidP="000B2F10">
            <w:pPr>
              <w:jc w:val="center"/>
              <w:rPr>
                <w:rFonts w:cs="Arial"/>
                <w:b/>
                <w:bCs/>
                <w:sz w:val="20"/>
                <w:szCs w:val="20"/>
              </w:rPr>
            </w:pPr>
            <w:r>
              <w:rPr>
                <w:rFonts w:cs="Arial"/>
                <w:b/>
                <w:bCs/>
                <w:sz w:val="20"/>
                <w:szCs w:val="20"/>
              </w:rPr>
              <w:t>Componente</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BA8D72A" w14:textId="77777777" w:rsidR="00E23746" w:rsidRDefault="00E23746" w:rsidP="000B2F10">
            <w:pPr>
              <w:rPr>
                <w:rFonts w:cs="Arial"/>
                <w:sz w:val="20"/>
                <w:szCs w:val="20"/>
              </w:rPr>
            </w:pPr>
            <w:r>
              <w:rPr>
                <w:rFonts w:cs="Arial"/>
                <w:sz w:val="20"/>
                <w:szCs w:val="20"/>
              </w:rPr>
              <w:t>Reorientar el programa de becas e incentivos para otorgarlas a alumnos de escasos recursos a fin de que concluyan sus estudios.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75325CD" w14:textId="77777777" w:rsidR="00E23746" w:rsidRDefault="00E23746" w:rsidP="000B2F10">
            <w:pPr>
              <w:rPr>
                <w:rFonts w:cs="Arial"/>
                <w:sz w:val="20"/>
                <w:szCs w:val="20"/>
              </w:rPr>
            </w:pPr>
            <w:r>
              <w:rPr>
                <w:rFonts w:cs="Arial"/>
                <w:sz w:val="20"/>
                <w:szCs w:val="20"/>
              </w:rPr>
              <w:t>C03.- Alumnos de educación media superior beneficiados con una beca y que concluyen el ciclo escolar.</w:t>
            </w:r>
          </w:p>
        </w:tc>
        <w:tc>
          <w:tcPr>
            <w:tcW w:w="2268" w:type="dxa"/>
            <w:tcBorders>
              <w:top w:val="single" w:sz="4" w:space="0" w:color="auto"/>
              <w:left w:val="single" w:sz="4" w:space="0" w:color="auto"/>
              <w:bottom w:val="single" w:sz="4" w:space="0" w:color="auto"/>
              <w:right w:val="single" w:sz="4" w:space="0" w:color="auto"/>
            </w:tcBorders>
            <w:shd w:val="clear" w:color="FFFFFF" w:fill="FFFFFF"/>
          </w:tcPr>
          <w:p w14:paraId="1BDDDE26" w14:textId="77777777" w:rsidR="00E23746" w:rsidRDefault="00E23746" w:rsidP="000B2F10">
            <w:pPr>
              <w:rPr>
                <w:rFonts w:cs="Arial"/>
                <w:sz w:val="20"/>
                <w:szCs w:val="20"/>
              </w:rPr>
            </w:pPr>
            <w:r>
              <w:rPr>
                <w:rFonts w:cs="Arial"/>
                <w:sz w:val="20"/>
                <w:szCs w:val="20"/>
              </w:rPr>
              <w:t>C03 - Porcentaje de alumnos de nivel medio superior beneficiados con una beca y que concluyen el ciclo escolar.</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FDA0CEA" w14:textId="14C8C072" w:rsidR="00E23746" w:rsidRDefault="00E23746" w:rsidP="000B2F10">
            <w:pPr>
              <w:rPr>
                <w:rFonts w:cs="Arial"/>
                <w:sz w:val="20"/>
                <w:szCs w:val="20"/>
              </w:rPr>
            </w:pPr>
            <w:r>
              <w:rPr>
                <w:rFonts w:cs="Arial"/>
                <w:sz w:val="20"/>
                <w:szCs w:val="20"/>
              </w:rPr>
              <w:t xml:space="preserve">Base de  datos de alumnos beneficiados con una beca y que concluyen el ciclo escolar, Anual, </w:t>
            </w:r>
            <w:hyperlink r:id="rId37" w:history="1">
              <w:r w:rsidRPr="003135B9">
                <w:rPr>
                  <w:rStyle w:val="Hipervnculo"/>
                  <w:rFonts w:cs="Arial"/>
                  <w:sz w:val="20"/>
                  <w:szCs w:val="20"/>
                </w:rPr>
                <w:t>https://qroo.gob.mx/seq/medios-de-verificacion-de-la-planeacion-anual</w:t>
              </w:r>
            </w:hyperlink>
            <w:r>
              <w:rPr>
                <w:rFonts w:cs="Arial"/>
                <w:sz w:val="20"/>
                <w:szCs w:val="20"/>
              </w:rPr>
              <w:t>.</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B2E6797" w14:textId="10D4A63C" w:rsidR="001906E0" w:rsidRDefault="00E23746" w:rsidP="00204AFF">
            <w:pPr>
              <w:rPr>
                <w:rFonts w:cs="Arial"/>
                <w:sz w:val="20"/>
                <w:szCs w:val="20"/>
              </w:rPr>
            </w:pPr>
            <w:r>
              <w:rPr>
                <w:rFonts w:cs="Arial"/>
                <w:sz w:val="20"/>
                <w:szCs w:val="20"/>
              </w:rPr>
              <w:t>Todos los alumnos de nivel medio superior beneficiados con los programas de becas, concluyen el ciclo escolar.</w:t>
            </w:r>
          </w:p>
        </w:tc>
      </w:tr>
      <w:tr w:rsidR="00E23746" w:rsidRPr="00574DAC" w14:paraId="2B0D8AFB" w14:textId="77777777" w:rsidTr="003F037A">
        <w:trPr>
          <w:trHeight w:val="679"/>
        </w:trPr>
        <w:tc>
          <w:tcPr>
            <w:tcW w:w="1413"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7E92248B"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lastRenderedPageBreak/>
              <w:t>NIVEL</w:t>
            </w:r>
          </w:p>
        </w:tc>
        <w:tc>
          <w:tcPr>
            <w:tcW w:w="2693" w:type="dxa"/>
            <w:tcBorders>
              <w:top w:val="single" w:sz="4" w:space="0" w:color="auto"/>
              <w:left w:val="nil"/>
              <w:bottom w:val="single" w:sz="4" w:space="0" w:color="auto"/>
              <w:right w:val="single" w:sz="4" w:space="0" w:color="auto"/>
            </w:tcBorders>
            <w:shd w:val="clear" w:color="000000" w:fill="BFBFBF"/>
            <w:vAlign w:val="center"/>
            <w:hideMark/>
          </w:tcPr>
          <w:p w14:paraId="4790EE65"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ALINEACIÓN PED/PD</w:t>
            </w:r>
          </w:p>
        </w:tc>
        <w:tc>
          <w:tcPr>
            <w:tcW w:w="2835" w:type="dxa"/>
            <w:tcBorders>
              <w:top w:val="single" w:sz="4" w:space="0" w:color="auto"/>
              <w:left w:val="nil"/>
              <w:bottom w:val="single" w:sz="4" w:space="0" w:color="auto"/>
              <w:right w:val="single" w:sz="4" w:space="0" w:color="auto"/>
            </w:tcBorders>
            <w:shd w:val="clear" w:color="000000" w:fill="BFBFBF"/>
            <w:vAlign w:val="center"/>
            <w:hideMark/>
          </w:tcPr>
          <w:p w14:paraId="1E1662F3"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OBJETIVO</w:t>
            </w:r>
          </w:p>
        </w:tc>
        <w:tc>
          <w:tcPr>
            <w:tcW w:w="2268" w:type="dxa"/>
            <w:tcBorders>
              <w:top w:val="single" w:sz="4" w:space="0" w:color="auto"/>
              <w:left w:val="nil"/>
              <w:bottom w:val="single" w:sz="4" w:space="0" w:color="auto"/>
              <w:right w:val="single" w:sz="4" w:space="0" w:color="auto"/>
            </w:tcBorders>
            <w:shd w:val="clear" w:color="000000" w:fill="BFBFBF"/>
            <w:vAlign w:val="center"/>
            <w:hideMark/>
          </w:tcPr>
          <w:p w14:paraId="5BDEB7FA"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INDICADOR</w:t>
            </w:r>
          </w:p>
        </w:tc>
        <w:tc>
          <w:tcPr>
            <w:tcW w:w="2835" w:type="dxa"/>
            <w:tcBorders>
              <w:top w:val="single" w:sz="4" w:space="0" w:color="auto"/>
              <w:left w:val="nil"/>
              <w:bottom w:val="single" w:sz="4" w:space="0" w:color="auto"/>
              <w:right w:val="single" w:sz="4" w:space="0" w:color="auto"/>
            </w:tcBorders>
            <w:shd w:val="clear" w:color="000000" w:fill="BFBFBF"/>
            <w:vAlign w:val="center"/>
            <w:hideMark/>
          </w:tcPr>
          <w:p w14:paraId="0A44D867"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MEDIOS DE VERIFICACIÓN</w:t>
            </w:r>
          </w:p>
        </w:tc>
        <w:tc>
          <w:tcPr>
            <w:tcW w:w="1985" w:type="dxa"/>
            <w:tcBorders>
              <w:top w:val="single" w:sz="4" w:space="0" w:color="auto"/>
              <w:left w:val="nil"/>
              <w:bottom w:val="single" w:sz="4" w:space="0" w:color="auto"/>
              <w:right w:val="single" w:sz="4" w:space="0" w:color="auto"/>
            </w:tcBorders>
            <w:shd w:val="clear" w:color="000000" w:fill="BFBFBF"/>
            <w:vAlign w:val="center"/>
            <w:hideMark/>
          </w:tcPr>
          <w:p w14:paraId="0E2E8E16"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SUPUESTO</w:t>
            </w:r>
          </w:p>
        </w:tc>
      </w:tr>
      <w:tr w:rsidR="00E23746" w:rsidRPr="00574DAC" w14:paraId="7A9AE703" w14:textId="77777777" w:rsidTr="003F037A">
        <w:trPr>
          <w:trHeight w:val="1826"/>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4199805F" w14:textId="77777777" w:rsidR="00E23746" w:rsidRDefault="00E23746" w:rsidP="000B2F10">
            <w:pPr>
              <w:jc w:val="center"/>
              <w:rPr>
                <w:rFonts w:cs="Arial"/>
                <w:b/>
                <w:bCs/>
                <w:sz w:val="20"/>
                <w:szCs w:val="20"/>
              </w:rPr>
            </w:pPr>
            <w:r>
              <w:rPr>
                <w:rFonts w:cs="Arial"/>
                <w:b/>
                <w:bCs/>
                <w:sz w:val="20"/>
                <w:szCs w:val="20"/>
              </w:rPr>
              <w:t>Actividad</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8DE9767" w14:textId="77777777" w:rsidR="00E23746" w:rsidRDefault="00E23746" w:rsidP="000B2F10">
            <w:pPr>
              <w:rPr>
                <w:rFonts w:cs="Arial"/>
                <w:sz w:val="20"/>
                <w:szCs w:val="20"/>
              </w:rPr>
            </w:pPr>
            <w:r>
              <w:rPr>
                <w:rFonts w:cs="Arial"/>
                <w:sz w:val="20"/>
                <w:szCs w:val="20"/>
              </w:rPr>
              <w:t>Reorientar el programa de becas e incentivos para otorgarlas a alumnos de escasos recursos a fin de que concluyan sus estudios.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E630A8E" w14:textId="77777777" w:rsidR="00E23746" w:rsidRDefault="00E23746" w:rsidP="000B2F10">
            <w:pPr>
              <w:rPr>
                <w:rFonts w:cs="Arial"/>
                <w:sz w:val="20"/>
                <w:szCs w:val="20"/>
              </w:rPr>
            </w:pPr>
            <w:r>
              <w:rPr>
                <w:rFonts w:cs="Arial"/>
                <w:sz w:val="20"/>
                <w:szCs w:val="20"/>
              </w:rPr>
              <w:t>C03.A01 - Atención de solicitudes de alumnos de nivel medio superior inscritos en escuelas públicas y particulares que realizan una solicitud y obtienen una beca.</w:t>
            </w:r>
          </w:p>
        </w:tc>
        <w:tc>
          <w:tcPr>
            <w:tcW w:w="2268" w:type="dxa"/>
            <w:tcBorders>
              <w:top w:val="single" w:sz="4" w:space="0" w:color="auto"/>
              <w:left w:val="single" w:sz="4" w:space="0" w:color="auto"/>
              <w:bottom w:val="single" w:sz="4" w:space="0" w:color="auto"/>
              <w:right w:val="single" w:sz="4" w:space="0" w:color="auto"/>
            </w:tcBorders>
            <w:shd w:val="clear" w:color="FFFFFF" w:fill="FFFFFF"/>
          </w:tcPr>
          <w:p w14:paraId="4898D602" w14:textId="77777777" w:rsidR="00E23746" w:rsidRDefault="00E23746" w:rsidP="000B2F10">
            <w:pPr>
              <w:rPr>
                <w:rFonts w:cs="Arial"/>
                <w:sz w:val="20"/>
                <w:szCs w:val="20"/>
              </w:rPr>
            </w:pPr>
            <w:r>
              <w:rPr>
                <w:rFonts w:cs="Arial"/>
                <w:sz w:val="20"/>
                <w:szCs w:val="20"/>
              </w:rPr>
              <w:t>C03A01 - Porcentaje de alumnos y alumnas de nivel media superior que obtienen una beca.</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A56DE33" w14:textId="77777777" w:rsidR="00E23746" w:rsidRDefault="00E23746" w:rsidP="000B2F10">
            <w:pPr>
              <w:rPr>
                <w:rFonts w:cs="Arial"/>
                <w:sz w:val="20"/>
                <w:szCs w:val="20"/>
              </w:rPr>
            </w:pPr>
            <w:r>
              <w:rPr>
                <w:rFonts w:cs="Arial"/>
                <w:sz w:val="20"/>
                <w:szCs w:val="20"/>
              </w:rPr>
              <w:t>Base de datos de estudiantes seleccionados en los programas de la Dirección de Becas, Anual, https://qroo.gob.mx/seq/medios-de-verificacion-de-la-planeacion-anual.</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1970B57" w14:textId="77777777" w:rsidR="00E23746" w:rsidRDefault="00E23746" w:rsidP="000B2F10">
            <w:pPr>
              <w:rPr>
                <w:rFonts w:cs="Arial"/>
                <w:sz w:val="20"/>
                <w:szCs w:val="20"/>
              </w:rPr>
            </w:pPr>
            <w:r>
              <w:rPr>
                <w:rFonts w:cs="Arial"/>
                <w:sz w:val="20"/>
                <w:szCs w:val="20"/>
              </w:rPr>
              <w:t>Padres de familia y estudiantes realizan su solicitud de Beca, en los periodos establecidos en las convocatorias.</w:t>
            </w:r>
          </w:p>
        </w:tc>
      </w:tr>
    </w:tbl>
    <w:p w14:paraId="239D5933" w14:textId="77777777" w:rsidR="00E23746" w:rsidRDefault="00E23746" w:rsidP="00E23746">
      <w:pPr>
        <w:rPr>
          <w:rFonts w:eastAsia="Calibri" w:cs="Arial"/>
          <w:bCs/>
          <w:color w:val="595959" w:themeColor="text1" w:themeTint="A6"/>
          <w:sz w:val="18"/>
          <w:szCs w:val="20"/>
        </w:rPr>
      </w:pPr>
      <w:r w:rsidRPr="0093279A">
        <w:rPr>
          <w:rFonts w:eastAsia="Calibri" w:cs="Arial"/>
          <w:bCs/>
          <w:color w:val="595959" w:themeColor="text1" w:themeTint="A6"/>
          <w:sz w:val="18"/>
          <w:szCs w:val="20"/>
        </w:rPr>
        <w:t>El anexo aquí presentado es perfectible, y se encuentra susceptible de modificaciones programáticas toda vez que así se le indique por observaciones de auditorías, evaluaciones al desempeño y revisiones de la Secretaría de Finanzas y Planeación antes y durante el ejercicio fiscal del que se trate, así como también, cuando las condiciones del Ente Público responsable de dicha información programática requiera hacer modificaciones a sus necesidades institucionales, atendiendo a lo establecido en los Lineamientos para la Creación, Modificación y Cancelación de Programas Presupuestarios y para la Modificación de Metas del Gobierno del Estado de Quintana Roo.</w:t>
      </w:r>
    </w:p>
    <w:p w14:paraId="6673BDC9" w14:textId="109FF7D5" w:rsidR="00364E7E" w:rsidRDefault="00364E7E">
      <w:pPr>
        <w:spacing w:after="0" w:line="240" w:lineRule="auto"/>
        <w:jc w:val="left"/>
      </w:pPr>
      <w:r>
        <w:br w:type="page"/>
      </w:r>
    </w:p>
    <w:tbl>
      <w:tblPr>
        <w:tblW w:w="14189" w:type="dxa"/>
        <w:tblLayout w:type="fixed"/>
        <w:tblCellMar>
          <w:left w:w="70" w:type="dxa"/>
          <w:right w:w="70" w:type="dxa"/>
        </w:tblCellMar>
        <w:tblLook w:val="04A0" w:firstRow="1" w:lastRow="0" w:firstColumn="1" w:lastColumn="0" w:noHBand="0" w:noVBand="1"/>
      </w:tblPr>
      <w:tblGrid>
        <w:gridCol w:w="1271"/>
        <w:gridCol w:w="2835"/>
        <w:gridCol w:w="2835"/>
        <w:gridCol w:w="2268"/>
        <w:gridCol w:w="2835"/>
        <w:gridCol w:w="2127"/>
        <w:gridCol w:w="18"/>
      </w:tblGrid>
      <w:tr w:rsidR="00E23746" w:rsidRPr="00574DAC" w14:paraId="71912D36" w14:textId="77777777" w:rsidTr="000B2F10">
        <w:trPr>
          <w:trHeight w:val="692"/>
        </w:trPr>
        <w:tc>
          <w:tcPr>
            <w:tcW w:w="4106" w:type="dxa"/>
            <w:gridSpan w:val="2"/>
            <w:tcBorders>
              <w:top w:val="single" w:sz="4" w:space="0" w:color="auto"/>
              <w:left w:val="single" w:sz="4" w:space="0" w:color="auto"/>
              <w:bottom w:val="single" w:sz="4" w:space="0" w:color="auto"/>
              <w:right w:val="single" w:sz="4" w:space="0" w:color="000000"/>
            </w:tcBorders>
            <w:shd w:val="clear" w:color="000000" w:fill="BFBFBF"/>
            <w:vAlign w:val="center"/>
            <w:hideMark/>
          </w:tcPr>
          <w:p w14:paraId="43A3EB49" w14:textId="77777777" w:rsidR="00E23746" w:rsidRPr="00574DAC" w:rsidRDefault="00E23746" w:rsidP="000B2F10">
            <w:pPr>
              <w:spacing w:after="0" w:line="240" w:lineRule="auto"/>
              <w:jc w:val="center"/>
              <w:rPr>
                <w:rFonts w:eastAsia="Times New Roman" w:cs="Arial"/>
                <w:b/>
                <w:bCs/>
                <w:sz w:val="20"/>
                <w:szCs w:val="20"/>
                <w:lang w:val="es-MX" w:eastAsia="es-MX"/>
              </w:rPr>
            </w:pPr>
            <w:r>
              <w:rPr>
                <w:rFonts w:eastAsia="Times New Roman" w:cs="Arial"/>
                <w:b/>
                <w:bCs/>
                <w:sz w:val="20"/>
                <w:szCs w:val="20"/>
                <w:lang w:val="es-MX" w:eastAsia="es-MX"/>
              </w:rPr>
              <w:lastRenderedPageBreak/>
              <w:t>P</w:t>
            </w:r>
            <w:r w:rsidRPr="00574DAC">
              <w:rPr>
                <w:rFonts w:eastAsia="Times New Roman" w:cs="Arial"/>
                <w:b/>
                <w:bCs/>
                <w:sz w:val="20"/>
                <w:szCs w:val="20"/>
                <w:lang w:val="es-MX" w:eastAsia="es-MX"/>
              </w:rPr>
              <w:t>ROGRAMA PRESUPUESTARIO:</w:t>
            </w:r>
          </w:p>
        </w:tc>
        <w:tc>
          <w:tcPr>
            <w:tcW w:w="10083" w:type="dxa"/>
            <w:gridSpan w:val="5"/>
            <w:tcBorders>
              <w:top w:val="single" w:sz="4" w:space="0" w:color="auto"/>
              <w:left w:val="nil"/>
              <w:bottom w:val="single" w:sz="4" w:space="0" w:color="auto"/>
              <w:right w:val="single" w:sz="4" w:space="0" w:color="auto"/>
            </w:tcBorders>
            <w:shd w:val="clear" w:color="auto" w:fill="auto"/>
            <w:vAlign w:val="center"/>
            <w:hideMark/>
          </w:tcPr>
          <w:p w14:paraId="0286344D" w14:textId="77777777" w:rsidR="00E23746" w:rsidRPr="00574DAC" w:rsidRDefault="00E23746" w:rsidP="000B2F10">
            <w:pPr>
              <w:spacing w:after="0" w:line="240" w:lineRule="auto"/>
              <w:jc w:val="left"/>
              <w:rPr>
                <w:rFonts w:eastAsia="Times New Roman" w:cs="Arial"/>
                <w:sz w:val="20"/>
                <w:szCs w:val="20"/>
                <w:lang w:val="es-MX" w:eastAsia="es-MX"/>
              </w:rPr>
            </w:pPr>
            <w:r w:rsidRPr="00693FA1">
              <w:rPr>
                <w:rFonts w:eastAsia="Times New Roman" w:cs="Arial"/>
                <w:sz w:val="20"/>
                <w:szCs w:val="20"/>
                <w:lang w:val="es-MX" w:eastAsia="es-MX"/>
              </w:rPr>
              <w:t>Educación Superior</w:t>
            </w:r>
          </w:p>
        </w:tc>
      </w:tr>
      <w:tr w:rsidR="00E23746" w:rsidRPr="00574DAC" w14:paraId="6F2D62FA" w14:textId="77777777" w:rsidTr="000B2F10">
        <w:trPr>
          <w:trHeight w:val="552"/>
        </w:trPr>
        <w:tc>
          <w:tcPr>
            <w:tcW w:w="4106" w:type="dxa"/>
            <w:gridSpan w:val="2"/>
            <w:tcBorders>
              <w:top w:val="single" w:sz="4" w:space="0" w:color="auto"/>
              <w:left w:val="single" w:sz="4" w:space="0" w:color="auto"/>
              <w:bottom w:val="single" w:sz="4" w:space="0" w:color="auto"/>
              <w:right w:val="single" w:sz="4" w:space="0" w:color="000000"/>
            </w:tcBorders>
            <w:shd w:val="clear" w:color="000000" w:fill="BFBFBF"/>
            <w:vAlign w:val="center"/>
            <w:hideMark/>
          </w:tcPr>
          <w:p w14:paraId="69805625"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INSTITUCIÓN:</w:t>
            </w:r>
          </w:p>
        </w:tc>
        <w:tc>
          <w:tcPr>
            <w:tcW w:w="10083" w:type="dxa"/>
            <w:gridSpan w:val="5"/>
            <w:tcBorders>
              <w:top w:val="single" w:sz="4" w:space="0" w:color="auto"/>
              <w:left w:val="nil"/>
              <w:bottom w:val="single" w:sz="4" w:space="0" w:color="auto"/>
              <w:right w:val="single" w:sz="4" w:space="0" w:color="auto"/>
            </w:tcBorders>
            <w:shd w:val="clear" w:color="auto" w:fill="auto"/>
            <w:vAlign w:val="center"/>
            <w:hideMark/>
          </w:tcPr>
          <w:p w14:paraId="7B75BF00" w14:textId="77777777" w:rsidR="00E23746" w:rsidRPr="00574DAC" w:rsidRDefault="00E23746" w:rsidP="000B2F10">
            <w:pPr>
              <w:spacing w:after="0" w:line="240" w:lineRule="auto"/>
              <w:jc w:val="left"/>
              <w:rPr>
                <w:rFonts w:eastAsia="Times New Roman" w:cs="Arial"/>
                <w:sz w:val="20"/>
                <w:szCs w:val="20"/>
                <w:lang w:val="es-MX" w:eastAsia="es-MX"/>
              </w:rPr>
            </w:pPr>
            <w:r w:rsidRPr="00693FA1">
              <w:rPr>
                <w:rFonts w:eastAsia="Times New Roman" w:cs="Arial"/>
                <w:sz w:val="20"/>
                <w:szCs w:val="20"/>
                <w:lang w:val="es-MX" w:eastAsia="es-MX"/>
              </w:rPr>
              <w:t xml:space="preserve">1109 </w:t>
            </w:r>
            <w:r>
              <w:rPr>
                <w:rFonts w:eastAsia="Times New Roman" w:cs="Arial"/>
                <w:sz w:val="20"/>
                <w:szCs w:val="20"/>
                <w:lang w:val="es-MX" w:eastAsia="es-MX"/>
              </w:rPr>
              <w:t xml:space="preserve"> </w:t>
            </w:r>
            <w:r w:rsidRPr="00693FA1">
              <w:rPr>
                <w:rFonts w:eastAsia="Times New Roman" w:cs="Arial"/>
                <w:sz w:val="20"/>
                <w:szCs w:val="20"/>
                <w:lang w:val="es-MX" w:eastAsia="es-MX"/>
              </w:rPr>
              <w:t>Secretaría de Educación de Quintana Roo</w:t>
            </w:r>
          </w:p>
        </w:tc>
      </w:tr>
      <w:tr w:rsidR="00E23746" w:rsidRPr="00574DAC" w14:paraId="4F7D98CF" w14:textId="77777777" w:rsidTr="000B2F10">
        <w:trPr>
          <w:gridAfter w:val="1"/>
          <w:wAfter w:w="18" w:type="dxa"/>
          <w:trHeight w:val="282"/>
        </w:trPr>
        <w:tc>
          <w:tcPr>
            <w:tcW w:w="1271" w:type="dxa"/>
            <w:tcBorders>
              <w:top w:val="nil"/>
              <w:left w:val="nil"/>
              <w:bottom w:val="nil"/>
              <w:right w:val="nil"/>
            </w:tcBorders>
            <w:shd w:val="clear" w:color="auto" w:fill="auto"/>
            <w:hideMark/>
          </w:tcPr>
          <w:p w14:paraId="3B3AF3F3" w14:textId="77777777" w:rsidR="00E23746" w:rsidRPr="00574DAC" w:rsidRDefault="00E23746" w:rsidP="000B2F10">
            <w:pPr>
              <w:spacing w:after="0" w:line="240" w:lineRule="auto"/>
              <w:jc w:val="left"/>
              <w:rPr>
                <w:rFonts w:eastAsia="Times New Roman" w:cs="Arial"/>
                <w:sz w:val="20"/>
                <w:szCs w:val="20"/>
                <w:lang w:val="es-MX" w:eastAsia="es-MX"/>
              </w:rPr>
            </w:pPr>
          </w:p>
        </w:tc>
        <w:tc>
          <w:tcPr>
            <w:tcW w:w="2835" w:type="dxa"/>
            <w:tcBorders>
              <w:top w:val="nil"/>
              <w:left w:val="nil"/>
              <w:bottom w:val="nil"/>
              <w:right w:val="nil"/>
            </w:tcBorders>
            <w:shd w:val="clear" w:color="auto" w:fill="auto"/>
            <w:hideMark/>
          </w:tcPr>
          <w:p w14:paraId="5FAD971A" w14:textId="77777777" w:rsidR="00E23746" w:rsidRPr="00574DAC" w:rsidRDefault="00E23746" w:rsidP="000B2F10">
            <w:pPr>
              <w:spacing w:after="0" w:line="240" w:lineRule="auto"/>
              <w:jc w:val="left"/>
              <w:rPr>
                <w:rFonts w:ascii="Times New Roman" w:eastAsia="Times New Roman" w:hAnsi="Times New Roman"/>
                <w:sz w:val="20"/>
                <w:szCs w:val="20"/>
                <w:lang w:val="es-MX" w:eastAsia="es-MX"/>
              </w:rPr>
            </w:pPr>
          </w:p>
        </w:tc>
        <w:tc>
          <w:tcPr>
            <w:tcW w:w="2835" w:type="dxa"/>
            <w:tcBorders>
              <w:top w:val="nil"/>
              <w:left w:val="nil"/>
              <w:bottom w:val="nil"/>
              <w:right w:val="nil"/>
            </w:tcBorders>
            <w:shd w:val="clear" w:color="auto" w:fill="auto"/>
            <w:hideMark/>
          </w:tcPr>
          <w:p w14:paraId="218ABAE1" w14:textId="77777777" w:rsidR="00E23746" w:rsidRPr="00574DAC" w:rsidRDefault="00E23746" w:rsidP="000B2F10">
            <w:pPr>
              <w:spacing w:after="0" w:line="240" w:lineRule="auto"/>
              <w:jc w:val="left"/>
              <w:rPr>
                <w:rFonts w:ascii="Times New Roman" w:eastAsia="Times New Roman" w:hAnsi="Times New Roman"/>
                <w:sz w:val="20"/>
                <w:szCs w:val="20"/>
                <w:lang w:val="es-MX" w:eastAsia="es-MX"/>
              </w:rPr>
            </w:pPr>
          </w:p>
        </w:tc>
        <w:tc>
          <w:tcPr>
            <w:tcW w:w="2268" w:type="dxa"/>
            <w:tcBorders>
              <w:top w:val="nil"/>
              <w:left w:val="nil"/>
              <w:bottom w:val="nil"/>
              <w:right w:val="nil"/>
            </w:tcBorders>
            <w:shd w:val="clear" w:color="auto" w:fill="auto"/>
            <w:hideMark/>
          </w:tcPr>
          <w:p w14:paraId="62301BEF" w14:textId="77777777" w:rsidR="00E23746" w:rsidRPr="00574DAC" w:rsidRDefault="00E23746" w:rsidP="000B2F10">
            <w:pPr>
              <w:spacing w:after="0" w:line="240" w:lineRule="auto"/>
              <w:jc w:val="left"/>
              <w:rPr>
                <w:rFonts w:ascii="Times New Roman" w:eastAsia="Times New Roman" w:hAnsi="Times New Roman"/>
                <w:sz w:val="20"/>
                <w:szCs w:val="20"/>
                <w:lang w:val="es-MX" w:eastAsia="es-MX"/>
              </w:rPr>
            </w:pPr>
          </w:p>
        </w:tc>
        <w:tc>
          <w:tcPr>
            <w:tcW w:w="2835" w:type="dxa"/>
            <w:tcBorders>
              <w:top w:val="nil"/>
              <w:left w:val="nil"/>
              <w:bottom w:val="nil"/>
              <w:right w:val="nil"/>
            </w:tcBorders>
            <w:shd w:val="clear" w:color="auto" w:fill="auto"/>
            <w:hideMark/>
          </w:tcPr>
          <w:p w14:paraId="6AAC83A0" w14:textId="77777777" w:rsidR="00E23746" w:rsidRPr="00574DAC" w:rsidRDefault="00E23746" w:rsidP="000B2F10">
            <w:pPr>
              <w:spacing w:after="0" w:line="240" w:lineRule="auto"/>
              <w:jc w:val="left"/>
              <w:rPr>
                <w:rFonts w:ascii="Times New Roman" w:eastAsia="Times New Roman" w:hAnsi="Times New Roman"/>
                <w:sz w:val="20"/>
                <w:szCs w:val="20"/>
                <w:lang w:val="es-MX" w:eastAsia="es-MX"/>
              </w:rPr>
            </w:pPr>
          </w:p>
        </w:tc>
        <w:tc>
          <w:tcPr>
            <w:tcW w:w="2127" w:type="dxa"/>
            <w:tcBorders>
              <w:top w:val="nil"/>
              <w:left w:val="nil"/>
              <w:bottom w:val="nil"/>
              <w:right w:val="nil"/>
            </w:tcBorders>
            <w:shd w:val="clear" w:color="auto" w:fill="auto"/>
            <w:hideMark/>
          </w:tcPr>
          <w:p w14:paraId="77428F3A" w14:textId="77777777" w:rsidR="00E23746" w:rsidRPr="00574DAC" w:rsidRDefault="00E23746" w:rsidP="000B2F10">
            <w:pPr>
              <w:spacing w:after="0" w:line="240" w:lineRule="auto"/>
              <w:jc w:val="left"/>
              <w:rPr>
                <w:rFonts w:ascii="Times New Roman" w:eastAsia="Times New Roman" w:hAnsi="Times New Roman"/>
                <w:sz w:val="20"/>
                <w:szCs w:val="20"/>
                <w:lang w:val="es-MX" w:eastAsia="es-MX"/>
              </w:rPr>
            </w:pPr>
          </w:p>
        </w:tc>
      </w:tr>
      <w:tr w:rsidR="00E23746" w:rsidRPr="00574DAC" w14:paraId="07ECAC4F" w14:textId="77777777" w:rsidTr="000B2F10">
        <w:trPr>
          <w:trHeight w:val="375"/>
        </w:trPr>
        <w:tc>
          <w:tcPr>
            <w:tcW w:w="14189" w:type="dxa"/>
            <w:gridSpan w:val="7"/>
            <w:tcBorders>
              <w:top w:val="single" w:sz="4" w:space="0" w:color="auto"/>
              <w:left w:val="single" w:sz="4" w:space="0" w:color="auto"/>
              <w:bottom w:val="single" w:sz="4" w:space="0" w:color="auto"/>
              <w:right w:val="single" w:sz="4" w:space="0" w:color="000000"/>
            </w:tcBorders>
            <w:shd w:val="clear" w:color="000000" w:fill="BFBFBF"/>
            <w:vAlign w:val="center"/>
            <w:hideMark/>
          </w:tcPr>
          <w:p w14:paraId="205C170A"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MATRIZ DE INDICADORES PARA RESULTADOS (MIR)</w:t>
            </w:r>
          </w:p>
        </w:tc>
      </w:tr>
      <w:tr w:rsidR="00E23746" w:rsidRPr="00574DAC" w14:paraId="106C857F" w14:textId="77777777" w:rsidTr="006B434D">
        <w:trPr>
          <w:gridAfter w:val="1"/>
          <w:wAfter w:w="18" w:type="dxa"/>
          <w:trHeight w:val="679"/>
        </w:trPr>
        <w:tc>
          <w:tcPr>
            <w:tcW w:w="1271"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1D9B05BA"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NIVEL</w:t>
            </w:r>
          </w:p>
        </w:tc>
        <w:tc>
          <w:tcPr>
            <w:tcW w:w="2835" w:type="dxa"/>
            <w:tcBorders>
              <w:top w:val="single" w:sz="4" w:space="0" w:color="auto"/>
              <w:left w:val="nil"/>
              <w:bottom w:val="single" w:sz="4" w:space="0" w:color="auto"/>
              <w:right w:val="single" w:sz="4" w:space="0" w:color="auto"/>
            </w:tcBorders>
            <w:shd w:val="clear" w:color="000000" w:fill="BFBFBF"/>
            <w:vAlign w:val="center"/>
            <w:hideMark/>
          </w:tcPr>
          <w:p w14:paraId="5F377ECB"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ALINEACIÓN PED/PD</w:t>
            </w:r>
          </w:p>
        </w:tc>
        <w:tc>
          <w:tcPr>
            <w:tcW w:w="2835" w:type="dxa"/>
            <w:tcBorders>
              <w:top w:val="single" w:sz="4" w:space="0" w:color="auto"/>
              <w:left w:val="nil"/>
              <w:bottom w:val="single" w:sz="4" w:space="0" w:color="auto"/>
              <w:right w:val="single" w:sz="4" w:space="0" w:color="auto"/>
            </w:tcBorders>
            <w:shd w:val="clear" w:color="000000" w:fill="BFBFBF"/>
            <w:vAlign w:val="center"/>
            <w:hideMark/>
          </w:tcPr>
          <w:p w14:paraId="6F0823DC"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OBJETIVO</w:t>
            </w:r>
          </w:p>
        </w:tc>
        <w:tc>
          <w:tcPr>
            <w:tcW w:w="2268" w:type="dxa"/>
            <w:tcBorders>
              <w:top w:val="single" w:sz="4" w:space="0" w:color="auto"/>
              <w:left w:val="nil"/>
              <w:bottom w:val="single" w:sz="4" w:space="0" w:color="auto"/>
              <w:right w:val="single" w:sz="4" w:space="0" w:color="auto"/>
            </w:tcBorders>
            <w:shd w:val="clear" w:color="000000" w:fill="BFBFBF"/>
            <w:vAlign w:val="center"/>
            <w:hideMark/>
          </w:tcPr>
          <w:p w14:paraId="2654A144"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INDICADOR</w:t>
            </w:r>
          </w:p>
        </w:tc>
        <w:tc>
          <w:tcPr>
            <w:tcW w:w="2835" w:type="dxa"/>
            <w:tcBorders>
              <w:top w:val="single" w:sz="4" w:space="0" w:color="auto"/>
              <w:left w:val="nil"/>
              <w:bottom w:val="single" w:sz="4" w:space="0" w:color="auto"/>
              <w:right w:val="single" w:sz="4" w:space="0" w:color="auto"/>
            </w:tcBorders>
            <w:shd w:val="clear" w:color="000000" w:fill="BFBFBF"/>
            <w:vAlign w:val="center"/>
            <w:hideMark/>
          </w:tcPr>
          <w:p w14:paraId="17BB6860"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MEDIOS DE VERIFICACIÓN</w:t>
            </w:r>
          </w:p>
        </w:tc>
        <w:tc>
          <w:tcPr>
            <w:tcW w:w="2127" w:type="dxa"/>
            <w:tcBorders>
              <w:top w:val="single" w:sz="4" w:space="0" w:color="auto"/>
              <w:left w:val="nil"/>
              <w:bottom w:val="single" w:sz="4" w:space="0" w:color="auto"/>
              <w:right w:val="single" w:sz="4" w:space="0" w:color="auto"/>
            </w:tcBorders>
            <w:shd w:val="clear" w:color="000000" w:fill="BFBFBF"/>
            <w:vAlign w:val="center"/>
            <w:hideMark/>
          </w:tcPr>
          <w:p w14:paraId="0B9FE6F9"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SUPUESTO</w:t>
            </w:r>
          </w:p>
        </w:tc>
      </w:tr>
      <w:tr w:rsidR="00E23746" w:rsidRPr="00574DAC" w14:paraId="4CCF662E" w14:textId="77777777" w:rsidTr="006B434D">
        <w:trPr>
          <w:gridAfter w:val="1"/>
          <w:wAfter w:w="18" w:type="dxa"/>
          <w:trHeight w:val="2430"/>
        </w:trPr>
        <w:tc>
          <w:tcPr>
            <w:tcW w:w="1271" w:type="dxa"/>
            <w:tcBorders>
              <w:top w:val="single" w:sz="4" w:space="0" w:color="auto"/>
              <w:left w:val="single" w:sz="4" w:space="0" w:color="auto"/>
              <w:bottom w:val="single" w:sz="4" w:space="0" w:color="auto"/>
              <w:right w:val="single" w:sz="4" w:space="0" w:color="auto"/>
            </w:tcBorders>
            <w:shd w:val="clear" w:color="auto" w:fill="auto"/>
            <w:hideMark/>
          </w:tcPr>
          <w:p w14:paraId="2E4A24F7" w14:textId="77777777" w:rsidR="00E23746" w:rsidRDefault="00E23746" w:rsidP="000B2F10">
            <w:pPr>
              <w:spacing w:after="0" w:line="240" w:lineRule="auto"/>
              <w:jc w:val="center"/>
              <w:rPr>
                <w:rFonts w:cs="Arial"/>
                <w:b/>
                <w:bCs/>
                <w:sz w:val="20"/>
                <w:szCs w:val="20"/>
              </w:rPr>
            </w:pPr>
            <w:r>
              <w:rPr>
                <w:rFonts w:cs="Arial"/>
                <w:b/>
                <w:bCs/>
                <w:sz w:val="20"/>
                <w:szCs w:val="20"/>
              </w:rPr>
              <w:t>Fin</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D78EAAC" w14:textId="77777777" w:rsidR="00E23746" w:rsidRDefault="00E23746" w:rsidP="000B2F10">
            <w:pPr>
              <w:rPr>
                <w:rFonts w:cs="Arial"/>
                <w:sz w:val="20"/>
                <w:szCs w:val="20"/>
              </w:rPr>
            </w:pPr>
            <w:r>
              <w:rPr>
                <w:rFonts w:cs="Arial"/>
                <w:sz w:val="20"/>
                <w:szCs w:val="20"/>
              </w:rPr>
              <w:t>Garantizar el acceso y permanencia a una educación inclusiva y de calidad en todos los niveles educativos que promueva en los educandos aprendizajes para la vida.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2CFCB9C" w14:textId="77777777" w:rsidR="00E23746" w:rsidRDefault="00E23746" w:rsidP="000B2F10">
            <w:pPr>
              <w:rPr>
                <w:rFonts w:cs="Arial"/>
                <w:sz w:val="20"/>
                <w:szCs w:val="20"/>
              </w:rPr>
            </w:pPr>
            <w:r>
              <w:rPr>
                <w:rFonts w:cs="Arial"/>
                <w:sz w:val="20"/>
                <w:szCs w:val="20"/>
              </w:rPr>
              <w:t>F - Contribuir a garantizar el acceso y permanencia a una educación inclusiva y de calidad en todos los niveles educativos que promueva en los educandos aprendizajes para la vida mediante estrategias de atención a la demanda y permanencia.</w:t>
            </w:r>
          </w:p>
        </w:tc>
        <w:tc>
          <w:tcPr>
            <w:tcW w:w="2268" w:type="dxa"/>
            <w:tcBorders>
              <w:top w:val="single" w:sz="4" w:space="0" w:color="auto"/>
              <w:left w:val="single" w:sz="4" w:space="0" w:color="auto"/>
              <w:bottom w:val="single" w:sz="4" w:space="0" w:color="auto"/>
              <w:right w:val="single" w:sz="4" w:space="0" w:color="auto"/>
            </w:tcBorders>
            <w:shd w:val="clear" w:color="FFFFFF" w:fill="FFFFFF"/>
            <w:hideMark/>
          </w:tcPr>
          <w:p w14:paraId="08C2F4B8" w14:textId="77777777" w:rsidR="00E23746" w:rsidRDefault="00E23746" w:rsidP="000B2F10">
            <w:pPr>
              <w:rPr>
                <w:rFonts w:cs="Arial"/>
                <w:sz w:val="20"/>
                <w:szCs w:val="20"/>
              </w:rPr>
            </w:pPr>
            <w:r>
              <w:rPr>
                <w:rFonts w:cs="Arial"/>
                <w:sz w:val="20"/>
                <w:szCs w:val="20"/>
              </w:rPr>
              <w:t>Tasa de cobertura estatal de educación superior.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A32F08A" w14:textId="77777777" w:rsidR="00E23746" w:rsidRDefault="00E23746" w:rsidP="000B2F10">
            <w:pPr>
              <w:rPr>
                <w:rFonts w:cs="Arial"/>
                <w:sz w:val="20"/>
                <w:szCs w:val="20"/>
              </w:rPr>
            </w:pPr>
            <w:r w:rsidRPr="00846E84">
              <w:rPr>
                <w:rFonts w:eastAsia="Times New Roman" w:cs="Arial"/>
                <w:sz w:val="20"/>
                <w:szCs w:val="20"/>
                <w:lang w:val="es-MX" w:eastAsia="es-MX"/>
              </w:rPr>
              <w:t>Estadísticas continúas del formato 911, matrícula de inicio de ciclo escolar, SEQ. Proyecciones de población por edad desplegada, entidad federativa (Quintana Roo) 1970-2050, CONAPO, https://qroo.gob.mx/seq/medios-de-verificacion-de-la-planeacion-anual</w:t>
            </w:r>
            <w:r>
              <w:rPr>
                <w:rFonts w:eastAsia="Times New Roman" w:cs="Arial"/>
                <w:sz w:val="20"/>
                <w:szCs w:val="20"/>
                <w:lang w:val="es-MX" w:eastAsia="es-MX"/>
              </w:rPr>
              <w:t>.</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14:paraId="4F42B2BA" w14:textId="77777777" w:rsidR="00E23746" w:rsidRDefault="00E23746" w:rsidP="000B2F10">
            <w:pPr>
              <w:rPr>
                <w:rFonts w:cs="Arial"/>
                <w:sz w:val="20"/>
                <w:szCs w:val="20"/>
              </w:rPr>
            </w:pPr>
            <w:r>
              <w:rPr>
                <w:rFonts w:cs="Arial"/>
                <w:sz w:val="20"/>
                <w:szCs w:val="20"/>
              </w:rPr>
              <w:t>La población del Estado obtiene una educación integral de calidad que les permite progresar individual y colectivamente.</w:t>
            </w:r>
          </w:p>
        </w:tc>
      </w:tr>
      <w:tr w:rsidR="00E23746" w:rsidRPr="00574DAC" w14:paraId="0564BA54" w14:textId="77777777" w:rsidTr="006B434D">
        <w:trPr>
          <w:gridAfter w:val="1"/>
          <w:wAfter w:w="18" w:type="dxa"/>
          <w:trHeight w:val="409"/>
        </w:trPr>
        <w:tc>
          <w:tcPr>
            <w:tcW w:w="1271" w:type="dxa"/>
            <w:tcBorders>
              <w:top w:val="single" w:sz="4" w:space="0" w:color="auto"/>
              <w:left w:val="single" w:sz="4" w:space="0" w:color="auto"/>
              <w:bottom w:val="single" w:sz="4" w:space="0" w:color="auto"/>
              <w:right w:val="single" w:sz="4" w:space="0" w:color="auto"/>
            </w:tcBorders>
            <w:shd w:val="clear" w:color="auto" w:fill="auto"/>
            <w:hideMark/>
          </w:tcPr>
          <w:p w14:paraId="4B8FE008" w14:textId="77777777" w:rsidR="00E23746" w:rsidRDefault="00E23746" w:rsidP="000B2F10">
            <w:pPr>
              <w:jc w:val="center"/>
              <w:rPr>
                <w:rFonts w:cs="Arial"/>
                <w:b/>
                <w:bCs/>
                <w:sz w:val="20"/>
                <w:szCs w:val="20"/>
              </w:rPr>
            </w:pPr>
            <w:r>
              <w:rPr>
                <w:rFonts w:cs="Arial"/>
                <w:b/>
                <w:bCs/>
                <w:sz w:val="20"/>
                <w:szCs w:val="20"/>
              </w:rPr>
              <w:t>Propósito</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9926D44" w14:textId="77777777" w:rsidR="00E23746" w:rsidRPr="00454962" w:rsidRDefault="00E23746" w:rsidP="000B2F10">
            <w:pPr>
              <w:rPr>
                <w:rFonts w:cs="Arial"/>
                <w:sz w:val="18"/>
                <w:szCs w:val="20"/>
              </w:rPr>
            </w:pPr>
            <w:r w:rsidRPr="00454962">
              <w:rPr>
                <w:rFonts w:cs="Arial"/>
                <w:sz w:val="18"/>
                <w:szCs w:val="20"/>
              </w:rPr>
              <w:t>Asegurar la calidad de la formación profesional a través de programas y proyectos que favorezcan la continuidad y conclusión de los estudiantes de educación superior, acorde a las necesidades que requiere el desarrollo social y económico del estado.</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176CC28" w14:textId="77777777" w:rsidR="00E23746" w:rsidRPr="00454962" w:rsidRDefault="00E23746" w:rsidP="000B2F10">
            <w:pPr>
              <w:rPr>
                <w:rFonts w:cs="Arial"/>
                <w:sz w:val="18"/>
                <w:szCs w:val="20"/>
              </w:rPr>
            </w:pPr>
            <w:r w:rsidRPr="00454962">
              <w:rPr>
                <w:rFonts w:cs="Arial"/>
                <w:sz w:val="18"/>
                <w:szCs w:val="20"/>
              </w:rPr>
              <w:t>P - Los alumnos de educación superior aseguran la continuidad y conclusión de sus estudios a través de programas y proyectos que favorezcan la calidad de la formación profesional.</w:t>
            </w:r>
          </w:p>
        </w:tc>
        <w:tc>
          <w:tcPr>
            <w:tcW w:w="2268" w:type="dxa"/>
            <w:tcBorders>
              <w:top w:val="single" w:sz="4" w:space="0" w:color="auto"/>
              <w:left w:val="single" w:sz="4" w:space="0" w:color="auto"/>
              <w:bottom w:val="single" w:sz="4" w:space="0" w:color="auto"/>
              <w:right w:val="single" w:sz="4" w:space="0" w:color="auto"/>
            </w:tcBorders>
            <w:shd w:val="clear" w:color="FFFFFF" w:fill="FFFFFF"/>
            <w:hideMark/>
          </w:tcPr>
          <w:p w14:paraId="3582D713" w14:textId="77777777" w:rsidR="00E23746" w:rsidRPr="00454962" w:rsidRDefault="00E23746" w:rsidP="000B2F10">
            <w:pPr>
              <w:rPr>
                <w:rFonts w:cs="Arial"/>
                <w:sz w:val="18"/>
                <w:szCs w:val="20"/>
              </w:rPr>
            </w:pPr>
            <w:r w:rsidRPr="00454962">
              <w:rPr>
                <w:rFonts w:cs="Arial"/>
                <w:sz w:val="18"/>
                <w:szCs w:val="20"/>
              </w:rPr>
              <w:t>Tasa de eficiencia terminal de educación superior.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781C4BF" w14:textId="77777777" w:rsidR="00E23746" w:rsidRPr="00454962" w:rsidRDefault="00E23746" w:rsidP="000B2F10">
            <w:pPr>
              <w:rPr>
                <w:rFonts w:cs="Arial"/>
                <w:sz w:val="18"/>
                <w:szCs w:val="20"/>
              </w:rPr>
            </w:pPr>
            <w:r w:rsidRPr="00454962">
              <w:rPr>
                <w:rFonts w:cs="Arial"/>
                <w:sz w:val="18"/>
                <w:szCs w:val="20"/>
              </w:rPr>
              <w:t>Estadísticas continúas del formato 911 inicio de ciclo escolar, SEQ.Liga:https://qroo.gob.mx/seq/medios-de-verificacion-de-la-planeacion-anual.</w:t>
            </w:r>
          </w:p>
        </w:tc>
        <w:tc>
          <w:tcPr>
            <w:tcW w:w="2127" w:type="dxa"/>
            <w:tcBorders>
              <w:top w:val="single" w:sz="4" w:space="0" w:color="auto"/>
              <w:left w:val="single" w:sz="4" w:space="0" w:color="auto"/>
              <w:bottom w:val="single" w:sz="4" w:space="0" w:color="auto"/>
              <w:right w:val="single" w:sz="4" w:space="0" w:color="auto"/>
            </w:tcBorders>
            <w:shd w:val="clear" w:color="FFFFFF" w:fill="FFFFFF"/>
            <w:hideMark/>
          </w:tcPr>
          <w:p w14:paraId="4865D337" w14:textId="77777777" w:rsidR="00E23746" w:rsidRPr="00454962" w:rsidRDefault="00E23746" w:rsidP="000B2F10">
            <w:pPr>
              <w:rPr>
                <w:rFonts w:cs="Arial"/>
                <w:sz w:val="18"/>
                <w:szCs w:val="20"/>
              </w:rPr>
            </w:pPr>
            <w:r w:rsidRPr="00454962">
              <w:rPr>
                <w:rFonts w:cs="Arial"/>
                <w:sz w:val="18"/>
                <w:szCs w:val="20"/>
              </w:rPr>
              <w:t>Los alumnos de educación superior concluyen sus estudios.</w:t>
            </w:r>
          </w:p>
        </w:tc>
      </w:tr>
    </w:tbl>
    <w:p w14:paraId="38B5897F" w14:textId="77777777" w:rsidR="00E83FE2" w:rsidRDefault="00E83FE2">
      <w:pPr>
        <w:spacing w:after="0" w:line="240" w:lineRule="auto"/>
        <w:jc w:val="left"/>
      </w:pPr>
      <w:r>
        <w:br w:type="page"/>
      </w:r>
    </w:p>
    <w:tbl>
      <w:tblPr>
        <w:tblW w:w="14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3"/>
        <w:gridCol w:w="2693"/>
        <w:gridCol w:w="2835"/>
        <w:gridCol w:w="2268"/>
        <w:gridCol w:w="2835"/>
        <w:gridCol w:w="2127"/>
      </w:tblGrid>
      <w:tr w:rsidR="00E23746" w:rsidRPr="00574DAC" w14:paraId="43B36502" w14:textId="77777777" w:rsidTr="003F037A">
        <w:trPr>
          <w:trHeight w:val="679"/>
        </w:trPr>
        <w:tc>
          <w:tcPr>
            <w:tcW w:w="1413" w:type="dxa"/>
            <w:shd w:val="clear" w:color="000000" w:fill="BFBFBF"/>
            <w:vAlign w:val="center"/>
            <w:hideMark/>
          </w:tcPr>
          <w:p w14:paraId="044CD7B9"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lastRenderedPageBreak/>
              <w:t>NIVEL</w:t>
            </w:r>
          </w:p>
        </w:tc>
        <w:tc>
          <w:tcPr>
            <w:tcW w:w="2693" w:type="dxa"/>
            <w:shd w:val="clear" w:color="000000" w:fill="BFBFBF"/>
            <w:vAlign w:val="center"/>
            <w:hideMark/>
          </w:tcPr>
          <w:p w14:paraId="12FC9852"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ALINEACIÓN PED/PD</w:t>
            </w:r>
          </w:p>
        </w:tc>
        <w:tc>
          <w:tcPr>
            <w:tcW w:w="2835" w:type="dxa"/>
            <w:shd w:val="clear" w:color="000000" w:fill="BFBFBF"/>
            <w:vAlign w:val="center"/>
            <w:hideMark/>
          </w:tcPr>
          <w:p w14:paraId="7F6C3988"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OBJETIVO</w:t>
            </w:r>
          </w:p>
        </w:tc>
        <w:tc>
          <w:tcPr>
            <w:tcW w:w="2268" w:type="dxa"/>
            <w:shd w:val="clear" w:color="000000" w:fill="BFBFBF"/>
            <w:vAlign w:val="center"/>
            <w:hideMark/>
          </w:tcPr>
          <w:p w14:paraId="75E81C00"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INDICADOR</w:t>
            </w:r>
          </w:p>
        </w:tc>
        <w:tc>
          <w:tcPr>
            <w:tcW w:w="2835" w:type="dxa"/>
            <w:shd w:val="clear" w:color="000000" w:fill="BFBFBF"/>
            <w:vAlign w:val="center"/>
            <w:hideMark/>
          </w:tcPr>
          <w:p w14:paraId="6487271B"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MEDIOS DE VERIFICACIÓN</w:t>
            </w:r>
          </w:p>
        </w:tc>
        <w:tc>
          <w:tcPr>
            <w:tcW w:w="2127" w:type="dxa"/>
            <w:shd w:val="clear" w:color="000000" w:fill="BFBFBF"/>
            <w:vAlign w:val="center"/>
            <w:hideMark/>
          </w:tcPr>
          <w:p w14:paraId="2FF4216F"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SUPUESTO</w:t>
            </w:r>
          </w:p>
        </w:tc>
      </w:tr>
      <w:tr w:rsidR="00E23746" w:rsidRPr="00574DAC" w14:paraId="39945F89" w14:textId="77777777" w:rsidTr="003F037A">
        <w:trPr>
          <w:trHeight w:val="1926"/>
        </w:trPr>
        <w:tc>
          <w:tcPr>
            <w:tcW w:w="1413" w:type="dxa"/>
            <w:shd w:val="clear" w:color="auto" w:fill="auto"/>
            <w:hideMark/>
          </w:tcPr>
          <w:p w14:paraId="5436D4B8" w14:textId="77777777" w:rsidR="00E23746" w:rsidRDefault="00E23746" w:rsidP="000B2F10">
            <w:pPr>
              <w:jc w:val="center"/>
              <w:rPr>
                <w:rFonts w:cs="Arial"/>
                <w:b/>
                <w:bCs/>
                <w:sz w:val="20"/>
                <w:szCs w:val="20"/>
              </w:rPr>
            </w:pPr>
            <w:r>
              <w:rPr>
                <w:rFonts w:cs="Arial"/>
                <w:b/>
                <w:bCs/>
                <w:sz w:val="20"/>
                <w:szCs w:val="20"/>
              </w:rPr>
              <w:t>Componente</w:t>
            </w:r>
          </w:p>
        </w:tc>
        <w:tc>
          <w:tcPr>
            <w:tcW w:w="2693" w:type="dxa"/>
            <w:shd w:val="clear" w:color="auto" w:fill="auto"/>
            <w:hideMark/>
          </w:tcPr>
          <w:p w14:paraId="568B6C43" w14:textId="77777777" w:rsidR="00E23746" w:rsidRDefault="00E23746" w:rsidP="000B2F10">
            <w:pPr>
              <w:rPr>
                <w:rFonts w:cs="Arial"/>
                <w:sz w:val="20"/>
                <w:szCs w:val="20"/>
              </w:rPr>
            </w:pPr>
            <w:r>
              <w:rPr>
                <w:rFonts w:cs="Arial"/>
                <w:sz w:val="20"/>
                <w:szCs w:val="20"/>
              </w:rPr>
              <w:t>Fortalecer la oferta educativa de las instituciones de educación superior para asegurar la pertinencia con base en las necesidades de la entidad.</w:t>
            </w:r>
          </w:p>
        </w:tc>
        <w:tc>
          <w:tcPr>
            <w:tcW w:w="2835" w:type="dxa"/>
            <w:shd w:val="clear" w:color="auto" w:fill="auto"/>
            <w:hideMark/>
          </w:tcPr>
          <w:p w14:paraId="3DC522E0" w14:textId="77777777" w:rsidR="00E23746" w:rsidRDefault="00E23746" w:rsidP="000B2F10">
            <w:pPr>
              <w:rPr>
                <w:rFonts w:cs="Arial"/>
                <w:sz w:val="20"/>
                <w:szCs w:val="20"/>
              </w:rPr>
            </w:pPr>
            <w:r>
              <w:rPr>
                <w:rFonts w:cs="Arial"/>
                <w:sz w:val="20"/>
                <w:szCs w:val="20"/>
              </w:rPr>
              <w:t>C01 - Educación superior con calidad y pertinencia impartida.</w:t>
            </w:r>
          </w:p>
        </w:tc>
        <w:tc>
          <w:tcPr>
            <w:tcW w:w="2268" w:type="dxa"/>
            <w:shd w:val="clear" w:color="FFFFFF" w:fill="FFFFFF"/>
            <w:hideMark/>
          </w:tcPr>
          <w:p w14:paraId="4ED7D1BA" w14:textId="77777777" w:rsidR="00E23746" w:rsidRDefault="00E23746" w:rsidP="000B2F10">
            <w:pPr>
              <w:rPr>
                <w:rFonts w:cs="Arial"/>
                <w:sz w:val="20"/>
                <w:szCs w:val="20"/>
              </w:rPr>
            </w:pPr>
            <w:r>
              <w:rPr>
                <w:rFonts w:cs="Arial"/>
                <w:sz w:val="20"/>
                <w:szCs w:val="20"/>
              </w:rPr>
              <w:t>C01 - Porcentaje de absorción en las Instituciones de Educación Superior en Quintana Roo.</w:t>
            </w:r>
          </w:p>
        </w:tc>
        <w:tc>
          <w:tcPr>
            <w:tcW w:w="2835" w:type="dxa"/>
            <w:shd w:val="clear" w:color="auto" w:fill="auto"/>
            <w:hideMark/>
          </w:tcPr>
          <w:p w14:paraId="4895AB0E" w14:textId="77777777" w:rsidR="00E23746" w:rsidRDefault="00E23746" w:rsidP="000B2F10">
            <w:pPr>
              <w:rPr>
                <w:rFonts w:cs="Arial"/>
                <w:sz w:val="20"/>
                <w:szCs w:val="20"/>
              </w:rPr>
            </w:pPr>
            <w:r>
              <w:rPr>
                <w:rFonts w:cs="Arial"/>
                <w:sz w:val="20"/>
                <w:szCs w:val="20"/>
              </w:rPr>
              <w:t>Reporte del sistema estadístico 911, inicio de ciclo escolar, SEQ.https://qroo.gob.mx/seq/medios-de-verificacion-de-la-planeacion-anual.</w:t>
            </w:r>
          </w:p>
        </w:tc>
        <w:tc>
          <w:tcPr>
            <w:tcW w:w="2127" w:type="dxa"/>
            <w:shd w:val="clear" w:color="auto" w:fill="auto"/>
            <w:hideMark/>
          </w:tcPr>
          <w:p w14:paraId="30D013CD" w14:textId="77777777" w:rsidR="00E23746" w:rsidRDefault="00E23746" w:rsidP="000B2F10">
            <w:pPr>
              <w:rPr>
                <w:rFonts w:cs="Arial"/>
                <w:sz w:val="20"/>
                <w:szCs w:val="20"/>
              </w:rPr>
            </w:pPr>
            <w:r>
              <w:rPr>
                <w:rFonts w:cs="Arial"/>
                <w:sz w:val="20"/>
                <w:szCs w:val="20"/>
              </w:rPr>
              <w:t>Los alumnos que egresan del nivel educativo medio superior continúan sus estudios de tipos superior en la Entidad.</w:t>
            </w:r>
          </w:p>
        </w:tc>
      </w:tr>
      <w:tr w:rsidR="00E23746" w:rsidRPr="00574DAC" w14:paraId="7F7D736B" w14:textId="77777777" w:rsidTr="003F037A">
        <w:trPr>
          <w:trHeight w:val="1912"/>
        </w:trPr>
        <w:tc>
          <w:tcPr>
            <w:tcW w:w="1413" w:type="dxa"/>
            <w:shd w:val="clear" w:color="auto" w:fill="auto"/>
            <w:hideMark/>
          </w:tcPr>
          <w:p w14:paraId="0C21F03A" w14:textId="77777777" w:rsidR="00E23746" w:rsidRDefault="00E23746" w:rsidP="000B2F10">
            <w:pPr>
              <w:jc w:val="center"/>
              <w:rPr>
                <w:rFonts w:cs="Arial"/>
                <w:b/>
                <w:bCs/>
                <w:sz w:val="20"/>
                <w:szCs w:val="20"/>
              </w:rPr>
            </w:pPr>
            <w:r>
              <w:rPr>
                <w:rFonts w:cs="Arial"/>
                <w:b/>
                <w:bCs/>
                <w:sz w:val="20"/>
                <w:szCs w:val="20"/>
              </w:rPr>
              <w:t>Actividad</w:t>
            </w:r>
          </w:p>
        </w:tc>
        <w:tc>
          <w:tcPr>
            <w:tcW w:w="2693" w:type="dxa"/>
            <w:shd w:val="clear" w:color="auto" w:fill="auto"/>
            <w:hideMark/>
          </w:tcPr>
          <w:p w14:paraId="0D09924D" w14:textId="77777777" w:rsidR="00E23746" w:rsidRDefault="00E23746" w:rsidP="000B2F10">
            <w:pPr>
              <w:rPr>
                <w:rFonts w:cs="Arial"/>
                <w:sz w:val="20"/>
                <w:szCs w:val="20"/>
              </w:rPr>
            </w:pPr>
            <w:r>
              <w:rPr>
                <w:rFonts w:cs="Arial"/>
                <w:sz w:val="20"/>
                <w:szCs w:val="20"/>
              </w:rPr>
              <w:t>Desarrollar una estrategia integral que permita ampliar la cobertura educativa de nivel superior en las instituciones públicas.</w:t>
            </w:r>
          </w:p>
        </w:tc>
        <w:tc>
          <w:tcPr>
            <w:tcW w:w="2835" w:type="dxa"/>
            <w:shd w:val="clear" w:color="auto" w:fill="auto"/>
            <w:hideMark/>
          </w:tcPr>
          <w:p w14:paraId="433E5469" w14:textId="77777777" w:rsidR="00E23746" w:rsidRDefault="00E23746" w:rsidP="000B2F10">
            <w:pPr>
              <w:rPr>
                <w:rFonts w:cs="Arial"/>
                <w:sz w:val="20"/>
                <w:szCs w:val="20"/>
              </w:rPr>
            </w:pPr>
            <w:r>
              <w:rPr>
                <w:rFonts w:cs="Arial"/>
                <w:sz w:val="20"/>
                <w:szCs w:val="20"/>
              </w:rPr>
              <w:t>C01.A01 - Coordinación de la Feria de orientación educativa del nivel superior.</w:t>
            </w:r>
          </w:p>
        </w:tc>
        <w:tc>
          <w:tcPr>
            <w:tcW w:w="2268" w:type="dxa"/>
            <w:shd w:val="clear" w:color="FFFFFF" w:fill="FFFFFF"/>
            <w:hideMark/>
          </w:tcPr>
          <w:p w14:paraId="49392213" w14:textId="77777777" w:rsidR="00E23746" w:rsidRDefault="00E23746" w:rsidP="000B2F10">
            <w:pPr>
              <w:rPr>
                <w:rFonts w:cs="Arial"/>
                <w:sz w:val="20"/>
                <w:szCs w:val="20"/>
              </w:rPr>
            </w:pPr>
            <w:r>
              <w:rPr>
                <w:rFonts w:cs="Arial"/>
                <w:sz w:val="20"/>
                <w:szCs w:val="20"/>
              </w:rPr>
              <w:t>C01A01 - Porcentaje de Instituciones de Educación Superior participantes en la Feria de orientación educativa del nivel superior en el año.</w:t>
            </w:r>
          </w:p>
        </w:tc>
        <w:tc>
          <w:tcPr>
            <w:tcW w:w="2835" w:type="dxa"/>
            <w:shd w:val="clear" w:color="auto" w:fill="auto"/>
            <w:hideMark/>
          </w:tcPr>
          <w:p w14:paraId="2FDD1C41" w14:textId="77777777" w:rsidR="00E23746" w:rsidRDefault="00E23746" w:rsidP="000B2F10">
            <w:pPr>
              <w:rPr>
                <w:rFonts w:cs="Arial"/>
                <w:sz w:val="20"/>
                <w:szCs w:val="20"/>
              </w:rPr>
            </w:pPr>
            <w:r>
              <w:rPr>
                <w:rFonts w:cs="Arial"/>
                <w:sz w:val="20"/>
                <w:szCs w:val="20"/>
              </w:rPr>
              <w:t>Convocatoria y Formato de registro de instituciones participantes.SEQ.Liga:qroo.gob.mx/seq/medios-de-verificacion-de-la-planeacion-anual.</w:t>
            </w:r>
          </w:p>
        </w:tc>
        <w:tc>
          <w:tcPr>
            <w:tcW w:w="2127" w:type="dxa"/>
            <w:shd w:val="clear" w:color="auto" w:fill="auto"/>
            <w:hideMark/>
          </w:tcPr>
          <w:p w14:paraId="41D2F18E" w14:textId="77777777" w:rsidR="00E23746" w:rsidRDefault="00E23746" w:rsidP="000B2F10">
            <w:pPr>
              <w:rPr>
                <w:rFonts w:cs="Arial"/>
                <w:sz w:val="20"/>
                <w:szCs w:val="20"/>
              </w:rPr>
            </w:pPr>
            <w:r>
              <w:rPr>
                <w:rFonts w:cs="Arial"/>
                <w:sz w:val="20"/>
                <w:szCs w:val="20"/>
              </w:rPr>
              <w:t>Los directivos promueven sus Instituciones a través de la Feria de orientación educativa del nivel superior.</w:t>
            </w:r>
          </w:p>
          <w:p w14:paraId="5091ABED" w14:textId="0E252396" w:rsidR="001906E0" w:rsidRDefault="001906E0" w:rsidP="000B2F10">
            <w:pPr>
              <w:rPr>
                <w:rFonts w:cs="Arial"/>
                <w:sz w:val="20"/>
                <w:szCs w:val="20"/>
              </w:rPr>
            </w:pPr>
          </w:p>
        </w:tc>
      </w:tr>
      <w:tr w:rsidR="00E23746" w:rsidRPr="00574DAC" w14:paraId="53653128" w14:textId="77777777" w:rsidTr="003F037A">
        <w:trPr>
          <w:trHeight w:val="692"/>
        </w:trPr>
        <w:tc>
          <w:tcPr>
            <w:tcW w:w="1413" w:type="dxa"/>
            <w:shd w:val="clear" w:color="auto" w:fill="auto"/>
            <w:hideMark/>
          </w:tcPr>
          <w:p w14:paraId="0AC1C54A" w14:textId="77777777" w:rsidR="00E23746" w:rsidRDefault="00E23746" w:rsidP="000B2F10">
            <w:pPr>
              <w:jc w:val="center"/>
              <w:rPr>
                <w:rFonts w:cs="Arial"/>
                <w:b/>
                <w:bCs/>
                <w:sz w:val="20"/>
                <w:szCs w:val="20"/>
              </w:rPr>
            </w:pPr>
            <w:r>
              <w:rPr>
                <w:rFonts w:cs="Arial"/>
                <w:b/>
                <w:bCs/>
                <w:sz w:val="20"/>
                <w:szCs w:val="20"/>
              </w:rPr>
              <w:t>Actividad</w:t>
            </w:r>
          </w:p>
        </w:tc>
        <w:tc>
          <w:tcPr>
            <w:tcW w:w="2693" w:type="dxa"/>
            <w:shd w:val="clear" w:color="auto" w:fill="auto"/>
            <w:hideMark/>
          </w:tcPr>
          <w:p w14:paraId="46BA4D46" w14:textId="77777777" w:rsidR="00E23746" w:rsidRDefault="00E23746" w:rsidP="000B2F10">
            <w:pPr>
              <w:rPr>
                <w:rFonts w:cs="Arial"/>
                <w:sz w:val="20"/>
                <w:szCs w:val="20"/>
              </w:rPr>
            </w:pPr>
            <w:r>
              <w:rPr>
                <w:rFonts w:cs="Arial"/>
                <w:sz w:val="20"/>
                <w:szCs w:val="20"/>
              </w:rPr>
              <w:t>Desarrollar una estrategia integral que permita ampliar la cobertura educativa de nivel superior en las instituciones públicas.</w:t>
            </w:r>
          </w:p>
        </w:tc>
        <w:tc>
          <w:tcPr>
            <w:tcW w:w="2835" w:type="dxa"/>
            <w:shd w:val="clear" w:color="auto" w:fill="auto"/>
            <w:hideMark/>
          </w:tcPr>
          <w:p w14:paraId="74334267" w14:textId="77777777" w:rsidR="00E23746" w:rsidRDefault="00E23746" w:rsidP="000B2F10">
            <w:pPr>
              <w:rPr>
                <w:rFonts w:cs="Arial"/>
                <w:sz w:val="20"/>
                <w:szCs w:val="20"/>
              </w:rPr>
            </w:pPr>
            <w:r>
              <w:rPr>
                <w:rFonts w:cs="Arial"/>
                <w:sz w:val="20"/>
                <w:szCs w:val="20"/>
              </w:rPr>
              <w:t>C01.A02 - Coordinar las Juntas Directivas a Organismos Públicos Descentralizados.</w:t>
            </w:r>
          </w:p>
        </w:tc>
        <w:tc>
          <w:tcPr>
            <w:tcW w:w="2268" w:type="dxa"/>
            <w:shd w:val="clear" w:color="FFFFFF" w:fill="FFFFFF"/>
            <w:hideMark/>
          </w:tcPr>
          <w:p w14:paraId="6D8770A9" w14:textId="77777777" w:rsidR="00E23746" w:rsidRDefault="00E23746" w:rsidP="000B2F10">
            <w:pPr>
              <w:rPr>
                <w:rFonts w:cs="Arial"/>
                <w:sz w:val="20"/>
                <w:szCs w:val="20"/>
              </w:rPr>
            </w:pPr>
            <w:r>
              <w:rPr>
                <w:rFonts w:cs="Arial"/>
                <w:sz w:val="20"/>
                <w:szCs w:val="20"/>
              </w:rPr>
              <w:t>C01A02 - Porcentaje de Juntas Directivas realizadas con base en el calendario.</w:t>
            </w:r>
          </w:p>
        </w:tc>
        <w:tc>
          <w:tcPr>
            <w:tcW w:w="2835" w:type="dxa"/>
            <w:shd w:val="clear" w:color="auto" w:fill="auto"/>
            <w:hideMark/>
          </w:tcPr>
          <w:p w14:paraId="7FF9FE59" w14:textId="77777777" w:rsidR="00E23746" w:rsidRDefault="00E23746" w:rsidP="000B2F10">
            <w:pPr>
              <w:rPr>
                <w:rFonts w:cs="Arial"/>
                <w:sz w:val="20"/>
                <w:szCs w:val="20"/>
              </w:rPr>
            </w:pPr>
            <w:r>
              <w:rPr>
                <w:rFonts w:cs="Arial"/>
                <w:sz w:val="20"/>
                <w:szCs w:val="20"/>
              </w:rPr>
              <w:t>Invitaciones, minutas de trabajo y listas de asistencia.SEQ. Liga: https://qroo.gob.mx/seq/medios-de-verificacion-de-la-planeacion-anual.</w:t>
            </w:r>
          </w:p>
        </w:tc>
        <w:tc>
          <w:tcPr>
            <w:tcW w:w="2127" w:type="dxa"/>
            <w:shd w:val="clear" w:color="auto" w:fill="auto"/>
            <w:hideMark/>
          </w:tcPr>
          <w:p w14:paraId="6AB2409A" w14:textId="48FA09EA" w:rsidR="001906E0" w:rsidRDefault="00E23746" w:rsidP="00204AFF">
            <w:pPr>
              <w:rPr>
                <w:rFonts w:cs="Arial"/>
                <w:sz w:val="20"/>
                <w:szCs w:val="20"/>
              </w:rPr>
            </w:pPr>
            <w:r>
              <w:rPr>
                <w:rFonts w:cs="Arial"/>
                <w:sz w:val="20"/>
                <w:szCs w:val="20"/>
              </w:rPr>
              <w:t>Los integrantes de las H. Juntas Directivas de los Organismos Públicos Descentralizados tienen aportaciones sobre el funcionamiento académico y administrativo.</w:t>
            </w:r>
          </w:p>
        </w:tc>
      </w:tr>
    </w:tbl>
    <w:p w14:paraId="37A45776" w14:textId="77777777" w:rsidR="00E83FE2" w:rsidRDefault="00E83FE2">
      <w:pPr>
        <w:spacing w:after="0" w:line="240" w:lineRule="auto"/>
        <w:jc w:val="left"/>
      </w:pPr>
      <w:r>
        <w:br w:type="page"/>
      </w:r>
    </w:p>
    <w:tbl>
      <w:tblPr>
        <w:tblW w:w="14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3"/>
        <w:gridCol w:w="2693"/>
        <w:gridCol w:w="2835"/>
        <w:gridCol w:w="2268"/>
        <w:gridCol w:w="2835"/>
        <w:gridCol w:w="2127"/>
      </w:tblGrid>
      <w:tr w:rsidR="00E23746" w:rsidRPr="00574DAC" w14:paraId="422D5A60" w14:textId="77777777" w:rsidTr="003F037A">
        <w:trPr>
          <w:trHeight w:val="679"/>
        </w:trPr>
        <w:tc>
          <w:tcPr>
            <w:tcW w:w="1413" w:type="dxa"/>
            <w:shd w:val="clear" w:color="000000" w:fill="BFBFBF"/>
            <w:vAlign w:val="center"/>
            <w:hideMark/>
          </w:tcPr>
          <w:p w14:paraId="6C1BA3DF"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lastRenderedPageBreak/>
              <w:t>NIVEL</w:t>
            </w:r>
          </w:p>
        </w:tc>
        <w:tc>
          <w:tcPr>
            <w:tcW w:w="2693" w:type="dxa"/>
            <w:shd w:val="clear" w:color="000000" w:fill="BFBFBF"/>
            <w:vAlign w:val="center"/>
            <w:hideMark/>
          </w:tcPr>
          <w:p w14:paraId="7B6A81C4"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ALINEACIÓN PED/PD</w:t>
            </w:r>
          </w:p>
        </w:tc>
        <w:tc>
          <w:tcPr>
            <w:tcW w:w="2835" w:type="dxa"/>
            <w:shd w:val="clear" w:color="000000" w:fill="BFBFBF"/>
            <w:vAlign w:val="center"/>
            <w:hideMark/>
          </w:tcPr>
          <w:p w14:paraId="400141CD"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OBJETIVO</w:t>
            </w:r>
          </w:p>
        </w:tc>
        <w:tc>
          <w:tcPr>
            <w:tcW w:w="2268" w:type="dxa"/>
            <w:shd w:val="clear" w:color="000000" w:fill="BFBFBF"/>
            <w:vAlign w:val="center"/>
            <w:hideMark/>
          </w:tcPr>
          <w:p w14:paraId="0B462A38"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INDICADOR</w:t>
            </w:r>
          </w:p>
        </w:tc>
        <w:tc>
          <w:tcPr>
            <w:tcW w:w="2835" w:type="dxa"/>
            <w:shd w:val="clear" w:color="000000" w:fill="BFBFBF"/>
            <w:vAlign w:val="center"/>
            <w:hideMark/>
          </w:tcPr>
          <w:p w14:paraId="1DCE6A88"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MEDIOS DE VERIFICACIÓN</w:t>
            </w:r>
          </w:p>
        </w:tc>
        <w:tc>
          <w:tcPr>
            <w:tcW w:w="2127" w:type="dxa"/>
            <w:shd w:val="clear" w:color="000000" w:fill="BFBFBF"/>
            <w:vAlign w:val="center"/>
            <w:hideMark/>
          </w:tcPr>
          <w:p w14:paraId="12D9A220"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SUPUESTO</w:t>
            </w:r>
          </w:p>
        </w:tc>
      </w:tr>
      <w:tr w:rsidR="00E23746" w:rsidRPr="00574DAC" w14:paraId="7934DE19" w14:textId="77777777" w:rsidTr="003F037A">
        <w:trPr>
          <w:trHeight w:val="2573"/>
        </w:trPr>
        <w:tc>
          <w:tcPr>
            <w:tcW w:w="1413" w:type="dxa"/>
            <w:shd w:val="clear" w:color="auto" w:fill="auto"/>
            <w:hideMark/>
          </w:tcPr>
          <w:p w14:paraId="60F0E9EB" w14:textId="77777777" w:rsidR="00E23746" w:rsidRDefault="00E23746" w:rsidP="000B2F10">
            <w:pPr>
              <w:jc w:val="center"/>
              <w:rPr>
                <w:rFonts w:cs="Arial"/>
                <w:b/>
                <w:bCs/>
                <w:sz w:val="20"/>
                <w:szCs w:val="20"/>
              </w:rPr>
            </w:pPr>
            <w:r>
              <w:rPr>
                <w:rFonts w:cs="Arial"/>
                <w:b/>
                <w:bCs/>
                <w:sz w:val="20"/>
                <w:szCs w:val="20"/>
              </w:rPr>
              <w:t>Componente</w:t>
            </w:r>
          </w:p>
        </w:tc>
        <w:tc>
          <w:tcPr>
            <w:tcW w:w="2693" w:type="dxa"/>
            <w:shd w:val="clear" w:color="auto" w:fill="auto"/>
            <w:hideMark/>
          </w:tcPr>
          <w:p w14:paraId="154ABC6F" w14:textId="77777777" w:rsidR="00E23746" w:rsidRPr="00F808D7" w:rsidRDefault="00E23746" w:rsidP="000B2F10">
            <w:pPr>
              <w:rPr>
                <w:rFonts w:cs="Arial"/>
                <w:sz w:val="18"/>
                <w:szCs w:val="20"/>
              </w:rPr>
            </w:pPr>
            <w:r w:rsidRPr="00F808D7">
              <w:rPr>
                <w:rFonts w:cs="Arial"/>
                <w:sz w:val="18"/>
                <w:szCs w:val="20"/>
              </w:rPr>
              <w:t>Impulsar la acreditación y evaluación de los planes y programas de estudio de educación superior por organismos externos reconocidos a nivel nacional e internacional.</w:t>
            </w:r>
          </w:p>
        </w:tc>
        <w:tc>
          <w:tcPr>
            <w:tcW w:w="2835" w:type="dxa"/>
            <w:shd w:val="clear" w:color="auto" w:fill="auto"/>
            <w:hideMark/>
          </w:tcPr>
          <w:p w14:paraId="6F2B9C8D" w14:textId="77777777" w:rsidR="00E23746" w:rsidRPr="00F808D7" w:rsidRDefault="00E23746" w:rsidP="000B2F10">
            <w:pPr>
              <w:rPr>
                <w:rFonts w:cs="Arial"/>
                <w:sz w:val="18"/>
                <w:szCs w:val="20"/>
              </w:rPr>
            </w:pPr>
            <w:r w:rsidRPr="00F808D7">
              <w:rPr>
                <w:rFonts w:cs="Arial"/>
                <w:sz w:val="18"/>
                <w:szCs w:val="20"/>
              </w:rPr>
              <w:t>C02 - Instituciones con Programas Educativos de calidad ofertados.</w:t>
            </w:r>
          </w:p>
        </w:tc>
        <w:tc>
          <w:tcPr>
            <w:tcW w:w="2268" w:type="dxa"/>
            <w:shd w:val="clear" w:color="FFFFFF" w:fill="FFFFFF"/>
            <w:hideMark/>
          </w:tcPr>
          <w:p w14:paraId="7721D032" w14:textId="77777777" w:rsidR="00E23746" w:rsidRPr="00F808D7" w:rsidRDefault="00E23746" w:rsidP="000B2F10">
            <w:pPr>
              <w:rPr>
                <w:rFonts w:cs="Arial"/>
                <w:sz w:val="18"/>
                <w:szCs w:val="20"/>
              </w:rPr>
            </w:pPr>
            <w:r w:rsidRPr="00F808D7">
              <w:rPr>
                <w:rFonts w:cs="Arial"/>
                <w:sz w:val="18"/>
                <w:szCs w:val="20"/>
              </w:rPr>
              <w:t>C02 - Porcentaje de Instituciones de Educación Superior Públicas y Privadas que imparten programas educativos de calidad.</w:t>
            </w:r>
          </w:p>
        </w:tc>
        <w:tc>
          <w:tcPr>
            <w:tcW w:w="2835" w:type="dxa"/>
            <w:shd w:val="clear" w:color="auto" w:fill="auto"/>
            <w:hideMark/>
          </w:tcPr>
          <w:p w14:paraId="673CFB7B" w14:textId="77777777" w:rsidR="00E23746" w:rsidRPr="00F808D7" w:rsidRDefault="00E23746" w:rsidP="000B2F10">
            <w:pPr>
              <w:rPr>
                <w:rFonts w:cs="Arial"/>
                <w:sz w:val="18"/>
                <w:szCs w:val="20"/>
              </w:rPr>
            </w:pPr>
            <w:r w:rsidRPr="00F808D7">
              <w:rPr>
                <w:rFonts w:cs="Arial"/>
                <w:sz w:val="18"/>
                <w:szCs w:val="20"/>
              </w:rPr>
              <w:t>Concentrado estatal de instituciones con programas educativos evaluados, reporte de avance de las instituciones de educación superior susceptibles de evaluación. SEQ. Liga:https://qroo.gob.mx/seq/medios-de-verificacion-de-la-planeacion-anual.</w:t>
            </w:r>
          </w:p>
        </w:tc>
        <w:tc>
          <w:tcPr>
            <w:tcW w:w="2127" w:type="dxa"/>
            <w:shd w:val="clear" w:color="auto" w:fill="auto"/>
            <w:hideMark/>
          </w:tcPr>
          <w:p w14:paraId="29889E7D" w14:textId="77777777" w:rsidR="00E23746" w:rsidRPr="00F808D7" w:rsidRDefault="00E23746" w:rsidP="000B2F10">
            <w:pPr>
              <w:rPr>
                <w:rFonts w:cs="Arial"/>
                <w:sz w:val="18"/>
                <w:szCs w:val="20"/>
              </w:rPr>
            </w:pPr>
            <w:r w:rsidRPr="00F808D7">
              <w:rPr>
                <w:rFonts w:cs="Arial"/>
                <w:sz w:val="18"/>
                <w:szCs w:val="20"/>
              </w:rPr>
              <w:t>Instituciones públicas y privadas cuentan con programas de calidad.</w:t>
            </w:r>
          </w:p>
        </w:tc>
      </w:tr>
      <w:tr w:rsidR="00E23746" w:rsidRPr="00574DAC" w14:paraId="4506E0FE" w14:textId="77777777" w:rsidTr="003F037A">
        <w:trPr>
          <w:trHeight w:val="409"/>
        </w:trPr>
        <w:tc>
          <w:tcPr>
            <w:tcW w:w="1413" w:type="dxa"/>
            <w:shd w:val="clear" w:color="auto" w:fill="auto"/>
            <w:hideMark/>
          </w:tcPr>
          <w:p w14:paraId="7C396A3A" w14:textId="77777777" w:rsidR="00E23746" w:rsidRDefault="00E23746" w:rsidP="000B2F10">
            <w:pPr>
              <w:jc w:val="center"/>
              <w:rPr>
                <w:rFonts w:cs="Arial"/>
                <w:b/>
                <w:bCs/>
                <w:sz w:val="20"/>
                <w:szCs w:val="20"/>
              </w:rPr>
            </w:pPr>
            <w:r>
              <w:rPr>
                <w:rFonts w:cs="Arial"/>
                <w:b/>
                <w:bCs/>
                <w:sz w:val="20"/>
                <w:szCs w:val="20"/>
              </w:rPr>
              <w:t>Actividad</w:t>
            </w:r>
          </w:p>
        </w:tc>
        <w:tc>
          <w:tcPr>
            <w:tcW w:w="2693" w:type="dxa"/>
            <w:shd w:val="clear" w:color="auto" w:fill="auto"/>
            <w:hideMark/>
          </w:tcPr>
          <w:p w14:paraId="41AD2ABB" w14:textId="77777777" w:rsidR="00E23746" w:rsidRPr="00F808D7" w:rsidRDefault="00E23746" w:rsidP="000B2F10">
            <w:pPr>
              <w:rPr>
                <w:rFonts w:cs="Arial"/>
                <w:sz w:val="18"/>
                <w:szCs w:val="20"/>
              </w:rPr>
            </w:pPr>
            <w:r w:rsidRPr="00F808D7">
              <w:rPr>
                <w:rFonts w:cs="Arial"/>
                <w:sz w:val="18"/>
                <w:szCs w:val="20"/>
              </w:rPr>
              <w:t>Impulsar la acreditación y evaluación de los planes y programas de estudio de educación superior por organismos externos reconocidos a nivel nacional e internacional.</w:t>
            </w:r>
          </w:p>
        </w:tc>
        <w:tc>
          <w:tcPr>
            <w:tcW w:w="2835" w:type="dxa"/>
            <w:shd w:val="clear" w:color="auto" w:fill="auto"/>
            <w:hideMark/>
          </w:tcPr>
          <w:p w14:paraId="2B4D24EC" w14:textId="77777777" w:rsidR="00E23746" w:rsidRPr="00F808D7" w:rsidRDefault="00E23746" w:rsidP="000B2F10">
            <w:pPr>
              <w:rPr>
                <w:rFonts w:cs="Arial"/>
                <w:sz w:val="18"/>
                <w:szCs w:val="20"/>
              </w:rPr>
            </w:pPr>
            <w:r w:rsidRPr="00F808D7">
              <w:rPr>
                <w:rFonts w:cs="Arial"/>
                <w:sz w:val="18"/>
                <w:szCs w:val="20"/>
              </w:rPr>
              <w:t xml:space="preserve"> C02.A01 - Promoción para la evaluación y certificación de programas educativos de calidad ofertados, en instituciones de educación superior Públicas y Privadas.</w:t>
            </w:r>
          </w:p>
        </w:tc>
        <w:tc>
          <w:tcPr>
            <w:tcW w:w="2268" w:type="dxa"/>
            <w:shd w:val="clear" w:color="FFFFFF" w:fill="FFFFFF"/>
            <w:hideMark/>
          </w:tcPr>
          <w:p w14:paraId="498E352B" w14:textId="77777777" w:rsidR="00E23746" w:rsidRPr="00F808D7" w:rsidRDefault="00E23746" w:rsidP="000B2F10">
            <w:pPr>
              <w:rPr>
                <w:rFonts w:cs="Arial"/>
                <w:sz w:val="18"/>
                <w:szCs w:val="20"/>
              </w:rPr>
            </w:pPr>
            <w:r w:rsidRPr="00F808D7">
              <w:rPr>
                <w:rFonts w:cs="Arial"/>
                <w:sz w:val="18"/>
                <w:szCs w:val="20"/>
              </w:rPr>
              <w:t>C02A01 - Porcentaje de Instituciones de Educación Superior Públicas y Privadas promovidas para su evaluación y certificación de programas educativos de calidad, durante el año.</w:t>
            </w:r>
          </w:p>
        </w:tc>
        <w:tc>
          <w:tcPr>
            <w:tcW w:w="2835" w:type="dxa"/>
            <w:shd w:val="clear" w:color="auto" w:fill="auto"/>
            <w:hideMark/>
          </w:tcPr>
          <w:p w14:paraId="6F9A9EBD" w14:textId="77777777" w:rsidR="00E23746" w:rsidRPr="00F808D7" w:rsidRDefault="00E23746" w:rsidP="000B2F10">
            <w:pPr>
              <w:rPr>
                <w:rFonts w:cs="Arial"/>
                <w:sz w:val="18"/>
                <w:szCs w:val="20"/>
              </w:rPr>
            </w:pPr>
            <w:r w:rsidRPr="00F808D7">
              <w:rPr>
                <w:rFonts w:cs="Arial"/>
                <w:sz w:val="18"/>
                <w:szCs w:val="20"/>
              </w:rPr>
              <w:t>Reporte de actividades desarrolladas para el acompañamiento y coordinación de las Instituciones para incidir en la evaluación y certificación de sus programas educativos. SEQ. Liga: https://qroo.gob.mx/seq/medios-de-verificacion-de-la-planeacion-anual.</w:t>
            </w:r>
          </w:p>
        </w:tc>
        <w:tc>
          <w:tcPr>
            <w:tcW w:w="2127" w:type="dxa"/>
            <w:shd w:val="clear" w:color="auto" w:fill="auto"/>
            <w:hideMark/>
          </w:tcPr>
          <w:p w14:paraId="19C8BCFC" w14:textId="77777777" w:rsidR="00E23746" w:rsidRPr="00F808D7" w:rsidRDefault="00E23746" w:rsidP="000B2F10">
            <w:pPr>
              <w:rPr>
                <w:rFonts w:cs="Arial"/>
                <w:sz w:val="18"/>
                <w:szCs w:val="20"/>
              </w:rPr>
            </w:pPr>
            <w:r w:rsidRPr="00F808D7">
              <w:rPr>
                <w:rFonts w:cs="Arial"/>
                <w:sz w:val="18"/>
                <w:szCs w:val="20"/>
              </w:rPr>
              <w:t>Los directivos impulsan y programan la Evaluación y Certificación de sus Programas Educativos de calidad en su Institución.</w:t>
            </w:r>
          </w:p>
        </w:tc>
      </w:tr>
      <w:tr w:rsidR="00E23746" w:rsidRPr="00574DAC" w14:paraId="5B2B4F24" w14:textId="77777777" w:rsidTr="003F037A">
        <w:trPr>
          <w:trHeight w:val="1826"/>
        </w:trPr>
        <w:tc>
          <w:tcPr>
            <w:tcW w:w="1413" w:type="dxa"/>
            <w:shd w:val="clear" w:color="auto" w:fill="auto"/>
            <w:hideMark/>
          </w:tcPr>
          <w:p w14:paraId="33F25B1F" w14:textId="77777777" w:rsidR="00E23746" w:rsidRPr="00454962" w:rsidRDefault="00E23746" w:rsidP="000B2F10">
            <w:pPr>
              <w:jc w:val="center"/>
              <w:rPr>
                <w:rFonts w:cs="Arial"/>
                <w:b/>
                <w:bCs/>
                <w:sz w:val="18"/>
                <w:szCs w:val="20"/>
              </w:rPr>
            </w:pPr>
            <w:r w:rsidRPr="00454962">
              <w:rPr>
                <w:rFonts w:cs="Arial"/>
                <w:b/>
                <w:bCs/>
                <w:sz w:val="18"/>
                <w:szCs w:val="20"/>
              </w:rPr>
              <w:t>Actividad</w:t>
            </w:r>
          </w:p>
        </w:tc>
        <w:tc>
          <w:tcPr>
            <w:tcW w:w="2693" w:type="dxa"/>
            <w:shd w:val="clear" w:color="auto" w:fill="auto"/>
            <w:hideMark/>
          </w:tcPr>
          <w:p w14:paraId="739E8ED9" w14:textId="77777777" w:rsidR="00E23746" w:rsidRPr="00454962" w:rsidRDefault="00E23746" w:rsidP="000B2F10">
            <w:pPr>
              <w:rPr>
                <w:rFonts w:cs="Arial"/>
                <w:sz w:val="18"/>
                <w:szCs w:val="20"/>
              </w:rPr>
            </w:pPr>
            <w:r w:rsidRPr="00454962">
              <w:rPr>
                <w:rFonts w:cs="Arial"/>
                <w:sz w:val="18"/>
                <w:szCs w:val="20"/>
              </w:rPr>
              <w:t>Impulsar la acreditación y evaluación de los planes y programas de estudio de educación superior por organismos externos reconocidos a nivel nacional e internacional.</w:t>
            </w:r>
          </w:p>
        </w:tc>
        <w:tc>
          <w:tcPr>
            <w:tcW w:w="2835" w:type="dxa"/>
            <w:shd w:val="clear" w:color="auto" w:fill="auto"/>
            <w:hideMark/>
          </w:tcPr>
          <w:p w14:paraId="24DB0BD3" w14:textId="77777777" w:rsidR="00E23746" w:rsidRPr="00454962" w:rsidRDefault="00E23746" w:rsidP="000B2F10">
            <w:pPr>
              <w:rPr>
                <w:rFonts w:cs="Arial"/>
                <w:sz w:val="18"/>
                <w:szCs w:val="20"/>
              </w:rPr>
            </w:pPr>
            <w:r w:rsidRPr="00454962">
              <w:rPr>
                <w:rFonts w:cs="Arial"/>
                <w:sz w:val="18"/>
                <w:szCs w:val="20"/>
              </w:rPr>
              <w:t>C02.A02 - Dictaminación de Planes de Estudio para la incorporación, actualización y refrendo del Reconocimiento de Validez Oficial de Estudios.</w:t>
            </w:r>
          </w:p>
        </w:tc>
        <w:tc>
          <w:tcPr>
            <w:tcW w:w="2268" w:type="dxa"/>
            <w:shd w:val="clear" w:color="FFFFFF" w:fill="FFFFFF"/>
            <w:hideMark/>
          </w:tcPr>
          <w:p w14:paraId="02617433" w14:textId="77777777" w:rsidR="00E23746" w:rsidRPr="00454962" w:rsidRDefault="00E23746" w:rsidP="000B2F10">
            <w:pPr>
              <w:rPr>
                <w:rFonts w:cs="Arial"/>
                <w:sz w:val="18"/>
                <w:szCs w:val="20"/>
              </w:rPr>
            </w:pPr>
            <w:r w:rsidRPr="00454962">
              <w:rPr>
                <w:rFonts w:cs="Arial"/>
                <w:sz w:val="18"/>
                <w:szCs w:val="20"/>
              </w:rPr>
              <w:t>C02A02 - Porcentaje de Planes y Programas de Estudio dictaminados para la incorporación, actualización y refrendo del Reconocimiento de Validez Oficial de Estudios, durante el año.</w:t>
            </w:r>
          </w:p>
        </w:tc>
        <w:tc>
          <w:tcPr>
            <w:tcW w:w="2835" w:type="dxa"/>
            <w:shd w:val="clear" w:color="auto" w:fill="auto"/>
            <w:hideMark/>
          </w:tcPr>
          <w:p w14:paraId="6FB37422" w14:textId="77777777" w:rsidR="00E23746" w:rsidRPr="00454962" w:rsidRDefault="00E23746" w:rsidP="000B2F10">
            <w:pPr>
              <w:rPr>
                <w:rFonts w:cs="Arial"/>
                <w:sz w:val="18"/>
                <w:szCs w:val="20"/>
              </w:rPr>
            </w:pPr>
            <w:r w:rsidRPr="00454962">
              <w:rPr>
                <w:rFonts w:cs="Arial"/>
                <w:sz w:val="18"/>
                <w:szCs w:val="20"/>
              </w:rPr>
              <w:t>Dictamines amitidos.SEQ.https://qroo.gob.mx/seq/medios-de-verificacion-de-la-planeacion-anual.</w:t>
            </w:r>
          </w:p>
        </w:tc>
        <w:tc>
          <w:tcPr>
            <w:tcW w:w="2127" w:type="dxa"/>
            <w:shd w:val="clear" w:color="auto" w:fill="auto"/>
            <w:hideMark/>
          </w:tcPr>
          <w:p w14:paraId="527B319E" w14:textId="77777777" w:rsidR="00E23746" w:rsidRPr="00454962" w:rsidRDefault="00E23746" w:rsidP="000B2F10">
            <w:pPr>
              <w:rPr>
                <w:rFonts w:cs="Arial"/>
                <w:sz w:val="18"/>
                <w:szCs w:val="20"/>
              </w:rPr>
            </w:pPr>
            <w:r w:rsidRPr="00454962">
              <w:rPr>
                <w:rFonts w:cs="Arial"/>
                <w:sz w:val="18"/>
                <w:szCs w:val="20"/>
              </w:rPr>
              <w:t>Existe un padrón capacitado y con disponibilidad para realizar la revisión y dictaminación de los Planes de Estudios.</w:t>
            </w:r>
          </w:p>
        </w:tc>
      </w:tr>
    </w:tbl>
    <w:p w14:paraId="4D90B626" w14:textId="77777777" w:rsidR="00E83FE2" w:rsidRDefault="00E83FE2">
      <w:pPr>
        <w:spacing w:after="0" w:line="240" w:lineRule="auto"/>
        <w:jc w:val="left"/>
      </w:pPr>
      <w:r>
        <w:br w:type="page"/>
      </w:r>
    </w:p>
    <w:tbl>
      <w:tblPr>
        <w:tblW w:w="14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3"/>
        <w:gridCol w:w="2693"/>
        <w:gridCol w:w="2835"/>
        <w:gridCol w:w="2268"/>
        <w:gridCol w:w="2835"/>
        <w:gridCol w:w="2127"/>
      </w:tblGrid>
      <w:tr w:rsidR="00E23746" w:rsidRPr="00574DAC" w14:paraId="26D2FAA4" w14:textId="77777777" w:rsidTr="00BF2AA6">
        <w:trPr>
          <w:trHeight w:val="679"/>
        </w:trPr>
        <w:tc>
          <w:tcPr>
            <w:tcW w:w="1413" w:type="dxa"/>
            <w:shd w:val="clear" w:color="000000" w:fill="BFBFBF"/>
            <w:vAlign w:val="center"/>
            <w:hideMark/>
          </w:tcPr>
          <w:p w14:paraId="278802A1"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lastRenderedPageBreak/>
              <w:t>NIVEL</w:t>
            </w:r>
          </w:p>
        </w:tc>
        <w:tc>
          <w:tcPr>
            <w:tcW w:w="2693" w:type="dxa"/>
            <w:shd w:val="clear" w:color="000000" w:fill="BFBFBF"/>
            <w:vAlign w:val="center"/>
            <w:hideMark/>
          </w:tcPr>
          <w:p w14:paraId="27D99934"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ALINEACIÓN PED/PD</w:t>
            </w:r>
          </w:p>
        </w:tc>
        <w:tc>
          <w:tcPr>
            <w:tcW w:w="2835" w:type="dxa"/>
            <w:shd w:val="clear" w:color="000000" w:fill="BFBFBF"/>
            <w:vAlign w:val="center"/>
            <w:hideMark/>
          </w:tcPr>
          <w:p w14:paraId="61D73B00"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OBJETIVO</w:t>
            </w:r>
          </w:p>
        </w:tc>
        <w:tc>
          <w:tcPr>
            <w:tcW w:w="2268" w:type="dxa"/>
            <w:shd w:val="clear" w:color="000000" w:fill="BFBFBF"/>
            <w:vAlign w:val="center"/>
            <w:hideMark/>
          </w:tcPr>
          <w:p w14:paraId="18FF6A69"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INDICADOR</w:t>
            </w:r>
          </w:p>
        </w:tc>
        <w:tc>
          <w:tcPr>
            <w:tcW w:w="2835" w:type="dxa"/>
            <w:shd w:val="clear" w:color="000000" w:fill="BFBFBF"/>
            <w:vAlign w:val="center"/>
            <w:hideMark/>
          </w:tcPr>
          <w:p w14:paraId="19A1F7D8"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MEDIOS DE VERIFICACIÓN</w:t>
            </w:r>
          </w:p>
        </w:tc>
        <w:tc>
          <w:tcPr>
            <w:tcW w:w="2127" w:type="dxa"/>
            <w:shd w:val="clear" w:color="000000" w:fill="BFBFBF"/>
            <w:vAlign w:val="center"/>
            <w:hideMark/>
          </w:tcPr>
          <w:p w14:paraId="75ADC7B2"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SUPUESTO</w:t>
            </w:r>
          </w:p>
        </w:tc>
      </w:tr>
      <w:tr w:rsidR="00E23746" w:rsidRPr="00574DAC" w14:paraId="7A0002C5" w14:textId="77777777" w:rsidTr="00BF2AA6">
        <w:trPr>
          <w:trHeight w:val="2114"/>
        </w:trPr>
        <w:tc>
          <w:tcPr>
            <w:tcW w:w="1413" w:type="dxa"/>
            <w:shd w:val="clear" w:color="auto" w:fill="auto"/>
          </w:tcPr>
          <w:p w14:paraId="06E62C8A" w14:textId="77777777" w:rsidR="00E23746" w:rsidRDefault="00E23746" w:rsidP="000B2F10">
            <w:pPr>
              <w:jc w:val="center"/>
              <w:rPr>
                <w:rFonts w:cs="Arial"/>
                <w:b/>
                <w:bCs/>
                <w:sz w:val="20"/>
                <w:szCs w:val="20"/>
              </w:rPr>
            </w:pPr>
            <w:r>
              <w:rPr>
                <w:rFonts w:cs="Arial"/>
                <w:b/>
                <w:bCs/>
                <w:sz w:val="20"/>
                <w:szCs w:val="20"/>
              </w:rPr>
              <w:t>Componente</w:t>
            </w:r>
          </w:p>
        </w:tc>
        <w:tc>
          <w:tcPr>
            <w:tcW w:w="2693" w:type="dxa"/>
            <w:shd w:val="clear" w:color="auto" w:fill="auto"/>
          </w:tcPr>
          <w:p w14:paraId="47475E22" w14:textId="77777777" w:rsidR="00E23746" w:rsidRPr="00F808D7" w:rsidRDefault="00E23746" w:rsidP="000B2F10">
            <w:pPr>
              <w:rPr>
                <w:rFonts w:cs="Arial"/>
                <w:sz w:val="18"/>
                <w:szCs w:val="20"/>
              </w:rPr>
            </w:pPr>
            <w:r w:rsidRPr="00F808D7">
              <w:rPr>
                <w:rFonts w:cs="Arial"/>
                <w:sz w:val="18"/>
                <w:szCs w:val="20"/>
              </w:rPr>
              <w:t>Impulsar la vinculación con instituciones públicas y privadas para la realización del servicio social, prácticas profesionales o su equivalente y modelo dual por parte de los estudiantes de educación superior.</w:t>
            </w:r>
          </w:p>
        </w:tc>
        <w:tc>
          <w:tcPr>
            <w:tcW w:w="2835" w:type="dxa"/>
            <w:shd w:val="clear" w:color="auto" w:fill="auto"/>
          </w:tcPr>
          <w:p w14:paraId="17F31A71" w14:textId="77777777" w:rsidR="00E23746" w:rsidRPr="00F808D7" w:rsidRDefault="00E23746" w:rsidP="000B2F10">
            <w:pPr>
              <w:rPr>
                <w:rFonts w:cs="Arial"/>
                <w:sz w:val="18"/>
                <w:szCs w:val="20"/>
              </w:rPr>
            </w:pPr>
            <w:r w:rsidRPr="00F808D7">
              <w:rPr>
                <w:rFonts w:cs="Arial"/>
                <w:sz w:val="18"/>
                <w:szCs w:val="20"/>
              </w:rPr>
              <w:t>C03 - Vinculación Interinstitucional realizada.</w:t>
            </w:r>
          </w:p>
        </w:tc>
        <w:tc>
          <w:tcPr>
            <w:tcW w:w="2268" w:type="dxa"/>
            <w:shd w:val="clear" w:color="FFFFFF" w:fill="FFFFFF"/>
          </w:tcPr>
          <w:p w14:paraId="644A1D97" w14:textId="77777777" w:rsidR="00E23746" w:rsidRPr="00F808D7" w:rsidRDefault="00E23746" w:rsidP="000B2F10">
            <w:pPr>
              <w:rPr>
                <w:rFonts w:cs="Arial"/>
                <w:sz w:val="18"/>
                <w:szCs w:val="20"/>
              </w:rPr>
            </w:pPr>
            <w:r w:rsidRPr="00F808D7">
              <w:rPr>
                <w:rFonts w:cs="Arial"/>
                <w:sz w:val="18"/>
                <w:szCs w:val="20"/>
              </w:rPr>
              <w:t>C03 - Porcentaje de instituciones educativas de nivel Superior que participan en actividades de vinculación.</w:t>
            </w:r>
          </w:p>
        </w:tc>
        <w:tc>
          <w:tcPr>
            <w:tcW w:w="2835" w:type="dxa"/>
            <w:shd w:val="clear" w:color="auto" w:fill="auto"/>
          </w:tcPr>
          <w:p w14:paraId="0A5E2112" w14:textId="77777777" w:rsidR="00E23746" w:rsidRPr="00F808D7" w:rsidRDefault="00E23746" w:rsidP="000B2F10">
            <w:pPr>
              <w:rPr>
                <w:rFonts w:cs="Arial"/>
                <w:sz w:val="18"/>
                <w:szCs w:val="20"/>
              </w:rPr>
            </w:pPr>
            <w:r w:rsidRPr="00F808D7">
              <w:rPr>
                <w:rFonts w:cs="Arial"/>
                <w:sz w:val="18"/>
                <w:szCs w:val="20"/>
              </w:rPr>
              <w:t>Convocatorias de las actividades, listas de asistencia, anual. https://qroo.gob.mx/seq/medios-de-verificacion-de-la-planeacion-anual.</w:t>
            </w:r>
          </w:p>
        </w:tc>
        <w:tc>
          <w:tcPr>
            <w:tcW w:w="2127" w:type="dxa"/>
            <w:shd w:val="clear" w:color="auto" w:fill="auto"/>
          </w:tcPr>
          <w:p w14:paraId="582762A4" w14:textId="77777777" w:rsidR="00E23746" w:rsidRPr="00F808D7" w:rsidRDefault="00E23746" w:rsidP="000B2F10">
            <w:pPr>
              <w:rPr>
                <w:rFonts w:cs="Arial"/>
                <w:sz w:val="18"/>
                <w:szCs w:val="20"/>
              </w:rPr>
            </w:pPr>
            <w:r w:rsidRPr="00F808D7">
              <w:rPr>
                <w:rFonts w:cs="Arial"/>
                <w:sz w:val="18"/>
                <w:szCs w:val="20"/>
              </w:rPr>
              <w:t>Los estudiantes participan en los proyectos de vinculación propuestos por las Instituciones de educación superior de la Entidad.</w:t>
            </w:r>
          </w:p>
        </w:tc>
      </w:tr>
      <w:tr w:rsidR="00E23746" w:rsidRPr="00574DAC" w14:paraId="0F8FC453" w14:textId="77777777" w:rsidTr="00BF2AA6">
        <w:trPr>
          <w:trHeight w:val="1826"/>
        </w:trPr>
        <w:tc>
          <w:tcPr>
            <w:tcW w:w="1413" w:type="dxa"/>
            <w:shd w:val="clear" w:color="auto" w:fill="auto"/>
          </w:tcPr>
          <w:p w14:paraId="6D772D8F" w14:textId="77777777" w:rsidR="00E23746" w:rsidRDefault="00E23746" w:rsidP="000B2F10">
            <w:pPr>
              <w:jc w:val="center"/>
              <w:rPr>
                <w:rFonts w:cs="Arial"/>
                <w:b/>
                <w:bCs/>
                <w:sz w:val="20"/>
                <w:szCs w:val="20"/>
              </w:rPr>
            </w:pPr>
            <w:r>
              <w:rPr>
                <w:rFonts w:cs="Arial"/>
                <w:b/>
                <w:bCs/>
                <w:sz w:val="20"/>
                <w:szCs w:val="20"/>
              </w:rPr>
              <w:t>Actividad</w:t>
            </w:r>
          </w:p>
        </w:tc>
        <w:tc>
          <w:tcPr>
            <w:tcW w:w="2693" w:type="dxa"/>
            <w:shd w:val="clear" w:color="auto" w:fill="auto"/>
          </w:tcPr>
          <w:p w14:paraId="101BB9AB" w14:textId="77777777" w:rsidR="00E23746" w:rsidRPr="00F808D7" w:rsidRDefault="00E23746" w:rsidP="000B2F10">
            <w:pPr>
              <w:rPr>
                <w:rFonts w:cs="Arial"/>
                <w:sz w:val="18"/>
                <w:szCs w:val="20"/>
              </w:rPr>
            </w:pPr>
            <w:r w:rsidRPr="00F808D7">
              <w:rPr>
                <w:rFonts w:cs="Arial"/>
                <w:sz w:val="18"/>
                <w:szCs w:val="20"/>
              </w:rPr>
              <w:t>Impulsar e implementar acciones permanentes en materia de promoción, protección y defensa de los Derechos Humanos, con la aplicación de planteamientos legales, estructurales, así como la constante formación de Servidores Públicos fortaleciendo el ejercicio de los Derechos Humanos de los Ciudadanos.</w:t>
            </w:r>
          </w:p>
        </w:tc>
        <w:tc>
          <w:tcPr>
            <w:tcW w:w="2835" w:type="dxa"/>
            <w:shd w:val="clear" w:color="auto" w:fill="auto"/>
          </w:tcPr>
          <w:p w14:paraId="12AE8C32" w14:textId="77777777" w:rsidR="00E23746" w:rsidRPr="00F808D7" w:rsidRDefault="00E23746" w:rsidP="000B2F10">
            <w:pPr>
              <w:rPr>
                <w:rFonts w:cs="Arial"/>
                <w:sz w:val="18"/>
                <w:szCs w:val="20"/>
              </w:rPr>
            </w:pPr>
            <w:r w:rsidRPr="00F808D7">
              <w:rPr>
                <w:rFonts w:cs="Arial"/>
                <w:sz w:val="18"/>
                <w:szCs w:val="20"/>
              </w:rPr>
              <w:t>C03.A01 - Participación en las acciones permanentes en materia de promoción, protección y defensa de los Derechos Humanos, con la aplicación de planteamientos legales, estructurales.</w:t>
            </w:r>
          </w:p>
        </w:tc>
        <w:tc>
          <w:tcPr>
            <w:tcW w:w="2268" w:type="dxa"/>
            <w:shd w:val="clear" w:color="FFFFFF" w:fill="FFFFFF"/>
          </w:tcPr>
          <w:p w14:paraId="4D45210C" w14:textId="77777777" w:rsidR="00E23746" w:rsidRPr="00F808D7" w:rsidRDefault="00E23746" w:rsidP="000B2F10">
            <w:pPr>
              <w:rPr>
                <w:rFonts w:cs="Arial"/>
                <w:sz w:val="18"/>
                <w:szCs w:val="20"/>
              </w:rPr>
            </w:pPr>
            <w:r w:rsidRPr="00F808D7">
              <w:rPr>
                <w:rFonts w:cs="Arial"/>
                <w:sz w:val="18"/>
                <w:szCs w:val="20"/>
              </w:rPr>
              <w:t>C03A01 - Porcentaje de personas participantes de las acciones de fortalecimiento de las habilidades socio emocionales, académicas, deportivas, artísticas, cívicas y culturales.</w:t>
            </w:r>
          </w:p>
        </w:tc>
        <w:tc>
          <w:tcPr>
            <w:tcW w:w="2835" w:type="dxa"/>
            <w:shd w:val="clear" w:color="auto" w:fill="auto"/>
          </w:tcPr>
          <w:p w14:paraId="70119CC1" w14:textId="77777777" w:rsidR="00E23746" w:rsidRPr="00F808D7" w:rsidRDefault="00E23746" w:rsidP="000B2F10">
            <w:pPr>
              <w:rPr>
                <w:rFonts w:cs="Arial"/>
                <w:sz w:val="18"/>
                <w:szCs w:val="20"/>
              </w:rPr>
            </w:pPr>
            <w:r w:rsidRPr="00F808D7">
              <w:rPr>
                <w:rFonts w:cs="Arial"/>
                <w:sz w:val="18"/>
                <w:szCs w:val="20"/>
              </w:rPr>
              <w:t>Convocatorias y relación de participantes inscritos, anual.SEQ.Liga:https://qroo.gob.mx/seq/medios-de-verificacion-de-la-planeacion-anual.</w:t>
            </w:r>
          </w:p>
        </w:tc>
        <w:tc>
          <w:tcPr>
            <w:tcW w:w="2127" w:type="dxa"/>
            <w:shd w:val="clear" w:color="auto" w:fill="auto"/>
          </w:tcPr>
          <w:p w14:paraId="6EB77852" w14:textId="77777777" w:rsidR="00E23746" w:rsidRPr="00F808D7" w:rsidRDefault="00E23746" w:rsidP="000B2F10">
            <w:pPr>
              <w:rPr>
                <w:rFonts w:cs="Arial"/>
                <w:sz w:val="18"/>
                <w:szCs w:val="20"/>
              </w:rPr>
            </w:pPr>
            <w:r w:rsidRPr="00F808D7">
              <w:rPr>
                <w:rFonts w:cs="Arial"/>
                <w:sz w:val="18"/>
                <w:szCs w:val="20"/>
              </w:rPr>
              <w:t>Los estudiantes y directivos de las Instituciones de Educación Superior en el Estado participan en los proyectos y programas de fortalecimiento.</w:t>
            </w:r>
          </w:p>
        </w:tc>
      </w:tr>
      <w:tr w:rsidR="00E23746" w:rsidRPr="00574DAC" w14:paraId="13505BDA" w14:textId="77777777" w:rsidTr="00BF2AA6">
        <w:trPr>
          <w:trHeight w:val="1826"/>
        </w:trPr>
        <w:tc>
          <w:tcPr>
            <w:tcW w:w="1413" w:type="dxa"/>
            <w:shd w:val="clear" w:color="auto" w:fill="auto"/>
          </w:tcPr>
          <w:p w14:paraId="196B523C" w14:textId="77777777" w:rsidR="00E23746" w:rsidRDefault="00E23746" w:rsidP="000B2F10">
            <w:pPr>
              <w:jc w:val="center"/>
              <w:rPr>
                <w:rFonts w:cs="Arial"/>
                <w:b/>
                <w:bCs/>
                <w:sz w:val="20"/>
                <w:szCs w:val="20"/>
              </w:rPr>
            </w:pPr>
            <w:r>
              <w:rPr>
                <w:rFonts w:cs="Arial"/>
                <w:b/>
                <w:bCs/>
                <w:sz w:val="20"/>
                <w:szCs w:val="20"/>
              </w:rPr>
              <w:t>Actividad</w:t>
            </w:r>
          </w:p>
        </w:tc>
        <w:tc>
          <w:tcPr>
            <w:tcW w:w="2693" w:type="dxa"/>
            <w:shd w:val="clear" w:color="auto" w:fill="auto"/>
          </w:tcPr>
          <w:p w14:paraId="453E9679" w14:textId="77777777" w:rsidR="00E23746" w:rsidRPr="00F808D7" w:rsidRDefault="00E23746" w:rsidP="000B2F10">
            <w:pPr>
              <w:rPr>
                <w:rFonts w:cs="Arial"/>
                <w:sz w:val="18"/>
                <w:szCs w:val="20"/>
              </w:rPr>
            </w:pPr>
            <w:r w:rsidRPr="00F808D7">
              <w:rPr>
                <w:rFonts w:cs="Arial"/>
                <w:sz w:val="18"/>
                <w:szCs w:val="20"/>
              </w:rPr>
              <w:t>Fortalecer la investigación básica y aplicada con la participación de los estudiantes de educación superior.</w:t>
            </w:r>
          </w:p>
        </w:tc>
        <w:tc>
          <w:tcPr>
            <w:tcW w:w="2835" w:type="dxa"/>
            <w:shd w:val="clear" w:color="auto" w:fill="auto"/>
          </w:tcPr>
          <w:p w14:paraId="0D1F6F29" w14:textId="77777777" w:rsidR="00E23746" w:rsidRPr="00F808D7" w:rsidRDefault="00E23746" w:rsidP="000B2F10">
            <w:pPr>
              <w:rPr>
                <w:rFonts w:cs="Arial"/>
                <w:sz w:val="18"/>
                <w:szCs w:val="20"/>
              </w:rPr>
            </w:pPr>
            <w:r w:rsidRPr="00F808D7">
              <w:rPr>
                <w:rFonts w:cs="Arial"/>
                <w:sz w:val="18"/>
                <w:szCs w:val="20"/>
              </w:rPr>
              <w:t>C03.A02 - Coordinación de la Feria de la Investigación, ciencia e ingenierías del nivel superior.</w:t>
            </w:r>
          </w:p>
        </w:tc>
        <w:tc>
          <w:tcPr>
            <w:tcW w:w="2268" w:type="dxa"/>
            <w:shd w:val="clear" w:color="FFFFFF" w:fill="FFFFFF"/>
          </w:tcPr>
          <w:p w14:paraId="10A594D9" w14:textId="77777777" w:rsidR="00E23746" w:rsidRDefault="00E23746" w:rsidP="000B2F10">
            <w:pPr>
              <w:rPr>
                <w:rFonts w:cs="Arial"/>
                <w:sz w:val="18"/>
                <w:szCs w:val="20"/>
              </w:rPr>
            </w:pPr>
            <w:r w:rsidRPr="00F808D7">
              <w:rPr>
                <w:rFonts w:cs="Arial"/>
                <w:sz w:val="18"/>
                <w:szCs w:val="20"/>
              </w:rPr>
              <w:t>C03A02 - Porcentaje de proyectos participantes en la Feria de Humanidades, ciencia, ingenierías e Innovación de Educación Superior.</w:t>
            </w:r>
          </w:p>
          <w:p w14:paraId="09F82B26" w14:textId="59724A9F" w:rsidR="00F808D7" w:rsidRPr="00F808D7" w:rsidRDefault="00F808D7" w:rsidP="000B2F10">
            <w:pPr>
              <w:rPr>
                <w:rFonts w:cs="Arial"/>
                <w:sz w:val="18"/>
                <w:szCs w:val="20"/>
              </w:rPr>
            </w:pPr>
          </w:p>
        </w:tc>
        <w:tc>
          <w:tcPr>
            <w:tcW w:w="2835" w:type="dxa"/>
            <w:shd w:val="clear" w:color="auto" w:fill="auto"/>
          </w:tcPr>
          <w:p w14:paraId="109C0D93" w14:textId="77777777" w:rsidR="00E23746" w:rsidRPr="00F808D7" w:rsidRDefault="00E23746" w:rsidP="000B2F10">
            <w:pPr>
              <w:rPr>
                <w:rFonts w:cs="Arial"/>
                <w:sz w:val="18"/>
                <w:szCs w:val="20"/>
              </w:rPr>
            </w:pPr>
            <w:r w:rsidRPr="00F808D7">
              <w:rPr>
                <w:rFonts w:cs="Arial"/>
                <w:sz w:val="18"/>
                <w:szCs w:val="20"/>
              </w:rPr>
              <w:t>Convocatoria y relación de participantes, anual. SEQ. Liga:https://qroo.gob.mx/seq/medios-de-verificacion-de-la-planeacion-anual.</w:t>
            </w:r>
          </w:p>
        </w:tc>
        <w:tc>
          <w:tcPr>
            <w:tcW w:w="2127" w:type="dxa"/>
            <w:shd w:val="clear" w:color="auto" w:fill="auto"/>
          </w:tcPr>
          <w:p w14:paraId="4DC17FCB" w14:textId="77777777" w:rsidR="00E23746" w:rsidRPr="00F808D7" w:rsidRDefault="00E23746" w:rsidP="000B2F10">
            <w:pPr>
              <w:rPr>
                <w:rFonts w:cs="Arial"/>
                <w:sz w:val="18"/>
                <w:szCs w:val="20"/>
              </w:rPr>
            </w:pPr>
            <w:r w:rsidRPr="00F808D7">
              <w:rPr>
                <w:rFonts w:cs="Arial"/>
                <w:sz w:val="18"/>
                <w:szCs w:val="20"/>
              </w:rPr>
              <w:t>Los directivos impulsan, promueven y brindan las facilidades a los jóvenes participantes en la Feria de la Investigación, ciencia e ingenierías del nivel superior.</w:t>
            </w:r>
          </w:p>
        </w:tc>
      </w:tr>
    </w:tbl>
    <w:p w14:paraId="2FFF8AB0" w14:textId="77777777" w:rsidR="00E83FE2" w:rsidRDefault="00E83FE2">
      <w:pPr>
        <w:spacing w:after="0" w:line="240" w:lineRule="auto"/>
        <w:jc w:val="left"/>
      </w:pPr>
      <w:r>
        <w:br w:type="page"/>
      </w:r>
    </w:p>
    <w:tbl>
      <w:tblPr>
        <w:tblW w:w="14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71"/>
        <w:gridCol w:w="2835"/>
        <w:gridCol w:w="2835"/>
        <w:gridCol w:w="2268"/>
        <w:gridCol w:w="2835"/>
        <w:gridCol w:w="2127"/>
      </w:tblGrid>
      <w:tr w:rsidR="00E23746" w:rsidRPr="00574DAC" w14:paraId="386636C9" w14:textId="77777777" w:rsidTr="006B434D">
        <w:trPr>
          <w:trHeight w:val="679"/>
        </w:trPr>
        <w:tc>
          <w:tcPr>
            <w:tcW w:w="1271" w:type="dxa"/>
            <w:shd w:val="clear" w:color="000000" w:fill="BFBFBF"/>
            <w:vAlign w:val="center"/>
            <w:hideMark/>
          </w:tcPr>
          <w:p w14:paraId="0CE06A27"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lastRenderedPageBreak/>
              <w:t>NIVEL</w:t>
            </w:r>
          </w:p>
        </w:tc>
        <w:tc>
          <w:tcPr>
            <w:tcW w:w="2835" w:type="dxa"/>
            <w:shd w:val="clear" w:color="000000" w:fill="BFBFBF"/>
            <w:vAlign w:val="center"/>
            <w:hideMark/>
          </w:tcPr>
          <w:p w14:paraId="1855173D"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ALINEACIÓN PED/PD</w:t>
            </w:r>
          </w:p>
        </w:tc>
        <w:tc>
          <w:tcPr>
            <w:tcW w:w="2835" w:type="dxa"/>
            <w:shd w:val="clear" w:color="000000" w:fill="BFBFBF"/>
            <w:vAlign w:val="center"/>
            <w:hideMark/>
          </w:tcPr>
          <w:p w14:paraId="13693410"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OBJETIVO</w:t>
            </w:r>
          </w:p>
        </w:tc>
        <w:tc>
          <w:tcPr>
            <w:tcW w:w="2268" w:type="dxa"/>
            <w:shd w:val="clear" w:color="000000" w:fill="BFBFBF"/>
            <w:vAlign w:val="center"/>
            <w:hideMark/>
          </w:tcPr>
          <w:p w14:paraId="45FF066E"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INDICADOR</w:t>
            </w:r>
          </w:p>
        </w:tc>
        <w:tc>
          <w:tcPr>
            <w:tcW w:w="2835" w:type="dxa"/>
            <w:shd w:val="clear" w:color="000000" w:fill="BFBFBF"/>
            <w:vAlign w:val="center"/>
            <w:hideMark/>
          </w:tcPr>
          <w:p w14:paraId="63A681C6"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MEDIOS DE VERIFICACIÓN</w:t>
            </w:r>
          </w:p>
        </w:tc>
        <w:tc>
          <w:tcPr>
            <w:tcW w:w="2127" w:type="dxa"/>
            <w:shd w:val="clear" w:color="000000" w:fill="BFBFBF"/>
            <w:vAlign w:val="center"/>
            <w:hideMark/>
          </w:tcPr>
          <w:p w14:paraId="05CD84A4"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SUPUESTO</w:t>
            </w:r>
          </w:p>
        </w:tc>
      </w:tr>
      <w:tr w:rsidR="00E23746" w:rsidRPr="00574DAC" w14:paraId="75588DC0" w14:textId="77777777" w:rsidTr="006B434D">
        <w:trPr>
          <w:trHeight w:val="1543"/>
        </w:trPr>
        <w:tc>
          <w:tcPr>
            <w:tcW w:w="1271" w:type="dxa"/>
            <w:shd w:val="clear" w:color="auto" w:fill="auto"/>
          </w:tcPr>
          <w:p w14:paraId="44508121" w14:textId="77777777" w:rsidR="00E23746" w:rsidRDefault="00E23746" w:rsidP="000B2F10">
            <w:pPr>
              <w:jc w:val="center"/>
              <w:rPr>
                <w:rFonts w:cs="Arial"/>
                <w:b/>
                <w:bCs/>
                <w:sz w:val="20"/>
                <w:szCs w:val="20"/>
              </w:rPr>
            </w:pPr>
            <w:r>
              <w:rPr>
                <w:rFonts w:cs="Arial"/>
                <w:b/>
                <w:bCs/>
                <w:sz w:val="20"/>
                <w:szCs w:val="20"/>
              </w:rPr>
              <w:t>Actividad</w:t>
            </w:r>
          </w:p>
        </w:tc>
        <w:tc>
          <w:tcPr>
            <w:tcW w:w="2835" w:type="dxa"/>
            <w:shd w:val="clear" w:color="auto" w:fill="auto"/>
          </w:tcPr>
          <w:p w14:paraId="5F76AD19" w14:textId="77777777" w:rsidR="00E23746" w:rsidRDefault="00E23746" w:rsidP="000B2F10">
            <w:pPr>
              <w:rPr>
                <w:rFonts w:cs="Arial"/>
                <w:sz w:val="20"/>
                <w:szCs w:val="20"/>
              </w:rPr>
            </w:pPr>
            <w:r>
              <w:rPr>
                <w:rFonts w:cs="Arial"/>
                <w:sz w:val="20"/>
                <w:szCs w:val="20"/>
              </w:rPr>
              <w:t>Implementar el Programa de Seguridad Escolar para el fortalecimiento de valores, la tolerancia y la promoción de la paz social en las escuelas.</w:t>
            </w:r>
          </w:p>
        </w:tc>
        <w:tc>
          <w:tcPr>
            <w:tcW w:w="2835" w:type="dxa"/>
            <w:shd w:val="clear" w:color="auto" w:fill="auto"/>
          </w:tcPr>
          <w:p w14:paraId="66DB7750" w14:textId="77777777" w:rsidR="00E23746" w:rsidRDefault="00E23746" w:rsidP="000B2F10">
            <w:pPr>
              <w:rPr>
                <w:rFonts w:cs="Arial"/>
                <w:sz w:val="20"/>
                <w:szCs w:val="20"/>
              </w:rPr>
            </w:pPr>
            <w:r>
              <w:rPr>
                <w:rFonts w:cs="Arial"/>
                <w:sz w:val="20"/>
                <w:szCs w:val="20"/>
              </w:rPr>
              <w:t>C03.A03 - Promoción a las instituciones de educación superior en temas de situaciones de riesgo en la comunidad escolar.</w:t>
            </w:r>
          </w:p>
        </w:tc>
        <w:tc>
          <w:tcPr>
            <w:tcW w:w="2268" w:type="dxa"/>
            <w:shd w:val="clear" w:color="FFFFFF" w:fill="FFFFFF"/>
          </w:tcPr>
          <w:p w14:paraId="0C7D3319" w14:textId="77777777" w:rsidR="00E23746" w:rsidRDefault="00E23746" w:rsidP="000B2F10">
            <w:pPr>
              <w:rPr>
                <w:rFonts w:cs="Arial"/>
                <w:sz w:val="20"/>
                <w:szCs w:val="20"/>
              </w:rPr>
            </w:pPr>
            <w:r>
              <w:rPr>
                <w:rFonts w:cs="Arial"/>
                <w:sz w:val="20"/>
                <w:szCs w:val="20"/>
              </w:rPr>
              <w:t>C03A03 - Porcentaje de alumnos atendidos .</w:t>
            </w:r>
          </w:p>
        </w:tc>
        <w:tc>
          <w:tcPr>
            <w:tcW w:w="2835" w:type="dxa"/>
            <w:shd w:val="clear" w:color="auto" w:fill="auto"/>
          </w:tcPr>
          <w:p w14:paraId="3A1E034D" w14:textId="77777777" w:rsidR="00E23746" w:rsidRDefault="00E23746" w:rsidP="000B2F10">
            <w:pPr>
              <w:rPr>
                <w:rFonts w:cs="Arial"/>
                <w:sz w:val="20"/>
                <w:szCs w:val="20"/>
              </w:rPr>
            </w:pPr>
            <w:r>
              <w:rPr>
                <w:rFonts w:cs="Arial"/>
                <w:sz w:val="20"/>
                <w:szCs w:val="20"/>
              </w:rPr>
              <w:t>Listas de asistencia, invitaciones y minutas. SEQ. Liga:https://qroo.gob.mx/seq/medios-de-verificacion-de-la-planeacion-anual.</w:t>
            </w:r>
          </w:p>
        </w:tc>
        <w:tc>
          <w:tcPr>
            <w:tcW w:w="2127" w:type="dxa"/>
            <w:shd w:val="clear" w:color="auto" w:fill="auto"/>
          </w:tcPr>
          <w:p w14:paraId="150ED6F1" w14:textId="7A1787CF" w:rsidR="00E23746" w:rsidRDefault="00E23746" w:rsidP="000B2F10">
            <w:pPr>
              <w:rPr>
                <w:rFonts w:cs="Arial"/>
                <w:sz w:val="20"/>
                <w:szCs w:val="20"/>
              </w:rPr>
            </w:pPr>
            <w:r>
              <w:rPr>
                <w:rFonts w:cs="Arial"/>
                <w:sz w:val="20"/>
                <w:szCs w:val="20"/>
              </w:rPr>
              <w:t>Los directivos impulsan la prevención y atención de situaciones de riesgo en la comunidad escolar a través de procesos de intervención educativa que conjuntan los esfuerzos de distintas instancias, organizados en tres dimensiones: personal, escolar y social.</w:t>
            </w:r>
          </w:p>
        </w:tc>
      </w:tr>
      <w:tr w:rsidR="00E23746" w:rsidRPr="00574DAC" w14:paraId="62C31D6B" w14:textId="77777777" w:rsidTr="006B434D">
        <w:trPr>
          <w:trHeight w:val="1826"/>
        </w:trPr>
        <w:tc>
          <w:tcPr>
            <w:tcW w:w="1271" w:type="dxa"/>
            <w:shd w:val="clear" w:color="auto" w:fill="auto"/>
          </w:tcPr>
          <w:p w14:paraId="6142F369" w14:textId="77777777" w:rsidR="00E23746" w:rsidRDefault="00E23746" w:rsidP="000B2F10">
            <w:pPr>
              <w:jc w:val="center"/>
              <w:rPr>
                <w:rFonts w:cs="Arial"/>
                <w:b/>
                <w:bCs/>
                <w:sz w:val="20"/>
                <w:szCs w:val="20"/>
              </w:rPr>
            </w:pPr>
            <w:r>
              <w:rPr>
                <w:rFonts w:cs="Arial"/>
                <w:b/>
                <w:bCs/>
                <w:sz w:val="20"/>
                <w:szCs w:val="20"/>
              </w:rPr>
              <w:t>Actividad</w:t>
            </w:r>
          </w:p>
        </w:tc>
        <w:tc>
          <w:tcPr>
            <w:tcW w:w="2835" w:type="dxa"/>
            <w:shd w:val="clear" w:color="auto" w:fill="auto"/>
          </w:tcPr>
          <w:p w14:paraId="6080FC4D" w14:textId="77777777" w:rsidR="00E23746" w:rsidRDefault="00E23746" w:rsidP="000B2F10">
            <w:pPr>
              <w:rPr>
                <w:rFonts w:cs="Arial"/>
                <w:sz w:val="20"/>
                <w:szCs w:val="20"/>
              </w:rPr>
            </w:pPr>
            <w:r>
              <w:rPr>
                <w:rFonts w:cs="Arial"/>
                <w:sz w:val="20"/>
                <w:szCs w:val="20"/>
              </w:rPr>
              <w:t>Fortalecer la investigación básica y aplicada con la participación de los estudiantes de educación superior.</w:t>
            </w:r>
          </w:p>
        </w:tc>
        <w:tc>
          <w:tcPr>
            <w:tcW w:w="2835" w:type="dxa"/>
            <w:shd w:val="clear" w:color="auto" w:fill="auto"/>
          </w:tcPr>
          <w:p w14:paraId="4F5C0B29" w14:textId="77777777" w:rsidR="00E23746" w:rsidRDefault="00E23746" w:rsidP="000B2F10">
            <w:pPr>
              <w:rPr>
                <w:rFonts w:cs="Arial"/>
                <w:sz w:val="20"/>
                <w:szCs w:val="20"/>
              </w:rPr>
            </w:pPr>
            <w:r>
              <w:rPr>
                <w:rFonts w:cs="Arial"/>
                <w:sz w:val="20"/>
                <w:szCs w:val="20"/>
              </w:rPr>
              <w:t>C03.A04 - Implementación de programas y proyectos que impulsen la calidad de la formación profesional de los alumnos de educación superior, a través de la Comisión Estatal para la planeación de la Educación Superior COEPES.</w:t>
            </w:r>
          </w:p>
        </w:tc>
        <w:tc>
          <w:tcPr>
            <w:tcW w:w="2268" w:type="dxa"/>
            <w:shd w:val="clear" w:color="FFFFFF" w:fill="FFFFFF"/>
          </w:tcPr>
          <w:p w14:paraId="19250108" w14:textId="77777777" w:rsidR="00E23746" w:rsidRDefault="00E23746" w:rsidP="000B2F10">
            <w:pPr>
              <w:rPr>
                <w:rFonts w:cs="Arial"/>
                <w:sz w:val="20"/>
                <w:szCs w:val="20"/>
              </w:rPr>
            </w:pPr>
            <w:r>
              <w:rPr>
                <w:rFonts w:cs="Arial"/>
                <w:sz w:val="20"/>
                <w:szCs w:val="20"/>
              </w:rPr>
              <w:t>C03A04 - Porcentaje de figuras educativas beneficiadas en los programas y proyectos concretados para fortalecer la formación profesional.</w:t>
            </w:r>
          </w:p>
        </w:tc>
        <w:tc>
          <w:tcPr>
            <w:tcW w:w="2835" w:type="dxa"/>
            <w:shd w:val="clear" w:color="auto" w:fill="auto"/>
          </w:tcPr>
          <w:p w14:paraId="5291C4AC" w14:textId="3B5B1FBD" w:rsidR="001906E0" w:rsidRDefault="00E23746" w:rsidP="000B2F10">
            <w:pPr>
              <w:rPr>
                <w:rFonts w:cs="Arial"/>
                <w:sz w:val="20"/>
                <w:szCs w:val="20"/>
              </w:rPr>
            </w:pPr>
            <w:r>
              <w:rPr>
                <w:rFonts w:cs="Arial"/>
                <w:sz w:val="20"/>
                <w:szCs w:val="20"/>
              </w:rPr>
              <w:t>Agenda anual de COEPES, minutas y actas de trabajo de los Grupos Técnicos y Pleno de la COEPES, convocatorias emitidas y lista de asistencia. SEQ. Liga:https://qroo.gob.mx/seq/medios-de-verificacion-de-la-planeacion-anual.</w:t>
            </w:r>
          </w:p>
        </w:tc>
        <w:tc>
          <w:tcPr>
            <w:tcW w:w="2127" w:type="dxa"/>
            <w:shd w:val="clear" w:color="auto" w:fill="auto"/>
          </w:tcPr>
          <w:p w14:paraId="3D32D932" w14:textId="77777777" w:rsidR="00E23746" w:rsidRDefault="00E23746" w:rsidP="000B2F10">
            <w:pPr>
              <w:rPr>
                <w:rFonts w:cs="Arial"/>
                <w:sz w:val="20"/>
                <w:szCs w:val="20"/>
              </w:rPr>
            </w:pPr>
            <w:r>
              <w:rPr>
                <w:rFonts w:cs="Arial"/>
                <w:sz w:val="20"/>
                <w:szCs w:val="20"/>
              </w:rPr>
              <w:t>Los directivos impulsan y promueven programas y proyectos que permitan el desarrollo y la calidad de la educación superior.</w:t>
            </w:r>
          </w:p>
        </w:tc>
      </w:tr>
    </w:tbl>
    <w:p w14:paraId="49BC5CA6" w14:textId="77777777" w:rsidR="00E83FE2" w:rsidRDefault="00E83FE2">
      <w:pPr>
        <w:spacing w:after="0" w:line="240" w:lineRule="auto"/>
        <w:jc w:val="left"/>
      </w:pPr>
      <w:r>
        <w:br w:type="page"/>
      </w:r>
    </w:p>
    <w:tbl>
      <w:tblPr>
        <w:tblW w:w="14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3"/>
        <w:gridCol w:w="2693"/>
        <w:gridCol w:w="2835"/>
        <w:gridCol w:w="2268"/>
        <w:gridCol w:w="2835"/>
        <w:gridCol w:w="2127"/>
      </w:tblGrid>
      <w:tr w:rsidR="00E23746" w:rsidRPr="00574DAC" w14:paraId="6586D50D" w14:textId="77777777" w:rsidTr="00D0420D">
        <w:trPr>
          <w:trHeight w:val="679"/>
        </w:trPr>
        <w:tc>
          <w:tcPr>
            <w:tcW w:w="1413" w:type="dxa"/>
            <w:shd w:val="clear" w:color="000000" w:fill="BFBFBF"/>
            <w:vAlign w:val="center"/>
            <w:hideMark/>
          </w:tcPr>
          <w:p w14:paraId="724C6BEF"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lastRenderedPageBreak/>
              <w:t>NIVEL</w:t>
            </w:r>
          </w:p>
        </w:tc>
        <w:tc>
          <w:tcPr>
            <w:tcW w:w="2693" w:type="dxa"/>
            <w:shd w:val="clear" w:color="000000" w:fill="BFBFBF"/>
            <w:vAlign w:val="center"/>
            <w:hideMark/>
          </w:tcPr>
          <w:p w14:paraId="78D59666"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ALINEACIÓN PED/PD</w:t>
            </w:r>
          </w:p>
        </w:tc>
        <w:tc>
          <w:tcPr>
            <w:tcW w:w="2835" w:type="dxa"/>
            <w:shd w:val="clear" w:color="000000" w:fill="BFBFBF"/>
            <w:vAlign w:val="center"/>
            <w:hideMark/>
          </w:tcPr>
          <w:p w14:paraId="34F7BA85"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OBJETIVO</w:t>
            </w:r>
          </w:p>
        </w:tc>
        <w:tc>
          <w:tcPr>
            <w:tcW w:w="2268" w:type="dxa"/>
            <w:shd w:val="clear" w:color="000000" w:fill="BFBFBF"/>
            <w:vAlign w:val="center"/>
            <w:hideMark/>
          </w:tcPr>
          <w:p w14:paraId="1EBB56B6"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INDICADOR</w:t>
            </w:r>
          </w:p>
        </w:tc>
        <w:tc>
          <w:tcPr>
            <w:tcW w:w="2835" w:type="dxa"/>
            <w:shd w:val="clear" w:color="000000" w:fill="BFBFBF"/>
            <w:vAlign w:val="center"/>
            <w:hideMark/>
          </w:tcPr>
          <w:p w14:paraId="13FA4828"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MEDIOS DE VERIFICACIÓN</w:t>
            </w:r>
          </w:p>
        </w:tc>
        <w:tc>
          <w:tcPr>
            <w:tcW w:w="2127" w:type="dxa"/>
            <w:shd w:val="clear" w:color="000000" w:fill="BFBFBF"/>
            <w:vAlign w:val="center"/>
            <w:hideMark/>
          </w:tcPr>
          <w:p w14:paraId="03AED750"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SUPUESTO</w:t>
            </w:r>
          </w:p>
        </w:tc>
      </w:tr>
      <w:tr w:rsidR="00E23746" w:rsidRPr="00574DAC" w14:paraId="497797E0" w14:textId="77777777" w:rsidTr="00D0420D">
        <w:trPr>
          <w:trHeight w:val="1826"/>
        </w:trPr>
        <w:tc>
          <w:tcPr>
            <w:tcW w:w="1413" w:type="dxa"/>
            <w:shd w:val="clear" w:color="auto" w:fill="auto"/>
          </w:tcPr>
          <w:p w14:paraId="00A84E62" w14:textId="77777777" w:rsidR="00E23746" w:rsidRDefault="00E23746" w:rsidP="000B2F10">
            <w:pPr>
              <w:jc w:val="center"/>
              <w:rPr>
                <w:rFonts w:cs="Arial"/>
                <w:b/>
                <w:bCs/>
                <w:sz w:val="20"/>
                <w:szCs w:val="20"/>
              </w:rPr>
            </w:pPr>
            <w:r>
              <w:rPr>
                <w:rFonts w:cs="Arial"/>
                <w:b/>
                <w:bCs/>
                <w:sz w:val="20"/>
                <w:szCs w:val="20"/>
              </w:rPr>
              <w:t>Componente</w:t>
            </w:r>
          </w:p>
        </w:tc>
        <w:tc>
          <w:tcPr>
            <w:tcW w:w="2693" w:type="dxa"/>
            <w:shd w:val="clear" w:color="auto" w:fill="auto"/>
          </w:tcPr>
          <w:p w14:paraId="53D3C657" w14:textId="77777777" w:rsidR="00E23746" w:rsidRDefault="00E23746" w:rsidP="000B2F10">
            <w:pPr>
              <w:rPr>
                <w:rFonts w:cs="Arial"/>
                <w:sz w:val="20"/>
                <w:szCs w:val="20"/>
              </w:rPr>
            </w:pPr>
            <w:r>
              <w:rPr>
                <w:rFonts w:cs="Arial"/>
                <w:sz w:val="20"/>
                <w:szCs w:val="20"/>
              </w:rPr>
              <w:t>Reorientar el programa de becas e incentivos para otorgarlas a alumnos de escasos recursos a fin de que concluyan sus estudios.</w:t>
            </w:r>
          </w:p>
        </w:tc>
        <w:tc>
          <w:tcPr>
            <w:tcW w:w="2835" w:type="dxa"/>
            <w:shd w:val="clear" w:color="auto" w:fill="auto"/>
          </w:tcPr>
          <w:p w14:paraId="7E6CCF0B" w14:textId="77777777" w:rsidR="00E23746" w:rsidRDefault="00E23746" w:rsidP="000B2F10">
            <w:pPr>
              <w:rPr>
                <w:rFonts w:cs="Arial"/>
                <w:sz w:val="20"/>
                <w:szCs w:val="20"/>
              </w:rPr>
            </w:pPr>
            <w:r>
              <w:rPr>
                <w:rFonts w:cs="Arial"/>
                <w:sz w:val="20"/>
                <w:szCs w:val="20"/>
              </w:rPr>
              <w:t>C04 -Programa de becas e incentivos para alumnos de educación superior otorgados.</w:t>
            </w:r>
          </w:p>
        </w:tc>
        <w:tc>
          <w:tcPr>
            <w:tcW w:w="2268" w:type="dxa"/>
            <w:shd w:val="clear" w:color="FFFFFF" w:fill="FFFFFF"/>
          </w:tcPr>
          <w:p w14:paraId="2F4FE3B1" w14:textId="77777777" w:rsidR="00E23746" w:rsidRDefault="00E23746" w:rsidP="000B2F10">
            <w:pPr>
              <w:rPr>
                <w:rFonts w:cs="Arial"/>
                <w:sz w:val="20"/>
                <w:szCs w:val="20"/>
              </w:rPr>
            </w:pPr>
            <w:r>
              <w:rPr>
                <w:rFonts w:cs="Arial"/>
                <w:sz w:val="20"/>
                <w:szCs w:val="20"/>
              </w:rPr>
              <w:t>C04 - Porcentaje de alumnos de nivel superior que concluyen el ciclo escolar.</w:t>
            </w:r>
          </w:p>
        </w:tc>
        <w:tc>
          <w:tcPr>
            <w:tcW w:w="2835" w:type="dxa"/>
            <w:shd w:val="clear" w:color="auto" w:fill="auto"/>
          </w:tcPr>
          <w:p w14:paraId="26DEB92C" w14:textId="77777777" w:rsidR="00E23746" w:rsidRDefault="00E23746" w:rsidP="000B2F10">
            <w:pPr>
              <w:rPr>
                <w:rFonts w:cs="Arial"/>
                <w:sz w:val="20"/>
                <w:szCs w:val="20"/>
              </w:rPr>
            </w:pPr>
            <w:r>
              <w:rPr>
                <w:rFonts w:cs="Arial"/>
                <w:sz w:val="20"/>
                <w:szCs w:val="20"/>
              </w:rPr>
              <w:t>Base de datos de estudiantes seleccionados en los programas de la Dirección de Becas. SEQ. Liga: https://qroo.gob.mx/seq/medios-de-verificacion-de-la-planeacion-anual.</w:t>
            </w:r>
          </w:p>
        </w:tc>
        <w:tc>
          <w:tcPr>
            <w:tcW w:w="2127" w:type="dxa"/>
            <w:shd w:val="clear" w:color="auto" w:fill="auto"/>
          </w:tcPr>
          <w:p w14:paraId="4972857B" w14:textId="77777777" w:rsidR="00E23746" w:rsidRDefault="00E23746" w:rsidP="000B2F10">
            <w:pPr>
              <w:rPr>
                <w:rFonts w:cs="Arial"/>
                <w:sz w:val="20"/>
                <w:szCs w:val="20"/>
              </w:rPr>
            </w:pPr>
            <w:r>
              <w:rPr>
                <w:rFonts w:cs="Arial"/>
                <w:sz w:val="20"/>
                <w:szCs w:val="20"/>
              </w:rPr>
              <w:t>Estudiantes beneficiados con los programas de becas en nivel superior, concluyen el ciclo escolar.</w:t>
            </w:r>
          </w:p>
        </w:tc>
      </w:tr>
      <w:tr w:rsidR="00E23746" w:rsidRPr="00574DAC" w14:paraId="51635EF9" w14:textId="77777777" w:rsidTr="00D0420D">
        <w:trPr>
          <w:trHeight w:val="1826"/>
        </w:trPr>
        <w:tc>
          <w:tcPr>
            <w:tcW w:w="1413" w:type="dxa"/>
            <w:shd w:val="clear" w:color="auto" w:fill="auto"/>
          </w:tcPr>
          <w:p w14:paraId="0C0A3E33" w14:textId="77777777" w:rsidR="00E23746" w:rsidRDefault="00E23746" w:rsidP="000B2F10">
            <w:pPr>
              <w:jc w:val="center"/>
              <w:rPr>
                <w:rFonts w:cs="Arial"/>
                <w:b/>
                <w:bCs/>
                <w:sz w:val="20"/>
                <w:szCs w:val="20"/>
              </w:rPr>
            </w:pPr>
            <w:r>
              <w:rPr>
                <w:rFonts w:cs="Arial"/>
                <w:b/>
                <w:bCs/>
                <w:sz w:val="20"/>
                <w:szCs w:val="20"/>
              </w:rPr>
              <w:t>Actividad</w:t>
            </w:r>
          </w:p>
        </w:tc>
        <w:tc>
          <w:tcPr>
            <w:tcW w:w="2693" w:type="dxa"/>
            <w:shd w:val="clear" w:color="auto" w:fill="auto"/>
          </w:tcPr>
          <w:p w14:paraId="0000EB7F" w14:textId="77777777" w:rsidR="00E23746" w:rsidRDefault="00E23746" w:rsidP="000B2F10">
            <w:pPr>
              <w:rPr>
                <w:rFonts w:cs="Arial"/>
                <w:sz w:val="20"/>
                <w:szCs w:val="20"/>
              </w:rPr>
            </w:pPr>
            <w:r>
              <w:rPr>
                <w:rFonts w:cs="Arial"/>
                <w:sz w:val="20"/>
                <w:szCs w:val="20"/>
              </w:rPr>
              <w:t>Reorientar el programa de becas e incentivos para otorgarlas a alumnos de escasos recursos a fin de que concluyan sus estudios.</w:t>
            </w:r>
          </w:p>
        </w:tc>
        <w:tc>
          <w:tcPr>
            <w:tcW w:w="2835" w:type="dxa"/>
            <w:shd w:val="clear" w:color="auto" w:fill="auto"/>
          </w:tcPr>
          <w:p w14:paraId="3E5706C2" w14:textId="77777777" w:rsidR="00E23746" w:rsidRDefault="00E23746" w:rsidP="000B2F10">
            <w:pPr>
              <w:rPr>
                <w:rFonts w:cs="Arial"/>
                <w:sz w:val="20"/>
                <w:szCs w:val="20"/>
              </w:rPr>
            </w:pPr>
            <w:r>
              <w:rPr>
                <w:rFonts w:cs="Arial"/>
                <w:sz w:val="20"/>
                <w:szCs w:val="20"/>
              </w:rPr>
              <w:t>C04.A01 - Atención de solicitudes de alumnos para el otorgamiento de beca.</w:t>
            </w:r>
          </w:p>
        </w:tc>
        <w:tc>
          <w:tcPr>
            <w:tcW w:w="2268" w:type="dxa"/>
            <w:shd w:val="clear" w:color="FFFFFF" w:fill="FFFFFF"/>
          </w:tcPr>
          <w:p w14:paraId="2BAB0CFB" w14:textId="77777777" w:rsidR="00E23746" w:rsidRDefault="00E23746" w:rsidP="000B2F10">
            <w:pPr>
              <w:rPr>
                <w:rFonts w:cs="Arial"/>
                <w:sz w:val="20"/>
                <w:szCs w:val="20"/>
              </w:rPr>
            </w:pPr>
            <w:r>
              <w:rPr>
                <w:rFonts w:cs="Arial"/>
                <w:sz w:val="20"/>
                <w:szCs w:val="20"/>
              </w:rPr>
              <w:t>C04A01 - Porcentaje de alumnos y alumnas de nivel superior que obtienen una beca.</w:t>
            </w:r>
          </w:p>
        </w:tc>
        <w:tc>
          <w:tcPr>
            <w:tcW w:w="2835" w:type="dxa"/>
            <w:shd w:val="clear" w:color="auto" w:fill="auto"/>
          </w:tcPr>
          <w:p w14:paraId="5C1DCBE7" w14:textId="77777777" w:rsidR="00E23746" w:rsidRDefault="00E23746" w:rsidP="000B2F10">
            <w:pPr>
              <w:rPr>
                <w:rFonts w:cs="Arial"/>
                <w:sz w:val="20"/>
                <w:szCs w:val="20"/>
              </w:rPr>
            </w:pPr>
            <w:r>
              <w:rPr>
                <w:rFonts w:cs="Arial"/>
                <w:sz w:val="20"/>
                <w:szCs w:val="20"/>
              </w:rPr>
              <w:t>Base de datos de estudiantes seleccionados en los programas de la Dirección de Becas, SEQ, Liga: https://qroo.gob.mx/seq/medios-de-verificacion-de-la-planeacion-anual</w:t>
            </w:r>
          </w:p>
        </w:tc>
        <w:tc>
          <w:tcPr>
            <w:tcW w:w="2127" w:type="dxa"/>
            <w:shd w:val="clear" w:color="auto" w:fill="auto"/>
          </w:tcPr>
          <w:p w14:paraId="7E244B22" w14:textId="77777777" w:rsidR="00E23746" w:rsidRDefault="00E23746" w:rsidP="000B2F10">
            <w:pPr>
              <w:rPr>
                <w:rFonts w:cs="Arial"/>
                <w:sz w:val="20"/>
                <w:szCs w:val="20"/>
              </w:rPr>
            </w:pPr>
            <w:r>
              <w:rPr>
                <w:rFonts w:cs="Arial"/>
                <w:sz w:val="20"/>
                <w:szCs w:val="20"/>
              </w:rPr>
              <w:t>Estudiantes realizan su solicitud de Beca, en los periodos establecidos en las convocatorias.</w:t>
            </w:r>
          </w:p>
        </w:tc>
      </w:tr>
    </w:tbl>
    <w:p w14:paraId="6C3F479A" w14:textId="77777777" w:rsidR="00E23746" w:rsidRDefault="00E23746" w:rsidP="00E23746">
      <w:pPr>
        <w:rPr>
          <w:rFonts w:eastAsia="Calibri" w:cs="Arial"/>
          <w:bCs/>
          <w:color w:val="595959" w:themeColor="text1" w:themeTint="A6"/>
          <w:sz w:val="18"/>
          <w:szCs w:val="20"/>
        </w:rPr>
      </w:pPr>
      <w:r w:rsidRPr="0093279A">
        <w:rPr>
          <w:rFonts w:eastAsia="Calibri" w:cs="Arial"/>
          <w:bCs/>
          <w:color w:val="595959" w:themeColor="text1" w:themeTint="A6"/>
          <w:sz w:val="18"/>
          <w:szCs w:val="20"/>
        </w:rPr>
        <w:t>El anexo aquí presentado es perfectible, y se encuentra susceptible de modificaciones programáticas toda vez que así se le indique por observaciones de auditorías, evaluaciones al desempeño y revisiones de la Secretaría de Finanzas y Planeación antes y durante el ejercicio fiscal del que se trate, así como también, cuando las condiciones del Ente Público responsable de dicha información programática requiera hacer modificaciones a sus necesidades institucionales, atendiendo a lo establecido en los Lineamientos para la Creación, Modificación y Cancelación de Programas Presupuestarios y para la Modificación de Metas del Gobierno del Estado de Quintana Roo.</w:t>
      </w:r>
    </w:p>
    <w:p w14:paraId="247EADE0" w14:textId="77777777" w:rsidR="00E23746" w:rsidRDefault="00E23746" w:rsidP="00E23746">
      <w:pPr>
        <w:rPr>
          <w:lang w:val="es-MX" w:eastAsia="en-US"/>
        </w:rPr>
      </w:pPr>
      <w:r>
        <w:rPr>
          <w:lang w:val="es-MX" w:eastAsia="en-US"/>
        </w:rPr>
        <w:br w:type="page"/>
      </w:r>
    </w:p>
    <w:tbl>
      <w:tblPr>
        <w:tblW w:w="13887" w:type="dxa"/>
        <w:tblCellMar>
          <w:left w:w="70" w:type="dxa"/>
          <w:right w:w="70" w:type="dxa"/>
        </w:tblCellMar>
        <w:tblLook w:val="04A0" w:firstRow="1" w:lastRow="0" w:firstColumn="1" w:lastColumn="0" w:noHBand="0" w:noVBand="1"/>
      </w:tblPr>
      <w:tblGrid>
        <w:gridCol w:w="1250"/>
        <w:gridCol w:w="2713"/>
        <w:gridCol w:w="2977"/>
        <w:gridCol w:w="2127"/>
        <w:gridCol w:w="3079"/>
        <w:gridCol w:w="1741"/>
      </w:tblGrid>
      <w:tr w:rsidR="00E23746" w:rsidRPr="00882E93" w14:paraId="055B72B9" w14:textId="77777777" w:rsidTr="000B2F10">
        <w:trPr>
          <w:trHeight w:val="443"/>
        </w:trPr>
        <w:tc>
          <w:tcPr>
            <w:tcW w:w="3963" w:type="dxa"/>
            <w:gridSpan w:val="2"/>
            <w:tcBorders>
              <w:top w:val="single" w:sz="4" w:space="0" w:color="auto"/>
              <w:left w:val="single" w:sz="4" w:space="0" w:color="auto"/>
              <w:bottom w:val="single" w:sz="4" w:space="0" w:color="auto"/>
              <w:right w:val="single" w:sz="4" w:space="0" w:color="000000"/>
            </w:tcBorders>
            <w:shd w:val="clear" w:color="000000" w:fill="BFBFBF"/>
            <w:vAlign w:val="center"/>
            <w:hideMark/>
          </w:tcPr>
          <w:p w14:paraId="1B231046" w14:textId="77777777" w:rsidR="00E23746" w:rsidRPr="00882E93" w:rsidRDefault="00E23746" w:rsidP="000B2F10">
            <w:pPr>
              <w:spacing w:after="0" w:line="240" w:lineRule="auto"/>
              <w:jc w:val="center"/>
              <w:rPr>
                <w:rFonts w:eastAsia="Times New Roman" w:cs="Arial"/>
                <w:b/>
                <w:bCs/>
                <w:sz w:val="20"/>
                <w:szCs w:val="20"/>
                <w:lang w:val="es-MX" w:eastAsia="es-MX"/>
              </w:rPr>
            </w:pPr>
            <w:r w:rsidRPr="00882E93">
              <w:rPr>
                <w:rFonts w:eastAsia="Times New Roman" w:cs="Arial"/>
                <w:b/>
                <w:bCs/>
                <w:sz w:val="20"/>
                <w:szCs w:val="20"/>
                <w:lang w:val="es-MX" w:eastAsia="es-MX"/>
              </w:rPr>
              <w:lastRenderedPageBreak/>
              <w:t>PROGRAMA PRESUPUESTARIO:</w:t>
            </w:r>
          </w:p>
        </w:tc>
        <w:tc>
          <w:tcPr>
            <w:tcW w:w="9924" w:type="dxa"/>
            <w:gridSpan w:val="4"/>
            <w:tcBorders>
              <w:top w:val="single" w:sz="4" w:space="0" w:color="auto"/>
              <w:left w:val="nil"/>
              <w:bottom w:val="single" w:sz="4" w:space="0" w:color="auto"/>
              <w:right w:val="single" w:sz="4" w:space="0" w:color="auto"/>
            </w:tcBorders>
            <w:shd w:val="clear" w:color="auto" w:fill="auto"/>
            <w:vAlign w:val="center"/>
            <w:hideMark/>
          </w:tcPr>
          <w:p w14:paraId="2B3402C8" w14:textId="77777777" w:rsidR="00E23746" w:rsidRPr="00882E93" w:rsidRDefault="00E23746" w:rsidP="000B2F10">
            <w:pPr>
              <w:spacing w:after="0" w:line="240" w:lineRule="auto"/>
              <w:jc w:val="left"/>
              <w:rPr>
                <w:rFonts w:eastAsia="Times New Roman" w:cs="Arial"/>
                <w:sz w:val="20"/>
                <w:szCs w:val="20"/>
                <w:lang w:val="es-MX" w:eastAsia="es-MX"/>
              </w:rPr>
            </w:pPr>
            <w:r w:rsidRPr="00882E93">
              <w:rPr>
                <w:rFonts w:eastAsia="Times New Roman" w:cs="Arial"/>
                <w:sz w:val="20"/>
                <w:szCs w:val="20"/>
                <w:lang w:val="es-MX" w:eastAsia="es-MX"/>
              </w:rPr>
              <w:t>Infraestructura Educativa</w:t>
            </w:r>
          </w:p>
        </w:tc>
      </w:tr>
      <w:tr w:rsidR="00E23746" w:rsidRPr="00882E93" w14:paraId="48DB6C54" w14:textId="77777777" w:rsidTr="000B2F10">
        <w:trPr>
          <w:trHeight w:val="735"/>
        </w:trPr>
        <w:tc>
          <w:tcPr>
            <w:tcW w:w="3963" w:type="dxa"/>
            <w:gridSpan w:val="2"/>
            <w:tcBorders>
              <w:top w:val="single" w:sz="4" w:space="0" w:color="auto"/>
              <w:left w:val="single" w:sz="4" w:space="0" w:color="auto"/>
              <w:bottom w:val="single" w:sz="4" w:space="0" w:color="auto"/>
              <w:right w:val="single" w:sz="4" w:space="0" w:color="000000"/>
            </w:tcBorders>
            <w:shd w:val="clear" w:color="000000" w:fill="BFBFBF"/>
            <w:vAlign w:val="center"/>
            <w:hideMark/>
          </w:tcPr>
          <w:p w14:paraId="204CE24D" w14:textId="77777777" w:rsidR="00E23746" w:rsidRPr="00882E93" w:rsidRDefault="00E23746" w:rsidP="000B2F10">
            <w:pPr>
              <w:spacing w:after="0" w:line="240" w:lineRule="auto"/>
              <w:jc w:val="center"/>
              <w:rPr>
                <w:rFonts w:eastAsia="Times New Roman" w:cs="Arial"/>
                <w:b/>
                <w:bCs/>
                <w:sz w:val="20"/>
                <w:szCs w:val="20"/>
                <w:lang w:val="es-MX" w:eastAsia="es-MX"/>
              </w:rPr>
            </w:pPr>
            <w:r w:rsidRPr="00882E93">
              <w:rPr>
                <w:rFonts w:eastAsia="Times New Roman" w:cs="Arial"/>
                <w:b/>
                <w:bCs/>
                <w:sz w:val="20"/>
                <w:szCs w:val="20"/>
                <w:lang w:val="es-MX" w:eastAsia="es-MX"/>
              </w:rPr>
              <w:t>INSTITUCIÓN:</w:t>
            </w:r>
          </w:p>
        </w:tc>
        <w:tc>
          <w:tcPr>
            <w:tcW w:w="9924" w:type="dxa"/>
            <w:gridSpan w:val="4"/>
            <w:tcBorders>
              <w:top w:val="single" w:sz="4" w:space="0" w:color="auto"/>
              <w:left w:val="nil"/>
              <w:bottom w:val="single" w:sz="4" w:space="0" w:color="auto"/>
              <w:right w:val="single" w:sz="4" w:space="0" w:color="auto"/>
            </w:tcBorders>
            <w:shd w:val="clear" w:color="auto" w:fill="auto"/>
            <w:vAlign w:val="center"/>
            <w:hideMark/>
          </w:tcPr>
          <w:p w14:paraId="40925533" w14:textId="77777777" w:rsidR="00E23746" w:rsidRPr="00882E93" w:rsidRDefault="00E23746" w:rsidP="000B2F10">
            <w:pPr>
              <w:spacing w:after="0" w:line="240" w:lineRule="auto"/>
              <w:jc w:val="left"/>
              <w:rPr>
                <w:rFonts w:eastAsia="Times New Roman" w:cs="Arial"/>
                <w:sz w:val="20"/>
                <w:szCs w:val="20"/>
                <w:lang w:val="es-MX" w:eastAsia="es-MX"/>
              </w:rPr>
            </w:pPr>
            <w:r w:rsidRPr="00882E93">
              <w:rPr>
                <w:rFonts w:eastAsia="Times New Roman" w:cs="Arial"/>
                <w:sz w:val="20"/>
                <w:szCs w:val="20"/>
                <w:lang w:val="es-MX" w:eastAsia="es-MX"/>
              </w:rPr>
              <w:t>Instituto de Infraestructura Física Educativa del Estado de Quintana Roo</w:t>
            </w:r>
          </w:p>
        </w:tc>
      </w:tr>
      <w:tr w:rsidR="00E23746" w:rsidRPr="00882E93" w14:paraId="3B65DA3F" w14:textId="77777777" w:rsidTr="000B2F10">
        <w:trPr>
          <w:trHeight w:val="282"/>
        </w:trPr>
        <w:tc>
          <w:tcPr>
            <w:tcW w:w="1250" w:type="dxa"/>
            <w:tcBorders>
              <w:top w:val="nil"/>
              <w:left w:val="nil"/>
              <w:bottom w:val="nil"/>
              <w:right w:val="nil"/>
            </w:tcBorders>
            <w:shd w:val="clear" w:color="auto" w:fill="auto"/>
            <w:hideMark/>
          </w:tcPr>
          <w:p w14:paraId="24D7B473" w14:textId="77777777" w:rsidR="00E23746" w:rsidRPr="00882E93" w:rsidRDefault="00E23746" w:rsidP="000B2F10">
            <w:pPr>
              <w:spacing w:after="0" w:line="240" w:lineRule="auto"/>
              <w:jc w:val="left"/>
              <w:rPr>
                <w:rFonts w:eastAsia="Times New Roman" w:cs="Arial"/>
                <w:sz w:val="20"/>
                <w:szCs w:val="20"/>
                <w:lang w:val="es-MX" w:eastAsia="es-MX"/>
              </w:rPr>
            </w:pPr>
          </w:p>
        </w:tc>
        <w:tc>
          <w:tcPr>
            <w:tcW w:w="2713" w:type="dxa"/>
            <w:tcBorders>
              <w:top w:val="nil"/>
              <w:left w:val="nil"/>
              <w:bottom w:val="nil"/>
              <w:right w:val="nil"/>
            </w:tcBorders>
            <w:shd w:val="clear" w:color="auto" w:fill="auto"/>
            <w:hideMark/>
          </w:tcPr>
          <w:p w14:paraId="023262C4" w14:textId="77777777" w:rsidR="00E23746" w:rsidRPr="00882E93" w:rsidRDefault="00E23746" w:rsidP="000B2F10">
            <w:pPr>
              <w:spacing w:after="0" w:line="240" w:lineRule="auto"/>
              <w:jc w:val="left"/>
              <w:rPr>
                <w:rFonts w:ascii="Times New Roman" w:eastAsia="Times New Roman" w:hAnsi="Times New Roman" w:cs="Times New Roman"/>
                <w:sz w:val="20"/>
                <w:szCs w:val="20"/>
                <w:lang w:val="es-MX" w:eastAsia="es-MX"/>
              </w:rPr>
            </w:pPr>
          </w:p>
        </w:tc>
        <w:tc>
          <w:tcPr>
            <w:tcW w:w="2977" w:type="dxa"/>
            <w:tcBorders>
              <w:top w:val="nil"/>
              <w:left w:val="nil"/>
              <w:bottom w:val="nil"/>
              <w:right w:val="nil"/>
            </w:tcBorders>
            <w:shd w:val="clear" w:color="auto" w:fill="auto"/>
            <w:hideMark/>
          </w:tcPr>
          <w:p w14:paraId="6203BB83" w14:textId="77777777" w:rsidR="00E23746" w:rsidRPr="00882E93" w:rsidRDefault="00E23746" w:rsidP="000B2F10">
            <w:pPr>
              <w:spacing w:after="0" w:line="240" w:lineRule="auto"/>
              <w:jc w:val="left"/>
              <w:rPr>
                <w:rFonts w:ascii="Times New Roman" w:eastAsia="Times New Roman" w:hAnsi="Times New Roman" w:cs="Times New Roman"/>
                <w:sz w:val="20"/>
                <w:szCs w:val="20"/>
                <w:lang w:val="es-MX" w:eastAsia="es-MX"/>
              </w:rPr>
            </w:pPr>
          </w:p>
        </w:tc>
        <w:tc>
          <w:tcPr>
            <w:tcW w:w="2127" w:type="dxa"/>
            <w:tcBorders>
              <w:top w:val="nil"/>
              <w:left w:val="nil"/>
              <w:bottom w:val="nil"/>
              <w:right w:val="nil"/>
            </w:tcBorders>
            <w:shd w:val="clear" w:color="auto" w:fill="auto"/>
            <w:hideMark/>
          </w:tcPr>
          <w:p w14:paraId="443D8747" w14:textId="77777777" w:rsidR="00E23746" w:rsidRPr="00882E93" w:rsidRDefault="00E23746" w:rsidP="000B2F10">
            <w:pPr>
              <w:spacing w:after="0" w:line="240" w:lineRule="auto"/>
              <w:jc w:val="left"/>
              <w:rPr>
                <w:rFonts w:ascii="Times New Roman" w:eastAsia="Times New Roman" w:hAnsi="Times New Roman" w:cs="Times New Roman"/>
                <w:sz w:val="20"/>
                <w:szCs w:val="20"/>
                <w:lang w:val="es-MX" w:eastAsia="es-MX"/>
              </w:rPr>
            </w:pPr>
          </w:p>
        </w:tc>
        <w:tc>
          <w:tcPr>
            <w:tcW w:w="3079" w:type="dxa"/>
            <w:tcBorders>
              <w:top w:val="nil"/>
              <w:left w:val="nil"/>
              <w:bottom w:val="nil"/>
              <w:right w:val="nil"/>
            </w:tcBorders>
            <w:shd w:val="clear" w:color="auto" w:fill="auto"/>
            <w:hideMark/>
          </w:tcPr>
          <w:p w14:paraId="077B94D9" w14:textId="77777777" w:rsidR="00E23746" w:rsidRPr="00882E93" w:rsidRDefault="00E23746" w:rsidP="000B2F10">
            <w:pPr>
              <w:spacing w:after="0" w:line="240" w:lineRule="auto"/>
              <w:jc w:val="left"/>
              <w:rPr>
                <w:rFonts w:ascii="Times New Roman" w:eastAsia="Times New Roman" w:hAnsi="Times New Roman" w:cs="Times New Roman"/>
                <w:sz w:val="20"/>
                <w:szCs w:val="20"/>
                <w:lang w:val="es-MX" w:eastAsia="es-MX"/>
              </w:rPr>
            </w:pPr>
          </w:p>
        </w:tc>
        <w:tc>
          <w:tcPr>
            <w:tcW w:w="1741" w:type="dxa"/>
            <w:tcBorders>
              <w:top w:val="nil"/>
              <w:left w:val="nil"/>
              <w:bottom w:val="nil"/>
              <w:right w:val="nil"/>
            </w:tcBorders>
            <w:shd w:val="clear" w:color="auto" w:fill="auto"/>
            <w:hideMark/>
          </w:tcPr>
          <w:p w14:paraId="2B0A0B72" w14:textId="77777777" w:rsidR="00E23746" w:rsidRPr="00882E93" w:rsidRDefault="00E23746" w:rsidP="000B2F10">
            <w:pPr>
              <w:spacing w:after="0" w:line="240" w:lineRule="auto"/>
              <w:jc w:val="left"/>
              <w:rPr>
                <w:rFonts w:ascii="Times New Roman" w:eastAsia="Times New Roman" w:hAnsi="Times New Roman" w:cs="Times New Roman"/>
                <w:sz w:val="20"/>
                <w:szCs w:val="20"/>
                <w:lang w:val="es-MX" w:eastAsia="es-MX"/>
              </w:rPr>
            </w:pPr>
          </w:p>
        </w:tc>
      </w:tr>
      <w:tr w:rsidR="00E23746" w:rsidRPr="00882E93" w14:paraId="3DD12A1A" w14:textId="77777777" w:rsidTr="006B434D">
        <w:trPr>
          <w:trHeight w:val="443"/>
        </w:trPr>
        <w:tc>
          <w:tcPr>
            <w:tcW w:w="13887" w:type="dxa"/>
            <w:gridSpan w:val="6"/>
            <w:tcBorders>
              <w:top w:val="single" w:sz="4" w:space="0" w:color="auto"/>
              <w:left w:val="single" w:sz="4" w:space="0" w:color="auto"/>
              <w:bottom w:val="single" w:sz="4" w:space="0" w:color="auto"/>
              <w:right w:val="single" w:sz="4" w:space="0" w:color="000000"/>
            </w:tcBorders>
            <w:shd w:val="clear" w:color="000000" w:fill="BFBFBF"/>
            <w:vAlign w:val="center"/>
            <w:hideMark/>
          </w:tcPr>
          <w:p w14:paraId="4D7287D1" w14:textId="77777777" w:rsidR="00E23746" w:rsidRPr="00882E93" w:rsidRDefault="00E23746" w:rsidP="000B2F10">
            <w:pPr>
              <w:spacing w:after="0" w:line="240" w:lineRule="auto"/>
              <w:jc w:val="center"/>
              <w:rPr>
                <w:rFonts w:eastAsia="Times New Roman" w:cs="Arial"/>
                <w:b/>
                <w:bCs/>
                <w:sz w:val="20"/>
                <w:szCs w:val="20"/>
                <w:lang w:val="es-MX" w:eastAsia="es-MX"/>
              </w:rPr>
            </w:pPr>
            <w:r w:rsidRPr="00882E93">
              <w:rPr>
                <w:rFonts w:eastAsia="Times New Roman" w:cs="Arial"/>
                <w:b/>
                <w:bCs/>
                <w:sz w:val="20"/>
                <w:szCs w:val="20"/>
                <w:lang w:val="es-MX" w:eastAsia="es-MX"/>
              </w:rPr>
              <w:t>MATRIZ DE INDICADORES PARA RESULTADOS (MIR)</w:t>
            </w:r>
          </w:p>
        </w:tc>
      </w:tr>
      <w:tr w:rsidR="00E23746" w:rsidRPr="00882E93" w14:paraId="34A9DF6D" w14:textId="77777777" w:rsidTr="006B434D">
        <w:trPr>
          <w:trHeight w:val="672"/>
        </w:trPr>
        <w:tc>
          <w:tcPr>
            <w:tcW w:w="125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1C4904BC" w14:textId="77777777" w:rsidR="00E23746" w:rsidRPr="00882E93" w:rsidRDefault="00E23746" w:rsidP="000B2F10">
            <w:pPr>
              <w:spacing w:after="0" w:line="240" w:lineRule="auto"/>
              <w:jc w:val="center"/>
              <w:rPr>
                <w:rFonts w:eastAsia="Times New Roman" w:cs="Arial"/>
                <w:b/>
                <w:bCs/>
                <w:sz w:val="20"/>
                <w:szCs w:val="20"/>
                <w:lang w:val="es-MX" w:eastAsia="es-MX"/>
              </w:rPr>
            </w:pPr>
            <w:r w:rsidRPr="00882E93">
              <w:rPr>
                <w:rFonts w:eastAsia="Times New Roman" w:cs="Arial"/>
                <w:b/>
                <w:bCs/>
                <w:sz w:val="20"/>
                <w:szCs w:val="20"/>
                <w:lang w:val="es-MX" w:eastAsia="es-MX"/>
              </w:rPr>
              <w:t>NIVEL</w:t>
            </w:r>
          </w:p>
        </w:tc>
        <w:tc>
          <w:tcPr>
            <w:tcW w:w="2713" w:type="dxa"/>
            <w:tcBorders>
              <w:top w:val="single" w:sz="4" w:space="0" w:color="auto"/>
              <w:left w:val="nil"/>
              <w:bottom w:val="single" w:sz="4" w:space="0" w:color="auto"/>
              <w:right w:val="single" w:sz="4" w:space="0" w:color="auto"/>
            </w:tcBorders>
            <w:shd w:val="clear" w:color="000000" w:fill="BFBFBF"/>
            <w:vAlign w:val="center"/>
            <w:hideMark/>
          </w:tcPr>
          <w:p w14:paraId="3847593E" w14:textId="77777777" w:rsidR="00E23746" w:rsidRPr="00882E93" w:rsidRDefault="00E23746" w:rsidP="000B2F10">
            <w:pPr>
              <w:spacing w:after="0" w:line="240" w:lineRule="auto"/>
              <w:jc w:val="center"/>
              <w:rPr>
                <w:rFonts w:eastAsia="Times New Roman" w:cs="Arial"/>
                <w:b/>
                <w:bCs/>
                <w:sz w:val="20"/>
                <w:szCs w:val="20"/>
                <w:lang w:val="es-MX" w:eastAsia="es-MX"/>
              </w:rPr>
            </w:pPr>
            <w:r w:rsidRPr="00882E93">
              <w:rPr>
                <w:rFonts w:eastAsia="Times New Roman" w:cs="Arial"/>
                <w:b/>
                <w:bCs/>
                <w:sz w:val="20"/>
                <w:szCs w:val="20"/>
                <w:lang w:val="es-MX" w:eastAsia="es-MX"/>
              </w:rPr>
              <w:t>ALINEACIÓN PED/PD</w:t>
            </w:r>
          </w:p>
        </w:tc>
        <w:tc>
          <w:tcPr>
            <w:tcW w:w="2977" w:type="dxa"/>
            <w:tcBorders>
              <w:top w:val="single" w:sz="4" w:space="0" w:color="auto"/>
              <w:left w:val="nil"/>
              <w:bottom w:val="single" w:sz="4" w:space="0" w:color="auto"/>
              <w:right w:val="single" w:sz="4" w:space="0" w:color="auto"/>
            </w:tcBorders>
            <w:shd w:val="clear" w:color="000000" w:fill="BFBFBF"/>
            <w:vAlign w:val="center"/>
            <w:hideMark/>
          </w:tcPr>
          <w:p w14:paraId="24377B2A" w14:textId="77777777" w:rsidR="00E23746" w:rsidRPr="00882E93" w:rsidRDefault="00E23746" w:rsidP="000B2F10">
            <w:pPr>
              <w:spacing w:after="0" w:line="240" w:lineRule="auto"/>
              <w:jc w:val="center"/>
              <w:rPr>
                <w:rFonts w:eastAsia="Times New Roman" w:cs="Arial"/>
                <w:b/>
                <w:bCs/>
                <w:sz w:val="20"/>
                <w:szCs w:val="20"/>
                <w:lang w:val="es-MX" w:eastAsia="es-MX"/>
              </w:rPr>
            </w:pPr>
            <w:r w:rsidRPr="00882E93">
              <w:rPr>
                <w:rFonts w:eastAsia="Times New Roman" w:cs="Arial"/>
                <w:b/>
                <w:bCs/>
                <w:sz w:val="20"/>
                <w:szCs w:val="20"/>
                <w:lang w:val="es-MX" w:eastAsia="es-MX"/>
              </w:rPr>
              <w:t>OBJETIVO</w:t>
            </w:r>
          </w:p>
        </w:tc>
        <w:tc>
          <w:tcPr>
            <w:tcW w:w="2127" w:type="dxa"/>
            <w:tcBorders>
              <w:top w:val="single" w:sz="4" w:space="0" w:color="auto"/>
              <w:left w:val="nil"/>
              <w:bottom w:val="single" w:sz="4" w:space="0" w:color="auto"/>
              <w:right w:val="single" w:sz="4" w:space="0" w:color="auto"/>
            </w:tcBorders>
            <w:shd w:val="clear" w:color="000000" w:fill="BFBFBF"/>
            <w:vAlign w:val="center"/>
            <w:hideMark/>
          </w:tcPr>
          <w:p w14:paraId="7F7CB35A" w14:textId="77777777" w:rsidR="00E23746" w:rsidRPr="00882E93" w:rsidRDefault="00E23746" w:rsidP="000B2F10">
            <w:pPr>
              <w:spacing w:after="0" w:line="240" w:lineRule="auto"/>
              <w:jc w:val="center"/>
              <w:rPr>
                <w:rFonts w:eastAsia="Times New Roman" w:cs="Arial"/>
                <w:b/>
                <w:bCs/>
                <w:sz w:val="20"/>
                <w:szCs w:val="20"/>
                <w:lang w:val="es-MX" w:eastAsia="es-MX"/>
              </w:rPr>
            </w:pPr>
            <w:r w:rsidRPr="00882E93">
              <w:rPr>
                <w:rFonts w:eastAsia="Times New Roman" w:cs="Arial"/>
                <w:b/>
                <w:bCs/>
                <w:sz w:val="20"/>
                <w:szCs w:val="20"/>
                <w:lang w:val="es-MX" w:eastAsia="es-MX"/>
              </w:rPr>
              <w:t>INDICADOR</w:t>
            </w:r>
          </w:p>
        </w:tc>
        <w:tc>
          <w:tcPr>
            <w:tcW w:w="3079" w:type="dxa"/>
            <w:tcBorders>
              <w:top w:val="single" w:sz="4" w:space="0" w:color="auto"/>
              <w:left w:val="nil"/>
              <w:bottom w:val="single" w:sz="4" w:space="0" w:color="auto"/>
              <w:right w:val="single" w:sz="4" w:space="0" w:color="auto"/>
            </w:tcBorders>
            <w:shd w:val="clear" w:color="000000" w:fill="BFBFBF"/>
            <w:vAlign w:val="center"/>
            <w:hideMark/>
          </w:tcPr>
          <w:p w14:paraId="6DF96D44" w14:textId="77777777" w:rsidR="00E23746" w:rsidRPr="00882E93" w:rsidRDefault="00E23746" w:rsidP="000B2F10">
            <w:pPr>
              <w:spacing w:after="0" w:line="240" w:lineRule="auto"/>
              <w:jc w:val="center"/>
              <w:rPr>
                <w:rFonts w:eastAsia="Times New Roman" w:cs="Arial"/>
                <w:b/>
                <w:bCs/>
                <w:sz w:val="20"/>
                <w:szCs w:val="20"/>
                <w:lang w:val="es-MX" w:eastAsia="es-MX"/>
              </w:rPr>
            </w:pPr>
            <w:r w:rsidRPr="00882E93">
              <w:rPr>
                <w:rFonts w:eastAsia="Times New Roman" w:cs="Arial"/>
                <w:b/>
                <w:bCs/>
                <w:sz w:val="20"/>
                <w:szCs w:val="20"/>
                <w:lang w:val="es-MX" w:eastAsia="es-MX"/>
              </w:rPr>
              <w:t>MEDIOS DE VERIFICACIÓN</w:t>
            </w:r>
          </w:p>
        </w:tc>
        <w:tc>
          <w:tcPr>
            <w:tcW w:w="1741" w:type="dxa"/>
            <w:tcBorders>
              <w:top w:val="single" w:sz="4" w:space="0" w:color="auto"/>
              <w:left w:val="nil"/>
              <w:bottom w:val="single" w:sz="4" w:space="0" w:color="auto"/>
              <w:right w:val="single" w:sz="4" w:space="0" w:color="auto"/>
            </w:tcBorders>
            <w:shd w:val="clear" w:color="000000" w:fill="BFBFBF"/>
            <w:vAlign w:val="center"/>
            <w:hideMark/>
          </w:tcPr>
          <w:p w14:paraId="14E1C75C" w14:textId="77777777" w:rsidR="00E23746" w:rsidRPr="00882E93" w:rsidRDefault="00E23746" w:rsidP="000B2F10">
            <w:pPr>
              <w:spacing w:after="0" w:line="240" w:lineRule="auto"/>
              <w:jc w:val="center"/>
              <w:rPr>
                <w:rFonts w:eastAsia="Times New Roman" w:cs="Arial"/>
                <w:b/>
                <w:bCs/>
                <w:sz w:val="20"/>
                <w:szCs w:val="20"/>
                <w:lang w:val="es-MX" w:eastAsia="es-MX"/>
              </w:rPr>
            </w:pPr>
            <w:r w:rsidRPr="00882E93">
              <w:rPr>
                <w:rFonts w:eastAsia="Times New Roman" w:cs="Arial"/>
                <w:b/>
                <w:bCs/>
                <w:sz w:val="20"/>
                <w:szCs w:val="20"/>
                <w:lang w:val="es-MX" w:eastAsia="es-MX"/>
              </w:rPr>
              <w:t>SUPUESTO</w:t>
            </w:r>
          </w:p>
        </w:tc>
      </w:tr>
      <w:tr w:rsidR="00E23746" w:rsidRPr="00882E93" w14:paraId="74B4CEB2" w14:textId="77777777" w:rsidTr="000B2F10">
        <w:trPr>
          <w:trHeight w:val="2209"/>
        </w:trPr>
        <w:tc>
          <w:tcPr>
            <w:tcW w:w="1250" w:type="dxa"/>
            <w:tcBorders>
              <w:top w:val="single" w:sz="4" w:space="0" w:color="auto"/>
              <w:left w:val="single" w:sz="4" w:space="0" w:color="auto"/>
              <w:bottom w:val="single" w:sz="4" w:space="0" w:color="auto"/>
              <w:right w:val="single" w:sz="4" w:space="0" w:color="auto"/>
            </w:tcBorders>
            <w:shd w:val="clear" w:color="auto" w:fill="auto"/>
            <w:hideMark/>
          </w:tcPr>
          <w:p w14:paraId="73ED2B9E" w14:textId="77777777" w:rsidR="00E23746" w:rsidRPr="00514017" w:rsidRDefault="00E23746" w:rsidP="000B2F10">
            <w:pPr>
              <w:spacing w:after="0" w:line="240" w:lineRule="auto"/>
              <w:jc w:val="center"/>
              <w:rPr>
                <w:rFonts w:eastAsia="Times New Roman" w:cs="Arial"/>
                <w:b/>
                <w:bCs/>
                <w:sz w:val="18"/>
                <w:szCs w:val="20"/>
                <w:lang w:val="es-MX" w:eastAsia="es-MX"/>
              </w:rPr>
            </w:pPr>
            <w:r w:rsidRPr="00514017">
              <w:rPr>
                <w:rFonts w:eastAsia="Times New Roman" w:cs="Arial"/>
                <w:b/>
                <w:bCs/>
                <w:sz w:val="18"/>
                <w:szCs w:val="20"/>
                <w:lang w:val="es-MX" w:eastAsia="es-MX"/>
              </w:rPr>
              <w:t>Fin</w:t>
            </w:r>
          </w:p>
        </w:tc>
        <w:tc>
          <w:tcPr>
            <w:tcW w:w="2713" w:type="dxa"/>
            <w:tcBorders>
              <w:top w:val="single" w:sz="4" w:space="0" w:color="auto"/>
              <w:left w:val="nil"/>
              <w:bottom w:val="single" w:sz="4" w:space="0" w:color="auto"/>
              <w:right w:val="single" w:sz="4" w:space="0" w:color="auto"/>
            </w:tcBorders>
            <w:shd w:val="clear" w:color="auto" w:fill="auto"/>
            <w:hideMark/>
          </w:tcPr>
          <w:p w14:paraId="6CAF3020" w14:textId="77777777" w:rsidR="00E23746" w:rsidRPr="00514017" w:rsidRDefault="00E23746" w:rsidP="000B2F10">
            <w:pPr>
              <w:spacing w:after="0" w:line="240" w:lineRule="auto"/>
              <w:rPr>
                <w:rFonts w:eastAsia="Times New Roman" w:cs="Arial"/>
                <w:sz w:val="18"/>
                <w:szCs w:val="20"/>
                <w:lang w:val="es-MX" w:eastAsia="es-MX"/>
              </w:rPr>
            </w:pPr>
            <w:r w:rsidRPr="00514017">
              <w:rPr>
                <w:rFonts w:eastAsia="Times New Roman" w:cs="Arial"/>
                <w:sz w:val="18"/>
                <w:szCs w:val="20"/>
                <w:lang w:val="es-MX" w:eastAsia="es-MX"/>
              </w:rPr>
              <w:t>Garantizar el acceso y permanencia a una educación inclusiva y de calidad en todos los niveles educativos que promueva en los educandos aprendizajes para la vida.</w:t>
            </w:r>
          </w:p>
        </w:tc>
        <w:tc>
          <w:tcPr>
            <w:tcW w:w="2977" w:type="dxa"/>
            <w:tcBorders>
              <w:top w:val="single" w:sz="4" w:space="0" w:color="auto"/>
              <w:left w:val="nil"/>
              <w:bottom w:val="single" w:sz="4" w:space="0" w:color="auto"/>
              <w:right w:val="single" w:sz="4" w:space="0" w:color="auto"/>
            </w:tcBorders>
            <w:shd w:val="clear" w:color="auto" w:fill="auto"/>
            <w:hideMark/>
          </w:tcPr>
          <w:p w14:paraId="17D632D7" w14:textId="77777777" w:rsidR="00E23746" w:rsidRPr="00514017" w:rsidRDefault="00E23746" w:rsidP="000B2F10">
            <w:pPr>
              <w:spacing w:after="0" w:line="240" w:lineRule="auto"/>
              <w:rPr>
                <w:rFonts w:eastAsia="Times New Roman" w:cs="Arial"/>
                <w:sz w:val="18"/>
                <w:szCs w:val="20"/>
                <w:lang w:val="es-MX" w:eastAsia="es-MX"/>
              </w:rPr>
            </w:pPr>
            <w:r w:rsidRPr="00514017">
              <w:rPr>
                <w:rFonts w:eastAsia="Times New Roman" w:cs="Arial"/>
                <w:sz w:val="18"/>
                <w:szCs w:val="20"/>
                <w:lang w:val="es-MX" w:eastAsia="es-MX"/>
              </w:rPr>
              <w:t>F - Contribuir a garantizar el acceso y permanencia a una educación inclusiva y de calidad en todos los niveles educativos que promueva en los educandos aprendizajes para la vida  mediante estrategias de atención a la demanda y permanencia en todos los niveles educativos.</w:t>
            </w:r>
          </w:p>
        </w:tc>
        <w:tc>
          <w:tcPr>
            <w:tcW w:w="2127" w:type="dxa"/>
            <w:tcBorders>
              <w:top w:val="single" w:sz="4" w:space="0" w:color="auto"/>
              <w:left w:val="nil"/>
              <w:bottom w:val="single" w:sz="4" w:space="0" w:color="auto"/>
              <w:right w:val="single" w:sz="4" w:space="0" w:color="auto"/>
            </w:tcBorders>
            <w:shd w:val="clear" w:color="auto" w:fill="auto"/>
            <w:hideMark/>
          </w:tcPr>
          <w:p w14:paraId="0F691549" w14:textId="77777777" w:rsidR="00E23746" w:rsidRPr="00514017" w:rsidRDefault="00E23746" w:rsidP="000B2F10">
            <w:pPr>
              <w:spacing w:after="0" w:line="240" w:lineRule="auto"/>
              <w:rPr>
                <w:rFonts w:eastAsia="Times New Roman" w:cs="Arial"/>
                <w:sz w:val="18"/>
                <w:szCs w:val="20"/>
                <w:lang w:val="es-MX" w:eastAsia="es-MX"/>
              </w:rPr>
            </w:pPr>
            <w:r w:rsidRPr="00514017">
              <w:rPr>
                <w:rFonts w:eastAsia="Times New Roman" w:cs="Arial"/>
                <w:sz w:val="18"/>
                <w:szCs w:val="20"/>
                <w:lang w:val="es-MX" w:eastAsia="es-MX"/>
              </w:rPr>
              <w:t>Tasa de cobertura estatal de educación básica.</w:t>
            </w:r>
          </w:p>
        </w:tc>
        <w:tc>
          <w:tcPr>
            <w:tcW w:w="3079" w:type="dxa"/>
            <w:tcBorders>
              <w:top w:val="single" w:sz="4" w:space="0" w:color="auto"/>
              <w:left w:val="nil"/>
              <w:bottom w:val="single" w:sz="4" w:space="0" w:color="auto"/>
              <w:right w:val="single" w:sz="4" w:space="0" w:color="auto"/>
            </w:tcBorders>
            <w:shd w:val="clear" w:color="auto" w:fill="auto"/>
            <w:hideMark/>
          </w:tcPr>
          <w:p w14:paraId="4D624751" w14:textId="77777777" w:rsidR="00E23746" w:rsidRPr="00514017" w:rsidRDefault="00E23746" w:rsidP="000B2F10">
            <w:pPr>
              <w:spacing w:after="0" w:line="240" w:lineRule="auto"/>
              <w:rPr>
                <w:rFonts w:eastAsia="Times New Roman" w:cs="Arial"/>
                <w:sz w:val="18"/>
                <w:szCs w:val="20"/>
                <w:lang w:val="es-MX" w:eastAsia="es-MX"/>
              </w:rPr>
            </w:pPr>
            <w:r w:rsidRPr="00514017">
              <w:rPr>
                <w:rFonts w:eastAsia="Times New Roman" w:cs="Arial"/>
                <w:sz w:val="18"/>
                <w:szCs w:val="20"/>
                <w:lang w:val="es-MX" w:eastAsia="es-MX"/>
              </w:rPr>
              <w:t>Estadísticas continúas del formato 911, matrícula de inicio de ciclo escolar, SEQ. Proyecciones de población por edad desplegada, entidad federativa (Quintana Roo) 1970-2050, CONAPO, https://qroo.gob.mx/seq/medios-de-verificacion-de-la-planeacion-anual.</w:t>
            </w:r>
          </w:p>
        </w:tc>
        <w:tc>
          <w:tcPr>
            <w:tcW w:w="1741" w:type="dxa"/>
            <w:tcBorders>
              <w:top w:val="single" w:sz="4" w:space="0" w:color="auto"/>
              <w:left w:val="nil"/>
              <w:bottom w:val="single" w:sz="4" w:space="0" w:color="auto"/>
              <w:right w:val="single" w:sz="4" w:space="0" w:color="auto"/>
            </w:tcBorders>
            <w:shd w:val="clear" w:color="auto" w:fill="auto"/>
            <w:hideMark/>
          </w:tcPr>
          <w:p w14:paraId="4E56D84D" w14:textId="77777777" w:rsidR="00E23746" w:rsidRPr="00514017" w:rsidRDefault="00E23746" w:rsidP="000B2F10">
            <w:pPr>
              <w:spacing w:after="0" w:line="240" w:lineRule="auto"/>
              <w:ind w:right="-76"/>
              <w:rPr>
                <w:rFonts w:eastAsia="Times New Roman" w:cs="Arial"/>
                <w:sz w:val="18"/>
                <w:szCs w:val="20"/>
                <w:lang w:val="es-MX" w:eastAsia="es-MX"/>
              </w:rPr>
            </w:pPr>
            <w:r w:rsidRPr="00514017">
              <w:rPr>
                <w:rFonts w:eastAsia="Times New Roman" w:cs="Arial"/>
                <w:sz w:val="18"/>
                <w:szCs w:val="20"/>
                <w:lang w:val="es-MX" w:eastAsia="es-MX"/>
              </w:rPr>
              <w:t>La población del Estado obtiene una educación integral de calidad que les permite progresar individual y colectivamente.</w:t>
            </w:r>
          </w:p>
        </w:tc>
      </w:tr>
      <w:tr w:rsidR="00E23746" w:rsidRPr="00882E93" w14:paraId="6D4A72E7" w14:textId="77777777" w:rsidTr="000B2F10">
        <w:trPr>
          <w:trHeight w:val="2535"/>
        </w:trPr>
        <w:tc>
          <w:tcPr>
            <w:tcW w:w="1250" w:type="dxa"/>
            <w:tcBorders>
              <w:top w:val="single" w:sz="4" w:space="0" w:color="auto"/>
              <w:left w:val="single" w:sz="4" w:space="0" w:color="auto"/>
              <w:bottom w:val="single" w:sz="4" w:space="0" w:color="auto"/>
              <w:right w:val="single" w:sz="4" w:space="0" w:color="auto"/>
            </w:tcBorders>
            <w:shd w:val="clear" w:color="auto" w:fill="auto"/>
            <w:hideMark/>
          </w:tcPr>
          <w:p w14:paraId="576A82DE" w14:textId="77777777" w:rsidR="00E23746" w:rsidRPr="00514017" w:rsidRDefault="00E23746" w:rsidP="000B2F10">
            <w:pPr>
              <w:spacing w:after="0" w:line="240" w:lineRule="auto"/>
              <w:jc w:val="center"/>
              <w:rPr>
                <w:rFonts w:eastAsia="Times New Roman" w:cs="Arial"/>
                <w:b/>
                <w:bCs/>
                <w:sz w:val="18"/>
                <w:szCs w:val="20"/>
                <w:lang w:val="es-MX" w:eastAsia="es-MX"/>
              </w:rPr>
            </w:pPr>
            <w:r w:rsidRPr="00514017">
              <w:rPr>
                <w:rFonts w:eastAsia="Times New Roman" w:cs="Arial"/>
                <w:b/>
                <w:bCs/>
                <w:sz w:val="18"/>
                <w:szCs w:val="20"/>
                <w:lang w:val="es-MX" w:eastAsia="es-MX"/>
              </w:rPr>
              <w:t>Fin</w:t>
            </w:r>
          </w:p>
        </w:tc>
        <w:tc>
          <w:tcPr>
            <w:tcW w:w="2713" w:type="dxa"/>
            <w:tcBorders>
              <w:top w:val="single" w:sz="4" w:space="0" w:color="auto"/>
              <w:left w:val="nil"/>
              <w:bottom w:val="single" w:sz="4" w:space="0" w:color="auto"/>
              <w:right w:val="single" w:sz="4" w:space="0" w:color="auto"/>
            </w:tcBorders>
            <w:shd w:val="clear" w:color="auto" w:fill="auto"/>
            <w:hideMark/>
          </w:tcPr>
          <w:p w14:paraId="2C2B5066" w14:textId="77777777" w:rsidR="00E23746" w:rsidRPr="00514017" w:rsidRDefault="00E23746" w:rsidP="000B2F10">
            <w:pPr>
              <w:spacing w:after="0" w:line="240" w:lineRule="auto"/>
              <w:rPr>
                <w:rFonts w:eastAsia="Times New Roman" w:cs="Arial"/>
                <w:sz w:val="18"/>
                <w:szCs w:val="20"/>
                <w:lang w:val="es-MX" w:eastAsia="es-MX"/>
              </w:rPr>
            </w:pPr>
            <w:r w:rsidRPr="00514017">
              <w:rPr>
                <w:rFonts w:eastAsia="Times New Roman" w:cs="Arial"/>
                <w:sz w:val="18"/>
                <w:szCs w:val="20"/>
                <w:lang w:val="es-MX" w:eastAsia="es-MX"/>
              </w:rPr>
              <w:t>Garantizar el acceso y permanencia a una educación inclusiva y de calidad en todos los niveles educativos que promueva en los educandos aprendizajes para la vida.</w:t>
            </w:r>
          </w:p>
        </w:tc>
        <w:tc>
          <w:tcPr>
            <w:tcW w:w="2977" w:type="dxa"/>
            <w:tcBorders>
              <w:top w:val="single" w:sz="4" w:space="0" w:color="auto"/>
              <w:left w:val="nil"/>
              <w:bottom w:val="single" w:sz="4" w:space="0" w:color="auto"/>
              <w:right w:val="single" w:sz="4" w:space="0" w:color="auto"/>
            </w:tcBorders>
            <w:shd w:val="clear" w:color="auto" w:fill="auto"/>
            <w:hideMark/>
          </w:tcPr>
          <w:p w14:paraId="14B8130D" w14:textId="77777777" w:rsidR="00E23746" w:rsidRPr="00514017" w:rsidRDefault="00E23746" w:rsidP="000B2F10">
            <w:pPr>
              <w:spacing w:after="0" w:line="240" w:lineRule="auto"/>
              <w:rPr>
                <w:rFonts w:eastAsia="Times New Roman" w:cs="Arial"/>
                <w:sz w:val="18"/>
                <w:szCs w:val="20"/>
                <w:lang w:val="es-MX" w:eastAsia="es-MX"/>
              </w:rPr>
            </w:pPr>
            <w:r w:rsidRPr="00514017">
              <w:rPr>
                <w:rFonts w:eastAsia="Times New Roman" w:cs="Arial"/>
                <w:sz w:val="18"/>
                <w:szCs w:val="20"/>
                <w:lang w:val="es-MX" w:eastAsia="es-MX"/>
              </w:rPr>
              <w:t>F - Contribuir a garantizar el acceso y permanencia a una educación inclusiva y de calidad en todos los niveles educativos que promueva en los educandos aprendizajes para la vida  mediante estrategias de atención a la demanda y permanencia en todos los niveles educativos.</w:t>
            </w:r>
          </w:p>
        </w:tc>
        <w:tc>
          <w:tcPr>
            <w:tcW w:w="2127" w:type="dxa"/>
            <w:tcBorders>
              <w:top w:val="single" w:sz="4" w:space="0" w:color="auto"/>
              <w:left w:val="nil"/>
              <w:bottom w:val="single" w:sz="4" w:space="0" w:color="auto"/>
              <w:right w:val="single" w:sz="4" w:space="0" w:color="auto"/>
            </w:tcBorders>
            <w:shd w:val="clear" w:color="auto" w:fill="auto"/>
            <w:hideMark/>
          </w:tcPr>
          <w:p w14:paraId="74BFA3D3" w14:textId="77777777" w:rsidR="00E23746" w:rsidRPr="00514017" w:rsidRDefault="00E23746" w:rsidP="000B2F10">
            <w:pPr>
              <w:spacing w:after="0" w:line="240" w:lineRule="auto"/>
              <w:rPr>
                <w:rFonts w:eastAsia="Times New Roman" w:cs="Arial"/>
                <w:sz w:val="18"/>
                <w:szCs w:val="20"/>
                <w:lang w:val="es-MX" w:eastAsia="es-MX"/>
              </w:rPr>
            </w:pPr>
            <w:r w:rsidRPr="00514017">
              <w:rPr>
                <w:rFonts w:eastAsia="Times New Roman" w:cs="Arial"/>
                <w:sz w:val="18"/>
                <w:szCs w:val="20"/>
                <w:lang w:val="es-MX" w:eastAsia="es-MX"/>
              </w:rPr>
              <w:t>Tasa de cobertura estatal de educación media superior.</w:t>
            </w:r>
          </w:p>
        </w:tc>
        <w:tc>
          <w:tcPr>
            <w:tcW w:w="3079" w:type="dxa"/>
            <w:tcBorders>
              <w:top w:val="single" w:sz="4" w:space="0" w:color="auto"/>
              <w:left w:val="nil"/>
              <w:bottom w:val="single" w:sz="4" w:space="0" w:color="auto"/>
              <w:right w:val="single" w:sz="4" w:space="0" w:color="auto"/>
            </w:tcBorders>
            <w:shd w:val="clear" w:color="auto" w:fill="auto"/>
            <w:hideMark/>
          </w:tcPr>
          <w:p w14:paraId="76FCC824" w14:textId="4E42E8A5" w:rsidR="00E23746" w:rsidRPr="00514017" w:rsidRDefault="00E23746" w:rsidP="000B2F10">
            <w:pPr>
              <w:spacing w:after="0" w:line="240" w:lineRule="auto"/>
              <w:rPr>
                <w:rFonts w:eastAsia="Times New Roman" w:cs="Arial"/>
                <w:sz w:val="18"/>
                <w:szCs w:val="20"/>
                <w:lang w:val="es-MX" w:eastAsia="es-MX"/>
              </w:rPr>
            </w:pPr>
            <w:r w:rsidRPr="00514017">
              <w:rPr>
                <w:rFonts w:eastAsia="Times New Roman" w:cs="Arial"/>
                <w:sz w:val="18"/>
                <w:szCs w:val="20"/>
                <w:lang w:val="es-MX" w:eastAsia="es-MX"/>
              </w:rPr>
              <w:t>Estadísticas continúas del formato 911, matrícula de inicio de ciclo escolar, SEQ. Proyecciones de población por edad desplegada, entidad federativa (Quintana Roo) 1970-2050, CONAPO.  qroo.gob.mx/seq/medios-de-</w:t>
            </w:r>
            <w:r w:rsidR="00514017" w:rsidRPr="00514017">
              <w:rPr>
                <w:rFonts w:eastAsia="Times New Roman" w:cs="Arial"/>
                <w:sz w:val="18"/>
                <w:szCs w:val="20"/>
                <w:lang w:val="es-MX" w:eastAsia="es-MX"/>
              </w:rPr>
              <w:t>verificación</w:t>
            </w:r>
            <w:r w:rsidRPr="00514017">
              <w:rPr>
                <w:rFonts w:eastAsia="Times New Roman" w:cs="Arial"/>
                <w:sz w:val="18"/>
                <w:szCs w:val="20"/>
                <w:lang w:val="es-MX" w:eastAsia="es-MX"/>
              </w:rPr>
              <w:t>-de-la-</w:t>
            </w:r>
            <w:r w:rsidR="00514017" w:rsidRPr="00514017">
              <w:rPr>
                <w:rFonts w:eastAsia="Times New Roman" w:cs="Arial"/>
                <w:sz w:val="18"/>
                <w:szCs w:val="20"/>
                <w:lang w:val="es-MX" w:eastAsia="es-MX"/>
              </w:rPr>
              <w:t>planeación</w:t>
            </w:r>
            <w:r w:rsidRPr="00514017">
              <w:rPr>
                <w:rFonts w:eastAsia="Times New Roman" w:cs="Arial"/>
                <w:sz w:val="18"/>
                <w:szCs w:val="20"/>
                <w:lang w:val="es-MX" w:eastAsia="es-MX"/>
              </w:rPr>
              <w:t>-anual.</w:t>
            </w:r>
          </w:p>
        </w:tc>
        <w:tc>
          <w:tcPr>
            <w:tcW w:w="1741" w:type="dxa"/>
            <w:tcBorders>
              <w:top w:val="single" w:sz="4" w:space="0" w:color="auto"/>
              <w:left w:val="nil"/>
              <w:bottom w:val="single" w:sz="4" w:space="0" w:color="auto"/>
              <w:right w:val="single" w:sz="4" w:space="0" w:color="auto"/>
            </w:tcBorders>
            <w:shd w:val="clear" w:color="auto" w:fill="auto"/>
            <w:hideMark/>
          </w:tcPr>
          <w:p w14:paraId="5A96FBE5" w14:textId="77777777" w:rsidR="00E23746" w:rsidRPr="00514017" w:rsidRDefault="00E23746" w:rsidP="000B2F10">
            <w:pPr>
              <w:spacing w:after="0" w:line="240" w:lineRule="auto"/>
              <w:rPr>
                <w:rFonts w:eastAsia="Times New Roman" w:cs="Arial"/>
                <w:sz w:val="18"/>
                <w:szCs w:val="20"/>
                <w:lang w:val="es-MX" w:eastAsia="es-MX"/>
              </w:rPr>
            </w:pPr>
            <w:r w:rsidRPr="00514017">
              <w:rPr>
                <w:rFonts w:eastAsia="Times New Roman" w:cs="Arial"/>
                <w:sz w:val="18"/>
                <w:szCs w:val="20"/>
                <w:lang w:val="es-MX" w:eastAsia="es-MX"/>
              </w:rPr>
              <w:t>La población del Estado obtiene una educación integral de calidad que les permite progresar individual y colectivamente.</w:t>
            </w:r>
          </w:p>
        </w:tc>
      </w:tr>
    </w:tbl>
    <w:p w14:paraId="0C5F990D" w14:textId="77777777" w:rsidR="00E83FE2" w:rsidRDefault="00E83FE2">
      <w:pPr>
        <w:spacing w:after="0" w:line="240" w:lineRule="auto"/>
        <w:jc w:val="left"/>
      </w:pPr>
      <w:r>
        <w:br w:type="page"/>
      </w:r>
    </w:p>
    <w:tbl>
      <w:tblPr>
        <w:tblW w:w="13887" w:type="dxa"/>
        <w:tblCellMar>
          <w:left w:w="70" w:type="dxa"/>
          <w:right w:w="70" w:type="dxa"/>
        </w:tblCellMar>
        <w:tblLook w:val="04A0" w:firstRow="1" w:lastRow="0" w:firstColumn="1" w:lastColumn="0" w:noHBand="0" w:noVBand="1"/>
      </w:tblPr>
      <w:tblGrid>
        <w:gridCol w:w="1363"/>
        <w:gridCol w:w="2622"/>
        <w:gridCol w:w="2834"/>
        <w:gridCol w:w="2061"/>
        <w:gridCol w:w="3286"/>
        <w:gridCol w:w="1721"/>
      </w:tblGrid>
      <w:tr w:rsidR="00E23746" w:rsidRPr="00882E93" w14:paraId="77F2D058" w14:textId="77777777" w:rsidTr="006B434D">
        <w:trPr>
          <w:trHeight w:val="672"/>
        </w:trPr>
        <w:tc>
          <w:tcPr>
            <w:tcW w:w="125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5C270BA4" w14:textId="77777777" w:rsidR="00E23746" w:rsidRPr="00882E93" w:rsidRDefault="00E23746" w:rsidP="000B2F10">
            <w:pPr>
              <w:spacing w:after="0" w:line="240" w:lineRule="auto"/>
              <w:jc w:val="center"/>
              <w:rPr>
                <w:rFonts w:eastAsia="Times New Roman" w:cs="Arial"/>
                <w:b/>
                <w:bCs/>
                <w:sz w:val="20"/>
                <w:szCs w:val="20"/>
                <w:lang w:val="es-MX" w:eastAsia="es-MX"/>
              </w:rPr>
            </w:pPr>
            <w:r w:rsidRPr="00882E93">
              <w:rPr>
                <w:rFonts w:eastAsia="Times New Roman" w:cs="Arial"/>
                <w:b/>
                <w:bCs/>
                <w:sz w:val="20"/>
                <w:szCs w:val="20"/>
                <w:lang w:val="es-MX" w:eastAsia="es-MX"/>
              </w:rPr>
              <w:lastRenderedPageBreak/>
              <w:t>NIVEL</w:t>
            </w:r>
          </w:p>
        </w:tc>
        <w:tc>
          <w:tcPr>
            <w:tcW w:w="2713" w:type="dxa"/>
            <w:tcBorders>
              <w:top w:val="single" w:sz="4" w:space="0" w:color="auto"/>
              <w:left w:val="nil"/>
              <w:bottom w:val="single" w:sz="4" w:space="0" w:color="auto"/>
              <w:right w:val="single" w:sz="4" w:space="0" w:color="auto"/>
            </w:tcBorders>
            <w:shd w:val="clear" w:color="000000" w:fill="BFBFBF"/>
            <w:vAlign w:val="center"/>
            <w:hideMark/>
          </w:tcPr>
          <w:p w14:paraId="60F67901" w14:textId="77777777" w:rsidR="00E23746" w:rsidRPr="00882E93" w:rsidRDefault="00E23746" w:rsidP="000B2F10">
            <w:pPr>
              <w:spacing w:after="0" w:line="240" w:lineRule="auto"/>
              <w:jc w:val="center"/>
              <w:rPr>
                <w:rFonts w:eastAsia="Times New Roman" w:cs="Arial"/>
                <w:b/>
                <w:bCs/>
                <w:sz w:val="20"/>
                <w:szCs w:val="20"/>
                <w:lang w:val="es-MX" w:eastAsia="es-MX"/>
              </w:rPr>
            </w:pPr>
            <w:r w:rsidRPr="00882E93">
              <w:rPr>
                <w:rFonts w:eastAsia="Times New Roman" w:cs="Arial"/>
                <w:b/>
                <w:bCs/>
                <w:sz w:val="20"/>
                <w:szCs w:val="20"/>
                <w:lang w:val="es-MX" w:eastAsia="es-MX"/>
              </w:rPr>
              <w:t>ALINEACIÓN PED/PD</w:t>
            </w:r>
          </w:p>
        </w:tc>
        <w:tc>
          <w:tcPr>
            <w:tcW w:w="2977" w:type="dxa"/>
            <w:tcBorders>
              <w:top w:val="single" w:sz="4" w:space="0" w:color="auto"/>
              <w:left w:val="nil"/>
              <w:bottom w:val="single" w:sz="4" w:space="0" w:color="auto"/>
              <w:right w:val="single" w:sz="4" w:space="0" w:color="auto"/>
            </w:tcBorders>
            <w:shd w:val="clear" w:color="000000" w:fill="BFBFBF"/>
            <w:vAlign w:val="center"/>
            <w:hideMark/>
          </w:tcPr>
          <w:p w14:paraId="6A8D00D0" w14:textId="77777777" w:rsidR="00E23746" w:rsidRPr="00882E93" w:rsidRDefault="00E23746" w:rsidP="000B2F10">
            <w:pPr>
              <w:spacing w:after="0" w:line="240" w:lineRule="auto"/>
              <w:jc w:val="center"/>
              <w:rPr>
                <w:rFonts w:eastAsia="Times New Roman" w:cs="Arial"/>
                <w:b/>
                <w:bCs/>
                <w:sz w:val="20"/>
                <w:szCs w:val="20"/>
                <w:lang w:val="es-MX" w:eastAsia="es-MX"/>
              </w:rPr>
            </w:pPr>
            <w:r w:rsidRPr="00882E93">
              <w:rPr>
                <w:rFonts w:eastAsia="Times New Roman" w:cs="Arial"/>
                <w:b/>
                <w:bCs/>
                <w:sz w:val="20"/>
                <w:szCs w:val="20"/>
                <w:lang w:val="es-MX" w:eastAsia="es-MX"/>
              </w:rPr>
              <w:t>OBJETIVO</w:t>
            </w:r>
          </w:p>
        </w:tc>
        <w:tc>
          <w:tcPr>
            <w:tcW w:w="2127" w:type="dxa"/>
            <w:tcBorders>
              <w:top w:val="single" w:sz="4" w:space="0" w:color="auto"/>
              <w:left w:val="nil"/>
              <w:bottom w:val="single" w:sz="4" w:space="0" w:color="auto"/>
              <w:right w:val="single" w:sz="4" w:space="0" w:color="auto"/>
            </w:tcBorders>
            <w:shd w:val="clear" w:color="000000" w:fill="BFBFBF"/>
            <w:vAlign w:val="center"/>
            <w:hideMark/>
          </w:tcPr>
          <w:p w14:paraId="3E652984" w14:textId="77777777" w:rsidR="00E23746" w:rsidRPr="00882E93" w:rsidRDefault="00E23746" w:rsidP="000B2F10">
            <w:pPr>
              <w:spacing w:after="0" w:line="240" w:lineRule="auto"/>
              <w:jc w:val="center"/>
              <w:rPr>
                <w:rFonts w:eastAsia="Times New Roman" w:cs="Arial"/>
                <w:b/>
                <w:bCs/>
                <w:sz w:val="20"/>
                <w:szCs w:val="20"/>
                <w:lang w:val="es-MX" w:eastAsia="es-MX"/>
              </w:rPr>
            </w:pPr>
            <w:r w:rsidRPr="00882E93">
              <w:rPr>
                <w:rFonts w:eastAsia="Times New Roman" w:cs="Arial"/>
                <w:b/>
                <w:bCs/>
                <w:sz w:val="20"/>
                <w:szCs w:val="20"/>
                <w:lang w:val="es-MX" w:eastAsia="es-MX"/>
              </w:rPr>
              <w:t>INDICADOR</w:t>
            </w:r>
          </w:p>
        </w:tc>
        <w:tc>
          <w:tcPr>
            <w:tcW w:w="3079" w:type="dxa"/>
            <w:tcBorders>
              <w:top w:val="single" w:sz="4" w:space="0" w:color="auto"/>
              <w:left w:val="nil"/>
              <w:bottom w:val="single" w:sz="4" w:space="0" w:color="auto"/>
              <w:right w:val="single" w:sz="4" w:space="0" w:color="auto"/>
            </w:tcBorders>
            <w:shd w:val="clear" w:color="000000" w:fill="BFBFBF"/>
            <w:vAlign w:val="center"/>
            <w:hideMark/>
          </w:tcPr>
          <w:p w14:paraId="49F693C1" w14:textId="77777777" w:rsidR="00E23746" w:rsidRPr="00882E93" w:rsidRDefault="00E23746" w:rsidP="000B2F10">
            <w:pPr>
              <w:spacing w:after="0" w:line="240" w:lineRule="auto"/>
              <w:jc w:val="center"/>
              <w:rPr>
                <w:rFonts w:eastAsia="Times New Roman" w:cs="Arial"/>
                <w:b/>
                <w:bCs/>
                <w:sz w:val="20"/>
                <w:szCs w:val="20"/>
                <w:lang w:val="es-MX" w:eastAsia="es-MX"/>
              </w:rPr>
            </w:pPr>
            <w:r w:rsidRPr="00882E93">
              <w:rPr>
                <w:rFonts w:eastAsia="Times New Roman" w:cs="Arial"/>
                <w:b/>
                <w:bCs/>
                <w:sz w:val="20"/>
                <w:szCs w:val="20"/>
                <w:lang w:val="es-MX" w:eastAsia="es-MX"/>
              </w:rPr>
              <w:t>MEDIOS DE VERIFICACIÓN</w:t>
            </w:r>
          </w:p>
        </w:tc>
        <w:tc>
          <w:tcPr>
            <w:tcW w:w="1741" w:type="dxa"/>
            <w:tcBorders>
              <w:top w:val="single" w:sz="4" w:space="0" w:color="auto"/>
              <w:left w:val="nil"/>
              <w:bottom w:val="single" w:sz="4" w:space="0" w:color="auto"/>
              <w:right w:val="single" w:sz="4" w:space="0" w:color="auto"/>
            </w:tcBorders>
            <w:shd w:val="clear" w:color="000000" w:fill="BFBFBF"/>
            <w:vAlign w:val="center"/>
            <w:hideMark/>
          </w:tcPr>
          <w:p w14:paraId="138F350C" w14:textId="77777777" w:rsidR="00E23746" w:rsidRPr="00882E93" w:rsidRDefault="00E23746" w:rsidP="000B2F10">
            <w:pPr>
              <w:spacing w:after="0" w:line="240" w:lineRule="auto"/>
              <w:jc w:val="center"/>
              <w:rPr>
                <w:rFonts w:eastAsia="Times New Roman" w:cs="Arial"/>
                <w:b/>
                <w:bCs/>
                <w:sz w:val="20"/>
                <w:szCs w:val="20"/>
                <w:lang w:val="es-MX" w:eastAsia="es-MX"/>
              </w:rPr>
            </w:pPr>
            <w:r w:rsidRPr="00882E93">
              <w:rPr>
                <w:rFonts w:eastAsia="Times New Roman" w:cs="Arial"/>
                <w:b/>
                <w:bCs/>
                <w:sz w:val="20"/>
                <w:szCs w:val="20"/>
                <w:lang w:val="es-MX" w:eastAsia="es-MX"/>
              </w:rPr>
              <w:t>SUPUESTO</w:t>
            </w:r>
          </w:p>
        </w:tc>
      </w:tr>
      <w:tr w:rsidR="00E23746" w:rsidRPr="00882E93" w14:paraId="33B588D7" w14:textId="77777777" w:rsidTr="006B434D">
        <w:trPr>
          <w:trHeight w:val="2541"/>
        </w:trPr>
        <w:tc>
          <w:tcPr>
            <w:tcW w:w="1250" w:type="dxa"/>
            <w:tcBorders>
              <w:top w:val="single" w:sz="4" w:space="0" w:color="auto"/>
              <w:left w:val="single" w:sz="4" w:space="0" w:color="auto"/>
              <w:bottom w:val="single" w:sz="4" w:space="0" w:color="auto"/>
              <w:right w:val="single" w:sz="4" w:space="0" w:color="auto"/>
            </w:tcBorders>
            <w:shd w:val="clear" w:color="auto" w:fill="auto"/>
            <w:hideMark/>
          </w:tcPr>
          <w:p w14:paraId="392FA8A5" w14:textId="77777777" w:rsidR="00E23746" w:rsidRPr="00882E93" w:rsidRDefault="00E23746" w:rsidP="000B2F10">
            <w:pPr>
              <w:spacing w:after="0" w:line="240" w:lineRule="auto"/>
              <w:jc w:val="center"/>
              <w:rPr>
                <w:rFonts w:eastAsia="Times New Roman" w:cs="Arial"/>
                <w:b/>
                <w:bCs/>
                <w:sz w:val="20"/>
                <w:szCs w:val="20"/>
                <w:lang w:val="es-MX" w:eastAsia="es-MX"/>
              </w:rPr>
            </w:pPr>
            <w:r w:rsidRPr="00882E93">
              <w:rPr>
                <w:rFonts w:eastAsia="Times New Roman" w:cs="Arial"/>
                <w:b/>
                <w:bCs/>
                <w:sz w:val="20"/>
                <w:szCs w:val="20"/>
                <w:lang w:val="es-MX" w:eastAsia="es-MX"/>
              </w:rPr>
              <w:t>Fin</w:t>
            </w:r>
          </w:p>
        </w:tc>
        <w:tc>
          <w:tcPr>
            <w:tcW w:w="2713" w:type="dxa"/>
            <w:tcBorders>
              <w:top w:val="single" w:sz="4" w:space="0" w:color="auto"/>
              <w:left w:val="single" w:sz="4" w:space="0" w:color="auto"/>
              <w:bottom w:val="single" w:sz="4" w:space="0" w:color="auto"/>
              <w:right w:val="single" w:sz="4" w:space="0" w:color="auto"/>
            </w:tcBorders>
            <w:shd w:val="clear" w:color="auto" w:fill="auto"/>
            <w:hideMark/>
          </w:tcPr>
          <w:p w14:paraId="74659256" w14:textId="77777777" w:rsidR="00E23746" w:rsidRPr="00882E93" w:rsidRDefault="00E23746" w:rsidP="000B2F10">
            <w:pPr>
              <w:spacing w:after="0" w:line="240" w:lineRule="auto"/>
              <w:rPr>
                <w:rFonts w:eastAsia="Times New Roman" w:cs="Arial"/>
                <w:sz w:val="20"/>
                <w:szCs w:val="20"/>
                <w:lang w:val="es-MX" w:eastAsia="es-MX"/>
              </w:rPr>
            </w:pPr>
            <w:r w:rsidRPr="00882E93">
              <w:rPr>
                <w:rFonts w:eastAsia="Times New Roman" w:cs="Arial"/>
                <w:sz w:val="20"/>
                <w:szCs w:val="20"/>
                <w:lang w:val="es-MX" w:eastAsia="es-MX"/>
              </w:rPr>
              <w:t>Garantizar el acceso y permanencia a una educación inclusiva y de calidad en todos los niveles educativos que promueva en los educandos aprendizajes para la vida.</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77ABE99F" w14:textId="77777777" w:rsidR="00E23746" w:rsidRPr="00882E93" w:rsidRDefault="00E23746" w:rsidP="000B2F10">
            <w:pPr>
              <w:spacing w:after="0" w:line="240" w:lineRule="auto"/>
              <w:rPr>
                <w:rFonts w:eastAsia="Times New Roman" w:cs="Arial"/>
                <w:sz w:val="20"/>
                <w:szCs w:val="20"/>
                <w:lang w:val="es-MX" w:eastAsia="es-MX"/>
              </w:rPr>
            </w:pPr>
            <w:r w:rsidRPr="00882E93">
              <w:rPr>
                <w:rFonts w:eastAsia="Times New Roman" w:cs="Arial"/>
                <w:sz w:val="20"/>
                <w:szCs w:val="20"/>
                <w:lang w:val="es-MX" w:eastAsia="es-MX"/>
              </w:rPr>
              <w:t>F - Contribuir a garantizar el acceso y permanencia a una educación inclusiva y de calidad en todos los niveles educativos que promueva en los educandos aprendizajes para la vida  mediante estrategias de atención a la demanda y permanencia en todos los niveles educativos.</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14:paraId="192E66AF" w14:textId="77777777" w:rsidR="00E23746" w:rsidRPr="00882E93" w:rsidRDefault="00E23746" w:rsidP="000B2F10">
            <w:pPr>
              <w:spacing w:after="0" w:line="240" w:lineRule="auto"/>
              <w:rPr>
                <w:rFonts w:eastAsia="Times New Roman" w:cs="Arial"/>
                <w:sz w:val="20"/>
                <w:szCs w:val="20"/>
                <w:lang w:val="es-MX" w:eastAsia="es-MX"/>
              </w:rPr>
            </w:pPr>
            <w:r w:rsidRPr="00882E93">
              <w:rPr>
                <w:rFonts w:eastAsia="Times New Roman" w:cs="Arial"/>
                <w:sz w:val="20"/>
                <w:szCs w:val="20"/>
                <w:lang w:val="es-MX" w:eastAsia="es-MX"/>
              </w:rPr>
              <w:t>Tasa de cobertura estatal de educación superior.</w:t>
            </w:r>
          </w:p>
        </w:tc>
        <w:tc>
          <w:tcPr>
            <w:tcW w:w="3079" w:type="dxa"/>
            <w:tcBorders>
              <w:top w:val="single" w:sz="4" w:space="0" w:color="auto"/>
              <w:left w:val="single" w:sz="4" w:space="0" w:color="auto"/>
              <w:bottom w:val="single" w:sz="4" w:space="0" w:color="auto"/>
              <w:right w:val="single" w:sz="4" w:space="0" w:color="auto"/>
            </w:tcBorders>
            <w:shd w:val="clear" w:color="auto" w:fill="auto"/>
            <w:hideMark/>
          </w:tcPr>
          <w:p w14:paraId="24260D09" w14:textId="77777777" w:rsidR="00E23746" w:rsidRPr="00882E93" w:rsidRDefault="00E23746" w:rsidP="000B2F10">
            <w:pPr>
              <w:spacing w:after="0" w:line="240" w:lineRule="auto"/>
              <w:rPr>
                <w:rFonts w:eastAsia="Times New Roman" w:cs="Arial"/>
                <w:sz w:val="20"/>
                <w:szCs w:val="20"/>
                <w:lang w:val="es-MX" w:eastAsia="es-MX"/>
              </w:rPr>
            </w:pPr>
            <w:r w:rsidRPr="00882E93">
              <w:rPr>
                <w:rFonts w:eastAsia="Times New Roman" w:cs="Arial"/>
                <w:sz w:val="20"/>
                <w:szCs w:val="20"/>
                <w:lang w:val="es-MX" w:eastAsia="es-MX"/>
              </w:rPr>
              <w:t>Estadísticas continúas del formato 911, matrícula de inicio de ciclo escolar, SEQ. Proyecciones de población por edad desplegada, entidad federativa (Quintana Roo) 1970-2050, CONAPO.  qroo.gob.mx/seq/medios-de-verificacion-de-la-planeacion-anual</w:t>
            </w:r>
            <w:r>
              <w:rPr>
                <w:rFonts w:eastAsia="Times New Roman" w:cs="Arial"/>
                <w:sz w:val="20"/>
                <w:szCs w:val="20"/>
                <w:lang w:val="es-MX" w:eastAsia="es-MX"/>
              </w:rPr>
              <w:t>.</w:t>
            </w:r>
          </w:p>
        </w:tc>
        <w:tc>
          <w:tcPr>
            <w:tcW w:w="1741" w:type="dxa"/>
            <w:tcBorders>
              <w:top w:val="single" w:sz="4" w:space="0" w:color="auto"/>
              <w:left w:val="single" w:sz="4" w:space="0" w:color="auto"/>
              <w:bottom w:val="single" w:sz="4" w:space="0" w:color="auto"/>
              <w:right w:val="single" w:sz="4" w:space="0" w:color="auto"/>
            </w:tcBorders>
            <w:shd w:val="clear" w:color="auto" w:fill="auto"/>
            <w:hideMark/>
          </w:tcPr>
          <w:p w14:paraId="62CED45B" w14:textId="77777777" w:rsidR="00E23746" w:rsidRPr="00882E93" w:rsidRDefault="00E23746" w:rsidP="000B2F10">
            <w:pPr>
              <w:spacing w:after="0" w:line="240" w:lineRule="auto"/>
              <w:rPr>
                <w:rFonts w:eastAsia="Times New Roman" w:cs="Arial"/>
                <w:sz w:val="20"/>
                <w:szCs w:val="20"/>
                <w:lang w:val="es-MX" w:eastAsia="es-MX"/>
              </w:rPr>
            </w:pPr>
            <w:r w:rsidRPr="00882E93">
              <w:rPr>
                <w:rFonts w:eastAsia="Times New Roman" w:cs="Arial"/>
                <w:sz w:val="20"/>
                <w:szCs w:val="20"/>
                <w:lang w:val="es-MX" w:eastAsia="es-MX"/>
              </w:rPr>
              <w:t>La población del Estado obtiene una educación integral de calidad que les permite progresar individual y colectivamente.</w:t>
            </w:r>
          </w:p>
        </w:tc>
      </w:tr>
      <w:tr w:rsidR="00E23746" w:rsidRPr="00882E93" w14:paraId="58600BA4" w14:textId="77777777" w:rsidTr="006B434D">
        <w:trPr>
          <w:trHeight w:val="1275"/>
        </w:trPr>
        <w:tc>
          <w:tcPr>
            <w:tcW w:w="1250" w:type="dxa"/>
            <w:tcBorders>
              <w:top w:val="single" w:sz="4" w:space="0" w:color="auto"/>
              <w:left w:val="single" w:sz="4" w:space="0" w:color="auto"/>
              <w:bottom w:val="single" w:sz="4" w:space="0" w:color="auto"/>
              <w:right w:val="single" w:sz="4" w:space="0" w:color="auto"/>
            </w:tcBorders>
            <w:shd w:val="clear" w:color="auto" w:fill="auto"/>
            <w:hideMark/>
          </w:tcPr>
          <w:p w14:paraId="564F7B84" w14:textId="77777777" w:rsidR="00E23746" w:rsidRPr="00882E93" w:rsidRDefault="00E23746" w:rsidP="000B2F10">
            <w:pPr>
              <w:spacing w:after="0" w:line="240" w:lineRule="auto"/>
              <w:jc w:val="center"/>
              <w:rPr>
                <w:rFonts w:eastAsia="Times New Roman" w:cs="Arial"/>
                <w:b/>
                <w:bCs/>
                <w:sz w:val="20"/>
                <w:szCs w:val="20"/>
                <w:lang w:val="es-MX" w:eastAsia="es-MX"/>
              </w:rPr>
            </w:pPr>
            <w:r w:rsidRPr="00882E93">
              <w:rPr>
                <w:rFonts w:eastAsia="Times New Roman" w:cs="Arial"/>
                <w:b/>
                <w:bCs/>
                <w:sz w:val="20"/>
                <w:szCs w:val="20"/>
                <w:lang w:val="es-MX" w:eastAsia="es-MX"/>
              </w:rPr>
              <w:t>Propósito</w:t>
            </w:r>
          </w:p>
        </w:tc>
        <w:tc>
          <w:tcPr>
            <w:tcW w:w="2713" w:type="dxa"/>
            <w:tcBorders>
              <w:top w:val="single" w:sz="4" w:space="0" w:color="auto"/>
              <w:left w:val="single" w:sz="4" w:space="0" w:color="auto"/>
              <w:bottom w:val="single" w:sz="4" w:space="0" w:color="auto"/>
              <w:right w:val="single" w:sz="4" w:space="0" w:color="auto"/>
            </w:tcBorders>
            <w:shd w:val="clear" w:color="auto" w:fill="auto"/>
            <w:hideMark/>
          </w:tcPr>
          <w:p w14:paraId="424267DF" w14:textId="77777777" w:rsidR="00E23746" w:rsidRDefault="00E23746" w:rsidP="000B2F10">
            <w:pPr>
              <w:spacing w:after="0" w:line="240" w:lineRule="auto"/>
              <w:rPr>
                <w:rFonts w:eastAsia="Times New Roman" w:cs="Arial"/>
                <w:sz w:val="20"/>
                <w:szCs w:val="20"/>
                <w:lang w:val="es-MX" w:eastAsia="es-MX"/>
              </w:rPr>
            </w:pPr>
            <w:r w:rsidRPr="00882E93">
              <w:rPr>
                <w:rFonts w:eastAsia="Times New Roman" w:cs="Arial"/>
                <w:sz w:val="20"/>
                <w:szCs w:val="20"/>
                <w:lang w:val="es-MX" w:eastAsia="es-MX"/>
              </w:rPr>
              <w:t>Mejorar la infraestructura y equipamiento de las escuelas de los diferentes niveles educativos, a fin de contar con espacios que brinden una educación inclusiva de calidad en beneficio de los estudiantes del Estado.</w:t>
            </w:r>
          </w:p>
          <w:p w14:paraId="0897A597" w14:textId="77777777" w:rsidR="00E23746" w:rsidRPr="00882E93" w:rsidRDefault="00E23746" w:rsidP="000B2F10">
            <w:pPr>
              <w:spacing w:after="0" w:line="240" w:lineRule="auto"/>
              <w:rPr>
                <w:rFonts w:eastAsia="Times New Roman" w:cs="Arial"/>
                <w:sz w:val="20"/>
                <w:szCs w:val="20"/>
                <w:lang w:val="es-MX" w:eastAsia="es-MX"/>
              </w:rPr>
            </w:pP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3CB84196" w14:textId="77777777" w:rsidR="00E23746" w:rsidRPr="00882E93" w:rsidRDefault="00E23746" w:rsidP="000B2F10">
            <w:pPr>
              <w:spacing w:after="0" w:line="240" w:lineRule="auto"/>
              <w:rPr>
                <w:rFonts w:eastAsia="Times New Roman" w:cs="Arial"/>
                <w:sz w:val="20"/>
                <w:szCs w:val="20"/>
                <w:lang w:val="es-MX" w:eastAsia="es-MX"/>
              </w:rPr>
            </w:pPr>
            <w:r w:rsidRPr="00882E93">
              <w:rPr>
                <w:rFonts w:eastAsia="Times New Roman" w:cs="Arial"/>
                <w:sz w:val="20"/>
                <w:szCs w:val="20"/>
                <w:lang w:val="es-MX" w:eastAsia="es-MX"/>
              </w:rPr>
              <w:t>P.- Los planteles del Estado de Q.Roo brindan  espacios educativos con infraestructura física y equipamientos  básicos para una educación de calidad, inclusiva y equitativa.</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14:paraId="03B8E605" w14:textId="77777777" w:rsidR="00E23746" w:rsidRPr="00882E93" w:rsidRDefault="00E23746" w:rsidP="000B2F10">
            <w:pPr>
              <w:spacing w:after="0" w:line="240" w:lineRule="auto"/>
              <w:rPr>
                <w:rFonts w:eastAsia="Times New Roman" w:cs="Arial"/>
                <w:sz w:val="20"/>
                <w:szCs w:val="20"/>
                <w:lang w:val="es-MX" w:eastAsia="es-MX"/>
              </w:rPr>
            </w:pPr>
            <w:r w:rsidRPr="00882E93">
              <w:rPr>
                <w:rFonts w:eastAsia="Times New Roman" w:cs="Arial"/>
                <w:sz w:val="20"/>
                <w:szCs w:val="20"/>
                <w:lang w:val="es-MX" w:eastAsia="es-MX"/>
              </w:rPr>
              <w:t>Porcentaje de inmuebles atendidos con infraestructura física o equipamiento</w:t>
            </w:r>
            <w:r>
              <w:rPr>
                <w:rFonts w:eastAsia="Times New Roman" w:cs="Arial"/>
                <w:sz w:val="20"/>
                <w:szCs w:val="20"/>
                <w:lang w:val="es-MX" w:eastAsia="es-MX"/>
              </w:rPr>
              <w:t>.</w:t>
            </w:r>
          </w:p>
        </w:tc>
        <w:tc>
          <w:tcPr>
            <w:tcW w:w="3079" w:type="dxa"/>
            <w:tcBorders>
              <w:top w:val="single" w:sz="4" w:space="0" w:color="auto"/>
              <w:left w:val="single" w:sz="4" w:space="0" w:color="auto"/>
              <w:bottom w:val="single" w:sz="4" w:space="0" w:color="auto"/>
              <w:right w:val="single" w:sz="4" w:space="0" w:color="auto"/>
            </w:tcBorders>
            <w:shd w:val="clear" w:color="auto" w:fill="auto"/>
            <w:hideMark/>
          </w:tcPr>
          <w:p w14:paraId="675D0F14" w14:textId="77777777" w:rsidR="00E23746" w:rsidRPr="00882E93" w:rsidRDefault="005377D7" w:rsidP="000B2F10">
            <w:pPr>
              <w:spacing w:after="0" w:line="240" w:lineRule="auto"/>
              <w:rPr>
                <w:rFonts w:eastAsia="Times New Roman" w:cs="Arial"/>
                <w:sz w:val="20"/>
                <w:szCs w:val="20"/>
                <w:lang w:val="es-MX" w:eastAsia="es-MX"/>
              </w:rPr>
            </w:pPr>
            <w:hyperlink r:id="rId38" w:history="1">
              <w:r w:rsidR="00E23746" w:rsidRPr="00882E93">
                <w:rPr>
                  <w:rFonts w:eastAsia="Times New Roman" w:cs="Arial"/>
                  <w:sz w:val="20"/>
                  <w:szCs w:val="20"/>
                  <w:lang w:val="es-MX" w:eastAsia="es-MX"/>
                </w:rPr>
                <w:t>Programa de Inversión Anual. Dirección de Planeación. https://qroo.gob.mx/ifeqroo/medios-de-verificacion-metas-e-indicadores</w:t>
              </w:r>
            </w:hyperlink>
            <w:r w:rsidR="00E23746">
              <w:rPr>
                <w:rFonts w:eastAsia="Times New Roman" w:cs="Arial"/>
                <w:sz w:val="20"/>
                <w:szCs w:val="20"/>
                <w:lang w:val="es-MX" w:eastAsia="es-MX"/>
              </w:rPr>
              <w:t>.</w:t>
            </w:r>
          </w:p>
        </w:tc>
        <w:tc>
          <w:tcPr>
            <w:tcW w:w="1741" w:type="dxa"/>
            <w:tcBorders>
              <w:top w:val="single" w:sz="4" w:space="0" w:color="auto"/>
              <w:left w:val="single" w:sz="4" w:space="0" w:color="auto"/>
              <w:bottom w:val="single" w:sz="4" w:space="0" w:color="auto"/>
              <w:right w:val="single" w:sz="4" w:space="0" w:color="auto"/>
            </w:tcBorders>
            <w:shd w:val="clear" w:color="auto" w:fill="auto"/>
            <w:hideMark/>
          </w:tcPr>
          <w:p w14:paraId="7818541E" w14:textId="77777777" w:rsidR="00E23746" w:rsidRPr="00882E93" w:rsidRDefault="00E23746" w:rsidP="000B2F10">
            <w:pPr>
              <w:spacing w:after="0" w:line="240" w:lineRule="auto"/>
              <w:rPr>
                <w:rFonts w:eastAsia="Times New Roman" w:cs="Arial"/>
                <w:sz w:val="20"/>
                <w:szCs w:val="20"/>
                <w:lang w:val="es-MX" w:eastAsia="es-MX"/>
              </w:rPr>
            </w:pPr>
            <w:r w:rsidRPr="00882E93">
              <w:rPr>
                <w:rFonts w:eastAsia="Times New Roman" w:cs="Arial"/>
                <w:sz w:val="20"/>
                <w:szCs w:val="20"/>
                <w:lang w:val="es-MX" w:eastAsia="es-MX"/>
              </w:rPr>
              <w:t>Los usuarios en los planteles  aprovechan las mejoras en las instalaciones educativas</w:t>
            </w:r>
            <w:r>
              <w:rPr>
                <w:rFonts w:eastAsia="Times New Roman" w:cs="Arial"/>
                <w:sz w:val="20"/>
                <w:szCs w:val="20"/>
                <w:lang w:val="es-MX" w:eastAsia="es-MX"/>
              </w:rPr>
              <w:t>.</w:t>
            </w:r>
          </w:p>
        </w:tc>
      </w:tr>
      <w:tr w:rsidR="00E23746" w:rsidRPr="00882E93" w14:paraId="26B33C5E" w14:textId="77777777" w:rsidTr="006B434D">
        <w:trPr>
          <w:trHeight w:val="1826"/>
        </w:trPr>
        <w:tc>
          <w:tcPr>
            <w:tcW w:w="1250" w:type="dxa"/>
            <w:tcBorders>
              <w:top w:val="single" w:sz="4" w:space="0" w:color="auto"/>
              <w:left w:val="single" w:sz="4" w:space="0" w:color="auto"/>
              <w:bottom w:val="single" w:sz="4" w:space="0" w:color="auto"/>
              <w:right w:val="single" w:sz="4" w:space="0" w:color="auto"/>
            </w:tcBorders>
            <w:shd w:val="clear" w:color="auto" w:fill="auto"/>
            <w:hideMark/>
          </w:tcPr>
          <w:p w14:paraId="77AB7F72" w14:textId="77777777" w:rsidR="00E23746" w:rsidRPr="00882E93" w:rsidRDefault="00E23746" w:rsidP="000B2F10">
            <w:pPr>
              <w:spacing w:after="0" w:line="240" w:lineRule="auto"/>
              <w:jc w:val="center"/>
              <w:rPr>
                <w:rFonts w:eastAsia="Times New Roman" w:cs="Arial"/>
                <w:b/>
                <w:bCs/>
                <w:sz w:val="20"/>
                <w:szCs w:val="20"/>
                <w:lang w:val="es-MX" w:eastAsia="es-MX"/>
              </w:rPr>
            </w:pPr>
            <w:r w:rsidRPr="00882E93">
              <w:rPr>
                <w:rFonts w:eastAsia="Times New Roman" w:cs="Arial"/>
                <w:b/>
                <w:bCs/>
                <w:sz w:val="20"/>
                <w:szCs w:val="20"/>
                <w:lang w:val="es-MX" w:eastAsia="es-MX"/>
              </w:rPr>
              <w:t>Componente</w:t>
            </w:r>
          </w:p>
        </w:tc>
        <w:tc>
          <w:tcPr>
            <w:tcW w:w="2713" w:type="dxa"/>
            <w:tcBorders>
              <w:top w:val="single" w:sz="4" w:space="0" w:color="auto"/>
              <w:left w:val="single" w:sz="4" w:space="0" w:color="auto"/>
              <w:bottom w:val="single" w:sz="4" w:space="0" w:color="auto"/>
              <w:right w:val="single" w:sz="4" w:space="0" w:color="auto"/>
            </w:tcBorders>
            <w:shd w:val="clear" w:color="auto" w:fill="auto"/>
            <w:hideMark/>
          </w:tcPr>
          <w:p w14:paraId="3F228531" w14:textId="31DD654F" w:rsidR="001906E0" w:rsidRPr="00882E93" w:rsidRDefault="00E23746" w:rsidP="000B2F10">
            <w:pPr>
              <w:spacing w:after="0" w:line="240" w:lineRule="auto"/>
              <w:rPr>
                <w:rFonts w:eastAsia="Times New Roman" w:cs="Arial"/>
                <w:sz w:val="20"/>
                <w:szCs w:val="20"/>
                <w:lang w:val="es-MX" w:eastAsia="es-MX"/>
              </w:rPr>
            </w:pPr>
            <w:r w:rsidRPr="00882E93">
              <w:rPr>
                <w:rFonts w:eastAsia="Times New Roman" w:cs="Arial"/>
                <w:sz w:val="20"/>
                <w:szCs w:val="20"/>
                <w:lang w:val="es-MX" w:eastAsia="es-MX"/>
              </w:rPr>
              <w:t xml:space="preserve">Construir y Rehabilitar, en colaboración con </w:t>
            </w:r>
            <w:r>
              <w:rPr>
                <w:rFonts w:eastAsia="Times New Roman" w:cs="Arial"/>
                <w:sz w:val="20"/>
                <w:szCs w:val="20"/>
                <w:lang w:val="es-MX" w:eastAsia="es-MX"/>
              </w:rPr>
              <w:t>las instancias correspondientes</w:t>
            </w:r>
            <w:r w:rsidRPr="00882E93">
              <w:rPr>
                <w:rFonts w:eastAsia="Times New Roman" w:cs="Arial"/>
                <w:sz w:val="20"/>
                <w:szCs w:val="20"/>
                <w:lang w:val="es-MX" w:eastAsia="es-MX"/>
              </w:rPr>
              <w:t>, espacios educativos a fin de ampliar la cobertura de acuerdo a las necesidades y requerimiento básicos de calidad.</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2A5C8EC8" w14:textId="77777777" w:rsidR="00E23746" w:rsidRPr="00882E93" w:rsidRDefault="00E23746" w:rsidP="000B2F10">
            <w:pPr>
              <w:spacing w:after="0" w:line="240" w:lineRule="auto"/>
              <w:rPr>
                <w:rFonts w:eastAsia="Times New Roman" w:cs="Arial"/>
                <w:sz w:val="20"/>
                <w:szCs w:val="20"/>
                <w:lang w:val="es-MX" w:eastAsia="es-MX"/>
              </w:rPr>
            </w:pPr>
            <w:r w:rsidRPr="00882E93">
              <w:rPr>
                <w:rFonts w:eastAsia="Times New Roman" w:cs="Arial"/>
                <w:sz w:val="20"/>
                <w:szCs w:val="20"/>
                <w:lang w:val="es-MX" w:eastAsia="es-MX"/>
              </w:rPr>
              <w:t>C01 - Programa de Inversión de la Infraestructura Educativa ejecutado.</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14:paraId="3BDE4A4D" w14:textId="77777777" w:rsidR="00E23746" w:rsidRPr="00882E93" w:rsidRDefault="00E23746" w:rsidP="000B2F10">
            <w:pPr>
              <w:spacing w:after="0" w:line="240" w:lineRule="auto"/>
              <w:rPr>
                <w:rFonts w:eastAsia="Times New Roman" w:cs="Arial"/>
                <w:sz w:val="20"/>
                <w:szCs w:val="20"/>
                <w:lang w:val="es-MX" w:eastAsia="es-MX"/>
              </w:rPr>
            </w:pPr>
            <w:r w:rsidRPr="00882E93">
              <w:rPr>
                <w:rFonts w:eastAsia="Times New Roman" w:cs="Arial"/>
                <w:sz w:val="20"/>
                <w:szCs w:val="20"/>
                <w:lang w:val="es-MX" w:eastAsia="es-MX"/>
              </w:rPr>
              <w:t>C01 - Porcentaje de ejecución del programa de inversión.</w:t>
            </w:r>
          </w:p>
        </w:tc>
        <w:tc>
          <w:tcPr>
            <w:tcW w:w="3079" w:type="dxa"/>
            <w:tcBorders>
              <w:top w:val="single" w:sz="4" w:space="0" w:color="auto"/>
              <w:left w:val="single" w:sz="4" w:space="0" w:color="auto"/>
              <w:bottom w:val="single" w:sz="4" w:space="0" w:color="auto"/>
              <w:right w:val="single" w:sz="4" w:space="0" w:color="auto"/>
            </w:tcBorders>
            <w:shd w:val="clear" w:color="auto" w:fill="auto"/>
            <w:hideMark/>
          </w:tcPr>
          <w:p w14:paraId="59D535ED" w14:textId="77777777" w:rsidR="00E23746" w:rsidRPr="00882E93" w:rsidRDefault="005377D7" w:rsidP="000B2F10">
            <w:pPr>
              <w:spacing w:after="0" w:line="240" w:lineRule="auto"/>
              <w:rPr>
                <w:rFonts w:eastAsia="Times New Roman" w:cs="Arial"/>
                <w:sz w:val="20"/>
                <w:szCs w:val="20"/>
                <w:lang w:val="es-MX" w:eastAsia="es-MX"/>
              </w:rPr>
            </w:pPr>
            <w:hyperlink r:id="rId39" w:history="1">
              <w:r w:rsidR="00E23746" w:rsidRPr="00882E93">
                <w:rPr>
                  <w:rFonts w:eastAsia="Times New Roman" w:cs="Arial"/>
                  <w:sz w:val="20"/>
                  <w:szCs w:val="20"/>
                  <w:lang w:val="es-MX" w:eastAsia="es-MX"/>
                </w:rPr>
                <w:t>Programa de Inversión Anual. Dirección de Planeación. https://qroo.gob.mx/ifeqroo/medios-de-verificacion-metas-e-indicadores</w:t>
              </w:r>
            </w:hyperlink>
            <w:r w:rsidR="00E23746">
              <w:rPr>
                <w:rFonts w:eastAsia="Times New Roman" w:cs="Arial"/>
                <w:sz w:val="20"/>
                <w:szCs w:val="20"/>
                <w:lang w:val="es-MX" w:eastAsia="es-MX"/>
              </w:rPr>
              <w:t>.</w:t>
            </w:r>
          </w:p>
        </w:tc>
        <w:tc>
          <w:tcPr>
            <w:tcW w:w="1741" w:type="dxa"/>
            <w:tcBorders>
              <w:top w:val="single" w:sz="4" w:space="0" w:color="auto"/>
              <w:left w:val="single" w:sz="4" w:space="0" w:color="auto"/>
              <w:bottom w:val="single" w:sz="4" w:space="0" w:color="auto"/>
              <w:right w:val="single" w:sz="4" w:space="0" w:color="auto"/>
            </w:tcBorders>
            <w:shd w:val="clear" w:color="auto" w:fill="auto"/>
            <w:hideMark/>
          </w:tcPr>
          <w:p w14:paraId="6382A9A6" w14:textId="77777777" w:rsidR="00E23746" w:rsidRPr="00882E93" w:rsidRDefault="00E23746" w:rsidP="000B2F10">
            <w:pPr>
              <w:spacing w:after="0" w:line="240" w:lineRule="auto"/>
              <w:rPr>
                <w:rFonts w:eastAsia="Times New Roman" w:cs="Arial"/>
                <w:sz w:val="20"/>
                <w:szCs w:val="20"/>
                <w:lang w:val="es-MX" w:eastAsia="es-MX"/>
              </w:rPr>
            </w:pPr>
            <w:r w:rsidRPr="00882E93">
              <w:rPr>
                <w:rFonts w:eastAsia="Times New Roman" w:cs="Arial"/>
                <w:sz w:val="20"/>
                <w:szCs w:val="20"/>
                <w:lang w:val="es-MX" w:eastAsia="es-MX"/>
              </w:rPr>
              <w:t>Las escuelas aceptan la inversión programada</w:t>
            </w:r>
            <w:r>
              <w:rPr>
                <w:rFonts w:eastAsia="Times New Roman" w:cs="Arial"/>
                <w:sz w:val="20"/>
                <w:szCs w:val="20"/>
                <w:lang w:val="es-MX" w:eastAsia="es-MX"/>
              </w:rPr>
              <w:t>.</w:t>
            </w:r>
          </w:p>
        </w:tc>
      </w:tr>
    </w:tbl>
    <w:p w14:paraId="26EE3812" w14:textId="77777777" w:rsidR="00E83FE2" w:rsidRDefault="00E83FE2">
      <w:pPr>
        <w:spacing w:after="0" w:line="240" w:lineRule="auto"/>
        <w:jc w:val="left"/>
      </w:pPr>
      <w:r>
        <w:br w:type="page"/>
      </w:r>
    </w:p>
    <w:tbl>
      <w:tblPr>
        <w:tblW w:w="13887" w:type="dxa"/>
        <w:tblCellMar>
          <w:left w:w="70" w:type="dxa"/>
          <w:right w:w="70" w:type="dxa"/>
        </w:tblCellMar>
        <w:tblLook w:val="04A0" w:firstRow="1" w:lastRow="0" w:firstColumn="1" w:lastColumn="0" w:noHBand="0" w:noVBand="1"/>
      </w:tblPr>
      <w:tblGrid>
        <w:gridCol w:w="1225"/>
        <w:gridCol w:w="2613"/>
        <w:gridCol w:w="2845"/>
        <w:gridCol w:w="2099"/>
        <w:gridCol w:w="3286"/>
        <w:gridCol w:w="1819"/>
      </w:tblGrid>
      <w:tr w:rsidR="00E23746" w:rsidRPr="00882E93" w14:paraId="1B7EA0C0" w14:textId="77777777" w:rsidTr="006B434D">
        <w:trPr>
          <w:trHeight w:val="672"/>
        </w:trPr>
        <w:tc>
          <w:tcPr>
            <w:tcW w:w="125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451FADAD" w14:textId="77777777" w:rsidR="00E23746" w:rsidRPr="00882E93" w:rsidRDefault="00E23746" w:rsidP="000B2F10">
            <w:pPr>
              <w:spacing w:after="0" w:line="240" w:lineRule="auto"/>
              <w:jc w:val="center"/>
              <w:rPr>
                <w:rFonts w:eastAsia="Times New Roman" w:cs="Arial"/>
                <w:b/>
                <w:bCs/>
                <w:sz w:val="20"/>
                <w:szCs w:val="20"/>
                <w:lang w:val="es-MX" w:eastAsia="es-MX"/>
              </w:rPr>
            </w:pPr>
            <w:r w:rsidRPr="00882E93">
              <w:rPr>
                <w:rFonts w:eastAsia="Times New Roman" w:cs="Arial"/>
                <w:b/>
                <w:bCs/>
                <w:sz w:val="20"/>
                <w:szCs w:val="20"/>
                <w:lang w:val="es-MX" w:eastAsia="es-MX"/>
              </w:rPr>
              <w:lastRenderedPageBreak/>
              <w:t>NIVEL</w:t>
            </w:r>
          </w:p>
        </w:tc>
        <w:tc>
          <w:tcPr>
            <w:tcW w:w="2713" w:type="dxa"/>
            <w:tcBorders>
              <w:top w:val="single" w:sz="4" w:space="0" w:color="auto"/>
              <w:left w:val="nil"/>
              <w:bottom w:val="single" w:sz="4" w:space="0" w:color="auto"/>
              <w:right w:val="single" w:sz="4" w:space="0" w:color="auto"/>
            </w:tcBorders>
            <w:shd w:val="clear" w:color="000000" w:fill="BFBFBF"/>
            <w:vAlign w:val="center"/>
            <w:hideMark/>
          </w:tcPr>
          <w:p w14:paraId="6B56A348" w14:textId="77777777" w:rsidR="00E23746" w:rsidRPr="00882E93" w:rsidRDefault="00E23746" w:rsidP="000B2F10">
            <w:pPr>
              <w:spacing w:after="0" w:line="240" w:lineRule="auto"/>
              <w:jc w:val="center"/>
              <w:rPr>
                <w:rFonts w:eastAsia="Times New Roman" w:cs="Arial"/>
                <w:b/>
                <w:bCs/>
                <w:sz w:val="20"/>
                <w:szCs w:val="20"/>
                <w:lang w:val="es-MX" w:eastAsia="es-MX"/>
              </w:rPr>
            </w:pPr>
            <w:r w:rsidRPr="00882E93">
              <w:rPr>
                <w:rFonts w:eastAsia="Times New Roman" w:cs="Arial"/>
                <w:b/>
                <w:bCs/>
                <w:sz w:val="20"/>
                <w:szCs w:val="20"/>
                <w:lang w:val="es-MX" w:eastAsia="es-MX"/>
              </w:rPr>
              <w:t>ALINEACIÓN PED/PD</w:t>
            </w:r>
          </w:p>
        </w:tc>
        <w:tc>
          <w:tcPr>
            <w:tcW w:w="2977" w:type="dxa"/>
            <w:tcBorders>
              <w:top w:val="single" w:sz="4" w:space="0" w:color="auto"/>
              <w:left w:val="nil"/>
              <w:bottom w:val="single" w:sz="4" w:space="0" w:color="auto"/>
              <w:right w:val="single" w:sz="4" w:space="0" w:color="auto"/>
            </w:tcBorders>
            <w:shd w:val="clear" w:color="000000" w:fill="BFBFBF"/>
            <w:vAlign w:val="center"/>
            <w:hideMark/>
          </w:tcPr>
          <w:p w14:paraId="75C2EE66" w14:textId="77777777" w:rsidR="00E23746" w:rsidRPr="00882E93" w:rsidRDefault="00E23746" w:rsidP="000B2F10">
            <w:pPr>
              <w:spacing w:after="0" w:line="240" w:lineRule="auto"/>
              <w:jc w:val="center"/>
              <w:rPr>
                <w:rFonts w:eastAsia="Times New Roman" w:cs="Arial"/>
                <w:b/>
                <w:bCs/>
                <w:sz w:val="20"/>
                <w:szCs w:val="20"/>
                <w:lang w:val="es-MX" w:eastAsia="es-MX"/>
              </w:rPr>
            </w:pPr>
            <w:r w:rsidRPr="00882E93">
              <w:rPr>
                <w:rFonts w:eastAsia="Times New Roman" w:cs="Arial"/>
                <w:b/>
                <w:bCs/>
                <w:sz w:val="20"/>
                <w:szCs w:val="20"/>
                <w:lang w:val="es-MX" w:eastAsia="es-MX"/>
              </w:rPr>
              <w:t>OBJETIVO</w:t>
            </w:r>
          </w:p>
        </w:tc>
        <w:tc>
          <w:tcPr>
            <w:tcW w:w="2127" w:type="dxa"/>
            <w:tcBorders>
              <w:top w:val="single" w:sz="4" w:space="0" w:color="auto"/>
              <w:left w:val="nil"/>
              <w:bottom w:val="single" w:sz="4" w:space="0" w:color="auto"/>
              <w:right w:val="single" w:sz="4" w:space="0" w:color="auto"/>
            </w:tcBorders>
            <w:shd w:val="clear" w:color="000000" w:fill="BFBFBF"/>
            <w:vAlign w:val="center"/>
            <w:hideMark/>
          </w:tcPr>
          <w:p w14:paraId="5240B8F6" w14:textId="77777777" w:rsidR="00E23746" w:rsidRPr="00882E93" w:rsidRDefault="00E23746" w:rsidP="000B2F10">
            <w:pPr>
              <w:spacing w:after="0" w:line="240" w:lineRule="auto"/>
              <w:jc w:val="center"/>
              <w:rPr>
                <w:rFonts w:eastAsia="Times New Roman" w:cs="Arial"/>
                <w:b/>
                <w:bCs/>
                <w:sz w:val="20"/>
                <w:szCs w:val="20"/>
                <w:lang w:val="es-MX" w:eastAsia="es-MX"/>
              </w:rPr>
            </w:pPr>
            <w:r w:rsidRPr="00882E93">
              <w:rPr>
                <w:rFonts w:eastAsia="Times New Roman" w:cs="Arial"/>
                <w:b/>
                <w:bCs/>
                <w:sz w:val="20"/>
                <w:szCs w:val="20"/>
                <w:lang w:val="es-MX" w:eastAsia="es-MX"/>
              </w:rPr>
              <w:t>INDICADOR</w:t>
            </w:r>
          </w:p>
        </w:tc>
        <w:tc>
          <w:tcPr>
            <w:tcW w:w="3079" w:type="dxa"/>
            <w:tcBorders>
              <w:top w:val="single" w:sz="4" w:space="0" w:color="auto"/>
              <w:left w:val="nil"/>
              <w:bottom w:val="single" w:sz="4" w:space="0" w:color="auto"/>
              <w:right w:val="single" w:sz="4" w:space="0" w:color="auto"/>
            </w:tcBorders>
            <w:shd w:val="clear" w:color="000000" w:fill="BFBFBF"/>
            <w:vAlign w:val="center"/>
            <w:hideMark/>
          </w:tcPr>
          <w:p w14:paraId="1804A397" w14:textId="77777777" w:rsidR="00E23746" w:rsidRPr="00882E93" w:rsidRDefault="00E23746" w:rsidP="000B2F10">
            <w:pPr>
              <w:spacing w:after="0" w:line="240" w:lineRule="auto"/>
              <w:jc w:val="center"/>
              <w:rPr>
                <w:rFonts w:eastAsia="Times New Roman" w:cs="Arial"/>
                <w:b/>
                <w:bCs/>
                <w:sz w:val="20"/>
                <w:szCs w:val="20"/>
                <w:lang w:val="es-MX" w:eastAsia="es-MX"/>
              </w:rPr>
            </w:pPr>
            <w:r w:rsidRPr="00882E93">
              <w:rPr>
                <w:rFonts w:eastAsia="Times New Roman" w:cs="Arial"/>
                <w:b/>
                <w:bCs/>
                <w:sz w:val="20"/>
                <w:szCs w:val="20"/>
                <w:lang w:val="es-MX" w:eastAsia="es-MX"/>
              </w:rPr>
              <w:t>MEDIOS DE VERIFICACIÓN</w:t>
            </w:r>
          </w:p>
        </w:tc>
        <w:tc>
          <w:tcPr>
            <w:tcW w:w="1741" w:type="dxa"/>
            <w:tcBorders>
              <w:top w:val="single" w:sz="4" w:space="0" w:color="auto"/>
              <w:left w:val="nil"/>
              <w:bottom w:val="single" w:sz="4" w:space="0" w:color="auto"/>
              <w:right w:val="single" w:sz="4" w:space="0" w:color="auto"/>
            </w:tcBorders>
            <w:shd w:val="clear" w:color="000000" w:fill="BFBFBF"/>
            <w:vAlign w:val="center"/>
            <w:hideMark/>
          </w:tcPr>
          <w:p w14:paraId="050492C1" w14:textId="77777777" w:rsidR="00E23746" w:rsidRPr="00882E93" w:rsidRDefault="00E23746" w:rsidP="000B2F10">
            <w:pPr>
              <w:spacing w:after="0" w:line="240" w:lineRule="auto"/>
              <w:jc w:val="center"/>
              <w:rPr>
                <w:rFonts w:eastAsia="Times New Roman" w:cs="Arial"/>
                <w:b/>
                <w:bCs/>
                <w:sz w:val="20"/>
                <w:szCs w:val="20"/>
                <w:lang w:val="es-MX" w:eastAsia="es-MX"/>
              </w:rPr>
            </w:pPr>
            <w:r w:rsidRPr="00882E93">
              <w:rPr>
                <w:rFonts w:eastAsia="Times New Roman" w:cs="Arial"/>
                <w:b/>
                <w:bCs/>
                <w:sz w:val="20"/>
                <w:szCs w:val="20"/>
                <w:lang w:val="es-MX" w:eastAsia="es-MX"/>
              </w:rPr>
              <w:t>SUPUESTO</w:t>
            </w:r>
          </w:p>
        </w:tc>
      </w:tr>
      <w:tr w:rsidR="00E23746" w:rsidRPr="00882E93" w14:paraId="621B4B0C" w14:textId="77777777" w:rsidTr="006B434D">
        <w:trPr>
          <w:trHeight w:val="2276"/>
        </w:trPr>
        <w:tc>
          <w:tcPr>
            <w:tcW w:w="1250" w:type="dxa"/>
            <w:tcBorders>
              <w:top w:val="single" w:sz="4" w:space="0" w:color="auto"/>
              <w:left w:val="single" w:sz="4" w:space="0" w:color="auto"/>
              <w:bottom w:val="single" w:sz="4" w:space="0" w:color="auto"/>
              <w:right w:val="single" w:sz="4" w:space="0" w:color="auto"/>
            </w:tcBorders>
            <w:shd w:val="clear" w:color="auto" w:fill="auto"/>
            <w:hideMark/>
          </w:tcPr>
          <w:p w14:paraId="63E9A6C9" w14:textId="77777777" w:rsidR="00E23746" w:rsidRPr="00882E93" w:rsidRDefault="00E23746" w:rsidP="000B2F10">
            <w:pPr>
              <w:spacing w:after="0" w:line="240" w:lineRule="auto"/>
              <w:jc w:val="center"/>
              <w:rPr>
                <w:rFonts w:eastAsia="Times New Roman" w:cs="Arial"/>
                <w:b/>
                <w:bCs/>
                <w:sz w:val="20"/>
                <w:szCs w:val="20"/>
                <w:lang w:val="es-MX" w:eastAsia="es-MX"/>
              </w:rPr>
            </w:pPr>
            <w:r w:rsidRPr="00882E93">
              <w:rPr>
                <w:rFonts w:eastAsia="Times New Roman" w:cs="Arial"/>
                <w:b/>
                <w:bCs/>
                <w:sz w:val="20"/>
                <w:szCs w:val="20"/>
                <w:lang w:val="es-MX" w:eastAsia="es-MX"/>
              </w:rPr>
              <w:t>Actividad</w:t>
            </w:r>
          </w:p>
        </w:tc>
        <w:tc>
          <w:tcPr>
            <w:tcW w:w="2713" w:type="dxa"/>
            <w:tcBorders>
              <w:top w:val="single" w:sz="4" w:space="0" w:color="auto"/>
              <w:left w:val="single" w:sz="4" w:space="0" w:color="auto"/>
              <w:bottom w:val="single" w:sz="4" w:space="0" w:color="auto"/>
              <w:right w:val="single" w:sz="4" w:space="0" w:color="auto"/>
            </w:tcBorders>
            <w:shd w:val="clear" w:color="auto" w:fill="auto"/>
            <w:hideMark/>
          </w:tcPr>
          <w:p w14:paraId="15B06056" w14:textId="77777777" w:rsidR="00E23746" w:rsidRDefault="00E23746" w:rsidP="000B2F10">
            <w:pPr>
              <w:spacing w:after="0" w:line="240" w:lineRule="auto"/>
              <w:rPr>
                <w:rFonts w:eastAsia="Times New Roman" w:cs="Arial"/>
                <w:sz w:val="20"/>
                <w:szCs w:val="20"/>
                <w:lang w:val="es-MX" w:eastAsia="es-MX"/>
              </w:rPr>
            </w:pPr>
            <w:r w:rsidRPr="00882E93">
              <w:rPr>
                <w:rFonts w:eastAsia="Times New Roman" w:cs="Arial"/>
                <w:sz w:val="20"/>
                <w:szCs w:val="20"/>
                <w:lang w:val="es-MX" w:eastAsia="es-MX"/>
              </w:rPr>
              <w:t>Hacer cumplir las normas de construcción y equipamiento de las escuelas, que sean emitidas por autoridad competente y por el Instituto, asegurando la calidad de los insumos utilizados en las acciones ejecutadas por el Instituto</w:t>
            </w:r>
            <w:r>
              <w:rPr>
                <w:rFonts w:eastAsia="Times New Roman" w:cs="Arial"/>
                <w:sz w:val="20"/>
                <w:szCs w:val="20"/>
                <w:lang w:val="es-MX" w:eastAsia="es-MX"/>
              </w:rPr>
              <w:t>.</w:t>
            </w:r>
          </w:p>
          <w:p w14:paraId="2A6C8BA0" w14:textId="77777777" w:rsidR="00E23746" w:rsidRDefault="00E23746" w:rsidP="000B2F10">
            <w:pPr>
              <w:spacing w:after="0" w:line="240" w:lineRule="auto"/>
              <w:rPr>
                <w:rFonts w:eastAsia="Times New Roman" w:cs="Arial"/>
                <w:sz w:val="20"/>
                <w:szCs w:val="20"/>
                <w:lang w:val="es-MX" w:eastAsia="es-MX"/>
              </w:rPr>
            </w:pPr>
          </w:p>
          <w:p w14:paraId="21353E70" w14:textId="77777777" w:rsidR="00E23746" w:rsidRPr="00882E93" w:rsidRDefault="00E23746" w:rsidP="000B2F10">
            <w:pPr>
              <w:spacing w:after="0" w:line="240" w:lineRule="auto"/>
              <w:rPr>
                <w:rFonts w:eastAsia="Times New Roman" w:cs="Arial"/>
                <w:sz w:val="20"/>
                <w:szCs w:val="20"/>
                <w:lang w:val="es-MX" w:eastAsia="es-MX"/>
              </w:rPr>
            </w:pP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12A902D7" w14:textId="77777777" w:rsidR="00E23746" w:rsidRPr="00882E93" w:rsidRDefault="00E23746" w:rsidP="000B2F10">
            <w:pPr>
              <w:spacing w:after="0" w:line="240" w:lineRule="auto"/>
              <w:rPr>
                <w:rFonts w:eastAsia="Times New Roman" w:cs="Arial"/>
                <w:sz w:val="20"/>
                <w:szCs w:val="20"/>
                <w:lang w:val="es-MX" w:eastAsia="es-MX"/>
              </w:rPr>
            </w:pPr>
            <w:r w:rsidRPr="00882E93">
              <w:rPr>
                <w:rFonts w:eastAsia="Times New Roman" w:cs="Arial"/>
                <w:sz w:val="20"/>
                <w:szCs w:val="20"/>
                <w:lang w:val="es-MX" w:eastAsia="es-MX"/>
              </w:rPr>
              <w:t>C01.A01 - Atención de las condiciones de infraestructura y equipamiento de los planteles.</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14:paraId="78DEB5C3" w14:textId="77777777" w:rsidR="00E23746" w:rsidRPr="00882E93" w:rsidRDefault="00E23746" w:rsidP="000B2F10">
            <w:pPr>
              <w:spacing w:after="0" w:line="240" w:lineRule="auto"/>
              <w:rPr>
                <w:rFonts w:eastAsia="Times New Roman" w:cs="Arial"/>
                <w:sz w:val="20"/>
                <w:szCs w:val="20"/>
                <w:lang w:val="es-MX" w:eastAsia="es-MX"/>
              </w:rPr>
            </w:pPr>
            <w:r w:rsidRPr="00882E93">
              <w:rPr>
                <w:rFonts w:eastAsia="Times New Roman" w:cs="Arial"/>
                <w:sz w:val="20"/>
                <w:szCs w:val="20"/>
                <w:lang w:val="es-MX" w:eastAsia="es-MX"/>
              </w:rPr>
              <w:t>C01A01 - Porcentaje de escuelas entregadas con infrae</w:t>
            </w:r>
            <w:r>
              <w:rPr>
                <w:rFonts w:eastAsia="Times New Roman" w:cs="Arial"/>
                <w:sz w:val="20"/>
                <w:szCs w:val="20"/>
                <w:lang w:val="es-MX" w:eastAsia="es-MX"/>
              </w:rPr>
              <w:t>structura y equipamiento básico.</w:t>
            </w:r>
          </w:p>
        </w:tc>
        <w:tc>
          <w:tcPr>
            <w:tcW w:w="3079" w:type="dxa"/>
            <w:tcBorders>
              <w:top w:val="single" w:sz="4" w:space="0" w:color="auto"/>
              <w:left w:val="single" w:sz="4" w:space="0" w:color="auto"/>
              <w:bottom w:val="single" w:sz="4" w:space="0" w:color="auto"/>
              <w:right w:val="single" w:sz="4" w:space="0" w:color="auto"/>
            </w:tcBorders>
            <w:shd w:val="clear" w:color="auto" w:fill="auto"/>
            <w:hideMark/>
          </w:tcPr>
          <w:p w14:paraId="12EFFADF" w14:textId="77777777" w:rsidR="00E23746" w:rsidRPr="00882E93" w:rsidRDefault="005377D7" w:rsidP="000B2F10">
            <w:pPr>
              <w:spacing w:after="0" w:line="240" w:lineRule="auto"/>
              <w:rPr>
                <w:rFonts w:eastAsia="Times New Roman" w:cs="Arial"/>
                <w:sz w:val="20"/>
                <w:szCs w:val="20"/>
                <w:lang w:val="es-MX" w:eastAsia="es-MX"/>
              </w:rPr>
            </w:pPr>
            <w:hyperlink r:id="rId40" w:history="1">
              <w:r w:rsidR="00E23746" w:rsidRPr="00882E93">
                <w:rPr>
                  <w:rFonts w:eastAsia="Times New Roman" w:cs="Arial"/>
                  <w:sz w:val="20"/>
                  <w:szCs w:val="20"/>
                  <w:lang w:val="es-MX" w:eastAsia="es-MX"/>
                </w:rPr>
                <w:t>Listado de Actas Firmadas de los programas de inversión, Dirección de Obras y Equipamiento. IFEQROO. https://qroo.gob.mx/ifeqroo/medios-de-verificacion-metas-e-indicadores</w:t>
              </w:r>
            </w:hyperlink>
            <w:r w:rsidR="00E23746">
              <w:rPr>
                <w:rFonts w:eastAsia="Times New Roman" w:cs="Arial"/>
                <w:sz w:val="20"/>
                <w:szCs w:val="20"/>
                <w:lang w:val="es-MX" w:eastAsia="es-MX"/>
              </w:rPr>
              <w:t>.</w:t>
            </w:r>
          </w:p>
        </w:tc>
        <w:tc>
          <w:tcPr>
            <w:tcW w:w="1741" w:type="dxa"/>
            <w:tcBorders>
              <w:top w:val="single" w:sz="4" w:space="0" w:color="auto"/>
              <w:left w:val="single" w:sz="4" w:space="0" w:color="auto"/>
              <w:bottom w:val="single" w:sz="4" w:space="0" w:color="auto"/>
              <w:right w:val="single" w:sz="4" w:space="0" w:color="auto"/>
            </w:tcBorders>
            <w:shd w:val="clear" w:color="auto" w:fill="auto"/>
            <w:hideMark/>
          </w:tcPr>
          <w:p w14:paraId="1B77E866" w14:textId="77777777" w:rsidR="00E23746" w:rsidRPr="00882E93" w:rsidRDefault="00E23746" w:rsidP="000B2F10">
            <w:pPr>
              <w:spacing w:after="0" w:line="240" w:lineRule="auto"/>
              <w:rPr>
                <w:rFonts w:eastAsia="Times New Roman" w:cs="Arial"/>
                <w:sz w:val="20"/>
                <w:szCs w:val="20"/>
                <w:lang w:val="es-MX" w:eastAsia="es-MX"/>
              </w:rPr>
            </w:pPr>
            <w:r w:rsidRPr="00882E93">
              <w:rPr>
                <w:rFonts w:eastAsia="Times New Roman" w:cs="Arial"/>
                <w:sz w:val="20"/>
                <w:szCs w:val="20"/>
                <w:lang w:val="es-MX" w:eastAsia="es-MX"/>
              </w:rPr>
              <w:t>Las acciones en planteles son concluidas satisfactoriamente.</w:t>
            </w:r>
          </w:p>
        </w:tc>
      </w:tr>
      <w:tr w:rsidR="00E23746" w:rsidRPr="00882E93" w14:paraId="15AA0872" w14:textId="77777777" w:rsidTr="006B434D">
        <w:trPr>
          <w:trHeight w:val="1955"/>
        </w:trPr>
        <w:tc>
          <w:tcPr>
            <w:tcW w:w="1250" w:type="dxa"/>
            <w:tcBorders>
              <w:top w:val="single" w:sz="4" w:space="0" w:color="auto"/>
              <w:left w:val="single" w:sz="4" w:space="0" w:color="auto"/>
              <w:bottom w:val="single" w:sz="4" w:space="0" w:color="auto"/>
              <w:right w:val="single" w:sz="4" w:space="0" w:color="auto"/>
            </w:tcBorders>
            <w:shd w:val="clear" w:color="auto" w:fill="auto"/>
            <w:hideMark/>
          </w:tcPr>
          <w:p w14:paraId="4C1AFBD4" w14:textId="77777777" w:rsidR="00E23746" w:rsidRPr="00882E93" w:rsidRDefault="00E23746" w:rsidP="000B2F10">
            <w:pPr>
              <w:spacing w:after="0" w:line="240" w:lineRule="auto"/>
              <w:jc w:val="center"/>
              <w:rPr>
                <w:rFonts w:eastAsia="Times New Roman" w:cs="Arial"/>
                <w:b/>
                <w:bCs/>
                <w:sz w:val="20"/>
                <w:szCs w:val="20"/>
                <w:lang w:val="es-MX" w:eastAsia="es-MX"/>
              </w:rPr>
            </w:pPr>
            <w:r w:rsidRPr="00882E93">
              <w:rPr>
                <w:rFonts w:eastAsia="Times New Roman" w:cs="Arial"/>
                <w:b/>
                <w:bCs/>
                <w:sz w:val="20"/>
                <w:szCs w:val="20"/>
                <w:lang w:val="es-MX" w:eastAsia="es-MX"/>
              </w:rPr>
              <w:t>Actividad</w:t>
            </w:r>
          </w:p>
        </w:tc>
        <w:tc>
          <w:tcPr>
            <w:tcW w:w="2713" w:type="dxa"/>
            <w:tcBorders>
              <w:top w:val="single" w:sz="4" w:space="0" w:color="auto"/>
              <w:left w:val="single" w:sz="4" w:space="0" w:color="auto"/>
              <w:bottom w:val="single" w:sz="4" w:space="0" w:color="auto"/>
              <w:right w:val="single" w:sz="4" w:space="0" w:color="auto"/>
            </w:tcBorders>
            <w:shd w:val="clear" w:color="auto" w:fill="auto"/>
            <w:hideMark/>
          </w:tcPr>
          <w:p w14:paraId="423BC025" w14:textId="77777777" w:rsidR="00E23746" w:rsidRDefault="00E23746" w:rsidP="000B2F10">
            <w:pPr>
              <w:spacing w:after="0" w:line="240" w:lineRule="auto"/>
              <w:rPr>
                <w:rFonts w:eastAsia="Times New Roman" w:cs="Arial"/>
                <w:sz w:val="20"/>
                <w:szCs w:val="20"/>
                <w:lang w:val="es-MX" w:eastAsia="es-MX"/>
              </w:rPr>
            </w:pPr>
            <w:r w:rsidRPr="00882E93">
              <w:rPr>
                <w:rFonts w:eastAsia="Times New Roman" w:cs="Arial"/>
                <w:sz w:val="20"/>
                <w:szCs w:val="20"/>
                <w:lang w:val="es-MX" w:eastAsia="es-MX"/>
              </w:rPr>
              <w:t>Emprender programas de intervención de escuelas públicas, en los  diferentes niveles educativos, mediante el equipamiento y rehabilitación de las mismas para beneficio de la comunidad estudiantil de nuestro Estado</w:t>
            </w:r>
            <w:r>
              <w:rPr>
                <w:rFonts w:eastAsia="Times New Roman" w:cs="Arial"/>
                <w:sz w:val="20"/>
                <w:szCs w:val="20"/>
                <w:lang w:val="es-MX" w:eastAsia="es-MX"/>
              </w:rPr>
              <w:t>.</w:t>
            </w:r>
          </w:p>
          <w:p w14:paraId="094713E7" w14:textId="77777777" w:rsidR="00E23746" w:rsidRDefault="00E23746" w:rsidP="000B2F10">
            <w:pPr>
              <w:spacing w:after="0" w:line="240" w:lineRule="auto"/>
              <w:rPr>
                <w:rFonts w:eastAsia="Times New Roman" w:cs="Arial"/>
                <w:sz w:val="20"/>
                <w:szCs w:val="20"/>
                <w:lang w:val="es-MX" w:eastAsia="es-MX"/>
              </w:rPr>
            </w:pPr>
          </w:p>
          <w:p w14:paraId="06D32AD6" w14:textId="77777777" w:rsidR="00E23746" w:rsidRPr="00882E93" w:rsidRDefault="00E23746" w:rsidP="000B2F10">
            <w:pPr>
              <w:spacing w:after="0" w:line="240" w:lineRule="auto"/>
              <w:rPr>
                <w:rFonts w:eastAsia="Times New Roman" w:cs="Arial"/>
                <w:sz w:val="20"/>
                <w:szCs w:val="20"/>
                <w:lang w:val="es-MX" w:eastAsia="es-MX"/>
              </w:rPr>
            </w:pP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6E1F03C5" w14:textId="77777777" w:rsidR="00E23746" w:rsidRPr="00882E93" w:rsidRDefault="00E23746" w:rsidP="000B2F10">
            <w:pPr>
              <w:spacing w:after="0" w:line="240" w:lineRule="auto"/>
              <w:rPr>
                <w:rFonts w:eastAsia="Times New Roman" w:cs="Arial"/>
                <w:sz w:val="20"/>
                <w:szCs w:val="20"/>
                <w:lang w:val="es-MX" w:eastAsia="es-MX"/>
              </w:rPr>
            </w:pPr>
            <w:r w:rsidRPr="00882E93">
              <w:rPr>
                <w:rFonts w:eastAsia="Times New Roman" w:cs="Arial"/>
                <w:sz w:val="20"/>
                <w:szCs w:val="20"/>
                <w:lang w:val="es-MX" w:eastAsia="es-MX"/>
              </w:rPr>
              <w:t xml:space="preserve"> C01.A02 - Ejecución de acciones en equipamiento y rehabilitación</w:t>
            </w:r>
            <w:r>
              <w:rPr>
                <w:rFonts w:eastAsia="Times New Roman" w:cs="Arial"/>
                <w:sz w:val="20"/>
                <w:szCs w:val="20"/>
                <w:lang w:val="es-MX" w:eastAsia="es-MX"/>
              </w:rPr>
              <w:t>.</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14:paraId="36E086F7" w14:textId="77777777" w:rsidR="00E23746" w:rsidRPr="00882E93" w:rsidRDefault="00E23746" w:rsidP="000B2F10">
            <w:pPr>
              <w:spacing w:after="0" w:line="240" w:lineRule="auto"/>
              <w:rPr>
                <w:rFonts w:eastAsia="Times New Roman" w:cs="Arial"/>
                <w:sz w:val="20"/>
                <w:szCs w:val="20"/>
                <w:lang w:val="es-MX" w:eastAsia="es-MX"/>
              </w:rPr>
            </w:pPr>
            <w:r w:rsidRPr="00882E93">
              <w:rPr>
                <w:rFonts w:eastAsia="Times New Roman" w:cs="Arial"/>
                <w:sz w:val="20"/>
                <w:szCs w:val="20"/>
                <w:lang w:val="es-MX" w:eastAsia="es-MX"/>
              </w:rPr>
              <w:t>C01A02 - Porcentaje de escuelas atendidas con equipamiento y rehabilitación.</w:t>
            </w:r>
          </w:p>
        </w:tc>
        <w:tc>
          <w:tcPr>
            <w:tcW w:w="3079" w:type="dxa"/>
            <w:tcBorders>
              <w:top w:val="single" w:sz="4" w:space="0" w:color="auto"/>
              <w:left w:val="single" w:sz="4" w:space="0" w:color="auto"/>
              <w:bottom w:val="single" w:sz="4" w:space="0" w:color="auto"/>
              <w:right w:val="single" w:sz="4" w:space="0" w:color="auto"/>
            </w:tcBorders>
            <w:shd w:val="clear" w:color="auto" w:fill="auto"/>
            <w:hideMark/>
          </w:tcPr>
          <w:p w14:paraId="5EA688DF" w14:textId="77777777" w:rsidR="00E23746" w:rsidRPr="00882E93" w:rsidRDefault="005377D7" w:rsidP="000B2F10">
            <w:pPr>
              <w:spacing w:after="0" w:line="240" w:lineRule="auto"/>
              <w:rPr>
                <w:rFonts w:eastAsia="Times New Roman" w:cs="Arial"/>
                <w:sz w:val="20"/>
                <w:szCs w:val="20"/>
                <w:lang w:val="es-MX" w:eastAsia="es-MX"/>
              </w:rPr>
            </w:pPr>
            <w:hyperlink r:id="rId41" w:history="1">
              <w:r w:rsidR="00E23746" w:rsidRPr="00882E93">
                <w:rPr>
                  <w:rFonts w:eastAsia="Times New Roman" w:cs="Arial"/>
                  <w:sz w:val="20"/>
                  <w:szCs w:val="20"/>
                  <w:lang w:val="es-MX" w:eastAsia="es-MX"/>
                </w:rPr>
                <w:t>Base de Datos de Escuelas Entregadas. Dirección de Obras y Equipamiento. IFEQROO. https://qroo.gob.mx/ifeqroo/medios-de-verificacion-metas-e-indicadores</w:t>
              </w:r>
            </w:hyperlink>
            <w:r w:rsidR="00E23746">
              <w:rPr>
                <w:rFonts w:eastAsia="Times New Roman" w:cs="Arial"/>
                <w:sz w:val="20"/>
                <w:szCs w:val="20"/>
                <w:lang w:val="es-MX" w:eastAsia="es-MX"/>
              </w:rPr>
              <w:t>.</w:t>
            </w:r>
          </w:p>
        </w:tc>
        <w:tc>
          <w:tcPr>
            <w:tcW w:w="1741" w:type="dxa"/>
            <w:tcBorders>
              <w:top w:val="single" w:sz="4" w:space="0" w:color="auto"/>
              <w:left w:val="single" w:sz="4" w:space="0" w:color="auto"/>
              <w:bottom w:val="single" w:sz="4" w:space="0" w:color="auto"/>
              <w:right w:val="single" w:sz="4" w:space="0" w:color="auto"/>
            </w:tcBorders>
            <w:shd w:val="clear" w:color="auto" w:fill="auto"/>
            <w:hideMark/>
          </w:tcPr>
          <w:p w14:paraId="35DDB65E" w14:textId="77777777" w:rsidR="00E23746" w:rsidRPr="00882E93" w:rsidRDefault="00E23746" w:rsidP="000B2F10">
            <w:pPr>
              <w:spacing w:after="0" w:line="240" w:lineRule="auto"/>
              <w:rPr>
                <w:rFonts w:eastAsia="Times New Roman" w:cs="Arial"/>
                <w:sz w:val="20"/>
                <w:szCs w:val="20"/>
                <w:lang w:val="es-MX" w:eastAsia="es-MX"/>
              </w:rPr>
            </w:pPr>
            <w:r w:rsidRPr="00882E93">
              <w:rPr>
                <w:rFonts w:eastAsia="Times New Roman" w:cs="Arial"/>
                <w:sz w:val="20"/>
                <w:szCs w:val="20"/>
                <w:lang w:val="es-MX" w:eastAsia="es-MX"/>
              </w:rPr>
              <w:t>Los planteles requieren rehabilitación o equipamiento.</w:t>
            </w:r>
          </w:p>
        </w:tc>
      </w:tr>
      <w:tr w:rsidR="00E23746" w:rsidRPr="00882E93" w14:paraId="498B461B" w14:textId="77777777" w:rsidTr="006B434D">
        <w:trPr>
          <w:trHeight w:val="1163"/>
        </w:trPr>
        <w:tc>
          <w:tcPr>
            <w:tcW w:w="1250" w:type="dxa"/>
            <w:tcBorders>
              <w:top w:val="single" w:sz="4" w:space="0" w:color="auto"/>
              <w:left w:val="single" w:sz="4" w:space="0" w:color="auto"/>
              <w:bottom w:val="single" w:sz="4" w:space="0" w:color="auto"/>
              <w:right w:val="single" w:sz="4" w:space="0" w:color="auto"/>
            </w:tcBorders>
            <w:shd w:val="clear" w:color="auto" w:fill="auto"/>
            <w:hideMark/>
          </w:tcPr>
          <w:p w14:paraId="3712BE27" w14:textId="77777777" w:rsidR="00E23746" w:rsidRPr="00882E93" w:rsidRDefault="00E23746" w:rsidP="000B2F10">
            <w:pPr>
              <w:spacing w:after="0" w:line="240" w:lineRule="auto"/>
              <w:jc w:val="center"/>
              <w:rPr>
                <w:rFonts w:eastAsia="Times New Roman" w:cs="Arial"/>
                <w:b/>
                <w:bCs/>
                <w:sz w:val="20"/>
                <w:szCs w:val="20"/>
                <w:lang w:val="es-MX" w:eastAsia="es-MX"/>
              </w:rPr>
            </w:pPr>
            <w:r w:rsidRPr="00882E93">
              <w:rPr>
                <w:rFonts w:eastAsia="Times New Roman" w:cs="Arial"/>
                <w:b/>
                <w:bCs/>
                <w:sz w:val="20"/>
                <w:szCs w:val="20"/>
                <w:lang w:val="es-MX" w:eastAsia="es-MX"/>
              </w:rPr>
              <w:t>Actividad</w:t>
            </w:r>
          </w:p>
        </w:tc>
        <w:tc>
          <w:tcPr>
            <w:tcW w:w="2713" w:type="dxa"/>
            <w:tcBorders>
              <w:top w:val="single" w:sz="4" w:space="0" w:color="auto"/>
              <w:left w:val="single" w:sz="4" w:space="0" w:color="auto"/>
              <w:bottom w:val="single" w:sz="4" w:space="0" w:color="auto"/>
              <w:right w:val="single" w:sz="4" w:space="0" w:color="auto"/>
            </w:tcBorders>
            <w:shd w:val="clear" w:color="auto" w:fill="auto"/>
            <w:hideMark/>
          </w:tcPr>
          <w:p w14:paraId="6515B59B" w14:textId="77777777" w:rsidR="00E23746" w:rsidRPr="00882E93" w:rsidRDefault="00E23746" w:rsidP="000B2F10">
            <w:pPr>
              <w:spacing w:after="0" w:line="240" w:lineRule="auto"/>
              <w:rPr>
                <w:rFonts w:eastAsia="Times New Roman" w:cs="Arial"/>
                <w:sz w:val="20"/>
                <w:szCs w:val="20"/>
                <w:lang w:val="es-MX" w:eastAsia="es-MX"/>
              </w:rPr>
            </w:pPr>
            <w:r w:rsidRPr="00882E93">
              <w:rPr>
                <w:rFonts w:eastAsia="Times New Roman" w:cs="Arial"/>
                <w:sz w:val="20"/>
                <w:szCs w:val="20"/>
                <w:lang w:val="es-MX" w:eastAsia="es-MX"/>
              </w:rPr>
              <w:t>Habilitar las condiciones de infraestructura tecnológica y telecomunicaciones de las escuelas del Estado</w:t>
            </w:r>
            <w:r>
              <w:rPr>
                <w:rFonts w:eastAsia="Times New Roman" w:cs="Arial"/>
                <w:sz w:val="20"/>
                <w:szCs w:val="20"/>
                <w:lang w:val="es-MX" w:eastAsia="es-MX"/>
              </w:rPr>
              <w:t>.</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0CE4FA8A" w14:textId="77777777" w:rsidR="00E23746" w:rsidRPr="00882E93" w:rsidRDefault="00E23746" w:rsidP="000B2F10">
            <w:pPr>
              <w:spacing w:after="0" w:line="240" w:lineRule="auto"/>
              <w:rPr>
                <w:rFonts w:eastAsia="Times New Roman" w:cs="Arial"/>
                <w:sz w:val="20"/>
                <w:szCs w:val="20"/>
                <w:lang w:val="es-MX" w:eastAsia="es-MX"/>
              </w:rPr>
            </w:pPr>
            <w:r w:rsidRPr="00882E93">
              <w:rPr>
                <w:rFonts w:eastAsia="Times New Roman" w:cs="Arial"/>
                <w:sz w:val="20"/>
                <w:szCs w:val="20"/>
                <w:lang w:val="es-MX" w:eastAsia="es-MX"/>
              </w:rPr>
              <w:t>C01.A03 - Habilitación de las condiciones de infraestructura tecnológica y telecomunicaciones de las escuelas del Estado.</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14:paraId="413D6A86" w14:textId="131A573F" w:rsidR="001906E0" w:rsidRPr="00882E93" w:rsidRDefault="00E23746" w:rsidP="00204AFF">
            <w:pPr>
              <w:spacing w:after="0" w:line="240" w:lineRule="auto"/>
              <w:rPr>
                <w:rFonts w:eastAsia="Times New Roman" w:cs="Arial"/>
                <w:sz w:val="20"/>
                <w:szCs w:val="20"/>
                <w:lang w:val="es-MX" w:eastAsia="es-MX"/>
              </w:rPr>
            </w:pPr>
            <w:r w:rsidRPr="00882E93">
              <w:rPr>
                <w:rFonts w:eastAsia="Times New Roman" w:cs="Arial"/>
                <w:sz w:val="20"/>
                <w:szCs w:val="20"/>
                <w:lang w:val="es-MX" w:eastAsia="es-MX"/>
              </w:rPr>
              <w:t>C01A03 - Porcentaje de espacios habilitados con  infraestructura tecnológica y telecomunicaciones de las escuelas del Estado.</w:t>
            </w:r>
          </w:p>
        </w:tc>
        <w:tc>
          <w:tcPr>
            <w:tcW w:w="3079" w:type="dxa"/>
            <w:tcBorders>
              <w:top w:val="single" w:sz="4" w:space="0" w:color="auto"/>
              <w:left w:val="single" w:sz="4" w:space="0" w:color="auto"/>
              <w:bottom w:val="single" w:sz="4" w:space="0" w:color="auto"/>
              <w:right w:val="single" w:sz="4" w:space="0" w:color="auto"/>
            </w:tcBorders>
            <w:shd w:val="clear" w:color="auto" w:fill="auto"/>
            <w:hideMark/>
          </w:tcPr>
          <w:p w14:paraId="6C2C69D9" w14:textId="77777777" w:rsidR="00E23746" w:rsidRPr="00882E93" w:rsidRDefault="005377D7" w:rsidP="000B2F10">
            <w:pPr>
              <w:spacing w:after="0" w:line="240" w:lineRule="auto"/>
              <w:rPr>
                <w:rFonts w:eastAsia="Times New Roman" w:cs="Arial"/>
                <w:sz w:val="20"/>
                <w:szCs w:val="20"/>
                <w:lang w:val="es-MX" w:eastAsia="es-MX"/>
              </w:rPr>
            </w:pPr>
            <w:hyperlink r:id="rId42" w:history="1">
              <w:r w:rsidR="00E23746" w:rsidRPr="00882E93">
                <w:rPr>
                  <w:rFonts w:eastAsia="Times New Roman" w:cs="Arial"/>
                  <w:sz w:val="20"/>
                  <w:szCs w:val="20"/>
                  <w:lang w:val="es-MX" w:eastAsia="es-MX"/>
                </w:rPr>
                <w:t>Relación de espacios habilitados. Dirección de Planeación. https://qroo.gob.mx/ifeqroo/medios-de-verificacion-metas-e-indicadores</w:t>
              </w:r>
            </w:hyperlink>
            <w:r w:rsidR="00E23746">
              <w:rPr>
                <w:rFonts w:eastAsia="Times New Roman" w:cs="Arial"/>
                <w:sz w:val="20"/>
                <w:szCs w:val="20"/>
                <w:lang w:val="es-MX" w:eastAsia="es-MX"/>
              </w:rPr>
              <w:t>.</w:t>
            </w:r>
          </w:p>
        </w:tc>
        <w:tc>
          <w:tcPr>
            <w:tcW w:w="1741" w:type="dxa"/>
            <w:tcBorders>
              <w:top w:val="single" w:sz="4" w:space="0" w:color="auto"/>
              <w:left w:val="single" w:sz="4" w:space="0" w:color="auto"/>
              <w:bottom w:val="single" w:sz="4" w:space="0" w:color="auto"/>
              <w:right w:val="single" w:sz="4" w:space="0" w:color="auto"/>
            </w:tcBorders>
            <w:shd w:val="clear" w:color="auto" w:fill="auto"/>
            <w:hideMark/>
          </w:tcPr>
          <w:p w14:paraId="7EE59B7F" w14:textId="77777777" w:rsidR="00E23746" w:rsidRPr="00882E93" w:rsidRDefault="00E23746" w:rsidP="000B2F10">
            <w:pPr>
              <w:spacing w:after="0" w:line="240" w:lineRule="auto"/>
              <w:rPr>
                <w:rFonts w:eastAsia="Times New Roman" w:cs="Arial"/>
                <w:sz w:val="20"/>
                <w:szCs w:val="20"/>
                <w:lang w:val="es-MX" w:eastAsia="es-MX"/>
              </w:rPr>
            </w:pPr>
            <w:r w:rsidRPr="00882E93">
              <w:rPr>
                <w:rFonts w:eastAsia="Times New Roman" w:cs="Arial"/>
                <w:sz w:val="20"/>
                <w:szCs w:val="20"/>
                <w:lang w:val="es-MX" w:eastAsia="es-MX"/>
              </w:rPr>
              <w:t>Las escuelas están interesadas en modernizar sus espacios educativos.</w:t>
            </w:r>
          </w:p>
        </w:tc>
      </w:tr>
    </w:tbl>
    <w:p w14:paraId="12C9C425" w14:textId="77777777" w:rsidR="00E83FE2" w:rsidRDefault="00E83FE2">
      <w:pPr>
        <w:spacing w:after="0" w:line="240" w:lineRule="auto"/>
        <w:jc w:val="left"/>
      </w:pPr>
      <w:r>
        <w:br w:type="page"/>
      </w:r>
    </w:p>
    <w:tbl>
      <w:tblPr>
        <w:tblW w:w="13887" w:type="dxa"/>
        <w:tblCellMar>
          <w:left w:w="70" w:type="dxa"/>
          <w:right w:w="70" w:type="dxa"/>
        </w:tblCellMar>
        <w:tblLook w:val="04A0" w:firstRow="1" w:lastRow="0" w:firstColumn="1" w:lastColumn="0" w:noHBand="0" w:noVBand="1"/>
      </w:tblPr>
      <w:tblGrid>
        <w:gridCol w:w="1239"/>
        <w:gridCol w:w="2655"/>
        <w:gridCol w:w="2897"/>
        <w:gridCol w:w="2091"/>
        <w:gridCol w:w="3286"/>
        <w:gridCol w:w="1719"/>
      </w:tblGrid>
      <w:tr w:rsidR="00E23746" w:rsidRPr="00882E93" w14:paraId="07D19463" w14:textId="77777777" w:rsidTr="006B434D">
        <w:trPr>
          <w:trHeight w:val="672"/>
        </w:trPr>
        <w:tc>
          <w:tcPr>
            <w:tcW w:w="125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7F0D5418" w14:textId="77777777" w:rsidR="00E23746" w:rsidRPr="00882E93" w:rsidRDefault="00E23746" w:rsidP="000B2F10">
            <w:pPr>
              <w:spacing w:after="0" w:line="240" w:lineRule="auto"/>
              <w:jc w:val="center"/>
              <w:rPr>
                <w:rFonts w:eastAsia="Times New Roman" w:cs="Arial"/>
                <w:b/>
                <w:bCs/>
                <w:sz w:val="20"/>
                <w:szCs w:val="20"/>
                <w:lang w:val="es-MX" w:eastAsia="es-MX"/>
              </w:rPr>
            </w:pPr>
            <w:r w:rsidRPr="00882E93">
              <w:rPr>
                <w:rFonts w:eastAsia="Times New Roman" w:cs="Arial"/>
                <w:b/>
                <w:bCs/>
                <w:sz w:val="20"/>
                <w:szCs w:val="20"/>
                <w:lang w:val="es-MX" w:eastAsia="es-MX"/>
              </w:rPr>
              <w:lastRenderedPageBreak/>
              <w:t>NIVEL</w:t>
            </w:r>
          </w:p>
        </w:tc>
        <w:tc>
          <w:tcPr>
            <w:tcW w:w="2713" w:type="dxa"/>
            <w:tcBorders>
              <w:top w:val="single" w:sz="4" w:space="0" w:color="auto"/>
              <w:left w:val="nil"/>
              <w:bottom w:val="single" w:sz="4" w:space="0" w:color="auto"/>
              <w:right w:val="single" w:sz="4" w:space="0" w:color="auto"/>
            </w:tcBorders>
            <w:shd w:val="clear" w:color="000000" w:fill="BFBFBF"/>
            <w:vAlign w:val="center"/>
            <w:hideMark/>
          </w:tcPr>
          <w:p w14:paraId="3D601833" w14:textId="77777777" w:rsidR="00E23746" w:rsidRPr="00882E93" w:rsidRDefault="00E23746" w:rsidP="000B2F10">
            <w:pPr>
              <w:spacing w:after="0" w:line="240" w:lineRule="auto"/>
              <w:jc w:val="center"/>
              <w:rPr>
                <w:rFonts w:eastAsia="Times New Roman" w:cs="Arial"/>
                <w:b/>
                <w:bCs/>
                <w:sz w:val="20"/>
                <w:szCs w:val="20"/>
                <w:lang w:val="es-MX" w:eastAsia="es-MX"/>
              </w:rPr>
            </w:pPr>
            <w:r w:rsidRPr="00882E93">
              <w:rPr>
                <w:rFonts w:eastAsia="Times New Roman" w:cs="Arial"/>
                <w:b/>
                <w:bCs/>
                <w:sz w:val="20"/>
                <w:szCs w:val="20"/>
                <w:lang w:val="es-MX" w:eastAsia="es-MX"/>
              </w:rPr>
              <w:t>ALINEACIÓN PED/PD</w:t>
            </w:r>
          </w:p>
        </w:tc>
        <w:tc>
          <w:tcPr>
            <w:tcW w:w="2977" w:type="dxa"/>
            <w:tcBorders>
              <w:top w:val="single" w:sz="4" w:space="0" w:color="auto"/>
              <w:left w:val="nil"/>
              <w:bottom w:val="single" w:sz="4" w:space="0" w:color="auto"/>
              <w:right w:val="single" w:sz="4" w:space="0" w:color="auto"/>
            </w:tcBorders>
            <w:shd w:val="clear" w:color="000000" w:fill="BFBFBF"/>
            <w:vAlign w:val="center"/>
            <w:hideMark/>
          </w:tcPr>
          <w:p w14:paraId="2A8D438E" w14:textId="77777777" w:rsidR="00E23746" w:rsidRPr="00882E93" w:rsidRDefault="00E23746" w:rsidP="000B2F10">
            <w:pPr>
              <w:spacing w:after="0" w:line="240" w:lineRule="auto"/>
              <w:jc w:val="center"/>
              <w:rPr>
                <w:rFonts w:eastAsia="Times New Roman" w:cs="Arial"/>
                <w:b/>
                <w:bCs/>
                <w:sz w:val="20"/>
                <w:szCs w:val="20"/>
                <w:lang w:val="es-MX" w:eastAsia="es-MX"/>
              </w:rPr>
            </w:pPr>
            <w:r w:rsidRPr="00882E93">
              <w:rPr>
                <w:rFonts w:eastAsia="Times New Roman" w:cs="Arial"/>
                <w:b/>
                <w:bCs/>
                <w:sz w:val="20"/>
                <w:szCs w:val="20"/>
                <w:lang w:val="es-MX" w:eastAsia="es-MX"/>
              </w:rPr>
              <w:t>OBJETIVO</w:t>
            </w:r>
          </w:p>
        </w:tc>
        <w:tc>
          <w:tcPr>
            <w:tcW w:w="2127" w:type="dxa"/>
            <w:tcBorders>
              <w:top w:val="single" w:sz="4" w:space="0" w:color="auto"/>
              <w:left w:val="nil"/>
              <w:bottom w:val="single" w:sz="4" w:space="0" w:color="auto"/>
              <w:right w:val="single" w:sz="4" w:space="0" w:color="auto"/>
            </w:tcBorders>
            <w:shd w:val="clear" w:color="000000" w:fill="BFBFBF"/>
            <w:vAlign w:val="center"/>
            <w:hideMark/>
          </w:tcPr>
          <w:p w14:paraId="08656F10" w14:textId="77777777" w:rsidR="00E23746" w:rsidRPr="00882E93" w:rsidRDefault="00E23746" w:rsidP="000B2F10">
            <w:pPr>
              <w:spacing w:after="0" w:line="240" w:lineRule="auto"/>
              <w:jc w:val="center"/>
              <w:rPr>
                <w:rFonts w:eastAsia="Times New Roman" w:cs="Arial"/>
                <w:b/>
                <w:bCs/>
                <w:sz w:val="20"/>
                <w:szCs w:val="20"/>
                <w:lang w:val="es-MX" w:eastAsia="es-MX"/>
              </w:rPr>
            </w:pPr>
            <w:r w:rsidRPr="00882E93">
              <w:rPr>
                <w:rFonts w:eastAsia="Times New Roman" w:cs="Arial"/>
                <w:b/>
                <w:bCs/>
                <w:sz w:val="20"/>
                <w:szCs w:val="20"/>
                <w:lang w:val="es-MX" w:eastAsia="es-MX"/>
              </w:rPr>
              <w:t>INDICADOR</w:t>
            </w:r>
          </w:p>
        </w:tc>
        <w:tc>
          <w:tcPr>
            <w:tcW w:w="3079" w:type="dxa"/>
            <w:tcBorders>
              <w:top w:val="single" w:sz="4" w:space="0" w:color="auto"/>
              <w:left w:val="nil"/>
              <w:bottom w:val="single" w:sz="4" w:space="0" w:color="auto"/>
              <w:right w:val="single" w:sz="4" w:space="0" w:color="auto"/>
            </w:tcBorders>
            <w:shd w:val="clear" w:color="000000" w:fill="BFBFBF"/>
            <w:vAlign w:val="center"/>
            <w:hideMark/>
          </w:tcPr>
          <w:p w14:paraId="36626F70" w14:textId="77777777" w:rsidR="00E23746" w:rsidRPr="00882E93" w:rsidRDefault="00E23746" w:rsidP="000B2F10">
            <w:pPr>
              <w:spacing w:after="0" w:line="240" w:lineRule="auto"/>
              <w:jc w:val="center"/>
              <w:rPr>
                <w:rFonts w:eastAsia="Times New Roman" w:cs="Arial"/>
                <w:b/>
                <w:bCs/>
                <w:sz w:val="20"/>
                <w:szCs w:val="20"/>
                <w:lang w:val="es-MX" w:eastAsia="es-MX"/>
              </w:rPr>
            </w:pPr>
            <w:r w:rsidRPr="00882E93">
              <w:rPr>
                <w:rFonts w:eastAsia="Times New Roman" w:cs="Arial"/>
                <w:b/>
                <w:bCs/>
                <w:sz w:val="20"/>
                <w:szCs w:val="20"/>
                <w:lang w:val="es-MX" w:eastAsia="es-MX"/>
              </w:rPr>
              <w:t>MEDIOS DE VERIFICACIÓN</w:t>
            </w:r>
          </w:p>
        </w:tc>
        <w:tc>
          <w:tcPr>
            <w:tcW w:w="1741" w:type="dxa"/>
            <w:tcBorders>
              <w:top w:val="single" w:sz="4" w:space="0" w:color="auto"/>
              <w:left w:val="nil"/>
              <w:bottom w:val="single" w:sz="4" w:space="0" w:color="auto"/>
              <w:right w:val="single" w:sz="4" w:space="0" w:color="auto"/>
            </w:tcBorders>
            <w:shd w:val="clear" w:color="000000" w:fill="BFBFBF"/>
            <w:vAlign w:val="center"/>
            <w:hideMark/>
          </w:tcPr>
          <w:p w14:paraId="7959DF1F" w14:textId="77777777" w:rsidR="00E23746" w:rsidRPr="00882E93" w:rsidRDefault="00E23746" w:rsidP="000B2F10">
            <w:pPr>
              <w:spacing w:after="0" w:line="240" w:lineRule="auto"/>
              <w:jc w:val="center"/>
              <w:rPr>
                <w:rFonts w:eastAsia="Times New Roman" w:cs="Arial"/>
                <w:b/>
                <w:bCs/>
                <w:sz w:val="20"/>
                <w:szCs w:val="20"/>
                <w:lang w:val="es-MX" w:eastAsia="es-MX"/>
              </w:rPr>
            </w:pPr>
            <w:r w:rsidRPr="00882E93">
              <w:rPr>
                <w:rFonts w:eastAsia="Times New Roman" w:cs="Arial"/>
                <w:b/>
                <w:bCs/>
                <w:sz w:val="20"/>
                <w:szCs w:val="20"/>
                <w:lang w:val="es-MX" w:eastAsia="es-MX"/>
              </w:rPr>
              <w:t>SUPUESTO</w:t>
            </w:r>
          </w:p>
        </w:tc>
      </w:tr>
      <w:tr w:rsidR="00E23746" w:rsidRPr="00882E93" w14:paraId="624B70EE" w14:textId="77777777" w:rsidTr="006B434D">
        <w:trPr>
          <w:trHeight w:val="2252"/>
        </w:trPr>
        <w:tc>
          <w:tcPr>
            <w:tcW w:w="1250" w:type="dxa"/>
            <w:tcBorders>
              <w:top w:val="single" w:sz="4" w:space="0" w:color="auto"/>
              <w:left w:val="single" w:sz="4" w:space="0" w:color="auto"/>
              <w:bottom w:val="single" w:sz="4" w:space="0" w:color="auto"/>
              <w:right w:val="single" w:sz="4" w:space="0" w:color="auto"/>
            </w:tcBorders>
            <w:shd w:val="clear" w:color="auto" w:fill="auto"/>
            <w:hideMark/>
          </w:tcPr>
          <w:p w14:paraId="0E3651A4" w14:textId="77777777" w:rsidR="00E23746" w:rsidRPr="00882E93" w:rsidRDefault="00E23746" w:rsidP="000B2F10">
            <w:pPr>
              <w:spacing w:after="0" w:line="240" w:lineRule="auto"/>
              <w:jc w:val="center"/>
              <w:rPr>
                <w:rFonts w:eastAsia="Times New Roman" w:cs="Arial"/>
                <w:b/>
                <w:bCs/>
                <w:sz w:val="20"/>
                <w:szCs w:val="20"/>
                <w:lang w:val="es-MX" w:eastAsia="es-MX"/>
              </w:rPr>
            </w:pPr>
            <w:r w:rsidRPr="00882E93">
              <w:rPr>
                <w:rFonts w:eastAsia="Times New Roman" w:cs="Arial"/>
                <w:b/>
                <w:bCs/>
                <w:sz w:val="20"/>
                <w:szCs w:val="20"/>
                <w:lang w:val="es-MX" w:eastAsia="es-MX"/>
              </w:rPr>
              <w:t>Actividad</w:t>
            </w:r>
          </w:p>
        </w:tc>
        <w:tc>
          <w:tcPr>
            <w:tcW w:w="2713" w:type="dxa"/>
            <w:tcBorders>
              <w:top w:val="single" w:sz="4" w:space="0" w:color="auto"/>
              <w:left w:val="single" w:sz="4" w:space="0" w:color="auto"/>
              <w:bottom w:val="single" w:sz="4" w:space="0" w:color="auto"/>
              <w:right w:val="single" w:sz="4" w:space="0" w:color="auto"/>
            </w:tcBorders>
            <w:shd w:val="clear" w:color="auto" w:fill="auto"/>
            <w:hideMark/>
          </w:tcPr>
          <w:p w14:paraId="54E6B27B" w14:textId="77777777" w:rsidR="00E23746" w:rsidRPr="00882E93" w:rsidRDefault="00E23746" w:rsidP="000B2F10">
            <w:pPr>
              <w:spacing w:after="0" w:line="240" w:lineRule="auto"/>
              <w:rPr>
                <w:rFonts w:eastAsia="Times New Roman" w:cs="Arial"/>
                <w:sz w:val="20"/>
                <w:szCs w:val="20"/>
                <w:lang w:val="es-MX" w:eastAsia="es-MX"/>
              </w:rPr>
            </w:pPr>
            <w:r w:rsidRPr="00882E93">
              <w:rPr>
                <w:rFonts w:eastAsia="Times New Roman" w:cs="Arial"/>
                <w:sz w:val="20"/>
                <w:szCs w:val="20"/>
                <w:lang w:val="es-MX" w:eastAsia="es-MX"/>
              </w:rPr>
              <w:t>Hacer cumplir las normas de construcción y equipamiento de las escuelas, que sean emitidas por autoridad competente y por el Instituto, asegurando la calidad de los insumos utilizados en las acciones ejecutadas por el Instituto</w:t>
            </w:r>
            <w:r>
              <w:rPr>
                <w:rFonts w:eastAsia="Times New Roman" w:cs="Arial"/>
                <w:sz w:val="20"/>
                <w:szCs w:val="20"/>
                <w:lang w:val="es-MX" w:eastAsia="es-MX"/>
              </w:rPr>
              <w:t>.</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3159F17A" w14:textId="77777777" w:rsidR="00E23746" w:rsidRPr="00882E93" w:rsidRDefault="00E23746" w:rsidP="000B2F10">
            <w:pPr>
              <w:spacing w:after="0" w:line="240" w:lineRule="auto"/>
              <w:rPr>
                <w:rFonts w:eastAsia="Times New Roman" w:cs="Arial"/>
                <w:sz w:val="20"/>
                <w:szCs w:val="20"/>
                <w:lang w:val="es-MX" w:eastAsia="es-MX"/>
              </w:rPr>
            </w:pPr>
            <w:r w:rsidRPr="00882E93">
              <w:rPr>
                <w:rFonts w:eastAsia="Times New Roman" w:cs="Arial"/>
                <w:sz w:val="20"/>
                <w:szCs w:val="20"/>
                <w:lang w:val="es-MX" w:eastAsia="es-MX"/>
              </w:rPr>
              <w:t>C01.A04 - Supervisión de las acciones realizadas con recursos de los programas de inversión que ejecuta el IFEQROO</w:t>
            </w:r>
            <w:r>
              <w:rPr>
                <w:rFonts w:eastAsia="Times New Roman" w:cs="Arial"/>
                <w:sz w:val="20"/>
                <w:szCs w:val="20"/>
                <w:lang w:val="es-MX" w:eastAsia="es-MX"/>
              </w:rPr>
              <w:t>.</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14:paraId="62919229" w14:textId="77777777" w:rsidR="00E23746" w:rsidRPr="00882E93" w:rsidRDefault="00E23746" w:rsidP="000B2F10">
            <w:pPr>
              <w:spacing w:after="0" w:line="240" w:lineRule="auto"/>
              <w:rPr>
                <w:rFonts w:eastAsia="Times New Roman" w:cs="Arial"/>
                <w:sz w:val="20"/>
                <w:szCs w:val="20"/>
                <w:lang w:val="es-MX" w:eastAsia="es-MX"/>
              </w:rPr>
            </w:pPr>
            <w:r w:rsidRPr="00882E93">
              <w:rPr>
                <w:rFonts w:eastAsia="Times New Roman" w:cs="Arial"/>
                <w:sz w:val="20"/>
                <w:szCs w:val="20"/>
                <w:lang w:val="es-MX" w:eastAsia="es-MX"/>
              </w:rPr>
              <w:t>C01A04 - Porcentaje de supervisiones realizadas</w:t>
            </w:r>
            <w:r>
              <w:rPr>
                <w:rFonts w:eastAsia="Times New Roman" w:cs="Arial"/>
                <w:sz w:val="20"/>
                <w:szCs w:val="20"/>
                <w:lang w:val="es-MX" w:eastAsia="es-MX"/>
              </w:rPr>
              <w:t>.</w:t>
            </w:r>
          </w:p>
        </w:tc>
        <w:tc>
          <w:tcPr>
            <w:tcW w:w="3079" w:type="dxa"/>
            <w:tcBorders>
              <w:top w:val="single" w:sz="4" w:space="0" w:color="auto"/>
              <w:left w:val="single" w:sz="4" w:space="0" w:color="auto"/>
              <w:bottom w:val="single" w:sz="4" w:space="0" w:color="auto"/>
              <w:right w:val="single" w:sz="4" w:space="0" w:color="auto"/>
            </w:tcBorders>
            <w:shd w:val="clear" w:color="auto" w:fill="auto"/>
            <w:hideMark/>
          </w:tcPr>
          <w:p w14:paraId="05A11B9F" w14:textId="77777777" w:rsidR="00E23746" w:rsidRPr="00882E93" w:rsidRDefault="005377D7" w:rsidP="000B2F10">
            <w:pPr>
              <w:spacing w:after="0" w:line="240" w:lineRule="auto"/>
              <w:rPr>
                <w:rFonts w:eastAsia="Times New Roman" w:cs="Arial"/>
                <w:sz w:val="20"/>
                <w:szCs w:val="20"/>
                <w:lang w:val="es-MX" w:eastAsia="es-MX"/>
              </w:rPr>
            </w:pPr>
            <w:hyperlink r:id="rId43" w:history="1">
              <w:r w:rsidR="00E23746" w:rsidRPr="00882E93">
                <w:rPr>
                  <w:rFonts w:eastAsia="Times New Roman" w:cs="Arial"/>
                  <w:sz w:val="20"/>
                  <w:szCs w:val="20"/>
                  <w:lang w:val="es-MX" w:eastAsia="es-MX"/>
                </w:rPr>
                <w:t>Listado de Actas Firmadas de los programas de inversión, Dirección de Obras y Equipamiento. IFEQROO. https://qroo.gob.mx/ifeqroo/medios-de-verificacion-metas-e-indicadores</w:t>
              </w:r>
            </w:hyperlink>
            <w:r w:rsidR="00E23746">
              <w:rPr>
                <w:rFonts w:eastAsia="Times New Roman" w:cs="Arial"/>
                <w:sz w:val="20"/>
                <w:szCs w:val="20"/>
                <w:lang w:val="es-MX" w:eastAsia="es-MX"/>
              </w:rPr>
              <w:t>.</w:t>
            </w:r>
          </w:p>
        </w:tc>
        <w:tc>
          <w:tcPr>
            <w:tcW w:w="1741" w:type="dxa"/>
            <w:tcBorders>
              <w:top w:val="single" w:sz="4" w:space="0" w:color="auto"/>
              <w:left w:val="single" w:sz="4" w:space="0" w:color="auto"/>
              <w:bottom w:val="single" w:sz="4" w:space="0" w:color="auto"/>
              <w:right w:val="single" w:sz="4" w:space="0" w:color="auto"/>
            </w:tcBorders>
            <w:shd w:val="clear" w:color="auto" w:fill="auto"/>
            <w:hideMark/>
          </w:tcPr>
          <w:p w14:paraId="10AD4562" w14:textId="77777777" w:rsidR="00E23746" w:rsidRPr="00882E93" w:rsidRDefault="00E23746" w:rsidP="000B2F10">
            <w:pPr>
              <w:spacing w:after="0" w:line="240" w:lineRule="auto"/>
              <w:rPr>
                <w:rFonts w:eastAsia="Times New Roman" w:cs="Arial"/>
                <w:sz w:val="20"/>
                <w:szCs w:val="20"/>
                <w:lang w:val="es-MX" w:eastAsia="es-MX"/>
              </w:rPr>
            </w:pPr>
            <w:r w:rsidRPr="00882E93">
              <w:rPr>
                <w:rFonts w:eastAsia="Times New Roman" w:cs="Arial"/>
                <w:sz w:val="20"/>
                <w:szCs w:val="20"/>
                <w:lang w:val="es-MX" w:eastAsia="es-MX"/>
              </w:rPr>
              <w:t>Las escuelas permiten la supervisión en sus espacios educativos.</w:t>
            </w:r>
          </w:p>
        </w:tc>
      </w:tr>
      <w:tr w:rsidR="00E23746" w:rsidRPr="00882E93" w14:paraId="14E4AE87" w14:textId="77777777" w:rsidTr="006B434D">
        <w:trPr>
          <w:trHeight w:val="1829"/>
        </w:trPr>
        <w:tc>
          <w:tcPr>
            <w:tcW w:w="1250" w:type="dxa"/>
            <w:tcBorders>
              <w:top w:val="single" w:sz="4" w:space="0" w:color="auto"/>
              <w:left w:val="single" w:sz="4" w:space="0" w:color="auto"/>
              <w:bottom w:val="single" w:sz="4" w:space="0" w:color="auto"/>
              <w:right w:val="single" w:sz="4" w:space="0" w:color="auto"/>
            </w:tcBorders>
            <w:shd w:val="clear" w:color="auto" w:fill="auto"/>
            <w:hideMark/>
          </w:tcPr>
          <w:p w14:paraId="03383A60" w14:textId="77777777" w:rsidR="00E23746" w:rsidRPr="00882E93" w:rsidRDefault="00E23746" w:rsidP="000B2F10">
            <w:pPr>
              <w:spacing w:after="0" w:line="240" w:lineRule="auto"/>
              <w:jc w:val="center"/>
              <w:rPr>
                <w:rFonts w:eastAsia="Times New Roman" w:cs="Arial"/>
                <w:b/>
                <w:bCs/>
                <w:sz w:val="20"/>
                <w:szCs w:val="20"/>
                <w:lang w:val="es-MX" w:eastAsia="es-MX"/>
              </w:rPr>
            </w:pPr>
            <w:r w:rsidRPr="00882E93">
              <w:rPr>
                <w:rFonts w:eastAsia="Times New Roman" w:cs="Arial"/>
                <w:b/>
                <w:bCs/>
                <w:sz w:val="20"/>
                <w:szCs w:val="20"/>
                <w:lang w:val="es-MX" w:eastAsia="es-MX"/>
              </w:rPr>
              <w:t>Actividad</w:t>
            </w:r>
          </w:p>
        </w:tc>
        <w:tc>
          <w:tcPr>
            <w:tcW w:w="2713" w:type="dxa"/>
            <w:tcBorders>
              <w:top w:val="single" w:sz="4" w:space="0" w:color="auto"/>
              <w:left w:val="single" w:sz="4" w:space="0" w:color="auto"/>
              <w:bottom w:val="single" w:sz="4" w:space="0" w:color="auto"/>
              <w:right w:val="single" w:sz="4" w:space="0" w:color="auto"/>
            </w:tcBorders>
            <w:shd w:val="clear" w:color="auto" w:fill="auto"/>
            <w:hideMark/>
          </w:tcPr>
          <w:p w14:paraId="1F24152C" w14:textId="77777777" w:rsidR="00E23746" w:rsidRPr="00882E93" w:rsidRDefault="00E23746" w:rsidP="000B2F10">
            <w:pPr>
              <w:spacing w:after="0" w:line="240" w:lineRule="auto"/>
              <w:rPr>
                <w:rFonts w:eastAsia="Times New Roman" w:cs="Arial"/>
                <w:sz w:val="20"/>
                <w:szCs w:val="20"/>
                <w:lang w:val="es-MX" w:eastAsia="es-MX"/>
              </w:rPr>
            </w:pPr>
            <w:r w:rsidRPr="00882E93">
              <w:rPr>
                <w:rFonts w:eastAsia="Times New Roman" w:cs="Arial"/>
                <w:sz w:val="20"/>
                <w:szCs w:val="20"/>
                <w:lang w:val="es-MX" w:eastAsia="es-MX"/>
              </w:rPr>
              <w:t>Fortalecer la Contraloría Social con el apoyo de los padres de familia, con el fin de transparentar las acciones realizadas por el Instituto, en materia de Infraestructura Educativa</w:t>
            </w:r>
            <w:r>
              <w:rPr>
                <w:rFonts w:eastAsia="Times New Roman" w:cs="Arial"/>
                <w:sz w:val="20"/>
                <w:szCs w:val="20"/>
                <w:lang w:val="es-MX" w:eastAsia="es-MX"/>
              </w:rPr>
              <w:t>.</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464CF77A" w14:textId="77777777" w:rsidR="00E23746" w:rsidRPr="00882E93" w:rsidRDefault="00E23746" w:rsidP="000B2F10">
            <w:pPr>
              <w:spacing w:after="0" w:line="240" w:lineRule="auto"/>
              <w:rPr>
                <w:rFonts w:eastAsia="Times New Roman" w:cs="Arial"/>
                <w:sz w:val="20"/>
                <w:szCs w:val="20"/>
                <w:lang w:val="es-MX" w:eastAsia="es-MX"/>
              </w:rPr>
            </w:pPr>
            <w:r w:rsidRPr="00882E93">
              <w:rPr>
                <w:rFonts w:eastAsia="Times New Roman" w:cs="Arial"/>
                <w:sz w:val="20"/>
                <w:szCs w:val="20"/>
                <w:lang w:val="es-MX" w:eastAsia="es-MX"/>
              </w:rPr>
              <w:t>C01.A05 - Participación de los padres de familia en el proceso de ejecución del programa de inversión.</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14:paraId="11BEE089" w14:textId="77777777" w:rsidR="00E23746" w:rsidRPr="00882E93" w:rsidRDefault="00E23746" w:rsidP="000B2F10">
            <w:pPr>
              <w:spacing w:after="0" w:line="240" w:lineRule="auto"/>
              <w:rPr>
                <w:rFonts w:eastAsia="Times New Roman" w:cs="Arial"/>
                <w:sz w:val="20"/>
                <w:szCs w:val="20"/>
                <w:lang w:val="es-MX" w:eastAsia="es-MX"/>
              </w:rPr>
            </w:pPr>
            <w:r w:rsidRPr="00882E93">
              <w:rPr>
                <w:rFonts w:eastAsia="Times New Roman" w:cs="Arial"/>
                <w:sz w:val="20"/>
                <w:szCs w:val="20"/>
                <w:lang w:val="es-MX" w:eastAsia="es-MX"/>
              </w:rPr>
              <w:t>C01A05 - Porcentaje de comités</w:t>
            </w:r>
            <w:r>
              <w:rPr>
                <w:rFonts w:eastAsia="Times New Roman" w:cs="Arial"/>
                <w:sz w:val="20"/>
                <w:szCs w:val="20"/>
                <w:lang w:val="es-MX" w:eastAsia="es-MX"/>
              </w:rPr>
              <w:t xml:space="preserve"> de instalados.</w:t>
            </w:r>
          </w:p>
        </w:tc>
        <w:tc>
          <w:tcPr>
            <w:tcW w:w="3079" w:type="dxa"/>
            <w:tcBorders>
              <w:top w:val="single" w:sz="4" w:space="0" w:color="auto"/>
              <w:left w:val="single" w:sz="4" w:space="0" w:color="auto"/>
              <w:bottom w:val="single" w:sz="4" w:space="0" w:color="auto"/>
              <w:right w:val="single" w:sz="4" w:space="0" w:color="auto"/>
            </w:tcBorders>
            <w:shd w:val="clear" w:color="auto" w:fill="auto"/>
            <w:hideMark/>
          </w:tcPr>
          <w:p w14:paraId="62B899BF" w14:textId="77777777" w:rsidR="00E23746" w:rsidRPr="00882E93" w:rsidRDefault="005377D7" w:rsidP="000B2F10">
            <w:pPr>
              <w:spacing w:after="0" w:line="240" w:lineRule="auto"/>
              <w:rPr>
                <w:rFonts w:eastAsia="Times New Roman" w:cs="Arial"/>
                <w:sz w:val="20"/>
                <w:szCs w:val="20"/>
                <w:lang w:val="es-MX" w:eastAsia="es-MX"/>
              </w:rPr>
            </w:pPr>
            <w:hyperlink r:id="rId44" w:history="1">
              <w:r w:rsidR="00E23746" w:rsidRPr="00882E93">
                <w:rPr>
                  <w:rFonts w:eastAsia="Times New Roman" w:cs="Arial"/>
                  <w:sz w:val="20"/>
                  <w:szCs w:val="20"/>
                  <w:lang w:val="es-MX" w:eastAsia="es-MX"/>
                </w:rPr>
                <w:t>Relación de Actas Firmadas por Comité de Obra. Dirección de Planeación. IFEQROO. https://qroo.gob.mx/ifeqroo/medios-de-verificacion-metas-e-indicadores</w:t>
              </w:r>
            </w:hyperlink>
            <w:r w:rsidR="00E23746">
              <w:rPr>
                <w:rFonts w:eastAsia="Times New Roman" w:cs="Arial"/>
                <w:sz w:val="20"/>
                <w:szCs w:val="20"/>
                <w:lang w:val="es-MX" w:eastAsia="es-MX"/>
              </w:rPr>
              <w:t>.</w:t>
            </w:r>
          </w:p>
        </w:tc>
        <w:tc>
          <w:tcPr>
            <w:tcW w:w="1741" w:type="dxa"/>
            <w:tcBorders>
              <w:top w:val="single" w:sz="4" w:space="0" w:color="auto"/>
              <w:left w:val="single" w:sz="4" w:space="0" w:color="auto"/>
              <w:bottom w:val="single" w:sz="4" w:space="0" w:color="auto"/>
              <w:right w:val="single" w:sz="4" w:space="0" w:color="auto"/>
            </w:tcBorders>
            <w:shd w:val="clear" w:color="auto" w:fill="auto"/>
            <w:hideMark/>
          </w:tcPr>
          <w:p w14:paraId="5EEF1425" w14:textId="77777777" w:rsidR="00E23746" w:rsidRPr="00882E93" w:rsidRDefault="00E23746" w:rsidP="000B2F10">
            <w:pPr>
              <w:spacing w:after="0" w:line="240" w:lineRule="auto"/>
              <w:rPr>
                <w:rFonts w:eastAsia="Times New Roman" w:cs="Arial"/>
                <w:sz w:val="20"/>
                <w:szCs w:val="20"/>
                <w:lang w:val="es-MX" w:eastAsia="es-MX"/>
              </w:rPr>
            </w:pPr>
            <w:r w:rsidRPr="00882E93">
              <w:rPr>
                <w:rFonts w:eastAsia="Times New Roman" w:cs="Arial"/>
                <w:sz w:val="20"/>
                <w:szCs w:val="20"/>
                <w:lang w:val="es-MX" w:eastAsia="es-MX"/>
              </w:rPr>
              <w:t>Los padres de familia  participan en los comités</w:t>
            </w:r>
            <w:r>
              <w:rPr>
                <w:rFonts w:eastAsia="Times New Roman" w:cs="Arial"/>
                <w:sz w:val="20"/>
                <w:szCs w:val="20"/>
                <w:lang w:val="es-MX" w:eastAsia="es-MX"/>
              </w:rPr>
              <w:t>.</w:t>
            </w:r>
          </w:p>
        </w:tc>
      </w:tr>
      <w:tr w:rsidR="00E23746" w:rsidRPr="00882E93" w14:paraId="533890EE" w14:textId="77777777" w:rsidTr="006B434D">
        <w:trPr>
          <w:trHeight w:val="2975"/>
        </w:trPr>
        <w:tc>
          <w:tcPr>
            <w:tcW w:w="1250" w:type="dxa"/>
            <w:tcBorders>
              <w:top w:val="single" w:sz="4" w:space="0" w:color="auto"/>
              <w:left w:val="single" w:sz="4" w:space="0" w:color="auto"/>
              <w:bottom w:val="single" w:sz="4" w:space="0" w:color="auto"/>
              <w:right w:val="single" w:sz="4" w:space="0" w:color="auto"/>
            </w:tcBorders>
            <w:shd w:val="clear" w:color="auto" w:fill="auto"/>
            <w:hideMark/>
          </w:tcPr>
          <w:p w14:paraId="240837C7" w14:textId="77777777" w:rsidR="00E23746" w:rsidRPr="00882E93" w:rsidRDefault="00E23746" w:rsidP="000B2F10">
            <w:pPr>
              <w:spacing w:after="0" w:line="240" w:lineRule="auto"/>
              <w:jc w:val="center"/>
              <w:rPr>
                <w:rFonts w:eastAsia="Times New Roman" w:cs="Arial"/>
                <w:b/>
                <w:bCs/>
                <w:sz w:val="20"/>
                <w:szCs w:val="20"/>
                <w:lang w:val="es-MX" w:eastAsia="es-MX"/>
              </w:rPr>
            </w:pPr>
            <w:r w:rsidRPr="00882E93">
              <w:rPr>
                <w:rFonts w:eastAsia="Times New Roman" w:cs="Arial"/>
                <w:b/>
                <w:bCs/>
                <w:sz w:val="20"/>
                <w:szCs w:val="20"/>
                <w:lang w:val="es-MX" w:eastAsia="es-MX"/>
              </w:rPr>
              <w:t>Actividad</w:t>
            </w:r>
          </w:p>
        </w:tc>
        <w:tc>
          <w:tcPr>
            <w:tcW w:w="2713" w:type="dxa"/>
            <w:tcBorders>
              <w:top w:val="single" w:sz="4" w:space="0" w:color="auto"/>
              <w:left w:val="single" w:sz="4" w:space="0" w:color="auto"/>
              <w:bottom w:val="single" w:sz="4" w:space="0" w:color="auto"/>
              <w:right w:val="single" w:sz="4" w:space="0" w:color="auto"/>
            </w:tcBorders>
            <w:shd w:val="clear" w:color="auto" w:fill="auto"/>
            <w:hideMark/>
          </w:tcPr>
          <w:p w14:paraId="6A5092C0" w14:textId="77777777" w:rsidR="00E23746" w:rsidRPr="00514017" w:rsidRDefault="00E23746" w:rsidP="000B2F10">
            <w:pPr>
              <w:spacing w:after="0" w:line="240" w:lineRule="auto"/>
              <w:rPr>
                <w:rFonts w:eastAsia="Times New Roman" w:cs="Arial"/>
                <w:sz w:val="18"/>
                <w:szCs w:val="20"/>
                <w:lang w:val="es-MX" w:eastAsia="es-MX"/>
              </w:rPr>
            </w:pPr>
            <w:r w:rsidRPr="00514017">
              <w:rPr>
                <w:rFonts w:eastAsia="Times New Roman" w:cs="Arial"/>
                <w:sz w:val="18"/>
                <w:szCs w:val="20"/>
                <w:lang w:val="es-MX" w:eastAsia="es-MX"/>
              </w:rPr>
              <w:t>Desarrollar los proyectos de construcción y rehabilitación, así como de equipamiento de los niveles básico, media superior y superior, previa solicitud de la instancia correspondiente, así como integrar los expedientes técnicos que deriven de ellos, en apego a los lineamientos establecidos en el marco normativo aplicable.</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301AB834" w14:textId="77777777" w:rsidR="00E23746" w:rsidRPr="00514017" w:rsidRDefault="00E23746" w:rsidP="000B2F10">
            <w:pPr>
              <w:spacing w:after="0" w:line="240" w:lineRule="auto"/>
              <w:rPr>
                <w:rFonts w:eastAsia="Times New Roman" w:cs="Arial"/>
                <w:sz w:val="18"/>
                <w:szCs w:val="20"/>
                <w:lang w:val="es-MX" w:eastAsia="es-MX"/>
              </w:rPr>
            </w:pPr>
            <w:r w:rsidRPr="00514017">
              <w:rPr>
                <w:rFonts w:eastAsia="Times New Roman" w:cs="Arial"/>
                <w:sz w:val="18"/>
                <w:szCs w:val="20"/>
                <w:lang w:val="es-MX" w:eastAsia="es-MX"/>
              </w:rPr>
              <w:t>C01.A06 - Elaboración o validación de proyectos de construcción, rehabilitación, mejoramiento y equipamiento.</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14:paraId="0C195E50" w14:textId="77777777" w:rsidR="00E23746" w:rsidRPr="00514017" w:rsidRDefault="00E23746" w:rsidP="000B2F10">
            <w:pPr>
              <w:spacing w:after="0" w:line="240" w:lineRule="auto"/>
              <w:rPr>
                <w:rFonts w:eastAsia="Times New Roman" w:cs="Arial"/>
                <w:sz w:val="18"/>
                <w:szCs w:val="20"/>
                <w:lang w:val="es-MX" w:eastAsia="es-MX"/>
              </w:rPr>
            </w:pPr>
            <w:r w:rsidRPr="00514017">
              <w:rPr>
                <w:rFonts w:eastAsia="Times New Roman" w:cs="Arial"/>
                <w:sz w:val="18"/>
                <w:szCs w:val="20"/>
                <w:lang w:val="es-MX" w:eastAsia="es-MX"/>
              </w:rPr>
              <w:t xml:space="preserve">C01A06 - Porcentaje de Proyectos realizados en el ejercicio. </w:t>
            </w:r>
          </w:p>
        </w:tc>
        <w:tc>
          <w:tcPr>
            <w:tcW w:w="3079" w:type="dxa"/>
            <w:tcBorders>
              <w:top w:val="single" w:sz="4" w:space="0" w:color="auto"/>
              <w:left w:val="single" w:sz="4" w:space="0" w:color="auto"/>
              <w:bottom w:val="single" w:sz="4" w:space="0" w:color="auto"/>
              <w:right w:val="single" w:sz="4" w:space="0" w:color="auto"/>
            </w:tcBorders>
            <w:shd w:val="clear" w:color="auto" w:fill="auto"/>
            <w:hideMark/>
          </w:tcPr>
          <w:p w14:paraId="4443D81D" w14:textId="77777777" w:rsidR="00E23746" w:rsidRPr="00514017" w:rsidRDefault="005377D7" w:rsidP="000B2F10">
            <w:pPr>
              <w:spacing w:after="0" w:line="240" w:lineRule="auto"/>
              <w:rPr>
                <w:rFonts w:eastAsia="Times New Roman" w:cs="Arial"/>
                <w:sz w:val="18"/>
                <w:szCs w:val="20"/>
                <w:lang w:val="es-MX" w:eastAsia="es-MX"/>
              </w:rPr>
            </w:pPr>
            <w:hyperlink r:id="rId45" w:history="1">
              <w:r w:rsidR="00E23746" w:rsidRPr="00514017">
                <w:rPr>
                  <w:rFonts w:eastAsia="Times New Roman" w:cs="Arial"/>
                  <w:sz w:val="18"/>
                  <w:szCs w:val="20"/>
                  <w:lang w:val="es-MX" w:eastAsia="es-MX"/>
                </w:rPr>
                <w:t>Base de Datos de Proyectos Realizados. Dirección de Costos y Proyectos. IFEQROO. https://qroo.gob.mx/ifeqroo/medios-de-verificacion-metas-e-indicadores</w:t>
              </w:r>
            </w:hyperlink>
            <w:r w:rsidR="00E23746" w:rsidRPr="00514017">
              <w:rPr>
                <w:rFonts w:eastAsia="Times New Roman" w:cs="Arial"/>
                <w:sz w:val="18"/>
                <w:szCs w:val="20"/>
                <w:lang w:val="es-MX" w:eastAsia="es-MX"/>
              </w:rPr>
              <w:t>.</w:t>
            </w:r>
          </w:p>
        </w:tc>
        <w:tc>
          <w:tcPr>
            <w:tcW w:w="1741" w:type="dxa"/>
            <w:tcBorders>
              <w:top w:val="single" w:sz="4" w:space="0" w:color="auto"/>
              <w:left w:val="single" w:sz="4" w:space="0" w:color="auto"/>
              <w:bottom w:val="single" w:sz="4" w:space="0" w:color="auto"/>
              <w:right w:val="single" w:sz="4" w:space="0" w:color="auto"/>
            </w:tcBorders>
            <w:shd w:val="clear" w:color="auto" w:fill="auto"/>
            <w:hideMark/>
          </w:tcPr>
          <w:p w14:paraId="79C69B16" w14:textId="77777777" w:rsidR="00E23746" w:rsidRPr="00514017" w:rsidRDefault="00E23746" w:rsidP="000B2F10">
            <w:pPr>
              <w:spacing w:after="0" w:line="240" w:lineRule="auto"/>
              <w:rPr>
                <w:rFonts w:eastAsia="Times New Roman" w:cs="Arial"/>
                <w:sz w:val="18"/>
                <w:szCs w:val="20"/>
                <w:lang w:val="es-MX" w:eastAsia="es-MX"/>
              </w:rPr>
            </w:pPr>
            <w:r w:rsidRPr="00514017">
              <w:rPr>
                <w:rFonts w:eastAsia="Times New Roman" w:cs="Arial"/>
                <w:sz w:val="18"/>
                <w:szCs w:val="20"/>
                <w:lang w:val="es-MX" w:eastAsia="es-MX"/>
              </w:rPr>
              <w:t>La SEQ determine las acciones de construcción, rehabilitación y equipamiento.</w:t>
            </w:r>
          </w:p>
        </w:tc>
      </w:tr>
    </w:tbl>
    <w:p w14:paraId="34BC3E0F" w14:textId="77777777" w:rsidR="00E83FE2" w:rsidRDefault="00E83FE2">
      <w:pPr>
        <w:spacing w:after="0" w:line="240" w:lineRule="auto"/>
        <w:jc w:val="left"/>
      </w:pPr>
      <w:r>
        <w:br w:type="page"/>
      </w:r>
    </w:p>
    <w:tbl>
      <w:tblPr>
        <w:tblW w:w="13887" w:type="dxa"/>
        <w:tblCellMar>
          <w:left w:w="70" w:type="dxa"/>
          <w:right w:w="70" w:type="dxa"/>
        </w:tblCellMar>
        <w:tblLook w:val="04A0" w:firstRow="1" w:lastRow="0" w:firstColumn="1" w:lastColumn="0" w:noHBand="0" w:noVBand="1"/>
      </w:tblPr>
      <w:tblGrid>
        <w:gridCol w:w="1363"/>
        <w:gridCol w:w="2623"/>
        <w:gridCol w:w="2832"/>
        <w:gridCol w:w="2066"/>
        <w:gridCol w:w="3286"/>
        <w:gridCol w:w="1717"/>
      </w:tblGrid>
      <w:tr w:rsidR="00E23746" w:rsidRPr="00882E93" w14:paraId="0B3F636F" w14:textId="77777777" w:rsidTr="000B2F10">
        <w:trPr>
          <w:trHeight w:val="672"/>
        </w:trPr>
        <w:tc>
          <w:tcPr>
            <w:tcW w:w="125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3C1CD0B4" w14:textId="77777777" w:rsidR="00E23746" w:rsidRPr="00882E93" w:rsidRDefault="00E23746" w:rsidP="000B2F10">
            <w:pPr>
              <w:spacing w:after="0" w:line="240" w:lineRule="auto"/>
              <w:jc w:val="center"/>
              <w:rPr>
                <w:rFonts w:eastAsia="Times New Roman" w:cs="Arial"/>
                <w:b/>
                <w:bCs/>
                <w:sz w:val="20"/>
                <w:szCs w:val="20"/>
                <w:lang w:val="es-MX" w:eastAsia="es-MX"/>
              </w:rPr>
            </w:pPr>
            <w:r w:rsidRPr="00882E93">
              <w:rPr>
                <w:rFonts w:eastAsia="Times New Roman" w:cs="Arial"/>
                <w:b/>
                <w:bCs/>
                <w:sz w:val="20"/>
                <w:szCs w:val="20"/>
                <w:lang w:val="es-MX" w:eastAsia="es-MX"/>
              </w:rPr>
              <w:lastRenderedPageBreak/>
              <w:t>NIVEL</w:t>
            </w:r>
          </w:p>
        </w:tc>
        <w:tc>
          <w:tcPr>
            <w:tcW w:w="2713" w:type="dxa"/>
            <w:tcBorders>
              <w:top w:val="single" w:sz="4" w:space="0" w:color="auto"/>
              <w:left w:val="nil"/>
              <w:bottom w:val="single" w:sz="4" w:space="0" w:color="auto"/>
              <w:right w:val="single" w:sz="4" w:space="0" w:color="auto"/>
            </w:tcBorders>
            <w:shd w:val="clear" w:color="000000" w:fill="BFBFBF"/>
            <w:vAlign w:val="center"/>
            <w:hideMark/>
          </w:tcPr>
          <w:p w14:paraId="387F65DA" w14:textId="77777777" w:rsidR="00E23746" w:rsidRPr="00882E93" w:rsidRDefault="00E23746" w:rsidP="000B2F10">
            <w:pPr>
              <w:spacing w:after="0" w:line="240" w:lineRule="auto"/>
              <w:jc w:val="center"/>
              <w:rPr>
                <w:rFonts w:eastAsia="Times New Roman" w:cs="Arial"/>
                <w:b/>
                <w:bCs/>
                <w:sz w:val="20"/>
                <w:szCs w:val="20"/>
                <w:lang w:val="es-MX" w:eastAsia="es-MX"/>
              </w:rPr>
            </w:pPr>
            <w:r w:rsidRPr="00882E93">
              <w:rPr>
                <w:rFonts w:eastAsia="Times New Roman" w:cs="Arial"/>
                <w:b/>
                <w:bCs/>
                <w:sz w:val="20"/>
                <w:szCs w:val="20"/>
                <w:lang w:val="es-MX" w:eastAsia="es-MX"/>
              </w:rPr>
              <w:t>ALINEACIÓN PED/PD</w:t>
            </w:r>
          </w:p>
        </w:tc>
        <w:tc>
          <w:tcPr>
            <w:tcW w:w="2977" w:type="dxa"/>
            <w:tcBorders>
              <w:top w:val="single" w:sz="4" w:space="0" w:color="auto"/>
              <w:left w:val="nil"/>
              <w:bottom w:val="single" w:sz="4" w:space="0" w:color="auto"/>
              <w:right w:val="single" w:sz="4" w:space="0" w:color="auto"/>
            </w:tcBorders>
            <w:shd w:val="clear" w:color="000000" w:fill="BFBFBF"/>
            <w:vAlign w:val="center"/>
            <w:hideMark/>
          </w:tcPr>
          <w:p w14:paraId="0A733B95" w14:textId="77777777" w:rsidR="00E23746" w:rsidRPr="00882E93" w:rsidRDefault="00E23746" w:rsidP="000B2F10">
            <w:pPr>
              <w:spacing w:after="0" w:line="240" w:lineRule="auto"/>
              <w:jc w:val="center"/>
              <w:rPr>
                <w:rFonts w:eastAsia="Times New Roman" w:cs="Arial"/>
                <w:b/>
                <w:bCs/>
                <w:sz w:val="20"/>
                <w:szCs w:val="20"/>
                <w:lang w:val="es-MX" w:eastAsia="es-MX"/>
              </w:rPr>
            </w:pPr>
            <w:r w:rsidRPr="00882E93">
              <w:rPr>
                <w:rFonts w:eastAsia="Times New Roman" w:cs="Arial"/>
                <w:b/>
                <w:bCs/>
                <w:sz w:val="20"/>
                <w:szCs w:val="20"/>
                <w:lang w:val="es-MX" w:eastAsia="es-MX"/>
              </w:rPr>
              <w:t>OBJETIVO</w:t>
            </w:r>
          </w:p>
        </w:tc>
        <w:tc>
          <w:tcPr>
            <w:tcW w:w="2127" w:type="dxa"/>
            <w:tcBorders>
              <w:top w:val="single" w:sz="4" w:space="0" w:color="auto"/>
              <w:left w:val="nil"/>
              <w:bottom w:val="single" w:sz="4" w:space="0" w:color="auto"/>
              <w:right w:val="single" w:sz="4" w:space="0" w:color="auto"/>
            </w:tcBorders>
            <w:shd w:val="clear" w:color="000000" w:fill="BFBFBF"/>
            <w:vAlign w:val="center"/>
            <w:hideMark/>
          </w:tcPr>
          <w:p w14:paraId="01C17F60" w14:textId="77777777" w:rsidR="00E23746" w:rsidRPr="00882E93" w:rsidRDefault="00E23746" w:rsidP="000B2F10">
            <w:pPr>
              <w:spacing w:after="0" w:line="240" w:lineRule="auto"/>
              <w:jc w:val="center"/>
              <w:rPr>
                <w:rFonts w:eastAsia="Times New Roman" w:cs="Arial"/>
                <w:b/>
                <w:bCs/>
                <w:sz w:val="20"/>
                <w:szCs w:val="20"/>
                <w:lang w:val="es-MX" w:eastAsia="es-MX"/>
              </w:rPr>
            </w:pPr>
            <w:r w:rsidRPr="00882E93">
              <w:rPr>
                <w:rFonts w:eastAsia="Times New Roman" w:cs="Arial"/>
                <w:b/>
                <w:bCs/>
                <w:sz w:val="20"/>
                <w:szCs w:val="20"/>
                <w:lang w:val="es-MX" w:eastAsia="es-MX"/>
              </w:rPr>
              <w:t>INDICADOR</w:t>
            </w:r>
          </w:p>
        </w:tc>
        <w:tc>
          <w:tcPr>
            <w:tcW w:w="3079" w:type="dxa"/>
            <w:tcBorders>
              <w:top w:val="single" w:sz="4" w:space="0" w:color="auto"/>
              <w:left w:val="nil"/>
              <w:bottom w:val="single" w:sz="4" w:space="0" w:color="auto"/>
              <w:right w:val="single" w:sz="4" w:space="0" w:color="auto"/>
            </w:tcBorders>
            <w:shd w:val="clear" w:color="000000" w:fill="BFBFBF"/>
            <w:vAlign w:val="center"/>
            <w:hideMark/>
          </w:tcPr>
          <w:p w14:paraId="77403AD9" w14:textId="77777777" w:rsidR="00E23746" w:rsidRPr="00882E93" w:rsidRDefault="00E23746" w:rsidP="000B2F10">
            <w:pPr>
              <w:spacing w:after="0" w:line="240" w:lineRule="auto"/>
              <w:jc w:val="center"/>
              <w:rPr>
                <w:rFonts w:eastAsia="Times New Roman" w:cs="Arial"/>
                <w:b/>
                <w:bCs/>
                <w:sz w:val="20"/>
                <w:szCs w:val="20"/>
                <w:lang w:val="es-MX" w:eastAsia="es-MX"/>
              </w:rPr>
            </w:pPr>
            <w:r w:rsidRPr="00882E93">
              <w:rPr>
                <w:rFonts w:eastAsia="Times New Roman" w:cs="Arial"/>
                <w:b/>
                <w:bCs/>
                <w:sz w:val="20"/>
                <w:szCs w:val="20"/>
                <w:lang w:val="es-MX" w:eastAsia="es-MX"/>
              </w:rPr>
              <w:t>MEDIOS DE VERIFICACIÓN</w:t>
            </w:r>
          </w:p>
        </w:tc>
        <w:tc>
          <w:tcPr>
            <w:tcW w:w="1741" w:type="dxa"/>
            <w:tcBorders>
              <w:top w:val="single" w:sz="4" w:space="0" w:color="auto"/>
              <w:left w:val="nil"/>
              <w:bottom w:val="single" w:sz="4" w:space="0" w:color="auto"/>
              <w:right w:val="single" w:sz="4" w:space="0" w:color="auto"/>
            </w:tcBorders>
            <w:shd w:val="clear" w:color="000000" w:fill="BFBFBF"/>
            <w:vAlign w:val="center"/>
            <w:hideMark/>
          </w:tcPr>
          <w:p w14:paraId="761E80C8" w14:textId="77777777" w:rsidR="00E23746" w:rsidRPr="00882E93" w:rsidRDefault="00E23746" w:rsidP="000B2F10">
            <w:pPr>
              <w:spacing w:after="0" w:line="240" w:lineRule="auto"/>
              <w:jc w:val="center"/>
              <w:rPr>
                <w:rFonts w:eastAsia="Times New Roman" w:cs="Arial"/>
                <w:b/>
                <w:bCs/>
                <w:sz w:val="20"/>
                <w:szCs w:val="20"/>
                <w:lang w:val="es-MX" w:eastAsia="es-MX"/>
              </w:rPr>
            </w:pPr>
            <w:r w:rsidRPr="00882E93">
              <w:rPr>
                <w:rFonts w:eastAsia="Times New Roman" w:cs="Arial"/>
                <w:b/>
                <w:bCs/>
                <w:sz w:val="20"/>
                <w:szCs w:val="20"/>
                <w:lang w:val="es-MX" w:eastAsia="es-MX"/>
              </w:rPr>
              <w:t>SUPUESTO</w:t>
            </w:r>
          </w:p>
        </w:tc>
      </w:tr>
      <w:tr w:rsidR="00E23746" w:rsidRPr="00882E93" w14:paraId="26028B9A" w14:textId="77777777" w:rsidTr="000B2F10">
        <w:trPr>
          <w:trHeight w:val="2960"/>
        </w:trPr>
        <w:tc>
          <w:tcPr>
            <w:tcW w:w="1250" w:type="dxa"/>
            <w:tcBorders>
              <w:top w:val="single" w:sz="4" w:space="0" w:color="auto"/>
              <w:left w:val="single" w:sz="4" w:space="0" w:color="auto"/>
              <w:bottom w:val="single" w:sz="4" w:space="0" w:color="auto"/>
              <w:right w:val="single" w:sz="4" w:space="0" w:color="auto"/>
            </w:tcBorders>
            <w:shd w:val="clear" w:color="auto" w:fill="auto"/>
            <w:hideMark/>
          </w:tcPr>
          <w:p w14:paraId="19D646A9" w14:textId="77777777" w:rsidR="00E23746" w:rsidRPr="00882E93" w:rsidRDefault="00E23746" w:rsidP="000B2F10">
            <w:pPr>
              <w:spacing w:after="0" w:line="240" w:lineRule="auto"/>
              <w:jc w:val="center"/>
              <w:rPr>
                <w:rFonts w:eastAsia="Times New Roman" w:cs="Arial"/>
                <w:b/>
                <w:bCs/>
                <w:sz w:val="20"/>
                <w:szCs w:val="20"/>
                <w:lang w:val="es-MX" w:eastAsia="es-MX"/>
              </w:rPr>
            </w:pPr>
            <w:r w:rsidRPr="00882E93">
              <w:rPr>
                <w:rFonts w:eastAsia="Times New Roman" w:cs="Arial"/>
                <w:b/>
                <w:bCs/>
                <w:sz w:val="20"/>
                <w:szCs w:val="20"/>
                <w:lang w:val="es-MX" w:eastAsia="es-MX"/>
              </w:rPr>
              <w:t>Actividad</w:t>
            </w:r>
          </w:p>
        </w:tc>
        <w:tc>
          <w:tcPr>
            <w:tcW w:w="2713" w:type="dxa"/>
            <w:tcBorders>
              <w:top w:val="single" w:sz="4" w:space="0" w:color="auto"/>
              <w:left w:val="single" w:sz="4" w:space="0" w:color="auto"/>
              <w:bottom w:val="single" w:sz="4" w:space="0" w:color="auto"/>
              <w:right w:val="single" w:sz="4" w:space="0" w:color="auto"/>
            </w:tcBorders>
            <w:shd w:val="clear" w:color="auto" w:fill="auto"/>
            <w:hideMark/>
          </w:tcPr>
          <w:p w14:paraId="4C6170C0" w14:textId="77777777" w:rsidR="00E23746" w:rsidRPr="00882E93" w:rsidRDefault="00E23746" w:rsidP="000B2F10">
            <w:pPr>
              <w:spacing w:after="0" w:line="240" w:lineRule="auto"/>
              <w:rPr>
                <w:rFonts w:eastAsia="Times New Roman" w:cs="Arial"/>
                <w:sz w:val="20"/>
                <w:szCs w:val="20"/>
                <w:lang w:val="es-MX" w:eastAsia="es-MX"/>
              </w:rPr>
            </w:pPr>
            <w:r w:rsidRPr="00882E93">
              <w:rPr>
                <w:rFonts w:eastAsia="Times New Roman" w:cs="Arial"/>
                <w:sz w:val="20"/>
                <w:szCs w:val="20"/>
                <w:lang w:val="es-MX" w:eastAsia="es-MX"/>
              </w:rPr>
              <w:t>Implementar y actualizar permanentemente una base de datos de información del estado físico de las instalaciones que integran la infraestructura física educativa del estado, recopilando la información del estado que guarda los espacios educativos, con la finalidad de realizar diagnósticos y pronósticos de los mismos</w:t>
            </w:r>
            <w:r>
              <w:rPr>
                <w:rFonts w:eastAsia="Times New Roman" w:cs="Arial"/>
                <w:sz w:val="20"/>
                <w:szCs w:val="20"/>
                <w:lang w:val="es-MX" w:eastAsia="es-MX"/>
              </w:rPr>
              <w:t>.</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512F47CC" w14:textId="77777777" w:rsidR="00E23746" w:rsidRPr="00882E93" w:rsidRDefault="00E23746" w:rsidP="000B2F10">
            <w:pPr>
              <w:spacing w:after="0" w:line="240" w:lineRule="auto"/>
              <w:rPr>
                <w:rFonts w:eastAsia="Times New Roman" w:cs="Arial"/>
                <w:sz w:val="20"/>
                <w:szCs w:val="20"/>
                <w:lang w:val="es-MX" w:eastAsia="es-MX"/>
              </w:rPr>
            </w:pPr>
            <w:r w:rsidRPr="00882E93">
              <w:rPr>
                <w:rFonts w:eastAsia="Times New Roman" w:cs="Arial"/>
                <w:sz w:val="20"/>
                <w:szCs w:val="20"/>
                <w:lang w:val="es-MX" w:eastAsia="es-MX"/>
              </w:rPr>
              <w:t>C01.A07 -Actualización de base de datos del estado físico de las instalaciones que integran la Infraestructura Física Educativa.</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14:paraId="1DE232FB" w14:textId="77777777" w:rsidR="00E23746" w:rsidRPr="00882E93" w:rsidRDefault="00E23746" w:rsidP="000B2F10">
            <w:pPr>
              <w:spacing w:after="0" w:line="240" w:lineRule="auto"/>
              <w:rPr>
                <w:rFonts w:eastAsia="Times New Roman" w:cs="Arial"/>
                <w:sz w:val="20"/>
                <w:szCs w:val="20"/>
                <w:lang w:val="es-MX" w:eastAsia="es-MX"/>
              </w:rPr>
            </w:pPr>
            <w:r w:rsidRPr="00882E93">
              <w:rPr>
                <w:rFonts w:eastAsia="Times New Roman" w:cs="Arial"/>
                <w:sz w:val="20"/>
                <w:szCs w:val="20"/>
                <w:lang w:val="es-MX" w:eastAsia="es-MX"/>
              </w:rPr>
              <w:t>C01A07</w:t>
            </w:r>
            <w:r>
              <w:rPr>
                <w:rFonts w:eastAsia="Times New Roman" w:cs="Arial"/>
                <w:sz w:val="20"/>
                <w:szCs w:val="20"/>
                <w:lang w:val="es-MX" w:eastAsia="es-MX"/>
              </w:rPr>
              <w:t xml:space="preserve"> - Porcentaje de levantamientos</w:t>
            </w:r>
            <w:r w:rsidRPr="00882E93">
              <w:rPr>
                <w:rFonts w:eastAsia="Times New Roman" w:cs="Arial"/>
                <w:sz w:val="20"/>
                <w:szCs w:val="20"/>
                <w:lang w:val="es-MX" w:eastAsia="es-MX"/>
              </w:rPr>
              <w:t xml:space="preserve"> del estado físico de la Infraestructura Física Educativa. </w:t>
            </w:r>
          </w:p>
        </w:tc>
        <w:tc>
          <w:tcPr>
            <w:tcW w:w="3079" w:type="dxa"/>
            <w:tcBorders>
              <w:top w:val="single" w:sz="4" w:space="0" w:color="auto"/>
              <w:left w:val="single" w:sz="4" w:space="0" w:color="auto"/>
              <w:bottom w:val="single" w:sz="4" w:space="0" w:color="auto"/>
              <w:right w:val="single" w:sz="4" w:space="0" w:color="auto"/>
            </w:tcBorders>
            <w:shd w:val="clear" w:color="auto" w:fill="auto"/>
            <w:hideMark/>
          </w:tcPr>
          <w:p w14:paraId="09CA80CF" w14:textId="77777777" w:rsidR="00E23746" w:rsidRPr="00882E93" w:rsidRDefault="005377D7" w:rsidP="000B2F10">
            <w:pPr>
              <w:spacing w:after="0" w:line="240" w:lineRule="auto"/>
              <w:rPr>
                <w:rFonts w:eastAsia="Times New Roman" w:cs="Arial"/>
                <w:sz w:val="20"/>
                <w:szCs w:val="20"/>
                <w:lang w:val="es-MX" w:eastAsia="es-MX"/>
              </w:rPr>
            </w:pPr>
            <w:hyperlink r:id="rId46" w:history="1">
              <w:r w:rsidR="00E23746" w:rsidRPr="00882E93">
                <w:rPr>
                  <w:rFonts w:eastAsia="Times New Roman" w:cs="Arial"/>
                  <w:sz w:val="20"/>
                  <w:szCs w:val="20"/>
                  <w:lang w:val="es-MX" w:eastAsia="es-MX"/>
                </w:rPr>
                <w:t>Relación de levantamientos de datos tecnicos realizados de las escuelas. https://qroo.gob.mx/ifeqroo/medios-de-verificacion-metas-e-indicadores</w:t>
              </w:r>
            </w:hyperlink>
            <w:r w:rsidR="00E23746">
              <w:rPr>
                <w:rFonts w:eastAsia="Times New Roman" w:cs="Arial"/>
                <w:sz w:val="20"/>
                <w:szCs w:val="20"/>
                <w:lang w:val="es-MX" w:eastAsia="es-MX"/>
              </w:rPr>
              <w:t>.</w:t>
            </w:r>
          </w:p>
        </w:tc>
        <w:tc>
          <w:tcPr>
            <w:tcW w:w="1741" w:type="dxa"/>
            <w:tcBorders>
              <w:top w:val="single" w:sz="4" w:space="0" w:color="auto"/>
              <w:left w:val="single" w:sz="4" w:space="0" w:color="auto"/>
              <w:bottom w:val="single" w:sz="4" w:space="0" w:color="auto"/>
              <w:right w:val="single" w:sz="4" w:space="0" w:color="auto"/>
            </w:tcBorders>
            <w:shd w:val="clear" w:color="auto" w:fill="auto"/>
            <w:hideMark/>
          </w:tcPr>
          <w:p w14:paraId="38BC2C76" w14:textId="77777777" w:rsidR="00E23746" w:rsidRPr="00882E93" w:rsidRDefault="00E23746" w:rsidP="000B2F10">
            <w:pPr>
              <w:spacing w:after="0" w:line="240" w:lineRule="auto"/>
              <w:rPr>
                <w:rFonts w:eastAsia="Times New Roman" w:cs="Arial"/>
                <w:sz w:val="20"/>
                <w:szCs w:val="20"/>
                <w:lang w:val="es-MX" w:eastAsia="es-MX"/>
              </w:rPr>
            </w:pPr>
            <w:r w:rsidRPr="00882E93">
              <w:rPr>
                <w:rFonts w:eastAsia="Times New Roman" w:cs="Arial"/>
                <w:sz w:val="20"/>
                <w:szCs w:val="20"/>
                <w:lang w:val="es-MX" w:eastAsia="es-MX"/>
              </w:rPr>
              <w:t>Las autoridades de los planteles permiten los levantamientos de datos técnicos</w:t>
            </w:r>
            <w:r>
              <w:rPr>
                <w:rFonts w:eastAsia="Times New Roman" w:cs="Arial"/>
                <w:sz w:val="20"/>
                <w:szCs w:val="20"/>
                <w:lang w:val="es-MX" w:eastAsia="es-MX"/>
              </w:rPr>
              <w:t xml:space="preserve"> de las escuelas.</w:t>
            </w:r>
          </w:p>
        </w:tc>
      </w:tr>
      <w:tr w:rsidR="00E23746" w:rsidRPr="00882E93" w14:paraId="1040CFEC" w14:textId="77777777" w:rsidTr="000B2F10">
        <w:trPr>
          <w:trHeight w:val="1839"/>
        </w:trPr>
        <w:tc>
          <w:tcPr>
            <w:tcW w:w="1250" w:type="dxa"/>
            <w:tcBorders>
              <w:top w:val="single" w:sz="4" w:space="0" w:color="auto"/>
              <w:left w:val="single" w:sz="4" w:space="0" w:color="auto"/>
              <w:bottom w:val="single" w:sz="4" w:space="0" w:color="auto"/>
              <w:right w:val="single" w:sz="4" w:space="0" w:color="auto"/>
            </w:tcBorders>
            <w:shd w:val="clear" w:color="auto" w:fill="auto"/>
            <w:hideMark/>
          </w:tcPr>
          <w:p w14:paraId="4AB25987" w14:textId="77777777" w:rsidR="00E23746" w:rsidRPr="00882E93" w:rsidRDefault="00E23746" w:rsidP="000B2F10">
            <w:pPr>
              <w:spacing w:after="0" w:line="240" w:lineRule="auto"/>
              <w:jc w:val="center"/>
              <w:rPr>
                <w:rFonts w:eastAsia="Times New Roman" w:cs="Arial"/>
                <w:b/>
                <w:bCs/>
                <w:sz w:val="20"/>
                <w:szCs w:val="20"/>
                <w:lang w:val="es-MX" w:eastAsia="es-MX"/>
              </w:rPr>
            </w:pPr>
            <w:r w:rsidRPr="00882E93">
              <w:rPr>
                <w:rFonts w:eastAsia="Times New Roman" w:cs="Arial"/>
                <w:b/>
                <w:bCs/>
                <w:sz w:val="20"/>
                <w:szCs w:val="20"/>
                <w:lang w:val="es-MX" w:eastAsia="es-MX"/>
              </w:rPr>
              <w:t>Componente</w:t>
            </w:r>
          </w:p>
        </w:tc>
        <w:tc>
          <w:tcPr>
            <w:tcW w:w="2713" w:type="dxa"/>
            <w:tcBorders>
              <w:top w:val="single" w:sz="4" w:space="0" w:color="auto"/>
              <w:left w:val="nil"/>
              <w:bottom w:val="single" w:sz="4" w:space="0" w:color="auto"/>
              <w:right w:val="single" w:sz="4" w:space="0" w:color="auto"/>
            </w:tcBorders>
            <w:shd w:val="clear" w:color="auto" w:fill="auto"/>
            <w:hideMark/>
          </w:tcPr>
          <w:p w14:paraId="37216DEE" w14:textId="77777777" w:rsidR="00E23746" w:rsidRPr="00882E93" w:rsidRDefault="00E23746" w:rsidP="000B2F10">
            <w:pPr>
              <w:spacing w:after="0" w:line="240" w:lineRule="auto"/>
              <w:rPr>
                <w:rFonts w:eastAsia="Times New Roman" w:cs="Arial"/>
                <w:sz w:val="20"/>
                <w:szCs w:val="20"/>
                <w:lang w:val="es-MX" w:eastAsia="es-MX"/>
              </w:rPr>
            </w:pPr>
            <w:r w:rsidRPr="00882E93">
              <w:rPr>
                <w:rFonts w:eastAsia="Times New Roman" w:cs="Arial"/>
                <w:sz w:val="20"/>
                <w:szCs w:val="20"/>
                <w:lang w:val="es-MX" w:eastAsia="es-MX"/>
              </w:rPr>
              <w:t>Dar seguimiento técnico y supervisar que las acciones de obra y equipamiento del programa de acciones específicas para 300 localidades cumpla con los lineamientos.</w:t>
            </w:r>
          </w:p>
        </w:tc>
        <w:tc>
          <w:tcPr>
            <w:tcW w:w="2977" w:type="dxa"/>
            <w:tcBorders>
              <w:top w:val="single" w:sz="4" w:space="0" w:color="auto"/>
              <w:left w:val="nil"/>
              <w:bottom w:val="single" w:sz="4" w:space="0" w:color="auto"/>
              <w:right w:val="single" w:sz="4" w:space="0" w:color="auto"/>
            </w:tcBorders>
            <w:shd w:val="clear" w:color="auto" w:fill="auto"/>
            <w:hideMark/>
          </w:tcPr>
          <w:p w14:paraId="18830DCB" w14:textId="77777777" w:rsidR="00E23746" w:rsidRPr="00882E93" w:rsidRDefault="00E23746" w:rsidP="000B2F10">
            <w:pPr>
              <w:spacing w:after="0" w:line="240" w:lineRule="auto"/>
              <w:rPr>
                <w:rFonts w:eastAsia="Times New Roman" w:cs="Arial"/>
                <w:sz w:val="20"/>
                <w:szCs w:val="20"/>
                <w:lang w:val="es-MX" w:eastAsia="es-MX"/>
              </w:rPr>
            </w:pPr>
            <w:r w:rsidRPr="00882E93">
              <w:rPr>
                <w:rFonts w:eastAsia="Times New Roman" w:cs="Arial"/>
                <w:sz w:val="20"/>
                <w:szCs w:val="20"/>
                <w:lang w:val="es-MX" w:eastAsia="es-MX"/>
              </w:rPr>
              <w:t>C02 - Programa de acciones Específicas para 300 localidades implementado</w:t>
            </w:r>
            <w:r>
              <w:rPr>
                <w:rFonts w:eastAsia="Times New Roman" w:cs="Arial"/>
                <w:sz w:val="20"/>
                <w:szCs w:val="20"/>
                <w:lang w:val="es-MX" w:eastAsia="es-MX"/>
              </w:rPr>
              <w:t>.</w:t>
            </w:r>
          </w:p>
        </w:tc>
        <w:tc>
          <w:tcPr>
            <w:tcW w:w="2127" w:type="dxa"/>
            <w:tcBorders>
              <w:top w:val="single" w:sz="4" w:space="0" w:color="auto"/>
              <w:left w:val="nil"/>
              <w:bottom w:val="single" w:sz="4" w:space="0" w:color="auto"/>
              <w:right w:val="single" w:sz="4" w:space="0" w:color="auto"/>
            </w:tcBorders>
            <w:shd w:val="clear" w:color="auto" w:fill="auto"/>
            <w:hideMark/>
          </w:tcPr>
          <w:p w14:paraId="76B4DF69" w14:textId="77777777" w:rsidR="00E23746" w:rsidRPr="00882E93" w:rsidRDefault="00E23746" w:rsidP="000B2F10">
            <w:pPr>
              <w:spacing w:after="0" w:line="240" w:lineRule="auto"/>
              <w:rPr>
                <w:rFonts w:eastAsia="Times New Roman" w:cs="Arial"/>
                <w:sz w:val="20"/>
                <w:szCs w:val="20"/>
                <w:lang w:val="es-MX" w:eastAsia="es-MX"/>
              </w:rPr>
            </w:pPr>
            <w:r w:rsidRPr="00882E93">
              <w:rPr>
                <w:rFonts w:eastAsia="Times New Roman" w:cs="Arial"/>
                <w:sz w:val="20"/>
                <w:szCs w:val="20"/>
                <w:lang w:val="es-MX" w:eastAsia="es-MX"/>
              </w:rPr>
              <w:t>C02 - Porcentaje de acciones realizadas en localidades beneficiadas con el Programa de Dignificación de 300 Localidades</w:t>
            </w:r>
            <w:r>
              <w:rPr>
                <w:rFonts w:eastAsia="Times New Roman" w:cs="Arial"/>
                <w:sz w:val="20"/>
                <w:szCs w:val="20"/>
                <w:lang w:val="es-MX" w:eastAsia="es-MX"/>
              </w:rPr>
              <w:t>.</w:t>
            </w:r>
          </w:p>
        </w:tc>
        <w:tc>
          <w:tcPr>
            <w:tcW w:w="3079" w:type="dxa"/>
            <w:tcBorders>
              <w:top w:val="single" w:sz="4" w:space="0" w:color="auto"/>
              <w:left w:val="nil"/>
              <w:bottom w:val="single" w:sz="4" w:space="0" w:color="auto"/>
              <w:right w:val="single" w:sz="4" w:space="0" w:color="auto"/>
            </w:tcBorders>
            <w:shd w:val="clear" w:color="auto" w:fill="auto"/>
            <w:hideMark/>
          </w:tcPr>
          <w:p w14:paraId="13EBC7F7" w14:textId="77777777" w:rsidR="00E23746" w:rsidRPr="00882E93" w:rsidRDefault="005377D7" w:rsidP="000B2F10">
            <w:pPr>
              <w:spacing w:after="0" w:line="240" w:lineRule="auto"/>
              <w:rPr>
                <w:rFonts w:eastAsia="Times New Roman" w:cs="Arial"/>
                <w:sz w:val="20"/>
                <w:szCs w:val="20"/>
                <w:lang w:val="es-MX" w:eastAsia="es-MX"/>
              </w:rPr>
            </w:pPr>
            <w:hyperlink r:id="rId47" w:history="1">
              <w:r w:rsidR="00E23746" w:rsidRPr="00882E93">
                <w:rPr>
                  <w:rFonts w:eastAsia="Times New Roman" w:cs="Arial"/>
                  <w:sz w:val="20"/>
                  <w:szCs w:val="20"/>
                  <w:lang w:val="es-MX" w:eastAsia="es-MX"/>
                </w:rPr>
                <w:t>Informe Final. Dirección de Obras y Equipamiento. IFEQROO. https://qroo.gob.mx/ifeqroo/medios-de-verificacion-metas-e-indicadores</w:t>
              </w:r>
            </w:hyperlink>
            <w:r w:rsidR="00E23746">
              <w:rPr>
                <w:rFonts w:eastAsia="Times New Roman" w:cs="Arial"/>
                <w:sz w:val="20"/>
                <w:szCs w:val="20"/>
                <w:lang w:val="es-MX" w:eastAsia="es-MX"/>
              </w:rPr>
              <w:t>.</w:t>
            </w:r>
          </w:p>
        </w:tc>
        <w:tc>
          <w:tcPr>
            <w:tcW w:w="1741" w:type="dxa"/>
            <w:tcBorders>
              <w:top w:val="single" w:sz="4" w:space="0" w:color="auto"/>
              <w:left w:val="nil"/>
              <w:bottom w:val="single" w:sz="4" w:space="0" w:color="auto"/>
              <w:right w:val="single" w:sz="4" w:space="0" w:color="auto"/>
            </w:tcBorders>
            <w:shd w:val="clear" w:color="auto" w:fill="auto"/>
            <w:hideMark/>
          </w:tcPr>
          <w:p w14:paraId="57631C48" w14:textId="77777777" w:rsidR="00E23746" w:rsidRPr="00882E93" w:rsidRDefault="00E23746" w:rsidP="000B2F10">
            <w:pPr>
              <w:spacing w:after="0" w:line="240" w:lineRule="auto"/>
              <w:rPr>
                <w:rFonts w:eastAsia="Times New Roman" w:cs="Arial"/>
                <w:sz w:val="20"/>
                <w:szCs w:val="20"/>
                <w:lang w:val="es-MX" w:eastAsia="es-MX"/>
              </w:rPr>
            </w:pPr>
            <w:r w:rsidRPr="00882E93">
              <w:rPr>
                <w:rFonts w:eastAsia="Times New Roman" w:cs="Arial"/>
                <w:sz w:val="20"/>
                <w:szCs w:val="20"/>
                <w:lang w:val="es-MX" w:eastAsia="es-MX"/>
              </w:rPr>
              <w:t>Las 300 localidades hacen uso de la infraestructura</w:t>
            </w:r>
            <w:r>
              <w:rPr>
                <w:rFonts w:eastAsia="Times New Roman" w:cs="Arial"/>
                <w:sz w:val="20"/>
                <w:szCs w:val="20"/>
                <w:lang w:val="es-MX" w:eastAsia="es-MX"/>
              </w:rPr>
              <w:t>.</w:t>
            </w:r>
          </w:p>
        </w:tc>
      </w:tr>
      <w:tr w:rsidR="00E23746" w:rsidRPr="00882E93" w14:paraId="3AE14167" w14:textId="77777777" w:rsidTr="000B2F10">
        <w:trPr>
          <w:trHeight w:val="1530"/>
        </w:trPr>
        <w:tc>
          <w:tcPr>
            <w:tcW w:w="1250" w:type="dxa"/>
            <w:tcBorders>
              <w:top w:val="single" w:sz="4" w:space="0" w:color="auto"/>
              <w:left w:val="single" w:sz="4" w:space="0" w:color="auto"/>
              <w:bottom w:val="single" w:sz="4" w:space="0" w:color="auto"/>
              <w:right w:val="single" w:sz="4" w:space="0" w:color="auto"/>
            </w:tcBorders>
            <w:shd w:val="clear" w:color="auto" w:fill="auto"/>
            <w:hideMark/>
          </w:tcPr>
          <w:p w14:paraId="21755B71" w14:textId="77777777" w:rsidR="00E23746" w:rsidRPr="00882E93" w:rsidRDefault="00E23746" w:rsidP="000B2F10">
            <w:pPr>
              <w:spacing w:after="0" w:line="240" w:lineRule="auto"/>
              <w:jc w:val="center"/>
              <w:rPr>
                <w:rFonts w:eastAsia="Times New Roman" w:cs="Arial"/>
                <w:b/>
                <w:bCs/>
                <w:sz w:val="20"/>
                <w:szCs w:val="20"/>
                <w:lang w:val="es-MX" w:eastAsia="es-MX"/>
              </w:rPr>
            </w:pPr>
            <w:r w:rsidRPr="00882E93">
              <w:rPr>
                <w:rFonts w:eastAsia="Times New Roman" w:cs="Arial"/>
                <w:b/>
                <w:bCs/>
                <w:sz w:val="20"/>
                <w:szCs w:val="20"/>
                <w:lang w:val="es-MX" w:eastAsia="es-MX"/>
              </w:rPr>
              <w:t>Actividad</w:t>
            </w:r>
          </w:p>
        </w:tc>
        <w:tc>
          <w:tcPr>
            <w:tcW w:w="2713" w:type="dxa"/>
            <w:tcBorders>
              <w:top w:val="single" w:sz="4" w:space="0" w:color="auto"/>
              <w:left w:val="nil"/>
              <w:bottom w:val="single" w:sz="4" w:space="0" w:color="auto"/>
              <w:right w:val="single" w:sz="4" w:space="0" w:color="auto"/>
            </w:tcBorders>
            <w:shd w:val="clear" w:color="auto" w:fill="auto"/>
            <w:hideMark/>
          </w:tcPr>
          <w:p w14:paraId="2E41B533" w14:textId="18866C04" w:rsidR="001906E0" w:rsidRPr="00514017" w:rsidRDefault="00E23746" w:rsidP="00204AFF">
            <w:pPr>
              <w:spacing w:after="0" w:line="240" w:lineRule="auto"/>
              <w:rPr>
                <w:rFonts w:eastAsia="Times New Roman" w:cs="Arial"/>
                <w:sz w:val="18"/>
                <w:szCs w:val="20"/>
                <w:lang w:val="es-MX" w:eastAsia="es-MX"/>
              </w:rPr>
            </w:pPr>
            <w:r w:rsidRPr="00514017">
              <w:rPr>
                <w:rFonts w:eastAsia="Times New Roman" w:cs="Arial"/>
                <w:sz w:val="18"/>
                <w:szCs w:val="20"/>
                <w:lang w:val="es-MX" w:eastAsia="es-MX"/>
              </w:rPr>
              <w:t>Hacer cumplir las normas de construcción y equipamiento de las escuelas, que sean emitidas por autoridad competente y por el Instituto, asegurando la calidad de los insumos utilizados en las acciones ejecutadas por el Instituto.</w:t>
            </w:r>
          </w:p>
        </w:tc>
        <w:tc>
          <w:tcPr>
            <w:tcW w:w="2977" w:type="dxa"/>
            <w:tcBorders>
              <w:top w:val="single" w:sz="4" w:space="0" w:color="auto"/>
              <w:left w:val="nil"/>
              <w:bottom w:val="single" w:sz="4" w:space="0" w:color="auto"/>
              <w:right w:val="single" w:sz="4" w:space="0" w:color="auto"/>
            </w:tcBorders>
            <w:shd w:val="clear" w:color="auto" w:fill="auto"/>
            <w:hideMark/>
          </w:tcPr>
          <w:p w14:paraId="29D13361" w14:textId="77777777" w:rsidR="00E23746" w:rsidRPr="00514017" w:rsidRDefault="00E23746" w:rsidP="000B2F10">
            <w:pPr>
              <w:spacing w:after="0" w:line="240" w:lineRule="auto"/>
              <w:rPr>
                <w:rFonts w:eastAsia="Times New Roman" w:cs="Arial"/>
                <w:sz w:val="18"/>
                <w:szCs w:val="20"/>
                <w:lang w:val="es-MX" w:eastAsia="es-MX"/>
              </w:rPr>
            </w:pPr>
            <w:r w:rsidRPr="00514017">
              <w:rPr>
                <w:rFonts w:eastAsia="Times New Roman" w:cs="Arial"/>
                <w:sz w:val="18"/>
                <w:szCs w:val="20"/>
                <w:lang w:val="es-MX" w:eastAsia="es-MX"/>
              </w:rPr>
              <w:t xml:space="preserve">C02.A1 - Rehabilitación, conservación, mantenimiento y equipamiento de escuelas de nivel básico. </w:t>
            </w:r>
          </w:p>
        </w:tc>
        <w:tc>
          <w:tcPr>
            <w:tcW w:w="2127" w:type="dxa"/>
            <w:tcBorders>
              <w:top w:val="single" w:sz="4" w:space="0" w:color="auto"/>
              <w:left w:val="nil"/>
              <w:bottom w:val="single" w:sz="4" w:space="0" w:color="auto"/>
              <w:right w:val="single" w:sz="4" w:space="0" w:color="auto"/>
            </w:tcBorders>
            <w:shd w:val="clear" w:color="auto" w:fill="auto"/>
            <w:hideMark/>
          </w:tcPr>
          <w:p w14:paraId="59ACDF83" w14:textId="77777777" w:rsidR="00E23746" w:rsidRPr="00514017" w:rsidRDefault="00E23746" w:rsidP="000B2F10">
            <w:pPr>
              <w:spacing w:after="0" w:line="240" w:lineRule="auto"/>
              <w:rPr>
                <w:rFonts w:eastAsia="Times New Roman" w:cs="Arial"/>
                <w:sz w:val="18"/>
                <w:szCs w:val="20"/>
                <w:lang w:val="es-MX" w:eastAsia="es-MX"/>
              </w:rPr>
            </w:pPr>
            <w:r w:rsidRPr="00514017">
              <w:rPr>
                <w:rFonts w:eastAsia="Times New Roman" w:cs="Arial"/>
                <w:sz w:val="18"/>
                <w:szCs w:val="20"/>
                <w:lang w:val="es-MX" w:eastAsia="es-MX"/>
              </w:rPr>
              <w:t>C02A01 - Porcentaje de escuelas beneficiadas de las 300 localidades.</w:t>
            </w:r>
          </w:p>
        </w:tc>
        <w:tc>
          <w:tcPr>
            <w:tcW w:w="3079" w:type="dxa"/>
            <w:tcBorders>
              <w:top w:val="single" w:sz="4" w:space="0" w:color="auto"/>
              <w:left w:val="nil"/>
              <w:bottom w:val="single" w:sz="4" w:space="0" w:color="auto"/>
              <w:right w:val="single" w:sz="4" w:space="0" w:color="auto"/>
            </w:tcBorders>
            <w:shd w:val="clear" w:color="auto" w:fill="auto"/>
            <w:hideMark/>
          </w:tcPr>
          <w:p w14:paraId="5807852C" w14:textId="77777777" w:rsidR="00E23746" w:rsidRPr="00514017" w:rsidRDefault="005377D7" w:rsidP="000B2F10">
            <w:pPr>
              <w:spacing w:after="0" w:line="240" w:lineRule="auto"/>
              <w:rPr>
                <w:rFonts w:eastAsia="Times New Roman" w:cs="Arial"/>
                <w:sz w:val="18"/>
                <w:szCs w:val="20"/>
                <w:lang w:val="es-MX" w:eastAsia="es-MX"/>
              </w:rPr>
            </w:pPr>
            <w:hyperlink r:id="rId48" w:history="1">
              <w:r w:rsidR="00E23746" w:rsidRPr="00514017">
                <w:rPr>
                  <w:rFonts w:eastAsia="Times New Roman" w:cs="Arial"/>
                  <w:sz w:val="18"/>
                  <w:szCs w:val="20"/>
                  <w:lang w:val="es-MX" w:eastAsia="es-MX"/>
                </w:rPr>
                <w:t>Programa 300 localidades. Dirección de Obras y Equipamiento. IFEQROO. https://qroo.gob.mx/ifeqroo/medios-de-verificacion-metas-e-indicadores</w:t>
              </w:r>
            </w:hyperlink>
            <w:r w:rsidR="00E23746" w:rsidRPr="00514017">
              <w:rPr>
                <w:rFonts w:eastAsia="Times New Roman" w:cs="Arial"/>
                <w:sz w:val="18"/>
                <w:szCs w:val="20"/>
                <w:lang w:val="es-MX" w:eastAsia="es-MX"/>
              </w:rPr>
              <w:t>.</w:t>
            </w:r>
          </w:p>
        </w:tc>
        <w:tc>
          <w:tcPr>
            <w:tcW w:w="1741" w:type="dxa"/>
            <w:tcBorders>
              <w:top w:val="single" w:sz="4" w:space="0" w:color="auto"/>
              <w:left w:val="nil"/>
              <w:bottom w:val="single" w:sz="4" w:space="0" w:color="auto"/>
              <w:right w:val="single" w:sz="4" w:space="0" w:color="auto"/>
            </w:tcBorders>
            <w:shd w:val="clear" w:color="auto" w:fill="auto"/>
            <w:hideMark/>
          </w:tcPr>
          <w:p w14:paraId="338CC7FF" w14:textId="77777777" w:rsidR="00E23746" w:rsidRPr="00514017" w:rsidRDefault="00E23746" w:rsidP="000B2F10">
            <w:pPr>
              <w:spacing w:after="0" w:line="240" w:lineRule="auto"/>
              <w:rPr>
                <w:rFonts w:eastAsia="Times New Roman" w:cs="Arial"/>
                <w:sz w:val="18"/>
                <w:szCs w:val="20"/>
                <w:lang w:val="es-MX" w:eastAsia="es-MX"/>
              </w:rPr>
            </w:pPr>
            <w:r w:rsidRPr="00514017">
              <w:rPr>
                <w:rFonts w:eastAsia="Times New Roman" w:cs="Arial"/>
                <w:sz w:val="18"/>
                <w:szCs w:val="20"/>
                <w:lang w:val="es-MX" w:eastAsia="es-MX"/>
              </w:rPr>
              <w:t>Las escuelas de las 300 localidades, requieren la rehabilitación, conservación y mantenimiento.</w:t>
            </w:r>
          </w:p>
        </w:tc>
      </w:tr>
    </w:tbl>
    <w:p w14:paraId="10A301AC" w14:textId="3B3C5914" w:rsidR="00E83FE2" w:rsidRDefault="00E83FE2" w:rsidP="00E83FE2">
      <w:pPr>
        <w:spacing w:after="0" w:line="240" w:lineRule="auto"/>
        <w:jc w:val="left"/>
      </w:pPr>
      <w:r>
        <w:br w:type="page"/>
      </w:r>
    </w:p>
    <w:tbl>
      <w:tblPr>
        <w:tblW w:w="13887" w:type="dxa"/>
        <w:tblCellMar>
          <w:left w:w="70" w:type="dxa"/>
          <w:right w:w="70" w:type="dxa"/>
        </w:tblCellMar>
        <w:tblLook w:val="04A0" w:firstRow="1" w:lastRow="0" w:firstColumn="1" w:lastColumn="0" w:noHBand="0" w:noVBand="1"/>
      </w:tblPr>
      <w:tblGrid>
        <w:gridCol w:w="1363"/>
        <w:gridCol w:w="2610"/>
        <w:gridCol w:w="2843"/>
        <w:gridCol w:w="2076"/>
        <w:gridCol w:w="3286"/>
        <w:gridCol w:w="1709"/>
      </w:tblGrid>
      <w:tr w:rsidR="00E23746" w:rsidRPr="00882E93" w14:paraId="7DFBFA69" w14:textId="77777777" w:rsidTr="00D0420D">
        <w:trPr>
          <w:trHeight w:val="672"/>
        </w:trPr>
        <w:tc>
          <w:tcPr>
            <w:tcW w:w="1363"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6E96D5FF" w14:textId="77777777" w:rsidR="00E23746" w:rsidRPr="00882E93" w:rsidRDefault="00E23746" w:rsidP="000B2F10">
            <w:pPr>
              <w:spacing w:after="0" w:line="240" w:lineRule="auto"/>
              <w:jc w:val="center"/>
              <w:rPr>
                <w:rFonts w:eastAsia="Times New Roman" w:cs="Arial"/>
                <w:b/>
                <w:bCs/>
                <w:sz w:val="20"/>
                <w:szCs w:val="20"/>
                <w:lang w:val="es-MX" w:eastAsia="es-MX"/>
              </w:rPr>
            </w:pPr>
            <w:r w:rsidRPr="00882E93">
              <w:rPr>
                <w:rFonts w:eastAsia="Times New Roman" w:cs="Arial"/>
                <w:b/>
                <w:bCs/>
                <w:sz w:val="20"/>
                <w:szCs w:val="20"/>
                <w:lang w:val="es-MX" w:eastAsia="es-MX"/>
              </w:rPr>
              <w:lastRenderedPageBreak/>
              <w:t>NIVEL</w:t>
            </w:r>
          </w:p>
        </w:tc>
        <w:tc>
          <w:tcPr>
            <w:tcW w:w="261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2B9C7FB7" w14:textId="77777777" w:rsidR="00E23746" w:rsidRPr="00882E93" w:rsidRDefault="00E23746" w:rsidP="000B2F10">
            <w:pPr>
              <w:spacing w:after="0" w:line="240" w:lineRule="auto"/>
              <w:jc w:val="center"/>
              <w:rPr>
                <w:rFonts w:eastAsia="Times New Roman" w:cs="Arial"/>
                <w:b/>
                <w:bCs/>
                <w:sz w:val="20"/>
                <w:szCs w:val="20"/>
                <w:lang w:val="es-MX" w:eastAsia="es-MX"/>
              </w:rPr>
            </w:pPr>
            <w:r w:rsidRPr="00882E93">
              <w:rPr>
                <w:rFonts w:eastAsia="Times New Roman" w:cs="Arial"/>
                <w:b/>
                <w:bCs/>
                <w:sz w:val="20"/>
                <w:szCs w:val="20"/>
                <w:lang w:val="es-MX" w:eastAsia="es-MX"/>
              </w:rPr>
              <w:t>ALINEACIÓN PED/PD</w:t>
            </w:r>
          </w:p>
        </w:tc>
        <w:tc>
          <w:tcPr>
            <w:tcW w:w="2843"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2DDC4E7F" w14:textId="77777777" w:rsidR="00E23746" w:rsidRPr="00882E93" w:rsidRDefault="00E23746" w:rsidP="000B2F10">
            <w:pPr>
              <w:spacing w:after="0" w:line="240" w:lineRule="auto"/>
              <w:jc w:val="center"/>
              <w:rPr>
                <w:rFonts w:eastAsia="Times New Roman" w:cs="Arial"/>
                <w:b/>
                <w:bCs/>
                <w:sz w:val="20"/>
                <w:szCs w:val="20"/>
                <w:lang w:val="es-MX" w:eastAsia="es-MX"/>
              </w:rPr>
            </w:pPr>
            <w:r w:rsidRPr="00882E93">
              <w:rPr>
                <w:rFonts w:eastAsia="Times New Roman" w:cs="Arial"/>
                <w:b/>
                <w:bCs/>
                <w:sz w:val="20"/>
                <w:szCs w:val="20"/>
                <w:lang w:val="es-MX" w:eastAsia="es-MX"/>
              </w:rPr>
              <w:t>OBJETIVO</w:t>
            </w:r>
          </w:p>
        </w:tc>
        <w:tc>
          <w:tcPr>
            <w:tcW w:w="2076"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77BC2EC2" w14:textId="77777777" w:rsidR="00E23746" w:rsidRPr="00882E93" w:rsidRDefault="00E23746" w:rsidP="000B2F10">
            <w:pPr>
              <w:spacing w:after="0" w:line="240" w:lineRule="auto"/>
              <w:jc w:val="center"/>
              <w:rPr>
                <w:rFonts w:eastAsia="Times New Roman" w:cs="Arial"/>
                <w:b/>
                <w:bCs/>
                <w:sz w:val="20"/>
                <w:szCs w:val="20"/>
                <w:lang w:val="es-MX" w:eastAsia="es-MX"/>
              </w:rPr>
            </w:pPr>
            <w:r w:rsidRPr="00882E93">
              <w:rPr>
                <w:rFonts w:eastAsia="Times New Roman" w:cs="Arial"/>
                <w:b/>
                <w:bCs/>
                <w:sz w:val="20"/>
                <w:szCs w:val="20"/>
                <w:lang w:val="es-MX" w:eastAsia="es-MX"/>
              </w:rPr>
              <w:t>INDICADOR</w:t>
            </w:r>
          </w:p>
        </w:tc>
        <w:tc>
          <w:tcPr>
            <w:tcW w:w="3286"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095AB367" w14:textId="77777777" w:rsidR="00E23746" w:rsidRPr="00882E93" w:rsidRDefault="00E23746" w:rsidP="000B2F10">
            <w:pPr>
              <w:spacing w:after="0" w:line="240" w:lineRule="auto"/>
              <w:jc w:val="center"/>
              <w:rPr>
                <w:rFonts w:eastAsia="Times New Roman" w:cs="Arial"/>
                <w:b/>
                <w:bCs/>
                <w:sz w:val="20"/>
                <w:szCs w:val="20"/>
                <w:lang w:val="es-MX" w:eastAsia="es-MX"/>
              </w:rPr>
            </w:pPr>
            <w:r w:rsidRPr="00882E93">
              <w:rPr>
                <w:rFonts w:eastAsia="Times New Roman" w:cs="Arial"/>
                <w:b/>
                <w:bCs/>
                <w:sz w:val="20"/>
                <w:szCs w:val="20"/>
                <w:lang w:val="es-MX" w:eastAsia="es-MX"/>
              </w:rPr>
              <w:t>MEDIOS DE VERIFICACIÓN</w:t>
            </w:r>
          </w:p>
        </w:tc>
        <w:tc>
          <w:tcPr>
            <w:tcW w:w="1709"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77A131AF" w14:textId="77777777" w:rsidR="00E23746" w:rsidRPr="00882E93" w:rsidRDefault="00E23746" w:rsidP="000B2F10">
            <w:pPr>
              <w:spacing w:after="0" w:line="240" w:lineRule="auto"/>
              <w:jc w:val="center"/>
              <w:rPr>
                <w:rFonts w:eastAsia="Times New Roman" w:cs="Arial"/>
                <w:b/>
                <w:bCs/>
                <w:sz w:val="20"/>
                <w:szCs w:val="20"/>
                <w:lang w:val="es-MX" w:eastAsia="es-MX"/>
              </w:rPr>
            </w:pPr>
            <w:r w:rsidRPr="00882E93">
              <w:rPr>
                <w:rFonts w:eastAsia="Times New Roman" w:cs="Arial"/>
                <w:b/>
                <w:bCs/>
                <w:sz w:val="20"/>
                <w:szCs w:val="20"/>
                <w:lang w:val="es-MX" w:eastAsia="es-MX"/>
              </w:rPr>
              <w:t>SUPUESTO</w:t>
            </w:r>
          </w:p>
        </w:tc>
      </w:tr>
      <w:tr w:rsidR="00E23746" w:rsidRPr="00882E93" w14:paraId="15A973A3" w14:textId="77777777" w:rsidTr="00D0420D">
        <w:trPr>
          <w:trHeight w:val="2040"/>
        </w:trPr>
        <w:tc>
          <w:tcPr>
            <w:tcW w:w="1363" w:type="dxa"/>
            <w:tcBorders>
              <w:top w:val="single" w:sz="4" w:space="0" w:color="auto"/>
              <w:left w:val="single" w:sz="4" w:space="0" w:color="auto"/>
              <w:bottom w:val="single" w:sz="4" w:space="0" w:color="auto"/>
              <w:right w:val="single" w:sz="4" w:space="0" w:color="auto"/>
            </w:tcBorders>
            <w:shd w:val="clear" w:color="auto" w:fill="auto"/>
            <w:hideMark/>
          </w:tcPr>
          <w:p w14:paraId="46C28774" w14:textId="77777777" w:rsidR="00E23746" w:rsidRPr="00882E93" w:rsidRDefault="00E23746" w:rsidP="000B2F10">
            <w:pPr>
              <w:spacing w:after="0" w:line="240" w:lineRule="auto"/>
              <w:jc w:val="center"/>
              <w:rPr>
                <w:rFonts w:eastAsia="Times New Roman" w:cs="Arial"/>
                <w:b/>
                <w:bCs/>
                <w:sz w:val="20"/>
                <w:szCs w:val="20"/>
                <w:lang w:val="es-MX" w:eastAsia="es-MX"/>
              </w:rPr>
            </w:pPr>
            <w:r w:rsidRPr="00882E93">
              <w:rPr>
                <w:rFonts w:eastAsia="Times New Roman" w:cs="Arial"/>
                <w:b/>
                <w:bCs/>
                <w:sz w:val="20"/>
                <w:szCs w:val="20"/>
                <w:lang w:val="es-MX" w:eastAsia="es-MX"/>
              </w:rPr>
              <w:t>Componente</w:t>
            </w:r>
          </w:p>
        </w:tc>
        <w:tc>
          <w:tcPr>
            <w:tcW w:w="2610" w:type="dxa"/>
            <w:tcBorders>
              <w:top w:val="single" w:sz="4" w:space="0" w:color="auto"/>
              <w:left w:val="single" w:sz="4" w:space="0" w:color="auto"/>
              <w:bottom w:val="single" w:sz="4" w:space="0" w:color="auto"/>
              <w:right w:val="single" w:sz="4" w:space="0" w:color="auto"/>
            </w:tcBorders>
            <w:shd w:val="clear" w:color="auto" w:fill="auto"/>
            <w:hideMark/>
          </w:tcPr>
          <w:p w14:paraId="2FD349FA" w14:textId="77777777" w:rsidR="00E23746" w:rsidRPr="00882E93" w:rsidRDefault="00E23746" w:rsidP="000B2F10">
            <w:pPr>
              <w:spacing w:after="0" w:line="240" w:lineRule="auto"/>
              <w:rPr>
                <w:rFonts w:eastAsia="Times New Roman" w:cs="Arial"/>
                <w:sz w:val="20"/>
                <w:szCs w:val="20"/>
                <w:lang w:val="es-MX" w:eastAsia="es-MX"/>
              </w:rPr>
            </w:pPr>
            <w:r w:rsidRPr="00882E93">
              <w:rPr>
                <w:rFonts w:eastAsia="Times New Roman" w:cs="Arial"/>
                <w:sz w:val="20"/>
                <w:szCs w:val="20"/>
                <w:lang w:val="es-MX" w:eastAsia="es-MX"/>
              </w:rPr>
              <w:t>Certificar que los espacios educativos públicos y privados que se construyan derivado de las necesidades de crecimiento, contengan los requerimientos básicos, como son calidad, seguridad, funcionalidad, oportunidad, equidad, sustentabilidad, resiliencia, pertinencia, integralidad, accesibilidad, inclusividad e higiene</w:t>
            </w:r>
            <w:r>
              <w:rPr>
                <w:rFonts w:eastAsia="Times New Roman" w:cs="Arial"/>
                <w:sz w:val="20"/>
                <w:szCs w:val="20"/>
                <w:lang w:val="es-MX" w:eastAsia="es-MX"/>
              </w:rPr>
              <w:t>.</w:t>
            </w:r>
          </w:p>
        </w:tc>
        <w:tc>
          <w:tcPr>
            <w:tcW w:w="2843" w:type="dxa"/>
            <w:tcBorders>
              <w:top w:val="single" w:sz="4" w:space="0" w:color="auto"/>
              <w:left w:val="single" w:sz="4" w:space="0" w:color="auto"/>
              <w:bottom w:val="single" w:sz="4" w:space="0" w:color="auto"/>
              <w:right w:val="single" w:sz="4" w:space="0" w:color="auto"/>
            </w:tcBorders>
            <w:shd w:val="clear" w:color="auto" w:fill="auto"/>
            <w:hideMark/>
          </w:tcPr>
          <w:p w14:paraId="57C9D7AE" w14:textId="77777777" w:rsidR="00E23746" w:rsidRPr="00882E93" w:rsidRDefault="00E23746" w:rsidP="000B2F10">
            <w:pPr>
              <w:spacing w:after="0" w:line="240" w:lineRule="auto"/>
              <w:rPr>
                <w:rFonts w:eastAsia="Times New Roman" w:cs="Arial"/>
                <w:sz w:val="20"/>
                <w:szCs w:val="20"/>
                <w:lang w:val="es-MX" w:eastAsia="es-MX"/>
              </w:rPr>
            </w:pPr>
            <w:r w:rsidRPr="00882E93">
              <w:rPr>
                <w:rFonts w:eastAsia="Times New Roman" w:cs="Arial"/>
                <w:sz w:val="20"/>
                <w:szCs w:val="20"/>
                <w:lang w:val="es-MX" w:eastAsia="es-MX"/>
              </w:rPr>
              <w:t xml:space="preserve">C03 -  Escuelas Públicas y Privadas en el Estado, se evalúan cumpliendo con los criterios de certificación por cada tipo, nivel y Modalidad Educativa. </w:t>
            </w:r>
          </w:p>
        </w:tc>
        <w:tc>
          <w:tcPr>
            <w:tcW w:w="2076" w:type="dxa"/>
            <w:tcBorders>
              <w:top w:val="single" w:sz="4" w:space="0" w:color="auto"/>
              <w:left w:val="single" w:sz="4" w:space="0" w:color="auto"/>
              <w:bottom w:val="single" w:sz="4" w:space="0" w:color="auto"/>
              <w:right w:val="single" w:sz="4" w:space="0" w:color="auto"/>
            </w:tcBorders>
            <w:shd w:val="clear" w:color="auto" w:fill="auto"/>
            <w:hideMark/>
          </w:tcPr>
          <w:p w14:paraId="75642292" w14:textId="77777777" w:rsidR="00E23746" w:rsidRPr="00882E93" w:rsidRDefault="00E23746" w:rsidP="000B2F10">
            <w:pPr>
              <w:spacing w:after="0" w:line="240" w:lineRule="auto"/>
              <w:rPr>
                <w:rFonts w:eastAsia="Times New Roman" w:cs="Arial"/>
                <w:sz w:val="20"/>
                <w:szCs w:val="20"/>
                <w:lang w:val="es-MX" w:eastAsia="es-MX"/>
              </w:rPr>
            </w:pPr>
            <w:r w:rsidRPr="00882E93">
              <w:rPr>
                <w:rFonts w:eastAsia="Times New Roman" w:cs="Arial"/>
                <w:sz w:val="20"/>
                <w:szCs w:val="20"/>
                <w:lang w:val="es-MX" w:eastAsia="es-MX"/>
              </w:rPr>
              <w:t>C03 - Porcentaje de implementación  del Programa Estatal de Certificación</w:t>
            </w:r>
            <w:r>
              <w:rPr>
                <w:rFonts w:eastAsia="Times New Roman" w:cs="Arial"/>
                <w:sz w:val="20"/>
                <w:szCs w:val="20"/>
                <w:lang w:val="es-MX" w:eastAsia="es-MX"/>
              </w:rPr>
              <w:t>.</w:t>
            </w:r>
          </w:p>
        </w:tc>
        <w:tc>
          <w:tcPr>
            <w:tcW w:w="3286" w:type="dxa"/>
            <w:tcBorders>
              <w:top w:val="single" w:sz="4" w:space="0" w:color="auto"/>
              <w:left w:val="single" w:sz="4" w:space="0" w:color="auto"/>
              <w:bottom w:val="single" w:sz="4" w:space="0" w:color="auto"/>
              <w:right w:val="single" w:sz="4" w:space="0" w:color="auto"/>
            </w:tcBorders>
            <w:shd w:val="clear" w:color="auto" w:fill="auto"/>
            <w:hideMark/>
          </w:tcPr>
          <w:p w14:paraId="1D8F3E9E" w14:textId="77777777" w:rsidR="00E23746" w:rsidRPr="00882E93" w:rsidRDefault="005377D7" w:rsidP="000B2F10">
            <w:pPr>
              <w:spacing w:after="0" w:line="240" w:lineRule="auto"/>
              <w:rPr>
                <w:rFonts w:eastAsia="Times New Roman" w:cs="Arial"/>
                <w:sz w:val="20"/>
                <w:szCs w:val="20"/>
                <w:lang w:val="es-MX" w:eastAsia="es-MX"/>
              </w:rPr>
            </w:pPr>
            <w:hyperlink r:id="rId49" w:history="1">
              <w:r w:rsidR="00E23746" w:rsidRPr="00882E93">
                <w:rPr>
                  <w:rFonts w:eastAsia="Times New Roman" w:cs="Arial"/>
                  <w:sz w:val="20"/>
                  <w:szCs w:val="20"/>
                  <w:lang w:val="es-MX" w:eastAsia="es-MX"/>
                </w:rPr>
                <w:t>Portal de Transparencia del IFEQROO. Listado de escuelas Certificadas. Dirección de Certificaciòn. IFEQROO. https://qroo.gob.mx/ifeqroo</w:t>
              </w:r>
            </w:hyperlink>
            <w:r w:rsidR="00E23746">
              <w:rPr>
                <w:rFonts w:eastAsia="Times New Roman" w:cs="Arial"/>
                <w:sz w:val="20"/>
                <w:szCs w:val="20"/>
                <w:lang w:val="es-MX" w:eastAsia="es-MX"/>
              </w:rPr>
              <w:t>.</w:t>
            </w:r>
          </w:p>
        </w:tc>
        <w:tc>
          <w:tcPr>
            <w:tcW w:w="1709" w:type="dxa"/>
            <w:tcBorders>
              <w:top w:val="single" w:sz="4" w:space="0" w:color="auto"/>
              <w:left w:val="single" w:sz="4" w:space="0" w:color="auto"/>
              <w:bottom w:val="single" w:sz="4" w:space="0" w:color="auto"/>
              <w:right w:val="single" w:sz="4" w:space="0" w:color="auto"/>
            </w:tcBorders>
            <w:shd w:val="clear" w:color="auto" w:fill="auto"/>
            <w:hideMark/>
          </w:tcPr>
          <w:p w14:paraId="1B61E561" w14:textId="77777777" w:rsidR="00E23746" w:rsidRPr="00882E93" w:rsidRDefault="00E23746" w:rsidP="000B2F10">
            <w:pPr>
              <w:spacing w:after="0" w:line="240" w:lineRule="auto"/>
              <w:rPr>
                <w:rFonts w:eastAsia="Times New Roman" w:cs="Arial"/>
                <w:sz w:val="20"/>
                <w:szCs w:val="20"/>
                <w:lang w:val="es-MX" w:eastAsia="es-MX"/>
              </w:rPr>
            </w:pPr>
            <w:r w:rsidRPr="00882E93">
              <w:rPr>
                <w:rFonts w:eastAsia="Times New Roman" w:cs="Arial"/>
                <w:sz w:val="20"/>
                <w:szCs w:val="20"/>
                <w:lang w:val="es-MX" w:eastAsia="es-MX"/>
              </w:rPr>
              <w:t>Las escuelas públicas y privadas cumplen con los requisitos para ser evaluadas y certificadas.</w:t>
            </w:r>
          </w:p>
        </w:tc>
      </w:tr>
      <w:tr w:rsidR="00E23746" w:rsidRPr="00882E93" w14:paraId="3E080358" w14:textId="77777777" w:rsidTr="00D0420D">
        <w:trPr>
          <w:trHeight w:val="1632"/>
        </w:trPr>
        <w:tc>
          <w:tcPr>
            <w:tcW w:w="1363" w:type="dxa"/>
            <w:tcBorders>
              <w:top w:val="single" w:sz="4" w:space="0" w:color="auto"/>
              <w:left w:val="single" w:sz="4" w:space="0" w:color="auto"/>
              <w:bottom w:val="single" w:sz="4" w:space="0" w:color="auto"/>
              <w:right w:val="single" w:sz="4" w:space="0" w:color="auto"/>
            </w:tcBorders>
            <w:shd w:val="clear" w:color="auto" w:fill="auto"/>
            <w:hideMark/>
          </w:tcPr>
          <w:p w14:paraId="20C5ECF0" w14:textId="77777777" w:rsidR="00E23746" w:rsidRPr="00882E93" w:rsidRDefault="00E23746" w:rsidP="000B2F10">
            <w:pPr>
              <w:spacing w:after="0" w:line="240" w:lineRule="auto"/>
              <w:jc w:val="center"/>
              <w:rPr>
                <w:rFonts w:eastAsia="Times New Roman" w:cs="Arial"/>
                <w:b/>
                <w:bCs/>
                <w:sz w:val="20"/>
                <w:szCs w:val="20"/>
                <w:lang w:val="es-MX" w:eastAsia="es-MX"/>
              </w:rPr>
            </w:pPr>
            <w:r w:rsidRPr="00882E93">
              <w:rPr>
                <w:rFonts w:eastAsia="Times New Roman" w:cs="Arial"/>
                <w:b/>
                <w:bCs/>
                <w:sz w:val="20"/>
                <w:szCs w:val="20"/>
                <w:lang w:val="es-MX" w:eastAsia="es-MX"/>
              </w:rPr>
              <w:t>Actividad</w:t>
            </w:r>
          </w:p>
        </w:tc>
        <w:tc>
          <w:tcPr>
            <w:tcW w:w="2610" w:type="dxa"/>
            <w:tcBorders>
              <w:top w:val="single" w:sz="4" w:space="0" w:color="auto"/>
              <w:left w:val="single" w:sz="4" w:space="0" w:color="auto"/>
              <w:bottom w:val="single" w:sz="4" w:space="0" w:color="auto"/>
              <w:right w:val="single" w:sz="4" w:space="0" w:color="auto"/>
            </w:tcBorders>
            <w:shd w:val="clear" w:color="auto" w:fill="auto"/>
            <w:hideMark/>
          </w:tcPr>
          <w:p w14:paraId="641F79EB" w14:textId="77777777" w:rsidR="00E23746" w:rsidRPr="00882E93" w:rsidRDefault="00E23746" w:rsidP="000B2F10">
            <w:pPr>
              <w:spacing w:after="0" w:line="240" w:lineRule="auto"/>
              <w:rPr>
                <w:rFonts w:eastAsia="Times New Roman" w:cs="Arial"/>
                <w:sz w:val="20"/>
                <w:szCs w:val="20"/>
                <w:lang w:val="es-MX" w:eastAsia="es-MX"/>
              </w:rPr>
            </w:pPr>
            <w:r w:rsidRPr="00882E93">
              <w:rPr>
                <w:rFonts w:eastAsia="Times New Roman" w:cs="Arial"/>
                <w:sz w:val="20"/>
                <w:szCs w:val="20"/>
                <w:lang w:val="es-MX" w:eastAsia="es-MX"/>
              </w:rPr>
              <w:t>Desarrollar el Programa Estatal de Certificación, logrando difundir los criterios para evaluar y dictaminar las escuelas públicas y privadas del Estado, conforme la normatividad de la materia</w:t>
            </w:r>
          </w:p>
        </w:tc>
        <w:tc>
          <w:tcPr>
            <w:tcW w:w="2843" w:type="dxa"/>
            <w:tcBorders>
              <w:top w:val="single" w:sz="4" w:space="0" w:color="auto"/>
              <w:left w:val="single" w:sz="4" w:space="0" w:color="auto"/>
              <w:bottom w:val="single" w:sz="4" w:space="0" w:color="auto"/>
              <w:right w:val="single" w:sz="4" w:space="0" w:color="auto"/>
            </w:tcBorders>
            <w:shd w:val="clear" w:color="auto" w:fill="auto"/>
            <w:hideMark/>
          </w:tcPr>
          <w:p w14:paraId="26951832" w14:textId="77777777" w:rsidR="00E23746" w:rsidRPr="00882E93" w:rsidRDefault="00E23746" w:rsidP="000B2F10">
            <w:pPr>
              <w:spacing w:after="0" w:line="240" w:lineRule="auto"/>
              <w:rPr>
                <w:rFonts w:eastAsia="Times New Roman" w:cs="Arial"/>
                <w:sz w:val="20"/>
                <w:szCs w:val="20"/>
                <w:lang w:val="es-MX" w:eastAsia="es-MX"/>
              </w:rPr>
            </w:pPr>
            <w:r w:rsidRPr="00882E93">
              <w:rPr>
                <w:rFonts w:eastAsia="Times New Roman" w:cs="Arial"/>
                <w:sz w:val="20"/>
                <w:szCs w:val="20"/>
                <w:lang w:val="es-MX" w:eastAsia="es-MX"/>
              </w:rPr>
              <w:t>C03.A01 - Dictaminación de los Planteles educativos para el proceso de evaluación y Dictaminación de la Infraestructura Física Educativa</w:t>
            </w:r>
            <w:r>
              <w:rPr>
                <w:rFonts w:eastAsia="Times New Roman" w:cs="Arial"/>
                <w:sz w:val="20"/>
                <w:szCs w:val="20"/>
                <w:lang w:val="es-MX" w:eastAsia="es-MX"/>
              </w:rPr>
              <w:t>.</w:t>
            </w:r>
          </w:p>
        </w:tc>
        <w:tc>
          <w:tcPr>
            <w:tcW w:w="2076" w:type="dxa"/>
            <w:tcBorders>
              <w:top w:val="single" w:sz="4" w:space="0" w:color="auto"/>
              <w:left w:val="single" w:sz="4" w:space="0" w:color="auto"/>
              <w:bottom w:val="single" w:sz="4" w:space="0" w:color="auto"/>
              <w:right w:val="single" w:sz="4" w:space="0" w:color="auto"/>
            </w:tcBorders>
            <w:shd w:val="clear" w:color="auto" w:fill="auto"/>
            <w:hideMark/>
          </w:tcPr>
          <w:p w14:paraId="40CDF840" w14:textId="77777777" w:rsidR="00E23746" w:rsidRPr="00882E93" w:rsidRDefault="00E23746" w:rsidP="000B2F10">
            <w:pPr>
              <w:spacing w:after="0" w:line="240" w:lineRule="auto"/>
              <w:rPr>
                <w:rFonts w:eastAsia="Times New Roman" w:cs="Arial"/>
                <w:sz w:val="20"/>
                <w:szCs w:val="20"/>
                <w:lang w:val="es-MX" w:eastAsia="es-MX"/>
              </w:rPr>
            </w:pPr>
            <w:r w:rsidRPr="00882E93">
              <w:rPr>
                <w:rFonts w:eastAsia="Times New Roman" w:cs="Arial"/>
                <w:sz w:val="20"/>
                <w:szCs w:val="20"/>
                <w:lang w:val="es-MX" w:eastAsia="es-MX"/>
              </w:rPr>
              <w:t>C03A01 - Porcentaje de escuelas públicas y privadas dictaminadas</w:t>
            </w:r>
            <w:r>
              <w:rPr>
                <w:rFonts w:eastAsia="Times New Roman" w:cs="Arial"/>
                <w:sz w:val="20"/>
                <w:szCs w:val="20"/>
                <w:lang w:val="es-MX" w:eastAsia="es-MX"/>
              </w:rPr>
              <w:t>.</w:t>
            </w:r>
          </w:p>
        </w:tc>
        <w:tc>
          <w:tcPr>
            <w:tcW w:w="3286" w:type="dxa"/>
            <w:tcBorders>
              <w:top w:val="single" w:sz="4" w:space="0" w:color="auto"/>
              <w:left w:val="single" w:sz="4" w:space="0" w:color="auto"/>
              <w:bottom w:val="single" w:sz="4" w:space="0" w:color="auto"/>
              <w:right w:val="single" w:sz="4" w:space="0" w:color="auto"/>
            </w:tcBorders>
            <w:shd w:val="clear" w:color="auto" w:fill="auto"/>
            <w:hideMark/>
          </w:tcPr>
          <w:p w14:paraId="38B99108" w14:textId="45F0024F" w:rsidR="00E23746" w:rsidRPr="00882E93" w:rsidRDefault="00E23746" w:rsidP="000B2F10">
            <w:pPr>
              <w:spacing w:after="0" w:line="240" w:lineRule="auto"/>
              <w:rPr>
                <w:rFonts w:eastAsia="Times New Roman" w:cs="Arial"/>
                <w:sz w:val="20"/>
                <w:szCs w:val="20"/>
                <w:lang w:val="es-MX" w:eastAsia="es-MX"/>
              </w:rPr>
            </w:pPr>
            <w:r>
              <w:rPr>
                <w:rFonts w:eastAsia="Times New Roman" w:cs="Arial"/>
                <w:sz w:val="20"/>
                <w:szCs w:val="20"/>
                <w:lang w:val="es-MX" w:eastAsia="es-MX"/>
              </w:rPr>
              <w:t>.</w:t>
            </w:r>
            <w:hyperlink r:id="rId50" w:history="1">
              <w:r w:rsidRPr="00CC3907">
                <w:rPr>
                  <w:rStyle w:val="Hipervnculo"/>
                  <w:rFonts w:eastAsia="Times New Roman" w:cs="Arial"/>
                  <w:sz w:val="20"/>
                  <w:szCs w:val="20"/>
                  <w:lang w:val="es-MX" w:eastAsia="es-MX"/>
                </w:rPr>
                <w:t>Portal de Transparencia del IFEQROO. Listado de escuelas evaluadas. Dirección de Certificación. IFEQROO. https://qroo.gob.mx/ifeqroo</w:t>
              </w:r>
            </w:hyperlink>
            <w:r>
              <w:rPr>
                <w:rFonts w:eastAsia="Times New Roman" w:cs="Arial"/>
                <w:sz w:val="20"/>
                <w:szCs w:val="20"/>
                <w:lang w:val="es-MX" w:eastAsia="es-MX"/>
              </w:rPr>
              <w:t>.</w:t>
            </w:r>
          </w:p>
        </w:tc>
        <w:tc>
          <w:tcPr>
            <w:tcW w:w="1709" w:type="dxa"/>
            <w:tcBorders>
              <w:top w:val="single" w:sz="4" w:space="0" w:color="auto"/>
              <w:left w:val="single" w:sz="4" w:space="0" w:color="auto"/>
              <w:bottom w:val="single" w:sz="4" w:space="0" w:color="auto"/>
              <w:right w:val="single" w:sz="4" w:space="0" w:color="auto"/>
            </w:tcBorders>
            <w:shd w:val="clear" w:color="auto" w:fill="auto"/>
            <w:hideMark/>
          </w:tcPr>
          <w:p w14:paraId="41FDBB52" w14:textId="77777777" w:rsidR="00E23746" w:rsidRPr="00882E93" w:rsidRDefault="00E23746" w:rsidP="000B2F10">
            <w:pPr>
              <w:spacing w:after="0" w:line="240" w:lineRule="auto"/>
              <w:rPr>
                <w:rFonts w:eastAsia="Times New Roman" w:cs="Arial"/>
                <w:sz w:val="20"/>
                <w:szCs w:val="20"/>
                <w:lang w:val="es-MX" w:eastAsia="es-MX"/>
              </w:rPr>
            </w:pPr>
            <w:r w:rsidRPr="00882E93">
              <w:rPr>
                <w:rFonts w:eastAsia="Times New Roman" w:cs="Arial"/>
                <w:sz w:val="20"/>
                <w:szCs w:val="20"/>
                <w:lang w:val="es-MX" w:eastAsia="es-MX"/>
              </w:rPr>
              <w:t>Los planteles públicos y privados cumplen con los requisitos que se establecen en las disposiciones legales en la materia para ser dictaminados.</w:t>
            </w:r>
          </w:p>
        </w:tc>
      </w:tr>
    </w:tbl>
    <w:p w14:paraId="2CE24343" w14:textId="409DC114" w:rsidR="00D0420D" w:rsidRDefault="00D0420D"/>
    <w:p w14:paraId="7F04EB3D" w14:textId="77777777" w:rsidR="00D0420D" w:rsidRDefault="00D0420D">
      <w:pPr>
        <w:spacing w:after="0" w:line="240" w:lineRule="auto"/>
        <w:jc w:val="left"/>
      </w:pPr>
      <w:r>
        <w:br w:type="page"/>
      </w:r>
    </w:p>
    <w:tbl>
      <w:tblPr>
        <w:tblW w:w="13887" w:type="dxa"/>
        <w:tblCellMar>
          <w:left w:w="70" w:type="dxa"/>
          <w:right w:w="70" w:type="dxa"/>
        </w:tblCellMar>
        <w:tblLook w:val="04A0" w:firstRow="1" w:lastRow="0" w:firstColumn="1" w:lastColumn="0" w:noHBand="0" w:noVBand="1"/>
      </w:tblPr>
      <w:tblGrid>
        <w:gridCol w:w="1363"/>
        <w:gridCol w:w="2610"/>
        <w:gridCol w:w="2843"/>
        <w:gridCol w:w="2076"/>
        <w:gridCol w:w="3286"/>
        <w:gridCol w:w="1709"/>
      </w:tblGrid>
      <w:tr w:rsidR="00E23746" w:rsidRPr="00882E93" w14:paraId="220DB58D" w14:textId="77777777" w:rsidTr="00D0420D">
        <w:trPr>
          <w:trHeight w:val="672"/>
        </w:trPr>
        <w:tc>
          <w:tcPr>
            <w:tcW w:w="1363"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2C5508B4" w14:textId="77777777" w:rsidR="00E23746" w:rsidRPr="00882E93" w:rsidRDefault="00E23746" w:rsidP="000B2F10">
            <w:pPr>
              <w:spacing w:after="0" w:line="240" w:lineRule="auto"/>
              <w:jc w:val="center"/>
              <w:rPr>
                <w:rFonts w:eastAsia="Times New Roman" w:cs="Arial"/>
                <w:b/>
                <w:bCs/>
                <w:sz w:val="20"/>
                <w:szCs w:val="20"/>
                <w:lang w:val="es-MX" w:eastAsia="es-MX"/>
              </w:rPr>
            </w:pPr>
            <w:r w:rsidRPr="00882E93">
              <w:rPr>
                <w:rFonts w:eastAsia="Times New Roman" w:cs="Arial"/>
                <w:b/>
                <w:bCs/>
                <w:sz w:val="20"/>
                <w:szCs w:val="20"/>
                <w:lang w:val="es-MX" w:eastAsia="es-MX"/>
              </w:rPr>
              <w:lastRenderedPageBreak/>
              <w:t>NIVEL</w:t>
            </w:r>
          </w:p>
        </w:tc>
        <w:tc>
          <w:tcPr>
            <w:tcW w:w="2610" w:type="dxa"/>
            <w:tcBorders>
              <w:top w:val="single" w:sz="4" w:space="0" w:color="auto"/>
              <w:left w:val="nil"/>
              <w:bottom w:val="single" w:sz="4" w:space="0" w:color="auto"/>
              <w:right w:val="single" w:sz="4" w:space="0" w:color="auto"/>
            </w:tcBorders>
            <w:shd w:val="clear" w:color="000000" w:fill="BFBFBF"/>
            <w:vAlign w:val="center"/>
            <w:hideMark/>
          </w:tcPr>
          <w:p w14:paraId="553BB4B6" w14:textId="77777777" w:rsidR="00E23746" w:rsidRPr="00882E93" w:rsidRDefault="00E23746" w:rsidP="000B2F10">
            <w:pPr>
              <w:spacing w:after="0" w:line="240" w:lineRule="auto"/>
              <w:jc w:val="center"/>
              <w:rPr>
                <w:rFonts w:eastAsia="Times New Roman" w:cs="Arial"/>
                <w:b/>
                <w:bCs/>
                <w:sz w:val="20"/>
                <w:szCs w:val="20"/>
                <w:lang w:val="es-MX" w:eastAsia="es-MX"/>
              </w:rPr>
            </w:pPr>
            <w:r w:rsidRPr="00882E93">
              <w:rPr>
                <w:rFonts w:eastAsia="Times New Roman" w:cs="Arial"/>
                <w:b/>
                <w:bCs/>
                <w:sz w:val="20"/>
                <w:szCs w:val="20"/>
                <w:lang w:val="es-MX" w:eastAsia="es-MX"/>
              </w:rPr>
              <w:t>ALINEACIÓN PED/PD</w:t>
            </w:r>
          </w:p>
        </w:tc>
        <w:tc>
          <w:tcPr>
            <w:tcW w:w="2843" w:type="dxa"/>
            <w:tcBorders>
              <w:top w:val="single" w:sz="4" w:space="0" w:color="auto"/>
              <w:left w:val="nil"/>
              <w:bottom w:val="single" w:sz="4" w:space="0" w:color="auto"/>
              <w:right w:val="single" w:sz="4" w:space="0" w:color="auto"/>
            </w:tcBorders>
            <w:shd w:val="clear" w:color="000000" w:fill="BFBFBF"/>
            <w:vAlign w:val="center"/>
            <w:hideMark/>
          </w:tcPr>
          <w:p w14:paraId="6E90835B" w14:textId="77777777" w:rsidR="00E23746" w:rsidRPr="00882E93" w:rsidRDefault="00E23746" w:rsidP="000B2F10">
            <w:pPr>
              <w:spacing w:after="0" w:line="240" w:lineRule="auto"/>
              <w:jc w:val="center"/>
              <w:rPr>
                <w:rFonts w:eastAsia="Times New Roman" w:cs="Arial"/>
                <w:b/>
                <w:bCs/>
                <w:sz w:val="20"/>
                <w:szCs w:val="20"/>
                <w:lang w:val="es-MX" w:eastAsia="es-MX"/>
              </w:rPr>
            </w:pPr>
            <w:r w:rsidRPr="00882E93">
              <w:rPr>
                <w:rFonts w:eastAsia="Times New Roman" w:cs="Arial"/>
                <w:b/>
                <w:bCs/>
                <w:sz w:val="20"/>
                <w:szCs w:val="20"/>
                <w:lang w:val="es-MX" w:eastAsia="es-MX"/>
              </w:rPr>
              <w:t>OBJETIVO</w:t>
            </w:r>
          </w:p>
        </w:tc>
        <w:tc>
          <w:tcPr>
            <w:tcW w:w="2076" w:type="dxa"/>
            <w:tcBorders>
              <w:top w:val="single" w:sz="4" w:space="0" w:color="auto"/>
              <w:left w:val="nil"/>
              <w:bottom w:val="single" w:sz="4" w:space="0" w:color="auto"/>
              <w:right w:val="single" w:sz="4" w:space="0" w:color="auto"/>
            </w:tcBorders>
            <w:shd w:val="clear" w:color="000000" w:fill="BFBFBF"/>
            <w:vAlign w:val="center"/>
            <w:hideMark/>
          </w:tcPr>
          <w:p w14:paraId="390C20B6" w14:textId="77777777" w:rsidR="00E23746" w:rsidRPr="00882E93" w:rsidRDefault="00E23746" w:rsidP="000B2F10">
            <w:pPr>
              <w:spacing w:after="0" w:line="240" w:lineRule="auto"/>
              <w:jc w:val="center"/>
              <w:rPr>
                <w:rFonts w:eastAsia="Times New Roman" w:cs="Arial"/>
                <w:b/>
                <w:bCs/>
                <w:sz w:val="20"/>
                <w:szCs w:val="20"/>
                <w:lang w:val="es-MX" w:eastAsia="es-MX"/>
              </w:rPr>
            </w:pPr>
            <w:r w:rsidRPr="00882E93">
              <w:rPr>
                <w:rFonts w:eastAsia="Times New Roman" w:cs="Arial"/>
                <w:b/>
                <w:bCs/>
                <w:sz w:val="20"/>
                <w:szCs w:val="20"/>
                <w:lang w:val="es-MX" w:eastAsia="es-MX"/>
              </w:rPr>
              <w:t>INDICADOR</w:t>
            </w:r>
          </w:p>
        </w:tc>
        <w:tc>
          <w:tcPr>
            <w:tcW w:w="3286" w:type="dxa"/>
            <w:tcBorders>
              <w:top w:val="single" w:sz="4" w:space="0" w:color="auto"/>
              <w:left w:val="nil"/>
              <w:bottom w:val="single" w:sz="4" w:space="0" w:color="auto"/>
              <w:right w:val="single" w:sz="4" w:space="0" w:color="auto"/>
            </w:tcBorders>
            <w:shd w:val="clear" w:color="000000" w:fill="BFBFBF"/>
            <w:vAlign w:val="center"/>
            <w:hideMark/>
          </w:tcPr>
          <w:p w14:paraId="214FBA44" w14:textId="77777777" w:rsidR="00E23746" w:rsidRPr="00882E93" w:rsidRDefault="00E23746" w:rsidP="000B2F10">
            <w:pPr>
              <w:spacing w:after="0" w:line="240" w:lineRule="auto"/>
              <w:jc w:val="center"/>
              <w:rPr>
                <w:rFonts w:eastAsia="Times New Roman" w:cs="Arial"/>
                <w:b/>
                <w:bCs/>
                <w:sz w:val="20"/>
                <w:szCs w:val="20"/>
                <w:lang w:val="es-MX" w:eastAsia="es-MX"/>
              </w:rPr>
            </w:pPr>
            <w:r w:rsidRPr="00882E93">
              <w:rPr>
                <w:rFonts w:eastAsia="Times New Roman" w:cs="Arial"/>
                <w:b/>
                <w:bCs/>
                <w:sz w:val="20"/>
                <w:szCs w:val="20"/>
                <w:lang w:val="es-MX" w:eastAsia="es-MX"/>
              </w:rPr>
              <w:t>MEDIOS DE VERIFICACIÓN</w:t>
            </w:r>
          </w:p>
        </w:tc>
        <w:tc>
          <w:tcPr>
            <w:tcW w:w="1709" w:type="dxa"/>
            <w:tcBorders>
              <w:top w:val="single" w:sz="4" w:space="0" w:color="auto"/>
              <w:left w:val="nil"/>
              <w:bottom w:val="single" w:sz="4" w:space="0" w:color="auto"/>
              <w:right w:val="single" w:sz="4" w:space="0" w:color="auto"/>
            </w:tcBorders>
            <w:shd w:val="clear" w:color="000000" w:fill="BFBFBF"/>
            <w:vAlign w:val="center"/>
            <w:hideMark/>
          </w:tcPr>
          <w:p w14:paraId="0AA97582" w14:textId="77777777" w:rsidR="00E23746" w:rsidRPr="00882E93" w:rsidRDefault="00E23746" w:rsidP="000B2F10">
            <w:pPr>
              <w:spacing w:after="0" w:line="240" w:lineRule="auto"/>
              <w:jc w:val="center"/>
              <w:rPr>
                <w:rFonts w:eastAsia="Times New Roman" w:cs="Arial"/>
                <w:b/>
                <w:bCs/>
                <w:sz w:val="20"/>
                <w:szCs w:val="20"/>
                <w:lang w:val="es-MX" w:eastAsia="es-MX"/>
              </w:rPr>
            </w:pPr>
            <w:r w:rsidRPr="00882E93">
              <w:rPr>
                <w:rFonts w:eastAsia="Times New Roman" w:cs="Arial"/>
                <w:b/>
                <w:bCs/>
                <w:sz w:val="20"/>
                <w:szCs w:val="20"/>
                <w:lang w:val="es-MX" w:eastAsia="es-MX"/>
              </w:rPr>
              <w:t>SUPUESTO</w:t>
            </w:r>
          </w:p>
        </w:tc>
      </w:tr>
      <w:tr w:rsidR="00D0420D" w:rsidRPr="00882E93" w14:paraId="46DF04A0" w14:textId="77777777" w:rsidTr="00D0420D">
        <w:trPr>
          <w:trHeight w:val="1778"/>
        </w:trPr>
        <w:tc>
          <w:tcPr>
            <w:tcW w:w="1363" w:type="dxa"/>
            <w:tcBorders>
              <w:top w:val="single" w:sz="4" w:space="0" w:color="auto"/>
              <w:left w:val="single" w:sz="4" w:space="0" w:color="auto"/>
              <w:bottom w:val="single" w:sz="4" w:space="0" w:color="auto"/>
              <w:right w:val="single" w:sz="4" w:space="0" w:color="auto"/>
            </w:tcBorders>
            <w:shd w:val="clear" w:color="auto" w:fill="auto"/>
          </w:tcPr>
          <w:p w14:paraId="11EB5BC0" w14:textId="2C553680" w:rsidR="00D0420D" w:rsidRPr="00882E93" w:rsidRDefault="00D0420D" w:rsidP="00D0420D">
            <w:pPr>
              <w:spacing w:after="0" w:line="240" w:lineRule="auto"/>
              <w:jc w:val="center"/>
              <w:rPr>
                <w:rFonts w:eastAsia="Times New Roman" w:cs="Arial"/>
                <w:b/>
                <w:bCs/>
                <w:sz w:val="20"/>
                <w:szCs w:val="20"/>
                <w:lang w:val="es-MX" w:eastAsia="es-MX"/>
              </w:rPr>
            </w:pPr>
            <w:r w:rsidRPr="00882E93">
              <w:rPr>
                <w:rFonts w:eastAsia="Times New Roman" w:cs="Arial"/>
                <w:b/>
                <w:bCs/>
                <w:sz w:val="20"/>
                <w:szCs w:val="20"/>
                <w:lang w:val="es-MX" w:eastAsia="es-MX"/>
              </w:rPr>
              <w:t>Actividad</w:t>
            </w:r>
          </w:p>
        </w:tc>
        <w:tc>
          <w:tcPr>
            <w:tcW w:w="2610" w:type="dxa"/>
            <w:tcBorders>
              <w:top w:val="single" w:sz="4" w:space="0" w:color="auto"/>
              <w:left w:val="nil"/>
              <w:bottom w:val="single" w:sz="4" w:space="0" w:color="auto"/>
              <w:right w:val="single" w:sz="4" w:space="0" w:color="auto"/>
            </w:tcBorders>
            <w:shd w:val="clear" w:color="auto" w:fill="auto"/>
          </w:tcPr>
          <w:p w14:paraId="0D2B8F7F" w14:textId="5C18A42A" w:rsidR="00D0420D" w:rsidRPr="00882E93" w:rsidRDefault="00D0420D" w:rsidP="00D0420D">
            <w:pPr>
              <w:spacing w:after="0" w:line="240" w:lineRule="auto"/>
              <w:rPr>
                <w:rFonts w:eastAsia="Times New Roman" w:cs="Arial"/>
                <w:sz w:val="20"/>
                <w:szCs w:val="20"/>
                <w:lang w:val="es-MX" w:eastAsia="es-MX"/>
              </w:rPr>
            </w:pPr>
            <w:r w:rsidRPr="00882E93">
              <w:rPr>
                <w:rFonts w:eastAsia="Times New Roman" w:cs="Arial"/>
                <w:sz w:val="20"/>
                <w:szCs w:val="20"/>
                <w:lang w:val="es-MX" w:eastAsia="es-MX"/>
              </w:rPr>
              <w:t>Desarrollar el Programa Estatal de Certificación, logrando difundir los criterios para evaluar y dictaminar las escuelas públicas y privadas del Estado, conforme la normatividad de la materia</w:t>
            </w:r>
          </w:p>
        </w:tc>
        <w:tc>
          <w:tcPr>
            <w:tcW w:w="2843" w:type="dxa"/>
            <w:tcBorders>
              <w:top w:val="single" w:sz="4" w:space="0" w:color="auto"/>
              <w:left w:val="nil"/>
              <w:bottom w:val="single" w:sz="4" w:space="0" w:color="auto"/>
              <w:right w:val="single" w:sz="4" w:space="0" w:color="auto"/>
            </w:tcBorders>
            <w:shd w:val="clear" w:color="auto" w:fill="auto"/>
          </w:tcPr>
          <w:p w14:paraId="5B2CBE32" w14:textId="385ECD07" w:rsidR="00D0420D" w:rsidRPr="00882E93" w:rsidRDefault="00D0420D" w:rsidP="00D0420D">
            <w:pPr>
              <w:spacing w:after="0" w:line="240" w:lineRule="auto"/>
              <w:rPr>
                <w:rFonts w:eastAsia="Times New Roman" w:cs="Arial"/>
                <w:sz w:val="20"/>
                <w:szCs w:val="20"/>
                <w:lang w:val="es-MX" w:eastAsia="es-MX"/>
              </w:rPr>
            </w:pPr>
            <w:r w:rsidRPr="00882E93">
              <w:rPr>
                <w:rFonts w:eastAsia="Times New Roman" w:cs="Arial"/>
                <w:sz w:val="20"/>
                <w:szCs w:val="20"/>
                <w:lang w:val="es-MX" w:eastAsia="es-MX"/>
              </w:rPr>
              <w:t>C03.A02 -  Mejoramiento de los conocimientos de los servidores públicos de IFEQROO, mediante cursos en materia de Ia INFE.</w:t>
            </w:r>
          </w:p>
        </w:tc>
        <w:tc>
          <w:tcPr>
            <w:tcW w:w="2076" w:type="dxa"/>
            <w:tcBorders>
              <w:top w:val="single" w:sz="4" w:space="0" w:color="auto"/>
              <w:left w:val="nil"/>
              <w:bottom w:val="single" w:sz="4" w:space="0" w:color="auto"/>
              <w:right w:val="single" w:sz="4" w:space="0" w:color="auto"/>
            </w:tcBorders>
            <w:shd w:val="clear" w:color="auto" w:fill="auto"/>
          </w:tcPr>
          <w:p w14:paraId="5E8973CE" w14:textId="27EC635B" w:rsidR="00D0420D" w:rsidRPr="00882E93" w:rsidRDefault="00D0420D" w:rsidP="00D0420D">
            <w:pPr>
              <w:spacing w:after="0" w:line="240" w:lineRule="auto"/>
              <w:rPr>
                <w:rFonts w:eastAsia="Times New Roman" w:cs="Arial"/>
                <w:sz w:val="20"/>
                <w:szCs w:val="20"/>
                <w:lang w:val="es-MX" w:eastAsia="es-MX"/>
              </w:rPr>
            </w:pPr>
            <w:r w:rsidRPr="00882E93">
              <w:rPr>
                <w:rFonts w:eastAsia="Times New Roman" w:cs="Arial"/>
                <w:sz w:val="20"/>
                <w:szCs w:val="20"/>
                <w:lang w:val="es-MX" w:eastAsia="es-MX"/>
              </w:rPr>
              <w:t>C03A02 - Porcentaje deservidores públicos Profesionales capacitados en materia de la I</w:t>
            </w:r>
            <w:r>
              <w:rPr>
                <w:rFonts w:eastAsia="Times New Roman" w:cs="Arial"/>
                <w:sz w:val="20"/>
                <w:szCs w:val="20"/>
                <w:lang w:val="es-MX" w:eastAsia="es-MX"/>
              </w:rPr>
              <w:t>nfraestructura Física Educativa.</w:t>
            </w:r>
          </w:p>
        </w:tc>
        <w:tc>
          <w:tcPr>
            <w:tcW w:w="3286" w:type="dxa"/>
            <w:tcBorders>
              <w:top w:val="single" w:sz="4" w:space="0" w:color="auto"/>
              <w:left w:val="nil"/>
              <w:bottom w:val="single" w:sz="4" w:space="0" w:color="auto"/>
              <w:right w:val="single" w:sz="4" w:space="0" w:color="auto"/>
            </w:tcBorders>
            <w:shd w:val="clear" w:color="auto" w:fill="auto"/>
          </w:tcPr>
          <w:p w14:paraId="5A2C9866" w14:textId="32AC5D6C" w:rsidR="00D0420D" w:rsidRDefault="005377D7" w:rsidP="00D0420D">
            <w:pPr>
              <w:spacing w:after="0" w:line="240" w:lineRule="auto"/>
            </w:pPr>
            <w:hyperlink r:id="rId51" w:history="1">
              <w:r w:rsidR="00D0420D" w:rsidRPr="00CC3907">
                <w:rPr>
                  <w:rStyle w:val="Hipervnculo"/>
                  <w:rFonts w:eastAsia="Times New Roman" w:cs="Arial"/>
                  <w:sz w:val="20"/>
                  <w:szCs w:val="20"/>
                  <w:lang w:val="es-MX" w:eastAsia="es-MX"/>
                </w:rPr>
                <w:t>Portal de Transparencia del IFEQROO. Listado de profesionales capacitados. Dirección de Certificación. IFEQROO. https://qroo.gob.mx/ifeqroo</w:t>
              </w:r>
            </w:hyperlink>
          </w:p>
        </w:tc>
        <w:tc>
          <w:tcPr>
            <w:tcW w:w="1709" w:type="dxa"/>
            <w:tcBorders>
              <w:top w:val="single" w:sz="4" w:space="0" w:color="auto"/>
              <w:left w:val="nil"/>
              <w:bottom w:val="single" w:sz="4" w:space="0" w:color="auto"/>
              <w:right w:val="single" w:sz="4" w:space="0" w:color="auto"/>
            </w:tcBorders>
            <w:shd w:val="clear" w:color="auto" w:fill="auto"/>
          </w:tcPr>
          <w:p w14:paraId="7BDF76D7" w14:textId="1988B707" w:rsidR="00D0420D" w:rsidRPr="00882E93" w:rsidRDefault="00D0420D" w:rsidP="00D0420D">
            <w:pPr>
              <w:spacing w:after="0" w:line="240" w:lineRule="auto"/>
              <w:rPr>
                <w:rFonts w:eastAsia="Times New Roman" w:cs="Arial"/>
                <w:sz w:val="20"/>
                <w:szCs w:val="20"/>
                <w:lang w:val="es-MX" w:eastAsia="es-MX"/>
              </w:rPr>
            </w:pPr>
            <w:r w:rsidRPr="00882E93">
              <w:rPr>
                <w:rFonts w:eastAsia="Times New Roman" w:cs="Arial"/>
                <w:sz w:val="20"/>
                <w:szCs w:val="20"/>
                <w:lang w:val="es-MX" w:eastAsia="es-MX"/>
              </w:rPr>
              <w:t>Los Profesionales aplican los conocimientos en materia de la Infraestructura Física Educativa.</w:t>
            </w:r>
          </w:p>
        </w:tc>
      </w:tr>
      <w:tr w:rsidR="00E23746" w:rsidRPr="00882E93" w14:paraId="5F93016C" w14:textId="77777777" w:rsidTr="00D0420D">
        <w:trPr>
          <w:trHeight w:val="1778"/>
        </w:trPr>
        <w:tc>
          <w:tcPr>
            <w:tcW w:w="1363" w:type="dxa"/>
            <w:tcBorders>
              <w:top w:val="single" w:sz="4" w:space="0" w:color="auto"/>
              <w:left w:val="single" w:sz="4" w:space="0" w:color="auto"/>
              <w:bottom w:val="single" w:sz="4" w:space="0" w:color="auto"/>
              <w:right w:val="single" w:sz="4" w:space="0" w:color="auto"/>
            </w:tcBorders>
            <w:shd w:val="clear" w:color="auto" w:fill="auto"/>
            <w:hideMark/>
          </w:tcPr>
          <w:p w14:paraId="02FA93FB" w14:textId="77777777" w:rsidR="00E23746" w:rsidRPr="00882E93" w:rsidRDefault="00E23746" w:rsidP="000B2F10">
            <w:pPr>
              <w:spacing w:after="0" w:line="240" w:lineRule="auto"/>
              <w:jc w:val="center"/>
              <w:rPr>
                <w:rFonts w:eastAsia="Times New Roman" w:cs="Arial"/>
                <w:b/>
                <w:bCs/>
                <w:sz w:val="20"/>
                <w:szCs w:val="20"/>
                <w:lang w:val="es-MX" w:eastAsia="es-MX"/>
              </w:rPr>
            </w:pPr>
            <w:r w:rsidRPr="00882E93">
              <w:rPr>
                <w:rFonts w:eastAsia="Times New Roman" w:cs="Arial"/>
                <w:b/>
                <w:bCs/>
                <w:sz w:val="20"/>
                <w:szCs w:val="20"/>
                <w:lang w:val="es-MX" w:eastAsia="es-MX"/>
              </w:rPr>
              <w:t>Actividad</w:t>
            </w:r>
          </w:p>
        </w:tc>
        <w:tc>
          <w:tcPr>
            <w:tcW w:w="2610" w:type="dxa"/>
            <w:tcBorders>
              <w:top w:val="single" w:sz="4" w:space="0" w:color="auto"/>
              <w:left w:val="nil"/>
              <w:bottom w:val="single" w:sz="4" w:space="0" w:color="auto"/>
              <w:right w:val="single" w:sz="4" w:space="0" w:color="auto"/>
            </w:tcBorders>
            <w:shd w:val="clear" w:color="auto" w:fill="auto"/>
            <w:hideMark/>
          </w:tcPr>
          <w:p w14:paraId="620BA8AC" w14:textId="77777777" w:rsidR="00E23746" w:rsidRPr="00882E93" w:rsidRDefault="00E23746" w:rsidP="000B2F10">
            <w:pPr>
              <w:spacing w:after="0" w:line="240" w:lineRule="auto"/>
              <w:rPr>
                <w:rFonts w:eastAsia="Times New Roman" w:cs="Arial"/>
                <w:sz w:val="20"/>
                <w:szCs w:val="20"/>
                <w:lang w:val="es-MX" w:eastAsia="es-MX"/>
              </w:rPr>
            </w:pPr>
            <w:r w:rsidRPr="00882E93">
              <w:rPr>
                <w:rFonts w:eastAsia="Times New Roman" w:cs="Arial"/>
                <w:sz w:val="20"/>
                <w:szCs w:val="20"/>
                <w:lang w:val="es-MX" w:eastAsia="es-MX"/>
              </w:rPr>
              <w:t>Desarrollar el Programa Estatal de Certificación, logrando difundir los criterios para evaluar y dictaminar las escuelas públicas y privadas del Estado, conforme la normatividad de la materia</w:t>
            </w:r>
            <w:r>
              <w:rPr>
                <w:rFonts w:eastAsia="Times New Roman" w:cs="Arial"/>
                <w:sz w:val="20"/>
                <w:szCs w:val="20"/>
                <w:lang w:val="es-MX" w:eastAsia="es-MX"/>
              </w:rPr>
              <w:t>.</w:t>
            </w:r>
          </w:p>
        </w:tc>
        <w:tc>
          <w:tcPr>
            <w:tcW w:w="2843" w:type="dxa"/>
            <w:tcBorders>
              <w:top w:val="single" w:sz="4" w:space="0" w:color="auto"/>
              <w:left w:val="nil"/>
              <w:bottom w:val="single" w:sz="4" w:space="0" w:color="auto"/>
              <w:right w:val="single" w:sz="4" w:space="0" w:color="auto"/>
            </w:tcBorders>
            <w:shd w:val="clear" w:color="auto" w:fill="auto"/>
            <w:hideMark/>
          </w:tcPr>
          <w:p w14:paraId="7452B9EE" w14:textId="77777777" w:rsidR="00E23746" w:rsidRPr="00882E93" w:rsidRDefault="00E23746" w:rsidP="000B2F10">
            <w:pPr>
              <w:spacing w:after="0" w:line="240" w:lineRule="auto"/>
              <w:rPr>
                <w:rFonts w:eastAsia="Times New Roman" w:cs="Arial"/>
                <w:sz w:val="20"/>
                <w:szCs w:val="20"/>
                <w:lang w:val="es-MX" w:eastAsia="es-MX"/>
              </w:rPr>
            </w:pPr>
            <w:r w:rsidRPr="00882E93">
              <w:rPr>
                <w:rFonts w:eastAsia="Times New Roman" w:cs="Arial"/>
                <w:sz w:val="20"/>
                <w:szCs w:val="20"/>
                <w:lang w:val="es-MX" w:eastAsia="es-MX"/>
              </w:rPr>
              <w:t xml:space="preserve">C03.A03 - Notificación del Programa Estatal de Certificación y sus requisitos a los planteles educativos. </w:t>
            </w:r>
          </w:p>
        </w:tc>
        <w:tc>
          <w:tcPr>
            <w:tcW w:w="2076" w:type="dxa"/>
            <w:tcBorders>
              <w:top w:val="single" w:sz="4" w:space="0" w:color="auto"/>
              <w:left w:val="nil"/>
              <w:bottom w:val="single" w:sz="4" w:space="0" w:color="auto"/>
              <w:right w:val="single" w:sz="4" w:space="0" w:color="auto"/>
            </w:tcBorders>
            <w:shd w:val="clear" w:color="auto" w:fill="auto"/>
            <w:hideMark/>
          </w:tcPr>
          <w:p w14:paraId="24B3E270" w14:textId="77777777" w:rsidR="00E23746" w:rsidRPr="00882E93" w:rsidRDefault="00E23746" w:rsidP="000B2F10">
            <w:pPr>
              <w:spacing w:after="0" w:line="240" w:lineRule="auto"/>
              <w:rPr>
                <w:rFonts w:eastAsia="Times New Roman" w:cs="Arial"/>
                <w:sz w:val="20"/>
                <w:szCs w:val="20"/>
                <w:lang w:val="es-MX" w:eastAsia="es-MX"/>
              </w:rPr>
            </w:pPr>
            <w:r w:rsidRPr="00882E93">
              <w:rPr>
                <w:rFonts w:eastAsia="Times New Roman" w:cs="Arial"/>
                <w:sz w:val="20"/>
                <w:szCs w:val="20"/>
                <w:lang w:val="es-MX" w:eastAsia="es-MX"/>
              </w:rPr>
              <w:t>C03A03 - Porcentaje de escuelas notificadas sobre el Programa Estatal de Certificación</w:t>
            </w:r>
            <w:r>
              <w:rPr>
                <w:rFonts w:eastAsia="Times New Roman" w:cs="Arial"/>
                <w:sz w:val="20"/>
                <w:szCs w:val="20"/>
                <w:lang w:val="es-MX" w:eastAsia="es-MX"/>
              </w:rPr>
              <w:t>.</w:t>
            </w:r>
            <w:r w:rsidRPr="00882E93">
              <w:rPr>
                <w:rFonts w:eastAsia="Times New Roman" w:cs="Arial"/>
                <w:sz w:val="20"/>
                <w:szCs w:val="20"/>
                <w:lang w:val="es-MX" w:eastAsia="es-MX"/>
              </w:rPr>
              <w:t xml:space="preserve"> </w:t>
            </w:r>
          </w:p>
        </w:tc>
        <w:tc>
          <w:tcPr>
            <w:tcW w:w="3286" w:type="dxa"/>
            <w:tcBorders>
              <w:top w:val="single" w:sz="4" w:space="0" w:color="auto"/>
              <w:left w:val="nil"/>
              <w:bottom w:val="single" w:sz="4" w:space="0" w:color="auto"/>
              <w:right w:val="single" w:sz="4" w:space="0" w:color="auto"/>
            </w:tcBorders>
            <w:shd w:val="clear" w:color="auto" w:fill="auto"/>
            <w:hideMark/>
          </w:tcPr>
          <w:p w14:paraId="2402A9A6" w14:textId="77777777" w:rsidR="00E23746" w:rsidRPr="00882E93" w:rsidRDefault="005377D7" w:rsidP="000B2F10">
            <w:pPr>
              <w:spacing w:after="0" w:line="240" w:lineRule="auto"/>
              <w:rPr>
                <w:rFonts w:eastAsia="Times New Roman" w:cs="Arial"/>
                <w:sz w:val="20"/>
                <w:szCs w:val="20"/>
                <w:lang w:val="es-MX" w:eastAsia="es-MX"/>
              </w:rPr>
            </w:pPr>
            <w:hyperlink r:id="rId52" w:history="1">
              <w:r w:rsidR="00E23746" w:rsidRPr="00882E93">
                <w:rPr>
                  <w:rFonts w:eastAsia="Times New Roman" w:cs="Arial"/>
                  <w:sz w:val="20"/>
                  <w:szCs w:val="20"/>
                  <w:lang w:val="es-MX" w:eastAsia="es-MX"/>
                </w:rPr>
                <w:t>Acuses de Oficios de notificación del Programa Estatal de Certificación  Dirección de Certificaciòn. IFEQROO. https://qroo.gob.mx/ifeqroo/medios-de-verificacion-metas-e-indicadores</w:t>
              </w:r>
            </w:hyperlink>
            <w:r w:rsidR="00E23746">
              <w:rPr>
                <w:rFonts w:eastAsia="Times New Roman" w:cs="Arial"/>
                <w:sz w:val="20"/>
                <w:szCs w:val="20"/>
                <w:lang w:val="es-MX" w:eastAsia="es-MX"/>
              </w:rPr>
              <w:t>.</w:t>
            </w:r>
          </w:p>
        </w:tc>
        <w:tc>
          <w:tcPr>
            <w:tcW w:w="1709" w:type="dxa"/>
            <w:tcBorders>
              <w:top w:val="single" w:sz="4" w:space="0" w:color="auto"/>
              <w:left w:val="nil"/>
              <w:bottom w:val="single" w:sz="4" w:space="0" w:color="auto"/>
              <w:right w:val="single" w:sz="4" w:space="0" w:color="auto"/>
            </w:tcBorders>
            <w:shd w:val="clear" w:color="auto" w:fill="auto"/>
            <w:hideMark/>
          </w:tcPr>
          <w:p w14:paraId="1532F94F" w14:textId="77777777" w:rsidR="00E23746" w:rsidRPr="00882E93" w:rsidRDefault="00E23746" w:rsidP="000B2F10">
            <w:pPr>
              <w:spacing w:after="0" w:line="240" w:lineRule="auto"/>
              <w:rPr>
                <w:rFonts w:eastAsia="Times New Roman" w:cs="Arial"/>
                <w:sz w:val="20"/>
                <w:szCs w:val="20"/>
                <w:lang w:val="es-MX" w:eastAsia="es-MX"/>
              </w:rPr>
            </w:pPr>
            <w:r w:rsidRPr="00882E93">
              <w:rPr>
                <w:rFonts w:eastAsia="Times New Roman" w:cs="Arial"/>
                <w:sz w:val="20"/>
                <w:szCs w:val="20"/>
                <w:lang w:val="es-MX" w:eastAsia="es-MX"/>
              </w:rPr>
              <w:t>Los planteles cumplen en la certificación de acuerdo a lo establecido en las disposiciones legales de la materia</w:t>
            </w:r>
            <w:r>
              <w:rPr>
                <w:rFonts w:eastAsia="Times New Roman" w:cs="Arial"/>
                <w:sz w:val="20"/>
                <w:szCs w:val="20"/>
                <w:lang w:val="es-MX" w:eastAsia="es-MX"/>
              </w:rPr>
              <w:t>.</w:t>
            </w:r>
          </w:p>
        </w:tc>
      </w:tr>
    </w:tbl>
    <w:p w14:paraId="25AA6F24" w14:textId="77777777" w:rsidR="00E23746" w:rsidRDefault="00E23746" w:rsidP="00E23746">
      <w:pPr>
        <w:rPr>
          <w:rFonts w:eastAsia="Calibri" w:cs="Arial"/>
          <w:bCs/>
          <w:color w:val="595959" w:themeColor="text1" w:themeTint="A6"/>
          <w:sz w:val="18"/>
          <w:szCs w:val="20"/>
        </w:rPr>
      </w:pPr>
      <w:r w:rsidRPr="0093279A">
        <w:rPr>
          <w:rFonts w:eastAsia="Calibri" w:cs="Arial"/>
          <w:bCs/>
          <w:color w:val="595959" w:themeColor="text1" w:themeTint="A6"/>
          <w:sz w:val="18"/>
          <w:szCs w:val="20"/>
        </w:rPr>
        <w:t>El anexo aquí presentado es perfectible, y se encuentra susceptible de modificaciones programáticas toda vez que así se le indique por observaciones de auditorías, evaluaciones al desempeño y revisiones de la Secretaría de Finanzas y Planeación antes y durante el ejercicio fiscal del que se trate, así como también, cuando las condiciones del Ente Público responsable de dicha información programática requiera hacer modificaciones a sus necesidades institucionales, atendiendo a lo establecido en los Lineamientos para la Creación, Modificación y Cancelación de Programas Presupuestarios y para la Modificación de Metas del Gobierno del Estado de Quintana Roo.</w:t>
      </w:r>
    </w:p>
    <w:p w14:paraId="5C6FC590" w14:textId="77777777" w:rsidR="00E23746" w:rsidRDefault="00E23746" w:rsidP="00E23746">
      <w:pPr>
        <w:rPr>
          <w:lang w:val="es-MX" w:eastAsia="en-US"/>
        </w:rPr>
      </w:pPr>
      <w:r>
        <w:rPr>
          <w:lang w:val="es-MX" w:eastAsia="en-US"/>
        </w:rPr>
        <w:br w:type="page"/>
      </w:r>
    </w:p>
    <w:tbl>
      <w:tblPr>
        <w:tblW w:w="14029" w:type="dxa"/>
        <w:tblLayout w:type="fixed"/>
        <w:tblCellMar>
          <w:left w:w="70" w:type="dxa"/>
          <w:right w:w="70" w:type="dxa"/>
        </w:tblCellMar>
        <w:tblLook w:val="04A0" w:firstRow="1" w:lastRow="0" w:firstColumn="1" w:lastColumn="0" w:noHBand="0" w:noVBand="1"/>
      </w:tblPr>
      <w:tblGrid>
        <w:gridCol w:w="1182"/>
        <w:gridCol w:w="2782"/>
        <w:gridCol w:w="2977"/>
        <w:gridCol w:w="2126"/>
        <w:gridCol w:w="2980"/>
        <w:gridCol w:w="1982"/>
      </w:tblGrid>
      <w:tr w:rsidR="00E23746" w:rsidRPr="00CE65F0" w14:paraId="4B520846" w14:textId="77777777" w:rsidTr="000B2F10">
        <w:trPr>
          <w:trHeight w:val="518"/>
        </w:trPr>
        <w:tc>
          <w:tcPr>
            <w:tcW w:w="3964" w:type="dxa"/>
            <w:gridSpan w:val="2"/>
            <w:tcBorders>
              <w:top w:val="single" w:sz="4" w:space="0" w:color="auto"/>
              <w:left w:val="single" w:sz="4" w:space="0" w:color="auto"/>
              <w:bottom w:val="single" w:sz="4" w:space="0" w:color="auto"/>
              <w:right w:val="single" w:sz="4" w:space="0" w:color="000000"/>
            </w:tcBorders>
            <w:shd w:val="clear" w:color="000000" w:fill="BFBFBF"/>
            <w:vAlign w:val="center"/>
            <w:hideMark/>
          </w:tcPr>
          <w:p w14:paraId="46FAFA82" w14:textId="77777777" w:rsidR="00E23746" w:rsidRPr="00CE65F0" w:rsidRDefault="00E23746" w:rsidP="000B2F10">
            <w:pPr>
              <w:spacing w:after="0" w:line="240" w:lineRule="auto"/>
              <w:jc w:val="center"/>
              <w:rPr>
                <w:rFonts w:eastAsia="Times New Roman" w:cs="Arial"/>
                <w:b/>
                <w:bCs/>
                <w:sz w:val="20"/>
                <w:szCs w:val="20"/>
                <w:lang w:val="es-MX" w:eastAsia="es-MX"/>
              </w:rPr>
            </w:pPr>
            <w:r w:rsidRPr="00CE65F0">
              <w:rPr>
                <w:rFonts w:eastAsia="Times New Roman" w:cs="Arial"/>
                <w:b/>
                <w:bCs/>
                <w:sz w:val="20"/>
                <w:szCs w:val="20"/>
                <w:lang w:val="es-MX" w:eastAsia="es-MX"/>
              </w:rPr>
              <w:lastRenderedPageBreak/>
              <w:t>PROGRAMA PRESUPUESTARIO:</w:t>
            </w:r>
          </w:p>
        </w:tc>
        <w:tc>
          <w:tcPr>
            <w:tcW w:w="10065" w:type="dxa"/>
            <w:gridSpan w:val="4"/>
            <w:tcBorders>
              <w:top w:val="single" w:sz="4" w:space="0" w:color="auto"/>
              <w:left w:val="nil"/>
              <w:bottom w:val="single" w:sz="4" w:space="0" w:color="auto"/>
              <w:right w:val="single" w:sz="4" w:space="0" w:color="auto"/>
            </w:tcBorders>
            <w:shd w:val="clear" w:color="auto" w:fill="auto"/>
            <w:vAlign w:val="center"/>
            <w:hideMark/>
          </w:tcPr>
          <w:p w14:paraId="256914DC" w14:textId="77777777" w:rsidR="00E23746" w:rsidRPr="00CE65F0" w:rsidRDefault="00E23746" w:rsidP="000B2F10">
            <w:pPr>
              <w:spacing w:after="0" w:line="240" w:lineRule="auto"/>
              <w:jc w:val="left"/>
              <w:rPr>
                <w:rFonts w:eastAsia="Times New Roman" w:cs="Arial"/>
                <w:sz w:val="20"/>
                <w:szCs w:val="20"/>
                <w:lang w:val="es-MX" w:eastAsia="es-MX"/>
              </w:rPr>
            </w:pPr>
            <w:r w:rsidRPr="00CE65F0">
              <w:rPr>
                <w:rFonts w:eastAsia="Times New Roman" w:cs="Arial"/>
                <w:sz w:val="20"/>
                <w:szCs w:val="20"/>
                <w:lang w:val="es-MX" w:eastAsia="es-MX"/>
              </w:rPr>
              <w:t>Rezago Educativo.</w:t>
            </w:r>
          </w:p>
        </w:tc>
      </w:tr>
      <w:tr w:rsidR="00E23746" w:rsidRPr="00CE65F0" w14:paraId="31D89BE9" w14:textId="77777777" w:rsidTr="000B2F10">
        <w:trPr>
          <w:trHeight w:val="503"/>
        </w:trPr>
        <w:tc>
          <w:tcPr>
            <w:tcW w:w="3964" w:type="dxa"/>
            <w:gridSpan w:val="2"/>
            <w:tcBorders>
              <w:top w:val="single" w:sz="4" w:space="0" w:color="auto"/>
              <w:left w:val="single" w:sz="4" w:space="0" w:color="auto"/>
              <w:bottom w:val="single" w:sz="4" w:space="0" w:color="auto"/>
              <w:right w:val="single" w:sz="4" w:space="0" w:color="000000"/>
            </w:tcBorders>
            <w:shd w:val="clear" w:color="000000" w:fill="BFBFBF"/>
            <w:vAlign w:val="center"/>
            <w:hideMark/>
          </w:tcPr>
          <w:p w14:paraId="251442CB" w14:textId="77777777" w:rsidR="00E23746" w:rsidRPr="00CE65F0" w:rsidRDefault="00E23746" w:rsidP="000B2F10">
            <w:pPr>
              <w:spacing w:after="0" w:line="240" w:lineRule="auto"/>
              <w:jc w:val="center"/>
              <w:rPr>
                <w:rFonts w:eastAsia="Times New Roman" w:cs="Arial"/>
                <w:b/>
                <w:bCs/>
                <w:sz w:val="20"/>
                <w:szCs w:val="20"/>
                <w:lang w:val="es-MX" w:eastAsia="es-MX"/>
              </w:rPr>
            </w:pPr>
            <w:r w:rsidRPr="00CE65F0">
              <w:rPr>
                <w:rFonts w:eastAsia="Times New Roman" w:cs="Arial"/>
                <w:b/>
                <w:bCs/>
                <w:sz w:val="20"/>
                <w:szCs w:val="20"/>
                <w:lang w:val="es-MX" w:eastAsia="es-MX"/>
              </w:rPr>
              <w:t>INSTITUCIÓN:</w:t>
            </w:r>
          </w:p>
        </w:tc>
        <w:tc>
          <w:tcPr>
            <w:tcW w:w="10065" w:type="dxa"/>
            <w:gridSpan w:val="4"/>
            <w:tcBorders>
              <w:top w:val="single" w:sz="4" w:space="0" w:color="auto"/>
              <w:left w:val="nil"/>
              <w:bottom w:val="single" w:sz="4" w:space="0" w:color="auto"/>
              <w:right w:val="single" w:sz="4" w:space="0" w:color="auto"/>
            </w:tcBorders>
            <w:shd w:val="clear" w:color="auto" w:fill="auto"/>
            <w:vAlign w:val="center"/>
            <w:hideMark/>
          </w:tcPr>
          <w:p w14:paraId="155325AA" w14:textId="77777777" w:rsidR="00E23746" w:rsidRPr="00CE65F0" w:rsidRDefault="00E23746" w:rsidP="000B2F10">
            <w:pPr>
              <w:spacing w:after="0" w:line="240" w:lineRule="auto"/>
              <w:jc w:val="left"/>
              <w:rPr>
                <w:rFonts w:eastAsia="Times New Roman" w:cs="Arial"/>
                <w:sz w:val="20"/>
                <w:szCs w:val="20"/>
                <w:lang w:val="es-MX" w:eastAsia="es-MX"/>
              </w:rPr>
            </w:pPr>
            <w:r w:rsidRPr="00CE65F0">
              <w:rPr>
                <w:rFonts w:eastAsia="Times New Roman" w:cs="Arial"/>
                <w:sz w:val="20"/>
                <w:szCs w:val="20"/>
                <w:lang w:val="es-MX" w:eastAsia="es-MX"/>
              </w:rPr>
              <w:t>1307 - Instituto Estatal para la Educación de Jóvenes y Adultos</w:t>
            </w:r>
          </w:p>
        </w:tc>
      </w:tr>
      <w:tr w:rsidR="00E23746" w:rsidRPr="00CE65F0" w14:paraId="6CA3BBB6" w14:textId="77777777" w:rsidTr="000B2F10">
        <w:trPr>
          <w:trHeight w:val="282"/>
        </w:trPr>
        <w:tc>
          <w:tcPr>
            <w:tcW w:w="1182" w:type="dxa"/>
            <w:tcBorders>
              <w:top w:val="nil"/>
              <w:left w:val="nil"/>
              <w:bottom w:val="nil"/>
              <w:right w:val="nil"/>
            </w:tcBorders>
            <w:shd w:val="clear" w:color="auto" w:fill="auto"/>
            <w:hideMark/>
          </w:tcPr>
          <w:p w14:paraId="5DE2197A" w14:textId="77777777" w:rsidR="00E23746" w:rsidRPr="00CE65F0" w:rsidRDefault="00E23746" w:rsidP="000B2F10">
            <w:pPr>
              <w:spacing w:after="0" w:line="240" w:lineRule="auto"/>
              <w:jc w:val="left"/>
              <w:rPr>
                <w:rFonts w:eastAsia="Times New Roman" w:cs="Arial"/>
                <w:sz w:val="20"/>
                <w:szCs w:val="20"/>
                <w:lang w:val="es-MX" w:eastAsia="es-MX"/>
              </w:rPr>
            </w:pPr>
          </w:p>
        </w:tc>
        <w:tc>
          <w:tcPr>
            <w:tcW w:w="2782" w:type="dxa"/>
            <w:tcBorders>
              <w:top w:val="nil"/>
              <w:left w:val="nil"/>
              <w:bottom w:val="nil"/>
              <w:right w:val="nil"/>
            </w:tcBorders>
            <w:shd w:val="clear" w:color="auto" w:fill="auto"/>
            <w:hideMark/>
          </w:tcPr>
          <w:p w14:paraId="45F8435F" w14:textId="77777777" w:rsidR="00E23746" w:rsidRPr="00CE65F0" w:rsidRDefault="00E23746" w:rsidP="000B2F10">
            <w:pPr>
              <w:spacing w:after="0" w:line="240" w:lineRule="auto"/>
              <w:jc w:val="left"/>
              <w:rPr>
                <w:rFonts w:ascii="Times New Roman" w:eastAsia="Times New Roman" w:hAnsi="Times New Roman" w:cs="Times New Roman"/>
                <w:sz w:val="20"/>
                <w:szCs w:val="20"/>
                <w:lang w:val="es-MX" w:eastAsia="es-MX"/>
              </w:rPr>
            </w:pPr>
          </w:p>
        </w:tc>
        <w:tc>
          <w:tcPr>
            <w:tcW w:w="2977" w:type="dxa"/>
            <w:tcBorders>
              <w:top w:val="nil"/>
              <w:left w:val="nil"/>
              <w:bottom w:val="nil"/>
              <w:right w:val="nil"/>
            </w:tcBorders>
            <w:shd w:val="clear" w:color="auto" w:fill="auto"/>
            <w:hideMark/>
          </w:tcPr>
          <w:p w14:paraId="603D7C7C" w14:textId="77777777" w:rsidR="00E23746" w:rsidRPr="00CE65F0" w:rsidRDefault="00E23746" w:rsidP="000B2F10">
            <w:pPr>
              <w:spacing w:after="0" w:line="240" w:lineRule="auto"/>
              <w:jc w:val="left"/>
              <w:rPr>
                <w:rFonts w:ascii="Times New Roman" w:eastAsia="Times New Roman" w:hAnsi="Times New Roman" w:cs="Times New Roman"/>
                <w:sz w:val="20"/>
                <w:szCs w:val="20"/>
                <w:lang w:val="es-MX" w:eastAsia="es-MX"/>
              </w:rPr>
            </w:pPr>
          </w:p>
        </w:tc>
        <w:tc>
          <w:tcPr>
            <w:tcW w:w="2126" w:type="dxa"/>
            <w:tcBorders>
              <w:top w:val="nil"/>
              <w:left w:val="nil"/>
              <w:bottom w:val="nil"/>
              <w:right w:val="nil"/>
            </w:tcBorders>
            <w:shd w:val="clear" w:color="auto" w:fill="auto"/>
            <w:hideMark/>
          </w:tcPr>
          <w:p w14:paraId="31DD8D3F" w14:textId="77777777" w:rsidR="00E23746" w:rsidRPr="00CE65F0" w:rsidRDefault="00E23746" w:rsidP="000B2F10">
            <w:pPr>
              <w:spacing w:after="0" w:line="240" w:lineRule="auto"/>
              <w:jc w:val="left"/>
              <w:rPr>
                <w:rFonts w:ascii="Times New Roman" w:eastAsia="Times New Roman" w:hAnsi="Times New Roman" w:cs="Times New Roman"/>
                <w:sz w:val="20"/>
                <w:szCs w:val="20"/>
                <w:lang w:val="es-MX" w:eastAsia="es-MX"/>
              </w:rPr>
            </w:pPr>
          </w:p>
        </w:tc>
        <w:tc>
          <w:tcPr>
            <w:tcW w:w="2980" w:type="dxa"/>
            <w:tcBorders>
              <w:top w:val="nil"/>
              <w:left w:val="nil"/>
              <w:bottom w:val="nil"/>
              <w:right w:val="nil"/>
            </w:tcBorders>
            <w:shd w:val="clear" w:color="auto" w:fill="auto"/>
            <w:hideMark/>
          </w:tcPr>
          <w:p w14:paraId="1B806874" w14:textId="77777777" w:rsidR="00E23746" w:rsidRPr="00CE65F0" w:rsidRDefault="00E23746" w:rsidP="000B2F10">
            <w:pPr>
              <w:spacing w:after="0" w:line="240" w:lineRule="auto"/>
              <w:jc w:val="left"/>
              <w:rPr>
                <w:rFonts w:ascii="Times New Roman" w:eastAsia="Times New Roman" w:hAnsi="Times New Roman" w:cs="Times New Roman"/>
                <w:sz w:val="20"/>
                <w:szCs w:val="20"/>
                <w:lang w:val="es-MX" w:eastAsia="es-MX"/>
              </w:rPr>
            </w:pPr>
          </w:p>
        </w:tc>
        <w:tc>
          <w:tcPr>
            <w:tcW w:w="1982" w:type="dxa"/>
            <w:tcBorders>
              <w:top w:val="nil"/>
              <w:left w:val="nil"/>
              <w:bottom w:val="nil"/>
              <w:right w:val="nil"/>
            </w:tcBorders>
            <w:shd w:val="clear" w:color="auto" w:fill="auto"/>
            <w:hideMark/>
          </w:tcPr>
          <w:p w14:paraId="2833F752" w14:textId="77777777" w:rsidR="00E23746" w:rsidRPr="00CE65F0" w:rsidRDefault="00E23746" w:rsidP="000B2F10">
            <w:pPr>
              <w:spacing w:after="0" w:line="240" w:lineRule="auto"/>
              <w:jc w:val="left"/>
              <w:rPr>
                <w:rFonts w:ascii="Times New Roman" w:eastAsia="Times New Roman" w:hAnsi="Times New Roman" w:cs="Times New Roman"/>
                <w:sz w:val="20"/>
                <w:szCs w:val="20"/>
                <w:lang w:val="es-MX" w:eastAsia="es-MX"/>
              </w:rPr>
            </w:pPr>
          </w:p>
        </w:tc>
      </w:tr>
      <w:tr w:rsidR="00E23746" w:rsidRPr="00CE65F0" w14:paraId="20CD753D" w14:textId="77777777" w:rsidTr="006B434D">
        <w:trPr>
          <w:trHeight w:val="375"/>
        </w:trPr>
        <w:tc>
          <w:tcPr>
            <w:tcW w:w="14029" w:type="dxa"/>
            <w:gridSpan w:val="6"/>
            <w:tcBorders>
              <w:top w:val="single" w:sz="4" w:space="0" w:color="auto"/>
              <w:left w:val="single" w:sz="4" w:space="0" w:color="auto"/>
              <w:bottom w:val="single" w:sz="4" w:space="0" w:color="auto"/>
              <w:right w:val="single" w:sz="4" w:space="0" w:color="000000"/>
            </w:tcBorders>
            <w:shd w:val="clear" w:color="000000" w:fill="BFBFBF"/>
            <w:vAlign w:val="center"/>
            <w:hideMark/>
          </w:tcPr>
          <w:p w14:paraId="6065146D" w14:textId="77777777" w:rsidR="00E23746" w:rsidRPr="00CE65F0" w:rsidRDefault="00E23746" w:rsidP="000B2F10">
            <w:pPr>
              <w:spacing w:after="0" w:line="240" w:lineRule="auto"/>
              <w:jc w:val="center"/>
              <w:rPr>
                <w:rFonts w:eastAsia="Times New Roman" w:cs="Arial"/>
                <w:b/>
                <w:bCs/>
                <w:sz w:val="20"/>
                <w:szCs w:val="20"/>
                <w:lang w:val="es-MX" w:eastAsia="es-MX"/>
              </w:rPr>
            </w:pPr>
            <w:r w:rsidRPr="00CE65F0">
              <w:rPr>
                <w:rFonts w:eastAsia="Times New Roman" w:cs="Arial"/>
                <w:b/>
                <w:bCs/>
                <w:sz w:val="20"/>
                <w:szCs w:val="20"/>
                <w:lang w:val="es-MX" w:eastAsia="es-MX"/>
              </w:rPr>
              <w:t>MATRIZ DE INDICADORES PARA RESULTADOS (MIR)</w:t>
            </w:r>
          </w:p>
        </w:tc>
      </w:tr>
      <w:tr w:rsidR="00E23746" w:rsidRPr="00CE65F0" w14:paraId="22E26BC0" w14:textId="77777777" w:rsidTr="006B434D">
        <w:trPr>
          <w:trHeight w:val="758"/>
        </w:trPr>
        <w:tc>
          <w:tcPr>
            <w:tcW w:w="1182"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05175E42" w14:textId="77777777" w:rsidR="00E23746" w:rsidRPr="00CE65F0" w:rsidRDefault="00E23746" w:rsidP="000B2F10">
            <w:pPr>
              <w:spacing w:after="0" w:line="240" w:lineRule="auto"/>
              <w:jc w:val="center"/>
              <w:rPr>
                <w:rFonts w:eastAsia="Times New Roman" w:cs="Arial"/>
                <w:b/>
                <w:bCs/>
                <w:sz w:val="20"/>
                <w:szCs w:val="20"/>
                <w:lang w:val="es-MX" w:eastAsia="es-MX"/>
              </w:rPr>
            </w:pPr>
            <w:r w:rsidRPr="00CE65F0">
              <w:rPr>
                <w:rFonts w:eastAsia="Times New Roman" w:cs="Arial"/>
                <w:b/>
                <w:bCs/>
                <w:sz w:val="20"/>
                <w:szCs w:val="20"/>
                <w:lang w:val="es-MX" w:eastAsia="es-MX"/>
              </w:rPr>
              <w:t>NIVEL</w:t>
            </w:r>
          </w:p>
        </w:tc>
        <w:tc>
          <w:tcPr>
            <w:tcW w:w="2782" w:type="dxa"/>
            <w:tcBorders>
              <w:top w:val="single" w:sz="4" w:space="0" w:color="auto"/>
              <w:left w:val="nil"/>
              <w:bottom w:val="single" w:sz="4" w:space="0" w:color="auto"/>
              <w:right w:val="single" w:sz="4" w:space="0" w:color="auto"/>
            </w:tcBorders>
            <w:shd w:val="clear" w:color="000000" w:fill="BFBFBF"/>
            <w:vAlign w:val="center"/>
            <w:hideMark/>
          </w:tcPr>
          <w:p w14:paraId="6C87CD2F" w14:textId="77777777" w:rsidR="00E23746" w:rsidRPr="00CE65F0" w:rsidRDefault="00E23746" w:rsidP="000B2F10">
            <w:pPr>
              <w:spacing w:after="0" w:line="240" w:lineRule="auto"/>
              <w:jc w:val="center"/>
              <w:rPr>
                <w:rFonts w:eastAsia="Times New Roman" w:cs="Arial"/>
                <w:b/>
                <w:bCs/>
                <w:sz w:val="20"/>
                <w:szCs w:val="20"/>
                <w:lang w:val="es-MX" w:eastAsia="es-MX"/>
              </w:rPr>
            </w:pPr>
            <w:r w:rsidRPr="00CE65F0">
              <w:rPr>
                <w:rFonts w:eastAsia="Times New Roman" w:cs="Arial"/>
                <w:b/>
                <w:bCs/>
                <w:sz w:val="20"/>
                <w:szCs w:val="20"/>
                <w:lang w:val="es-MX" w:eastAsia="es-MX"/>
              </w:rPr>
              <w:t>ALINEACIÓN PED/PD</w:t>
            </w:r>
          </w:p>
        </w:tc>
        <w:tc>
          <w:tcPr>
            <w:tcW w:w="2977" w:type="dxa"/>
            <w:tcBorders>
              <w:top w:val="single" w:sz="4" w:space="0" w:color="auto"/>
              <w:left w:val="nil"/>
              <w:bottom w:val="single" w:sz="4" w:space="0" w:color="auto"/>
              <w:right w:val="single" w:sz="4" w:space="0" w:color="auto"/>
            </w:tcBorders>
            <w:shd w:val="clear" w:color="000000" w:fill="BFBFBF"/>
            <w:vAlign w:val="center"/>
            <w:hideMark/>
          </w:tcPr>
          <w:p w14:paraId="30D781A8" w14:textId="77777777" w:rsidR="00E23746" w:rsidRPr="00CE65F0" w:rsidRDefault="00E23746" w:rsidP="000B2F10">
            <w:pPr>
              <w:spacing w:after="0" w:line="240" w:lineRule="auto"/>
              <w:jc w:val="center"/>
              <w:rPr>
                <w:rFonts w:eastAsia="Times New Roman" w:cs="Arial"/>
                <w:b/>
                <w:bCs/>
                <w:sz w:val="20"/>
                <w:szCs w:val="20"/>
                <w:lang w:val="es-MX" w:eastAsia="es-MX"/>
              </w:rPr>
            </w:pPr>
            <w:r w:rsidRPr="00CE65F0">
              <w:rPr>
                <w:rFonts w:eastAsia="Times New Roman" w:cs="Arial"/>
                <w:b/>
                <w:bCs/>
                <w:sz w:val="20"/>
                <w:szCs w:val="20"/>
                <w:lang w:val="es-MX" w:eastAsia="es-MX"/>
              </w:rPr>
              <w:t>OBJETIVO</w:t>
            </w:r>
          </w:p>
        </w:tc>
        <w:tc>
          <w:tcPr>
            <w:tcW w:w="2126" w:type="dxa"/>
            <w:tcBorders>
              <w:top w:val="single" w:sz="4" w:space="0" w:color="auto"/>
              <w:left w:val="nil"/>
              <w:bottom w:val="single" w:sz="4" w:space="0" w:color="auto"/>
              <w:right w:val="single" w:sz="4" w:space="0" w:color="auto"/>
            </w:tcBorders>
            <w:shd w:val="clear" w:color="000000" w:fill="BFBFBF"/>
            <w:vAlign w:val="center"/>
            <w:hideMark/>
          </w:tcPr>
          <w:p w14:paraId="5695CDFD" w14:textId="77777777" w:rsidR="00E23746" w:rsidRPr="00CE65F0" w:rsidRDefault="00E23746" w:rsidP="000B2F10">
            <w:pPr>
              <w:spacing w:after="0" w:line="240" w:lineRule="auto"/>
              <w:jc w:val="center"/>
              <w:rPr>
                <w:rFonts w:eastAsia="Times New Roman" w:cs="Arial"/>
                <w:b/>
                <w:bCs/>
                <w:sz w:val="20"/>
                <w:szCs w:val="20"/>
                <w:lang w:val="es-MX" w:eastAsia="es-MX"/>
              </w:rPr>
            </w:pPr>
            <w:r w:rsidRPr="00CE65F0">
              <w:rPr>
                <w:rFonts w:eastAsia="Times New Roman" w:cs="Arial"/>
                <w:b/>
                <w:bCs/>
                <w:sz w:val="20"/>
                <w:szCs w:val="20"/>
                <w:lang w:val="es-MX" w:eastAsia="es-MX"/>
              </w:rPr>
              <w:t>INDICADOR</w:t>
            </w:r>
          </w:p>
        </w:tc>
        <w:tc>
          <w:tcPr>
            <w:tcW w:w="2980" w:type="dxa"/>
            <w:tcBorders>
              <w:top w:val="single" w:sz="4" w:space="0" w:color="auto"/>
              <w:left w:val="nil"/>
              <w:bottom w:val="single" w:sz="4" w:space="0" w:color="auto"/>
              <w:right w:val="single" w:sz="4" w:space="0" w:color="auto"/>
            </w:tcBorders>
            <w:shd w:val="clear" w:color="000000" w:fill="BFBFBF"/>
            <w:vAlign w:val="center"/>
            <w:hideMark/>
          </w:tcPr>
          <w:p w14:paraId="4C0C5972" w14:textId="77777777" w:rsidR="00E23746" w:rsidRPr="00CE65F0" w:rsidRDefault="00E23746" w:rsidP="000B2F10">
            <w:pPr>
              <w:spacing w:after="0" w:line="240" w:lineRule="auto"/>
              <w:jc w:val="center"/>
              <w:rPr>
                <w:rFonts w:eastAsia="Times New Roman" w:cs="Arial"/>
                <w:b/>
                <w:bCs/>
                <w:sz w:val="20"/>
                <w:szCs w:val="20"/>
                <w:lang w:val="es-MX" w:eastAsia="es-MX"/>
              </w:rPr>
            </w:pPr>
            <w:r w:rsidRPr="00CE65F0">
              <w:rPr>
                <w:rFonts w:eastAsia="Times New Roman" w:cs="Arial"/>
                <w:b/>
                <w:bCs/>
                <w:sz w:val="20"/>
                <w:szCs w:val="20"/>
                <w:lang w:val="es-MX" w:eastAsia="es-MX"/>
              </w:rPr>
              <w:t>MEDIOS DE VERIFICACIÓN</w:t>
            </w:r>
          </w:p>
        </w:tc>
        <w:tc>
          <w:tcPr>
            <w:tcW w:w="1982" w:type="dxa"/>
            <w:tcBorders>
              <w:top w:val="single" w:sz="4" w:space="0" w:color="auto"/>
              <w:left w:val="nil"/>
              <w:bottom w:val="single" w:sz="4" w:space="0" w:color="auto"/>
              <w:right w:val="single" w:sz="4" w:space="0" w:color="auto"/>
            </w:tcBorders>
            <w:shd w:val="clear" w:color="000000" w:fill="BFBFBF"/>
            <w:vAlign w:val="center"/>
            <w:hideMark/>
          </w:tcPr>
          <w:p w14:paraId="10D051E5" w14:textId="77777777" w:rsidR="00E23746" w:rsidRPr="00CE65F0" w:rsidRDefault="00E23746" w:rsidP="000B2F10">
            <w:pPr>
              <w:spacing w:after="0" w:line="240" w:lineRule="auto"/>
              <w:ind w:right="-218"/>
              <w:jc w:val="center"/>
              <w:rPr>
                <w:rFonts w:eastAsia="Times New Roman" w:cs="Arial"/>
                <w:b/>
                <w:bCs/>
                <w:sz w:val="20"/>
                <w:szCs w:val="20"/>
                <w:lang w:val="es-MX" w:eastAsia="es-MX"/>
              </w:rPr>
            </w:pPr>
            <w:r w:rsidRPr="00CE65F0">
              <w:rPr>
                <w:rFonts w:eastAsia="Times New Roman" w:cs="Arial"/>
                <w:b/>
                <w:bCs/>
                <w:sz w:val="20"/>
                <w:szCs w:val="20"/>
                <w:lang w:val="es-MX" w:eastAsia="es-MX"/>
              </w:rPr>
              <w:t>SUPUESTO</w:t>
            </w:r>
          </w:p>
        </w:tc>
      </w:tr>
      <w:tr w:rsidR="00E23746" w:rsidRPr="00CE65F0" w14:paraId="74BF68CC" w14:textId="77777777" w:rsidTr="006B434D">
        <w:trPr>
          <w:trHeight w:val="1992"/>
        </w:trPr>
        <w:tc>
          <w:tcPr>
            <w:tcW w:w="1182" w:type="dxa"/>
            <w:tcBorders>
              <w:top w:val="single" w:sz="4" w:space="0" w:color="auto"/>
              <w:left w:val="single" w:sz="4" w:space="0" w:color="auto"/>
              <w:bottom w:val="single" w:sz="4" w:space="0" w:color="auto"/>
              <w:right w:val="single" w:sz="4" w:space="0" w:color="auto"/>
            </w:tcBorders>
            <w:shd w:val="clear" w:color="auto" w:fill="auto"/>
            <w:hideMark/>
          </w:tcPr>
          <w:p w14:paraId="634C6902" w14:textId="77777777" w:rsidR="00E23746" w:rsidRPr="00CE65F0" w:rsidRDefault="00E23746" w:rsidP="000B2F10">
            <w:pPr>
              <w:spacing w:after="0" w:line="240" w:lineRule="auto"/>
              <w:jc w:val="center"/>
              <w:rPr>
                <w:rFonts w:eastAsia="Times New Roman" w:cs="Arial"/>
                <w:b/>
                <w:bCs/>
                <w:sz w:val="20"/>
                <w:szCs w:val="20"/>
                <w:lang w:val="es-MX" w:eastAsia="es-MX"/>
              </w:rPr>
            </w:pPr>
            <w:r w:rsidRPr="00CE65F0">
              <w:rPr>
                <w:rFonts w:eastAsia="Times New Roman" w:cs="Arial"/>
                <w:b/>
                <w:bCs/>
                <w:sz w:val="20"/>
                <w:szCs w:val="20"/>
                <w:lang w:val="es-MX" w:eastAsia="es-MX"/>
              </w:rPr>
              <w:t>Fin</w:t>
            </w:r>
          </w:p>
        </w:tc>
        <w:tc>
          <w:tcPr>
            <w:tcW w:w="2782" w:type="dxa"/>
            <w:tcBorders>
              <w:top w:val="single" w:sz="4" w:space="0" w:color="auto"/>
              <w:left w:val="nil"/>
              <w:bottom w:val="single" w:sz="4" w:space="0" w:color="auto"/>
              <w:right w:val="single" w:sz="4" w:space="0" w:color="auto"/>
            </w:tcBorders>
            <w:shd w:val="clear" w:color="auto" w:fill="auto"/>
            <w:hideMark/>
          </w:tcPr>
          <w:p w14:paraId="05655DC7" w14:textId="77777777" w:rsidR="00E23746" w:rsidRPr="00CE65F0" w:rsidRDefault="00E23746" w:rsidP="000B2F10">
            <w:pPr>
              <w:spacing w:after="0" w:line="240" w:lineRule="auto"/>
              <w:rPr>
                <w:rFonts w:eastAsia="Times New Roman" w:cs="Arial"/>
                <w:sz w:val="20"/>
                <w:szCs w:val="20"/>
                <w:lang w:val="es-MX" w:eastAsia="es-MX"/>
              </w:rPr>
            </w:pPr>
            <w:r w:rsidRPr="00CE65F0">
              <w:rPr>
                <w:rFonts w:eastAsia="Times New Roman" w:cs="Arial"/>
                <w:sz w:val="20"/>
                <w:szCs w:val="20"/>
                <w:lang w:val="es-MX" w:eastAsia="es-MX"/>
              </w:rPr>
              <w:t>Garantizar el acceso y permanencia a una educación inclusiva y de calidad en todos los niveles educativos que promueva en los educandos aprendizajes para la vida.</w:t>
            </w:r>
          </w:p>
        </w:tc>
        <w:tc>
          <w:tcPr>
            <w:tcW w:w="2977" w:type="dxa"/>
            <w:tcBorders>
              <w:top w:val="single" w:sz="4" w:space="0" w:color="auto"/>
              <w:left w:val="nil"/>
              <w:bottom w:val="single" w:sz="4" w:space="0" w:color="auto"/>
              <w:right w:val="single" w:sz="4" w:space="0" w:color="auto"/>
            </w:tcBorders>
            <w:shd w:val="clear" w:color="auto" w:fill="auto"/>
            <w:hideMark/>
          </w:tcPr>
          <w:p w14:paraId="1CCB4BED" w14:textId="77777777" w:rsidR="00E23746" w:rsidRDefault="00E23746" w:rsidP="000B2F10">
            <w:pPr>
              <w:spacing w:after="0" w:line="240" w:lineRule="auto"/>
              <w:rPr>
                <w:rFonts w:eastAsia="Times New Roman" w:cs="Arial"/>
                <w:sz w:val="20"/>
                <w:szCs w:val="20"/>
                <w:lang w:val="es-MX" w:eastAsia="es-MX"/>
              </w:rPr>
            </w:pPr>
            <w:r w:rsidRPr="00CE65F0">
              <w:rPr>
                <w:rFonts w:eastAsia="Times New Roman" w:cs="Arial"/>
                <w:sz w:val="20"/>
                <w:szCs w:val="20"/>
                <w:lang w:val="es-MX" w:eastAsia="es-MX"/>
              </w:rPr>
              <w:t>F - Contribuir a garantizar el acceso y permanencia a una educación inclusiva y de calidad en todos los niveles educativos que promueva en los educandos aprendizajes para la vida mediante estrategias de atención a la demanda y permanencia en todos los niveles educativos.</w:t>
            </w:r>
          </w:p>
          <w:p w14:paraId="3E2C7227" w14:textId="77777777" w:rsidR="00E23746" w:rsidRDefault="00E23746" w:rsidP="000B2F10">
            <w:pPr>
              <w:spacing w:after="0" w:line="240" w:lineRule="auto"/>
              <w:rPr>
                <w:rFonts w:eastAsia="Times New Roman" w:cs="Arial"/>
                <w:sz w:val="20"/>
                <w:szCs w:val="20"/>
                <w:lang w:val="es-MX" w:eastAsia="es-MX"/>
              </w:rPr>
            </w:pPr>
          </w:p>
          <w:p w14:paraId="4A241EB4" w14:textId="77777777" w:rsidR="00E23746" w:rsidRDefault="00E23746" w:rsidP="000B2F10">
            <w:pPr>
              <w:spacing w:after="0" w:line="240" w:lineRule="auto"/>
              <w:rPr>
                <w:rFonts w:eastAsia="Times New Roman" w:cs="Arial"/>
                <w:sz w:val="20"/>
                <w:szCs w:val="20"/>
                <w:lang w:val="es-MX" w:eastAsia="es-MX"/>
              </w:rPr>
            </w:pPr>
          </w:p>
          <w:p w14:paraId="66BAC5BE" w14:textId="77777777" w:rsidR="00E23746" w:rsidRPr="00CE65F0" w:rsidRDefault="00E23746" w:rsidP="000B2F10">
            <w:pPr>
              <w:spacing w:after="0" w:line="240" w:lineRule="auto"/>
              <w:rPr>
                <w:rFonts w:eastAsia="Times New Roman" w:cs="Arial"/>
                <w:sz w:val="20"/>
                <w:szCs w:val="20"/>
                <w:lang w:val="es-MX" w:eastAsia="es-MX"/>
              </w:rPr>
            </w:pPr>
          </w:p>
        </w:tc>
        <w:tc>
          <w:tcPr>
            <w:tcW w:w="2126" w:type="dxa"/>
            <w:tcBorders>
              <w:top w:val="single" w:sz="4" w:space="0" w:color="auto"/>
              <w:left w:val="nil"/>
              <w:bottom w:val="single" w:sz="4" w:space="0" w:color="auto"/>
              <w:right w:val="single" w:sz="4" w:space="0" w:color="auto"/>
            </w:tcBorders>
            <w:shd w:val="clear" w:color="auto" w:fill="auto"/>
            <w:hideMark/>
          </w:tcPr>
          <w:p w14:paraId="2640E883" w14:textId="77777777" w:rsidR="00E23746" w:rsidRPr="00CE65F0" w:rsidRDefault="00E23746" w:rsidP="000B2F10">
            <w:pPr>
              <w:spacing w:after="0" w:line="240" w:lineRule="auto"/>
              <w:rPr>
                <w:rFonts w:eastAsia="Times New Roman" w:cs="Arial"/>
                <w:sz w:val="20"/>
                <w:szCs w:val="20"/>
                <w:lang w:val="es-MX" w:eastAsia="es-MX"/>
              </w:rPr>
            </w:pPr>
            <w:r w:rsidRPr="00CE65F0">
              <w:rPr>
                <w:rFonts w:eastAsia="Times New Roman" w:cs="Arial"/>
                <w:sz w:val="20"/>
                <w:szCs w:val="20"/>
                <w:lang w:val="es-MX" w:eastAsia="es-MX"/>
              </w:rPr>
              <w:t>Tasa de cobertura estatal de educación superior.</w:t>
            </w:r>
          </w:p>
        </w:tc>
        <w:tc>
          <w:tcPr>
            <w:tcW w:w="2980" w:type="dxa"/>
            <w:tcBorders>
              <w:top w:val="single" w:sz="4" w:space="0" w:color="auto"/>
              <w:left w:val="nil"/>
              <w:bottom w:val="single" w:sz="4" w:space="0" w:color="auto"/>
              <w:right w:val="single" w:sz="4" w:space="0" w:color="auto"/>
            </w:tcBorders>
            <w:shd w:val="clear" w:color="auto" w:fill="auto"/>
            <w:hideMark/>
          </w:tcPr>
          <w:p w14:paraId="23249EF1" w14:textId="77777777" w:rsidR="00E23746" w:rsidRDefault="00E23746" w:rsidP="000B2F10">
            <w:pPr>
              <w:spacing w:after="0" w:line="240" w:lineRule="auto"/>
              <w:rPr>
                <w:rFonts w:eastAsia="Times New Roman" w:cs="Arial"/>
                <w:sz w:val="20"/>
                <w:szCs w:val="20"/>
                <w:lang w:val="es-MX" w:eastAsia="es-MX"/>
              </w:rPr>
            </w:pPr>
            <w:r w:rsidRPr="00846E84">
              <w:rPr>
                <w:rFonts w:eastAsia="Times New Roman" w:cs="Arial"/>
                <w:sz w:val="20"/>
                <w:szCs w:val="20"/>
                <w:lang w:val="es-MX" w:eastAsia="es-MX"/>
              </w:rPr>
              <w:t xml:space="preserve">Estadísticas continúas del formato 911, matrícula de inicio de ciclo escolar, SEQ. Proyecciones de población por edad desplegada, entidad federativa (Quintana Roo) 1970-2050, CONAPO, </w:t>
            </w:r>
            <w:hyperlink r:id="rId53" w:history="1">
              <w:r w:rsidRPr="003135B9">
                <w:rPr>
                  <w:rStyle w:val="Hipervnculo"/>
                  <w:rFonts w:eastAsia="Times New Roman" w:cs="Arial"/>
                  <w:sz w:val="20"/>
                  <w:szCs w:val="20"/>
                  <w:lang w:val="es-MX" w:eastAsia="es-MX"/>
                </w:rPr>
                <w:t>https://qroo.gob.mx/seq/medios-de-verificacion-de-la-planeacion-anual</w:t>
              </w:r>
            </w:hyperlink>
            <w:r>
              <w:rPr>
                <w:rFonts w:eastAsia="Times New Roman" w:cs="Arial"/>
                <w:sz w:val="20"/>
                <w:szCs w:val="20"/>
                <w:lang w:val="es-MX" w:eastAsia="es-MX"/>
              </w:rPr>
              <w:t>.</w:t>
            </w:r>
          </w:p>
          <w:p w14:paraId="4EF2439D" w14:textId="77777777" w:rsidR="00E23746" w:rsidRDefault="00E23746" w:rsidP="000B2F10">
            <w:pPr>
              <w:spacing w:after="0" w:line="240" w:lineRule="auto"/>
              <w:rPr>
                <w:rFonts w:eastAsia="Times New Roman" w:cs="Arial"/>
                <w:sz w:val="20"/>
                <w:szCs w:val="20"/>
                <w:lang w:val="es-MX" w:eastAsia="es-MX"/>
              </w:rPr>
            </w:pPr>
          </w:p>
          <w:p w14:paraId="3F18C37D" w14:textId="77777777" w:rsidR="00E23746" w:rsidRPr="00CE65F0" w:rsidRDefault="00E23746" w:rsidP="000B2F10">
            <w:pPr>
              <w:spacing w:after="0" w:line="240" w:lineRule="auto"/>
              <w:rPr>
                <w:rFonts w:eastAsia="Times New Roman" w:cs="Arial"/>
                <w:sz w:val="20"/>
                <w:szCs w:val="20"/>
                <w:lang w:val="es-MX" w:eastAsia="es-MX"/>
              </w:rPr>
            </w:pPr>
          </w:p>
        </w:tc>
        <w:tc>
          <w:tcPr>
            <w:tcW w:w="1982" w:type="dxa"/>
            <w:tcBorders>
              <w:top w:val="single" w:sz="4" w:space="0" w:color="auto"/>
              <w:left w:val="nil"/>
              <w:bottom w:val="single" w:sz="4" w:space="0" w:color="auto"/>
              <w:right w:val="single" w:sz="4" w:space="0" w:color="auto"/>
            </w:tcBorders>
            <w:shd w:val="clear" w:color="auto" w:fill="auto"/>
            <w:hideMark/>
          </w:tcPr>
          <w:p w14:paraId="34106A01" w14:textId="77777777" w:rsidR="00E23746" w:rsidRPr="00CE65F0" w:rsidRDefault="00E23746" w:rsidP="000B2F10">
            <w:pPr>
              <w:spacing w:after="0" w:line="240" w:lineRule="auto"/>
              <w:rPr>
                <w:rFonts w:eastAsia="Times New Roman" w:cs="Arial"/>
                <w:sz w:val="20"/>
                <w:szCs w:val="20"/>
                <w:lang w:val="es-MX" w:eastAsia="es-MX"/>
              </w:rPr>
            </w:pPr>
            <w:r w:rsidRPr="00882E93">
              <w:rPr>
                <w:rFonts w:eastAsia="Times New Roman" w:cs="Arial"/>
                <w:sz w:val="20"/>
                <w:szCs w:val="20"/>
                <w:lang w:val="es-MX" w:eastAsia="es-MX"/>
              </w:rPr>
              <w:t>La población del Estado obtiene una educación integral de calidad que les permite progresar individual y colectivamente.</w:t>
            </w:r>
          </w:p>
        </w:tc>
      </w:tr>
      <w:tr w:rsidR="00E23746" w:rsidRPr="00CE65F0" w14:paraId="7D14C3CD" w14:textId="77777777" w:rsidTr="000B2F10">
        <w:trPr>
          <w:trHeight w:val="1212"/>
        </w:trPr>
        <w:tc>
          <w:tcPr>
            <w:tcW w:w="1182" w:type="dxa"/>
            <w:tcBorders>
              <w:top w:val="single" w:sz="4" w:space="0" w:color="auto"/>
              <w:left w:val="single" w:sz="4" w:space="0" w:color="auto"/>
              <w:bottom w:val="single" w:sz="4" w:space="0" w:color="auto"/>
              <w:right w:val="single" w:sz="4" w:space="0" w:color="auto"/>
            </w:tcBorders>
            <w:shd w:val="clear" w:color="auto" w:fill="auto"/>
            <w:hideMark/>
          </w:tcPr>
          <w:p w14:paraId="6E246267" w14:textId="77777777" w:rsidR="00E23746" w:rsidRPr="00CE65F0" w:rsidRDefault="00E23746" w:rsidP="000B2F10">
            <w:pPr>
              <w:spacing w:after="0" w:line="240" w:lineRule="auto"/>
              <w:jc w:val="center"/>
              <w:rPr>
                <w:rFonts w:eastAsia="Times New Roman" w:cs="Arial"/>
                <w:b/>
                <w:bCs/>
                <w:sz w:val="20"/>
                <w:szCs w:val="20"/>
                <w:lang w:val="es-MX" w:eastAsia="es-MX"/>
              </w:rPr>
            </w:pPr>
            <w:r w:rsidRPr="00CE65F0">
              <w:rPr>
                <w:rFonts w:eastAsia="Times New Roman" w:cs="Arial"/>
                <w:b/>
                <w:bCs/>
                <w:sz w:val="20"/>
                <w:szCs w:val="20"/>
                <w:lang w:val="es-MX" w:eastAsia="es-MX"/>
              </w:rPr>
              <w:t>Propósito</w:t>
            </w:r>
          </w:p>
        </w:tc>
        <w:tc>
          <w:tcPr>
            <w:tcW w:w="2782" w:type="dxa"/>
            <w:tcBorders>
              <w:top w:val="single" w:sz="4" w:space="0" w:color="auto"/>
              <w:left w:val="nil"/>
              <w:bottom w:val="single" w:sz="4" w:space="0" w:color="auto"/>
              <w:right w:val="single" w:sz="4" w:space="0" w:color="auto"/>
            </w:tcBorders>
            <w:shd w:val="clear" w:color="auto" w:fill="auto"/>
            <w:hideMark/>
          </w:tcPr>
          <w:p w14:paraId="04DFF2D9" w14:textId="77777777" w:rsidR="00E23746" w:rsidRPr="00CE65F0" w:rsidRDefault="00E23746" w:rsidP="000B2F10">
            <w:pPr>
              <w:spacing w:after="0" w:line="240" w:lineRule="auto"/>
              <w:rPr>
                <w:rFonts w:eastAsia="Times New Roman" w:cs="Arial"/>
                <w:sz w:val="20"/>
                <w:szCs w:val="20"/>
                <w:lang w:val="es-MX" w:eastAsia="es-MX"/>
              </w:rPr>
            </w:pPr>
            <w:r w:rsidRPr="00CE65F0">
              <w:rPr>
                <w:rFonts w:eastAsia="Times New Roman" w:cs="Arial"/>
                <w:sz w:val="20"/>
                <w:szCs w:val="20"/>
                <w:lang w:val="es-MX" w:eastAsia="es-MX"/>
              </w:rPr>
              <w:t>Lograr que las personas de 15 años y más en rezago educativo en la entidad concluyan su educación básica</w:t>
            </w:r>
            <w:r>
              <w:rPr>
                <w:rFonts w:eastAsia="Times New Roman" w:cs="Arial"/>
                <w:sz w:val="20"/>
                <w:szCs w:val="20"/>
                <w:lang w:val="es-MX" w:eastAsia="es-MX"/>
              </w:rPr>
              <w:t>.</w:t>
            </w:r>
            <w:r w:rsidRPr="00CE65F0">
              <w:rPr>
                <w:rFonts w:eastAsia="Times New Roman" w:cs="Arial"/>
                <w:sz w:val="20"/>
                <w:szCs w:val="20"/>
                <w:lang w:val="es-MX" w:eastAsia="es-MX"/>
              </w:rPr>
              <w:t xml:space="preserve"> </w:t>
            </w:r>
          </w:p>
        </w:tc>
        <w:tc>
          <w:tcPr>
            <w:tcW w:w="2977" w:type="dxa"/>
            <w:tcBorders>
              <w:top w:val="single" w:sz="4" w:space="0" w:color="auto"/>
              <w:left w:val="nil"/>
              <w:bottom w:val="single" w:sz="4" w:space="0" w:color="auto"/>
              <w:right w:val="single" w:sz="4" w:space="0" w:color="auto"/>
            </w:tcBorders>
            <w:shd w:val="clear" w:color="auto" w:fill="auto"/>
            <w:hideMark/>
          </w:tcPr>
          <w:p w14:paraId="1E7411D3" w14:textId="77777777" w:rsidR="00E23746" w:rsidRPr="00CE65F0" w:rsidRDefault="00E23746" w:rsidP="000B2F10">
            <w:pPr>
              <w:spacing w:after="0" w:line="240" w:lineRule="auto"/>
              <w:rPr>
                <w:rFonts w:eastAsia="Times New Roman" w:cs="Arial"/>
                <w:sz w:val="20"/>
                <w:szCs w:val="20"/>
                <w:lang w:val="es-MX" w:eastAsia="es-MX"/>
              </w:rPr>
            </w:pPr>
            <w:r w:rsidRPr="00CE65F0">
              <w:rPr>
                <w:rFonts w:eastAsia="Times New Roman" w:cs="Arial"/>
                <w:sz w:val="20"/>
                <w:szCs w:val="20"/>
                <w:lang w:val="es-MX" w:eastAsia="es-MX"/>
              </w:rPr>
              <w:t>P - Personas de 15 años o más en el estado  logran salir del rezago educativo al concluir su educación básica</w:t>
            </w:r>
            <w:r>
              <w:rPr>
                <w:rFonts w:eastAsia="Times New Roman" w:cs="Arial"/>
                <w:sz w:val="20"/>
                <w:szCs w:val="20"/>
                <w:lang w:val="es-MX" w:eastAsia="es-MX"/>
              </w:rPr>
              <w:t>.</w:t>
            </w:r>
          </w:p>
        </w:tc>
        <w:tc>
          <w:tcPr>
            <w:tcW w:w="2126" w:type="dxa"/>
            <w:tcBorders>
              <w:top w:val="single" w:sz="4" w:space="0" w:color="auto"/>
              <w:left w:val="nil"/>
              <w:bottom w:val="single" w:sz="4" w:space="0" w:color="auto"/>
              <w:right w:val="single" w:sz="4" w:space="0" w:color="auto"/>
            </w:tcBorders>
            <w:shd w:val="clear" w:color="auto" w:fill="auto"/>
            <w:hideMark/>
          </w:tcPr>
          <w:p w14:paraId="65DC9ED2" w14:textId="77777777" w:rsidR="00E23746" w:rsidRPr="00CE65F0" w:rsidRDefault="00E23746" w:rsidP="000B2F10">
            <w:pPr>
              <w:spacing w:after="0" w:line="240" w:lineRule="auto"/>
              <w:rPr>
                <w:rFonts w:eastAsia="Times New Roman" w:cs="Arial"/>
                <w:sz w:val="20"/>
                <w:szCs w:val="20"/>
                <w:lang w:val="es-MX" w:eastAsia="es-MX"/>
              </w:rPr>
            </w:pPr>
            <w:r w:rsidRPr="00CE65F0">
              <w:rPr>
                <w:rFonts w:eastAsia="Times New Roman" w:cs="Arial"/>
                <w:sz w:val="20"/>
                <w:szCs w:val="20"/>
                <w:lang w:val="es-MX" w:eastAsia="es-MX"/>
              </w:rPr>
              <w:t>Tasa de rezago educativo de la población de 15 años y más</w:t>
            </w:r>
            <w:r>
              <w:rPr>
                <w:rFonts w:eastAsia="Times New Roman" w:cs="Arial"/>
                <w:sz w:val="20"/>
                <w:szCs w:val="20"/>
                <w:lang w:val="es-MX" w:eastAsia="es-MX"/>
              </w:rPr>
              <w:t>.</w:t>
            </w:r>
          </w:p>
        </w:tc>
        <w:tc>
          <w:tcPr>
            <w:tcW w:w="2980" w:type="dxa"/>
            <w:tcBorders>
              <w:top w:val="single" w:sz="4" w:space="0" w:color="auto"/>
              <w:left w:val="nil"/>
              <w:bottom w:val="single" w:sz="4" w:space="0" w:color="auto"/>
              <w:right w:val="single" w:sz="4" w:space="0" w:color="auto"/>
            </w:tcBorders>
            <w:shd w:val="clear" w:color="auto" w:fill="auto"/>
            <w:hideMark/>
          </w:tcPr>
          <w:p w14:paraId="5BC5CFF4" w14:textId="77777777" w:rsidR="00E23746" w:rsidRPr="00CE65F0" w:rsidRDefault="005377D7" w:rsidP="000B2F10">
            <w:pPr>
              <w:spacing w:after="0" w:line="240" w:lineRule="auto"/>
              <w:rPr>
                <w:rFonts w:eastAsia="Times New Roman" w:cs="Arial"/>
                <w:sz w:val="20"/>
                <w:szCs w:val="20"/>
                <w:lang w:val="es-MX" w:eastAsia="es-MX"/>
              </w:rPr>
            </w:pPr>
            <w:hyperlink r:id="rId54" w:history="1">
              <w:r w:rsidR="00E23746" w:rsidRPr="00CE65F0">
                <w:rPr>
                  <w:rFonts w:eastAsia="Times New Roman" w:cs="Arial"/>
                  <w:sz w:val="20"/>
                  <w:szCs w:val="20"/>
                  <w:lang w:val="es-MX" w:eastAsia="es-MX"/>
                </w:rPr>
                <w:t>www.gob.mx/inea/documentos/rezago-educativo-quintana-roo</w:t>
              </w:r>
            </w:hyperlink>
            <w:r w:rsidR="00E23746">
              <w:rPr>
                <w:rFonts w:eastAsia="Times New Roman" w:cs="Arial"/>
                <w:sz w:val="20"/>
                <w:szCs w:val="20"/>
                <w:lang w:val="es-MX" w:eastAsia="es-MX"/>
              </w:rPr>
              <w:t>.</w:t>
            </w:r>
          </w:p>
        </w:tc>
        <w:tc>
          <w:tcPr>
            <w:tcW w:w="1982" w:type="dxa"/>
            <w:tcBorders>
              <w:top w:val="single" w:sz="4" w:space="0" w:color="auto"/>
              <w:left w:val="nil"/>
              <w:bottom w:val="single" w:sz="4" w:space="0" w:color="auto"/>
              <w:right w:val="single" w:sz="4" w:space="0" w:color="auto"/>
            </w:tcBorders>
            <w:shd w:val="clear" w:color="auto" w:fill="auto"/>
            <w:hideMark/>
          </w:tcPr>
          <w:p w14:paraId="4EC7B289" w14:textId="77777777" w:rsidR="00E23746" w:rsidRDefault="00E23746" w:rsidP="000B2F10">
            <w:pPr>
              <w:spacing w:after="0" w:line="240" w:lineRule="auto"/>
              <w:rPr>
                <w:rFonts w:eastAsia="Times New Roman" w:cs="Arial"/>
                <w:sz w:val="20"/>
                <w:szCs w:val="20"/>
                <w:lang w:val="es-MX" w:eastAsia="es-MX"/>
              </w:rPr>
            </w:pPr>
            <w:r w:rsidRPr="00CE65F0">
              <w:rPr>
                <w:rFonts w:eastAsia="Times New Roman" w:cs="Arial"/>
                <w:sz w:val="20"/>
                <w:szCs w:val="20"/>
                <w:lang w:val="es-MX" w:eastAsia="es-MX"/>
              </w:rPr>
              <w:t>Todas las personas atendidas en el nivel educativo de secundaria concluyen su programa educativo</w:t>
            </w:r>
            <w:r>
              <w:rPr>
                <w:rFonts w:eastAsia="Times New Roman" w:cs="Arial"/>
                <w:sz w:val="20"/>
                <w:szCs w:val="20"/>
                <w:lang w:val="es-MX" w:eastAsia="es-MX"/>
              </w:rPr>
              <w:t>.</w:t>
            </w:r>
          </w:p>
          <w:p w14:paraId="5E190503" w14:textId="77777777" w:rsidR="00E23746" w:rsidRDefault="00E23746" w:rsidP="000B2F10">
            <w:pPr>
              <w:spacing w:after="0" w:line="240" w:lineRule="auto"/>
              <w:rPr>
                <w:rFonts w:eastAsia="Times New Roman" w:cs="Arial"/>
                <w:sz w:val="20"/>
                <w:szCs w:val="20"/>
                <w:lang w:val="es-MX" w:eastAsia="es-MX"/>
              </w:rPr>
            </w:pPr>
          </w:p>
          <w:p w14:paraId="00E23CBB" w14:textId="77777777" w:rsidR="00E23746" w:rsidRDefault="00E23746" w:rsidP="000B2F10">
            <w:pPr>
              <w:spacing w:after="0" w:line="240" w:lineRule="auto"/>
              <w:rPr>
                <w:rFonts w:eastAsia="Times New Roman" w:cs="Arial"/>
                <w:sz w:val="20"/>
                <w:szCs w:val="20"/>
                <w:lang w:val="es-MX" w:eastAsia="es-MX"/>
              </w:rPr>
            </w:pPr>
          </w:p>
          <w:p w14:paraId="02406FFC" w14:textId="77777777" w:rsidR="00E23746" w:rsidRPr="00CE65F0" w:rsidRDefault="00E23746" w:rsidP="000B2F10">
            <w:pPr>
              <w:spacing w:after="0" w:line="240" w:lineRule="auto"/>
              <w:rPr>
                <w:rFonts w:eastAsia="Times New Roman" w:cs="Arial"/>
                <w:sz w:val="20"/>
                <w:szCs w:val="20"/>
                <w:lang w:val="es-MX" w:eastAsia="es-MX"/>
              </w:rPr>
            </w:pPr>
          </w:p>
        </w:tc>
      </w:tr>
    </w:tbl>
    <w:p w14:paraId="26488EC5" w14:textId="77777777" w:rsidR="00E83FE2" w:rsidRDefault="00E83FE2">
      <w:pPr>
        <w:spacing w:after="0" w:line="240" w:lineRule="auto"/>
        <w:jc w:val="left"/>
      </w:pPr>
      <w:r>
        <w:br w:type="page"/>
      </w:r>
    </w:p>
    <w:tbl>
      <w:tblPr>
        <w:tblW w:w="14029" w:type="dxa"/>
        <w:tblLayout w:type="fixed"/>
        <w:tblCellMar>
          <w:left w:w="70" w:type="dxa"/>
          <w:right w:w="70" w:type="dxa"/>
        </w:tblCellMar>
        <w:tblLook w:val="04A0" w:firstRow="1" w:lastRow="0" w:firstColumn="1" w:lastColumn="0" w:noHBand="0" w:noVBand="1"/>
      </w:tblPr>
      <w:tblGrid>
        <w:gridCol w:w="1413"/>
        <w:gridCol w:w="2551"/>
        <w:gridCol w:w="2977"/>
        <w:gridCol w:w="2126"/>
        <w:gridCol w:w="2980"/>
        <w:gridCol w:w="1982"/>
      </w:tblGrid>
      <w:tr w:rsidR="00E23746" w:rsidRPr="00CE65F0" w14:paraId="4F080650" w14:textId="77777777" w:rsidTr="00D0420D">
        <w:trPr>
          <w:trHeight w:val="758"/>
        </w:trPr>
        <w:tc>
          <w:tcPr>
            <w:tcW w:w="1413"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20A89016" w14:textId="77777777" w:rsidR="00E23746" w:rsidRPr="00CE65F0" w:rsidRDefault="00E23746" w:rsidP="000B2F10">
            <w:pPr>
              <w:spacing w:after="0" w:line="240" w:lineRule="auto"/>
              <w:jc w:val="center"/>
              <w:rPr>
                <w:rFonts w:eastAsia="Times New Roman" w:cs="Arial"/>
                <w:b/>
                <w:bCs/>
                <w:sz w:val="20"/>
                <w:szCs w:val="20"/>
                <w:lang w:val="es-MX" w:eastAsia="es-MX"/>
              </w:rPr>
            </w:pPr>
            <w:r w:rsidRPr="00CE65F0">
              <w:rPr>
                <w:rFonts w:eastAsia="Times New Roman" w:cs="Arial"/>
                <w:b/>
                <w:bCs/>
                <w:sz w:val="20"/>
                <w:szCs w:val="20"/>
                <w:lang w:val="es-MX" w:eastAsia="es-MX"/>
              </w:rPr>
              <w:lastRenderedPageBreak/>
              <w:t>NIVEL</w:t>
            </w:r>
          </w:p>
        </w:tc>
        <w:tc>
          <w:tcPr>
            <w:tcW w:w="2551" w:type="dxa"/>
            <w:tcBorders>
              <w:top w:val="single" w:sz="4" w:space="0" w:color="auto"/>
              <w:left w:val="nil"/>
              <w:bottom w:val="single" w:sz="4" w:space="0" w:color="auto"/>
              <w:right w:val="single" w:sz="4" w:space="0" w:color="auto"/>
            </w:tcBorders>
            <w:shd w:val="clear" w:color="000000" w:fill="BFBFBF"/>
            <w:vAlign w:val="center"/>
            <w:hideMark/>
          </w:tcPr>
          <w:p w14:paraId="7DAC69D7" w14:textId="77777777" w:rsidR="00E23746" w:rsidRPr="00CE65F0" w:rsidRDefault="00E23746" w:rsidP="000B2F10">
            <w:pPr>
              <w:spacing w:after="0" w:line="240" w:lineRule="auto"/>
              <w:jc w:val="center"/>
              <w:rPr>
                <w:rFonts w:eastAsia="Times New Roman" w:cs="Arial"/>
                <w:b/>
                <w:bCs/>
                <w:sz w:val="20"/>
                <w:szCs w:val="20"/>
                <w:lang w:val="es-MX" w:eastAsia="es-MX"/>
              </w:rPr>
            </w:pPr>
            <w:r w:rsidRPr="00CE65F0">
              <w:rPr>
                <w:rFonts w:eastAsia="Times New Roman" w:cs="Arial"/>
                <w:b/>
                <w:bCs/>
                <w:sz w:val="20"/>
                <w:szCs w:val="20"/>
                <w:lang w:val="es-MX" w:eastAsia="es-MX"/>
              </w:rPr>
              <w:t>ALINEACIÓN PED/PD</w:t>
            </w:r>
          </w:p>
        </w:tc>
        <w:tc>
          <w:tcPr>
            <w:tcW w:w="2977" w:type="dxa"/>
            <w:tcBorders>
              <w:top w:val="single" w:sz="4" w:space="0" w:color="auto"/>
              <w:left w:val="nil"/>
              <w:bottom w:val="single" w:sz="4" w:space="0" w:color="auto"/>
              <w:right w:val="single" w:sz="4" w:space="0" w:color="auto"/>
            </w:tcBorders>
            <w:shd w:val="clear" w:color="000000" w:fill="BFBFBF"/>
            <w:vAlign w:val="center"/>
            <w:hideMark/>
          </w:tcPr>
          <w:p w14:paraId="5A6552BE" w14:textId="77777777" w:rsidR="00E23746" w:rsidRPr="00CE65F0" w:rsidRDefault="00E23746" w:rsidP="000B2F10">
            <w:pPr>
              <w:spacing w:after="0" w:line="240" w:lineRule="auto"/>
              <w:jc w:val="center"/>
              <w:rPr>
                <w:rFonts w:eastAsia="Times New Roman" w:cs="Arial"/>
                <w:b/>
                <w:bCs/>
                <w:sz w:val="20"/>
                <w:szCs w:val="20"/>
                <w:lang w:val="es-MX" w:eastAsia="es-MX"/>
              </w:rPr>
            </w:pPr>
            <w:r w:rsidRPr="00CE65F0">
              <w:rPr>
                <w:rFonts w:eastAsia="Times New Roman" w:cs="Arial"/>
                <w:b/>
                <w:bCs/>
                <w:sz w:val="20"/>
                <w:szCs w:val="20"/>
                <w:lang w:val="es-MX" w:eastAsia="es-MX"/>
              </w:rPr>
              <w:t>OBJETIVO</w:t>
            </w:r>
          </w:p>
        </w:tc>
        <w:tc>
          <w:tcPr>
            <w:tcW w:w="2126" w:type="dxa"/>
            <w:tcBorders>
              <w:top w:val="single" w:sz="4" w:space="0" w:color="auto"/>
              <w:left w:val="nil"/>
              <w:bottom w:val="single" w:sz="4" w:space="0" w:color="auto"/>
              <w:right w:val="single" w:sz="4" w:space="0" w:color="auto"/>
            </w:tcBorders>
            <w:shd w:val="clear" w:color="000000" w:fill="BFBFBF"/>
            <w:vAlign w:val="center"/>
            <w:hideMark/>
          </w:tcPr>
          <w:p w14:paraId="7C2423C1" w14:textId="77777777" w:rsidR="00E23746" w:rsidRPr="00CE65F0" w:rsidRDefault="00E23746" w:rsidP="000B2F10">
            <w:pPr>
              <w:spacing w:after="0" w:line="240" w:lineRule="auto"/>
              <w:jc w:val="center"/>
              <w:rPr>
                <w:rFonts w:eastAsia="Times New Roman" w:cs="Arial"/>
                <w:b/>
                <w:bCs/>
                <w:sz w:val="20"/>
                <w:szCs w:val="20"/>
                <w:lang w:val="es-MX" w:eastAsia="es-MX"/>
              </w:rPr>
            </w:pPr>
            <w:r w:rsidRPr="00CE65F0">
              <w:rPr>
                <w:rFonts w:eastAsia="Times New Roman" w:cs="Arial"/>
                <w:b/>
                <w:bCs/>
                <w:sz w:val="20"/>
                <w:szCs w:val="20"/>
                <w:lang w:val="es-MX" w:eastAsia="es-MX"/>
              </w:rPr>
              <w:t>INDICADOR</w:t>
            </w:r>
          </w:p>
        </w:tc>
        <w:tc>
          <w:tcPr>
            <w:tcW w:w="2980" w:type="dxa"/>
            <w:tcBorders>
              <w:top w:val="single" w:sz="4" w:space="0" w:color="auto"/>
              <w:left w:val="nil"/>
              <w:bottom w:val="single" w:sz="4" w:space="0" w:color="auto"/>
              <w:right w:val="single" w:sz="4" w:space="0" w:color="auto"/>
            </w:tcBorders>
            <w:shd w:val="clear" w:color="000000" w:fill="BFBFBF"/>
            <w:vAlign w:val="center"/>
            <w:hideMark/>
          </w:tcPr>
          <w:p w14:paraId="117C9010" w14:textId="77777777" w:rsidR="00E23746" w:rsidRPr="00CE65F0" w:rsidRDefault="00E23746" w:rsidP="000B2F10">
            <w:pPr>
              <w:spacing w:after="0" w:line="240" w:lineRule="auto"/>
              <w:jc w:val="center"/>
              <w:rPr>
                <w:rFonts w:eastAsia="Times New Roman" w:cs="Arial"/>
                <w:b/>
                <w:bCs/>
                <w:sz w:val="20"/>
                <w:szCs w:val="20"/>
                <w:lang w:val="es-MX" w:eastAsia="es-MX"/>
              </w:rPr>
            </w:pPr>
            <w:r w:rsidRPr="00CE65F0">
              <w:rPr>
                <w:rFonts w:eastAsia="Times New Roman" w:cs="Arial"/>
                <w:b/>
                <w:bCs/>
                <w:sz w:val="20"/>
                <w:szCs w:val="20"/>
                <w:lang w:val="es-MX" w:eastAsia="es-MX"/>
              </w:rPr>
              <w:t>MEDIOS DE VERIFICACIÓN</w:t>
            </w:r>
          </w:p>
        </w:tc>
        <w:tc>
          <w:tcPr>
            <w:tcW w:w="1982" w:type="dxa"/>
            <w:tcBorders>
              <w:top w:val="single" w:sz="4" w:space="0" w:color="auto"/>
              <w:left w:val="nil"/>
              <w:bottom w:val="single" w:sz="4" w:space="0" w:color="auto"/>
              <w:right w:val="single" w:sz="4" w:space="0" w:color="auto"/>
            </w:tcBorders>
            <w:shd w:val="clear" w:color="000000" w:fill="BFBFBF"/>
            <w:vAlign w:val="center"/>
            <w:hideMark/>
          </w:tcPr>
          <w:p w14:paraId="72AF6D7B" w14:textId="77777777" w:rsidR="00E23746" w:rsidRPr="00CE65F0" w:rsidRDefault="00E23746" w:rsidP="000B2F10">
            <w:pPr>
              <w:spacing w:after="0" w:line="240" w:lineRule="auto"/>
              <w:ind w:right="-218"/>
              <w:jc w:val="center"/>
              <w:rPr>
                <w:rFonts w:eastAsia="Times New Roman" w:cs="Arial"/>
                <w:b/>
                <w:bCs/>
                <w:sz w:val="20"/>
                <w:szCs w:val="20"/>
                <w:lang w:val="es-MX" w:eastAsia="es-MX"/>
              </w:rPr>
            </w:pPr>
            <w:r w:rsidRPr="00CE65F0">
              <w:rPr>
                <w:rFonts w:eastAsia="Times New Roman" w:cs="Arial"/>
                <w:b/>
                <w:bCs/>
                <w:sz w:val="20"/>
                <w:szCs w:val="20"/>
                <w:lang w:val="es-MX" w:eastAsia="es-MX"/>
              </w:rPr>
              <w:t>SUPUESTO</w:t>
            </w:r>
          </w:p>
        </w:tc>
      </w:tr>
      <w:tr w:rsidR="00E23746" w:rsidRPr="00CE65F0" w14:paraId="5EEC5F33" w14:textId="77777777" w:rsidTr="00D0420D">
        <w:trPr>
          <w:trHeight w:val="2960"/>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14:paraId="01E70402" w14:textId="77777777" w:rsidR="00E23746" w:rsidRPr="00CE65F0" w:rsidRDefault="00E23746" w:rsidP="000B2F10">
            <w:pPr>
              <w:spacing w:after="0" w:line="240" w:lineRule="auto"/>
              <w:jc w:val="center"/>
              <w:rPr>
                <w:rFonts w:eastAsia="Times New Roman" w:cs="Arial"/>
                <w:b/>
                <w:bCs/>
                <w:sz w:val="20"/>
                <w:szCs w:val="20"/>
                <w:lang w:val="es-MX" w:eastAsia="es-MX"/>
              </w:rPr>
            </w:pPr>
            <w:r w:rsidRPr="00CE65F0">
              <w:rPr>
                <w:rFonts w:eastAsia="Times New Roman" w:cs="Arial"/>
                <w:b/>
                <w:bCs/>
                <w:sz w:val="20"/>
                <w:szCs w:val="20"/>
                <w:lang w:val="es-MX" w:eastAsia="es-MX"/>
              </w:rPr>
              <w:t>Componente</w:t>
            </w:r>
          </w:p>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14:paraId="16916525" w14:textId="77777777" w:rsidR="00E23746" w:rsidRPr="00CE65F0" w:rsidRDefault="00E23746" w:rsidP="000B2F10">
            <w:pPr>
              <w:spacing w:after="0" w:line="240" w:lineRule="auto"/>
              <w:rPr>
                <w:rFonts w:eastAsia="Times New Roman" w:cs="Arial"/>
                <w:sz w:val="20"/>
                <w:szCs w:val="20"/>
                <w:lang w:val="es-MX" w:eastAsia="es-MX"/>
              </w:rPr>
            </w:pPr>
            <w:r w:rsidRPr="00CE65F0">
              <w:rPr>
                <w:rFonts w:eastAsia="Times New Roman" w:cs="Arial"/>
                <w:sz w:val="20"/>
                <w:szCs w:val="20"/>
                <w:lang w:val="es-MX" w:eastAsia="es-MX"/>
              </w:rPr>
              <w:t>Coordinar el programa de alfabetización y educación básica dirigido a jóvenes, adultos y adultos mayores en rezago educativo por medio de Tecnologías de la Información y Comunicación (TIC´s) con organizaciones de la sociedad civil y el Instituto Estatal para la Educación de Jóvenes y Adultos.</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62E1FA8F" w14:textId="77777777" w:rsidR="00E23746" w:rsidRPr="00CE65F0" w:rsidRDefault="00E23746" w:rsidP="000B2F10">
            <w:pPr>
              <w:spacing w:after="0" w:line="240" w:lineRule="auto"/>
              <w:rPr>
                <w:rFonts w:eastAsia="Times New Roman" w:cs="Arial"/>
                <w:sz w:val="20"/>
                <w:szCs w:val="20"/>
                <w:lang w:val="es-MX" w:eastAsia="es-MX"/>
              </w:rPr>
            </w:pPr>
            <w:r w:rsidRPr="00CE65F0">
              <w:rPr>
                <w:rFonts w:eastAsia="Times New Roman" w:cs="Arial"/>
                <w:sz w:val="20"/>
                <w:szCs w:val="20"/>
                <w:lang w:val="es-MX" w:eastAsia="es-MX"/>
              </w:rPr>
              <w:t>C01 - Personas con Nivel Inicial concluido</w:t>
            </w:r>
            <w:r>
              <w:rPr>
                <w:rFonts w:eastAsia="Times New Roman" w:cs="Arial"/>
                <w:sz w:val="20"/>
                <w:szCs w:val="20"/>
                <w:lang w:val="es-MX" w:eastAsia="es-MX"/>
              </w:rPr>
              <w:t>.</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125620AF" w14:textId="77777777" w:rsidR="00E23746" w:rsidRPr="00CE65F0" w:rsidRDefault="00E23746" w:rsidP="000B2F10">
            <w:pPr>
              <w:spacing w:after="0" w:line="240" w:lineRule="auto"/>
              <w:rPr>
                <w:rFonts w:eastAsia="Times New Roman" w:cs="Arial"/>
                <w:sz w:val="20"/>
                <w:szCs w:val="20"/>
                <w:lang w:val="es-MX" w:eastAsia="es-MX"/>
              </w:rPr>
            </w:pPr>
            <w:r w:rsidRPr="00CE65F0">
              <w:rPr>
                <w:rFonts w:eastAsia="Times New Roman" w:cs="Arial"/>
                <w:sz w:val="20"/>
                <w:szCs w:val="20"/>
                <w:lang w:val="es-MX" w:eastAsia="es-MX"/>
              </w:rPr>
              <w:t>C01 - Porcentaje de personas atendidas que aprueban Nivel Inicial</w:t>
            </w:r>
            <w:r>
              <w:rPr>
                <w:rFonts w:eastAsia="Times New Roman" w:cs="Arial"/>
                <w:sz w:val="20"/>
                <w:szCs w:val="20"/>
                <w:lang w:val="es-MX" w:eastAsia="es-MX"/>
              </w:rPr>
              <w:t>.</w:t>
            </w:r>
          </w:p>
        </w:tc>
        <w:tc>
          <w:tcPr>
            <w:tcW w:w="2980" w:type="dxa"/>
            <w:tcBorders>
              <w:top w:val="single" w:sz="4" w:space="0" w:color="auto"/>
              <w:left w:val="single" w:sz="4" w:space="0" w:color="auto"/>
              <w:bottom w:val="single" w:sz="4" w:space="0" w:color="auto"/>
              <w:right w:val="single" w:sz="4" w:space="0" w:color="auto"/>
            </w:tcBorders>
            <w:shd w:val="clear" w:color="auto" w:fill="auto"/>
            <w:hideMark/>
          </w:tcPr>
          <w:p w14:paraId="0D30A029" w14:textId="77777777" w:rsidR="00E23746" w:rsidRPr="00CE65F0" w:rsidRDefault="00E23746" w:rsidP="000B2F10">
            <w:pPr>
              <w:spacing w:after="0" w:line="240" w:lineRule="auto"/>
              <w:rPr>
                <w:rFonts w:eastAsia="Times New Roman" w:cs="Arial"/>
                <w:sz w:val="20"/>
                <w:szCs w:val="20"/>
                <w:lang w:val="es-MX" w:eastAsia="es-MX"/>
              </w:rPr>
            </w:pPr>
            <w:r w:rsidRPr="00CE65F0">
              <w:rPr>
                <w:rFonts w:eastAsia="Times New Roman" w:cs="Arial"/>
                <w:sz w:val="20"/>
                <w:szCs w:val="20"/>
                <w:lang w:val="es-MX" w:eastAsia="es-MX"/>
              </w:rPr>
              <w:t>Instituto Nacional para la Educación de los Adultos, página INEA en Números, http://200.77.230.29:8084/INEANumeros/</w:t>
            </w:r>
          </w:p>
        </w:tc>
        <w:tc>
          <w:tcPr>
            <w:tcW w:w="1982" w:type="dxa"/>
            <w:tcBorders>
              <w:top w:val="single" w:sz="4" w:space="0" w:color="auto"/>
              <w:left w:val="single" w:sz="4" w:space="0" w:color="auto"/>
              <w:bottom w:val="single" w:sz="4" w:space="0" w:color="auto"/>
              <w:right w:val="single" w:sz="4" w:space="0" w:color="auto"/>
            </w:tcBorders>
            <w:shd w:val="clear" w:color="auto" w:fill="auto"/>
            <w:hideMark/>
          </w:tcPr>
          <w:p w14:paraId="1D7CFC6B" w14:textId="77777777" w:rsidR="00E23746" w:rsidRPr="00CE65F0" w:rsidRDefault="00E23746" w:rsidP="000B2F10">
            <w:pPr>
              <w:spacing w:after="0" w:line="240" w:lineRule="auto"/>
              <w:rPr>
                <w:rFonts w:eastAsia="Times New Roman" w:cs="Arial"/>
                <w:sz w:val="20"/>
                <w:szCs w:val="20"/>
                <w:lang w:val="es-MX" w:eastAsia="es-MX"/>
              </w:rPr>
            </w:pPr>
            <w:r w:rsidRPr="00CE65F0">
              <w:rPr>
                <w:rFonts w:eastAsia="Times New Roman" w:cs="Arial"/>
                <w:sz w:val="20"/>
                <w:szCs w:val="20"/>
                <w:lang w:val="es-MX" w:eastAsia="es-MX"/>
              </w:rPr>
              <w:t>Las personas atendidas en Nivel Inicial acreditan sus exámenes</w:t>
            </w:r>
            <w:r>
              <w:rPr>
                <w:rFonts w:eastAsia="Times New Roman" w:cs="Arial"/>
                <w:sz w:val="20"/>
                <w:szCs w:val="20"/>
                <w:lang w:val="es-MX" w:eastAsia="es-MX"/>
              </w:rPr>
              <w:t>.</w:t>
            </w:r>
          </w:p>
        </w:tc>
      </w:tr>
      <w:tr w:rsidR="00E23746" w:rsidRPr="00CE65F0" w14:paraId="68D29940" w14:textId="77777777" w:rsidTr="00D0420D">
        <w:trPr>
          <w:trHeight w:val="2121"/>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14:paraId="2D0D0890" w14:textId="77777777" w:rsidR="00E23746" w:rsidRPr="00CE65F0" w:rsidRDefault="00E23746" w:rsidP="000B2F10">
            <w:pPr>
              <w:spacing w:after="0" w:line="240" w:lineRule="auto"/>
              <w:jc w:val="center"/>
              <w:rPr>
                <w:rFonts w:eastAsia="Times New Roman" w:cs="Arial"/>
                <w:b/>
                <w:bCs/>
                <w:sz w:val="20"/>
                <w:szCs w:val="20"/>
                <w:lang w:val="es-MX" w:eastAsia="es-MX"/>
              </w:rPr>
            </w:pPr>
            <w:r w:rsidRPr="00CE65F0">
              <w:rPr>
                <w:rFonts w:eastAsia="Times New Roman" w:cs="Arial"/>
                <w:b/>
                <w:bCs/>
                <w:sz w:val="20"/>
                <w:szCs w:val="20"/>
                <w:lang w:val="es-MX" w:eastAsia="es-MX"/>
              </w:rPr>
              <w:t>Actividad</w:t>
            </w:r>
          </w:p>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14:paraId="680E3867" w14:textId="77777777" w:rsidR="00E23746" w:rsidRPr="00CE65F0" w:rsidRDefault="00E23746" w:rsidP="000B2F10">
            <w:pPr>
              <w:spacing w:after="0" w:line="240" w:lineRule="auto"/>
              <w:rPr>
                <w:rFonts w:eastAsia="Times New Roman" w:cs="Arial"/>
                <w:sz w:val="20"/>
                <w:szCs w:val="20"/>
                <w:lang w:val="es-MX" w:eastAsia="es-MX"/>
              </w:rPr>
            </w:pPr>
            <w:r w:rsidRPr="00CE65F0">
              <w:rPr>
                <w:rFonts w:eastAsia="Times New Roman" w:cs="Arial"/>
                <w:sz w:val="20"/>
                <w:szCs w:val="20"/>
                <w:lang w:val="es-MX" w:eastAsia="es-MX"/>
              </w:rPr>
              <w:t>Celebrar Jornadas Estatales de incorporación y conclusión de educación básica dirigida a jóvenes, adultos y adultos mayores en rezago educativo.</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0496BB30" w14:textId="77777777" w:rsidR="00E23746" w:rsidRPr="00CE65F0" w:rsidRDefault="00E23746" w:rsidP="000B2F10">
            <w:pPr>
              <w:spacing w:after="0" w:line="240" w:lineRule="auto"/>
              <w:rPr>
                <w:rFonts w:eastAsia="Times New Roman" w:cs="Arial"/>
                <w:sz w:val="20"/>
                <w:szCs w:val="20"/>
                <w:lang w:val="es-MX" w:eastAsia="es-MX"/>
              </w:rPr>
            </w:pPr>
            <w:r w:rsidRPr="00CE65F0">
              <w:rPr>
                <w:rFonts w:eastAsia="Times New Roman" w:cs="Arial"/>
                <w:sz w:val="20"/>
                <w:szCs w:val="20"/>
                <w:lang w:val="es-MX" w:eastAsia="es-MX"/>
              </w:rPr>
              <w:t>C01.A01 -  Inscripción de educandos en Nivel Inicial</w:t>
            </w:r>
            <w:r>
              <w:rPr>
                <w:rFonts w:eastAsia="Times New Roman" w:cs="Arial"/>
                <w:sz w:val="20"/>
                <w:szCs w:val="20"/>
                <w:lang w:val="es-MX" w:eastAsia="es-MX"/>
              </w:rPr>
              <w:t>.</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2597C5E7" w14:textId="77777777" w:rsidR="00E23746" w:rsidRPr="00CE65F0" w:rsidRDefault="00E23746" w:rsidP="000B2F10">
            <w:pPr>
              <w:spacing w:after="0" w:line="240" w:lineRule="auto"/>
              <w:rPr>
                <w:rFonts w:eastAsia="Times New Roman" w:cs="Arial"/>
                <w:sz w:val="20"/>
                <w:szCs w:val="20"/>
                <w:lang w:val="es-MX" w:eastAsia="es-MX"/>
              </w:rPr>
            </w:pPr>
            <w:r w:rsidRPr="00CE65F0">
              <w:rPr>
                <w:rFonts w:eastAsia="Times New Roman" w:cs="Arial"/>
                <w:sz w:val="20"/>
                <w:szCs w:val="20"/>
                <w:lang w:val="es-MX" w:eastAsia="es-MX"/>
              </w:rPr>
              <w:t>C01A01 - Porcentaje de personas en rezago educativo inscritos en Nivel Inicial  respecto a las inscritas en nivel inicial, primaria y secundaria.</w:t>
            </w:r>
          </w:p>
        </w:tc>
        <w:tc>
          <w:tcPr>
            <w:tcW w:w="2980" w:type="dxa"/>
            <w:tcBorders>
              <w:top w:val="single" w:sz="4" w:space="0" w:color="auto"/>
              <w:left w:val="single" w:sz="4" w:space="0" w:color="auto"/>
              <w:bottom w:val="single" w:sz="4" w:space="0" w:color="auto"/>
              <w:right w:val="single" w:sz="4" w:space="0" w:color="auto"/>
            </w:tcBorders>
            <w:shd w:val="clear" w:color="auto" w:fill="auto"/>
            <w:hideMark/>
          </w:tcPr>
          <w:p w14:paraId="4A9001DD" w14:textId="77777777" w:rsidR="00E23746" w:rsidRPr="00CE65F0" w:rsidRDefault="00E23746" w:rsidP="000B2F10">
            <w:pPr>
              <w:spacing w:after="0" w:line="240" w:lineRule="auto"/>
              <w:rPr>
                <w:rFonts w:eastAsia="Times New Roman" w:cs="Arial"/>
                <w:sz w:val="20"/>
                <w:szCs w:val="20"/>
                <w:lang w:val="es-MX" w:eastAsia="es-MX"/>
              </w:rPr>
            </w:pPr>
            <w:r w:rsidRPr="00CE65F0">
              <w:rPr>
                <w:rFonts w:eastAsia="Times New Roman" w:cs="Arial"/>
                <w:sz w:val="20"/>
                <w:szCs w:val="20"/>
                <w:lang w:val="es-MX" w:eastAsia="es-MX"/>
              </w:rPr>
              <w:t>Instituto Nacional para la Educación de Adultos, página del INEA, http://200.77.230.29:8084/INEANumeros/</w:t>
            </w:r>
          </w:p>
        </w:tc>
        <w:tc>
          <w:tcPr>
            <w:tcW w:w="1982" w:type="dxa"/>
            <w:tcBorders>
              <w:top w:val="single" w:sz="4" w:space="0" w:color="auto"/>
              <w:left w:val="single" w:sz="4" w:space="0" w:color="auto"/>
              <w:bottom w:val="single" w:sz="4" w:space="0" w:color="auto"/>
              <w:right w:val="single" w:sz="4" w:space="0" w:color="auto"/>
            </w:tcBorders>
            <w:shd w:val="clear" w:color="auto" w:fill="auto"/>
            <w:hideMark/>
          </w:tcPr>
          <w:p w14:paraId="11A4580D" w14:textId="77777777" w:rsidR="00E23746" w:rsidRPr="00CE65F0" w:rsidRDefault="00E23746" w:rsidP="000B2F10">
            <w:pPr>
              <w:spacing w:after="0" w:line="240" w:lineRule="auto"/>
              <w:rPr>
                <w:rFonts w:eastAsia="Times New Roman" w:cs="Arial"/>
                <w:sz w:val="20"/>
                <w:szCs w:val="20"/>
                <w:lang w:val="es-MX" w:eastAsia="es-MX"/>
              </w:rPr>
            </w:pPr>
            <w:r w:rsidRPr="00CE65F0">
              <w:rPr>
                <w:rFonts w:eastAsia="Times New Roman" w:cs="Arial"/>
                <w:sz w:val="20"/>
                <w:szCs w:val="20"/>
                <w:lang w:val="es-MX" w:eastAsia="es-MX"/>
              </w:rPr>
              <w:t>Las personas en rezago educativo  entreguen la documentación requerida para su incorporación</w:t>
            </w:r>
            <w:r>
              <w:rPr>
                <w:rFonts w:eastAsia="Times New Roman" w:cs="Arial"/>
                <w:sz w:val="20"/>
                <w:szCs w:val="20"/>
                <w:lang w:val="es-MX" w:eastAsia="es-MX"/>
              </w:rPr>
              <w:t>.</w:t>
            </w:r>
          </w:p>
        </w:tc>
      </w:tr>
      <w:tr w:rsidR="00E23746" w:rsidRPr="00CE65F0" w14:paraId="631F2708" w14:textId="77777777" w:rsidTr="00D0420D">
        <w:trPr>
          <w:trHeight w:val="1551"/>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14:paraId="724E24BB" w14:textId="77777777" w:rsidR="00E23746" w:rsidRPr="00CE65F0" w:rsidRDefault="00E23746" w:rsidP="000B2F10">
            <w:pPr>
              <w:spacing w:after="0" w:line="240" w:lineRule="auto"/>
              <w:jc w:val="center"/>
              <w:rPr>
                <w:rFonts w:eastAsia="Times New Roman" w:cs="Arial"/>
                <w:b/>
                <w:bCs/>
                <w:sz w:val="20"/>
                <w:szCs w:val="20"/>
                <w:lang w:val="es-MX" w:eastAsia="es-MX"/>
              </w:rPr>
            </w:pPr>
            <w:r w:rsidRPr="00CE65F0">
              <w:rPr>
                <w:rFonts w:eastAsia="Times New Roman" w:cs="Arial"/>
                <w:b/>
                <w:bCs/>
                <w:sz w:val="20"/>
                <w:szCs w:val="20"/>
                <w:lang w:val="es-MX" w:eastAsia="es-MX"/>
              </w:rPr>
              <w:t>Actividad</w:t>
            </w:r>
          </w:p>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14:paraId="3AE41D22" w14:textId="77777777" w:rsidR="00E23746" w:rsidRPr="00CE65F0" w:rsidRDefault="00E23746" w:rsidP="000B2F10">
            <w:pPr>
              <w:spacing w:after="0" w:line="240" w:lineRule="auto"/>
              <w:rPr>
                <w:rFonts w:eastAsia="Times New Roman" w:cs="Arial"/>
                <w:sz w:val="20"/>
                <w:szCs w:val="20"/>
                <w:lang w:val="es-MX" w:eastAsia="es-MX"/>
              </w:rPr>
            </w:pPr>
            <w:r w:rsidRPr="00CE65F0">
              <w:rPr>
                <w:rFonts w:eastAsia="Times New Roman" w:cs="Arial"/>
                <w:sz w:val="20"/>
                <w:szCs w:val="20"/>
                <w:lang w:val="es-MX" w:eastAsia="es-MX"/>
              </w:rPr>
              <w:t>Coordinar el programa de certificación de educación básica para jóvenes, adultos y adultos mayores en rezago educativo.</w:t>
            </w:r>
          </w:p>
        </w:tc>
        <w:tc>
          <w:tcPr>
            <w:tcW w:w="2977" w:type="dxa"/>
            <w:tcBorders>
              <w:top w:val="single" w:sz="4" w:space="0" w:color="auto"/>
              <w:left w:val="single" w:sz="4" w:space="0" w:color="auto"/>
              <w:bottom w:val="single" w:sz="4" w:space="0" w:color="auto"/>
              <w:right w:val="single" w:sz="4" w:space="0" w:color="auto"/>
            </w:tcBorders>
            <w:shd w:val="clear" w:color="auto" w:fill="auto"/>
            <w:hideMark/>
          </w:tcPr>
          <w:p w14:paraId="5C3E7D4A" w14:textId="77777777" w:rsidR="00E23746" w:rsidRPr="00CE65F0" w:rsidRDefault="00E23746" w:rsidP="000B2F10">
            <w:pPr>
              <w:spacing w:after="0" w:line="240" w:lineRule="auto"/>
              <w:rPr>
                <w:rFonts w:eastAsia="Times New Roman" w:cs="Arial"/>
                <w:sz w:val="20"/>
                <w:szCs w:val="20"/>
                <w:lang w:val="es-MX" w:eastAsia="es-MX"/>
              </w:rPr>
            </w:pPr>
            <w:r w:rsidRPr="00CE65F0">
              <w:rPr>
                <w:rFonts w:eastAsia="Times New Roman" w:cs="Arial"/>
                <w:sz w:val="20"/>
                <w:szCs w:val="20"/>
                <w:lang w:val="es-MX" w:eastAsia="es-MX"/>
              </w:rPr>
              <w:t>C01.A02 - Aplicación de exámenes de Nivel Inicial</w:t>
            </w:r>
            <w:r>
              <w:rPr>
                <w:rFonts w:eastAsia="Times New Roman" w:cs="Arial"/>
                <w:sz w:val="20"/>
                <w:szCs w:val="20"/>
                <w:lang w:val="es-MX" w:eastAsia="es-MX"/>
              </w:rPr>
              <w:t>.</w:t>
            </w:r>
          </w:p>
        </w:tc>
        <w:tc>
          <w:tcPr>
            <w:tcW w:w="2126" w:type="dxa"/>
            <w:tcBorders>
              <w:top w:val="single" w:sz="4" w:space="0" w:color="auto"/>
              <w:left w:val="single" w:sz="4" w:space="0" w:color="auto"/>
              <w:bottom w:val="single" w:sz="4" w:space="0" w:color="auto"/>
              <w:right w:val="single" w:sz="4" w:space="0" w:color="auto"/>
            </w:tcBorders>
            <w:shd w:val="clear" w:color="auto" w:fill="auto"/>
            <w:hideMark/>
          </w:tcPr>
          <w:p w14:paraId="645954D9" w14:textId="77777777" w:rsidR="00E23746" w:rsidRPr="00CE65F0" w:rsidRDefault="00E23746" w:rsidP="000B2F10">
            <w:pPr>
              <w:spacing w:after="0" w:line="240" w:lineRule="auto"/>
              <w:rPr>
                <w:rFonts w:eastAsia="Times New Roman" w:cs="Arial"/>
                <w:sz w:val="20"/>
                <w:szCs w:val="20"/>
                <w:lang w:val="es-MX" w:eastAsia="es-MX"/>
              </w:rPr>
            </w:pPr>
            <w:r w:rsidRPr="00CE65F0">
              <w:rPr>
                <w:rFonts w:eastAsia="Times New Roman" w:cs="Arial"/>
                <w:sz w:val="20"/>
                <w:szCs w:val="20"/>
                <w:lang w:val="es-MX" w:eastAsia="es-MX"/>
              </w:rPr>
              <w:t>C01A02 - Porcentaje de exámenes aprobados en Nivel Inicial</w:t>
            </w:r>
            <w:r>
              <w:rPr>
                <w:rFonts w:eastAsia="Times New Roman" w:cs="Arial"/>
                <w:sz w:val="20"/>
                <w:szCs w:val="20"/>
                <w:lang w:val="es-MX" w:eastAsia="es-MX"/>
              </w:rPr>
              <w:t>.</w:t>
            </w:r>
          </w:p>
        </w:tc>
        <w:tc>
          <w:tcPr>
            <w:tcW w:w="2980" w:type="dxa"/>
            <w:tcBorders>
              <w:top w:val="single" w:sz="4" w:space="0" w:color="auto"/>
              <w:left w:val="single" w:sz="4" w:space="0" w:color="auto"/>
              <w:bottom w:val="single" w:sz="4" w:space="0" w:color="auto"/>
              <w:right w:val="single" w:sz="4" w:space="0" w:color="auto"/>
            </w:tcBorders>
            <w:shd w:val="clear" w:color="auto" w:fill="auto"/>
            <w:hideMark/>
          </w:tcPr>
          <w:p w14:paraId="52190849" w14:textId="77777777" w:rsidR="00E23746" w:rsidRPr="00CE65F0" w:rsidRDefault="00E23746" w:rsidP="000B2F10">
            <w:pPr>
              <w:spacing w:after="0" w:line="240" w:lineRule="auto"/>
              <w:rPr>
                <w:rFonts w:eastAsia="Times New Roman" w:cs="Arial"/>
                <w:sz w:val="20"/>
                <w:szCs w:val="20"/>
                <w:lang w:val="es-MX" w:eastAsia="es-MX"/>
              </w:rPr>
            </w:pPr>
            <w:r w:rsidRPr="00CE65F0">
              <w:rPr>
                <w:rFonts w:eastAsia="Times New Roman" w:cs="Arial"/>
                <w:sz w:val="20"/>
                <w:szCs w:val="20"/>
                <w:lang w:val="es-MX" w:eastAsia="es-MX"/>
              </w:rPr>
              <w:t>www.qroo.gob.mx/ieea/verificacion-de-medios-del-sippres</w:t>
            </w:r>
            <w:r>
              <w:rPr>
                <w:rFonts w:eastAsia="Times New Roman" w:cs="Arial"/>
                <w:sz w:val="20"/>
                <w:szCs w:val="20"/>
                <w:lang w:val="es-MX" w:eastAsia="es-MX"/>
              </w:rPr>
              <w:t>.</w:t>
            </w:r>
          </w:p>
        </w:tc>
        <w:tc>
          <w:tcPr>
            <w:tcW w:w="1982" w:type="dxa"/>
            <w:tcBorders>
              <w:top w:val="single" w:sz="4" w:space="0" w:color="auto"/>
              <w:left w:val="single" w:sz="4" w:space="0" w:color="auto"/>
              <w:bottom w:val="single" w:sz="4" w:space="0" w:color="auto"/>
              <w:right w:val="single" w:sz="4" w:space="0" w:color="auto"/>
            </w:tcBorders>
            <w:shd w:val="clear" w:color="auto" w:fill="auto"/>
            <w:hideMark/>
          </w:tcPr>
          <w:p w14:paraId="255FB13D" w14:textId="77777777" w:rsidR="00E23746" w:rsidRPr="00CE65F0" w:rsidRDefault="00E23746" w:rsidP="000B2F10">
            <w:pPr>
              <w:spacing w:after="0" w:line="240" w:lineRule="auto"/>
              <w:rPr>
                <w:rFonts w:eastAsia="Times New Roman" w:cs="Arial"/>
                <w:sz w:val="20"/>
                <w:szCs w:val="20"/>
                <w:lang w:val="es-MX" w:eastAsia="es-MX"/>
              </w:rPr>
            </w:pPr>
            <w:r w:rsidRPr="00CE65F0">
              <w:rPr>
                <w:rFonts w:eastAsia="Times New Roman" w:cs="Arial"/>
                <w:sz w:val="20"/>
                <w:szCs w:val="20"/>
                <w:lang w:val="es-MX" w:eastAsia="es-MX"/>
              </w:rPr>
              <w:t>Las personas atendidas en Nivel Inicial acuden a presentar sus exámenes</w:t>
            </w:r>
            <w:r>
              <w:rPr>
                <w:rFonts w:eastAsia="Times New Roman" w:cs="Arial"/>
                <w:sz w:val="20"/>
                <w:szCs w:val="20"/>
                <w:lang w:val="es-MX" w:eastAsia="es-MX"/>
              </w:rPr>
              <w:t>.</w:t>
            </w:r>
          </w:p>
        </w:tc>
      </w:tr>
    </w:tbl>
    <w:p w14:paraId="320FC19A" w14:textId="77777777" w:rsidR="00E83FE2" w:rsidRDefault="00E83FE2">
      <w:pPr>
        <w:spacing w:after="0" w:line="240" w:lineRule="auto"/>
        <w:jc w:val="left"/>
      </w:pPr>
      <w:r>
        <w:br w:type="page"/>
      </w:r>
    </w:p>
    <w:tbl>
      <w:tblPr>
        <w:tblW w:w="14029" w:type="dxa"/>
        <w:tblLayout w:type="fixed"/>
        <w:tblCellMar>
          <w:left w:w="70" w:type="dxa"/>
          <w:right w:w="70" w:type="dxa"/>
        </w:tblCellMar>
        <w:tblLook w:val="04A0" w:firstRow="1" w:lastRow="0" w:firstColumn="1" w:lastColumn="0" w:noHBand="0" w:noVBand="1"/>
      </w:tblPr>
      <w:tblGrid>
        <w:gridCol w:w="1413"/>
        <w:gridCol w:w="2551"/>
        <w:gridCol w:w="2977"/>
        <w:gridCol w:w="2126"/>
        <w:gridCol w:w="2980"/>
        <w:gridCol w:w="1982"/>
      </w:tblGrid>
      <w:tr w:rsidR="00E23746" w:rsidRPr="00CE65F0" w14:paraId="66421950" w14:textId="77777777" w:rsidTr="00D0420D">
        <w:trPr>
          <w:trHeight w:val="758"/>
        </w:trPr>
        <w:tc>
          <w:tcPr>
            <w:tcW w:w="1413"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3D294EC0" w14:textId="77777777" w:rsidR="00E23746" w:rsidRPr="00CE65F0" w:rsidRDefault="00E23746" w:rsidP="000B2F10">
            <w:pPr>
              <w:spacing w:after="0" w:line="240" w:lineRule="auto"/>
              <w:jc w:val="center"/>
              <w:rPr>
                <w:rFonts w:eastAsia="Times New Roman" w:cs="Arial"/>
                <w:b/>
                <w:bCs/>
                <w:sz w:val="20"/>
                <w:szCs w:val="20"/>
                <w:lang w:val="es-MX" w:eastAsia="es-MX"/>
              </w:rPr>
            </w:pPr>
            <w:r w:rsidRPr="00CE65F0">
              <w:rPr>
                <w:rFonts w:eastAsia="Times New Roman" w:cs="Arial"/>
                <w:b/>
                <w:bCs/>
                <w:sz w:val="20"/>
                <w:szCs w:val="20"/>
                <w:lang w:val="es-MX" w:eastAsia="es-MX"/>
              </w:rPr>
              <w:lastRenderedPageBreak/>
              <w:t>NIVEL</w:t>
            </w:r>
          </w:p>
        </w:tc>
        <w:tc>
          <w:tcPr>
            <w:tcW w:w="2551" w:type="dxa"/>
            <w:tcBorders>
              <w:top w:val="single" w:sz="4" w:space="0" w:color="auto"/>
              <w:left w:val="nil"/>
              <w:bottom w:val="single" w:sz="4" w:space="0" w:color="auto"/>
              <w:right w:val="single" w:sz="4" w:space="0" w:color="auto"/>
            </w:tcBorders>
            <w:shd w:val="clear" w:color="000000" w:fill="BFBFBF"/>
            <w:vAlign w:val="center"/>
            <w:hideMark/>
          </w:tcPr>
          <w:p w14:paraId="74BEE45A" w14:textId="77777777" w:rsidR="00E23746" w:rsidRPr="00CE65F0" w:rsidRDefault="00E23746" w:rsidP="000B2F10">
            <w:pPr>
              <w:spacing w:after="0" w:line="240" w:lineRule="auto"/>
              <w:jc w:val="center"/>
              <w:rPr>
                <w:rFonts w:eastAsia="Times New Roman" w:cs="Arial"/>
                <w:b/>
                <w:bCs/>
                <w:sz w:val="20"/>
                <w:szCs w:val="20"/>
                <w:lang w:val="es-MX" w:eastAsia="es-MX"/>
              </w:rPr>
            </w:pPr>
            <w:r w:rsidRPr="00CE65F0">
              <w:rPr>
                <w:rFonts w:eastAsia="Times New Roman" w:cs="Arial"/>
                <w:b/>
                <w:bCs/>
                <w:sz w:val="20"/>
                <w:szCs w:val="20"/>
                <w:lang w:val="es-MX" w:eastAsia="es-MX"/>
              </w:rPr>
              <w:t>ALINEACIÓN PED/PD</w:t>
            </w:r>
          </w:p>
        </w:tc>
        <w:tc>
          <w:tcPr>
            <w:tcW w:w="2977" w:type="dxa"/>
            <w:tcBorders>
              <w:top w:val="single" w:sz="4" w:space="0" w:color="auto"/>
              <w:left w:val="nil"/>
              <w:bottom w:val="single" w:sz="4" w:space="0" w:color="auto"/>
              <w:right w:val="single" w:sz="4" w:space="0" w:color="auto"/>
            </w:tcBorders>
            <w:shd w:val="clear" w:color="000000" w:fill="BFBFBF"/>
            <w:vAlign w:val="center"/>
            <w:hideMark/>
          </w:tcPr>
          <w:p w14:paraId="5A4B5145" w14:textId="77777777" w:rsidR="00E23746" w:rsidRPr="00CE65F0" w:rsidRDefault="00E23746" w:rsidP="000B2F10">
            <w:pPr>
              <w:spacing w:after="0" w:line="240" w:lineRule="auto"/>
              <w:jc w:val="center"/>
              <w:rPr>
                <w:rFonts w:eastAsia="Times New Roman" w:cs="Arial"/>
                <w:b/>
                <w:bCs/>
                <w:sz w:val="20"/>
                <w:szCs w:val="20"/>
                <w:lang w:val="es-MX" w:eastAsia="es-MX"/>
              </w:rPr>
            </w:pPr>
            <w:r w:rsidRPr="00CE65F0">
              <w:rPr>
                <w:rFonts w:eastAsia="Times New Roman" w:cs="Arial"/>
                <w:b/>
                <w:bCs/>
                <w:sz w:val="20"/>
                <w:szCs w:val="20"/>
                <w:lang w:val="es-MX" w:eastAsia="es-MX"/>
              </w:rPr>
              <w:t>OBJETIVO</w:t>
            </w:r>
          </w:p>
        </w:tc>
        <w:tc>
          <w:tcPr>
            <w:tcW w:w="2126" w:type="dxa"/>
            <w:tcBorders>
              <w:top w:val="single" w:sz="4" w:space="0" w:color="auto"/>
              <w:left w:val="nil"/>
              <w:bottom w:val="single" w:sz="4" w:space="0" w:color="auto"/>
              <w:right w:val="single" w:sz="4" w:space="0" w:color="auto"/>
            </w:tcBorders>
            <w:shd w:val="clear" w:color="000000" w:fill="BFBFBF"/>
            <w:vAlign w:val="center"/>
            <w:hideMark/>
          </w:tcPr>
          <w:p w14:paraId="1679B895" w14:textId="77777777" w:rsidR="00E23746" w:rsidRPr="00CE65F0" w:rsidRDefault="00E23746" w:rsidP="000B2F10">
            <w:pPr>
              <w:spacing w:after="0" w:line="240" w:lineRule="auto"/>
              <w:jc w:val="center"/>
              <w:rPr>
                <w:rFonts w:eastAsia="Times New Roman" w:cs="Arial"/>
                <w:b/>
                <w:bCs/>
                <w:sz w:val="20"/>
                <w:szCs w:val="20"/>
                <w:lang w:val="es-MX" w:eastAsia="es-MX"/>
              </w:rPr>
            </w:pPr>
            <w:r w:rsidRPr="00CE65F0">
              <w:rPr>
                <w:rFonts w:eastAsia="Times New Roman" w:cs="Arial"/>
                <w:b/>
                <w:bCs/>
                <w:sz w:val="20"/>
                <w:szCs w:val="20"/>
                <w:lang w:val="es-MX" w:eastAsia="es-MX"/>
              </w:rPr>
              <w:t>INDICADOR</w:t>
            </w:r>
          </w:p>
        </w:tc>
        <w:tc>
          <w:tcPr>
            <w:tcW w:w="2980" w:type="dxa"/>
            <w:tcBorders>
              <w:top w:val="single" w:sz="4" w:space="0" w:color="auto"/>
              <w:left w:val="nil"/>
              <w:bottom w:val="single" w:sz="4" w:space="0" w:color="auto"/>
              <w:right w:val="single" w:sz="4" w:space="0" w:color="auto"/>
            </w:tcBorders>
            <w:shd w:val="clear" w:color="000000" w:fill="BFBFBF"/>
            <w:vAlign w:val="center"/>
            <w:hideMark/>
          </w:tcPr>
          <w:p w14:paraId="56AAF0E9" w14:textId="77777777" w:rsidR="00E23746" w:rsidRPr="00CE65F0" w:rsidRDefault="00E23746" w:rsidP="000B2F10">
            <w:pPr>
              <w:spacing w:after="0" w:line="240" w:lineRule="auto"/>
              <w:jc w:val="center"/>
              <w:rPr>
                <w:rFonts w:eastAsia="Times New Roman" w:cs="Arial"/>
                <w:b/>
                <w:bCs/>
                <w:sz w:val="20"/>
                <w:szCs w:val="20"/>
                <w:lang w:val="es-MX" w:eastAsia="es-MX"/>
              </w:rPr>
            </w:pPr>
            <w:r w:rsidRPr="00CE65F0">
              <w:rPr>
                <w:rFonts w:eastAsia="Times New Roman" w:cs="Arial"/>
                <w:b/>
                <w:bCs/>
                <w:sz w:val="20"/>
                <w:szCs w:val="20"/>
                <w:lang w:val="es-MX" w:eastAsia="es-MX"/>
              </w:rPr>
              <w:t>MEDIOS DE VERIFICACIÓN</w:t>
            </w:r>
          </w:p>
        </w:tc>
        <w:tc>
          <w:tcPr>
            <w:tcW w:w="1982" w:type="dxa"/>
            <w:tcBorders>
              <w:top w:val="single" w:sz="4" w:space="0" w:color="auto"/>
              <w:left w:val="nil"/>
              <w:bottom w:val="single" w:sz="4" w:space="0" w:color="auto"/>
              <w:right w:val="single" w:sz="4" w:space="0" w:color="auto"/>
            </w:tcBorders>
            <w:shd w:val="clear" w:color="000000" w:fill="BFBFBF"/>
            <w:vAlign w:val="center"/>
            <w:hideMark/>
          </w:tcPr>
          <w:p w14:paraId="76E9111A" w14:textId="77777777" w:rsidR="00E23746" w:rsidRPr="00CE65F0" w:rsidRDefault="00E23746" w:rsidP="000B2F10">
            <w:pPr>
              <w:spacing w:after="0" w:line="240" w:lineRule="auto"/>
              <w:ind w:right="-218"/>
              <w:jc w:val="center"/>
              <w:rPr>
                <w:rFonts w:eastAsia="Times New Roman" w:cs="Arial"/>
                <w:b/>
                <w:bCs/>
                <w:sz w:val="20"/>
                <w:szCs w:val="20"/>
                <w:lang w:val="es-MX" w:eastAsia="es-MX"/>
              </w:rPr>
            </w:pPr>
            <w:r w:rsidRPr="00CE65F0">
              <w:rPr>
                <w:rFonts w:eastAsia="Times New Roman" w:cs="Arial"/>
                <w:b/>
                <w:bCs/>
                <w:sz w:val="20"/>
                <w:szCs w:val="20"/>
                <w:lang w:val="es-MX" w:eastAsia="es-MX"/>
              </w:rPr>
              <w:t>SUPUESTO</w:t>
            </w:r>
          </w:p>
        </w:tc>
      </w:tr>
      <w:tr w:rsidR="00E23746" w:rsidRPr="00CE65F0" w14:paraId="0E80160C" w14:textId="77777777" w:rsidTr="00D0420D">
        <w:trPr>
          <w:trHeight w:val="1826"/>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14:paraId="10D21078" w14:textId="77777777" w:rsidR="00E23746" w:rsidRPr="00CE65F0" w:rsidRDefault="00E23746" w:rsidP="000B2F10">
            <w:pPr>
              <w:spacing w:after="0" w:line="240" w:lineRule="auto"/>
              <w:jc w:val="center"/>
              <w:rPr>
                <w:rFonts w:eastAsia="Times New Roman" w:cs="Arial"/>
                <w:b/>
                <w:bCs/>
                <w:sz w:val="20"/>
                <w:szCs w:val="20"/>
                <w:lang w:val="es-MX" w:eastAsia="es-MX"/>
              </w:rPr>
            </w:pPr>
            <w:r w:rsidRPr="00CE65F0">
              <w:rPr>
                <w:rFonts w:eastAsia="Times New Roman" w:cs="Arial"/>
                <w:b/>
                <w:bCs/>
                <w:sz w:val="20"/>
                <w:szCs w:val="20"/>
                <w:lang w:val="es-MX" w:eastAsia="es-MX"/>
              </w:rPr>
              <w:t>Componente</w:t>
            </w:r>
          </w:p>
        </w:tc>
        <w:tc>
          <w:tcPr>
            <w:tcW w:w="2551" w:type="dxa"/>
            <w:tcBorders>
              <w:top w:val="single" w:sz="4" w:space="0" w:color="auto"/>
              <w:left w:val="nil"/>
              <w:bottom w:val="single" w:sz="4" w:space="0" w:color="auto"/>
              <w:right w:val="single" w:sz="4" w:space="0" w:color="auto"/>
            </w:tcBorders>
            <w:shd w:val="clear" w:color="auto" w:fill="auto"/>
            <w:hideMark/>
          </w:tcPr>
          <w:p w14:paraId="5A1A5AEF" w14:textId="77777777" w:rsidR="00E23746" w:rsidRDefault="00E23746" w:rsidP="00D0420D">
            <w:pPr>
              <w:spacing w:after="0" w:line="240" w:lineRule="auto"/>
              <w:rPr>
                <w:rFonts w:eastAsia="Times New Roman" w:cs="Arial"/>
                <w:sz w:val="20"/>
                <w:szCs w:val="20"/>
                <w:lang w:val="es-MX" w:eastAsia="es-MX"/>
              </w:rPr>
            </w:pPr>
            <w:r w:rsidRPr="00CE65F0">
              <w:rPr>
                <w:rFonts w:eastAsia="Times New Roman" w:cs="Arial"/>
                <w:sz w:val="20"/>
                <w:szCs w:val="20"/>
                <w:lang w:val="es-MX" w:eastAsia="es-MX"/>
              </w:rPr>
              <w:t>Coordinar el programa de alfabetización y educación básica dirigido a jóvenes, adultos y adultos mayores en rezago educativo por medio de Tecnologías de la Información y Comunicación (TIC´s) con organizaciones de la sociedad civil y el Instituto Estatal para la Educación de Jóvenes y Adultos.</w:t>
            </w:r>
          </w:p>
          <w:p w14:paraId="37713210" w14:textId="5E8CC97B" w:rsidR="00D0420D" w:rsidRPr="00CE65F0" w:rsidRDefault="00D0420D" w:rsidP="00D0420D">
            <w:pPr>
              <w:spacing w:after="0" w:line="240" w:lineRule="auto"/>
              <w:rPr>
                <w:rFonts w:eastAsia="Times New Roman" w:cs="Arial"/>
                <w:sz w:val="20"/>
                <w:szCs w:val="20"/>
                <w:lang w:val="es-MX" w:eastAsia="es-MX"/>
              </w:rPr>
            </w:pPr>
          </w:p>
        </w:tc>
        <w:tc>
          <w:tcPr>
            <w:tcW w:w="2977" w:type="dxa"/>
            <w:tcBorders>
              <w:top w:val="single" w:sz="4" w:space="0" w:color="auto"/>
              <w:left w:val="nil"/>
              <w:bottom w:val="single" w:sz="4" w:space="0" w:color="auto"/>
              <w:right w:val="single" w:sz="4" w:space="0" w:color="auto"/>
            </w:tcBorders>
            <w:shd w:val="clear" w:color="auto" w:fill="auto"/>
            <w:hideMark/>
          </w:tcPr>
          <w:p w14:paraId="0C9A635C" w14:textId="77777777" w:rsidR="00E23746" w:rsidRPr="00CE65F0" w:rsidRDefault="00E23746" w:rsidP="000B2F10">
            <w:pPr>
              <w:spacing w:after="0" w:line="240" w:lineRule="auto"/>
              <w:rPr>
                <w:rFonts w:eastAsia="Times New Roman" w:cs="Arial"/>
                <w:sz w:val="20"/>
                <w:szCs w:val="20"/>
                <w:lang w:val="es-MX" w:eastAsia="es-MX"/>
              </w:rPr>
            </w:pPr>
            <w:r w:rsidRPr="00CE65F0">
              <w:rPr>
                <w:rFonts w:eastAsia="Times New Roman" w:cs="Arial"/>
                <w:sz w:val="20"/>
                <w:szCs w:val="20"/>
                <w:lang w:val="es-MX" w:eastAsia="es-MX"/>
              </w:rPr>
              <w:t>C02 -  Personas con primaria concluida</w:t>
            </w:r>
            <w:r>
              <w:rPr>
                <w:rFonts w:eastAsia="Times New Roman" w:cs="Arial"/>
                <w:sz w:val="20"/>
                <w:szCs w:val="20"/>
                <w:lang w:val="es-MX" w:eastAsia="es-MX"/>
              </w:rPr>
              <w:t>.</w:t>
            </w:r>
          </w:p>
        </w:tc>
        <w:tc>
          <w:tcPr>
            <w:tcW w:w="2126" w:type="dxa"/>
            <w:tcBorders>
              <w:top w:val="single" w:sz="4" w:space="0" w:color="auto"/>
              <w:left w:val="nil"/>
              <w:bottom w:val="single" w:sz="4" w:space="0" w:color="auto"/>
              <w:right w:val="single" w:sz="4" w:space="0" w:color="auto"/>
            </w:tcBorders>
            <w:shd w:val="clear" w:color="auto" w:fill="auto"/>
            <w:hideMark/>
          </w:tcPr>
          <w:p w14:paraId="19E28835" w14:textId="77777777" w:rsidR="00E23746" w:rsidRPr="00CE65F0" w:rsidRDefault="00E23746" w:rsidP="000B2F10">
            <w:pPr>
              <w:spacing w:after="0" w:line="240" w:lineRule="auto"/>
              <w:rPr>
                <w:rFonts w:eastAsia="Times New Roman" w:cs="Arial"/>
                <w:sz w:val="20"/>
                <w:szCs w:val="20"/>
                <w:lang w:val="es-MX" w:eastAsia="es-MX"/>
              </w:rPr>
            </w:pPr>
            <w:r w:rsidRPr="00CE65F0">
              <w:rPr>
                <w:rFonts w:eastAsia="Times New Roman" w:cs="Arial"/>
                <w:sz w:val="20"/>
                <w:szCs w:val="20"/>
                <w:lang w:val="es-MX" w:eastAsia="es-MX"/>
              </w:rPr>
              <w:t>C02 - Porcentaje de Personas atendidas que aprueban el nivel educativo de primaria</w:t>
            </w:r>
            <w:r>
              <w:rPr>
                <w:rFonts w:eastAsia="Times New Roman" w:cs="Arial"/>
                <w:sz w:val="20"/>
                <w:szCs w:val="20"/>
                <w:lang w:val="es-MX" w:eastAsia="es-MX"/>
              </w:rPr>
              <w:t>.</w:t>
            </w:r>
            <w:r w:rsidRPr="00CE65F0">
              <w:rPr>
                <w:rFonts w:eastAsia="Times New Roman" w:cs="Arial"/>
                <w:sz w:val="20"/>
                <w:szCs w:val="20"/>
                <w:lang w:val="es-MX" w:eastAsia="es-MX"/>
              </w:rPr>
              <w:t xml:space="preserve"> </w:t>
            </w:r>
          </w:p>
        </w:tc>
        <w:tc>
          <w:tcPr>
            <w:tcW w:w="2980" w:type="dxa"/>
            <w:tcBorders>
              <w:top w:val="single" w:sz="4" w:space="0" w:color="auto"/>
              <w:left w:val="nil"/>
              <w:bottom w:val="single" w:sz="4" w:space="0" w:color="auto"/>
              <w:right w:val="single" w:sz="4" w:space="0" w:color="auto"/>
            </w:tcBorders>
            <w:shd w:val="clear" w:color="auto" w:fill="auto"/>
            <w:hideMark/>
          </w:tcPr>
          <w:p w14:paraId="22900D2E" w14:textId="77777777" w:rsidR="00E23746" w:rsidRPr="00CE65F0" w:rsidRDefault="00E23746" w:rsidP="000B2F10">
            <w:pPr>
              <w:spacing w:after="0" w:line="240" w:lineRule="auto"/>
              <w:rPr>
                <w:rFonts w:eastAsia="Times New Roman" w:cs="Arial"/>
                <w:sz w:val="20"/>
                <w:szCs w:val="20"/>
                <w:lang w:val="es-MX" w:eastAsia="es-MX"/>
              </w:rPr>
            </w:pPr>
            <w:r w:rsidRPr="00CE65F0">
              <w:rPr>
                <w:rFonts w:eastAsia="Times New Roman" w:cs="Arial"/>
                <w:sz w:val="20"/>
                <w:szCs w:val="20"/>
                <w:lang w:val="es-MX" w:eastAsia="es-MX"/>
              </w:rPr>
              <w:t>Instituto Nacional para la Educación de los Adultos, página de INEA números, http://200.77.230.29:8084/INEANumeros/</w:t>
            </w:r>
          </w:p>
        </w:tc>
        <w:tc>
          <w:tcPr>
            <w:tcW w:w="1982" w:type="dxa"/>
            <w:tcBorders>
              <w:top w:val="single" w:sz="4" w:space="0" w:color="auto"/>
              <w:left w:val="nil"/>
              <w:bottom w:val="single" w:sz="4" w:space="0" w:color="auto"/>
              <w:right w:val="single" w:sz="4" w:space="0" w:color="auto"/>
            </w:tcBorders>
            <w:shd w:val="clear" w:color="auto" w:fill="auto"/>
            <w:hideMark/>
          </w:tcPr>
          <w:p w14:paraId="0B5672D5" w14:textId="77777777" w:rsidR="00E23746" w:rsidRPr="00CE65F0" w:rsidRDefault="00E23746" w:rsidP="000B2F10">
            <w:pPr>
              <w:spacing w:after="0" w:line="240" w:lineRule="auto"/>
              <w:rPr>
                <w:rFonts w:eastAsia="Times New Roman" w:cs="Arial"/>
                <w:sz w:val="20"/>
                <w:szCs w:val="20"/>
                <w:lang w:val="es-MX" w:eastAsia="es-MX"/>
              </w:rPr>
            </w:pPr>
            <w:r w:rsidRPr="00CE65F0">
              <w:rPr>
                <w:rFonts w:eastAsia="Times New Roman" w:cs="Arial"/>
                <w:sz w:val="20"/>
                <w:szCs w:val="20"/>
                <w:lang w:val="es-MX" w:eastAsia="es-MX"/>
              </w:rPr>
              <w:t>Las personas atendidas en primaria acreditan sus exámenes</w:t>
            </w:r>
            <w:r>
              <w:rPr>
                <w:rFonts w:eastAsia="Times New Roman" w:cs="Arial"/>
                <w:sz w:val="20"/>
                <w:szCs w:val="20"/>
                <w:lang w:val="es-MX" w:eastAsia="es-MX"/>
              </w:rPr>
              <w:t>.</w:t>
            </w:r>
          </w:p>
        </w:tc>
      </w:tr>
      <w:tr w:rsidR="00E23746" w:rsidRPr="00CE65F0" w14:paraId="3E4B1AA7" w14:textId="77777777" w:rsidTr="00D0420D">
        <w:trPr>
          <w:trHeight w:val="1877"/>
        </w:trPr>
        <w:tc>
          <w:tcPr>
            <w:tcW w:w="1413" w:type="dxa"/>
            <w:tcBorders>
              <w:top w:val="nil"/>
              <w:left w:val="single" w:sz="4" w:space="0" w:color="auto"/>
              <w:bottom w:val="single" w:sz="4" w:space="0" w:color="auto"/>
              <w:right w:val="single" w:sz="4" w:space="0" w:color="auto"/>
            </w:tcBorders>
            <w:shd w:val="clear" w:color="auto" w:fill="auto"/>
            <w:hideMark/>
          </w:tcPr>
          <w:p w14:paraId="62DA7478" w14:textId="77777777" w:rsidR="00E23746" w:rsidRPr="00CE65F0" w:rsidRDefault="00E23746" w:rsidP="000B2F10">
            <w:pPr>
              <w:spacing w:after="0" w:line="240" w:lineRule="auto"/>
              <w:jc w:val="center"/>
              <w:rPr>
                <w:rFonts w:eastAsia="Times New Roman" w:cs="Arial"/>
                <w:b/>
                <w:bCs/>
                <w:sz w:val="20"/>
                <w:szCs w:val="20"/>
                <w:lang w:val="es-MX" w:eastAsia="es-MX"/>
              </w:rPr>
            </w:pPr>
            <w:r w:rsidRPr="00CE65F0">
              <w:rPr>
                <w:rFonts w:eastAsia="Times New Roman" w:cs="Arial"/>
                <w:b/>
                <w:bCs/>
                <w:sz w:val="20"/>
                <w:szCs w:val="20"/>
                <w:lang w:val="es-MX" w:eastAsia="es-MX"/>
              </w:rPr>
              <w:t>Actividad</w:t>
            </w:r>
          </w:p>
        </w:tc>
        <w:tc>
          <w:tcPr>
            <w:tcW w:w="2551" w:type="dxa"/>
            <w:tcBorders>
              <w:top w:val="nil"/>
              <w:left w:val="nil"/>
              <w:bottom w:val="single" w:sz="4" w:space="0" w:color="auto"/>
              <w:right w:val="single" w:sz="4" w:space="0" w:color="auto"/>
            </w:tcBorders>
            <w:shd w:val="clear" w:color="auto" w:fill="auto"/>
            <w:hideMark/>
          </w:tcPr>
          <w:p w14:paraId="71B2FC94" w14:textId="77777777" w:rsidR="00E23746" w:rsidRPr="00CE65F0" w:rsidRDefault="00E23746" w:rsidP="000B2F10">
            <w:pPr>
              <w:spacing w:after="0" w:line="240" w:lineRule="auto"/>
              <w:rPr>
                <w:rFonts w:eastAsia="Times New Roman" w:cs="Arial"/>
                <w:sz w:val="20"/>
                <w:szCs w:val="20"/>
                <w:lang w:val="es-MX" w:eastAsia="es-MX"/>
              </w:rPr>
            </w:pPr>
            <w:r w:rsidRPr="00CE65F0">
              <w:rPr>
                <w:rFonts w:eastAsia="Times New Roman" w:cs="Arial"/>
                <w:sz w:val="20"/>
                <w:szCs w:val="20"/>
                <w:lang w:val="es-MX" w:eastAsia="es-MX"/>
              </w:rPr>
              <w:t>Celebrar Jornadas Estatales de incorporación y conclusión de educación básica dirigida a jóvenes, adultos y adultos mayores en rezago educativo.</w:t>
            </w:r>
          </w:p>
        </w:tc>
        <w:tc>
          <w:tcPr>
            <w:tcW w:w="2977" w:type="dxa"/>
            <w:tcBorders>
              <w:top w:val="nil"/>
              <w:left w:val="nil"/>
              <w:bottom w:val="single" w:sz="4" w:space="0" w:color="auto"/>
              <w:right w:val="single" w:sz="4" w:space="0" w:color="auto"/>
            </w:tcBorders>
            <w:shd w:val="clear" w:color="auto" w:fill="auto"/>
            <w:hideMark/>
          </w:tcPr>
          <w:p w14:paraId="7A90A390" w14:textId="77777777" w:rsidR="00E23746" w:rsidRPr="00CE65F0" w:rsidRDefault="00E23746" w:rsidP="000B2F10">
            <w:pPr>
              <w:spacing w:after="0" w:line="240" w:lineRule="auto"/>
              <w:rPr>
                <w:rFonts w:eastAsia="Times New Roman" w:cs="Arial"/>
                <w:sz w:val="20"/>
                <w:szCs w:val="20"/>
                <w:lang w:val="es-MX" w:eastAsia="es-MX"/>
              </w:rPr>
            </w:pPr>
            <w:r w:rsidRPr="00CE65F0">
              <w:rPr>
                <w:rFonts w:eastAsia="Times New Roman" w:cs="Arial"/>
                <w:sz w:val="20"/>
                <w:szCs w:val="20"/>
                <w:lang w:val="es-MX" w:eastAsia="es-MX"/>
              </w:rPr>
              <w:t>C02.A01 -  Inscripción de educandos en primaria</w:t>
            </w:r>
            <w:r>
              <w:rPr>
                <w:rFonts w:eastAsia="Times New Roman" w:cs="Arial"/>
                <w:sz w:val="20"/>
                <w:szCs w:val="20"/>
                <w:lang w:val="es-MX" w:eastAsia="es-MX"/>
              </w:rPr>
              <w:t>.</w:t>
            </w:r>
          </w:p>
        </w:tc>
        <w:tc>
          <w:tcPr>
            <w:tcW w:w="2126" w:type="dxa"/>
            <w:tcBorders>
              <w:top w:val="nil"/>
              <w:left w:val="nil"/>
              <w:bottom w:val="single" w:sz="4" w:space="0" w:color="auto"/>
              <w:right w:val="single" w:sz="4" w:space="0" w:color="auto"/>
            </w:tcBorders>
            <w:shd w:val="clear" w:color="auto" w:fill="auto"/>
            <w:hideMark/>
          </w:tcPr>
          <w:p w14:paraId="19DFB770" w14:textId="77777777" w:rsidR="00E23746" w:rsidRDefault="00E23746" w:rsidP="000B2F10">
            <w:pPr>
              <w:spacing w:after="0" w:line="240" w:lineRule="auto"/>
              <w:rPr>
                <w:rFonts w:eastAsia="Times New Roman" w:cs="Arial"/>
                <w:sz w:val="20"/>
                <w:szCs w:val="20"/>
                <w:lang w:val="es-MX" w:eastAsia="es-MX"/>
              </w:rPr>
            </w:pPr>
            <w:r w:rsidRPr="00CE65F0">
              <w:rPr>
                <w:rFonts w:eastAsia="Times New Roman" w:cs="Arial"/>
                <w:sz w:val="20"/>
                <w:szCs w:val="20"/>
                <w:lang w:val="es-MX" w:eastAsia="es-MX"/>
              </w:rPr>
              <w:t>C02A01 - Porcentaje de personas en rezago educativo inscritas en el nivel de primaria respecto a las inscritas en nivel inicial, primaria y secundaria.</w:t>
            </w:r>
          </w:p>
          <w:p w14:paraId="368CFB5C" w14:textId="77777777" w:rsidR="00E23746" w:rsidRDefault="00E23746" w:rsidP="000B2F10">
            <w:pPr>
              <w:spacing w:after="0" w:line="240" w:lineRule="auto"/>
              <w:rPr>
                <w:rFonts w:eastAsia="Times New Roman" w:cs="Arial"/>
                <w:sz w:val="20"/>
                <w:szCs w:val="20"/>
                <w:lang w:val="es-MX" w:eastAsia="es-MX"/>
              </w:rPr>
            </w:pPr>
          </w:p>
          <w:p w14:paraId="5993D0B0" w14:textId="77777777" w:rsidR="00E23746" w:rsidRPr="00CE65F0" w:rsidRDefault="00E23746" w:rsidP="000B2F10">
            <w:pPr>
              <w:spacing w:after="0" w:line="240" w:lineRule="auto"/>
              <w:rPr>
                <w:rFonts w:eastAsia="Times New Roman" w:cs="Arial"/>
                <w:sz w:val="20"/>
                <w:szCs w:val="20"/>
                <w:lang w:val="es-MX" w:eastAsia="es-MX"/>
              </w:rPr>
            </w:pPr>
          </w:p>
        </w:tc>
        <w:tc>
          <w:tcPr>
            <w:tcW w:w="2980" w:type="dxa"/>
            <w:tcBorders>
              <w:top w:val="nil"/>
              <w:left w:val="nil"/>
              <w:bottom w:val="single" w:sz="4" w:space="0" w:color="auto"/>
              <w:right w:val="single" w:sz="4" w:space="0" w:color="auto"/>
            </w:tcBorders>
            <w:shd w:val="clear" w:color="auto" w:fill="auto"/>
            <w:hideMark/>
          </w:tcPr>
          <w:p w14:paraId="16B9C8BB" w14:textId="77777777" w:rsidR="00E23746" w:rsidRPr="00CE65F0" w:rsidRDefault="00E23746" w:rsidP="000B2F10">
            <w:pPr>
              <w:spacing w:after="0" w:line="240" w:lineRule="auto"/>
              <w:rPr>
                <w:rFonts w:eastAsia="Times New Roman" w:cs="Arial"/>
                <w:sz w:val="20"/>
                <w:szCs w:val="20"/>
                <w:lang w:val="es-MX" w:eastAsia="es-MX"/>
              </w:rPr>
            </w:pPr>
            <w:r w:rsidRPr="00CE65F0">
              <w:rPr>
                <w:rFonts w:eastAsia="Times New Roman" w:cs="Arial"/>
                <w:sz w:val="20"/>
                <w:szCs w:val="20"/>
                <w:lang w:val="es-MX" w:eastAsia="es-MX"/>
              </w:rPr>
              <w:t>Instituto Nacional para la Educación de los Adultos, página de INEA números, http://200.77.230.29:8084/INEANumeros/</w:t>
            </w:r>
          </w:p>
        </w:tc>
        <w:tc>
          <w:tcPr>
            <w:tcW w:w="1982" w:type="dxa"/>
            <w:tcBorders>
              <w:top w:val="nil"/>
              <w:left w:val="nil"/>
              <w:bottom w:val="single" w:sz="4" w:space="0" w:color="auto"/>
              <w:right w:val="single" w:sz="4" w:space="0" w:color="auto"/>
            </w:tcBorders>
            <w:shd w:val="clear" w:color="auto" w:fill="auto"/>
            <w:hideMark/>
          </w:tcPr>
          <w:p w14:paraId="70566AC6" w14:textId="77777777" w:rsidR="00E23746" w:rsidRPr="00CE65F0" w:rsidRDefault="00E23746" w:rsidP="000B2F10">
            <w:pPr>
              <w:spacing w:after="0" w:line="240" w:lineRule="auto"/>
              <w:rPr>
                <w:rFonts w:eastAsia="Times New Roman" w:cs="Arial"/>
                <w:sz w:val="20"/>
                <w:szCs w:val="20"/>
                <w:lang w:val="es-MX" w:eastAsia="es-MX"/>
              </w:rPr>
            </w:pPr>
            <w:r w:rsidRPr="00CE65F0">
              <w:rPr>
                <w:rFonts w:eastAsia="Times New Roman" w:cs="Arial"/>
                <w:sz w:val="20"/>
                <w:szCs w:val="20"/>
                <w:lang w:val="es-MX" w:eastAsia="es-MX"/>
              </w:rPr>
              <w:t>Las personas en rezago educativo  entregan la documentación requerida para su incorporación</w:t>
            </w:r>
            <w:r>
              <w:rPr>
                <w:rFonts w:eastAsia="Times New Roman" w:cs="Arial"/>
                <w:sz w:val="20"/>
                <w:szCs w:val="20"/>
                <w:lang w:val="es-MX" w:eastAsia="es-MX"/>
              </w:rPr>
              <w:t>.</w:t>
            </w:r>
          </w:p>
        </w:tc>
      </w:tr>
      <w:tr w:rsidR="00E23746" w:rsidRPr="00CE65F0" w14:paraId="4C28E3A9" w14:textId="77777777" w:rsidTr="00D0420D">
        <w:trPr>
          <w:trHeight w:val="1550"/>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14:paraId="624A41B9" w14:textId="77777777" w:rsidR="00E23746" w:rsidRPr="00CE65F0" w:rsidRDefault="00E23746" w:rsidP="000B2F10">
            <w:pPr>
              <w:spacing w:after="0" w:line="240" w:lineRule="auto"/>
              <w:jc w:val="center"/>
              <w:rPr>
                <w:rFonts w:eastAsia="Times New Roman" w:cs="Arial"/>
                <w:b/>
                <w:bCs/>
                <w:sz w:val="20"/>
                <w:szCs w:val="20"/>
                <w:lang w:val="es-MX" w:eastAsia="es-MX"/>
              </w:rPr>
            </w:pPr>
            <w:r w:rsidRPr="00CE65F0">
              <w:rPr>
                <w:rFonts w:eastAsia="Times New Roman" w:cs="Arial"/>
                <w:b/>
                <w:bCs/>
                <w:sz w:val="20"/>
                <w:szCs w:val="20"/>
                <w:lang w:val="es-MX" w:eastAsia="es-MX"/>
              </w:rPr>
              <w:t>Actividad</w:t>
            </w:r>
          </w:p>
        </w:tc>
        <w:tc>
          <w:tcPr>
            <w:tcW w:w="2551" w:type="dxa"/>
            <w:tcBorders>
              <w:top w:val="single" w:sz="4" w:space="0" w:color="auto"/>
              <w:left w:val="nil"/>
              <w:bottom w:val="single" w:sz="4" w:space="0" w:color="auto"/>
              <w:right w:val="single" w:sz="4" w:space="0" w:color="auto"/>
            </w:tcBorders>
            <w:shd w:val="clear" w:color="auto" w:fill="auto"/>
            <w:hideMark/>
          </w:tcPr>
          <w:p w14:paraId="55C833DE" w14:textId="77777777" w:rsidR="00E23746" w:rsidRPr="00CE65F0" w:rsidRDefault="00E23746" w:rsidP="000B2F10">
            <w:pPr>
              <w:spacing w:after="0" w:line="240" w:lineRule="auto"/>
              <w:rPr>
                <w:rFonts w:eastAsia="Times New Roman" w:cs="Arial"/>
                <w:sz w:val="20"/>
                <w:szCs w:val="20"/>
                <w:lang w:val="es-MX" w:eastAsia="es-MX"/>
              </w:rPr>
            </w:pPr>
            <w:r w:rsidRPr="00CE65F0">
              <w:rPr>
                <w:rFonts w:eastAsia="Times New Roman" w:cs="Arial"/>
                <w:sz w:val="20"/>
                <w:szCs w:val="20"/>
                <w:lang w:val="es-MX" w:eastAsia="es-MX"/>
              </w:rPr>
              <w:t>Coordinar el programa de certificación de educación básica para jóvenes, adultos y adultos mayores en rezago educativo.</w:t>
            </w:r>
          </w:p>
        </w:tc>
        <w:tc>
          <w:tcPr>
            <w:tcW w:w="2977" w:type="dxa"/>
            <w:tcBorders>
              <w:top w:val="single" w:sz="4" w:space="0" w:color="auto"/>
              <w:left w:val="nil"/>
              <w:bottom w:val="single" w:sz="4" w:space="0" w:color="auto"/>
              <w:right w:val="single" w:sz="4" w:space="0" w:color="auto"/>
            </w:tcBorders>
            <w:shd w:val="clear" w:color="auto" w:fill="auto"/>
            <w:hideMark/>
          </w:tcPr>
          <w:p w14:paraId="7C7AA76F" w14:textId="77777777" w:rsidR="00E23746" w:rsidRPr="00CE65F0" w:rsidRDefault="00E23746" w:rsidP="000B2F10">
            <w:pPr>
              <w:spacing w:after="0" w:line="240" w:lineRule="auto"/>
              <w:rPr>
                <w:rFonts w:eastAsia="Times New Roman" w:cs="Arial"/>
                <w:sz w:val="20"/>
                <w:szCs w:val="20"/>
                <w:lang w:val="es-MX" w:eastAsia="es-MX"/>
              </w:rPr>
            </w:pPr>
            <w:r w:rsidRPr="00CE65F0">
              <w:rPr>
                <w:rFonts w:eastAsia="Times New Roman" w:cs="Arial"/>
                <w:sz w:val="20"/>
                <w:szCs w:val="20"/>
                <w:lang w:val="es-MX" w:eastAsia="es-MX"/>
              </w:rPr>
              <w:t>C02.A02 - Aplicación de exámenes de primaria</w:t>
            </w:r>
            <w:r>
              <w:rPr>
                <w:rFonts w:eastAsia="Times New Roman" w:cs="Arial"/>
                <w:sz w:val="20"/>
                <w:szCs w:val="20"/>
                <w:lang w:val="es-MX" w:eastAsia="es-MX"/>
              </w:rPr>
              <w:t>.</w:t>
            </w:r>
          </w:p>
        </w:tc>
        <w:tc>
          <w:tcPr>
            <w:tcW w:w="2126" w:type="dxa"/>
            <w:tcBorders>
              <w:top w:val="single" w:sz="4" w:space="0" w:color="auto"/>
              <w:left w:val="nil"/>
              <w:bottom w:val="single" w:sz="4" w:space="0" w:color="auto"/>
              <w:right w:val="single" w:sz="4" w:space="0" w:color="auto"/>
            </w:tcBorders>
            <w:shd w:val="clear" w:color="auto" w:fill="auto"/>
            <w:hideMark/>
          </w:tcPr>
          <w:p w14:paraId="08763AB9" w14:textId="77777777" w:rsidR="00E23746" w:rsidRPr="00CE65F0" w:rsidRDefault="00E23746" w:rsidP="000B2F10">
            <w:pPr>
              <w:spacing w:after="0" w:line="240" w:lineRule="auto"/>
              <w:rPr>
                <w:rFonts w:eastAsia="Times New Roman" w:cs="Arial"/>
                <w:sz w:val="20"/>
                <w:szCs w:val="20"/>
                <w:lang w:val="es-MX" w:eastAsia="es-MX"/>
              </w:rPr>
            </w:pPr>
            <w:r w:rsidRPr="00CE65F0">
              <w:rPr>
                <w:rFonts w:eastAsia="Times New Roman" w:cs="Arial"/>
                <w:sz w:val="20"/>
                <w:szCs w:val="20"/>
                <w:lang w:val="es-MX" w:eastAsia="es-MX"/>
              </w:rPr>
              <w:t xml:space="preserve"> C02A02 - Porcentaje de exámenes aprobados en el nivel de primaria</w:t>
            </w:r>
            <w:r>
              <w:rPr>
                <w:rFonts w:eastAsia="Times New Roman" w:cs="Arial"/>
                <w:sz w:val="20"/>
                <w:szCs w:val="20"/>
                <w:lang w:val="es-MX" w:eastAsia="es-MX"/>
              </w:rPr>
              <w:t>.</w:t>
            </w:r>
          </w:p>
        </w:tc>
        <w:tc>
          <w:tcPr>
            <w:tcW w:w="2980" w:type="dxa"/>
            <w:tcBorders>
              <w:top w:val="single" w:sz="4" w:space="0" w:color="auto"/>
              <w:left w:val="nil"/>
              <w:bottom w:val="single" w:sz="4" w:space="0" w:color="auto"/>
              <w:right w:val="single" w:sz="4" w:space="0" w:color="auto"/>
            </w:tcBorders>
            <w:shd w:val="clear" w:color="auto" w:fill="auto"/>
            <w:hideMark/>
          </w:tcPr>
          <w:p w14:paraId="3AB7862D" w14:textId="77777777" w:rsidR="00E23746" w:rsidRPr="00CE65F0" w:rsidRDefault="00E23746" w:rsidP="000B2F10">
            <w:pPr>
              <w:spacing w:after="0" w:line="240" w:lineRule="auto"/>
              <w:rPr>
                <w:rFonts w:eastAsia="Times New Roman" w:cs="Arial"/>
                <w:sz w:val="20"/>
                <w:szCs w:val="20"/>
                <w:lang w:val="es-MX" w:eastAsia="es-MX"/>
              </w:rPr>
            </w:pPr>
            <w:r w:rsidRPr="00CE65F0">
              <w:rPr>
                <w:rFonts w:eastAsia="Times New Roman" w:cs="Arial"/>
                <w:sz w:val="20"/>
                <w:szCs w:val="20"/>
                <w:lang w:val="es-MX" w:eastAsia="es-MX"/>
              </w:rPr>
              <w:t>www.qroo.gob.mx/ieea/verificacion-de-medios-del-sippres</w:t>
            </w:r>
            <w:r>
              <w:rPr>
                <w:rFonts w:eastAsia="Times New Roman" w:cs="Arial"/>
                <w:sz w:val="20"/>
                <w:szCs w:val="20"/>
                <w:lang w:val="es-MX" w:eastAsia="es-MX"/>
              </w:rPr>
              <w:t>.</w:t>
            </w:r>
          </w:p>
        </w:tc>
        <w:tc>
          <w:tcPr>
            <w:tcW w:w="1982" w:type="dxa"/>
            <w:tcBorders>
              <w:top w:val="single" w:sz="4" w:space="0" w:color="auto"/>
              <w:left w:val="nil"/>
              <w:bottom w:val="single" w:sz="4" w:space="0" w:color="auto"/>
              <w:right w:val="single" w:sz="4" w:space="0" w:color="auto"/>
            </w:tcBorders>
            <w:shd w:val="clear" w:color="auto" w:fill="auto"/>
            <w:hideMark/>
          </w:tcPr>
          <w:p w14:paraId="3EC7C14C" w14:textId="2B007E38" w:rsidR="00E23746" w:rsidRDefault="00E23746" w:rsidP="000B2F10">
            <w:pPr>
              <w:spacing w:after="0" w:line="240" w:lineRule="auto"/>
              <w:rPr>
                <w:rFonts w:eastAsia="Times New Roman" w:cs="Arial"/>
                <w:sz w:val="20"/>
                <w:szCs w:val="20"/>
                <w:lang w:val="es-MX" w:eastAsia="es-MX"/>
              </w:rPr>
            </w:pPr>
            <w:r w:rsidRPr="00CE65F0">
              <w:rPr>
                <w:rFonts w:eastAsia="Times New Roman" w:cs="Arial"/>
                <w:sz w:val="20"/>
                <w:szCs w:val="20"/>
                <w:lang w:val="es-MX" w:eastAsia="es-MX"/>
              </w:rPr>
              <w:t>Las personas atendidas en primaria acuden a presentar sus exámenes</w:t>
            </w:r>
            <w:r>
              <w:rPr>
                <w:rFonts w:eastAsia="Times New Roman" w:cs="Arial"/>
                <w:sz w:val="20"/>
                <w:szCs w:val="20"/>
                <w:lang w:val="es-MX" w:eastAsia="es-MX"/>
              </w:rPr>
              <w:t>.</w:t>
            </w:r>
          </w:p>
          <w:p w14:paraId="104F4579" w14:textId="77777777" w:rsidR="00E23746" w:rsidRPr="00CE65F0" w:rsidRDefault="00E23746" w:rsidP="000B2F10">
            <w:pPr>
              <w:spacing w:after="0" w:line="240" w:lineRule="auto"/>
              <w:rPr>
                <w:rFonts w:eastAsia="Times New Roman" w:cs="Arial"/>
                <w:sz w:val="20"/>
                <w:szCs w:val="20"/>
                <w:lang w:val="es-MX" w:eastAsia="es-MX"/>
              </w:rPr>
            </w:pPr>
          </w:p>
        </w:tc>
      </w:tr>
    </w:tbl>
    <w:p w14:paraId="35C84192" w14:textId="77777777" w:rsidR="00E83FE2" w:rsidRDefault="00E83FE2">
      <w:pPr>
        <w:spacing w:after="0" w:line="240" w:lineRule="auto"/>
        <w:jc w:val="left"/>
      </w:pPr>
      <w:r>
        <w:br w:type="page"/>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555"/>
        <w:gridCol w:w="2409"/>
        <w:gridCol w:w="2977"/>
        <w:gridCol w:w="2126"/>
        <w:gridCol w:w="2980"/>
        <w:gridCol w:w="1982"/>
      </w:tblGrid>
      <w:tr w:rsidR="00E23746" w:rsidRPr="00CE65F0" w14:paraId="4F361173" w14:textId="77777777" w:rsidTr="00D0420D">
        <w:trPr>
          <w:trHeight w:val="758"/>
        </w:trPr>
        <w:tc>
          <w:tcPr>
            <w:tcW w:w="1555" w:type="dxa"/>
            <w:shd w:val="clear" w:color="000000" w:fill="BFBFBF"/>
            <w:vAlign w:val="center"/>
            <w:hideMark/>
          </w:tcPr>
          <w:p w14:paraId="57B2A6C8" w14:textId="77777777" w:rsidR="00E23746" w:rsidRPr="00CE65F0" w:rsidRDefault="00E23746" w:rsidP="000B2F10">
            <w:pPr>
              <w:spacing w:after="0" w:line="240" w:lineRule="auto"/>
              <w:jc w:val="center"/>
              <w:rPr>
                <w:rFonts w:eastAsia="Times New Roman" w:cs="Arial"/>
                <w:b/>
                <w:bCs/>
                <w:sz w:val="20"/>
                <w:szCs w:val="20"/>
                <w:lang w:val="es-MX" w:eastAsia="es-MX"/>
              </w:rPr>
            </w:pPr>
            <w:r w:rsidRPr="00CE65F0">
              <w:rPr>
                <w:rFonts w:eastAsia="Times New Roman" w:cs="Arial"/>
                <w:b/>
                <w:bCs/>
                <w:sz w:val="20"/>
                <w:szCs w:val="20"/>
                <w:lang w:val="es-MX" w:eastAsia="es-MX"/>
              </w:rPr>
              <w:lastRenderedPageBreak/>
              <w:t>NIVEL</w:t>
            </w:r>
          </w:p>
        </w:tc>
        <w:tc>
          <w:tcPr>
            <w:tcW w:w="2409" w:type="dxa"/>
            <w:shd w:val="clear" w:color="000000" w:fill="BFBFBF"/>
            <w:vAlign w:val="center"/>
            <w:hideMark/>
          </w:tcPr>
          <w:p w14:paraId="7BB51F11" w14:textId="77777777" w:rsidR="00E23746" w:rsidRPr="00CE65F0" w:rsidRDefault="00E23746" w:rsidP="000B2F10">
            <w:pPr>
              <w:spacing w:after="0" w:line="240" w:lineRule="auto"/>
              <w:jc w:val="center"/>
              <w:rPr>
                <w:rFonts w:eastAsia="Times New Roman" w:cs="Arial"/>
                <w:b/>
                <w:bCs/>
                <w:sz w:val="20"/>
                <w:szCs w:val="20"/>
                <w:lang w:val="es-MX" w:eastAsia="es-MX"/>
              </w:rPr>
            </w:pPr>
            <w:r w:rsidRPr="00CE65F0">
              <w:rPr>
                <w:rFonts w:eastAsia="Times New Roman" w:cs="Arial"/>
                <w:b/>
                <w:bCs/>
                <w:sz w:val="20"/>
                <w:szCs w:val="20"/>
                <w:lang w:val="es-MX" w:eastAsia="es-MX"/>
              </w:rPr>
              <w:t>ALINEACIÓN PED/PD</w:t>
            </w:r>
          </w:p>
        </w:tc>
        <w:tc>
          <w:tcPr>
            <w:tcW w:w="2977" w:type="dxa"/>
            <w:shd w:val="clear" w:color="000000" w:fill="BFBFBF"/>
            <w:vAlign w:val="center"/>
            <w:hideMark/>
          </w:tcPr>
          <w:p w14:paraId="6E75DC43" w14:textId="77777777" w:rsidR="00E23746" w:rsidRPr="00CE65F0" w:rsidRDefault="00E23746" w:rsidP="000B2F10">
            <w:pPr>
              <w:spacing w:after="0" w:line="240" w:lineRule="auto"/>
              <w:jc w:val="center"/>
              <w:rPr>
                <w:rFonts w:eastAsia="Times New Roman" w:cs="Arial"/>
                <w:b/>
                <w:bCs/>
                <w:sz w:val="20"/>
                <w:szCs w:val="20"/>
                <w:lang w:val="es-MX" w:eastAsia="es-MX"/>
              </w:rPr>
            </w:pPr>
            <w:r w:rsidRPr="00CE65F0">
              <w:rPr>
                <w:rFonts w:eastAsia="Times New Roman" w:cs="Arial"/>
                <w:b/>
                <w:bCs/>
                <w:sz w:val="20"/>
                <w:szCs w:val="20"/>
                <w:lang w:val="es-MX" w:eastAsia="es-MX"/>
              </w:rPr>
              <w:t>OBJETIVO</w:t>
            </w:r>
          </w:p>
        </w:tc>
        <w:tc>
          <w:tcPr>
            <w:tcW w:w="2126" w:type="dxa"/>
            <w:shd w:val="clear" w:color="000000" w:fill="BFBFBF"/>
            <w:vAlign w:val="center"/>
            <w:hideMark/>
          </w:tcPr>
          <w:p w14:paraId="3A8FF7BE" w14:textId="77777777" w:rsidR="00E23746" w:rsidRPr="00CE65F0" w:rsidRDefault="00E23746" w:rsidP="000B2F10">
            <w:pPr>
              <w:spacing w:after="0" w:line="240" w:lineRule="auto"/>
              <w:jc w:val="center"/>
              <w:rPr>
                <w:rFonts w:eastAsia="Times New Roman" w:cs="Arial"/>
                <w:b/>
                <w:bCs/>
                <w:sz w:val="20"/>
                <w:szCs w:val="20"/>
                <w:lang w:val="es-MX" w:eastAsia="es-MX"/>
              </w:rPr>
            </w:pPr>
            <w:r w:rsidRPr="00CE65F0">
              <w:rPr>
                <w:rFonts w:eastAsia="Times New Roman" w:cs="Arial"/>
                <w:b/>
                <w:bCs/>
                <w:sz w:val="20"/>
                <w:szCs w:val="20"/>
                <w:lang w:val="es-MX" w:eastAsia="es-MX"/>
              </w:rPr>
              <w:t>INDICADOR</w:t>
            </w:r>
          </w:p>
        </w:tc>
        <w:tc>
          <w:tcPr>
            <w:tcW w:w="2980" w:type="dxa"/>
            <w:shd w:val="clear" w:color="000000" w:fill="BFBFBF"/>
            <w:vAlign w:val="center"/>
            <w:hideMark/>
          </w:tcPr>
          <w:p w14:paraId="4020022D" w14:textId="77777777" w:rsidR="00E23746" w:rsidRPr="00CE65F0" w:rsidRDefault="00E23746" w:rsidP="000B2F10">
            <w:pPr>
              <w:spacing w:after="0" w:line="240" w:lineRule="auto"/>
              <w:jc w:val="center"/>
              <w:rPr>
                <w:rFonts w:eastAsia="Times New Roman" w:cs="Arial"/>
                <w:b/>
                <w:bCs/>
                <w:sz w:val="20"/>
                <w:szCs w:val="20"/>
                <w:lang w:val="es-MX" w:eastAsia="es-MX"/>
              </w:rPr>
            </w:pPr>
            <w:r w:rsidRPr="00CE65F0">
              <w:rPr>
                <w:rFonts w:eastAsia="Times New Roman" w:cs="Arial"/>
                <w:b/>
                <w:bCs/>
                <w:sz w:val="20"/>
                <w:szCs w:val="20"/>
                <w:lang w:val="es-MX" w:eastAsia="es-MX"/>
              </w:rPr>
              <w:t>MEDIOS DE VERIFICACIÓN</w:t>
            </w:r>
          </w:p>
        </w:tc>
        <w:tc>
          <w:tcPr>
            <w:tcW w:w="1982" w:type="dxa"/>
            <w:shd w:val="clear" w:color="000000" w:fill="BFBFBF"/>
            <w:vAlign w:val="center"/>
            <w:hideMark/>
          </w:tcPr>
          <w:p w14:paraId="27003D22" w14:textId="77777777" w:rsidR="00E23746" w:rsidRPr="00CE65F0" w:rsidRDefault="00E23746" w:rsidP="000B2F10">
            <w:pPr>
              <w:spacing w:after="0" w:line="240" w:lineRule="auto"/>
              <w:ind w:right="-218"/>
              <w:jc w:val="center"/>
              <w:rPr>
                <w:rFonts w:eastAsia="Times New Roman" w:cs="Arial"/>
                <w:b/>
                <w:bCs/>
                <w:sz w:val="20"/>
                <w:szCs w:val="20"/>
                <w:lang w:val="es-MX" w:eastAsia="es-MX"/>
              </w:rPr>
            </w:pPr>
            <w:r w:rsidRPr="00CE65F0">
              <w:rPr>
                <w:rFonts w:eastAsia="Times New Roman" w:cs="Arial"/>
                <w:b/>
                <w:bCs/>
                <w:sz w:val="20"/>
                <w:szCs w:val="20"/>
                <w:lang w:val="es-MX" w:eastAsia="es-MX"/>
              </w:rPr>
              <w:t>SUPUESTO</w:t>
            </w:r>
          </w:p>
        </w:tc>
      </w:tr>
      <w:tr w:rsidR="00E23746" w:rsidRPr="00CE65F0" w14:paraId="5F4EB76C" w14:textId="77777777" w:rsidTr="00D0420D">
        <w:trPr>
          <w:trHeight w:val="1632"/>
        </w:trPr>
        <w:tc>
          <w:tcPr>
            <w:tcW w:w="1555" w:type="dxa"/>
            <w:shd w:val="clear" w:color="auto" w:fill="auto"/>
            <w:hideMark/>
          </w:tcPr>
          <w:p w14:paraId="68484948" w14:textId="77777777" w:rsidR="00E23746" w:rsidRPr="00CE65F0" w:rsidRDefault="00E23746" w:rsidP="000B2F10">
            <w:pPr>
              <w:spacing w:after="0" w:line="240" w:lineRule="auto"/>
              <w:jc w:val="center"/>
              <w:rPr>
                <w:rFonts w:eastAsia="Times New Roman" w:cs="Arial"/>
                <w:b/>
                <w:bCs/>
                <w:sz w:val="20"/>
                <w:szCs w:val="20"/>
                <w:lang w:val="es-MX" w:eastAsia="es-MX"/>
              </w:rPr>
            </w:pPr>
            <w:r w:rsidRPr="00CE65F0">
              <w:rPr>
                <w:rFonts w:eastAsia="Times New Roman" w:cs="Arial"/>
                <w:b/>
                <w:bCs/>
                <w:sz w:val="20"/>
                <w:szCs w:val="20"/>
                <w:lang w:val="es-MX" w:eastAsia="es-MX"/>
              </w:rPr>
              <w:t>Componente</w:t>
            </w:r>
          </w:p>
        </w:tc>
        <w:tc>
          <w:tcPr>
            <w:tcW w:w="2409" w:type="dxa"/>
            <w:shd w:val="clear" w:color="auto" w:fill="auto"/>
            <w:hideMark/>
          </w:tcPr>
          <w:p w14:paraId="38304D90" w14:textId="77777777" w:rsidR="00E23746" w:rsidRPr="00CE65F0" w:rsidRDefault="00E23746" w:rsidP="000B2F10">
            <w:pPr>
              <w:spacing w:after="0" w:line="240" w:lineRule="auto"/>
              <w:rPr>
                <w:rFonts w:eastAsia="Times New Roman" w:cs="Arial"/>
                <w:sz w:val="20"/>
                <w:szCs w:val="20"/>
                <w:lang w:val="es-MX" w:eastAsia="es-MX"/>
              </w:rPr>
            </w:pPr>
            <w:r w:rsidRPr="00CE65F0">
              <w:rPr>
                <w:rFonts w:eastAsia="Times New Roman" w:cs="Arial"/>
                <w:sz w:val="20"/>
                <w:szCs w:val="20"/>
                <w:lang w:val="es-MX" w:eastAsia="es-MX"/>
              </w:rPr>
              <w:t>Coordinar el programa de alfabetización y educación básica dirigido a jóvenes, adultos y adultos mayores en rezago educativo por medio de Tecnologías de la Información y Comunicación (TIC´s) con organizaciones de la sociedad civil y el Instituto Estatal para la Educación de Jóvenes y Adultos.</w:t>
            </w:r>
          </w:p>
        </w:tc>
        <w:tc>
          <w:tcPr>
            <w:tcW w:w="2977" w:type="dxa"/>
            <w:shd w:val="clear" w:color="auto" w:fill="auto"/>
            <w:hideMark/>
          </w:tcPr>
          <w:p w14:paraId="301C5133" w14:textId="77777777" w:rsidR="00E23746" w:rsidRPr="00CE65F0" w:rsidRDefault="00E23746" w:rsidP="000B2F10">
            <w:pPr>
              <w:spacing w:after="0" w:line="240" w:lineRule="auto"/>
              <w:rPr>
                <w:rFonts w:eastAsia="Times New Roman" w:cs="Arial"/>
                <w:sz w:val="20"/>
                <w:szCs w:val="20"/>
                <w:lang w:val="es-MX" w:eastAsia="es-MX"/>
              </w:rPr>
            </w:pPr>
            <w:r w:rsidRPr="00CE65F0">
              <w:rPr>
                <w:rFonts w:eastAsia="Times New Roman" w:cs="Arial"/>
                <w:sz w:val="20"/>
                <w:szCs w:val="20"/>
                <w:lang w:val="es-MX" w:eastAsia="es-MX"/>
              </w:rPr>
              <w:t>C03 - Personas con secundaria concluida</w:t>
            </w:r>
            <w:r>
              <w:rPr>
                <w:rFonts w:eastAsia="Times New Roman" w:cs="Arial"/>
                <w:sz w:val="20"/>
                <w:szCs w:val="20"/>
                <w:lang w:val="es-MX" w:eastAsia="es-MX"/>
              </w:rPr>
              <w:t>.</w:t>
            </w:r>
          </w:p>
        </w:tc>
        <w:tc>
          <w:tcPr>
            <w:tcW w:w="2126" w:type="dxa"/>
            <w:shd w:val="clear" w:color="auto" w:fill="auto"/>
            <w:hideMark/>
          </w:tcPr>
          <w:p w14:paraId="4963DABB" w14:textId="77777777" w:rsidR="00E23746" w:rsidRPr="00CE65F0" w:rsidRDefault="00E23746" w:rsidP="000B2F10">
            <w:pPr>
              <w:spacing w:after="0" w:line="240" w:lineRule="auto"/>
              <w:rPr>
                <w:rFonts w:eastAsia="Times New Roman" w:cs="Arial"/>
                <w:sz w:val="20"/>
                <w:szCs w:val="20"/>
                <w:lang w:val="es-MX" w:eastAsia="es-MX"/>
              </w:rPr>
            </w:pPr>
            <w:r w:rsidRPr="00CE65F0">
              <w:rPr>
                <w:rFonts w:eastAsia="Times New Roman" w:cs="Arial"/>
                <w:sz w:val="20"/>
                <w:szCs w:val="20"/>
                <w:lang w:val="es-MX" w:eastAsia="es-MX"/>
              </w:rPr>
              <w:t>C03 - Porcentaje de Personas atendidas que aprueban el nivel educativo de secundaria</w:t>
            </w:r>
            <w:r>
              <w:rPr>
                <w:rFonts w:eastAsia="Times New Roman" w:cs="Arial"/>
                <w:sz w:val="20"/>
                <w:szCs w:val="20"/>
                <w:lang w:val="es-MX" w:eastAsia="es-MX"/>
              </w:rPr>
              <w:t>.</w:t>
            </w:r>
            <w:r w:rsidRPr="00CE65F0">
              <w:rPr>
                <w:rFonts w:eastAsia="Times New Roman" w:cs="Arial"/>
                <w:sz w:val="20"/>
                <w:szCs w:val="20"/>
                <w:lang w:val="es-MX" w:eastAsia="es-MX"/>
              </w:rPr>
              <w:t xml:space="preserve"> </w:t>
            </w:r>
          </w:p>
        </w:tc>
        <w:tc>
          <w:tcPr>
            <w:tcW w:w="2980" w:type="dxa"/>
            <w:shd w:val="clear" w:color="auto" w:fill="auto"/>
            <w:hideMark/>
          </w:tcPr>
          <w:p w14:paraId="16CB2389" w14:textId="77777777" w:rsidR="00E23746" w:rsidRPr="00CE65F0" w:rsidRDefault="00E23746" w:rsidP="000B2F10">
            <w:pPr>
              <w:spacing w:after="0" w:line="240" w:lineRule="auto"/>
              <w:rPr>
                <w:rFonts w:eastAsia="Times New Roman" w:cs="Arial"/>
                <w:sz w:val="20"/>
                <w:szCs w:val="20"/>
                <w:lang w:val="es-MX" w:eastAsia="es-MX"/>
              </w:rPr>
            </w:pPr>
            <w:r w:rsidRPr="00CE65F0">
              <w:rPr>
                <w:rFonts w:eastAsia="Times New Roman" w:cs="Arial"/>
                <w:sz w:val="20"/>
                <w:szCs w:val="20"/>
                <w:lang w:val="es-MX" w:eastAsia="es-MX"/>
              </w:rPr>
              <w:t>Instituto Nacional para la Educación de los Adultos, página de INEA números, http://200.77.230.29:8084/INEANumeros/</w:t>
            </w:r>
          </w:p>
        </w:tc>
        <w:tc>
          <w:tcPr>
            <w:tcW w:w="1982" w:type="dxa"/>
            <w:shd w:val="clear" w:color="auto" w:fill="auto"/>
            <w:hideMark/>
          </w:tcPr>
          <w:p w14:paraId="0A1EEBF4" w14:textId="77777777" w:rsidR="00E23746" w:rsidRPr="00CE65F0" w:rsidRDefault="00E23746" w:rsidP="000B2F10">
            <w:pPr>
              <w:spacing w:after="0" w:line="240" w:lineRule="auto"/>
              <w:rPr>
                <w:rFonts w:eastAsia="Times New Roman" w:cs="Arial"/>
                <w:sz w:val="20"/>
                <w:szCs w:val="20"/>
                <w:lang w:val="es-MX" w:eastAsia="es-MX"/>
              </w:rPr>
            </w:pPr>
            <w:r w:rsidRPr="00CE65F0">
              <w:rPr>
                <w:rFonts w:eastAsia="Times New Roman" w:cs="Arial"/>
                <w:sz w:val="20"/>
                <w:szCs w:val="20"/>
                <w:lang w:val="es-MX" w:eastAsia="es-MX"/>
              </w:rPr>
              <w:t>Las personas atendidas en secundaria acreditan sus exámenes</w:t>
            </w:r>
            <w:r>
              <w:rPr>
                <w:rFonts w:eastAsia="Times New Roman" w:cs="Arial"/>
                <w:sz w:val="20"/>
                <w:szCs w:val="20"/>
                <w:lang w:val="es-MX" w:eastAsia="es-MX"/>
              </w:rPr>
              <w:t>.</w:t>
            </w:r>
          </w:p>
        </w:tc>
      </w:tr>
      <w:tr w:rsidR="00E23746" w:rsidRPr="00CE65F0" w14:paraId="1EDEB2F6" w14:textId="77777777" w:rsidTr="00D0420D">
        <w:trPr>
          <w:trHeight w:val="550"/>
        </w:trPr>
        <w:tc>
          <w:tcPr>
            <w:tcW w:w="1555" w:type="dxa"/>
            <w:shd w:val="clear" w:color="auto" w:fill="auto"/>
            <w:hideMark/>
          </w:tcPr>
          <w:p w14:paraId="69DF8485" w14:textId="77777777" w:rsidR="00E23746" w:rsidRPr="00CE65F0" w:rsidRDefault="00E23746" w:rsidP="000B2F10">
            <w:pPr>
              <w:spacing w:after="0" w:line="240" w:lineRule="auto"/>
              <w:jc w:val="center"/>
              <w:rPr>
                <w:rFonts w:eastAsia="Times New Roman" w:cs="Arial"/>
                <w:b/>
                <w:bCs/>
                <w:sz w:val="20"/>
                <w:szCs w:val="20"/>
                <w:lang w:val="es-MX" w:eastAsia="es-MX"/>
              </w:rPr>
            </w:pPr>
            <w:r w:rsidRPr="00CE65F0">
              <w:rPr>
                <w:rFonts w:eastAsia="Times New Roman" w:cs="Arial"/>
                <w:b/>
                <w:bCs/>
                <w:sz w:val="20"/>
                <w:szCs w:val="20"/>
                <w:lang w:val="es-MX" w:eastAsia="es-MX"/>
              </w:rPr>
              <w:t>Actividad</w:t>
            </w:r>
          </w:p>
        </w:tc>
        <w:tc>
          <w:tcPr>
            <w:tcW w:w="2409" w:type="dxa"/>
            <w:shd w:val="clear" w:color="auto" w:fill="auto"/>
            <w:hideMark/>
          </w:tcPr>
          <w:p w14:paraId="3EEBDDCC" w14:textId="77777777" w:rsidR="00E23746" w:rsidRPr="00CE65F0" w:rsidRDefault="00E23746" w:rsidP="000B2F10">
            <w:pPr>
              <w:spacing w:after="0" w:line="240" w:lineRule="auto"/>
              <w:rPr>
                <w:rFonts w:eastAsia="Times New Roman" w:cs="Arial"/>
                <w:sz w:val="20"/>
                <w:szCs w:val="20"/>
                <w:lang w:val="es-MX" w:eastAsia="es-MX"/>
              </w:rPr>
            </w:pPr>
            <w:r w:rsidRPr="00CE65F0">
              <w:rPr>
                <w:rFonts w:eastAsia="Times New Roman" w:cs="Arial"/>
                <w:sz w:val="20"/>
                <w:szCs w:val="20"/>
                <w:lang w:val="es-MX" w:eastAsia="es-MX"/>
              </w:rPr>
              <w:t>Celebrar Jornadas Estatales de incorporación y conclusión de educación básica dirigida a jóvenes, adultos y adultos mayores en rezago educativo.</w:t>
            </w:r>
          </w:p>
        </w:tc>
        <w:tc>
          <w:tcPr>
            <w:tcW w:w="2977" w:type="dxa"/>
            <w:shd w:val="clear" w:color="auto" w:fill="auto"/>
            <w:hideMark/>
          </w:tcPr>
          <w:p w14:paraId="79A8C222" w14:textId="77777777" w:rsidR="00E23746" w:rsidRPr="00CE65F0" w:rsidRDefault="00E23746" w:rsidP="000B2F10">
            <w:pPr>
              <w:spacing w:after="0" w:line="240" w:lineRule="auto"/>
              <w:rPr>
                <w:rFonts w:eastAsia="Times New Roman" w:cs="Arial"/>
                <w:sz w:val="20"/>
                <w:szCs w:val="20"/>
                <w:lang w:val="es-MX" w:eastAsia="es-MX"/>
              </w:rPr>
            </w:pPr>
            <w:r w:rsidRPr="00CE65F0">
              <w:rPr>
                <w:rFonts w:eastAsia="Times New Roman" w:cs="Arial"/>
                <w:sz w:val="20"/>
                <w:szCs w:val="20"/>
                <w:lang w:val="es-MX" w:eastAsia="es-MX"/>
              </w:rPr>
              <w:t>C03.A01 -  Inscripción de educandos en secundaria</w:t>
            </w:r>
            <w:r>
              <w:rPr>
                <w:rFonts w:eastAsia="Times New Roman" w:cs="Arial"/>
                <w:sz w:val="20"/>
                <w:szCs w:val="20"/>
                <w:lang w:val="es-MX" w:eastAsia="es-MX"/>
              </w:rPr>
              <w:t>.</w:t>
            </w:r>
          </w:p>
        </w:tc>
        <w:tc>
          <w:tcPr>
            <w:tcW w:w="2126" w:type="dxa"/>
            <w:shd w:val="clear" w:color="auto" w:fill="auto"/>
            <w:hideMark/>
          </w:tcPr>
          <w:p w14:paraId="5A2C8930" w14:textId="77777777" w:rsidR="00E23746" w:rsidRPr="00CE65F0" w:rsidRDefault="00E23746" w:rsidP="000B2F10">
            <w:pPr>
              <w:spacing w:after="0" w:line="240" w:lineRule="auto"/>
              <w:rPr>
                <w:rFonts w:eastAsia="Times New Roman" w:cs="Arial"/>
                <w:sz w:val="20"/>
                <w:szCs w:val="20"/>
                <w:lang w:val="es-MX" w:eastAsia="es-MX"/>
              </w:rPr>
            </w:pPr>
            <w:r w:rsidRPr="00CE65F0">
              <w:rPr>
                <w:rFonts w:eastAsia="Times New Roman" w:cs="Arial"/>
                <w:sz w:val="20"/>
                <w:szCs w:val="20"/>
                <w:lang w:val="es-MX" w:eastAsia="es-MX"/>
              </w:rPr>
              <w:t>C03A01 - Porcentaje de personas en rezago educativo inscritas en el nivel de secundaria respecto a las inscritas en nivel inicial, primaria y secundaria.</w:t>
            </w:r>
          </w:p>
        </w:tc>
        <w:tc>
          <w:tcPr>
            <w:tcW w:w="2980" w:type="dxa"/>
            <w:shd w:val="clear" w:color="auto" w:fill="auto"/>
            <w:hideMark/>
          </w:tcPr>
          <w:p w14:paraId="7997D392" w14:textId="77777777" w:rsidR="00E23746" w:rsidRPr="00CE65F0" w:rsidRDefault="00E23746" w:rsidP="000B2F10">
            <w:pPr>
              <w:spacing w:after="0" w:line="240" w:lineRule="auto"/>
              <w:rPr>
                <w:rFonts w:eastAsia="Times New Roman" w:cs="Arial"/>
                <w:sz w:val="20"/>
                <w:szCs w:val="20"/>
                <w:lang w:val="es-MX" w:eastAsia="es-MX"/>
              </w:rPr>
            </w:pPr>
            <w:r w:rsidRPr="00CE65F0">
              <w:rPr>
                <w:rFonts w:eastAsia="Times New Roman" w:cs="Arial"/>
                <w:sz w:val="20"/>
                <w:szCs w:val="20"/>
                <w:lang w:val="es-MX" w:eastAsia="es-MX"/>
              </w:rPr>
              <w:t>Instituto Nacional para la Educación de los Adultos, página de INEA números, http://200.77.230.29:8084/INEANumeros/</w:t>
            </w:r>
          </w:p>
        </w:tc>
        <w:tc>
          <w:tcPr>
            <w:tcW w:w="1982" w:type="dxa"/>
            <w:shd w:val="clear" w:color="auto" w:fill="auto"/>
            <w:hideMark/>
          </w:tcPr>
          <w:p w14:paraId="509C7FC6" w14:textId="77777777" w:rsidR="00E23746" w:rsidRPr="00CE65F0" w:rsidRDefault="00E23746" w:rsidP="000B2F10">
            <w:pPr>
              <w:spacing w:after="0" w:line="240" w:lineRule="auto"/>
              <w:rPr>
                <w:rFonts w:eastAsia="Times New Roman" w:cs="Arial"/>
                <w:sz w:val="20"/>
                <w:szCs w:val="20"/>
                <w:lang w:val="es-MX" w:eastAsia="es-MX"/>
              </w:rPr>
            </w:pPr>
            <w:r w:rsidRPr="00CE65F0">
              <w:rPr>
                <w:rFonts w:eastAsia="Times New Roman" w:cs="Arial"/>
                <w:sz w:val="20"/>
                <w:szCs w:val="20"/>
                <w:lang w:val="es-MX" w:eastAsia="es-MX"/>
              </w:rPr>
              <w:t>Las persona en rezago educativo  entregan la documentación requerida para su incorporación</w:t>
            </w:r>
            <w:r>
              <w:rPr>
                <w:rFonts w:eastAsia="Times New Roman" w:cs="Arial"/>
                <w:sz w:val="20"/>
                <w:szCs w:val="20"/>
                <w:lang w:val="es-MX" w:eastAsia="es-MX"/>
              </w:rPr>
              <w:t>.</w:t>
            </w:r>
          </w:p>
        </w:tc>
      </w:tr>
      <w:tr w:rsidR="00E23746" w:rsidRPr="00CE65F0" w14:paraId="329C8507" w14:textId="77777777" w:rsidTr="00D0420D">
        <w:trPr>
          <w:trHeight w:val="1103"/>
        </w:trPr>
        <w:tc>
          <w:tcPr>
            <w:tcW w:w="1555" w:type="dxa"/>
            <w:shd w:val="clear" w:color="auto" w:fill="auto"/>
            <w:hideMark/>
          </w:tcPr>
          <w:p w14:paraId="60844DA6" w14:textId="77777777" w:rsidR="00E23746" w:rsidRPr="00CE65F0" w:rsidRDefault="00E23746" w:rsidP="000B2F10">
            <w:pPr>
              <w:spacing w:after="0" w:line="240" w:lineRule="auto"/>
              <w:jc w:val="center"/>
              <w:rPr>
                <w:rFonts w:eastAsia="Times New Roman" w:cs="Arial"/>
                <w:b/>
                <w:bCs/>
                <w:sz w:val="20"/>
                <w:szCs w:val="20"/>
                <w:lang w:val="es-MX" w:eastAsia="es-MX"/>
              </w:rPr>
            </w:pPr>
            <w:r w:rsidRPr="00CE65F0">
              <w:rPr>
                <w:rFonts w:eastAsia="Times New Roman" w:cs="Arial"/>
                <w:b/>
                <w:bCs/>
                <w:sz w:val="20"/>
                <w:szCs w:val="20"/>
                <w:lang w:val="es-MX" w:eastAsia="es-MX"/>
              </w:rPr>
              <w:t>Actividad</w:t>
            </w:r>
          </w:p>
        </w:tc>
        <w:tc>
          <w:tcPr>
            <w:tcW w:w="2409" w:type="dxa"/>
            <w:shd w:val="clear" w:color="auto" w:fill="auto"/>
            <w:hideMark/>
          </w:tcPr>
          <w:p w14:paraId="4EA3C1AE" w14:textId="77777777" w:rsidR="00E23746" w:rsidRDefault="00E23746" w:rsidP="000B2F10">
            <w:pPr>
              <w:spacing w:after="0" w:line="240" w:lineRule="auto"/>
              <w:rPr>
                <w:rFonts w:eastAsia="Times New Roman" w:cs="Arial"/>
                <w:sz w:val="20"/>
                <w:szCs w:val="20"/>
                <w:lang w:val="es-MX" w:eastAsia="es-MX"/>
              </w:rPr>
            </w:pPr>
            <w:r w:rsidRPr="00CE65F0">
              <w:rPr>
                <w:rFonts w:eastAsia="Times New Roman" w:cs="Arial"/>
                <w:sz w:val="20"/>
                <w:szCs w:val="20"/>
                <w:lang w:val="es-MX" w:eastAsia="es-MX"/>
              </w:rPr>
              <w:t>Coordinar el programa de certificación de educación básica para jóvenes, adultos y adultos mayores en rezago educativo.</w:t>
            </w:r>
          </w:p>
          <w:p w14:paraId="7B4A0B05" w14:textId="77777777" w:rsidR="00E23746" w:rsidRPr="00CE65F0" w:rsidRDefault="00E23746" w:rsidP="000B2F10">
            <w:pPr>
              <w:spacing w:after="0" w:line="240" w:lineRule="auto"/>
              <w:rPr>
                <w:rFonts w:eastAsia="Times New Roman" w:cs="Arial"/>
                <w:sz w:val="20"/>
                <w:szCs w:val="20"/>
                <w:lang w:val="es-MX" w:eastAsia="es-MX"/>
              </w:rPr>
            </w:pPr>
          </w:p>
        </w:tc>
        <w:tc>
          <w:tcPr>
            <w:tcW w:w="2977" w:type="dxa"/>
            <w:shd w:val="clear" w:color="auto" w:fill="auto"/>
            <w:hideMark/>
          </w:tcPr>
          <w:p w14:paraId="6295C4B6" w14:textId="77777777" w:rsidR="00E23746" w:rsidRPr="00CE65F0" w:rsidRDefault="00E23746" w:rsidP="000B2F10">
            <w:pPr>
              <w:spacing w:after="0" w:line="240" w:lineRule="auto"/>
              <w:rPr>
                <w:rFonts w:eastAsia="Times New Roman" w:cs="Arial"/>
                <w:sz w:val="20"/>
                <w:szCs w:val="20"/>
                <w:lang w:val="es-MX" w:eastAsia="es-MX"/>
              </w:rPr>
            </w:pPr>
            <w:r w:rsidRPr="00CE65F0">
              <w:rPr>
                <w:rFonts w:eastAsia="Times New Roman" w:cs="Arial"/>
                <w:sz w:val="20"/>
                <w:szCs w:val="20"/>
                <w:lang w:val="es-MX" w:eastAsia="es-MX"/>
              </w:rPr>
              <w:t>C03.A02 - Aplicación de exámenes de secundaria</w:t>
            </w:r>
            <w:r>
              <w:rPr>
                <w:rFonts w:eastAsia="Times New Roman" w:cs="Arial"/>
                <w:sz w:val="20"/>
                <w:szCs w:val="20"/>
                <w:lang w:val="es-MX" w:eastAsia="es-MX"/>
              </w:rPr>
              <w:t>.</w:t>
            </w:r>
          </w:p>
        </w:tc>
        <w:tc>
          <w:tcPr>
            <w:tcW w:w="2126" w:type="dxa"/>
            <w:shd w:val="clear" w:color="auto" w:fill="auto"/>
            <w:hideMark/>
          </w:tcPr>
          <w:p w14:paraId="26A86ABC" w14:textId="77777777" w:rsidR="00E23746" w:rsidRPr="00CE65F0" w:rsidRDefault="00E23746" w:rsidP="000B2F10">
            <w:pPr>
              <w:spacing w:after="0" w:line="240" w:lineRule="auto"/>
              <w:rPr>
                <w:rFonts w:eastAsia="Times New Roman" w:cs="Arial"/>
                <w:sz w:val="20"/>
                <w:szCs w:val="20"/>
                <w:lang w:val="es-MX" w:eastAsia="es-MX"/>
              </w:rPr>
            </w:pPr>
            <w:r w:rsidRPr="00CE65F0">
              <w:rPr>
                <w:rFonts w:eastAsia="Times New Roman" w:cs="Arial"/>
                <w:sz w:val="20"/>
                <w:szCs w:val="20"/>
                <w:lang w:val="es-MX" w:eastAsia="es-MX"/>
              </w:rPr>
              <w:t>C03A02 - Porcentaje de exámenes aprobados en el nivel de secundaria</w:t>
            </w:r>
          </w:p>
        </w:tc>
        <w:tc>
          <w:tcPr>
            <w:tcW w:w="2980" w:type="dxa"/>
            <w:shd w:val="clear" w:color="auto" w:fill="auto"/>
            <w:hideMark/>
          </w:tcPr>
          <w:p w14:paraId="2613885D" w14:textId="77777777" w:rsidR="00E23746" w:rsidRPr="00CE65F0" w:rsidRDefault="00E23746" w:rsidP="000B2F10">
            <w:pPr>
              <w:spacing w:after="0" w:line="240" w:lineRule="auto"/>
              <w:rPr>
                <w:rFonts w:eastAsia="Times New Roman" w:cs="Arial"/>
                <w:sz w:val="20"/>
                <w:szCs w:val="20"/>
                <w:lang w:val="es-MX" w:eastAsia="es-MX"/>
              </w:rPr>
            </w:pPr>
            <w:r w:rsidRPr="00CE65F0">
              <w:rPr>
                <w:rFonts w:eastAsia="Times New Roman" w:cs="Arial"/>
                <w:sz w:val="20"/>
                <w:szCs w:val="20"/>
                <w:lang w:val="es-MX" w:eastAsia="es-MX"/>
              </w:rPr>
              <w:t>www.qroo.gob.mx/ieea/verificacion-de-medios-del-sippres</w:t>
            </w:r>
            <w:r>
              <w:rPr>
                <w:rFonts w:eastAsia="Times New Roman" w:cs="Arial"/>
                <w:sz w:val="20"/>
                <w:szCs w:val="20"/>
                <w:lang w:val="es-MX" w:eastAsia="es-MX"/>
              </w:rPr>
              <w:t>.</w:t>
            </w:r>
          </w:p>
        </w:tc>
        <w:tc>
          <w:tcPr>
            <w:tcW w:w="1982" w:type="dxa"/>
            <w:shd w:val="clear" w:color="auto" w:fill="auto"/>
            <w:hideMark/>
          </w:tcPr>
          <w:p w14:paraId="566317FF" w14:textId="77777777" w:rsidR="00E23746" w:rsidRPr="00CE65F0" w:rsidRDefault="00E23746" w:rsidP="000B2F10">
            <w:pPr>
              <w:spacing w:after="0" w:line="240" w:lineRule="auto"/>
              <w:rPr>
                <w:rFonts w:eastAsia="Times New Roman" w:cs="Arial"/>
                <w:sz w:val="20"/>
                <w:szCs w:val="20"/>
                <w:lang w:val="es-MX" w:eastAsia="es-MX"/>
              </w:rPr>
            </w:pPr>
            <w:r w:rsidRPr="00CE65F0">
              <w:rPr>
                <w:rFonts w:eastAsia="Times New Roman" w:cs="Arial"/>
                <w:sz w:val="20"/>
                <w:szCs w:val="20"/>
                <w:lang w:val="es-MX" w:eastAsia="es-MX"/>
              </w:rPr>
              <w:t>Las personas acuden a presentar sus exámenes</w:t>
            </w:r>
            <w:r>
              <w:rPr>
                <w:rFonts w:eastAsia="Times New Roman" w:cs="Arial"/>
                <w:sz w:val="20"/>
                <w:szCs w:val="20"/>
                <w:lang w:val="es-MX" w:eastAsia="es-MX"/>
              </w:rPr>
              <w:t>.</w:t>
            </w:r>
          </w:p>
        </w:tc>
      </w:tr>
    </w:tbl>
    <w:p w14:paraId="4B586276" w14:textId="77777777" w:rsidR="009137BD" w:rsidRDefault="009137BD">
      <w:pPr>
        <w:spacing w:after="0" w:line="240" w:lineRule="auto"/>
        <w:jc w:val="left"/>
      </w:pPr>
      <w:r>
        <w:br w:type="page"/>
      </w:r>
    </w:p>
    <w:tbl>
      <w:tblPr>
        <w:tblW w:w="14029" w:type="dxa"/>
        <w:tblLayout w:type="fixed"/>
        <w:tblCellMar>
          <w:left w:w="70" w:type="dxa"/>
          <w:right w:w="70" w:type="dxa"/>
        </w:tblCellMar>
        <w:tblLook w:val="04A0" w:firstRow="1" w:lastRow="0" w:firstColumn="1" w:lastColumn="0" w:noHBand="0" w:noVBand="1"/>
      </w:tblPr>
      <w:tblGrid>
        <w:gridCol w:w="1182"/>
        <w:gridCol w:w="2782"/>
        <w:gridCol w:w="2977"/>
        <w:gridCol w:w="2126"/>
        <w:gridCol w:w="2980"/>
        <w:gridCol w:w="1982"/>
      </w:tblGrid>
      <w:tr w:rsidR="00E23746" w:rsidRPr="00CE65F0" w14:paraId="761D99E7" w14:textId="77777777" w:rsidTr="000B2F10">
        <w:trPr>
          <w:trHeight w:val="758"/>
        </w:trPr>
        <w:tc>
          <w:tcPr>
            <w:tcW w:w="1182"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6BD49D5C" w14:textId="77777777" w:rsidR="00E23746" w:rsidRPr="00CE65F0" w:rsidRDefault="00E23746" w:rsidP="000B2F10">
            <w:pPr>
              <w:spacing w:after="0" w:line="240" w:lineRule="auto"/>
              <w:jc w:val="center"/>
              <w:rPr>
                <w:rFonts w:eastAsia="Times New Roman" w:cs="Arial"/>
                <w:b/>
                <w:bCs/>
                <w:sz w:val="20"/>
                <w:szCs w:val="20"/>
                <w:lang w:val="es-MX" w:eastAsia="es-MX"/>
              </w:rPr>
            </w:pPr>
            <w:r w:rsidRPr="00CE65F0">
              <w:rPr>
                <w:rFonts w:eastAsia="Times New Roman" w:cs="Arial"/>
                <w:b/>
                <w:bCs/>
                <w:sz w:val="20"/>
                <w:szCs w:val="20"/>
                <w:lang w:val="es-MX" w:eastAsia="es-MX"/>
              </w:rPr>
              <w:lastRenderedPageBreak/>
              <w:t>NIVEL</w:t>
            </w:r>
          </w:p>
        </w:tc>
        <w:tc>
          <w:tcPr>
            <w:tcW w:w="2782" w:type="dxa"/>
            <w:tcBorders>
              <w:top w:val="single" w:sz="4" w:space="0" w:color="auto"/>
              <w:left w:val="nil"/>
              <w:bottom w:val="single" w:sz="4" w:space="0" w:color="auto"/>
              <w:right w:val="single" w:sz="4" w:space="0" w:color="auto"/>
            </w:tcBorders>
            <w:shd w:val="clear" w:color="000000" w:fill="BFBFBF"/>
            <w:vAlign w:val="center"/>
            <w:hideMark/>
          </w:tcPr>
          <w:p w14:paraId="56A5BCF8" w14:textId="77777777" w:rsidR="00E23746" w:rsidRPr="00CE65F0" w:rsidRDefault="00E23746" w:rsidP="000B2F10">
            <w:pPr>
              <w:spacing w:after="0" w:line="240" w:lineRule="auto"/>
              <w:jc w:val="center"/>
              <w:rPr>
                <w:rFonts w:eastAsia="Times New Roman" w:cs="Arial"/>
                <w:b/>
                <w:bCs/>
                <w:sz w:val="20"/>
                <w:szCs w:val="20"/>
                <w:lang w:val="es-MX" w:eastAsia="es-MX"/>
              </w:rPr>
            </w:pPr>
            <w:r w:rsidRPr="00CE65F0">
              <w:rPr>
                <w:rFonts w:eastAsia="Times New Roman" w:cs="Arial"/>
                <w:b/>
                <w:bCs/>
                <w:sz w:val="20"/>
                <w:szCs w:val="20"/>
                <w:lang w:val="es-MX" w:eastAsia="es-MX"/>
              </w:rPr>
              <w:t>ALINEACIÓN PED/PD</w:t>
            </w:r>
          </w:p>
        </w:tc>
        <w:tc>
          <w:tcPr>
            <w:tcW w:w="2977" w:type="dxa"/>
            <w:tcBorders>
              <w:top w:val="single" w:sz="4" w:space="0" w:color="auto"/>
              <w:left w:val="nil"/>
              <w:bottom w:val="single" w:sz="4" w:space="0" w:color="auto"/>
              <w:right w:val="single" w:sz="4" w:space="0" w:color="auto"/>
            </w:tcBorders>
            <w:shd w:val="clear" w:color="000000" w:fill="BFBFBF"/>
            <w:vAlign w:val="center"/>
            <w:hideMark/>
          </w:tcPr>
          <w:p w14:paraId="2F4F5B53" w14:textId="77777777" w:rsidR="00E23746" w:rsidRPr="00CE65F0" w:rsidRDefault="00E23746" w:rsidP="000B2F10">
            <w:pPr>
              <w:spacing w:after="0" w:line="240" w:lineRule="auto"/>
              <w:jc w:val="center"/>
              <w:rPr>
                <w:rFonts w:eastAsia="Times New Roman" w:cs="Arial"/>
                <w:b/>
                <w:bCs/>
                <w:sz w:val="20"/>
                <w:szCs w:val="20"/>
                <w:lang w:val="es-MX" w:eastAsia="es-MX"/>
              </w:rPr>
            </w:pPr>
            <w:r w:rsidRPr="00CE65F0">
              <w:rPr>
                <w:rFonts w:eastAsia="Times New Roman" w:cs="Arial"/>
                <w:b/>
                <w:bCs/>
                <w:sz w:val="20"/>
                <w:szCs w:val="20"/>
                <w:lang w:val="es-MX" w:eastAsia="es-MX"/>
              </w:rPr>
              <w:t>OBJETIVO</w:t>
            </w:r>
          </w:p>
        </w:tc>
        <w:tc>
          <w:tcPr>
            <w:tcW w:w="2126" w:type="dxa"/>
            <w:tcBorders>
              <w:top w:val="single" w:sz="4" w:space="0" w:color="auto"/>
              <w:left w:val="nil"/>
              <w:bottom w:val="single" w:sz="4" w:space="0" w:color="auto"/>
              <w:right w:val="single" w:sz="4" w:space="0" w:color="auto"/>
            </w:tcBorders>
            <w:shd w:val="clear" w:color="000000" w:fill="BFBFBF"/>
            <w:vAlign w:val="center"/>
            <w:hideMark/>
          </w:tcPr>
          <w:p w14:paraId="126F41D7" w14:textId="77777777" w:rsidR="00E23746" w:rsidRPr="00CE65F0" w:rsidRDefault="00E23746" w:rsidP="000B2F10">
            <w:pPr>
              <w:spacing w:after="0" w:line="240" w:lineRule="auto"/>
              <w:jc w:val="center"/>
              <w:rPr>
                <w:rFonts w:eastAsia="Times New Roman" w:cs="Arial"/>
                <w:b/>
                <w:bCs/>
                <w:sz w:val="20"/>
                <w:szCs w:val="20"/>
                <w:lang w:val="es-MX" w:eastAsia="es-MX"/>
              </w:rPr>
            </w:pPr>
            <w:r w:rsidRPr="00CE65F0">
              <w:rPr>
                <w:rFonts w:eastAsia="Times New Roman" w:cs="Arial"/>
                <w:b/>
                <w:bCs/>
                <w:sz w:val="20"/>
                <w:szCs w:val="20"/>
                <w:lang w:val="es-MX" w:eastAsia="es-MX"/>
              </w:rPr>
              <w:t>INDICADOR</w:t>
            </w:r>
          </w:p>
        </w:tc>
        <w:tc>
          <w:tcPr>
            <w:tcW w:w="2980" w:type="dxa"/>
            <w:tcBorders>
              <w:top w:val="single" w:sz="4" w:space="0" w:color="auto"/>
              <w:left w:val="nil"/>
              <w:bottom w:val="single" w:sz="4" w:space="0" w:color="auto"/>
              <w:right w:val="single" w:sz="4" w:space="0" w:color="auto"/>
            </w:tcBorders>
            <w:shd w:val="clear" w:color="000000" w:fill="BFBFBF"/>
            <w:vAlign w:val="center"/>
            <w:hideMark/>
          </w:tcPr>
          <w:p w14:paraId="513DA1E8" w14:textId="77777777" w:rsidR="00E23746" w:rsidRPr="00CE65F0" w:rsidRDefault="00E23746" w:rsidP="000B2F10">
            <w:pPr>
              <w:spacing w:after="0" w:line="240" w:lineRule="auto"/>
              <w:jc w:val="center"/>
              <w:rPr>
                <w:rFonts w:eastAsia="Times New Roman" w:cs="Arial"/>
                <w:b/>
                <w:bCs/>
                <w:sz w:val="20"/>
                <w:szCs w:val="20"/>
                <w:lang w:val="es-MX" w:eastAsia="es-MX"/>
              </w:rPr>
            </w:pPr>
            <w:r w:rsidRPr="00CE65F0">
              <w:rPr>
                <w:rFonts w:eastAsia="Times New Roman" w:cs="Arial"/>
                <w:b/>
                <w:bCs/>
                <w:sz w:val="20"/>
                <w:szCs w:val="20"/>
                <w:lang w:val="es-MX" w:eastAsia="es-MX"/>
              </w:rPr>
              <w:t>MEDIOS DE VERIFICACIÓN</w:t>
            </w:r>
          </w:p>
        </w:tc>
        <w:tc>
          <w:tcPr>
            <w:tcW w:w="1982" w:type="dxa"/>
            <w:tcBorders>
              <w:top w:val="single" w:sz="4" w:space="0" w:color="auto"/>
              <w:left w:val="nil"/>
              <w:bottom w:val="single" w:sz="4" w:space="0" w:color="auto"/>
              <w:right w:val="single" w:sz="4" w:space="0" w:color="auto"/>
            </w:tcBorders>
            <w:shd w:val="clear" w:color="000000" w:fill="BFBFBF"/>
            <w:vAlign w:val="center"/>
            <w:hideMark/>
          </w:tcPr>
          <w:p w14:paraId="44792217" w14:textId="77777777" w:rsidR="00E23746" w:rsidRPr="00CE65F0" w:rsidRDefault="00E23746" w:rsidP="000B2F10">
            <w:pPr>
              <w:spacing w:after="0" w:line="240" w:lineRule="auto"/>
              <w:ind w:right="-218"/>
              <w:jc w:val="center"/>
              <w:rPr>
                <w:rFonts w:eastAsia="Times New Roman" w:cs="Arial"/>
                <w:b/>
                <w:bCs/>
                <w:sz w:val="20"/>
                <w:szCs w:val="20"/>
                <w:lang w:val="es-MX" w:eastAsia="es-MX"/>
              </w:rPr>
            </w:pPr>
            <w:r w:rsidRPr="00CE65F0">
              <w:rPr>
                <w:rFonts w:eastAsia="Times New Roman" w:cs="Arial"/>
                <w:b/>
                <w:bCs/>
                <w:sz w:val="20"/>
                <w:szCs w:val="20"/>
                <w:lang w:val="es-MX" w:eastAsia="es-MX"/>
              </w:rPr>
              <w:t>SUPUESTO</w:t>
            </w:r>
          </w:p>
        </w:tc>
      </w:tr>
      <w:tr w:rsidR="00D0420D" w:rsidRPr="00CE65F0" w14:paraId="04352F9B" w14:textId="77777777" w:rsidTr="000B2F10">
        <w:trPr>
          <w:trHeight w:val="2677"/>
        </w:trPr>
        <w:tc>
          <w:tcPr>
            <w:tcW w:w="1182" w:type="dxa"/>
            <w:tcBorders>
              <w:top w:val="single" w:sz="4" w:space="0" w:color="auto"/>
              <w:left w:val="single" w:sz="4" w:space="0" w:color="auto"/>
              <w:bottom w:val="single" w:sz="4" w:space="0" w:color="auto"/>
              <w:right w:val="single" w:sz="4" w:space="0" w:color="auto"/>
            </w:tcBorders>
            <w:shd w:val="clear" w:color="auto" w:fill="auto"/>
          </w:tcPr>
          <w:p w14:paraId="1723E78F" w14:textId="7A59D51C" w:rsidR="00D0420D" w:rsidRPr="00CE65F0" w:rsidRDefault="00D0420D" w:rsidP="00D0420D">
            <w:pPr>
              <w:spacing w:after="0" w:line="240" w:lineRule="auto"/>
              <w:jc w:val="center"/>
              <w:rPr>
                <w:rFonts w:eastAsia="Times New Roman" w:cs="Arial"/>
                <w:b/>
                <w:bCs/>
                <w:sz w:val="20"/>
                <w:szCs w:val="20"/>
                <w:lang w:val="es-MX" w:eastAsia="es-MX"/>
              </w:rPr>
            </w:pPr>
            <w:r w:rsidRPr="00CE65F0">
              <w:rPr>
                <w:rFonts w:eastAsia="Times New Roman" w:cs="Arial"/>
                <w:b/>
                <w:bCs/>
                <w:sz w:val="20"/>
                <w:szCs w:val="20"/>
                <w:lang w:val="es-MX" w:eastAsia="es-MX"/>
              </w:rPr>
              <w:t>Actividad</w:t>
            </w:r>
          </w:p>
        </w:tc>
        <w:tc>
          <w:tcPr>
            <w:tcW w:w="2782" w:type="dxa"/>
            <w:tcBorders>
              <w:top w:val="single" w:sz="4" w:space="0" w:color="auto"/>
              <w:left w:val="nil"/>
              <w:bottom w:val="single" w:sz="4" w:space="0" w:color="auto"/>
              <w:right w:val="single" w:sz="4" w:space="0" w:color="auto"/>
            </w:tcBorders>
            <w:shd w:val="clear" w:color="auto" w:fill="auto"/>
          </w:tcPr>
          <w:p w14:paraId="635181B0" w14:textId="77777777" w:rsidR="00D0420D" w:rsidRDefault="00D0420D" w:rsidP="00D0420D">
            <w:pPr>
              <w:spacing w:after="0" w:line="240" w:lineRule="auto"/>
              <w:rPr>
                <w:rFonts w:eastAsia="Times New Roman" w:cs="Arial"/>
                <w:sz w:val="20"/>
                <w:szCs w:val="20"/>
                <w:lang w:val="es-MX" w:eastAsia="es-MX"/>
              </w:rPr>
            </w:pPr>
            <w:r w:rsidRPr="00CE65F0">
              <w:rPr>
                <w:rFonts w:eastAsia="Times New Roman" w:cs="Arial"/>
                <w:sz w:val="20"/>
                <w:szCs w:val="20"/>
                <w:lang w:val="es-MX" w:eastAsia="es-MX"/>
              </w:rPr>
              <w:t>Coordinar el programa de certificación de educación básica para jóvenes, adultos y adultos mayores en rezago educativo.</w:t>
            </w:r>
          </w:p>
          <w:p w14:paraId="577724B3" w14:textId="77777777" w:rsidR="00D0420D" w:rsidRPr="00CE65F0" w:rsidRDefault="00D0420D" w:rsidP="00D0420D">
            <w:pPr>
              <w:spacing w:after="0" w:line="240" w:lineRule="auto"/>
              <w:rPr>
                <w:rFonts w:eastAsia="Times New Roman" w:cs="Arial"/>
                <w:sz w:val="20"/>
                <w:szCs w:val="20"/>
                <w:lang w:val="es-MX" w:eastAsia="es-MX"/>
              </w:rPr>
            </w:pPr>
          </w:p>
        </w:tc>
        <w:tc>
          <w:tcPr>
            <w:tcW w:w="2977" w:type="dxa"/>
            <w:tcBorders>
              <w:top w:val="single" w:sz="4" w:space="0" w:color="auto"/>
              <w:left w:val="nil"/>
              <w:bottom w:val="single" w:sz="4" w:space="0" w:color="auto"/>
              <w:right w:val="single" w:sz="4" w:space="0" w:color="auto"/>
            </w:tcBorders>
            <w:shd w:val="clear" w:color="auto" w:fill="auto"/>
          </w:tcPr>
          <w:p w14:paraId="10C7D95F" w14:textId="48E93A24" w:rsidR="00D0420D" w:rsidRPr="00CE65F0" w:rsidRDefault="00D0420D" w:rsidP="00D0420D">
            <w:pPr>
              <w:spacing w:after="0" w:line="240" w:lineRule="auto"/>
              <w:rPr>
                <w:rFonts w:eastAsia="Times New Roman" w:cs="Arial"/>
                <w:sz w:val="20"/>
                <w:szCs w:val="20"/>
                <w:lang w:val="es-MX" w:eastAsia="es-MX"/>
              </w:rPr>
            </w:pPr>
            <w:r w:rsidRPr="00CE65F0">
              <w:rPr>
                <w:rFonts w:eastAsia="Times New Roman" w:cs="Arial"/>
                <w:sz w:val="20"/>
                <w:szCs w:val="20"/>
                <w:lang w:val="es-MX" w:eastAsia="es-MX"/>
              </w:rPr>
              <w:t>C03.A03 -  Otorgamiento de certificados a personas que concluyen nivel primaria o secundaria</w:t>
            </w:r>
            <w:r>
              <w:rPr>
                <w:rFonts w:eastAsia="Times New Roman" w:cs="Arial"/>
                <w:sz w:val="20"/>
                <w:szCs w:val="20"/>
                <w:lang w:val="es-MX" w:eastAsia="es-MX"/>
              </w:rPr>
              <w:t>.</w:t>
            </w:r>
          </w:p>
        </w:tc>
        <w:tc>
          <w:tcPr>
            <w:tcW w:w="2126" w:type="dxa"/>
            <w:tcBorders>
              <w:top w:val="single" w:sz="4" w:space="0" w:color="auto"/>
              <w:left w:val="nil"/>
              <w:bottom w:val="single" w:sz="4" w:space="0" w:color="auto"/>
              <w:right w:val="single" w:sz="4" w:space="0" w:color="auto"/>
            </w:tcBorders>
            <w:shd w:val="clear" w:color="auto" w:fill="auto"/>
          </w:tcPr>
          <w:p w14:paraId="5DEACC07" w14:textId="366864ED" w:rsidR="00D0420D" w:rsidRPr="00CE65F0" w:rsidRDefault="00D0420D" w:rsidP="00D0420D">
            <w:pPr>
              <w:spacing w:after="0" w:line="240" w:lineRule="auto"/>
              <w:rPr>
                <w:rFonts w:eastAsia="Times New Roman" w:cs="Arial"/>
                <w:sz w:val="20"/>
                <w:szCs w:val="20"/>
                <w:lang w:val="es-MX" w:eastAsia="es-MX"/>
              </w:rPr>
            </w:pPr>
            <w:r w:rsidRPr="00CE65F0">
              <w:rPr>
                <w:rFonts w:eastAsia="Times New Roman" w:cs="Arial"/>
                <w:sz w:val="20"/>
                <w:szCs w:val="20"/>
                <w:lang w:val="es-MX" w:eastAsia="es-MX"/>
              </w:rPr>
              <w:t>C03A03 - Porcentaje de personas certificadas que concluyen nivel primaria o secundaria</w:t>
            </w:r>
          </w:p>
        </w:tc>
        <w:tc>
          <w:tcPr>
            <w:tcW w:w="2980" w:type="dxa"/>
            <w:tcBorders>
              <w:top w:val="single" w:sz="4" w:space="0" w:color="auto"/>
              <w:left w:val="nil"/>
              <w:bottom w:val="single" w:sz="4" w:space="0" w:color="auto"/>
              <w:right w:val="single" w:sz="4" w:space="0" w:color="auto"/>
            </w:tcBorders>
            <w:shd w:val="clear" w:color="auto" w:fill="auto"/>
          </w:tcPr>
          <w:p w14:paraId="13A2236E" w14:textId="5DF49683" w:rsidR="00D0420D" w:rsidRPr="00CE65F0" w:rsidRDefault="00D0420D" w:rsidP="00D0420D">
            <w:pPr>
              <w:spacing w:after="0" w:line="240" w:lineRule="auto"/>
              <w:rPr>
                <w:rFonts w:eastAsia="Times New Roman" w:cs="Arial"/>
                <w:sz w:val="20"/>
                <w:szCs w:val="20"/>
                <w:lang w:val="es-MX" w:eastAsia="es-MX"/>
              </w:rPr>
            </w:pPr>
            <w:r w:rsidRPr="00CE65F0">
              <w:rPr>
                <w:rFonts w:eastAsia="Times New Roman" w:cs="Arial"/>
                <w:sz w:val="20"/>
                <w:szCs w:val="20"/>
                <w:lang w:val="es-MX" w:eastAsia="es-MX"/>
              </w:rPr>
              <w:t>www.qroo.gob.mx/ieea/verificacion-de-medios-del-sippres</w:t>
            </w:r>
            <w:r>
              <w:rPr>
                <w:rFonts w:eastAsia="Times New Roman" w:cs="Arial"/>
                <w:sz w:val="20"/>
                <w:szCs w:val="20"/>
                <w:lang w:val="es-MX" w:eastAsia="es-MX"/>
              </w:rPr>
              <w:t>.</w:t>
            </w:r>
          </w:p>
        </w:tc>
        <w:tc>
          <w:tcPr>
            <w:tcW w:w="1982" w:type="dxa"/>
            <w:tcBorders>
              <w:top w:val="single" w:sz="4" w:space="0" w:color="auto"/>
              <w:left w:val="nil"/>
              <w:bottom w:val="single" w:sz="4" w:space="0" w:color="auto"/>
              <w:right w:val="single" w:sz="4" w:space="0" w:color="auto"/>
            </w:tcBorders>
            <w:shd w:val="clear" w:color="auto" w:fill="auto"/>
          </w:tcPr>
          <w:p w14:paraId="4E35E23D" w14:textId="0B3F0532" w:rsidR="00D0420D" w:rsidRPr="00CE65F0" w:rsidRDefault="00D0420D" w:rsidP="00D0420D">
            <w:pPr>
              <w:spacing w:after="0" w:line="240" w:lineRule="auto"/>
              <w:rPr>
                <w:rFonts w:eastAsia="Times New Roman" w:cs="Arial"/>
                <w:sz w:val="20"/>
                <w:szCs w:val="20"/>
                <w:lang w:val="es-MX" w:eastAsia="es-MX"/>
              </w:rPr>
            </w:pPr>
            <w:r w:rsidRPr="00CE65F0">
              <w:rPr>
                <w:rFonts w:eastAsia="Times New Roman" w:cs="Arial"/>
                <w:sz w:val="20"/>
                <w:szCs w:val="20"/>
                <w:lang w:val="es-MX" w:eastAsia="es-MX"/>
              </w:rPr>
              <w:t>Las personas entregan la documentación requerida para su certificación</w:t>
            </w:r>
            <w:r>
              <w:rPr>
                <w:rFonts w:eastAsia="Times New Roman" w:cs="Arial"/>
                <w:sz w:val="20"/>
                <w:szCs w:val="20"/>
                <w:lang w:val="es-MX" w:eastAsia="es-MX"/>
              </w:rPr>
              <w:t>.</w:t>
            </w:r>
          </w:p>
        </w:tc>
      </w:tr>
      <w:tr w:rsidR="00E23746" w:rsidRPr="00CE65F0" w14:paraId="4669FBEE" w14:textId="77777777" w:rsidTr="000B2F10">
        <w:trPr>
          <w:trHeight w:val="2677"/>
        </w:trPr>
        <w:tc>
          <w:tcPr>
            <w:tcW w:w="1182" w:type="dxa"/>
            <w:tcBorders>
              <w:top w:val="single" w:sz="4" w:space="0" w:color="auto"/>
              <w:left w:val="single" w:sz="4" w:space="0" w:color="auto"/>
              <w:bottom w:val="single" w:sz="4" w:space="0" w:color="auto"/>
              <w:right w:val="single" w:sz="4" w:space="0" w:color="auto"/>
            </w:tcBorders>
            <w:shd w:val="clear" w:color="auto" w:fill="auto"/>
            <w:hideMark/>
          </w:tcPr>
          <w:p w14:paraId="68A6330B" w14:textId="77777777" w:rsidR="00E23746" w:rsidRPr="00CE65F0" w:rsidRDefault="00E23746" w:rsidP="000B2F10">
            <w:pPr>
              <w:spacing w:after="0" w:line="240" w:lineRule="auto"/>
              <w:jc w:val="center"/>
              <w:rPr>
                <w:rFonts w:eastAsia="Times New Roman" w:cs="Arial"/>
                <w:b/>
                <w:bCs/>
                <w:sz w:val="20"/>
                <w:szCs w:val="20"/>
                <w:lang w:val="es-MX" w:eastAsia="es-MX"/>
              </w:rPr>
            </w:pPr>
            <w:r w:rsidRPr="00CE65F0">
              <w:rPr>
                <w:rFonts w:eastAsia="Times New Roman" w:cs="Arial"/>
                <w:b/>
                <w:bCs/>
                <w:sz w:val="20"/>
                <w:szCs w:val="20"/>
                <w:lang w:val="es-MX" w:eastAsia="es-MX"/>
              </w:rPr>
              <w:t>Actividad</w:t>
            </w:r>
          </w:p>
        </w:tc>
        <w:tc>
          <w:tcPr>
            <w:tcW w:w="2782" w:type="dxa"/>
            <w:tcBorders>
              <w:top w:val="single" w:sz="4" w:space="0" w:color="auto"/>
              <w:left w:val="nil"/>
              <w:bottom w:val="single" w:sz="4" w:space="0" w:color="auto"/>
              <w:right w:val="single" w:sz="4" w:space="0" w:color="auto"/>
            </w:tcBorders>
            <w:shd w:val="clear" w:color="auto" w:fill="auto"/>
            <w:hideMark/>
          </w:tcPr>
          <w:p w14:paraId="4B011E36" w14:textId="77777777" w:rsidR="00E23746" w:rsidRPr="00CE65F0" w:rsidRDefault="00E23746" w:rsidP="000B2F10">
            <w:pPr>
              <w:spacing w:after="0" w:line="240" w:lineRule="auto"/>
              <w:rPr>
                <w:rFonts w:eastAsia="Times New Roman" w:cs="Arial"/>
                <w:sz w:val="20"/>
                <w:szCs w:val="20"/>
                <w:lang w:val="es-MX" w:eastAsia="es-MX"/>
              </w:rPr>
            </w:pPr>
            <w:r w:rsidRPr="00CE65F0">
              <w:rPr>
                <w:rFonts w:eastAsia="Times New Roman" w:cs="Arial"/>
                <w:sz w:val="20"/>
                <w:szCs w:val="20"/>
                <w:lang w:val="es-MX" w:eastAsia="es-MX"/>
              </w:rPr>
              <w:t>Coordinar el programa de alfabetización y educación básica dirigido a jóvenes, adultos y adultos mayores en rezago educativo por medio de Tecnologías de la Información y Comunicación (TIC´s) con organizaciones de la sociedad civil y el Instituto Estatal para la Educación de Jóvenes y Adultos.</w:t>
            </w:r>
          </w:p>
        </w:tc>
        <w:tc>
          <w:tcPr>
            <w:tcW w:w="2977" w:type="dxa"/>
            <w:tcBorders>
              <w:top w:val="single" w:sz="4" w:space="0" w:color="auto"/>
              <w:left w:val="nil"/>
              <w:bottom w:val="single" w:sz="4" w:space="0" w:color="auto"/>
              <w:right w:val="single" w:sz="4" w:space="0" w:color="auto"/>
            </w:tcBorders>
            <w:shd w:val="clear" w:color="auto" w:fill="auto"/>
            <w:hideMark/>
          </w:tcPr>
          <w:p w14:paraId="04F0E911" w14:textId="77777777" w:rsidR="00E23746" w:rsidRPr="00CE65F0" w:rsidRDefault="00E23746" w:rsidP="000B2F10">
            <w:pPr>
              <w:spacing w:after="0" w:line="240" w:lineRule="auto"/>
              <w:rPr>
                <w:rFonts w:eastAsia="Times New Roman" w:cs="Arial"/>
                <w:sz w:val="20"/>
                <w:szCs w:val="20"/>
                <w:lang w:val="es-MX" w:eastAsia="es-MX"/>
              </w:rPr>
            </w:pPr>
            <w:r w:rsidRPr="00CE65F0">
              <w:rPr>
                <w:rFonts w:eastAsia="Times New Roman" w:cs="Arial"/>
                <w:sz w:val="20"/>
                <w:szCs w:val="20"/>
                <w:lang w:val="es-MX" w:eastAsia="es-MX"/>
              </w:rPr>
              <w:t>C03.A04 -  Capacitación de asesores</w:t>
            </w:r>
            <w:r>
              <w:rPr>
                <w:rFonts w:eastAsia="Times New Roman" w:cs="Arial"/>
                <w:sz w:val="20"/>
                <w:szCs w:val="20"/>
                <w:lang w:val="es-MX" w:eastAsia="es-MX"/>
              </w:rPr>
              <w:t>.</w:t>
            </w:r>
          </w:p>
        </w:tc>
        <w:tc>
          <w:tcPr>
            <w:tcW w:w="2126" w:type="dxa"/>
            <w:tcBorders>
              <w:top w:val="single" w:sz="4" w:space="0" w:color="auto"/>
              <w:left w:val="nil"/>
              <w:bottom w:val="single" w:sz="4" w:space="0" w:color="auto"/>
              <w:right w:val="single" w:sz="4" w:space="0" w:color="auto"/>
            </w:tcBorders>
            <w:shd w:val="clear" w:color="auto" w:fill="auto"/>
            <w:hideMark/>
          </w:tcPr>
          <w:p w14:paraId="2929F6C9" w14:textId="77777777" w:rsidR="00E23746" w:rsidRPr="00CE65F0" w:rsidRDefault="00E23746" w:rsidP="000B2F10">
            <w:pPr>
              <w:spacing w:after="0" w:line="240" w:lineRule="auto"/>
              <w:rPr>
                <w:rFonts w:eastAsia="Times New Roman" w:cs="Arial"/>
                <w:sz w:val="20"/>
                <w:szCs w:val="20"/>
                <w:lang w:val="es-MX" w:eastAsia="es-MX"/>
              </w:rPr>
            </w:pPr>
            <w:r w:rsidRPr="00CE65F0">
              <w:rPr>
                <w:rFonts w:eastAsia="Times New Roman" w:cs="Arial"/>
                <w:sz w:val="20"/>
                <w:szCs w:val="20"/>
                <w:lang w:val="es-MX" w:eastAsia="es-MX"/>
              </w:rPr>
              <w:t>C03A04 - Porcentaje de asesores que reciben  formación inicial o actualización</w:t>
            </w:r>
            <w:r>
              <w:rPr>
                <w:rFonts w:eastAsia="Times New Roman" w:cs="Arial"/>
                <w:sz w:val="20"/>
                <w:szCs w:val="20"/>
                <w:lang w:val="es-MX" w:eastAsia="es-MX"/>
              </w:rPr>
              <w:t>.</w:t>
            </w:r>
          </w:p>
        </w:tc>
        <w:tc>
          <w:tcPr>
            <w:tcW w:w="2980" w:type="dxa"/>
            <w:tcBorders>
              <w:top w:val="single" w:sz="4" w:space="0" w:color="auto"/>
              <w:left w:val="nil"/>
              <w:bottom w:val="single" w:sz="4" w:space="0" w:color="auto"/>
              <w:right w:val="single" w:sz="4" w:space="0" w:color="auto"/>
            </w:tcBorders>
            <w:shd w:val="clear" w:color="auto" w:fill="auto"/>
            <w:hideMark/>
          </w:tcPr>
          <w:p w14:paraId="49ED4D0B" w14:textId="77777777" w:rsidR="00E23746" w:rsidRPr="00CE65F0" w:rsidRDefault="00E23746" w:rsidP="000B2F10">
            <w:pPr>
              <w:spacing w:after="0" w:line="240" w:lineRule="auto"/>
              <w:rPr>
                <w:rFonts w:eastAsia="Times New Roman" w:cs="Arial"/>
                <w:sz w:val="20"/>
                <w:szCs w:val="20"/>
                <w:lang w:val="es-MX" w:eastAsia="es-MX"/>
              </w:rPr>
            </w:pPr>
            <w:r w:rsidRPr="00CE65F0">
              <w:rPr>
                <w:rFonts w:eastAsia="Times New Roman" w:cs="Arial"/>
                <w:sz w:val="20"/>
                <w:szCs w:val="20"/>
                <w:lang w:val="es-MX" w:eastAsia="es-MX"/>
              </w:rPr>
              <w:t>www.qroo.gob.mx/ieea/verificacion-de-medios-del-sippres</w:t>
            </w:r>
            <w:r>
              <w:rPr>
                <w:rFonts w:eastAsia="Times New Roman" w:cs="Arial"/>
                <w:sz w:val="20"/>
                <w:szCs w:val="20"/>
                <w:lang w:val="es-MX" w:eastAsia="es-MX"/>
              </w:rPr>
              <w:t>.</w:t>
            </w:r>
          </w:p>
        </w:tc>
        <w:tc>
          <w:tcPr>
            <w:tcW w:w="1982" w:type="dxa"/>
            <w:tcBorders>
              <w:top w:val="single" w:sz="4" w:space="0" w:color="auto"/>
              <w:left w:val="nil"/>
              <w:bottom w:val="single" w:sz="4" w:space="0" w:color="auto"/>
              <w:right w:val="single" w:sz="4" w:space="0" w:color="auto"/>
            </w:tcBorders>
            <w:shd w:val="clear" w:color="auto" w:fill="auto"/>
            <w:hideMark/>
          </w:tcPr>
          <w:p w14:paraId="2FB17889" w14:textId="77777777" w:rsidR="00E23746" w:rsidRPr="00CE65F0" w:rsidRDefault="00E23746" w:rsidP="000B2F10">
            <w:pPr>
              <w:spacing w:after="0" w:line="240" w:lineRule="auto"/>
              <w:rPr>
                <w:rFonts w:eastAsia="Times New Roman" w:cs="Arial"/>
                <w:sz w:val="20"/>
                <w:szCs w:val="20"/>
                <w:lang w:val="es-MX" w:eastAsia="es-MX"/>
              </w:rPr>
            </w:pPr>
            <w:r w:rsidRPr="00CE65F0">
              <w:rPr>
                <w:rFonts w:eastAsia="Times New Roman" w:cs="Arial"/>
                <w:sz w:val="20"/>
                <w:szCs w:val="20"/>
                <w:lang w:val="es-MX" w:eastAsia="es-MX"/>
              </w:rPr>
              <w:t>Los asesores participan en los cursos de capacitación.</w:t>
            </w:r>
          </w:p>
        </w:tc>
      </w:tr>
    </w:tbl>
    <w:p w14:paraId="6AF2C355" w14:textId="77777777" w:rsidR="00E23746" w:rsidRDefault="00E23746" w:rsidP="00E23746">
      <w:pPr>
        <w:rPr>
          <w:rFonts w:eastAsia="Calibri" w:cs="Arial"/>
          <w:bCs/>
          <w:color w:val="595959" w:themeColor="text1" w:themeTint="A6"/>
          <w:sz w:val="18"/>
          <w:szCs w:val="20"/>
        </w:rPr>
      </w:pPr>
      <w:r w:rsidRPr="0093279A">
        <w:rPr>
          <w:rFonts w:eastAsia="Calibri" w:cs="Arial"/>
          <w:bCs/>
          <w:color w:val="595959" w:themeColor="text1" w:themeTint="A6"/>
          <w:sz w:val="18"/>
          <w:szCs w:val="20"/>
        </w:rPr>
        <w:t>El anexo aquí presentado es perfectible, y se encuentra susceptible de modificaciones programáticas toda vez que así se le indique por observaciones de auditorías, evaluaciones al desempeño y revisiones de la Secretaría de Finanzas y Planeación antes y durante el ejercicio fiscal del que se trate, así como también, cuando las condiciones del Ente Público responsable de dicha información programática requiera hacer modificaciones a sus necesidades institucionales, atendiendo a lo establecido en los Lineamientos para la Creación, Modificación y Cancelación de Programas Presupuestarios y para la Modificación de Metas del Gobierno del Estado de Quintana Roo.</w:t>
      </w:r>
    </w:p>
    <w:p w14:paraId="7AD3B707" w14:textId="77777777" w:rsidR="00E23746" w:rsidRDefault="00E23746" w:rsidP="00E23746">
      <w:pPr>
        <w:rPr>
          <w:lang w:val="es-MX" w:eastAsia="en-US"/>
        </w:rPr>
      </w:pPr>
      <w:r>
        <w:rPr>
          <w:lang w:val="es-MX" w:eastAsia="en-US"/>
        </w:rPr>
        <w:br w:type="page"/>
      </w:r>
    </w:p>
    <w:tbl>
      <w:tblPr>
        <w:tblW w:w="14029" w:type="dxa"/>
        <w:tblLayout w:type="fixed"/>
        <w:tblCellMar>
          <w:left w:w="70" w:type="dxa"/>
          <w:right w:w="70" w:type="dxa"/>
        </w:tblCellMar>
        <w:tblLook w:val="04A0" w:firstRow="1" w:lastRow="0" w:firstColumn="1" w:lastColumn="0" w:noHBand="0" w:noVBand="1"/>
      </w:tblPr>
      <w:tblGrid>
        <w:gridCol w:w="1271"/>
        <w:gridCol w:w="2835"/>
        <w:gridCol w:w="2693"/>
        <w:gridCol w:w="2552"/>
        <w:gridCol w:w="2693"/>
        <w:gridCol w:w="1985"/>
      </w:tblGrid>
      <w:tr w:rsidR="00E23746" w:rsidRPr="00574DAC" w14:paraId="7FA2F3F6" w14:textId="77777777" w:rsidTr="000B2F10">
        <w:trPr>
          <w:trHeight w:val="600"/>
        </w:trPr>
        <w:tc>
          <w:tcPr>
            <w:tcW w:w="4106" w:type="dxa"/>
            <w:gridSpan w:val="2"/>
            <w:tcBorders>
              <w:top w:val="single" w:sz="4" w:space="0" w:color="auto"/>
              <w:left w:val="single" w:sz="4" w:space="0" w:color="auto"/>
              <w:bottom w:val="single" w:sz="4" w:space="0" w:color="auto"/>
              <w:right w:val="single" w:sz="4" w:space="0" w:color="000000"/>
            </w:tcBorders>
            <w:shd w:val="clear" w:color="000000" w:fill="BFBFBF"/>
            <w:vAlign w:val="center"/>
            <w:hideMark/>
          </w:tcPr>
          <w:p w14:paraId="49B55AEA" w14:textId="77777777" w:rsidR="00E23746" w:rsidRPr="00574DAC" w:rsidRDefault="00E23746" w:rsidP="000B2F10">
            <w:pPr>
              <w:spacing w:after="0" w:line="240" w:lineRule="auto"/>
              <w:jc w:val="center"/>
              <w:rPr>
                <w:rFonts w:eastAsia="Times New Roman" w:cs="Arial"/>
                <w:b/>
                <w:bCs/>
                <w:sz w:val="20"/>
                <w:szCs w:val="20"/>
                <w:lang w:val="es-MX" w:eastAsia="es-MX"/>
              </w:rPr>
            </w:pPr>
            <w:r>
              <w:rPr>
                <w:rFonts w:eastAsia="Times New Roman" w:cs="Arial"/>
                <w:b/>
                <w:bCs/>
                <w:sz w:val="20"/>
                <w:szCs w:val="20"/>
                <w:lang w:val="es-MX" w:eastAsia="es-MX"/>
              </w:rPr>
              <w:lastRenderedPageBreak/>
              <w:t>P</w:t>
            </w:r>
            <w:r w:rsidRPr="00574DAC">
              <w:rPr>
                <w:rFonts w:eastAsia="Times New Roman" w:cs="Arial"/>
                <w:b/>
                <w:bCs/>
                <w:sz w:val="20"/>
                <w:szCs w:val="20"/>
                <w:lang w:val="es-MX" w:eastAsia="es-MX"/>
              </w:rPr>
              <w:t>ROGRAMA PRESUPUESTARIO:</w:t>
            </w:r>
          </w:p>
        </w:tc>
        <w:tc>
          <w:tcPr>
            <w:tcW w:w="9923" w:type="dxa"/>
            <w:gridSpan w:val="4"/>
            <w:tcBorders>
              <w:top w:val="single" w:sz="4" w:space="0" w:color="auto"/>
              <w:left w:val="nil"/>
              <w:bottom w:val="single" w:sz="4" w:space="0" w:color="auto"/>
              <w:right w:val="single" w:sz="4" w:space="0" w:color="auto"/>
            </w:tcBorders>
            <w:shd w:val="clear" w:color="auto" w:fill="auto"/>
            <w:vAlign w:val="center"/>
            <w:hideMark/>
          </w:tcPr>
          <w:p w14:paraId="4D6D92BB" w14:textId="77777777" w:rsidR="00E23746" w:rsidRPr="00574DAC" w:rsidRDefault="00E23746" w:rsidP="000B2F10">
            <w:pPr>
              <w:spacing w:after="0" w:line="240" w:lineRule="auto"/>
              <w:jc w:val="left"/>
              <w:rPr>
                <w:rFonts w:eastAsia="Times New Roman" w:cs="Arial"/>
                <w:sz w:val="20"/>
                <w:szCs w:val="20"/>
                <w:lang w:val="es-MX" w:eastAsia="es-MX"/>
              </w:rPr>
            </w:pPr>
            <w:r w:rsidRPr="00574DAC">
              <w:rPr>
                <w:rFonts w:eastAsia="Times New Roman" w:cs="Arial"/>
                <w:sz w:val="20"/>
                <w:szCs w:val="20"/>
                <w:lang w:val="es-MX" w:eastAsia="es-MX"/>
              </w:rPr>
              <w:t xml:space="preserve"> Fomento a la Investigación Científica, </w:t>
            </w:r>
            <w:r>
              <w:rPr>
                <w:rFonts w:eastAsia="Times New Roman" w:cs="Arial"/>
                <w:sz w:val="20"/>
                <w:szCs w:val="20"/>
                <w:lang w:val="es-MX" w:eastAsia="es-MX"/>
              </w:rPr>
              <w:t xml:space="preserve">el Desarrollo </w:t>
            </w:r>
            <w:r w:rsidRPr="00574DAC">
              <w:rPr>
                <w:rFonts w:eastAsia="Times New Roman" w:cs="Arial"/>
                <w:sz w:val="20"/>
                <w:szCs w:val="20"/>
                <w:lang w:val="es-MX" w:eastAsia="es-MX"/>
              </w:rPr>
              <w:t>Tecnológica</w:t>
            </w:r>
            <w:r>
              <w:rPr>
                <w:rFonts w:eastAsia="Times New Roman" w:cs="Arial"/>
                <w:sz w:val="20"/>
                <w:szCs w:val="20"/>
                <w:lang w:val="es-MX" w:eastAsia="es-MX"/>
              </w:rPr>
              <w:t xml:space="preserve">, </w:t>
            </w:r>
            <w:r w:rsidRPr="00574DAC">
              <w:rPr>
                <w:rFonts w:eastAsia="Times New Roman" w:cs="Arial"/>
                <w:sz w:val="20"/>
                <w:szCs w:val="20"/>
                <w:lang w:val="es-MX" w:eastAsia="es-MX"/>
              </w:rPr>
              <w:t>la Innovación</w:t>
            </w:r>
            <w:r>
              <w:rPr>
                <w:rFonts w:eastAsia="Times New Roman" w:cs="Arial"/>
                <w:sz w:val="20"/>
                <w:szCs w:val="20"/>
                <w:lang w:val="es-MX" w:eastAsia="es-MX"/>
              </w:rPr>
              <w:t xml:space="preserve"> y el Posgrado</w:t>
            </w:r>
          </w:p>
        </w:tc>
      </w:tr>
      <w:tr w:rsidR="00E23746" w:rsidRPr="00574DAC" w14:paraId="51C0D7C9" w14:textId="77777777" w:rsidTr="000B2F10">
        <w:trPr>
          <w:trHeight w:val="552"/>
        </w:trPr>
        <w:tc>
          <w:tcPr>
            <w:tcW w:w="4106" w:type="dxa"/>
            <w:gridSpan w:val="2"/>
            <w:tcBorders>
              <w:top w:val="single" w:sz="4" w:space="0" w:color="auto"/>
              <w:left w:val="single" w:sz="4" w:space="0" w:color="auto"/>
              <w:bottom w:val="single" w:sz="4" w:space="0" w:color="auto"/>
              <w:right w:val="single" w:sz="4" w:space="0" w:color="000000"/>
            </w:tcBorders>
            <w:shd w:val="clear" w:color="000000" w:fill="BFBFBF"/>
            <w:vAlign w:val="center"/>
            <w:hideMark/>
          </w:tcPr>
          <w:p w14:paraId="29761104"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INSTITUCIÓN:</w:t>
            </w:r>
          </w:p>
        </w:tc>
        <w:tc>
          <w:tcPr>
            <w:tcW w:w="9923" w:type="dxa"/>
            <w:gridSpan w:val="4"/>
            <w:tcBorders>
              <w:top w:val="single" w:sz="4" w:space="0" w:color="auto"/>
              <w:left w:val="nil"/>
              <w:bottom w:val="single" w:sz="4" w:space="0" w:color="auto"/>
              <w:right w:val="single" w:sz="4" w:space="0" w:color="auto"/>
            </w:tcBorders>
            <w:shd w:val="clear" w:color="auto" w:fill="auto"/>
            <w:vAlign w:val="center"/>
            <w:hideMark/>
          </w:tcPr>
          <w:p w14:paraId="3177889E" w14:textId="77777777" w:rsidR="00E23746" w:rsidRPr="00574DAC" w:rsidRDefault="00E23746" w:rsidP="000B2F10">
            <w:pPr>
              <w:spacing w:after="0" w:line="240" w:lineRule="auto"/>
              <w:jc w:val="left"/>
              <w:rPr>
                <w:rFonts w:eastAsia="Times New Roman" w:cs="Arial"/>
                <w:sz w:val="20"/>
                <w:szCs w:val="20"/>
                <w:lang w:val="es-MX" w:eastAsia="es-MX"/>
              </w:rPr>
            </w:pPr>
            <w:r w:rsidRPr="00574DAC">
              <w:rPr>
                <w:rFonts w:eastAsia="Times New Roman" w:cs="Arial"/>
                <w:sz w:val="20"/>
                <w:szCs w:val="20"/>
                <w:lang w:val="es-MX" w:eastAsia="es-MX"/>
              </w:rPr>
              <w:t>1319 Consejo Quintanarroense de Ciencia y Tecnología</w:t>
            </w:r>
          </w:p>
        </w:tc>
      </w:tr>
      <w:tr w:rsidR="00E23746" w:rsidRPr="00574DAC" w14:paraId="35ED337B" w14:textId="77777777" w:rsidTr="000B2F10">
        <w:trPr>
          <w:trHeight w:val="282"/>
        </w:trPr>
        <w:tc>
          <w:tcPr>
            <w:tcW w:w="1271" w:type="dxa"/>
            <w:tcBorders>
              <w:top w:val="nil"/>
              <w:left w:val="nil"/>
              <w:bottom w:val="nil"/>
              <w:right w:val="nil"/>
            </w:tcBorders>
            <w:shd w:val="clear" w:color="auto" w:fill="auto"/>
            <w:hideMark/>
          </w:tcPr>
          <w:p w14:paraId="6E23114F" w14:textId="77777777" w:rsidR="00E23746" w:rsidRPr="00574DAC" w:rsidRDefault="00E23746" w:rsidP="000B2F10">
            <w:pPr>
              <w:spacing w:after="0" w:line="240" w:lineRule="auto"/>
              <w:jc w:val="left"/>
              <w:rPr>
                <w:rFonts w:eastAsia="Times New Roman" w:cs="Arial"/>
                <w:sz w:val="20"/>
                <w:szCs w:val="20"/>
                <w:lang w:val="es-MX" w:eastAsia="es-MX"/>
              </w:rPr>
            </w:pPr>
          </w:p>
        </w:tc>
        <w:tc>
          <w:tcPr>
            <w:tcW w:w="2835" w:type="dxa"/>
            <w:tcBorders>
              <w:top w:val="nil"/>
              <w:left w:val="nil"/>
              <w:bottom w:val="nil"/>
              <w:right w:val="nil"/>
            </w:tcBorders>
            <w:shd w:val="clear" w:color="auto" w:fill="auto"/>
            <w:hideMark/>
          </w:tcPr>
          <w:p w14:paraId="525BF4FD" w14:textId="77777777" w:rsidR="00E23746" w:rsidRPr="00574DAC" w:rsidRDefault="00E23746" w:rsidP="000B2F10">
            <w:pPr>
              <w:spacing w:after="0" w:line="240" w:lineRule="auto"/>
              <w:jc w:val="left"/>
              <w:rPr>
                <w:rFonts w:ascii="Times New Roman" w:eastAsia="Times New Roman" w:hAnsi="Times New Roman"/>
                <w:sz w:val="20"/>
                <w:szCs w:val="20"/>
                <w:lang w:val="es-MX" w:eastAsia="es-MX"/>
              </w:rPr>
            </w:pPr>
          </w:p>
        </w:tc>
        <w:tc>
          <w:tcPr>
            <w:tcW w:w="2693" w:type="dxa"/>
            <w:tcBorders>
              <w:top w:val="nil"/>
              <w:left w:val="nil"/>
              <w:bottom w:val="nil"/>
              <w:right w:val="nil"/>
            </w:tcBorders>
            <w:shd w:val="clear" w:color="auto" w:fill="auto"/>
            <w:hideMark/>
          </w:tcPr>
          <w:p w14:paraId="2CD28054" w14:textId="77777777" w:rsidR="00E23746" w:rsidRPr="00574DAC" w:rsidRDefault="00E23746" w:rsidP="000B2F10">
            <w:pPr>
              <w:spacing w:after="0" w:line="240" w:lineRule="auto"/>
              <w:jc w:val="left"/>
              <w:rPr>
                <w:rFonts w:ascii="Times New Roman" w:eastAsia="Times New Roman" w:hAnsi="Times New Roman"/>
                <w:sz w:val="20"/>
                <w:szCs w:val="20"/>
                <w:lang w:val="es-MX" w:eastAsia="es-MX"/>
              </w:rPr>
            </w:pPr>
          </w:p>
        </w:tc>
        <w:tc>
          <w:tcPr>
            <w:tcW w:w="2552" w:type="dxa"/>
            <w:tcBorders>
              <w:top w:val="nil"/>
              <w:left w:val="nil"/>
              <w:bottom w:val="nil"/>
              <w:right w:val="nil"/>
            </w:tcBorders>
            <w:shd w:val="clear" w:color="auto" w:fill="auto"/>
            <w:hideMark/>
          </w:tcPr>
          <w:p w14:paraId="2291D801" w14:textId="77777777" w:rsidR="00E23746" w:rsidRPr="00574DAC" w:rsidRDefault="00E23746" w:rsidP="000B2F10">
            <w:pPr>
              <w:spacing w:after="0" w:line="240" w:lineRule="auto"/>
              <w:jc w:val="left"/>
              <w:rPr>
                <w:rFonts w:ascii="Times New Roman" w:eastAsia="Times New Roman" w:hAnsi="Times New Roman"/>
                <w:sz w:val="20"/>
                <w:szCs w:val="20"/>
                <w:lang w:val="es-MX" w:eastAsia="es-MX"/>
              </w:rPr>
            </w:pPr>
          </w:p>
        </w:tc>
        <w:tc>
          <w:tcPr>
            <w:tcW w:w="2693" w:type="dxa"/>
            <w:tcBorders>
              <w:top w:val="nil"/>
              <w:left w:val="nil"/>
              <w:bottom w:val="nil"/>
              <w:right w:val="nil"/>
            </w:tcBorders>
            <w:shd w:val="clear" w:color="auto" w:fill="auto"/>
            <w:hideMark/>
          </w:tcPr>
          <w:p w14:paraId="50186EC3" w14:textId="77777777" w:rsidR="00E23746" w:rsidRPr="00574DAC" w:rsidRDefault="00E23746" w:rsidP="000B2F10">
            <w:pPr>
              <w:spacing w:after="0" w:line="240" w:lineRule="auto"/>
              <w:jc w:val="left"/>
              <w:rPr>
                <w:rFonts w:ascii="Times New Roman" w:eastAsia="Times New Roman" w:hAnsi="Times New Roman"/>
                <w:sz w:val="20"/>
                <w:szCs w:val="20"/>
                <w:lang w:val="es-MX" w:eastAsia="es-MX"/>
              </w:rPr>
            </w:pPr>
          </w:p>
        </w:tc>
        <w:tc>
          <w:tcPr>
            <w:tcW w:w="1985" w:type="dxa"/>
            <w:tcBorders>
              <w:top w:val="nil"/>
              <w:left w:val="nil"/>
              <w:bottom w:val="nil"/>
              <w:right w:val="nil"/>
            </w:tcBorders>
            <w:shd w:val="clear" w:color="auto" w:fill="auto"/>
            <w:hideMark/>
          </w:tcPr>
          <w:p w14:paraId="545E04DB" w14:textId="77777777" w:rsidR="00E23746" w:rsidRPr="00574DAC" w:rsidRDefault="00E23746" w:rsidP="000B2F10">
            <w:pPr>
              <w:spacing w:after="0" w:line="240" w:lineRule="auto"/>
              <w:jc w:val="left"/>
              <w:rPr>
                <w:rFonts w:ascii="Times New Roman" w:eastAsia="Times New Roman" w:hAnsi="Times New Roman"/>
                <w:sz w:val="20"/>
                <w:szCs w:val="20"/>
                <w:lang w:val="es-MX" w:eastAsia="es-MX"/>
              </w:rPr>
            </w:pPr>
          </w:p>
        </w:tc>
      </w:tr>
      <w:tr w:rsidR="00E23746" w:rsidRPr="00574DAC" w14:paraId="1A015CA9" w14:textId="77777777" w:rsidTr="006B434D">
        <w:trPr>
          <w:trHeight w:val="375"/>
        </w:trPr>
        <w:tc>
          <w:tcPr>
            <w:tcW w:w="14029" w:type="dxa"/>
            <w:gridSpan w:val="6"/>
            <w:tcBorders>
              <w:top w:val="single" w:sz="4" w:space="0" w:color="auto"/>
              <w:left w:val="single" w:sz="4" w:space="0" w:color="auto"/>
              <w:bottom w:val="single" w:sz="4" w:space="0" w:color="auto"/>
              <w:right w:val="single" w:sz="4" w:space="0" w:color="000000"/>
            </w:tcBorders>
            <w:shd w:val="clear" w:color="000000" w:fill="BFBFBF"/>
            <w:vAlign w:val="center"/>
            <w:hideMark/>
          </w:tcPr>
          <w:p w14:paraId="67DCBB11"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MATRIZ DE INDICADORES PARA RESULTADOS (MIR)</w:t>
            </w:r>
          </w:p>
        </w:tc>
      </w:tr>
      <w:tr w:rsidR="00E23746" w:rsidRPr="00574DAC" w14:paraId="61CDB2C8" w14:textId="77777777" w:rsidTr="006B434D">
        <w:trPr>
          <w:trHeight w:val="679"/>
        </w:trPr>
        <w:tc>
          <w:tcPr>
            <w:tcW w:w="1271"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414C7EEF"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NIVEL</w:t>
            </w:r>
          </w:p>
        </w:tc>
        <w:tc>
          <w:tcPr>
            <w:tcW w:w="2835" w:type="dxa"/>
            <w:tcBorders>
              <w:top w:val="single" w:sz="4" w:space="0" w:color="auto"/>
              <w:left w:val="nil"/>
              <w:bottom w:val="single" w:sz="4" w:space="0" w:color="auto"/>
              <w:right w:val="single" w:sz="4" w:space="0" w:color="auto"/>
            </w:tcBorders>
            <w:shd w:val="clear" w:color="000000" w:fill="BFBFBF"/>
            <w:vAlign w:val="center"/>
            <w:hideMark/>
          </w:tcPr>
          <w:p w14:paraId="2EAE71DD"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ALINEACIÓN PED/PD</w:t>
            </w:r>
          </w:p>
        </w:tc>
        <w:tc>
          <w:tcPr>
            <w:tcW w:w="2693" w:type="dxa"/>
            <w:tcBorders>
              <w:top w:val="single" w:sz="4" w:space="0" w:color="auto"/>
              <w:left w:val="nil"/>
              <w:bottom w:val="single" w:sz="4" w:space="0" w:color="auto"/>
              <w:right w:val="single" w:sz="4" w:space="0" w:color="auto"/>
            </w:tcBorders>
            <w:shd w:val="clear" w:color="000000" w:fill="BFBFBF"/>
            <w:vAlign w:val="center"/>
            <w:hideMark/>
          </w:tcPr>
          <w:p w14:paraId="7552F95C"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OBJETIVO</w:t>
            </w:r>
          </w:p>
        </w:tc>
        <w:tc>
          <w:tcPr>
            <w:tcW w:w="2552" w:type="dxa"/>
            <w:tcBorders>
              <w:top w:val="single" w:sz="4" w:space="0" w:color="auto"/>
              <w:left w:val="nil"/>
              <w:bottom w:val="single" w:sz="4" w:space="0" w:color="auto"/>
              <w:right w:val="single" w:sz="4" w:space="0" w:color="auto"/>
            </w:tcBorders>
            <w:shd w:val="clear" w:color="000000" w:fill="BFBFBF"/>
            <w:vAlign w:val="center"/>
            <w:hideMark/>
          </w:tcPr>
          <w:p w14:paraId="0B35229B"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INDICADOR</w:t>
            </w:r>
          </w:p>
        </w:tc>
        <w:tc>
          <w:tcPr>
            <w:tcW w:w="2693" w:type="dxa"/>
            <w:tcBorders>
              <w:top w:val="single" w:sz="4" w:space="0" w:color="auto"/>
              <w:left w:val="nil"/>
              <w:bottom w:val="single" w:sz="4" w:space="0" w:color="auto"/>
              <w:right w:val="single" w:sz="4" w:space="0" w:color="auto"/>
            </w:tcBorders>
            <w:shd w:val="clear" w:color="000000" w:fill="BFBFBF"/>
            <w:vAlign w:val="center"/>
            <w:hideMark/>
          </w:tcPr>
          <w:p w14:paraId="107D423E"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MEDIOS DE VERIFICACIÓN</w:t>
            </w:r>
          </w:p>
        </w:tc>
        <w:tc>
          <w:tcPr>
            <w:tcW w:w="1985" w:type="dxa"/>
            <w:tcBorders>
              <w:top w:val="single" w:sz="4" w:space="0" w:color="auto"/>
              <w:left w:val="nil"/>
              <w:bottom w:val="single" w:sz="4" w:space="0" w:color="auto"/>
              <w:right w:val="single" w:sz="4" w:space="0" w:color="auto"/>
            </w:tcBorders>
            <w:shd w:val="clear" w:color="000000" w:fill="BFBFBF"/>
            <w:vAlign w:val="center"/>
            <w:hideMark/>
          </w:tcPr>
          <w:p w14:paraId="30630543"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SUPUESTO</w:t>
            </w:r>
          </w:p>
        </w:tc>
      </w:tr>
      <w:tr w:rsidR="00E23746" w:rsidRPr="00574DAC" w14:paraId="6DC95E61" w14:textId="77777777" w:rsidTr="006B434D">
        <w:trPr>
          <w:trHeight w:val="2136"/>
        </w:trPr>
        <w:tc>
          <w:tcPr>
            <w:tcW w:w="1271" w:type="dxa"/>
            <w:tcBorders>
              <w:top w:val="single" w:sz="4" w:space="0" w:color="auto"/>
              <w:left w:val="single" w:sz="4" w:space="0" w:color="auto"/>
              <w:bottom w:val="single" w:sz="4" w:space="0" w:color="auto"/>
              <w:right w:val="single" w:sz="4" w:space="0" w:color="auto"/>
            </w:tcBorders>
            <w:shd w:val="clear" w:color="auto" w:fill="auto"/>
            <w:hideMark/>
          </w:tcPr>
          <w:p w14:paraId="2B507B86"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Fin</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99F877D" w14:textId="77777777" w:rsidR="00E23746" w:rsidRPr="00574DAC" w:rsidRDefault="00E23746" w:rsidP="000B2F10">
            <w:pPr>
              <w:spacing w:after="0" w:line="240" w:lineRule="auto"/>
              <w:rPr>
                <w:rFonts w:eastAsia="Times New Roman" w:cs="Arial"/>
                <w:sz w:val="20"/>
                <w:szCs w:val="20"/>
                <w:lang w:val="es-MX" w:eastAsia="es-MX"/>
              </w:rPr>
            </w:pPr>
            <w:r w:rsidRPr="00574DAC">
              <w:rPr>
                <w:rFonts w:eastAsia="Times New Roman" w:cs="Arial"/>
                <w:sz w:val="20"/>
                <w:szCs w:val="20"/>
                <w:lang w:val="es-MX" w:eastAsia="es-MX"/>
              </w:rPr>
              <w:t>Garantizar el acceso y permanencia a una educación inclusiva y de calidad en todos los niveles educativos que promueva en los educandos aprendizajes para la vida.</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081DAF04" w14:textId="77777777" w:rsidR="00E23746" w:rsidRPr="00574DAC" w:rsidRDefault="00E23746" w:rsidP="000B2F10">
            <w:pPr>
              <w:spacing w:after="0" w:line="240" w:lineRule="auto"/>
              <w:rPr>
                <w:rFonts w:eastAsia="Times New Roman" w:cs="Arial"/>
                <w:sz w:val="20"/>
                <w:szCs w:val="20"/>
                <w:lang w:val="es-MX" w:eastAsia="es-MX"/>
              </w:rPr>
            </w:pPr>
            <w:r w:rsidRPr="00574DAC">
              <w:rPr>
                <w:rFonts w:eastAsia="Times New Roman" w:cs="Arial"/>
                <w:sz w:val="20"/>
                <w:szCs w:val="20"/>
                <w:lang w:val="es-MX" w:eastAsia="es-MX"/>
              </w:rPr>
              <w:t>F - Contribuir a garantizar el acceso y permanencia a una educación inclusiva y de calidad en todos los niveles educativos que promueva en los educandos aprendizajes para la vida mediante estrategias de atención a la demanda y permanencia en todos los niveles educativos.</w:t>
            </w:r>
          </w:p>
        </w:tc>
        <w:tc>
          <w:tcPr>
            <w:tcW w:w="2552" w:type="dxa"/>
            <w:tcBorders>
              <w:top w:val="single" w:sz="4" w:space="0" w:color="auto"/>
              <w:left w:val="single" w:sz="4" w:space="0" w:color="auto"/>
              <w:bottom w:val="single" w:sz="4" w:space="0" w:color="auto"/>
              <w:right w:val="single" w:sz="4" w:space="0" w:color="auto"/>
            </w:tcBorders>
            <w:shd w:val="clear" w:color="FFFFFF" w:fill="FFFFFF"/>
            <w:hideMark/>
          </w:tcPr>
          <w:p w14:paraId="75CFCF71" w14:textId="77777777" w:rsidR="00E23746" w:rsidRPr="00574DAC" w:rsidRDefault="00E23746" w:rsidP="000B2F10">
            <w:pPr>
              <w:spacing w:after="0" w:line="240" w:lineRule="auto"/>
              <w:rPr>
                <w:rFonts w:eastAsia="Times New Roman" w:cs="Arial"/>
                <w:sz w:val="20"/>
                <w:szCs w:val="20"/>
                <w:lang w:val="es-MX" w:eastAsia="es-MX"/>
              </w:rPr>
            </w:pPr>
            <w:r w:rsidRPr="00574DAC">
              <w:rPr>
                <w:rFonts w:eastAsia="Times New Roman" w:cs="Arial"/>
                <w:sz w:val="20"/>
                <w:szCs w:val="20"/>
                <w:lang w:val="es-MX" w:eastAsia="es-MX"/>
              </w:rPr>
              <w:t>Tasa de cobertura estatal de educación superior.</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40561B96" w14:textId="77777777" w:rsidR="00E23746" w:rsidRPr="00574DAC" w:rsidRDefault="00E23746" w:rsidP="000B2F10">
            <w:pPr>
              <w:spacing w:after="0" w:line="240" w:lineRule="auto"/>
              <w:rPr>
                <w:rFonts w:eastAsia="Times New Roman" w:cs="Arial"/>
                <w:sz w:val="20"/>
                <w:szCs w:val="20"/>
                <w:lang w:val="es-MX" w:eastAsia="es-MX"/>
              </w:rPr>
            </w:pPr>
            <w:r w:rsidRPr="00846E84">
              <w:rPr>
                <w:rFonts w:eastAsia="Times New Roman" w:cs="Arial"/>
                <w:sz w:val="20"/>
                <w:szCs w:val="20"/>
                <w:lang w:val="es-MX" w:eastAsia="es-MX"/>
              </w:rPr>
              <w:t>Estadísticas continúas del formato 911, matrícula de inicio de ciclo escolar, SEQ. Proyecciones de población por edad desplegada, entidad federativa (Quintana Roo) 1970-2050, CONAPO, https://qroo.gob.mx/seq/medios-de-verificacion-de-la-planeacion-anual</w:t>
            </w:r>
            <w:r>
              <w:rPr>
                <w:rFonts w:eastAsia="Times New Roman" w:cs="Arial"/>
                <w:sz w:val="20"/>
                <w:szCs w:val="20"/>
                <w:lang w:val="es-MX" w:eastAsia="es-MX"/>
              </w:rPr>
              <w:t>.</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426D14F2" w14:textId="77777777" w:rsidR="00E23746" w:rsidRPr="00574DAC" w:rsidRDefault="00E23746" w:rsidP="000B2F10">
            <w:pPr>
              <w:spacing w:after="0" w:line="240" w:lineRule="auto"/>
              <w:rPr>
                <w:rFonts w:eastAsia="Times New Roman" w:cs="Arial"/>
                <w:sz w:val="20"/>
                <w:szCs w:val="20"/>
                <w:lang w:val="es-MX" w:eastAsia="es-MX"/>
              </w:rPr>
            </w:pPr>
            <w:r w:rsidRPr="00574DAC">
              <w:rPr>
                <w:rFonts w:eastAsia="Times New Roman" w:cs="Arial"/>
                <w:sz w:val="20"/>
                <w:szCs w:val="20"/>
                <w:lang w:val="es-MX" w:eastAsia="es-MX"/>
              </w:rPr>
              <w:t>La población del Estado obtiene una educación integral de calidad que les permite progresar individual y colectivamente.</w:t>
            </w:r>
          </w:p>
        </w:tc>
      </w:tr>
      <w:tr w:rsidR="00E23746" w:rsidRPr="00574DAC" w14:paraId="7205720D" w14:textId="77777777" w:rsidTr="006B434D">
        <w:trPr>
          <w:trHeight w:val="1692"/>
        </w:trPr>
        <w:tc>
          <w:tcPr>
            <w:tcW w:w="1271" w:type="dxa"/>
            <w:tcBorders>
              <w:top w:val="single" w:sz="4" w:space="0" w:color="auto"/>
              <w:left w:val="single" w:sz="4" w:space="0" w:color="auto"/>
              <w:bottom w:val="single" w:sz="4" w:space="0" w:color="auto"/>
              <w:right w:val="single" w:sz="4" w:space="0" w:color="auto"/>
            </w:tcBorders>
            <w:shd w:val="clear" w:color="auto" w:fill="auto"/>
            <w:hideMark/>
          </w:tcPr>
          <w:p w14:paraId="6136A09A"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Propósito</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7BC2D68" w14:textId="77777777" w:rsidR="00E23746" w:rsidRPr="00574DAC" w:rsidRDefault="00E23746" w:rsidP="000B2F10">
            <w:pPr>
              <w:spacing w:after="0" w:line="240" w:lineRule="auto"/>
              <w:rPr>
                <w:rFonts w:eastAsia="Times New Roman" w:cs="Arial"/>
                <w:sz w:val="20"/>
                <w:szCs w:val="20"/>
                <w:lang w:val="es-MX" w:eastAsia="es-MX"/>
              </w:rPr>
            </w:pPr>
            <w:r w:rsidRPr="00574DAC">
              <w:rPr>
                <w:rFonts w:eastAsia="Times New Roman" w:cs="Arial"/>
                <w:sz w:val="20"/>
                <w:szCs w:val="20"/>
                <w:lang w:val="es-MX" w:eastAsia="es-MX"/>
              </w:rPr>
              <w:t>Fo</w:t>
            </w:r>
            <w:r>
              <w:rPr>
                <w:rFonts w:eastAsia="Times New Roman" w:cs="Arial"/>
                <w:sz w:val="20"/>
                <w:szCs w:val="20"/>
                <w:lang w:val="es-MX" w:eastAsia="es-MX"/>
              </w:rPr>
              <w:t>m</w:t>
            </w:r>
            <w:r w:rsidRPr="00574DAC">
              <w:rPr>
                <w:rFonts w:eastAsia="Times New Roman" w:cs="Arial"/>
                <w:sz w:val="20"/>
                <w:szCs w:val="20"/>
                <w:lang w:val="es-MX" w:eastAsia="es-MX"/>
              </w:rPr>
              <w:t>entar la investigación científica, el desarrollo Tecnológico, la Innovación y el Posgrado</w:t>
            </w:r>
            <w:r>
              <w:rPr>
                <w:rFonts w:eastAsia="Times New Roman" w:cs="Arial"/>
                <w:sz w:val="20"/>
                <w:szCs w:val="20"/>
                <w:lang w:val="es-MX" w:eastAsia="es-MX"/>
              </w:rPr>
              <w:t>.</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5926B31D" w14:textId="77777777" w:rsidR="00E23746" w:rsidRPr="00574DAC" w:rsidRDefault="00E23746" w:rsidP="000B2F10">
            <w:pPr>
              <w:spacing w:after="0" w:line="240" w:lineRule="auto"/>
              <w:rPr>
                <w:rFonts w:eastAsia="Times New Roman" w:cs="Arial"/>
                <w:sz w:val="20"/>
                <w:szCs w:val="20"/>
                <w:lang w:val="es-MX" w:eastAsia="es-MX"/>
              </w:rPr>
            </w:pPr>
            <w:r w:rsidRPr="00574DAC">
              <w:rPr>
                <w:rFonts w:eastAsia="Times New Roman" w:cs="Arial"/>
                <w:sz w:val="20"/>
                <w:szCs w:val="20"/>
                <w:lang w:val="es-MX" w:eastAsia="es-MX"/>
              </w:rPr>
              <w:t>P- Los sectores académico, productivo, gubernamental y social, hacen uso del conocimiento científico, los desarrollos tecnológicos y de innovación, incrementando los niveles de competitividad del Estado.</w:t>
            </w:r>
          </w:p>
        </w:tc>
        <w:tc>
          <w:tcPr>
            <w:tcW w:w="2552" w:type="dxa"/>
            <w:tcBorders>
              <w:top w:val="single" w:sz="4" w:space="0" w:color="auto"/>
              <w:left w:val="single" w:sz="4" w:space="0" w:color="auto"/>
              <w:bottom w:val="single" w:sz="4" w:space="0" w:color="auto"/>
              <w:right w:val="single" w:sz="4" w:space="0" w:color="auto"/>
            </w:tcBorders>
            <w:shd w:val="clear" w:color="FFFFFF" w:fill="FFFFFF"/>
            <w:hideMark/>
          </w:tcPr>
          <w:p w14:paraId="3CB2528D" w14:textId="77777777" w:rsidR="00E23746" w:rsidRPr="00574DAC" w:rsidRDefault="00E23746" w:rsidP="000B2F10">
            <w:pPr>
              <w:spacing w:after="0" w:line="240" w:lineRule="auto"/>
              <w:rPr>
                <w:rFonts w:eastAsia="Times New Roman" w:cs="Arial"/>
                <w:sz w:val="20"/>
                <w:szCs w:val="20"/>
                <w:lang w:val="es-MX" w:eastAsia="es-MX"/>
              </w:rPr>
            </w:pPr>
            <w:r w:rsidRPr="00574DAC">
              <w:rPr>
                <w:rFonts w:eastAsia="Times New Roman" w:cs="Arial"/>
                <w:sz w:val="20"/>
                <w:szCs w:val="20"/>
                <w:lang w:val="es-MX" w:eastAsia="es-MX"/>
              </w:rPr>
              <w:t>Porcentaje de participación del Gasto Estatal en Ciencia, Tecnología e Innovación, en el Producto Interno Bruto del Estado</w:t>
            </w:r>
            <w:r>
              <w:rPr>
                <w:rFonts w:eastAsia="Times New Roman" w:cs="Arial"/>
                <w:sz w:val="20"/>
                <w:szCs w:val="20"/>
                <w:lang w:val="es-MX" w:eastAsia="es-MX"/>
              </w:rPr>
              <w:t>.</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2015BE18" w14:textId="77777777" w:rsidR="00E23746" w:rsidRPr="00574DAC" w:rsidRDefault="00E23746" w:rsidP="000B2F10">
            <w:pPr>
              <w:spacing w:after="0" w:line="240" w:lineRule="auto"/>
              <w:rPr>
                <w:rFonts w:eastAsia="Times New Roman" w:cs="Arial"/>
                <w:sz w:val="20"/>
                <w:szCs w:val="20"/>
                <w:lang w:val="es-MX" w:eastAsia="es-MX"/>
              </w:rPr>
            </w:pPr>
            <w:r w:rsidRPr="00574DAC">
              <w:rPr>
                <w:rFonts w:eastAsia="Times New Roman" w:cs="Arial"/>
                <w:sz w:val="20"/>
                <w:szCs w:val="20"/>
                <w:lang w:val="es-MX" w:eastAsia="es-MX"/>
              </w:rPr>
              <w:t>https://qroo.gob.mx/coqcyt/estadistica</w:t>
            </w:r>
            <w:r>
              <w:rPr>
                <w:rFonts w:eastAsia="Times New Roman" w:cs="Arial"/>
                <w:sz w:val="20"/>
                <w:szCs w:val="20"/>
                <w:lang w:val="es-MX" w:eastAsia="es-MX"/>
              </w:rPr>
              <w:t>.</w:t>
            </w:r>
          </w:p>
        </w:tc>
        <w:tc>
          <w:tcPr>
            <w:tcW w:w="1985" w:type="dxa"/>
            <w:tcBorders>
              <w:top w:val="single" w:sz="4" w:space="0" w:color="auto"/>
              <w:left w:val="single" w:sz="4" w:space="0" w:color="auto"/>
              <w:bottom w:val="single" w:sz="4" w:space="0" w:color="auto"/>
              <w:right w:val="single" w:sz="4" w:space="0" w:color="auto"/>
            </w:tcBorders>
            <w:shd w:val="clear" w:color="FFFFFF" w:fill="FFFFFF"/>
            <w:hideMark/>
          </w:tcPr>
          <w:p w14:paraId="7D2A7482" w14:textId="77777777" w:rsidR="00E23746" w:rsidRDefault="00E23746" w:rsidP="000B2F10">
            <w:pPr>
              <w:spacing w:after="0" w:line="240" w:lineRule="auto"/>
              <w:rPr>
                <w:rFonts w:eastAsia="Times New Roman" w:cs="Arial"/>
                <w:sz w:val="20"/>
                <w:szCs w:val="20"/>
                <w:lang w:val="es-MX" w:eastAsia="es-MX"/>
              </w:rPr>
            </w:pPr>
            <w:r w:rsidRPr="00574DAC">
              <w:rPr>
                <w:rFonts w:eastAsia="Times New Roman" w:cs="Arial"/>
                <w:sz w:val="20"/>
                <w:szCs w:val="20"/>
                <w:lang w:val="es-MX" w:eastAsia="es-MX"/>
              </w:rPr>
              <w:t>El Estado incrementa su competitividad basando su desarrollo en la adquisición y uso del conocimiento científico, tecnológico y de innovación</w:t>
            </w:r>
          </w:p>
          <w:p w14:paraId="60C49E9A" w14:textId="77777777" w:rsidR="00E23746" w:rsidRPr="00574DAC" w:rsidRDefault="00E23746" w:rsidP="000B2F10">
            <w:pPr>
              <w:spacing w:after="0" w:line="240" w:lineRule="auto"/>
              <w:rPr>
                <w:rFonts w:eastAsia="Times New Roman" w:cs="Arial"/>
                <w:sz w:val="20"/>
                <w:szCs w:val="20"/>
                <w:lang w:val="es-MX" w:eastAsia="es-MX"/>
              </w:rPr>
            </w:pPr>
          </w:p>
        </w:tc>
      </w:tr>
    </w:tbl>
    <w:p w14:paraId="732229C0" w14:textId="77777777" w:rsidR="00D345CB" w:rsidRDefault="00D345CB">
      <w:pPr>
        <w:spacing w:after="0" w:line="240" w:lineRule="auto"/>
        <w:jc w:val="left"/>
      </w:pPr>
      <w:r>
        <w:br w:type="page"/>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3"/>
        <w:gridCol w:w="2693"/>
        <w:gridCol w:w="2693"/>
        <w:gridCol w:w="2552"/>
        <w:gridCol w:w="2693"/>
        <w:gridCol w:w="1985"/>
      </w:tblGrid>
      <w:tr w:rsidR="00E23746" w:rsidRPr="00574DAC" w14:paraId="74447EA3" w14:textId="77777777" w:rsidTr="009137BD">
        <w:trPr>
          <w:trHeight w:val="679"/>
        </w:trPr>
        <w:tc>
          <w:tcPr>
            <w:tcW w:w="1413" w:type="dxa"/>
            <w:shd w:val="clear" w:color="000000" w:fill="BFBFBF"/>
            <w:vAlign w:val="center"/>
            <w:hideMark/>
          </w:tcPr>
          <w:p w14:paraId="55F56371"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lastRenderedPageBreak/>
              <w:t>NIVEL</w:t>
            </w:r>
          </w:p>
        </w:tc>
        <w:tc>
          <w:tcPr>
            <w:tcW w:w="2693" w:type="dxa"/>
            <w:shd w:val="clear" w:color="000000" w:fill="BFBFBF"/>
            <w:vAlign w:val="center"/>
            <w:hideMark/>
          </w:tcPr>
          <w:p w14:paraId="41F4D6AB"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ALINEACIÓN PED/PD</w:t>
            </w:r>
          </w:p>
        </w:tc>
        <w:tc>
          <w:tcPr>
            <w:tcW w:w="2693" w:type="dxa"/>
            <w:shd w:val="clear" w:color="000000" w:fill="BFBFBF"/>
            <w:vAlign w:val="center"/>
            <w:hideMark/>
          </w:tcPr>
          <w:p w14:paraId="68DC382F"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OBJETIVO</w:t>
            </w:r>
          </w:p>
        </w:tc>
        <w:tc>
          <w:tcPr>
            <w:tcW w:w="2552" w:type="dxa"/>
            <w:shd w:val="clear" w:color="000000" w:fill="BFBFBF"/>
            <w:vAlign w:val="center"/>
            <w:hideMark/>
          </w:tcPr>
          <w:p w14:paraId="636449A6"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INDICADOR</w:t>
            </w:r>
          </w:p>
        </w:tc>
        <w:tc>
          <w:tcPr>
            <w:tcW w:w="2693" w:type="dxa"/>
            <w:shd w:val="clear" w:color="000000" w:fill="BFBFBF"/>
            <w:vAlign w:val="center"/>
            <w:hideMark/>
          </w:tcPr>
          <w:p w14:paraId="196A58B2"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MEDIOS DE VERIFICACIÓN</w:t>
            </w:r>
          </w:p>
        </w:tc>
        <w:tc>
          <w:tcPr>
            <w:tcW w:w="1985" w:type="dxa"/>
            <w:shd w:val="clear" w:color="000000" w:fill="BFBFBF"/>
            <w:vAlign w:val="center"/>
            <w:hideMark/>
          </w:tcPr>
          <w:p w14:paraId="1FD97404"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SUPUESTO</w:t>
            </w:r>
          </w:p>
        </w:tc>
      </w:tr>
      <w:tr w:rsidR="00E23746" w:rsidRPr="00574DAC" w14:paraId="397BE58B" w14:textId="77777777" w:rsidTr="009137BD">
        <w:trPr>
          <w:trHeight w:val="2412"/>
        </w:trPr>
        <w:tc>
          <w:tcPr>
            <w:tcW w:w="1413" w:type="dxa"/>
            <w:shd w:val="clear" w:color="auto" w:fill="auto"/>
            <w:hideMark/>
          </w:tcPr>
          <w:p w14:paraId="02BB3478" w14:textId="77777777" w:rsidR="00E23746" w:rsidRPr="00574DAC" w:rsidRDefault="00E23746" w:rsidP="000B2F10">
            <w:pPr>
              <w:jc w:val="center"/>
              <w:rPr>
                <w:b/>
                <w:bCs/>
                <w:sz w:val="20"/>
                <w:szCs w:val="20"/>
              </w:rPr>
            </w:pPr>
            <w:r w:rsidRPr="00574DAC">
              <w:rPr>
                <w:b/>
                <w:bCs/>
                <w:sz w:val="20"/>
                <w:szCs w:val="20"/>
              </w:rPr>
              <w:t>Componente</w:t>
            </w:r>
          </w:p>
        </w:tc>
        <w:tc>
          <w:tcPr>
            <w:tcW w:w="2693" w:type="dxa"/>
            <w:shd w:val="clear" w:color="auto" w:fill="auto"/>
            <w:hideMark/>
          </w:tcPr>
          <w:p w14:paraId="62D89FCE" w14:textId="77777777" w:rsidR="00E23746" w:rsidRPr="00574DAC" w:rsidRDefault="00E23746" w:rsidP="000B2F10">
            <w:pPr>
              <w:rPr>
                <w:sz w:val="20"/>
                <w:szCs w:val="20"/>
              </w:rPr>
            </w:pPr>
            <w:r w:rsidRPr="00574DAC">
              <w:rPr>
                <w:sz w:val="20"/>
                <w:szCs w:val="20"/>
              </w:rPr>
              <w:t>Propiciar mediante el uso del conocimiento científico y tecnológico, el desarrollo de las áreas y actividades identificadas como estratégicas para el Estado.</w:t>
            </w:r>
          </w:p>
        </w:tc>
        <w:tc>
          <w:tcPr>
            <w:tcW w:w="2693" w:type="dxa"/>
            <w:shd w:val="clear" w:color="auto" w:fill="auto"/>
            <w:hideMark/>
          </w:tcPr>
          <w:p w14:paraId="2B77953B" w14:textId="77777777" w:rsidR="00E23746" w:rsidRPr="00574DAC" w:rsidRDefault="00E23746" w:rsidP="000B2F10">
            <w:pPr>
              <w:rPr>
                <w:sz w:val="20"/>
                <w:szCs w:val="20"/>
              </w:rPr>
            </w:pPr>
            <w:r w:rsidRPr="00574DAC">
              <w:rPr>
                <w:sz w:val="20"/>
                <w:szCs w:val="20"/>
              </w:rPr>
              <w:t>C01 - Programas orientados a la adquisición y uso del conocimiento para el fomento de la investigación científica y del posgrado, desarrollados.</w:t>
            </w:r>
          </w:p>
        </w:tc>
        <w:tc>
          <w:tcPr>
            <w:tcW w:w="2552" w:type="dxa"/>
            <w:shd w:val="clear" w:color="FFFFFF" w:fill="FFFFFF"/>
            <w:hideMark/>
          </w:tcPr>
          <w:p w14:paraId="25A4B86D" w14:textId="77777777" w:rsidR="00E23746" w:rsidRDefault="00E23746" w:rsidP="000B2F10">
            <w:pPr>
              <w:rPr>
                <w:sz w:val="20"/>
                <w:szCs w:val="20"/>
              </w:rPr>
            </w:pPr>
            <w:r w:rsidRPr="00574DAC">
              <w:rPr>
                <w:sz w:val="20"/>
                <w:szCs w:val="20"/>
              </w:rPr>
              <w:t>C</w:t>
            </w:r>
            <w:r>
              <w:rPr>
                <w:sz w:val="20"/>
                <w:szCs w:val="20"/>
              </w:rPr>
              <w:t>01</w:t>
            </w:r>
            <w:r w:rsidRPr="00574DAC">
              <w:rPr>
                <w:sz w:val="20"/>
                <w:szCs w:val="20"/>
              </w:rPr>
              <w:t xml:space="preserve"> - Porcentaje de programas dirigidos al fomento de la investigación científica, al posgrado y al uso del conocimiento desarrollados con relación al número de programas dirigidos al fomento de la investigación científica, al posgrado y al uso del conocimiento programados para llevarse a cabo en el período</w:t>
            </w:r>
            <w:r>
              <w:rPr>
                <w:sz w:val="20"/>
                <w:szCs w:val="20"/>
              </w:rPr>
              <w:t>.</w:t>
            </w:r>
          </w:p>
          <w:p w14:paraId="3B43E5B8" w14:textId="77777777" w:rsidR="00E23746" w:rsidRPr="00574DAC" w:rsidRDefault="00E23746" w:rsidP="000B2F10">
            <w:pPr>
              <w:rPr>
                <w:sz w:val="20"/>
                <w:szCs w:val="20"/>
              </w:rPr>
            </w:pPr>
          </w:p>
        </w:tc>
        <w:tc>
          <w:tcPr>
            <w:tcW w:w="2693" w:type="dxa"/>
            <w:shd w:val="clear" w:color="auto" w:fill="auto"/>
            <w:hideMark/>
          </w:tcPr>
          <w:p w14:paraId="36D09F8F" w14:textId="77777777" w:rsidR="00E23746" w:rsidRPr="00574DAC" w:rsidRDefault="005377D7" w:rsidP="000B2F10">
            <w:pPr>
              <w:rPr>
                <w:sz w:val="20"/>
                <w:szCs w:val="20"/>
              </w:rPr>
            </w:pPr>
            <w:hyperlink r:id="rId55" w:history="1">
              <w:r w:rsidR="00E23746" w:rsidRPr="00574DAC">
                <w:rPr>
                  <w:rStyle w:val="Hipervnculo"/>
                  <w:color w:val="595959"/>
                  <w:sz w:val="20"/>
                  <w:szCs w:val="20"/>
                </w:rPr>
                <w:t>http://transparenciaweb.qroo.gob.mx/portaliframe/detalleRubro.php?iddep=25&amp;idrubro=29</w:t>
              </w:r>
            </w:hyperlink>
            <w:r w:rsidR="00E23746">
              <w:rPr>
                <w:rStyle w:val="Hipervnculo"/>
                <w:color w:val="595959"/>
                <w:sz w:val="20"/>
                <w:szCs w:val="20"/>
              </w:rPr>
              <w:t>.</w:t>
            </w:r>
          </w:p>
        </w:tc>
        <w:tc>
          <w:tcPr>
            <w:tcW w:w="1985" w:type="dxa"/>
            <w:shd w:val="clear" w:color="auto" w:fill="auto"/>
            <w:hideMark/>
          </w:tcPr>
          <w:p w14:paraId="7C85F102" w14:textId="77777777" w:rsidR="00E23746" w:rsidRPr="00574DAC" w:rsidRDefault="00E23746" w:rsidP="000B2F10">
            <w:pPr>
              <w:rPr>
                <w:sz w:val="20"/>
                <w:szCs w:val="20"/>
              </w:rPr>
            </w:pPr>
            <w:r w:rsidRPr="00574DAC">
              <w:rPr>
                <w:sz w:val="20"/>
                <w:szCs w:val="20"/>
              </w:rPr>
              <w:t>Las instituciones educativas participen promoviendo las actividades y convocatorias que se emitan</w:t>
            </w:r>
            <w:r>
              <w:rPr>
                <w:sz w:val="20"/>
                <w:szCs w:val="20"/>
              </w:rPr>
              <w:t>.</w:t>
            </w:r>
          </w:p>
        </w:tc>
      </w:tr>
      <w:tr w:rsidR="00E23746" w:rsidRPr="00574DAC" w14:paraId="078FD6DB" w14:textId="77777777" w:rsidTr="009137BD">
        <w:trPr>
          <w:trHeight w:val="2400"/>
        </w:trPr>
        <w:tc>
          <w:tcPr>
            <w:tcW w:w="1413" w:type="dxa"/>
            <w:shd w:val="clear" w:color="auto" w:fill="auto"/>
            <w:hideMark/>
          </w:tcPr>
          <w:p w14:paraId="6121DD3C" w14:textId="77777777" w:rsidR="00E23746" w:rsidRPr="00574DAC" w:rsidRDefault="00E23746" w:rsidP="000B2F10">
            <w:pPr>
              <w:jc w:val="center"/>
              <w:rPr>
                <w:b/>
                <w:bCs/>
                <w:sz w:val="20"/>
                <w:szCs w:val="20"/>
              </w:rPr>
            </w:pPr>
            <w:r w:rsidRPr="00574DAC">
              <w:rPr>
                <w:b/>
                <w:bCs/>
                <w:sz w:val="20"/>
                <w:szCs w:val="20"/>
              </w:rPr>
              <w:t>Actividad</w:t>
            </w:r>
          </w:p>
        </w:tc>
        <w:tc>
          <w:tcPr>
            <w:tcW w:w="2693" w:type="dxa"/>
            <w:shd w:val="clear" w:color="auto" w:fill="auto"/>
            <w:hideMark/>
          </w:tcPr>
          <w:p w14:paraId="6B313B88" w14:textId="77777777" w:rsidR="00E23746" w:rsidRPr="00574DAC" w:rsidRDefault="00E23746" w:rsidP="000B2F10">
            <w:pPr>
              <w:rPr>
                <w:sz w:val="20"/>
                <w:szCs w:val="20"/>
              </w:rPr>
            </w:pPr>
            <w:r w:rsidRPr="00574DAC">
              <w:rPr>
                <w:sz w:val="20"/>
                <w:szCs w:val="20"/>
              </w:rPr>
              <w:t>Impulsar la formación de recursos humanos de alta especialidad en áreas identificadas como estratégicas para el desarrollo de la Entidad.</w:t>
            </w:r>
          </w:p>
        </w:tc>
        <w:tc>
          <w:tcPr>
            <w:tcW w:w="2693" w:type="dxa"/>
            <w:shd w:val="clear" w:color="auto" w:fill="auto"/>
            <w:hideMark/>
          </w:tcPr>
          <w:p w14:paraId="5AC5D075" w14:textId="77777777" w:rsidR="00E23746" w:rsidRPr="00574DAC" w:rsidRDefault="00E23746" w:rsidP="000B2F10">
            <w:pPr>
              <w:rPr>
                <w:sz w:val="20"/>
                <w:szCs w:val="20"/>
              </w:rPr>
            </w:pPr>
            <w:r w:rsidRPr="00574DAC">
              <w:rPr>
                <w:sz w:val="20"/>
                <w:szCs w:val="20"/>
              </w:rPr>
              <w:t>C01.A01 - Otorgamiento de becas a estudiantes de nivel superior y profesionistas quintanarroenses para el impulso a las vocaciones científicas y la formación de recursos humanos de alta especialidad</w:t>
            </w:r>
            <w:r>
              <w:rPr>
                <w:sz w:val="20"/>
                <w:szCs w:val="20"/>
              </w:rPr>
              <w:t>.</w:t>
            </w:r>
            <w:r w:rsidRPr="00574DAC">
              <w:rPr>
                <w:sz w:val="20"/>
                <w:szCs w:val="20"/>
              </w:rPr>
              <w:t xml:space="preserve"> </w:t>
            </w:r>
          </w:p>
        </w:tc>
        <w:tc>
          <w:tcPr>
            <w:tcW w:w="2552" w:type="dxa"/>
            <w:shd w:val="clear" w:color="FFFFFF" w:fill="FFFFFF"/>
            <w:hideMark/>
          </w:tcPr>
          <w:p w14:paraId="71DB02AD" w14:textId="77777777" w:rsidR="00E23746" w:rsidRPr="00574DAC" w:rsidRDefault="00E23746" w:rsidP="000B2F10">
            <w:pPr>
              <w:rPr>
                <w:sz w:val="20"/>
                <w:szCs w:val="20"/>
              </w:rPr>
            </w:pPr>
            <w:r w:rsidRPr="00574DAC">
              <w:rPr>
                <w:sz w:val="20"/>
                <w:szCs w:val="20"/>
              </w:rPr>
              <w:t>C</w:t>
            </w:r>
            <w:r>
              <w:rPr>
                <w:sz w:val="20"/>
                <w:szCs w:val="20"/>
              </w:rPr>
              <w:t>01A01</w:t>
            </w:r>
            <w:r w:rsidRPr="00574DAC">
              <w:rPr>
                <w:sz w:val="20"/>
                <w:szCs w:val="20"/>
              </w:rPr>
              <w:t xml:space="preserve"> - Porcentaje de postulantes que acceden a una beca con relación al número de becas disponibles</w:t>
            </w:r>
            <w:r>
              <w:rPr>
                <w:sz w:val="20"/>
                <w:szCs w:val="20"/>
              </w:rPr>
              <w:t>.</w:t>
            </w:r>
          </w:p>
        </w:tc>
        <w:tc>
          <w:tcPr>
            <w:tcW w:w="2693" w:type="dxa"/>
            <w:shd w:val="clear" w:color="auto" w:fill="auto"/>
            <w:hideMark/>
          </w:tcPr>
          <w:p w14:paraId="7A028F72" w14:textId="77777777" w:rsidR="00E23746" w:rsidRPr="00574DAC" w:rsidRDefault="005377D7" w:rsidP="000B2F10">
            <w:pPr>
              <w:rPr>
                <w:sz w:val="20"/>
                <w:szCs w:val="20"/>
              </w:rPr>
            </w:pPr>
            <w:hyperlink r:id="rId56" w:history="1">
              <w:r w:rsidR="00E23746" w:rsidRPr="00574DAC">
                <w:rPr>
                  <w:rStyle w:val="Hipervnculo"/>
                  <w:color w:val="595959"/>
                  <w:sz w:val="20"/>
                  <w:szCs w:val="20"/>
                </w:rPr>
                <w:t>http://transparenciaweb.qroo.gob.mx/portaliframe/detalleRubro.php?iddep=25&amp;idrubro=30</w:t>
              </w:r>
            </w:hyperlink>
            <w:r w:rsidR="00E23746">
              <w:rPr>
                <w:rStyle w:val="Hipervnculo"/>
                <w:color w:val="595959"/>
                <w:sz w:val="20"/>
                <w:szCs w:val="20"/>
              </w:rPr>
              <w:t>.</w:t>
            </w:r>
          </w:p>
        </w:tc>
        <w:tc>
          <w:tcPr>
            <w:tcW w:w="1985" w:type="dxa"/>
            <w:shd w:val="clear" w:color="auto" w:fill="auto"/>
            <w:hideMark/>
          </w:tcPr>
          <w:p w14:paraId="4F45F822" w14:textId="77777777" w:rsidR="00E23746" w:rsidRDefault="00E23746" w:rsidP="000B2F10">
            <w:pPr>
              <w:rPr>
                <w:sz w:val="20"/>
                <w:szCs w:val="20"/>
              </w:rPr>
            </w:pPr>
            <w:r w:rsidRPr="00574DAC">
              <w:rPr>
                <w:sz w:val="20"/>
                <w:szCs w:val="20"/>
              </w:rPr>
              <w:t>Los estudiantes de nivel licenciatura, y profesionistas en general se interesen por participar en las convocatorias que el COQCYT emite y difunde.</w:t>
            </w:r>
          </w:p>
          <w:p w14:paraId="4A4D0399" w14:textId="77777777" w:rsidR="00E23746" w:rsidRPr="00574DAC" w:rsidRDefault="00E23746" w:rsidP="000B2F10">
            <w:pPr>
              <w:rPr>
                <w:sz w:val="20"/>
                <w:szCs w:val="20"/>
              </w:rPr>
            </w:pPr>
          </w:p>
        </w:tc>
      </w:tr>
    </w:tbl>
    <w:p w14:paraId="05786034" w14:textId="77777777" w:rsidR="00D345CB" w:rsidRDefault="00D345CB">
      <w:pPr>
        <w:spacing w:after="0" w:line="240" w:lineRule="auto"/>
        <w:jc w:val="left"/>
      </w:pPr>
      <w:r>
        <w:br w:type="page"/>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3"/>
        <w:gridCol w:w="2693"/>
        <w:gridCol w:w="2693"/>
        <w:gridCol w:w="2552"/>
        <w:gridCol w:w="2693"/>
        <w:gridCol w:w="1985"/>
      </w:tblGrid>
      <w:tr w:rsidR="00E23746" w:rsidRPr="00574DAC" w14:paraId="1FBE5AD1" w14:textId="77777777" w:rsidTr="009137BD">
        <w:trPr>
          <w:trHeight w:val="679"/>
        </w:trPr>
        <w:tc>
          <w:tcPr>
            <w:tcW w:w="1413" w:type="dxa"/>
            <w:shd w:val="clear" w:color="000000" w:fill="BFBFBF"/>
            <w:vAlign w:val="center"/>
            <w:hideMark/>
          </w:tcPr>
          <w:p w14:paraId="343253F8"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lastRenderedPageBreak/>
              <w:t>NIVEL</w:t>
            </w:r>
          </w:p>
        </w:tc>
        <w:tc>
          <w:tcPr>
            <w:tcW w:w="2693" w:type="dxa"/>
            <w:shd w:val="clear" w:color="000000" w:fill="BFBFBF"/>
            <w:vAlign w:val="center"/>
            <w:hideMark/>
          </w:tcPr>
          <w:p w14:paraId="09CC24B8"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ALINEACIÓN PED/PD</w:t>
            </w:r>
          </w:p>
        </w:tc>
        <w:tc>
          <w:tcPr>
            <w:tcW w:w="2693" w:type="dxa"/>
            <w:shd w:val="clear" w:color="000000" w:fill="BFBFBF"/>
            <w:vAlign w:val="center"/>
            <w:hideMark/>
          </w:tcPr>
          <w:p w14:paraId="77A94F3A"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OBJETIVO</w:t>
            </w:r>
          </w:p>
        </w:tc>
        <w:tc>
          <w:tcPr>
            <w:tcW w:w="2552" w:type="dxa"/>
            <w:shd w:val="clear" w:color="000000" w:fill="BFBFBF"/>
            <w:vAlign w:val="center"/>
            <w:hideMark/>
          </w:tcPr>
          <w:p w14:paraId="3551609A"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INDICADOR</w:t>
            </w:r>
          </w:p>
        </w:tc>
        <w:tc>
          <w:tcPr>
            <w:tcW w:w="2693" w:type="dxa"/>
            <w:shd w:val="clear" w:color="000000" w:fill="BFBFBF"/>
            <w:vAlign w:val="center"/>
            <w:hideMark/>
          </w:tcPr>
          <w:p w14:paraId="0DF3C997"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MEDIOS DE VERIFICACIÓN</w:t>
            </w:r>
          </w:p>
        </w:tc>
        <w:tc>
          <w:tcPr>
            <w:tcW w:w="1985" w:type="dxa"/>
            <w:shd w:val="clear" w:color="000000" w:fill="BFBFBF"/>
            <w:vAlign w:val="center"/>
            <w:hideMark/>
          </w:tcPr>
          <w:p w14:paraId="5C8970EF"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SUPUESTO</w:t>
            </w:r>
          </w:p>
        </w:tc>
      </w:tr>
      <w:tr w:rsidR="00E23746" w:rsidRPr="00574DAC" w14:paraId="57A76D32" w14:textId="77777777" w:rsidTr="009137BD">
        <w:trPr>
          <w:trHeight w:val="1826"/>
        </w:trPr>
        <w:tc>
          <w:tcPr>
            <w:tcW w:w="1413" w:type="dxa"/>
            <w:shd w:val="clear" w:color="auto" w:fill="auto"/>
            <w:hideMark/>
          </w:tcPr>
          <w:p w14:paraId="64AEBD2B" w14:textId="77777777" w:rsidR="00E23746" w:rsidRPr="00574DAC" w:rsidRDefault="00E23746" w:rsidP="000B2F10">
            <w:pPr>
              <w:jc w:val="center"/>
              <w:rPr>
                <w:b/>
                <w:bCs/>
                <w:sz w:val="20"/>
                <w:szCs w:val="20"/>
              </w:rPr>
            </w:pPr>
            <w:r w:rsidRPr="00574DAC">
              <w:rPr>
                <w:b/>
                <w:bCs/>
                <w:sz w:val="20"/>
                <w:szCs w:val="20"/>
              </w:rPr>
              <w:t>Componente</w:t>
            </w:r>
          </w:p>
        </w:tc>
        <w:tc>
          <w:tcPr>
            <w:tcW w:w="2693" w:type="dxa"/>
            <w:shd w:val="clear" w:color="auto" w:fill="auto"/>
            <w:hideMark/>
          </w:tcPr>
          <w:p w14:paraId="1E9C1222" w14:textId="77777777" w:rsidR="00E23746" w:rsidRPr="00C70FA5" w:rsidRDefault="00E23746" w:rsidP="000B2F10">
            <w:pPr>
              <w:rPr>
                <w:sz w:val="18"/>
                <w:szCs w:val="20"/>
              </w:rPr>
            </w:pPr>
            <w:r w:rsidRPr="00C70FA5">
              <w:rPr>
                <w:sz w:val="18"/>
                <w:szCs w:val="20"/>
              </w:rPr>
              <w:t xml:space="preserve">Impulsar la generación y transferencia de conocimiento para la solución de problemas locales. </w:t>
            </w:r>
          </w:p>
        </w:tc>
        <w:tc>
          <w:tcPr>
            <w:tcW w:w="2693" w:type="dxa"/>
            <w:shd w:val="clear" w:color="auto" w:fill="auto"/>
            <w:hideMark/>
          </w:tcPr>
          <w:p w14:paraId="64707153" w14:textId="77777777" w:rsidR="00E23746" w:rsidRPr="00C70FA5" w:rsidRDefault="00E23746" w:rsidP="000B2F10">
            <w:pPr>
              <w:rPr>
                <w:sz w:val="18"/>
                <w:szCs w:val="20"/>
              </w:rPr>
            </w:pPr>
            <w:r w:rsidRPr="00C70FA5">
              <w:rPr>
                <w:sz w:val="18"/>
                <w:szCs w:val="20"/>
              </w:rPr>
              <w:t>C02 - Proyectos dirigidos a fortalecer las capacidades productivas del Estado mediante la transferencia y uso del conocimiento, financiados.</w:t>
            </w:r>
          </w:p>
        </w:tc>
        <w:tc>
          <w:tcPr>
            <w:tcW w:w="2552" w:type="dxa"/>
            <w:shd w:val="clear" w:color="FFFFFF" w:fill="FFFFFF"/>
            <w:hideMark/>
          </w:tcPr>
          <w:p w14:paraId="48B8683A" w14:textId="77777777" w:rsidR="00E23746" w:rsidRPr="00C70FA5" w:rsidRDefault="00E23746" w:rsidP="000B2F10">
            <w:pPr>
              <w:rPr>
                <w:sz w:val="18"/>
                <w:szCs w:val="20"/>
              </w:rPr>
            </w:pPr>
            <w:r w:rsidRPr="00C70FA5">
              <w:rPr>
                <w:sz w:val="18"/>
                <w:szCs w:val="20"/>
              </w:rPr>
              <w:t>C02 - Porcentaje de atención a demandas de investigación, desarrollo tecnológico e innovación a través del desarrollo de proyectos.</w:t>
            </w:r>
          </w:p>
        </w:tc>
        <w:tc>
          <w:tcPr>
            <w:tcW w:w="2693" w:type="dxa"/>
            <w:shd w:val="clear" w:color="auto" w:fill="auto"/>
            <w:hideMark/>
          </w:tcPr>
          <w:p w14:paraId="65834233" w14:textId="77777777" w:rsidR="00E23746" w:rsidRPr="00C70FA5" w:rsidRDefault="005377D7" w:rsidP="000B2F10">
            <w:pPr>
              <w:rPr>
                <w:sz w:val="18"/>
                <w:szCs w:val="20"/>
              </w:rPr>
            </w:pPr>
            <w:hyperlink r:id="rId57" w:history="1">
              <w:r w:rsidR="00E23746" w:rsidRPr="00C70FA5">
                <w:rPr>
                  <w:rStyle w:val="Hipervnculo"/>
                  <w:color w:val="595959"/>
                  <w:sz w:val="18"/>
                  <w:szCs w:val="20"/>
                </w:rPr>
                <w:t>http://transparenciaweb.qroo.gob.mx/portaliframe/detalleRubro.php?iddep=25&amp;idrubro=31</w:t>
              </w:r>
            </w:hyperlink>
            <w:r w:rsidR="00E23746" w:rsidRPr="00C70FA5">
              <w:rPr>
                <w:rStyle w:val="Hipervnculo"/>
                <w:color w:val="595959"/>
                <w:sz w:val="18"/>
                <w:szCs w:val="20"/>
              </w:rPr>
              <w:t>.</w:t>
            </w:r>
          </w:p>
        </w:tc>
        <w:tc>
          <w:tcPr>
            <w:tcW w:w="1985" w:type="dxa"/>
            <w:shd w:val="clear" w:color="auto" w:fill="auto"/>
            <w:hideMark/>
          </w:tcPr>
          <w:p w14:paraId="778F8327" w14:textId="77777777" w:rsidR="00E23746" w:rsidRPr="00C70FA5" w:rsidRDefault="00E23746" w:rsidP="000B2F10">
            <w:pPr>
              <w:rPr>
                <w:sz w:val="18"/>
                <w:szCs w:val="20"/>
              </w:rPr>
            </w:pPr>
            <w:r w:rsidRPr="00C70FA5">
              <w:rPr>
                <w:sz w:val="18"/>
                <w:szCs w:val="20"/>
              </w:rPr>
              <w:t>Los sectores académico y productivo participen por si o de manera vinculada en las convocatorias que se emitan.</w:t>
            </w:r>
          </w:p>
        </w:tc>
      </w:tr>
      <w:tr w:rsidR="00E23746" w:rsidRPr="00C70FA5" w14:paraId="11ED8ABE" w14:textId="77777777" w:rsidTr="009137BD">
        <w:trPr>
          <w:trHeight w:val="3227"/>
        </w:trPr>
        <w:tc>
          <w:tcPr>
            <w:tcW w:w="1413" w:type="dxa"/>
            <w:shd w:val="clear" w:color="auto" w:fill="auto"/>
            <w:hideMark/>
          </w:tcPr>
          <w:p w14:paraId="4D150515" w14:textId="77777777" w:rsidR="00E23746" w:rsidRPr="00574DAC" w:rsidRDefault="00E23746" w:rsidP="000B2F10">
            <w:pPr>
              <w:jc w:val="center"/>
              <w:rPr>
                <w:b/>
                <w:bCs/>
                <w:sz w:val="20"/>
                <w:szCs w:val="20"/>
              </w:rPr>
            </w:pPr>
            <w:r w:rsidRPr="00574DAC">
              <w:rPr>
                <w:b/>
                <w:bCs/>
                <w:sz w:val="20"/>
                <w:szCs w:val="20"/>
              </w:rPr>
              <w:t>Actividad</w:t>
            </w:r>
          </w:p>
        </w:tc>
        <w:tc>
          <w:tcPr>
            <w:tcW w:w="2693" w:type="dxa"/>
            <w:shd w:val="clear" w:color="auto" w:fill="auto"/>
            <w:hideMark/>
          </w:tcPr>
          <w:p w14:paraId="3A70E260" w14:textId="77777777" w:rsidR="00E23746" w:rsidRPr="00C70FA5" w:rsidRDefault="00E23746" w:rsidP="000B2F10">
            <w:pPr>
              <w:rPr>
                <w:sz w:val="18"/>
                <w:szCs w:val="20"/>
              </w:rPr>
            </w:pPr>
            <w:r w:rsidRPr="00C70FA5">
              <w:rPr>
                <w:sz w:val="18"/>
                <w:szCs w:val="20"/>
              </w:rPr>
              <w:t>Promover la creación de infraestructura Científica, Tecnológica y de Innovación para la generación y transferencia de nuevo conocimiento.</w:t>
            </w:r>
          </w:p>
        </w:tc>
        <w:tc>
          <w:tcPr>
            <w:tcW w:w="2693" w:type="dxa"/>
            <w:shd w:val="clear" w:color="auto" w:fill="auto"/>
            <w:hideMark/>
          </w:tcPr>
          <w:p w14:paraId="17A95E5C" w14:textId="77777777" w:rsidR="00E23746" w:rsidRPr="00C70FA5" w:rsidRDefault="00E23746" w:rsidP="000B2F10">
            <w:pPr>
              <w:rPr>
                <w:sz w:val="18"/>
                <w:szCs w:val="20"/>
              </w:rPr>
            </w:pPr>
            <w:r w:rsidRPr="00C70FA5">
              <w:rPr>
                <w:sz w:val="18"/>
                <w:szCs w:val="20"/>
              </w:rPr>
              <w:t>C02.A01 - Presentación de propuestas al Comité Técnico y de Administración del FOMIX, para la creación de Centros de Investigación, laboratorios y talleres para la generación y transferencia de nuevo conocimiento.</w:t>
            </w:r>
          </w:p>
        </w:tc>
        <w:tc>
          <w:tcPr>
            <w:tcW w:w="2552" w:type="dxa"/>
            <w:shd w:val="clear" w:color="FFFFFF" w:fill="FFFFFF"/>
            <w:hideMark/>
          </w:tcPr>
          <w:p w14:paraId="5795AEF6" w14:textId="77777777" w:rsidR="00E23746" w:rsidRPr="00C70FA5" w:rsidRDefault="00E23746" w:rsidP="000B2F10">
            <w:pPr>
              <w:rPr>
                <w:sz w:val="18"/>
                <w:szCs w:val="20"/>
              </w:rPr>
            </w:pPr>
            <w:r w:rsidRPr="00C70FA5">
              <w:rPr>
                <w:sz w:val="18"/>
                <w:szCs w:val="20"/>
              </w:rPr>
              <w:t xml:space="preserve">C02A01 - Porcentaje de propuestas presentadas y aprobadas para la creación de Centros de Investigación, laboratorios y Talleres para la generación y transferencia de nuevo conocimiento, con relación a las necesidades identificadas en los planes y programas de desarrollo. </w:t>
            </w:r>
          </w:p>
        </w:tc>
        <w:tc>
          <w:tcPr>
            <w:tcW w:w="2693" w:type="dxa"/>
            <w:shd w:val="clear" w:color="auto" w:fill="auto"/>
            <w:hideMark/>
          </w:tcPr>
          <w:p w14:paraId="2465EE68" w14:textId="77777777" w:rsidR="00E23746" w:rsidRPr="00C70FA5" w:rsidRDefault="005377D7" w:rsidP="000B2F10">
            <w:pPr>
              <w:rPr>
                <w:sz w:val="18"/>
                <w:szCs w:val="20"/>
              </w:rPr>
            </w:pPr>
            <w:hyperlink r:id="rId58" w:history="1">
              <w:r w:rsidR="00E23746" w:rsidRPr="00C70FA5">
                <w:rPr>
                  <w:rStyle w:val="Hipervnculo"/>
                  <w:color w:val="595959"/>
                  <w:sz w:val="18"/>
                  <w:szCs w:val="20"/>
                </w:rPr>
                <w:t>http://transparenciaweb.qroo.gob.mx/portaliframe/detalleRubro.php?iddep=25&amp;idrubro=32</w:t>
              </w:r>
            </w:hyperlink>
            <w:r w:rsidR="00E23746" w:rsidRPr="00C70FA5">
              <w:rPr>
                <w:rStyle w:val="Hipervnculo"/>
                <w:color w:val="595959"/>
                <w:sz w:val="18"/>
                <w:szCs w:val="20"/>
              </w:rPr>
              <w:t>.</w:t>
            </w:r>
          </w:p>
        </w:tc>
        <w:tc>
          <w:tcPr>
            <w:tcW w:w="1985" w:type="dxa"/>
            <w:shd w:val="clear" w:color="auto" w:fill="auto"/>
            <w:hideMark/>
          </w:tcPr>
          <w:p w14:paraId="7577D9DB" w14:textId="77777777" w:rsidR="00E23746" w:rsidRPr="00C70FA5" w:rsidRDefault="00E23746" w:rsidP="000B2F10">
            <w:pPr>
              <w:rPr>
                <w:sz w:val="18"/>
                <w:szCs w:val="20"/>
              </w:rPr>
            </w:pPr>
            <w:r w:rsidRPr="00C70FA5">
              <w:rPr>
                <w:sz w:val="18"/>
                <w:szCs w:val="20"/>
              </w:rPr>
              <w:t>Las instituciones públicas y privadas participen en las convocatorias emitidas para la creación de infraestructura destinada a CTI.</w:t>
            </w:r>
          </w:p>
        </w:tc>
      </w:tr>
      <w:tr w:rsidR="00E23746" w:rsidRPr="00574DAC" w14:paraId="1ADF7785" w14:textId="77777777" w:rsidTr="009137BD">
        <w:trPr>
          <w:trHeight w:val="409"/>
        </w:trPr>
        <w:tc>
          <w:tcPr>
            <w:tcW w:w="1413" w:type="dxa"/>
            <w:shd w:val="clear" w:color="auto" w:fill="auto"/>
            <w:hideMark/>
          </w:tcPr>
          <w:p w14:paraId="60F048F4" w14:textId="77777777" w:rsidR="00E23746" w:rsidRPr="00574DAC" w:rsidRDefault="00E23746" w:rsidP="000B2F10">
            <w:pPr>
              <w:jc w:val="center"/>
              <w:rPr>
                <w:b/>
                <w:bCs/>
                <w:sz w:val="20"/>
                <w:szCs w:val="20"/>
              </w:rPr>
            </w:pPr>
            <w:r w:rsidRPr="00574DAC">
              <w:rPr>
                <w:b/>
                <w:bCs/>
                <w:sz w:val="20"/>
                <w:szCs w:val="20"/>
              </w:rPr>
              <w:t>Componente</w:t>
            </w:r>
          </w:p>
        </w:tc>
        <w:tc>
          <w:tcPr>
            <w:tcW w:w="2693" w:type="dxa"/>
            <w:shd w:val="clear" w:color="auto" w:fill="auto"/>
            <w:hideMark/>
          </w:tcPr>
          <w:p w14:paraId="7D2B9FBD" w14:textId="77777777" w:rsidR="00E23746" w:rsidRPr="00C70FA5" w:rsidRDefault="00E23746" w:rsidP="000B2F10">
            <w:pPr>
              <w:rPr>
                <w:sz w:val="18"/>
                <w:szCs w:val="20"/>
              </w:rPr>
            </w:pPr>
            <w:r w:rsidRPr="00C70FA5">
              <w:rPr>
                <w:sz w:val="18"/>
                <w:szCs w:val="20"/>
              </w:rPr>
              <w:t>Impulsar el desarrollo de Investigación científica y tecnológica con pertinencia social, resultado de la identificación de demandas, de los foros de consulta y de los trabajos realizados con grupos especializados en la materia.</w:t>
            </w:r>
          </w:p>
        </w:tc>
        <w:tc>
          <w:tcPr>
            <w:tcW w:w="2693" w:type="dxa"/>
            <w:shd w:val="clear" w:color="auto" w:fill="auto"/>
            <w:hideMark/>
          </w:tcPr>
          <w:p w14:paraId="0D9C1378" w14:textId="77777777" w:rsidR="00E23746" w:rsidRPr="00C70FA5" w:rsidRDefault="00E23746" w:rsidP="000B2F10">
            <w:pPr>
              <w:rPr>
                <w:sz w:val="18"/>
                <w:szCs w:val="20"/>
              </w:rPr>
            </w:pPr>
            <w:r w:rsidRPr="00C70FA5">
              <w:rPr>
                <w:sz w:val="18"/>
                <w:szCs w:val="20"/>
              </w:rPr>
              <w:t>C03 - Proyectos de investigación con pertinencia social financiados.</w:t>
            </w:r>
          </w:p>
        </w:tc>
        <w:tc>
          <w:tcPr>
            <w:tcW w:w="2552" w:type="dxa"/>
            <w:shd w:val="clear" w:color="FFFFFF" w:fill="FFFFFF"/>
            <w:hideMark/>
          </w:tcPr>
          <w:p w14:paraId="37A3952C" w14:textId="77777777" w:rsidR="00E23746" w:rsidRPr="00C70FA5" w:rsidRDefault="00E23746" w:rsidP="000B2F10">
            <w:pPr>
              <w:rPr>
                <w:sz w:val="18"/>
                <w:szCs w:val="20"/>
              </w:rPr>
            </w:pPr>
            <w:r w:rsidRPr="00C70FA5">
              <w:rPr>
                <w:sz w:val="18"/>
                <w:szCs w:val="20"/>
              </w:rPr>
              <w:t>C03 - Porcentaje de Proyectos determinados como pertinentes con relación al número de propuestas recibidas para el desarrollo de investigación que atienda problemas locales.</w:t>
            </w:r>
          </w:p>
        </w:tc>
        <w:tc>
          <w:tcPr>
            <w:tcW w:w="2693" w:type="dxa"/>
            <w:shd w:val="clear" w:color="auto" w:fill="auto"/>
            <w:hideMark/>
          </w:tcPr>
          <w:p w14:paraId="199E83C4" w14:textId="77777777" w:rsidR="00E23746" w:rsidRPr="00C70FA5" w:rsidRDefault="005377D7" w:rsidP="000B2F10">
            <w:pPr>
              <w:rPr>
                <w:sz w:val="18"/>
                <w:szCs w:val="20"/>
              </w:rPr>
            </w:pPr>
            <w:hyperlink r:id="rId59" w:history="1">
              <w:r w:rsidR="00E23746" w:rsidRPr="00C70FA5">
                <w:rPr>
                  <w:rStyle w:val="Hipervnculo"/>
                  <w:color w:val="595959"/>
                  <w:sz w:val="18"/>
                  <w:szCs w:val="20"/>
                </w:rPr>
                <w:t>http://transparenciaweb.qroo.gob.mx/portaliframe/detalleRubro.php?iddep=25&amp;idrubro=33</w:t>
              </w:r>
            </w:hyperlink>
            <w:r w:rsidR="00E23746" w:rsidRPr="00C70FA5">
              <w:rPr>
                <w:rStyle w:val="Hipervnculo"/>
                <w:color w:val="595959"/>
                <w:sz w:val="18"/>
                <w:szCs w:val="20"/>
              </w:rPr>
              <w:t>.</w:t>
            </w:r>
          </w:p>
        </w:tc>
        <w:tc>
          <w:tcPr>
            <w:tcW w:w="1985" w:type="dxa"/>
            <w:shd w:val="clear" w:color="auto" w:fill="auto"/>
            <w:hideMark/>
          </w:tcPr>
          <w:p w14:paraId="7131B451" w14:textId="77777777" w:rsidR="00E23746" w:rsidRPr="00C70FA5" w:rsidRDefault="00E23746" w:rsidP="000B2F10">
            <w:pPr>
              <w:rPr>
                <w:sz w:val="18"/>
                <w:szCs w:val="20"/>
              </w:rPr>
            </w:pPr>
            <w:r w:rsidRPr="00C70FA5">
              <w:rPr>
                <w:sz w:val="18"/>
                <w:szCs w:val="20"/>
              </w:rPr>
              <w:t>Las instituciones públicas y privadas participen con propuesta en atención a las convocatorias que se emitan.</w:t>
            </w:r>
          </w:p>
        </w:tc>
      </w:tr>
    </w:tbl>
    <w:p w14:paraId="0FC0BCB2" w14:textId="77777777" w:rsidR="00D345CB" w:rsidRDefault="00D345CB">
      <w:pPr>
        <w:spacing w:after="0" w:line="240" w:lineRule="auto"/>
        <w:jc w:val="left"/>
      </w:pPr>
      <w:r>
        <w:br w:type="page"/>
      </w:r>
    </w:p>
    <w:tbl>
      <w:tblPr>
        <w:tblW w:w="14029" w:type="dxa"/>
        <w:tblLayout w:type="fixed"/>
        <w:tblCellMar>
          <w:left w:w="70" w:type="dxa"/>
          <w:right w:w="70" w:type="dxa"/>
        </w:tblCellMar>
        <w:tblLook w:val="04A0" w:firstRow="1" w:lastRow="0" w:firstColumn="1" w:lastColumn="0" w:noHBand="0" w:noVBand="1"/>
      </w:tblPr>
      <w:tblGrid>
        <w:gridCol w:w="1413"/>
        <w:gridCol w:w="2693"/>
        <w:gridCol w:w="2693"/>
        <w:gridCol w:w="2552"/>
        <w:gridCol w:w="2693"/>
        <w:gridCol w:w="1985"/>
      </w:tblGrid>
      <w:tr w:rsidR="00E23746" w:rsidRPr="00574DAC" w14:paraId="1876C226" w14:textId="77777777" w:rsidTr="009137BD">
        <w:trPr>
          <w:trHeight w:val="679"/>
        </w:trPr>
        <w:tc>
          <w:tcPr>
            <w:tcW w:w="1413"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09F8F8F8"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lastRenderedPageBreak/>
              <w:t>NIVEL</w:t>
            </w:r>
          </w:p>
        </w:tc>
        <w:tc>
          <w:tcPr>
            <w:tcW w:w="2693" w:type="dxa"/>
            <w:tcBorders>
              <w:top w:val="single" w:sz="4" w:space="0" w:color="auto"/>
              <w:left w:val="nil"/>
              <w:bottom w:val="single" w:sz="4" w:space="0" w:color="auto"/>
              <w:right w:val="single" w:sz="4" w:space="0" w:color="auto"/>
            </w:tcBorders>
            <w:shd w:val="clear" w:color="000000" w:fill="BFBFBF"/>
            <w:vAlign w:val="center"/>
            <w:hideMark/>
          </w:tcPr>
          <w:p w14:paraId="2F73F8CB"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ALINEACIÓN PED/PD</w:t>
            </w:r>
          </w:p>
        </w:tc>
        <w:tc>
          <w:tcPr>
            <w:tcW w:w="2693" w:type="dxa"/>
            <w:tcBorders>
              <w:top w:val="single" w:sz="4" w:space="0" w:color="auto"/>
              <w:left w:val="nil"/>
              <w:bottom w:val="single" w:sz="4" w:space="0" w:color="auto"/>
              <w:right w:val="single" w:sz="4" w:space="0" w:color="auto"/>
            </w:tcBorders>
            <w:shd w:val="clear" w:color="000000" w:fill="BFBFBF"/>
            <w:vAlign w:val="center"/>
            <w:hideMark/>
          </w:tcPr>
          <w:p w14:paraId="0F1C4E27"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OBJETIVO</w:t>
            </w:r>
          </w:p>
        </w:tc>
        <w:tc>
          <w:tcPr>
            <w:tcW w:w="2552" w:type="dxa"/>
            <w:tcBorders>
              <w:top w:val="single" w:sz="4" w:space="0" w:color="auto"/>
              <w:left w:val="nil"/>
              <w:bottom w:val="single" w:sz="4" w:space="0" w:color="auto"/>
              <w:right w:val="single" w:sz="4" w:space="0" w:color="auto"/>
            </w:tcBorders>
            <w:shd w:val="clear" w:color="000000" w:fill="BFBFBF"/>
            <w:vAlign w:val="center"/>
            <w:hideMark/>
          </w:tcPr>
          <w:p w14:paraId="4BEEEFCE"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INDICADOR</w:t>
            </w:r>
          </w:p>
        </w:tc>
        <w:tc>
          <w:tcPr>
            <w:tcW w:w="2693" w:type="dxa"/>
            <w:tcBorders>
              <w:top w:val="single" w:sz="4" w:space="0" w:color="auto"/>
              <w:left w:val="nil"/>
              <w:bottom w:val="single" w:sz="4" w:space="0" w:color="auto"/>
              <w:right w:val="single" w:sz="4" w:space="0" w:color="auto"/>
            </w:tcBorders>
            <w:shd w:val="clear" w:color="000000" w:fill="BFBFBF"/>
            <w:vAlign w:val="center"/>
            <w:hideMark/>
          </w:tcPr>
          <w:p w14:paraId="2872902C"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MEDIOS DE VERIFICACIÓN</w:t>
            </w:r>
          </w:p>
        </w:tc>
        <w:tc>
          <w:tcPr>
            <w:tcW w:w="1985" w:type="dxa"/>
            <w:tcBorders>
              <w:top w:val="single" w:sz="4" w:space="0" w:color="auto"/>
              <w:left w:val="nil"/>
              <w:bottom w:val="single" w:sz="4" w:space="0" w:color="auto"/>
              <w:right w:val="single" w:sz="4" w:space="0" w:color="auto"/>
            </w:tcBorders>
            <w:shd w:val="clear" w:color="000000" w:fill="BFBFBF"/>
            <w:vAlign w:val="center"/>
            <w:hideMark/>
          </w:tcPr>
          <w:p w14:paraId="4E11B5C2"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SUPUESTO</w:t>
            </w:r>
          </w:p>
        </w:tc>
      </w:tr>
      <w:tr w:rsidR="00E23746" w:rsidRPr="00574DAC" w14:paraId="77F4A829" w14:textId="77777777" w:rsidTr="009137BD">
        <w:trPr>
          <w:trHeight w:val="3197"/>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14:paraId="1F02EA26" w14:textId="77777777" w:rsidR="00E23746" w:rsidRPr="00574DAC" w:rsidRDefault="00E23746" w:rsidP="000B2F10">
            <w:pPr>
              <w:jc w:val="center"/>
              <w:rPr>
                <w:b/>
                <w:bCs/>
                <w:sz w:val="20"/>
                <w:szCs w:val="20"/>
              </w:rPr>
            </w:pPr>
            <w:r w:rsidRPr="00574DAC">
              <w:rPr>
                <w:b/>
                <w:bCs/>
                <w:sz w:val="20"/>
                <w:szCs w:val="20"/>
              </w:rPr>
              <w:t>Actividad</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4DDD6C13" w14:textId="77777777" w:rsidR="00E23746" w:rsidRPr="00C70FA5" w:rsidRDefault="00E23746" w:rsidP="000B2F10">
            <w:pPr>
              <w:rPr>
                <w:sz w:val="18"/>
                <w:szCs w:val="20"/>
              </w:rPr>
            </w:pPr>
            <w:r w:rsidRPr="00C70FA5">
              <w:rPr>
                <w:sz w:val="18"/>
                <w:szCs w:val="20"/>
              </w:rPr>
              <w:t>Propiciar la vinculación entre las instituciones de educación superior, los centros de investigación, el sector productivo, el gobierno y la sociedad, incentivando la inversión pública y privada, hasta alcanzar, al menos, niveles similares a los nacionales.</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4287FE8D" w14:textId="77777777" w:rsidR="00E23746" w:rsidRPr="00C70FA5" w:rsidRDefault="00E23746" w:rsidP="000B2F10">
            <w:pPr>
              <w:rPr>
                <w:sz w:val="18"/>
                <w:szCs w:val="20"/>
              </w:rPr>
            </w:pPr>
            <w:r w:rsidRPr="00C70FA5">
              <w:rPr>
                <w:sz w:val="18"/>
                <w:szCs w:val="20"/>
              </w:rPr>
              <w:t>C03.A01 - Gestión de recursos para el financiamiento a proyectos de investigación científica, tecnológica y de innovación desarrollados de manera conjunta entre los sectores académico y productivo.</w:t>
            </w:r>
          </w:p>
        </w:tc>
        <w:tc>
          <w:tcPr>
            <w:tcW w:w="2552" w:type="dxa"/>
            <w:tcBorders>
              <w:top w:val="single" w:sz="4" w:space="0" w:color="auto"/>
              <w:left w:val="single" w:sz="4" w:space="0" w:color="auto"/>
              <w:bottom w:val="single" w:sz="4" w:space="0" w:color="auto"/>
              <w:right w:val="single" w:sz="4" w:space="0" w:color="auto"/>
            </w:tcBorders>
            <w:shd w:val="clear" w:color="FFFFFF" w:fill="FFFFFF"/>
            <w:hideMark/>
          </w:tcPr>
          <w:p w14:paraId="763D4568" w14:textId="77777777" w:rsidR="00E23746" w:rsidRPr="00C70FA5" w:rsidRDefault="00E23746" w:rsidP="000B2F10">
            <w:pPr>
              <w:rPr>
                <w:sz w:val="18"/>
                <w:szCs w:val="20"/>
              </w:rPr>
            </w:pPr>
            <w:r w:rsidRPr="00C70FA5">
              <w:rPr>
                <w:sz w:val="18"/>
                <w:szCs w:val="20"/>
              </w:rPr>
              <w:t>C03A01 - Porcentaje de proyectos en los que el sector productivo aporta recursos para su desarrollo, con relación al número de proyectos desarrollados.</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279C8CFC" w14:textId="77777777" w:rsidR="00E23746" w:rsidRPr="00C70FA5" w:rsidRDefault="005377D7" w:rsidP="000B2F10">
            <w:pPr>
              <w:rPr>
                <w:sz w:val="18"/>
                <w:szCs w:val="20"/>
              </w:rPr>
            </w:pPr>
            <w:hyperlink r:id="rId60" w:history="1">
              <w:r w:rsidR="00E23746" w:rsidRPr="00C70FA5">
                <w:rPr>
                  <w:rStyle w:val="Hipervnculo"/>
                  <w:color w:val="595959"/>
                  <w:sz w:val="18"/>
                  <w:szCs w:val="20"/>
                </w:rPr>
                <w:t>http://transparenciaweb.qroo.gob.mx/portaliframe/detalleRubro.php?iddep=25&amp;idrubro=34</w:t>
              </w:r>
            </w:hyperlink>
            <w:r w:rsidR="00E23746" w:rsidRPr="00C70FA5">
              <w:rPr>
                <w:rStyle w:val="Hipervnculo"/>
                <w:color w:val="595959"/>
                <w:sz w:val="18"/>
                <w:szCs w:val="20"/>
              </w:rPr>
              <w:t>.</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1FAE2CAD" w14:textId="3DC3BB55" w:rsidR="00E23746" w:rsidRPr="00C70FA5" w:rsidRDefault="00E23746" w:rsidP="006C3F72">
            <w:pPr>
              <w:rPr>
                <w:sz w:val="18"/>
                <w:szCs w:val="20"/>
              </w:rPr>
            </w:pPr>
            <w:r w:rsidRPr="00C70FA5">
              <w:rPr>
                <w:sz w:val="18"/>
                <w:szCs w:val="20"/>
              </w:rPr>
              <w:t>Las instituciones de los sectores académico y productivo participen de manera vinculada en la presentación de propuestas en respuesta a las convocatorias emitidas para desarrollo de proyectos de investigación científica, tecnológica y de innovación.</w:t>
            </w:r>
          </w:p>
        </w:tc>
      </w:tr>
      <w:tr w:rsidR="00E23746" w:rsidRPr="00574DAC" w14:paraId="0101EAD5" w14:textId="77777777" w:rsidTr="009137BD">
        <w:trPr>
          <w:trHeight w:val="2412"/>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14:paraId="7FE41963" w14:textId="77777777" w:rsidR="00E23746" w:rsidRPr="00574DAC" w:rsidRDefault="00E23746" w:rsidP="000B2F10">
            <w:pPr>
              <w:jc w:val="center"/>
              <w:rPr>
                <w:b/>
                <w:bCs/>
                <w:sz w:val="20"/>
                <w:szCs w:val="20"/>
              </w:rPr>
            </w:pPr>
            <w:r w:rsidRPr="00574DAC">
              <w:rPr>
                <w:b/>
                <w:bCs/>
                <w:sz w:val="20"/>
                <w:szCs w:val="20"/>
              </w:rPr>
              <w:t>Componente</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6CAEEBC4" w14:textId="77777777" w:rsidR="00E23746" w:rsidRPr="00C70FA5" w:rsidRDefault="00E23746" w:rsidP="000B2F10">
            <w:pPr>
              <w:rPr>
                <w:sz w:val="18"/>
                <w:szCs w:val="20"/>
              </w:rPr>
            </w:pPr>
            <w:r w:rsidRPr="00C70FA5">
              <w:rPr>
                <w:sz w:val="18"/>
                <w:szCs w:val="20"/>
              </w:rPr>
              <w:t xml:space="preserve">Promover la Apropiación Social del Conocimiento. </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0D97A156" w14:textId="77777777" w:rsidR="00E23746" w:rsidRPr="00C70FA5" w:rsidRDefault="00E23746" w:rsidP="000B2F10">
            <w:pPr>
              <w:rPr>
                <w:sz w:val="18"/>
                <w:szCs w:val="20"/>
              </w:rPr>
            </w:pPr>
            <w:r w:rsidRPr="00C70FA5">
              <w:rPr>
                <w:sz w:val="18"/>
                <w:szCs w:val="20"/>
              </w:rPr>
              <w:t>C04 - Programas para fomentar la apropiación social del conocimiento, desarrollados.</w:t>
            </w:r>
          </w:p>
        </w:tc>
        <w:tc>
          <w:tcPr>
            <w:tcW w:w="2552" w:type="dxa"/>
            <w:tcBorders>
              <w:top w:val="single" w:sz="4" w:space="0" w:color="auto"/>
              <w:left w:val="single" w:sz="4" w:space="0" w:color="auto"/>
              <w:bottom w:val="single" w:sz="4" w:space="0" w:color="auto"/>
              <w:right w:val="single" w:sz="4" w:space="0" w:color="auto"/>
            </w:tcBorders>
            <w:shd w:val="clear" w:color="FFFFFF" w:fill="FFFFFF"/>
            <w:hideMark/>
          </w:tcPr>
          <w:p w14:paraId="7E6E36D2" w14:textId="672D4E9D" w:rsidR="00C70FA5" w:rsidRPr="00C70FA5" w:rsidRDefault="00E23746" w:rsidP="00A61F96">
            <w:pPr>
              <w:rPr>
                <w:sz w:val="18"/>
                <w:szCs w:val="20"/>
              </w:rPr>
            </w:pPr>
            <w:r w:rsidRPr="00C70FA5">
              <w:rPr>
                <w:sz w:val="18"/>
                <w:szCs w:val="20"/>
              </w:rPr>
              <w:t>C04 - Porcentaje de programas para el fomento de la apropiación social del conocimiento implementados con relación al número de programas determinados como factibles de desarrollar.</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653A0ED9" w14:textId="77777777" w:rsidR="00E23746" w:rsidRPr="00C70FA5" w:rsidRDefault="005377D7" w:rsidP="000B2F10">
            <w:pPr>
              <w:rPr>
                <w:sz w:val="18"/>
                <w:szCs w:val="20"/>
              </w:rPr>
            </w:pPr>
            <w:hyperlink r:id="rId61" w:history="1">
              <w:r w:rsidR="00E23746" w:rsidRPr="00C70FA5">
                <w:rPr>
                  <w:rStyle w:val="Hipervnculo"/>
                  <w:color w:val="595959"/>
                  <w:sz w:val="18"/>
                  <w:szCs w:val="20"/>
                </w:rPr>
                <w:t>http://transparenciaweb.qroo.gob.mx/portaliframe/detalleRubro.php?iddep=25&amp;idrubro=35</w:t>
              </w:r>
            </w:hyperlink>
            <w:r w:rsidR="00E23746" w:rsidRPr="00C70FA5">
              <w:rPr>
                <w:rStyle w:val="Hipervnculo"/>
                <w:color w:val="595959"/>
                <w:sz w:val="18"/>
                <w:szCs w:val="20"/>
              </w:rPr>
              <w:t>.</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7F587EB5" w14:textId="77777777" w:rsidR="00E23746" w:rsidRPr="00C70FA5" w:rsidRDefault="00E23746" w:rsidP="000B2F10">
            <w:pPr>
              <w:rPr>
                <w:sz w:val="18"/>
                <w:szCs w:val="20"/>
              </w:rPr>
            </w:pPr>
            <w:r w:rsidRPr="00C70FA5">
              <w:rPr>
                <w:sz w:val="18"/>
                <w:szCs w:val="20"/>
              </w:rPr>
              <w:t>La población en general participa en las actividades para la difusión y divulgación del conocimiento, que se organicen en el Estado.</w:t>
            </w:r>
          </w:p>
        </w:tc>
      </w:tr>
    </w:tbl>
    <w:p w14:paraId="1F7B3B2F" w14:textId="77777777" w:rsidR="00A61F96" w:rsidRDefault="00A61F96">
      <w:pPr>
        <w:spacing w:after="0" w:line="240" w:lineRule="auto"/>
        <w:jc w:val="left"/>
      </w:pPr>
      <w:r>
        <w:br w:type="page"/>
      </w:r>
    </w:p>
    <w:tbl>
      <w:tblPr>
        <w:tblW w:w="14029" w:type="dxa"/>
        <w:tblLayout w:type="fixed"/>
        <w:tblCellMar>
          <w:left w:w="70" w:type="dxa"/>
          <w:right w:w="70" w:type="dxa"/>
        </w:tblCellMar>
        <w:tblLook w:val="04A0" w:firstRow="1" w:lastRow="0" w:firstColumn="1" w:lastColumn="0" w:noHBand="0" w:noVBand="1"/>
      </w:tblPr>
      <w:tblGrid>
        <w:gridCol w:w="1413"/>
        <w:gridCol w:w="2693"/>
        <w:gridCol w:w="2693"/>
        <w:gridCol w:w="2552"/>
        <w:gridCol w:w="2693"/>
        <w:gridCol w:w="1985"/>
      </w:tblGrid>
      <w:tr w:rsidR="00E23746" w:rsidRPr="00574DAC" w14:paraId="41AA4509" w14:textId="77777777" w:rsidTr="009137BD">
        <w:trPr>
          <w:trHeight w:val="679"/>
        </w:trPr>
        <w:tc>
          <w:tcPr>
            <w:tcW w:w="1413"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419A9145"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lastRenderedPageBreak/>
              <w:t>NIVEL</w:t>
            </w:r>
          </w:p>
        </w:tc>
        <w:tc>
          <w:tcPr>
            <w:tcW w:w="2693" w:type="dxa"/>
            <w:tcBorders>
              <w:top w:val="single" w:sz="4" w:space="0" w:color="auto"/>
              <w:left w:val="nil"/>
              <w:bottom w:val="single" w:sz="4" w:space="0" w:color="auto"/>
              <w:right w:val="single" w:sz="4" w:space="0" w:color="auto"/>
            </w:tcBorders>
            <w:shd w:val="clear" w:color="000000" w:fill="BFBFBF"/>
            <w:vAlign w:val="center"/>
            <w:hideMark/>
          </w:tcPr>
          <w:p w14:paraId="61C3DE21"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ALINEACIÓN PED/PD</w:t>
            </w:r>
          </w:p>
        </w:tc>
        <w:tc>
          <w:tcPr>
            <w:tcW w:w="2693" w:type="dxa"/>
            <w:tcBorders>
              <w:top w:val="single" w:sz="4" w:space="0" w:color="auto"/>
              <w:left w:val="nil"/>
              <w:bottom w:val="single" w:sz="4" w:space="0" w:color="auto"/>
              <w:right w:val="single" w:sz="4" w:space="0" w:color="auto"/>
            </w:tcBorders>
            <w:shd w:val="clear" w:color="000000" w:fill="BFBFBF"/>
            <w:vAlign w:val="center"/>
            <w:hideMark/>
          </w:tcPr>
          <w:p w14:paraId="322D8A08"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OBJETIVO</w:t>
            </w:r>
          </w:p>
        </w:tc>
        <w:tc>
          <w:tcPr>
            <w:tcW w:w="2552" w:type="dxa"/>
            <w:tcBorders>
              <w:top w:val="single" w:sz="4" w:space="0" w:color="auto"/>
              <w:left w:val="nil"/>
              <w:bottom w:val="single" w:sz="4" w:space="0" w:color="auto"/>
              <w:right w:val="single" w:sz="4" w:space="0" w:color="auto"/>
            </w:tcBorders>
            <w:shd w:val="clear" w:color="000000" w:fill="BFBFBF"/>
            <w:vAlign w:val="center"/>
            <w:hideMark/>
          </w:tcPr>
          <w:p w14:paraId="181519EB"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INDICADOR</w:t>
            </w:r>
          </w:p>
        </w:tc>
        <w:tc>
          <w:tcPr>
            <w:tcW w:w="2693" w:type="dxa"/>
            <w:tcBorders>
              <w:top w:val="single" w:sz="4" w:space="0" w:color="auto"/>
              <w:left w:val="nil"/>
              <w:bottom w:val="single" w:sz="4" w:space="0" w:color="auto"/>
              <w:right w:val="single" w:sz="4" w:space="0" w:color="auto"/>
            </w:tcBorders>
            <w:shd w:val="clear" w:color="000000" w:fill="BFBFBF"/>
            <w:vAlign w:val="center"/>
            <w:hideMark/>
          </w:tcPr>
          <w:p w14:paraId="7C900B02"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MEDIOS DE VERIFICACIÓN</w:t>
            </w:r>
          </w:p>
        </w:tc>
        <w:tc>
          <w:tcPr>
            <w:tcW w:w="1985" w:type="dxa"/>
            <w:tcBorders>
              <w:top w:val="single" w:sz="4" w:space="0" w:color="auto"/>
              <w:left w:val="nil"/>
              <w:bottom w:val="single" w:sz="4" w:space="0" w:color="auto"/>
              <w:right w:val="single" w:sz="4" w:space="0" w:color="auto"/>
            </w:tcBorders>
            <w:shd w:val="clear" w:color="000000" w:fill="BFBFBF"/>
            <w:vAlign w:val="center"/>
            <w:hideMark/>
          </w:tcPr>
          <w:p w14:paraId="3D03463C"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SUPUESTO</w:t>
            </w:r>
          </w:p>
        </w:tc>
      </w:tr>
      <w:tr w:rsidR="00E23746" w:rsidRPr="00574DAC" w14:paraId="5C67C964" w14:textId="77777777" w:rsidTr="009137BD">
        <w:trPr>
          <w:trHeight w:val="1649"/>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14:paraId="3C2750EC" w14:textId="77777777" w:rsidR="00E23746" w:rsidRPr="00574DAC" w:rsidRDefault="00E23746" w:rsidP="000B2F10">
            <w:pPr>
              <w:jc w:val="center"/>
              <w:rPr>
                <w:b/>
                <w:bCs/>
                <w:sz w:val="20"/>
                <w:szCs w:val="20"/>
              </w:rPr>
            </w:pPr>
            <w:r w:rsidRPr="00574DAC">
              <w:rPr>
                <w:b/>
                <w:bCs/>
                <w:sz w:val="20"/>
                <w:szCs w:val="20"/>
              </w:rPr>
              <w:t>Actividad</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4B5841BB" w14:textId="77777777" w:rsidR="00E23746" w:rsidRPr="00574DAC" w:rsidRDefault="00E23746" w:rsidP="000B2F10">
            <w:pPr>
              <w:rPr>
                <w:sz w:val="20"/>
                <w:szCs w:val="20"/>
              </w:rPr>
            </w:pPr>
            <w:r w:rsidRPr="00574DAC">
              <w:rPr>
                <w:sz w:val="20"/>
                <w:szCs w:val="20"/>
              </w:rPr>
              <w:t xml:space="preserve">Incentivar la participación de la sociedad en su conjunto, en la difusión y divulgación del conocimiento. </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13DE6E2A" w14:textId="77777777" w:rsidR="00E23746" w:rsidRPr="00574DAC" w:rsidRDefault="00E23746" w:rsidP="000B2F10">
            <w:pPr>
              <w:rPr>
                <w:sz w:val="20"/>
                <w:szCs w:val="20"/>
              </w:rPr>
            </w:pPr>
            <w:r w:rsidRPr="00574DAC">
              <w:rPr>
                <w:sz w:val="20"/>
                <w:szCs w:val="20"/>
              </w:rPr>
              <w:t>C04.A01 - Difusión y divulgación del conocimiento en todo el Estado a través de la Red Estatal de Planetarios</w:t>
            </w:r>
            <w:r>
              <w:rPr>
                <w:sz w:val="20"/>
                <w:szCs w:val="20"/>
              </w:rPr>
              <w:t>.</w:t>
            </w:r>
          </w:p>
        </w:tc>
        <w:tc>
          <w:tcPr>
            <w:tcW w:w="2552" w:type="dxa"/>
            <w:tcBorders>
              <w:top w:val="single" w:sz="4" w:space="0" w:color="auto"/>
              <w:left w:val="single" w:sz="4" w:space="0" w:color="auto"/>
              <w:bottom w:val="single" w:sz="4" w:space="0" w:color="auto"/>
              <w:right w:val="single" w:sz="4" w:space="0" w:color="auto"/>
            </w:tcBorders>
            <w:shd w:val="clear" w:color="FFFFFF" w:fill="FFFFFF"/>
            <w:hideMark/>
          </w:tcPr>
          <w:p w14:paraId="573502D2" w14:textId="77777777" w:rsidR="00E23746" w:rsidRPr="00574DAC" w:rsidRDefault="00E23746" w:rsidP="000B2F10">
            <w:pPr>
              <w:rPr>
                <w:sz w:val="20"/>
                <w:szCs w:val="20"/>
              </w:rPr>
            </w:pPr>
            <w:r w:rsidRPr="00574DAC">
              <w:rPr>
                <w:sz w:val="20"/>
                <w:szCs w:val="20"/>
              </w:rPr>
              <w:t>C</w:t>
            </w:r>
            <w:r>
              <w:rPr>
                <w:sz w:val="20"/>
                <w:szCs w:val="20"/>
              </w:rPr>
              <w:t>04A01</w:t>
            </w:r>
            <w:r w:rsidRPr="00574DAC">
              <w:rPr>
                <w:sz w:val="20"/>
                <w:szCs w:val="20"/>
              </w:rPr>
              <w:t xml:space="preserve"> - Porcentaje de población de 5 años y más que participa en actividades de difusión y divulgación del conocimiento</w:t>
            </w:r>
            <w:r>
              <w:rPr>
                <w:sz w:val="20"/>
                <w:szCs w:val="20"/>
              </w:rPr>
              <w:t>.</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27BA09A8" w14:textId="77777777" w:rsidR="00E23746" w:rsidRPr="00574DAC" w:rsidRDefault="005377D7" w:rsidP="000B2F10">
            <w:pPr>
              <w:rPr>
                <w:sz w:val="20"/>
                <w:szCs w:val="20"/>
              </w:rPr>
            </w:pPr>
            <w:hyperlink r:id="rId62" w:history="1">
              <w:r w:rsidR="00E23746" w:rsidRPr="00574DAC">
                <w:rPr>
                  <w:rStyle w:val="Hipervnculo"/>
                  <w:color w:val="595959"/>
                  <w:sz w:val="20"/>
                  <w:szCs w:val="20"/>
                </w:rPr>
                <w:t>http://transparenciaweb.qroo.gob.mx/portaliframe/detalleRubro.php?iddep=25&amp;idrubro=36</w:t>
              </w:r>
            </w:hyperlink>
            <w:r w:rsidR="00E23746">
              <w:rPr>
                <w:rStyle w:val="Hipervnculo"/>
                <w:color w:val="595959"/>
                <w:sz w:val="20"/>
                <w:szCs w:val="20"/>
              </w:rPr>
              <w:t>.</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271143EE" w14:textId="77777777" w:rsidR="00E23746" w:rsidRPr="00574DAC" w:rsidRDefault="00E23746" w:rsidP="000B2F10">
            <w:pPr>
              <w:rPr>
                <w:sz w:val="20"/>
                <w:szCs w:val="20"/>
              </w:rPr>
            </w:pPr>
            <w:r w:rsidRPr="00574DAC">
              <w:rPr>
                <w:sz w:val="20"/>
                <w:szCs w:val="20"/>
              </w:rPr>
              <w:t>La población asiste y participa en las actividades organizadas por los nodos de la Red Estatal de Planetarios.</w:t>
            </w:r>
          </w:p>
        </w:tc>
      </w:tr>
    </w:tbl>
    <w:p w14:paraId="14A5E98E" w14:textId="77777777" w:rsidR="00E23746" w:rsidRDefault="00E23746" w:rsidP="00E23746">
      <w:pPr>
        <w:rPr>
          <w:rFonts w:eastAsia="Calibri" w:cs="Arial"/>
          <w:bCs/>
          <w:color w:val="595959" w:themeColor="text1" w:themeTint="A6"/>
          <w:sz w:val="18"/>
          <w:szCs w:val="20"/>
        </w:rPr>
      </w:pPr>
      <w:r w:rsidRPr="0093279A">
        <w:rPr>
          <w:rFonts w:eastAsia="Calibri" w:cs="Arial"/>
          <w:bCs/>
          <w:color w:val="595959" w:themeColor="text1" w:themeTint="A6"/>
          <w:sz w:val="18"/>
          <w:szCs w:val="20"/>
        </w:rPr>
        <w:t>El anexo aquí presentado es perfectible, y se encuentra susceptible de modificaciones programáticas toda vez que así se le indique por observaciones de auditorías, evaluaciones al desempeño y revisiones de la Secretaría de Finanzas y Planeación antes y durante el ejercicio fiscal del que se trate, así como también, cuando las condiciones del Ente Público responsable de dicha información programática requiera hacer modificaciones a sus necesidades institucionales, atendiendo a lo establecido en los Lineamientos para la Creación, Modificación y Cancelación de Programas Presupuestarios y para la Modificación de Metas del Gobierno del Estado de Quintana Roo.</w:t>
      </w:r>
    </w:p>
    <w:p w14:paraId="326C10A7" w14:textId="77777777" w:rsidR="00E23746" w:rsidRDefault="00E23746" w:rsidP="00E23746">
      <w:pPr>
        <w:rPr>
          <w:lang w:val="es-MX" w:eastAsia="en-US"/>
        </w:rPr>
      </w:pPr>
      <w:r>
        <w:rPr>
          <w:lang w:val="es-MX" w:eastAsia="en-US"/>
        </w:rPr>
        <w:br w:type="page"/>
      </w:r>
    </w:p>
    <w:tbl>
      <w:tblPr>
        <w:tblW w:w="14029" w:type="dxa"/>
        <w:tblLayout w:type="fixed"/>
        <w:tblCellMar>
          <w:left w:w="70" w:type="dxa"/>
          <w:right w:w="70" w:type="dxa"/>
        </w:tblCellMar>
        <w:tblLook w:val="04A0" w:firstRow="1" w:lastRow="0" w:firstColumn="1" w:lastColumn="0" w:noHBand="0" w:noVBand="1"/>
      </w:tblPr>
      <w:tblGrid>
        <w:gridCol w:w="1271"/>
        <w:gridCol w:w="2835"/>
        <w:gridCol w:w="2835"/>
        <w:gridCol w:w="2268"/>
        <w:gridCol w:w="2693"/>
        <w:gridCol w:w="2127"/>
      </w:tblGrid>
      <w:tr w:rsidR="00E23746" w:rsidRPr="00574DAC" w14:paraId="6CB58835" w14:textId="77777777" w:rsidTr="000B2F10">
        <w:trPr>
          <w:trHeight w:val="720"/>
        </w:trPr>
        <w:tc>
          <w:tcPr>
            <w:tcW w:w="4106" w:type="dxa"/>
            <w:gridSpan w:val="2"/>
            <w:tcBorders>
              <w:top w:val="single" w:sz="4" w:space="0" w:color="auto"/>
              <w:left w:val="single" w:sz="4" w:space="0" w:color="auto"/>
              <w:bottom w:val="single" w:sz="4" w:space="0" w:color="auto"/>
              <w:right w:val="single" w:sz="4" w:space="0" w:color="000000"/>
            </w:tcBorders>
            <w:shd w:val="clear" w:color="000000" w:fill="BFBFBF"/>
            <w:vAlign w:val="center"/>
            <w:hideMark/>
          </w:tcPr>
          <w:p w14:paraId="76C79DEC" w14:textId="77777777" w:rsidR="00E23746" w:rsidRPr="00574DAC" w:rsidRDefault="00E23746" w:rsidP="000B2F10">
            <w:pPr>
              <w:spacing w:after="0" w:line="240" w:lineRule="auto"/>
              <w:jc w:val="center"/>
              <w:rPr>
                <w:rFonts w:eastAsia="Times New Roman" w:cs="Arial"/>
                <w:b/>
                <w:bCs/>
                <w:sz w:val="20"/>
                <w:szCs w:val="20"/>
                <w:lang w:val="es-MX" w:eastAsia="es-MX"/>
              </w:rPr>
            </w:pPr>
            <w:r>
              <w:rPr>
                <w:rFonts w:eastAsia="Times New Roman" w:cs="Arial"/>
                <w:b/>
                <w:bCs/>
                <w:sz w:val="20"/>
                <w:szCs w:val="20"/>
                <w:lang w:val="es-MX" w:eastAsia="es-MX"/>
              </w:rPr>
              <w:lastRenderedPageBreak/>
              <w:t>P</w:t>
            </w:r>
            <w:r w:rsidRPr="00574DAC">
              <w:rPr>
                <w:rFonts w:eastAsia="Times New Roman" w:cs="Arial"/>
                <w:b/>
                <w:bCs/>
                <w:sz w:val="20"/>
                <w:szCs w:val="20"/>
                <w:lang w:val="es-MX" w:eastAsia="es-MX"/>
              </w:rPr>
              <w:t>ROGRAMA PRESUPUESTARIO:</w:t>
            </w:r>
          </w:p>
        </w:tc>
        <w:tc>
          <w:tcPr>
            <w:tcW w:w="9923" w:type="dxa"/>
            <w:gridSpan w:val="4"/>
            <w:tcBorders>
              <w:top w:val="single" w:sz="4" w:space="0" w:color="auto"/>
              <w:left w:val="nil"/>
              <w:bottom w:val="single" w:sz="4" w:space="0" w:color="auto"/>
              <w:right w:val="single" w:sz="4" w:space="0" w:color="auto"/>
            </w:tcBorders>
            <w:shd w:val="clear" w:color="auto" w:fill="auto"/>
            <w:vAlign w:val="center"/>
            <w:hideMark/>
          </w:tcPr>
          <w:p w14:paraId="63025CF8" w14:textId="77777777" w:rsidR="00E23746" w:rsidRPr="00574DAC" w:rsidRDefault="00E23746" w:rsidP="000B2F10">
            <w:pPr>
              <w:spacing w:after="0" w:line="240" w:lineRule="auto"/>
              <w:jc w:val="left"/>
              <w:rPr>
                <w:rFonts w:eastAsia="Times New Roman" w:cs="Arial"/>
                <w:sz w:val="20"/>
                <w:szCs w:val="20"/>
                <w:lang w:val="es-MX" w:eastAsia="es-MX"/>
              </w:rPr>
            </w:pPr>
            <w:r w:rsidRPr="006A58EE">
              <w:rPr>
                <w:rFonts w:eastAsia="Times New Roman" w:cs="Arial"/>
                <w:sz w:val="20"/>
                <w:szCs w:val="20"/>
                <w:lang w:val="es-MX" w:eastAsia="es-MX"/>
              </w:rPr>
              <w:t>Capacitación y Certificación</w:t>
            </w:r>
            <w:r>
              <w:rPr>
                <w:rFonts w:eastAsia="Times New Roman" w:cs="Arial"/>
                <w:sz w:val="20"/>
                <w:szCs w:val="20"/>
                <w:lang w:val="es-MX" w:eastAsia="es-MX"/>
              </w:rPr>
              <w:t xml:space="preserve"> </w:t>
            </w:r>
            <w:r w:rsidRPr="006A58EE">
              <w:rPr>
                <w:rFonts w:eastAsia="Times New Roman" w:cs="Arial"/>
                <w:sz w:val="20"/>
                <w:szCs w:val="20"/>
                <w:lang w:val="es-MX" w:eastAsia="es-MX"/>
              </w:rPr>
              <w:t xml:space="preserve"> para y en el Trabajo</w:t>
            </w:r>
          </w:p>
        </w:tc>
      </w:tr>
      <w:tr w:rsidR="00E23746" w:rsidRPr="00574DAC" w14:paraId="57C364B4" w14:textId="77777777" w:rsidTr="000B2F10">
        <w:trPr>
          <w:trHeight w:val="552"/>
        </w:trPr>
        <w:tc>
          <w:tcPr>
            <w:tcW w:w="4106" w:type="dxa"/>
            <w:gridSpan w:val="2"/>
            <w:tcBorders>
              <w:top w:val="single" w:sz="4" w:space="0" w:color="auto"/>
              <w:left w:val="single" w:sz="4" w:space="0" w:color="auto"/>
              <w:bottom w:val="single" w:sz="4" w:space="0" w:color="auto"/>
              <w:right w:val="single" w:sz="4" w:space="0" w:color="000000"/>
            </w:tcBorders>
            <w:shd w:val="clear" w:color="000000" w:fill="BFBFBF"/>
            <w:vAlign w:val="center"/>
            <w:hideMark/>
          </w:tcPr>
          <w:p w14:paraId="0B374B99"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INSTITUCIÓN:</w:t>
            </w:r>
          </w:p>
        </w:tc>
        <w:tc>
          <w:tcPr>
            <w:tcW w:w="9923" w:type="dxa"/>
            <w:gridSpan w:val="4"/>
            <w:tcBorders>
              <w:top w:val="single" w:sz="4" w:space="0" w:color="auto"/>
              <w:left w:val="nil"/>
              <w:bottom w:val="single" w:sz="4" w:space="0" w:color="auto"/>
              <w:right w:val="single" w:sz="4" w:space="0" w:color="auto"/>
            </w:tcBorders>
            <w:shd w:val="clear" w:color="auto" w:fill="auto"/>
            <w:vAlign w:val="center"/>
            <w:hideMark/>
          </w:tcPr>
          <w:p w14:paraId="635BE740" w14:textId="77777777" w:rsidR="00E23746" w:rsidRPr="00574DAC" w:rsidRDefault="00E23746" w:rsidP="000B2F10">
            <w:pPr>
              <w:spacing w:after="0" w:line="240" w:lineRule="auto"/>
              <w:jc w:val="left"/>
              <w:rPr>
                <w:rFonts w:eastAsia="Times New Roman" w:cs="Arial"/>
                <w:sz w:val="20"/>
                <w:szCs w:val="20"/>
                <w:lang w:val="es-MX" w:eastAsia="es-MX"/>
              </w:rPr>
            </w:pPr>
            <w:r w:rsidRPr="006A58EE">
              <w:rPr>
                <w:rFonts w:eastAsia="Times New Roman" w:cs="Arial"/>
                <w:sz w:val="20"/>
                <w:szCs w:val="20"/>
                <w:lang w:val="es-MX" w:eastAsia="es-MX"/>
              </w:rPr>
              <w:t>1306 Instituto de Capacitación para el Trabajo del Estado de Quintana Roo</w:t>
            </w:r>
          </w:p>
        </w:tc>
      </w:tr>
      <w:tr w:rsidR="00E23746" w:rsidRPr="00574DAC" w14:paraId="48EC8273" w14:textId="77777777" w:rsidTr="000B2F10">
        <w:trPr>
          <w:trHeight w:val="282"/>
        </w:trPr>
        <w:tc>
          <w:tcPr>
            <w:tcW w:w="1271" w:type="dxa"/>
            <w:tcBorders>
              <w:top w:val="nil"/>
              <w:left w:val="nil"/>
              <w:bottom w:val="nil"/>
              <w:right w:val="nil"/>
            </w:tcBorders>
            <w:shd w:val="clear" w:color="auto" w:fill="auto"/>
            <w:hideMark/>
          </w:tcPr>
          <w:p w14:paraId="7DFB4127" w14:textId="77777777" w:rsidR="00E23746" w:rsidRPr="00574DAC" w:rsidRDefault="00E23746" w:rsidP="000B2F10">
            <w:pPr>
              <w:spacing w:after="0" w:line="240" w:lineRule="auto"/>
              <w:jc w:val="left"/>
              <w:rPr>
                <w:rFonts w:eastAsia="Times New Roman" w:cs="Arial"/>
                <w:sz w:val="20"/>
                <w:szCs w:val="20"/>
                <w:lang w:val="es-MX" w:eastAsia="es-MX"/>
              </w:rPr>
            </w:pPr>
          </w:p>
        </w:tc>
        <w:tc>
          <w:tcPr>
            <w:tcW w:w="2835" w:type="dxa"/>
            <w:tcBorders>
              <w:top w:val="nil"/>
              <w:left w:val="nil"/>
              <w:bottom w:val="nil"/>
              <w:right w:val="nil"/>
            </w:tcBorders>
            <w:shd w:val="clear" w:color="auto" w:fill="auto"/>
            <w:hideMark/>
          </w:tcPr>
          <w:p w14:paraId="2AFF675C" w14:textId="77777777" w:rsidR="00E23746" w:rsidRPr="00574DAC" w:rsidRDefault="00E23746" w:rsidP="000B2F10">
            <w:pPr>
              <w:spacing w:after="0" w:line="240" w:lineRule="auto"/>
              <w:jc w:val="left"/>
              <w:rPr>
                <w:rFonts w:ascii="Times New Roman" w:eastAsia="Times New Roman" w:hAnsi="Times New Roman"/>
                <w:sz w:val="20"/>
                <w:szCs w:val="20"/>
                <w:lang w:val="es-MX" w:eastAsia="es-MX"/>
              </w:rPr>
            </w:pPr>
          </w:p>
        </w:tc>
        <w:tc>
          <w:tcPr>
            <w:tcW w:w="2835" w:type="dxa"/>
            <w:tcBorders>
              <w:top w:val="nil"/>
              <w:left w:val="nil"/>
              <w:bottom w:val="nil"/>
              <w:right w:val="nil"/>
            </w:tcBorders>
            <w:shd w:val="clear" w:color="auto" w:fill="auto"/>
            <w:hideMark/>
          </w:tcPr>
          <w:p w14:paraId="232D075F" w14:textId="77777777" w:rsidR="00E23746" w:rsidRPr="00574DAC" w:rsidRDefault="00E23746" w:rsidP="000B2F10">
            <w:pPr>
              <w:spacing w:after="0" w:line="240" w:lineRule="auto"/>
              <w:jc w:val="left"/>
              <w:rPr>
                <w:rFonts w:ascii="Times New Roman" w:eastAsia="Times New Roman" w:hAnsi="Times New Roman"/>
                <w:sz w:val="20"/>
                <w:szCs w:val="20"/>
                <w:lang w:val="es-MX" w:eastAsia="es-MX"/>
              </w:rPr>
            </w:pPr>
          </w:p>
        </w:tc>
        <w:tc>
          <w:tcPr>
            <w:tcW w:w="2268" w:type="dxa"/>
            <w:tcBorders>
              <w:top w:val="nil"/>
              <w:left w:val="nil"/>
              <w:bottom w:val="nil"/>
              <w:right w:val="nil"/>
            </w:tcBorders>
            <w:shd w:val="clear" w:color="auto" w:fill="auto"/>
            <w:hideMark/>
          </w:tcPr>
          <w:p w14:paraId="11807DEA" w14:textId="77777777" w:rsidR="00E23746" w:rsidRPr="00574DAC" w:rsidRDefault="00E23746" w:rsidP="000B2F10">
            <w:pPr>
              <w:spacing w:after="0" w:line="240" w:lineRule="auto"/>
              <w:jc w:val="left"/>
              <w:rPr>
                <w:rFonts w:ascii="Times New Roman" w:eastAsia="Times New Roman" w:hAnsi="Times New Roman"/>
                <w:sz w:val="20"/>
                <w:szCs w:val="20"/>
                <w:lang w:val="es-MX" w:eastAsia="es-MX"/>
              </w:rPr>
            </w:pPr>
          </w:p>
        </w:tc>
        <w:tc>
          <w:tcPr>
            <w:tcW w:w="2693" w:type="dxa"/>
            <w:tcBorders>
              <w:top w:val="nil"/>
              <w:left w:val="nil"/>
              <w:bottom w:val="nil"/>
              <w:right w:val="nil"/>
            </w:tcBorders>
            <w:shd w:val="clear" w:color="auto" w:fill="auto"/>
            <w:hideMark/>
          </w:tcPr>
          <w:p w14:paraId="096B288B" w14:textId="77777777" w:rsidR="00E23746" w:rsidRPr="00574DAC" w:rsidRDefault="00E23746" w:rsidP="000B2F10">
            <w:pPr>
              <w:spacing w:after="0" w:line="240" w:lineRule="auto"/>
              <w:jc w:val="left"/>
              <w:rPr>
                <w:rFonts w:ascii="Times New Roman" w:eastAsia="Times New Roman" w:hAnsi="Times New Roman"/>
                <w:sz w:val="20"/>
                <w:szCs w:val="20"/>
                <w:lang w:val="es-MX" w:eastAsia="es-MX"/>
              </w:rPr>
            </w:pPr>
          </w:p>
        </w:tc>
        <w:tc>
          <w:tcPr>
            <w:tcW w:w="2127" w:type="dxa"/>
            <w:tcBorders>
              <w:top w:val="nil"/>
              <w:left w:val="nil"/>
              <w:bottom w:val="nil"/>
              <w:right w:val="nil"/>
            </w:tcBorders>
            <w:shd w:val="clear" w:color="auto" w:fill="auto"/>
            <w:hideMark/>
          </w:tcPr>
          <w:p w14:paraId="6EFF0840" w14:textId="77777777" w:rsidR="00E23746" w:rsidRPr="00574DAC" w:rsidRDefault="00E23746" w:rsidP="000B2F10">
            <w:pPr>
              <w:spacing w:after="0" w:line="240" w:lineRule="auto"/>
              <w:jc w:val="left"/>
              <w:rPr>
                <w:rFonts w:ascii="Times New Roman" w:eastAsia="Times New Roman" w:hAnsi="Times New Roman"/>
                <w:sz w:val="20"/>
                <w:szCs w:val="20"/>
                <w:lang w:val="es-MX" w:eastAsia="es-MX"/>
              </w:rPr>
            </w:pPr>
          </w:p>
        </w:tc>
      </w:tr>
      <w:tr w:rsidR="00E23746" w:rsidRPr="00574DAC" w14:paraId="482CAE73" w14:textId="77777777" w:rsidTr="006B434D">
        <w:trPr>
          <w:trHeight w:val="375"/>
        </w:trPr>
        <w:tc>
          <w:tcPr>
            <w:tcW w:w="14029" w:type="dxa"/>
            <w:gridSpan w:val="6"/>
            <w:tcBorders>
              <w:top w:val="single" w:sz="4" w:space="0" w:color="auto"/>
              <w:left w:val="single" w:sz="4" w:space="0" w:color="auto"/>
              <w:bottom w:val="single" w:sz="4" w:space="0" w:color="auto"/>
              <w:right w:val="single" w:sz="4" w:space="0" w:color="000000"/>
            </w:tcBorders>
            <w:shd w:val="clear" w:color="000000" w:fill="BFBFBF"/>
            <w:vAlign w:val="center"/>
            <w:hideMark/>
          </w:tcPr>
          <w:p w14:paraId="345551B7"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MATRIZ DE INDICADORES PARA RESULTADOS (MIR)</w:t>
            </w:r>
          </w:p>
        </w:tc>
      </w:tr>
      <w:tr w:rsidR="00E23746" w:rsidRPr="00574DAC" w14:paraId="29831CEA" w14:textId="77777777" w:rsidTr="006B434D">
        <w:trPr>
          <w:trHeight w:val="679"/>
        </w:trPr>
        <w:tc>
          <w:tcPr>
            <w:tcW w:w="1271"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752D4ADD"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NIVEL</w:t>
            </w:r>
          </w:p>
        </w:tc>
        <w:tc>
          <w:tcPr>
            <w:tcW w:w="2835" w:type="dxa"/>
            <w:tcBorders>
              <w:top w:val="single" w:sz="4" w:space="0" w:color="auto"/>
              <w:left w:val="nil"/>
              <w:bottom w:val="single" w:sz="4" w:space="0" w:color="auto"/>
              <w:right w:val="single" w:sz="4" w:space="0" w:color="auto"/>
            </w:tcBorders>
            <w:shd w:val="clear" w:color="000000" w:fill="BFBFBF"/>
            <w:vAlign w:val="center"/>
            <w:hideMark/>
          </w:tcPr>
          <w:p w14:paraId="659DFF5D"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ALINEACIÓN PED/PD</w:t>
            </w:r>
          </w:p>
        </w:tc>
        <w:tc>
          <w:tcPr>
            <w:tcW w:w="2835" w:type="dxa"/>
            <w:tcBorders>
              <w:top w:val="single" w:sz="4" w:space="0" w:color="auto"/>
              <w:left w:val="nil"/>
              <w:bottom w:val="single" w:sz="4" w:space="0" w:color="auto"/>
              <w:right w:val="single" w:sz="4" w:space="0" w:color="auto"/>
            </w:tcBorders>
            <w:shd w:val="clear" w:color="000000" w:fill="BFBFBF"/>
            <w:vAlign w:val="center"/>
            <w:hideMark/>
          </w:tcPr>
          <w:p w14:paraId="795A6F05"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OBJETIVO</w:t>
            </w:r>
          </w:p>
        </w:tc>
        <w:tc>
          <w:tcPr>
            <w:tcW w:w="2268" w:type="dxa"/>
            <w:tcBorders>
              <w:top w:val="single" w:sz="4" w:space="0" w:color="auto"/>
              <w:left w:val="nil"/>
              <w:bottom w:val="single" w:sz="4" w:space="0" w:color="auto"/>
              <w:right w:val="single" w:sz="4" w:space="0" w:color="auto"/>
            </w:tcBorders>
            <w:shd w:val="clear" w:color="000000" w:fill="BFBFBF"/>
            <w:vAlign w:val="center"/>
            <w:hideMark/>
          </w:tcPr>
          <w:p w14:paraId="1D6203A9"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INDICADOR</w:t>
            </w:r>
          </w:p>
        </w:tc>
        <w:tc>
          <w:tcPr>
            <w:tcW w:w="2693" w:type="dxa"/>
            <w:tcBorders>
              <w:top w:val="single" w:sz="4" w:space="0" w:color="auto"/>
              <w:left w:val="nil"/>
              <w:bottom w:val="single" w:sz="4" w:space="0" w:color="auto"/>
              <w:right w:val="single" w:sz="4" w:space="0" w:color="auto"/>
            </w:tcBorders>
            <w:shd w:val="clear" w:color="000000" w:fill="BFBFBF"/>
            <w:vAlign w:val="center"/>
            <w:hideMark/>
          </w:tcPr>
          <w:p w14:paraId="54333326"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MEDIOS DE VERIFICACIÓN</w:t>
            </w:r>
          </w:p>
        </w:tc>
        <w:tc>
          <w:tcPr>
            <w:tcW w:w="2127" w:type="dxa"/>
            <w:tcBorders>
              <w:top w:val="single" w:sz="4" w:space="0" w:color="auto"/>
              <w:left w:val="nil"/>
              <w:bottom w:val="single" w:sz="4" w:space="0" w:color="auto"/>
              <w:right w:val="single" w:sz="4" w:space="0" w:color="auto"/>
            </w:tcBorders>
            <w:shd w:val="clear" w:color="000000" w:fill="BFBFBF"/>
            <w:vAlign w:val="center"/>
            <w:hideMark/>
          </w:tcPr>
          <w:p w14:paraId="4B3E20F4"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SUPUESTO</w:t>
            </w:r>
          </w:p>
        </w:tc>
      </w:tr>
      <w:tr w:rsidR="00E23746" w:rsidRPr="00574DAC" w14:paraId="437C29A7" w14:textId="77777777" w:rsidTr="006B434D">
        <w:trPr>
          <w:trHeight w:val="267"/>
        </w:trPr>
        <w:tc>
          <w:tcPr>
            <w:tcW w:w="1271" w:type="dxa"/>
            <w:tcBorders>
              <w:top w:val="single" w:sz="4" w:space="0" w:color="auto"/>
              <w:left w:val="single" w:sz="4" w:space="0" w:color="auto"/>
              <w:bottom w:val="single" w:sz="4" w:space="0" w:color="auto"/>
              <w:right w:val="single" w:sz="4" w:space="0" w:color="auto"/>
            </w:tcBorders>
            <w:shd w:val="clear" w:color="auto" w:fill="auto"/>
            <w:hideMark/>
          </w:tcPr>
          <w:p w14:paraId="25F9028B" w14:textId="77777777" w:rsidR="00E23746" w:rsidRDefault="00E23746" w:rsidP="000B2F10">
            <w:pPr>
              <w:spacing w:after="0" w:line="240" w:lineRule="auto"/>
              <w:jc w:val="center"/>
              <w:rPr>
                <w:rFonts w:cs="Arial"/>
                <w:b/>
                <w:bCs/>
                <w:sz w:val="20"/>
                <w:szCs w:val="20"/>
              </w:rPr>
            </w:pPr>
            <w:r>
              <w:rPr>
                <w:rFonts w:cs="Arial"/>
                <w:b/>
                <w:bCs/>
                <w:sz w:val="20"/>
                <w:szCs w:val="20"/>
              </w:rPr>
              <w:t>Fin</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CE3578D" w14:textId="77777777" w:rsidR="00E23746" w:rsidRDefault="00E23746" w:rsidP="000B2F10">
            <w:pPr>
              <w:rPr>
                <w:rFonts w:cs="Arial"/>
                <w:sz w:val="20"/>
                <w:szCs w:val="20"/>
              </w:rPr>
            </w:pPr>
            <w:r>
              <w:rPr>
                <w:rFonts w:cs="Arial"/>
                <w:sz w:val="20"/>
                <w:szCs w:val="20"/>
              </w:rPr>
              <w:t>Garantizar el acceso y permanencia a una educación inclusiva y de calidad en todos los niveles educativos que promueva en los educandos aprendizajes para la vida.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8A299E3" w14:textId="77777777" w:rsidR="00E23746" w:rsidRDefault="00E23746" w:rsidP="000B2F10">
            <w:pPr>
              <w:rPr>
                <w:rFonts w:cs="Arial"/>
                <w:sz w:val="20"/>
                <w:szCs w:val="20"/>
              </w:rPr>
            </w:pPr>
            <w:r>
              <w:rPr>
                <w:rFonts w:cs="Arial"/>
                <w:sz w:val="20"/>
                <w:szCs w:val="20"/>
              </w:rPr>
              <w:t>F - Contribuir a garantizar el acceso y permanencia a una educación inclusiva y de calidad en todos los niveles educativos que promueva en los educandos aprendizajes para la vida mediante estrategias de atención a la demanda y permanencia en todos los niveles educativos.</w:t>
            </w:r>
          </w:p>
        </w:tc>
        <w:tc>
          <w:tcPr>
            <w:tcW w:w="2268" w:type="dxa"/>
            <w:tcBorders>
              <w:top w:val="single" w:sz="4" w:space="0" w:color="auto"/>
              <w:left w:val="single" w:sz="4" w:space="0" w:color="auto"/>
              <w:bottom w:val="single" w:sz="4" w:space="0" w:color="auto"/>
              <w:right w:val="single" w:sz="4" w:space="0" w:color="auto"/>
            </w:tcBorders>
            <w:shd w:val="clear" w:color="FFFFFF" w:fill="FFFFFF"/>
            <w:hideMark/>
          </w:tcPr>
          <w:p w14:paraId="30F64EE4" w14:textId="77777777" w:rsidR="00E23746" w:rsidRDefault="00E23746" w:rsidP="000B2F10">
            <w:pPr>
              <w:rPr>
                <w:rFonts w:cs="Arial"/>
                <w:sz w:val="20"/>
                <w:szCs w:val="20"/>
              </w:rPr>
            </w:pPr>
            <w:r>
              <w:rPr>
                <w:rFonts w:cs="Arial"/>
                <w:sz w:val="20"/>
                <w:szCs w:val="20"/>
              </w:rPr>
              <w:t>Tasa de cobertura estatal de educación media superior.</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743D47DB" w14:textId="77777777" w:rsidR="00E23746" w:rsidRDefault="00E23746" w:rsidP="000B2F10">
            <w:pPr>
              <w:rPr>
                <w:rFonts w:cs="Arial"/>
                <w:sz w:val="20"/>
                <w:szCs w:val="20"/>
              </w:rPr>
            </w:pPr>
            <w:r w:rsidRPr="00846E84">
              <w:rPr>
                <w:rFonts w:eastAsia="Times New Roman" w:cs="Arial"/>
                <w:sz w:val="20"/>
                <w:szCs w:val="20"/>
                <w:lang w:val="es-MX" w:eastAsia="es-MX"/>
              </w:rPr>
              <w:t>Estadísticas continúas del formato 911, matrícula de inicio de ciclo escolar, SEQ. Proyecciones de población por edad desplegada, entidad federativa (Quintana Roo) 1970-2050, CONAPO, https://qroo.gob.mx/seq/medios-de-verificacion-de-la-planeacion-anual</w:t>
            </w:r>
            <w:r>
              <w:rPr>
                <w:rFonts w:eastAsia="Times New Roman" w:cs="Arial"/>
                <w:sz w:val="20"/>
                <w:szCs w:val="20"/>
                <w:lang w:val="es-MX" w:eastAsia="es-MX"/>
              </w:rPr>
              <w:t>.</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14:paraId="6DFAA440" w14:textId="77777777" w:rsidR="00E23746" w:rsidRDefault="00E23746" w:rsidP="000B2F10">
            <w:pPr>
              <w:rPr>
                <w:rFonts w:cs="Arial"/>
                <w:sz w:val="20"/>
                <w:szCs w:val="20"/>
              </w:rPr>
            </w:pPr>
            <w:r>
              <w:rPr>
                <w:rFonts w:cs="Arial"/>
                <w:sz w:val="20"/>
                <w:szCs w:val="20"/>
              </w:rPr>
              <w:t>La población del Estado obtiene una educación integral de calidad que les permite progresar individual y colectivamente.</w:t>
            </w:r>
          </w:p>
        </w:tc>
      </w:tr>
      <w:tr w:rsidR="00E23746" w:rsidRPr="00574DAC" w14:paraId="742513EB" w14:textId="77777777" w:rsidTr="006B434D">
        <w:trPr>
          <w:trHeight w:val="834"/>
        </w:trPr>
        <w:tc>
          <w:tcPr>
            <w:tcW w:w="1271" w:type="dxa"/>
            <w:tcBorders>
              <w:top w:val="single" w:sz="4" w:space="0" w:color="auto"/>
              <w:left w:val="single" w:sz="4" w:space="0" w:color="auto"/>
              <w:bottom w:val="single" w:sz="4" w:space="0" w:color="auto"/>
              <w:right w:val="single" w:sz="4" w:space="0" w:color="auto"/>
            </w:tcBorders>
            <w:shd w:val="clear" w:color="auto" w:fill="auto"/>
            <w:hideMark/>
          </w:tcPr>
          <w:p w14:paraId="0D56D5FF" w14:textId="77777777" w:rsidR="00E23746" w:rsidRDefault="00E23746" w:rsidP="000B2F10">
            <w:pPr>
              <w:spacing w:after="0" w:line="240" w:lineRule="auto"/>
              <w:jc w:val="center"/>
              <w:rPr>
                <w:rFonts w:cs="Arial"/>
                <w:b/>
                <w:bCs/>
                <w:sz w:val="20"/>
                <w:szCs w:val="20"/>
              </w:rPr>
            </w:pPr>
            <w:r>
              <w:rPr>
                <w:rFonts w:cs="Arial"/>
                <w:b/>
                <w:bCs/>
                <w:sz w:val="20"/>
                <w:szCs w:val="20"/>
              </w:rPr>
              <w:t>Propósito</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75C4172" w14:textId="77777777" w:rsidR="00E23746" w:rsidRPr="00435E61" w:rsidRDefault="00E23746" w:rsidP="000B2F10">
            <w:pPr>
              <w:rPr>
                <w:rFonts w:cs="Arial"/>
                <w:sz w:val="18"/>
                <w:szCs w:val="20"/>
              </w:rPr>
            </w:pPr>
            <w:r w:rsidRPr="00435E61">
              <w:rPr>
                <w:rFonts w:cs="Arial"/>
                <w:sz w:val="18"/>
                <w:szCs w:val="20"/>
              </w:rPr>
              <w:t>Impulsar la adquisición de conocimientos, habilidades y destrezas relacionadas con un oficio calificado que permita mejorar la calidad de vida de las personas mediante la capacitación, evaluación y certificación.</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94799E5" w14:textId="77777777" w:rsidR="00E23746" w:rsidRDefault="00E23746" w:rsidP="000B2F10">
            <w:pPr>
              <w:rPr>
                <w:rFonts w:cs="Arial"/>
                <w:sz w:val="20"/>
                <w:szCs w:val="20"/>
              </w:rPr>
            </w:pPr>
            <w:r>
              <w:rPr>
                <w:rFonts w:cs="Arial"/>
                <w:sz w:val="20"/>
                <w:szCs w:val="20"/>
              </w:rPr>
              <w:t>P - Las Personas de 15 años y más del Estado de Quintana Roo que se capaciten o se certifiquen obtienen su diploma o certificado.</w:t>
            </w:r>
          </w:p>
        </w:tc>
        <w:tc>
          <w:tcPr>
            <w:tcW w:w="2268" w:type="dxa"/>
            <w:tcBorders>
              <w:top w:val="single" w:sz="4" w:space="0" w:color="auto"/>
              <w:left w:val="single" w:sz="4" w:space="0" w:color="auto"/>
              <w:bottom w:val="single" w:sz="4" w:space="0" w:color="auto"/>
              <w:right w:val="single" w:sz="4" w:space="0" w:color="auto"/>
            </w:tcBorders>
            <w:shd w:val="clear" w:color="FFFFFF" w:fill="FFFFFF"/>
            <w:hideMark/>
          </w:tcPr>
          <w:p w14:paraId="1AE793C0" w14:textId="77777777" w:rsidR="00E23746" w:rsidRDefault="00E23746" w:rsidP="000B2F10">
            <w:pPr>
              <w:rPr>
                <w:rFonts w:cs="Arial"/>
                <w:sz w:val="20"/>
                <w:szCs w:val="20"/>
              </w:rPr>
            </w:pPr>
            <w:r w:rsidRPr="006074FA">
              <w:rPr>
                <w:rFonts w:cs="Arial"/>
                <w:sz w:val="20"/>
                <w:szCs w:val="20"/>
              </w:rPr>
              <w:t>Porcentaje de la población de 15 a 65 años y más egresados en los programas de capacitación y/o procesos de evaluación, obtienen su documento oficial.</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411BF103" w14:textId="77777777" w:rsidR="00E23746" w:rsidRDefault="00E23746" w:rsidP="000B2F10">
            <w:pPr>
              <w:rPr>
                <w:rFonts w:cs="Arial"/>
                <w:sz w:val="20"/>
                <w:szCs w:val="20"/>
              </w:rPr>
            </w:pPr>
            <w:r>
              <w:rPr>
                <w:rFonts w:cs="Arial"/>
                <w:sz w:val="20"/>
                <w:szCs w:val="20"/>
              </w:rPr>
              <w:t>Concentrado de Resultados Académicos (Registro de Inscripción RI) http://qroo.gob.mx/icatqr/indicadores-de-desempeno.</w:t>
            </w:r>
          </w:p>
        </w:tc>
        <w:tc>
          <w:tcPr>
            <w:tcW w:w="2127" w:type="dxa"/>
            <w:tcBorders>
              <w:top w:val="single" w:sz="4" w:space="0" w:color="auto"/>
              <w:left w:val="single" w:sz="4" w:space="0" w:color="auto"/>
              <w:bottom w:val="single" w:sz="4" w:space="0" w:color="auto"/>
              <w:right w:val="single" w:sz="4" w:space="0" w:color="auto"/>
            </w:tcBorders>
            <w:shd w:val="clear" w:color="FFFFFF" w:fill="FFFFFF"/>
            <w:hideMark/>
          </w:tcPr>
          <w:p w14:paraId="67F9C5C5" w14:textId="77777777" w:rsidR="00E23746" w:rsidRPr="00435E61" w:rsidRDefault="00E23746" w:rsidP="000B2F10">
            <w:pPr>
              <w:rPr>
                <w:rFonts w:cs="Arial"/>
                <w:sz w:val="18"/>
                <w:szCs w:val="20"/>
              </w:rPr>
            </w:pPr>
            <w:r w:rsidRPr="00435E61">
              <w:rPr>
                <w:rFonts w:cs="Arial"/>
                <w:sz w:val="18"/>
                <w:szCs w:val="20"/>
              </w:rPr>
              <w:t>Que la población del Estado de Quintana Roo ponga en práctica los conocimientos, habilidades y destrezas adquiridos en las capacitaciones y/o certificaciones.</w:t>
            </w:r>
          </w:p>
        </w:tc>
      </w:tr>
    </w:tbl>
    <w:p w14:paraId="34C749C7" w14:textId="77777777" w:rsidR="00D345CB" w:rsidRDefault="00D345CB">
      <w:pPr>
        <w:spacing w:after="0" w:line="240" w:lineRule="auto"/>
        <w:jc w:val="left"/>
      </w:pPr>
      <w:r>
        <w:br w:type="page"/>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3"/>
        <w:gridCol w:w="2693"/>
        <w:gridCol w:w="2835"/>
        <w:gridCol w:w="2268"/>
        <w:gridCol w:w="2693"/>
        <w:gridCol w:w="2127"/>
      </w:tblGrid>
      <w:tr w:rsidR="00E23746" w:rsidRPr="00574DAC" w14:paraId="1E2E2B7E" w14:textId="77777777" w:rsidTr="009137BD">
        <w:trPr>
          <w:trHeight w:val="679"/>
        </w:trPr>
        <w:tc>
          <w:tcPr>
            <w:tcW w:w="1413" w:type="dxa"/>
            <w:shd w:val="clear" w:color="000000" w:fill="BFBFBF"/>
            <w:vAlign w:val="center"/>
            <w:hideMark/>
          </w:tcPr>
          <w:p w14:paraId="4D7A1A27"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lastRenderedPageBreak/>
              <w:t>NIVEL</w:t>
            </w:r>
          </w:p>
        </w:tc>
        <w:tc>
          <w:tcPr>
            <w:tcW w:w="2693" w:type="dxa"/>
            <w:shd w:val="clear" w:color="000000" w:fill="BFBFBF"/>
            <w:vAlign w:val="center"/>
            <w:hideMark/>
          </w:tcPr>
          <w:p w14:paraId="604A26B4"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ALINEACIÓN PED/PD</w:t>
            </w:r>
          </w:p>
        </w:tc>
        <w:tc>
          <w:tcPr>
            <w:tcW w:w="2835" w:type="dxa"/>
            <w:shd w:val="clear" w:color="000000" w:fill="BFBFBF"/>
            <w:vAlign w:val="center"/>
            <w:hideMark/>
          </w:tcPr>
          <w:p w14:paraId="17BBADBF"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OBJETIVO</w:t>
            </w:r>
          </w:p>
        </w:tc>
        <w:tc>
          <w:tcPr>
            <w:tcW w:w="2268" w:type="dxa"/>
            <w:shd w:val="clear" w:color="000000" w:fill="BFBFBF"/>
            <w:vAlign w:val="center"/>
            <w:hideMark/>
          </w:tcPr>
          <w:p w14:paraId="16053083"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INDICADOR</w:t>
            </w:r>
          </w:p>
        </w:tc>
        <w:tc>
          <w:tcPr>
            <w:tcW w:w="2693" w:type="dxa"/>
            <w:shd w:val="clear" w:color="000000" w:fill="BFBFBF"/>
            <w:vAlign w:val="center"/>
            <w:hideMark/>
          </w:tcPr>
          <w:p w14:paraId="6022C6F0"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MEDIOS DE VERIFICACIÓN</w:t>
            </w:r>
          </w:p>
        </w:tc>
        <w:tc>
          <w:tcPr>
            <w:tcW w:w="2127" w:type="dxa"/>
            <w:shd w:val="clear" w:color="000000" w:fill="BFBFBF"/>
            <w:vAlign w:val="center"/>
            <w:hideMark/>
          </w:tcPr>
          <w:p w14:paraId="3136CB9E"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SUPUESTO</w:t>
            </w:r>
          </w:p>
        </w:tc>
      </w:tr>
      <w:tr w:rsidR="00E23746" w:rsidRPr="00574DAC" w14:paraId="107D9A4C" w14:textId="77777777" w:rsidTr="009137BD">
        <w:trPr>
          <w:trHeight w:val="1599"/>
        </w:trPr>
        <w:tc>
          <w:tcPr>
            <w:tcW w:w="1413" w:type="dxa"/>
            <w:shd w:val="clear" w:color="auto" w:fill="auto"/>
            <w:hideMark/>
          </w:tcPr>
          <w:p w14:paraId="6C473200" w14:textId="77777777" w:rsidR="00E23746" w:rsidRDefault="00E23746" w:rsidP="000B2F10">
            <w:pPr>
              <w:spacing w:after="0" w:line="240" w:lineRule="auto"/>
              <w:jc w:val="center"/>
              <w:rPr>
                <w:rFonts w:cs="Arial"/>
                <w:b/>
                <w:bCs/>
                <w:sz w:val="20"/>
                <w:szCs w:val="20"/>
              </w:rPr>
            </w:pPr>
            <w:r>
              <w:rPr>
                <w:rFonts w:cs="Arial"/>
                <w:b/>
                <w:bCs/>
                <w:sz w:val="20"/>
                <w:szCs w:val="20"/>
              </w:rPr>
              <w:t>Componente</w:t>
            </w:r>
          </w:p>
        </w:tc>
        <w:tc>
          <w:tcPr>
            <w:tcW w:w="2693" w:type="dxa"/>
            <w:shd w:val="clear" w:color="auto" w:fill="auto"/>
            <w:hideMark/>
          </w:tcPr>
          <w:p w14:paraId="025610CE" w14:textId="77777777" w:rsidR="00E23746" w:rsidRDefault="00E23746" w:rsidP="000B2F10">
            <w:pPr>
              <w:rPr>
                <w:rFonts w:cs="Arial"/>
                <w:sz w:val="20"/>
                <w:szCs w:val="20"/>
              </w:rPr>
            </w:pPr>
            <w:r>
              <w:rPr>
                <w:rFonts w:cs="Arial"/>
                <w:sz w:val="20"/>
                <w:szCs w:val="20"/>
              </w:rPr>
              <w:t>Impulsar programas de capacitación que generen el interés de la población de 15 años y más, para obtener conocimientos, habilidades y destrezas para el adecuado desempeño en su centro de trabajo o para autoemplearse.</w:t>
            </w:r>
          </w:p>
        </w:tc>
        <w:tc>
          <w:tcPr>
            <w:tcW w:w="2835" w:type="dxa"/>
            <w:shd w:val="clear" w:color="auto" w:fill="auto"/>
            <w:hideMark/>
          </w:tcPr>
          <w:p w14:paraId="3ACF6A68" w14:textId="77777777" w:rsidR="00E23746" w:rsidRDefault="00E23746" w:rsidP="000B2F10">
            <w:pPr>
              <w:rPr>
                <w:rFonts w:cs="Arial"/>
                <w:sz w:val="20"/>
                <w:szCs w:val="20"/>
              </w:rPr>
            </w:pPr>
            <w:r>
              <w:rPr>
                <w:rFonts w:cs="Arial"/>
                <w:sz w:val="20"/>
                <w:szCs w:val="20"/>
              </w:rPr>
              <w:t xml:space="preserve"> C01 - Personas capacitadas o certificadas inscritos.</w:t>
            </w:r>
          </w:p>
        </w:tc>
        <w:tc>
          <w:tcPr>
            <w:tcW w:w="2268" w:type="dxa"/>
            <w:shd w:val="clear" w:color="FFFFFF" w:fill="FFFFFF"/>
            <w:hideMark/>
          </w:tcPr>
          <w:p w14:paraId="4231DAC5" w14:textId="77777777" w:rsidR="00E23746" w:rsidRDefault="00E23746" w:rsidP="000B2F10">
            <w:pPr>
              <w:rPr>
                <w:rFonts w:cs="Arial"/>
                <w:sz w:val="20"/>
                <w:szCs w:val="20"/>
              </w:rPr>
            </w:pPr>
            <w:r>
              <w:rPr>
                <w:rFonts w:cs="Arial"/>
                <w:sz w:val="20"/>
                <w:szCs w:val="20"/>
              </w:rPr>
              <w:t>C01 - Porcentaje de personas de 15 a 65 años y más atendidas en capacitación o certificación.</w:t>
            </w:r>
          </w:p>
        </w:tc>
        <w:tc>
          <w:tcPr>
            <w:tcW w:w="2693" w:type="dxa"/>
            <w:shd w:val="clear" w:color="auto" w:fill="auto"/>
            <w:hideMark/>
          </w:tcPr>
          <w:p w14:paraId="0DA290E2" w14:textId="77777777" w:rsidR="00E23746" w:rsidRDefault="00E23746" w:rsidP="000B2F10">
            <w:pPr>
              <w:rPr>
                <w:rFonts w:cs="Arial"/>
                <w:sz w:val="20"/>
                <w:szCs w:val="20"/>
              </w:rPr>
            </w:pPr>
            <w:r>
              <w:rPr>
                <w:rFonts w:cs="Arial"/>
                <w:sz w:val="20"/>
                <w:szCs w:val="20"/>
              </w:rPr>
              <w:t>Concentrado de Resultados Académicos (Registro de Inscripción RI) http://qroo.gob.mx/icatqr/indicadores-de-desempeno.</w:t>
            </w:r>
          </w:p>
        </w:tc>
        <w:tc>
          <w:tcPr>
            <w:tcW w:w="2127" w:type="dxa"/>
            <w:shd w:val="clear" w:color="auto" w:fill="auto"/>
            <w:hideMark/>
          </w:tcPr>
          <w:p w14:paraId="309CF55C" w14:textId="77777777" w:rsidR="00E23746" w:rsidRDefault="00E23746" w:rsidP="000B2F10">
            <w:pPr>
              <w:rPr>
                <w:rFonts w:cs="Arial"/>
                <w:sz w:val="20"/>
                <w:szCs w:val="20"/>
              </w:rPr>
            </w:pPr>
            <w:r>
              <w:rPr>
                <w:rFonts w:cs="Arial"/>
                <w:sz w:val="20"/>
                <w:szCs w:val="20"/>
              </w:rPr>
              <w:t>Las personas interesadas en capacitarse y certificarse se inscriban en los cursos ofertados por las unidades de capacitación.</w:t>
            </w:r>
          </w:p>
        </w:tc>
      </w:tr>
      <w:tr w:rsidR="00E23746" w:rsidRPr="00574DAC" w14:paraId="574A7D21" w14:textId="77777777" w:rsidTr="009137BD">
        <w:trPr>
          <w:trHeight w:val="2400"/>
        </w:trPr>
        <w:tc>
          <w:tcPr>
            <w:tcW w:w="1413" w:type="dxa"/>
            <w:shd w:val="clear" w:color="auto" w:fill="auto"/>
            <w:hideMark/>
          </w:tcPr>
          <w:p w14:paraId="3D952136" w14:textId="77777777" w:rsidR="00E23746" w:rsidRDefault="00E23746" w:rsidP="000B2F10">
            <w:pPr>
              <w:jc w:val="center"/>
              <w:rPr>
                <w:rFonts w:cs="Arial"/>
                <w:b/>
                <w:bCs/>
                <w:sz w:val="20"/>
                <w:szCs w:val="20"/>
              </w:rPr>
            </w:pPr>
            <w:r>
              <w:rPr>
                <w:rFonts w:cs="Arial"/>
                <w:b/>
                <w:bCs/>
                <w:sz w:val="20"/>
                <w:szCs w:val="20"/>
              </w:rPr>
              <w:t>Actividad</w:t>
            </w:r>
          </w:p>
        </w:tc>
        <w:tc>
          <w:tcPr>
            <w:tcW w:w="2693" w:type="dxa"/>
            <w:shd w:val="clear" w:color="auto" w:fill="auto"/>
            <w:hideMark/>
          </w:tcPr>
          <w:p w14:paraId="1D27F906" w14:textId="77777777" w:rsidR="00E23746" w:rsidRDefault="00E23746" w:rsidP="000B2F10">
            <w:pPr>
              <w:rPr>
                <w:rFonts w:cs="Arial"/>
                <w:sz w:val="20"/>
                <w:szCs w:val="20"/>
              </w:rPr>
            </w:pPr>
            <w:r>
              <w:rPr>
                <w:rFonts w:cs="Arial"/>
                <w:sz w:val="20"/>
                <w:szCs w:val="20"/>
              </w:rPr>
              <w:t>Implementar estrategias de promoción y difusión de la oferta educativa del Instituto a través de una campaña de publicidad realizada por la dirección de vinculación.</w:t>
            </w:r>
          </w:p>
        </w:tc>
        <w:tc>
          <w:tcPr>
            <w:tcW w:w="2835" w:type="dxa"/>
            <w:shd w:val="clear" w:color="auto" w:fill="auto"/>
            <w:hideMark/>
          </w:tcPr>
          <w:p w14:paraId="21891DF1" w14:textId="77777777" w:rsidR="00E23746" w:rsidRDefault="00E23746" w:rsidP="000B2F10">
            <w:pPr>
              <w:rPr>
                <w:rFonts w:cs="Arial"/>
                <w:sz w:val="20"/>
                <w:szCs w:val="20"/>
              </w:rPr>
            </w:pPr>
            <w:r>
              <w:rPr>
                <w:rFonts w:cs="Arial"/>
                <w:sz w:val="20"/>
                <w:szCs w:val="20"/>
              </w:rPr>
              <w:t xml:space="preserve"> C01.A01 - Promoción y difusión de los cursos de capacitación y certificación elaborados.</w:t>
            </w:r>
          </w:p>
        </w:tc>
        <w:tc>
          <w:tcPr>
            <w:tcW w:w="2268" w:type="dxa"/>
            <w:shd w:val="clear" w:color="FFFFFF" w:fill="FFFFFF"/>
            <w:hideMark/>
          </w:tcPr>
          <w:p w14:paraId="244E7A53" w14:textId="77777777" w:rsidR="00E23746" w:rsidRDefault="00E23746" w:rsidP="000B2F10">
            <w:pPr>
              <w:rPr>
                <w:rFonts w:cs="Arial"/>
                <w:sz w:val="20"/>
                <w:szCs w:val="20"/>
              </w:rPr>
            </w:pPr>
            <w:r>
              <w:rPr>
                <w:rFonts w:cs="Arial"/>
                <w:sz w:val="20"/>
                <w:szCs w:val="20"/>
              </w:rPr>
              <w:t>C01A01 - Porcentaje de campañas de promoción y difusión de los programas de capacitación implementada.</w:t>
            </w:r>
          </w:p>
        </w:tc>
        <w:tc>
          <w:tcPr>
            <w:tcW w:w="2693" w:type="dxa"/>
            <w:shd w:val="clear" w:color="auto" w:fill="auto"/>
            <w:hideMark/>
          </w:tcPr>
          <w:p w14:paraId="71B77879" w14:textId="77777777" w:rsidR="00E23746" w:rsidRDefault="00E23746" w:rsidP="000B2F10">
            <w:pPr>
              <w:rPr>
                <w:rFonts w:cs="Arial"/>
                <w:sz w:val="20"/>
                <w:szCs w:val="20"/>
              </w:rPr>
            </w:pPr>
            <w:r>
              <w:rPr>
                <w:rFonts w:cs="Arial"/>
                <w:sz w:val="20"/>
                <w:szCs w:val="20"/>
              </w:rPr>
              <w:t>Evidencia física, digital y publicaciones en redes sociales resguardada en la Dirección de Vinculación. http://qroo.gob.mx/icatqr/indicadores-de-desempeno.</w:t>
            </w:r>
          </w:p>
        </w:tc>
        <w:tc>
          <w:tcPr>
            <w:tcW w:w="2127" w:type="dxa"/>
            <w:shd w:val="clear" w:color="auto" w:fill="auto"/>
            <w:hideMark/>
          </w:tcPr>
          <w:p w14:paraId="2695AE3F" w14:textId="77777777" w:rsidR="00E23746" w:rsidRDefault="00E23746" w:rsidP="000B2F10">
            <w:pPr>
              <w:rPr>
                <w:rFonts w:cs="Arial"/>
                <w:sz w:val="20"/>
                <w:szCs w:val="20"/>
              </w:rPr>
            </w:pPr>
            <w:r>
              <w:rPr>
                <w:rFonts w:cs="Arial"/>
                <w:sz w:val="20"/>
                <w:szCs w:val="20"/>
              </w:rPr>
              <w:t>La población objetivo se interesa por los programas de capacitación que brinda el Instituto a través de la información, material de promoción y difusión recibido.</w:t>
            </w:r>
          </w:p>
        </w:tc>
      </w:tr>
    </w:tbl>
    <w:p w14:paraId="6C339509" w14:textId="670951E0" w:rsidR="009137BD" w:rsidRDefault="009137BD">
      <w:pPr>
        <w:spacing w:after="0" w:line="240" w:lineRule="auto"/>
        <w:jc w:val="left"/>
      </w:pPr>
    </w:p>
    <w:p w14:paraId="6B96FE20" w14:textId="77777777" w:rsidR="009137BD" w:rsidRDefault="009137BD">
      <w:pPr>
        <w:spacing w:after="0" w:line="240" w:lineRule="auto"/>
        <w:jc w:val="left"/>
      </w:pPr>
      <w:r>
        <w:br w:type="page"/>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3"/>
        <w:gridCol w:w="2693"/>
        <w:gridCol w:w="2835"/>
        <w:gridCol w:w="2268"/>
        <w:gridCol w:w="2693"/>
        <w:gridCol w:w="2127"/>
      </w:tblGrid>
      <w:tr w:rsidR="009137BD" w:rsidRPr="00574DAC" w14:paraId="03D21755" w14:textId="77777777" w:rsidTr="00A366B6">
        <w:trPr>
          <w:trHeight w:val="679"/>
        </w:trPr>
        <w:tc>
          <w:tcPr>
            <w:tcW w:w="1413" w:type="dxa"/>
            <w:shd w:val="clear" w:color="000000" w:fill="BFBFBF"/>
            <w:vAlign w:val="center"/>
            <w:hideMark/>
          </w:tcPr>
          <w:p w14:paraId="1C2B3A01" w14:textId="77777777" w:rsidR="009137BD" w:rsidRPr="00574DAC" w:rsidRDefault="009137BD" w:rsidP="00A366B6">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lastRenderedPageBreak/>
              <w:t>NIVEL</w:t>
            </w:r>
          </w:p>
        </w:tc>
        <w:tc>
          <w:tcPr>
            <w:tcW w:w="2693" w:type="dxa"/>
            <w:shd w:val="clear" w:color="000000" w:fill="BFBFBF"/>
            <w:vAlign w:val="center"/>
            <w:hideMark/>
          </w:tcPr>
          <w:p w14:paraId="415CF86D" w14:textId="77777777" w:rsidR="009137BD" w:rsidRPr="00574DAC" w:rsidRDefault="009137BD" w:rsidP="00A366B6">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ALINEACIÓN PED/PD</w:t>
            </w:r>
          </w:p>
        </w:tc>
        <w:tc>
          <w:tcPr>
            <w:tcW w:w="2835" w:type="dxa"/>
            <w:shd w:val="clear" w:color="000000" w:fill="BFBFBF"/>
            <w:vAlign w:val="center"/>
            <w:hideMark/>
          </w:tcPr>
          <w:p w14:paraId="26B3530D" w14:textId="77777777" w:rsidR="009137BD" w:rsidRPr="00574DAC" w:rsidRDefault="009137BD" w:rsidP="00A366B6">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OBJETIVO</w:t>
            </w:r>
          </w:p>
        </w:tc>
        <w:tc>
          <w:tcPr>
            <w:tcW w:w="2268" w:type="dxa"/>
            <w:shd w:val="clear" w:color="000000" w:fill="BFBFBF"/>
            <w:vAlign w:val="center"/>
            <w:hideMark/>
          </w:tcPr>
          <w:p w14:paraId="4885F150" w14:textId="77777777" w:rsidR="009137BD" w:rsidRPr="00574DAC" w:rsidRDefault="009137BD" w:rsidP="00A366B6">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INDICADOR</w:t>
            </w:r>
          </w:p>
        </w:tc>
        <w:tc>
          <w:tcPr>
            <w:tcW w:w="2693" w:type="dxa"/>
            <w:shd w:val="clear" w:color="000000" w:fill="BFBFBF"/>
            <w:vAlign w:val="center"/>
            <w:hideMark/>
          </w:tcPr>
          <w:p w14:paraId="558770DD" w14:textId="77777777" w:rsidR="009137BD" w:rsidRPr="00574DAC" w:rsidRDefault="009137BD" w:rsidP="00A366B6">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MEDIOS DE VERIFICACIÓN</w:t>
            </w:r>
          </w:p>
        </w:tc>
        <w:tc>
          <w:tcPr>
            <w:tcW w:w="2127" w:type="dxa"/>
            <w:shd w:val="clear" w:color="000000" w:fill="BFBFBF"/>
            <w:vAlign w:val="center"/>
            <w:hideMark/>
          </w:tcPr>
          <w:p w14:paraId="4801B037" w14:textId="77777777" w:rsidR="009137BD" w:rsidRPr="00574DAC" w:rsidRDefault="009137BD" w:rsidP="00A366B6">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SUPUESTO</w:t>
            </w:r>
          </w:p>
        </w:tc>
      </w:tr>
      <w:tr w:rsidR="009137BD" w:rsidRPr="00574DAC" w14:paraId="6E4AB1F1" w14:textId="77777777" w:rsidTr="00A366B6">
        <w:trPr>
          <w:trHeight w:val="2216"/>
        </w:trPr>
        <w:tc>
          <w:tcPr>
            <w:tcW w:w="1413" w:type="dxa"/>
            <w:shd w:val="clear" w:color="auto" w:fill="auto"/>
            <w:hideMark/>
          </w:tcPr>
          <w:p w14:paraId="206BFF2F" w14:textId="77777777" w:rsidR="009137BD" w:rsidRDefault="009137BD" w:rsidP="00A366B6">
            <w:pPr>
              <w:jc w:val="center"/>
              <w:rPr>
                <w:rFonts w:cs="Arial"/>
                <w:b/>
                <w:bCs/>
                <w:sz w:val="20"/>
                <w:szCs w:val="20"/>
              </w:rPr>
            </w:pPr>
            <w:r>
              <w:rPr>
                <w:rFonts w:cs="Arial"/>
                <w:b/>
                <w:bCs/>
                <w:sz w:val="20"/>
                <w:szCs w:val="20"/>
              </w:rPr>
              <w:t>Actividad</w:t>
            </w:r>
          </w:p>
        </w:tc>
        <w:tc>
          <w:tcPr>
            <w:tcW w:w="2693" w:type="dxa"/>
            <w:shd w:val="clear" w:color="auto" w:fill="auto"/>
            <w:hideMark/>
          </w:tcPr>
          <w:p w14:paraId="6A298477" w14:textId="77777777" w:rsidR="009137BD" w:rsidRDefault="009137BD" w:rsidP="00A366B6">
            <w:pPr>
              <w:rPr>
                <w:rFonts w:cs="Arial"/>
                <w:sz w:val="20"/>
                <w:szCs w:val="20"/>
              </w:rPr>
            </w:pPr>
            <w:r>
              <w:rPr>
                <w:rFonts w:cs="Arial"/>
                <w:sz w:val="20"/>
                <w:szCs w:val="20"/>
              </w:rPr>
              <w:t>Impulsar programas de capacitación que generen el interés de la población de 15 años y más, para obtener conocimientos, habilidades y destrezas para el adecuado desempeño en su centro de trabajo o para autoemplearse.</w:t>
            </w:r>
          </w:p>
        </w:tc>
        <w:tc>
          <w:tcPr>
            <w:tcW w:w="2835" w:type="dxa"/>
            <w:shd w:val="clear" w:color="auto" w:fill="auto"/>
            <w:hideMark/>
          </w:tcPr>
          <w:p w14:paraId="55CBB3A1" w14:textId="77777777" w:rsidR="009137BD" w:rsidRDefault="009137BD" w:rsidP="00A366B6">
            <w:pPr>
              <w:rPr>
                <w:rFonts w:cs="Arial"/>
                <w:sz w:val="20"/>
                <w:szCs w:val="20"/>
              </w:rPr>
            </w:pPr>
            <w:r>
              <w:rPr>
                <w:rFonts w:cs="Arial"/>
                <w:sz w:val="20"/>
                <w:szCs w:val="20"/>
              </w:rPr>
              <w:t xml:space="preserve"> C01.A02 - Actualización y especialización de las habilidades, destrezas y aptitudes de la población en cursos de Extensión o Regulares.</w:t>
            </w:r>
          </w:p>
        </w:tc>
        <w:tc>
          <w:tcPr>
            <w:tcW w:w="2268" w:type="dxa"/>
            <w:shd w:val="clear" w:color="FFFFFF" w:fill="FFFFFF"/>
            <w:hideMark/>
          </w:tcPr>
          <w:p w14:paraId="02B6FEA2" w14:textId="77777777" w:rsidR="009137BD" w:rsidRDefault="009137BD" w:rsidP="00A366B6">
            <w:pPr>
              <w:rPr>
                <w:rFonts w:cs="Arial"/>
                <w:sz w:val="20"/>
                <w:szCs w:val="20"/>
              </w:rPr>
            </w:pPr>
            <w:r>
              <w:rPr>
                <w:rFonts w:cs="Arial"/>
                <w:sz w:val="20"/>
                <w:szCs w:val="20"/>
              </w:rPr>
              <w:t>C01A02 - Porcentaje de personas inscritas de 15 años y más en cursos de Extensión o Regulares.</w:t>
            </w:r>
          </w:p>
        </w:tc>
        <w:tc>
          <w:tcPr>
            <w:tcW w:w="2693" w:type="dxa"/>
            <w:shd w:val="clear" w:color="auto" w:fill="auto"/>
            <w:hideMark/>
          </w:tcPr>
          <w:p w14:paraId="415349D8" w14:textId="77777777" w:rsidR="009137BD" w:rsidRDefault="009137BD" w:rsidP="00A366B6">
            <w:pPr>
              <w:rPr>
                <w:rFonts w:cs="Arial"/>
                <w:sz w:val="20"/>
                <w:szCs w:val="20"/>
              </w:rPr>
            </w:pPr>
            <w:r>
              <w:rPr>
                <w:rFonts w:cs="Arial"/>
                <w:sz w:val="20"/>
                <w:szCs w:val="20"/>
              </w:rPr>
              <w:t>Concentrado de Resultados Académicos (Registro de Inscripción RI) http://qroo.gob.mx/icatqr/indicadores-de-desempeno.</w:t>
            </w:r>
          </w:p>
        </w:tc>
        <w:tc>
          <w:tcPr>
            <w:tcW w:w="2127" w:type="dxa"/>
            <w:shd w:val="clear" w:color="auto" w:fill="auto"/>
            <w:hideMark/>
          </w:tcPr>
          <w:p w14:paraId="3344B7C4" w14:textId="77777777" w:rsidR="009137BD" w:rsidRDefault="009137BD" w:rsidP="00A366B6">
            <w:pPr>
              <w:rPr>
                <w:rFonts w:cs="Arial"/>
                <w:sz w:val="20"/>
                <w:szCs w:val="20"/>
              </w:rPr>
            </w:pPr>
            <w:r>
              <w:rPr>
                <w:rFonts w:cs="Arial"/>
                <w:sz w:val="20"/>
                <w:szCs w:val="20"/>
              </w:rPr>
              <w:t>Las personas se interesen en inscribirse en los cursos de Extensión o Regulares ofertados.</w:t>
            </w:r>
          </w:p>
        </w:tc>
      </w:tr>
      <w:tr w:rsidR="009137BD" w:rsidRPr="00574DAC" w14:paraId="7B269813" w14:textId="77777777" w:rsidTr="00A366B6">
        <w:trPr>
          <w:trHeight w:val="2216"/>
        </w:trPr>
        <w:tc>
          <w:tcPr>
            <w:tcW w:w="1413" w:type="dxa"/>
            <w:shd w:val="clear" w:color="auto" w:fill="auto"/>
          </w:tcPr>
          <w:p w14:paraId="0184AE03" w14:textId="4D545346" w:rsidR="009137BD" w:rsidRDefault="009137BD" w:rsidP="009137BD">
            <w:pPr>
              <w:jc w:val="center"/>
              <w:rPr>
                <w:rFonts w:cs="Arial"/>
                <w:b/>
                <w:bCs/>
                <w:sz w:val="20"/>
                <w:szCs w:val="20"/>
              </w:rPr>
            </w:pPr>
            <w:r>
              <w:rPr>
                <w:rFonts w:cs="Arial"/>
                <w:b/>
                <w:bCs/>
                <w:sz w:val="20"/>
                <w:szCs w:val="20"/>
              </w:rPr>
              <w:t>Actividad</w:t>
            </w:r>
          </w:p>
        </w:tc>
        <w:tc>
          <w:tcPr>
            <w:tcW w:w="2693" w:type="dxa"/>
            <w:shd w:val="clear" w:color="auto" w:fill="auto"/>
          </w:tcPr>
          <w:p w14:paraId="5A145CB7" w14:textId="0646C2B9" w:rsidR="009137BD" w:rsidRDefault="009137BD" w:rsidP="009137BD">
            <w:pPr>
              <w:rPr>
                <w:rFonts w:cs="Arial"/>
                <w:sz w:val="20"/>
                <w:szCs w:val="20"/>
              </w:rPr>
            </w:pPr>
            <w:r w:rsidRPr="003D6220">
              <w:rPr>
                <w:rFonts w:cs="Arial"/>
                <w:sz w:val="18"/>
                <w:szCs w:val="20"/>
              </w:rPr>
              <w:t>Impulsar programas de capacitación dirigidos a los trabajadores en activo de empresas, instituciones u organismos de los sectores productivos y de servicios privado, público y social que pretenden complementar, especializar y/o actualizarse en una determinada actividad laboral.</w:t>
            </w:r>
          </w:p>
        </w:tc>
        <w:tc>
          <w:tcPr>
            <w:tcW w:w="2835" w:type="dxa"/>
            <w:shd w:val="clear" w:color="auto" w:fill="auto"/>
          </w:tcPr>
          <w:p w14:paraId="5A35B817" w14:textId="5350F376" w:rsidR="009137BD" w:rsidRDefault="009137BD" w:rsidP="009137BD">
            <w:pPr>
              <w:rPr>
                <w:rFonts w:cs="Arial"/>
                <w:sz w:val="20"/>
                <w:szCs w:val="20"/>
              </w:rPr>
            </w:pPr>
            <w:r w:rsidRPr="003D6220">
              <w:rPr>
                <w:rFonts w:cs="Arial"/>
                <w:sz w:val="18"/>
                <w:szCs w:val="20"/>
              </w:rPr>
              <w:t>C01.A03 - Actualización y especialización de las habilidades, destrezas y aptitudes de la población, en cursos de Capacitación Acelerada Especifica (CAE).</w:t>
            </w:r>
          </w:p>
        </w:tc>
        <w:tc>
          <w:tcPr>
            <w:tcW w:w="2268" w:type="dxa"/>
            <w:shd w:val="clear" w:color="FFFFFF" w:fill="FFFFFF"/>
          </w:tcPr>
          <w:p w14:paraId="59E426F7" w14:textId="6398DD6B" w:rsidR="009137BD" w:rsidRDefault="009137BD" w:rsidP="009137BD">
            <w:pPr>
              <w:rPr>
                <w:rFonts w:cs="Arial"/>
                <w:sz w:val="20"/>
                <w:szCs w:val="20"/>
              </w:rPr>
            </w:pPr>
            <w:r w:rsidRPr="003D6220">
              <w:rPr>
                <w:rFonts w:cs="Arial"/>
                <w:sz w:val="18"/>
                <w:szCs w:val="20"/>
              </w:rPr>
              <w:t>C01A03 - Porcentaje de personas inscritas en cursos Capacitación Acelerada Especifica (CAE).</w:t>
            </w:r>
          </w:p>
        </w:tc>
        <w:tc>
          <w:tcPr>
            <w:tcW w:w="2693" w:type="dxa"/>
            <w:shd w:val="clear" w:color="auto" w:fill="auto"/>
          </w:tcPr>
          <w:p w14:paraId="20B7BF0E" w14:textId="7A732CC2" w:rsidR="009137BD" w:rsidRDefault="009137BD" w:rsidP="009137BD">
            <w:pPr>
              <w:rPr>
                <w:rFonts w:cs="Arial"/>
                <w:sz w:val="20"/>
                <w:szCs w:val="20"/>
              </w:rPr>
            </w:pPr>
            <w:r w:rsidRPr="003D6220">
              <w:rPr>
                <w:rFonts w:cs="Arial"/>
                <w:sz w:val="18"/>
                <w:szCs w:val="20"/>
              </w:rPr>
              <w:t>Concentrado de Resultados Académicos (Registro de Inscripción RI) http://qroo.gob.mx/icatqr/indicadores-de-desempeno.</w:t>
            </w:r>
          </w:p>
        </w:tc>
        <w:tc>
          <w:tcPr>
            <w:tcW w:w="2127" w:type="dxa"/>
            <w:shd w:val="clear" w:color="auto" w:fill="auto"/>
          </w:tcPr>
          <w:p w14:paraId="44293016" w14:textId="2F88F4FB" w:rsidR="009137BD" w:rsidRDefault="009137BD" w:rsidP="009137BD">
            <w:pPr>
              <w:rPr>
                <w:rFonts w:cs="Arial"/>
                <w:sz w:val="20"/>
                <w:szCs w:val="20"/>
              </w:rPr>
            </w:pPr>
            <w:r w:rsidRPr="003D6220">
              <w:rPr>
                <w:rFonts w:cs="Arial"/>
                <w:sz w:val="18"/>
                <w:szCs w:val="20"/>
              </w:rPr>
              <w:t>Las personas se interesen en inscribirse en los cursos Capacitación Acelerada Especifica (CAE) ofertados.</w:t>
            </w:r>
          </w:p>
        </w:tc>
      </w:tr>
    </w:tbl>
    <w:p w14:paraId="61764DCC" w14:textId="77777777" w:rsidR="009137BD" w:rsidRDefault="009137BD">
      <w:pPr>
        <w:spacing w:after="0" w:line="240" w:lineRule="auto"/>
        <w:jc w:val="left"/>
      </w:pPr>
    </w:p>
    <w:p w14:paraId="3E54D044" w14:textId="5FEECD08" w:rsidR="009137BD" w:rsidRDefault="009137BD">
      <w:pPr>
        <w:spacing w:after="0" w:line="240" w:lineRule="auto"/>
        <w:jc w:val="left"/>
      </w:pPr>
      <w:r>
        <w:br w:type="page"/>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71"/>
        <w:gridCol w:w="2835"/>
        <w:gridCol w:w="2835"/>
        <w:gridCol w:w="2268"/>
        <w:gridCol w:w="2693"/>
        <w:gridCol w:w="2127"/>
      </w:tblGrid>
      <w:tr w:rsidR="00E23746" w:rsidRPr="00574DAC" w14:paraId="41640B66" w14:textId="77777777" w:rsidTr="006B434D">
        <w:trPr>
          <w:trHeight w:val="679"/>
        </w:trPr>
        <w:tc>
          <w:tcPr>
            <w:tcW w:w="1271" w:type="dxa"/>
            <w:shd w:val="clear" w:color="000000" w:fill="BFBFBF"/>
            <w:vAlign w:val="center"/>
            <w:hideMark/>
          </w:tcPr>
          <w:p w14:paraId="690DE34E"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lastRenderedPageBreak/>
              <w:t>NIVEL</w:t>
            </w:r>
          </w:p>
        </w:tc>
        <w:tc>
          <w:tcPr>
            <w:tcW w:w="2835" w:type="dxa"/>
            <w:shd w:val="clear" w:color="000000" w:fill="BFBFBF"/>
            <w:vAlign w:val="center"/>
            <w:hideMark/>
          </w:tcPr>
          <w:p w14:paraId="54D6200C"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ALINEACIÓN PED/PD</w:t>
            </w:r>
          </w:p>
        </w:tc>
        <w:tc>
          <w:tcPr>
            <w:tcW w:w="2835" w:type="dxa"/>
            <w:shd w:val="clear" w:color="000000" w:fill="BFBFBF"/>
            <w:vAlign w:val="center"/>
            <w:hideMark/>
          </w:tcPr>
          <w:p w14:paraId="35984EBE"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OBJETIVO</w:t>
            </w:r>
          </w:p>
        </w:tc>
        <w:tc>
          <w:tcPr>
            <w:tcW w:w="2268" w:type="dxa"/>
            <w:shd w:val="clear" w:color="000000" w:fill="BFBFBF"/>
            <w:vAlign w:val="center"/>
            <w:hideMark/>
          </w:tcPr>
          <w:p w14:paraId="2F119575"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INDICADOR</w:t>
            </w:r>
          </w:p>
        </w:tc>
        <w:tc>
          <w:tcPr>
            <w:tcW w:w="2693" w:type="dxa"/>
            <w:shd w:val="clear" w:color="000000" w:fill="BFBFBF"/>
            <w:vAlign w:val="center"/>
            <w:hideMark/>
          </w:tcPr>
          <w:p w14:paraId="509F7974"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MEDIOS DE VERIFICACIÓN</w:t>
            </w:r>
          </w:p>
        </w:tc>
        <w:tc>
          <w:tcPr>
            <w:tcW w:w="2127" w:type="dxa"/>
            <w:shd w:val="clear" w:color="000000" w:fill="BFBFBF"/>
            <w:vAlign w:val="center"/>
            <w:hideMark/>
          </w:tcPr>
          <w:p w14:paraId="110329B7" w14:textId="77777777" w:rsidR="00E23746" w:rsidRPr="00574DAC" w:rsidRDefault="00E23746" w:rsidP="000B2F10">
            <w:pPr>
              <w:spacing w:after="0" w:line="240" w:lineRule="auto"/>
              <w:jc w:val="center"/>
              <w:rPr>
                <w:rFonts w:eastAsia="Times New Roman" w:cs="Arial"/>
                <w:b/>
                <w:bCs/>
                <w:sz w:val="20"/>
                <w:szCs w:val="20"/>
                <w:lang w:val="es-MX" w:eastAsia="es-MX"/>
              </w:rPr>
            </w:pPr>
            <w:r w:rsidRPr="00574DAC">
              <w:rPr>
                <w:rFonts w:eastAsia="Times New Roman" w:cs="Arial"/>
                <w:b/>
                <w:bCs/>
                <w:sz w:val="20"/>
                <w:szCs w:val="20"/>
                <w:lang w:val="es-MX" w:eastAsia="es-MX"/>
              </w:rPr>
              <w:t>SUPUESTO</w:t>
            </w:r>
          </w:p>
        </w:tc>
      </w:tr>
      <w:tr w:rsidR="00E23746" w:rsidRPr="00574DAC" w14:paraId="6B22D33A" w14:textId="77777777" w:rsidTr="006B434D">
        <w:trPr>
          <w:trHeight w:val="409"/>
        </w:trPr>
        <w:tc>
          <w:tcPr>
            <w:tcW w:w="1271" w:type="dxa"/>
            <w:shd w:val="clear" w:color="auto" w:fill="auto"/>
            <w:hideMark/>
          </w:tcPr>
          <w:p w14:paraId="15C55586" w14:textId="77777777" w:rsidR="00E23746" w:rsidRDefault="00E23746" w:rsidP="000B2F10">
            <w:pPr>
              <w:jc w:val="center"/>
              <w:rPr>
                <w:rFonts w:cs="Arial"/>
                <w:b/>
                <w:bCs/>
                <w:sz w:val="20"/>
                <w:szCs w:val="20"/>
              </w:rPr>
            </w:pPr>
            <w:r>
              <w:rPr>
                <w:rFonts w:cs="Arial"/>
                <w:b/>
                <w:bCs/>
                <w:sz w:val="20"/>
                <w:szCs w:val="20"/>
              </w:rPr>
              <w:t>Actividad</w:t>
            </w:r>
          </w:p>
        </w:tc>
        <w:tc>
          <w:tcPr>
            <w:tcW w:w="2835" w:type="dxa"/>
            <w:shd w:val="clear" w:color="auto" w:fill="auto"/>
            <w:hideMark/>
          </w:tcPr>
          <w:p w14:paraId="4E6EB54B" w14:textId="77777777" w:rsidR="00E23746" w:rsidRPr="003D6220" w:rsidRDefault="00E23746" w:rsidP="000B2F10">
            <w:pPr>
              <w:rPr>
                <w:rFonts w:cs="Arial"/>
                <w:sz w:val="18"/>
                <w:szCs w:val="20"/>
              </w:rPr>
            </w:pPr>
            <w:r w:rsidRPr="003D6220">
              <w:rPr>
                <w:rFonts w:cs="Arial"/>
                <w:sz w:val="18"/>
                <w:szCs w:val="20"/>
              </w:rPr>
              <w:t>Promover la certificación de los conocimientos, habilidades y destrezas correspondientes a una competencia ocupacional, adquiridos empíricamente a través de una evaluación.</w:t>
            </w:r>
          </w:p>
        </w:tc>
        <w:tc>
          <w:tcPr>
            <w:tcW w:w="2835" w:type="dxa"/>
            <w:shd w:val="clear" w:color="auto" w:fill="auto"/>
            <w:hideMark/>
          </w:tcPr>
          <w:p w14:paraId="082DE042" w14:textId="77777777" w:rsidR="00E23746" w:rsidRPr="003D6220" w:rsidRDefault="00E23746" w:rsidP="000B2F10">
            <w:pPr>
              <w:rPr>
                <w:rFonts w:cs="Arial"/>
                <w:sz w:val="18"/>
                <w:szCs w:val="20"/>
              </w:rPr>
            </w:pPr>
            <w:r w:rsidRPr="003D6220">
              <w:rPr>
                <w:rFonts w:cs="Arial"/>
                <w:sz w:val="18"/>
                <w:szCs w:val="20"/>
              </w:rPr>
              <w:t>C01.A04 - Certificación de las habilidades, destrezas y aptitudes de la población en Reconocimiento Oficial de la Competencia Ocupacional (ROCO).</w:t>
            </w:r>
          </w:p>
        </w:tc>
        <w:tc>
          <w:tcPr>
            <w:tcW w:w="2268" w:type="dxa"/>
            <w:shd w:val="clear" w:color="FFFFFF" w:fill="FFFFFF"/>
            <w:hideMark/>
          </w:tcPr>
          <w:p w14:paraId="6300E791" w14:textId="77777777" w:rsidR="00E23746" w:rsidRPr="003D6220" w:rsidRDefault="00E23746" w:rsidP="000B2F10">
            <w:pPr>
              <w:rPr>
                <w:rFonts w:cs="Arial"/>
                <w:sz w:val="18"/>
                <w:szCs w:val="20"/>
              </w:rPr>
            </w:pPr>
            <w:r w:rsidRPr="003D6220">
              <w:rPr>
                <w:rFonts w:cs="Arial"/>
                <w:sz w:val="18"/>
                <w:szCs w:val="20"/>
              </w:rPr>
              <w:t>C01A04 - Porcentaje de personas inscritas en evaluaciones para certificarse en Reconocimiento Oficial de la Competencia Ocupacional.</w:t>
            </w:r>
          </w:p>
        </w:tc>
        <w:tc>
          <w:tcPr>
            <w:tcW w:w="2693" w:type="dxa"/>
            <w:shd w:val="clear" w:color="auto" w:fill="auto"/>
            <w:hideMark/>
          </w:tcPr>
          <w:p w14:paraId="34C08A3B" w14:textId="77777777" w:rsidR="00E23746" w:rsidRPr="003D6220" w:rsidRDefault="00E23746" w:rsidP="000B2F10">
            <w:pPr>
              <w:rPr>
                <w:rFonts w:cs="Arial"/>
                <w:sz w:val="18"/>
                <w:szCs w:val="20"/>
              </w:rPr>
            </w:pPr>
            <w:r w:rsidRPr="003D6220">
              <w:rPr>
                <w:rFonts w:cs="Arial"/>
                <w:sz w:val="18"/>
                <w:szCs w:val="20"/>
              </w:rPr>
              <w:t>Concentrado de Resultados Académicos (Registro de Inscripción RI) http://qroo.gob.mx/icatqr/indicadores-de-desempeno.</w:t>
            </w:r>
          </w:p>
        </w:tc>
        <w:tc>
          <w:tcPr>
            <w:tcW w:w="2127" w:type="dxa"/>
            <w:shd w:val="clear" w:color="auto" w:fill="auto"/>
            <w:hideMark/>
          </w:tcPr>
          <w:p w14:paraId="62FBA62C" w14:textId="0AAC4354" w:rsidR="00E23746" w:rsidRPr="003D6220" w:rsidRDefault="00E23746" w:rsidP="00C60020">
            <w:pPr>
              <w:rPr>
                <w:rFonts w:cs="Arial"/>
                <w:sz w:val="18"/>
                <w:szCs w:val="20"/>
              </w:rPr>
            </w:pPr>
            <w:r w:rsidRPr="003D6220">
              <w:rPr>
                <w:rFonts w:cs="Arial"/>
                <w:sz w:val="18"/>
                <w:szCs w:val="20"/>
              </w:rPr>
              <w:t>Las personas se interesen en inscribirse en las evaluaciones para certificarse en Reconocimiento Oficial de la Competencia Ocupacional ofertados.</w:t>
            </w:r>
          </w:p>
        </w:tc>
      </w:tr>
      <w:tr w:rsidR="00C60020" w:rsidRPr="00574DAC" w14:paraId="76FC1230" w14:textId="77777777" w:rsidTr="006B434D">
        <w:trPr>
          <w:trHeight w:val="409"/>
        </w:trPr>
        <w:tc>
          <w:tcPr>
            <w:tcW w:w="1271" w:type="dxa"/>
            <w:shd w:val="clear" w:color="auto" w:fill="auto"/>
          </w:tcPr>
          <w:p w14:paraId="1DAF00F2" w14:textId="4D681AB8" w:rsidR="00C60020" w:rsidRDefault="00C60020" w:rsidP="00C60020">
            <w:pPr>
              <w:jc w:val="center"/>
              <w:rPr>
                <w:rFonts w:cs="Arial"/>
                <w:b/>
                <w:bCs/>
                <w:sz w:val="20"/>
                <w:szCs w:val="20"/>
              </w:rPr>
            </w:pPr>
            <w:r>
              <w:rPr>
                <w:rFonts w:cs="Arial"/>
                <w:b/>
                <w:bCs/>
                <w:sz w:val="20"/>
                <w:szCs w:val="20"/>
              </w:rPr>
              <w:t>Actividad</w:t>
            </w:r>
          </w:p>
        </w:tc>
        <w:tc>
          <w:tcPr>
            <w:tcW w:w="2835" w:type="dxa"/>
            <w:shd w:val="clear" w:color="auto" w:fill="auto"/>
          </w:tcPr>
          <w:p w14:paraId="5DC3FD4F" w14:textId="2DD5F337" w:rsidR="00C60020" w:rsidRPr="003D6220" w:rsidRDefault="00C60020" w:rsidP="00C60020">
            <w:pPr>
              <w:rPr>
                <w:rFonts w:cs="Arial"/>
                <w:sz w:val="18"/>
                <w:szCs w:val="20"/>
              </w:rPr>
            </w:pPr>
            <w:r>
              <w:rPr>
                <w:rFonts w:cs="Arial"/>
                <w:sz w:val="20"/>
                <w:szCs w:val="20"/>
              </w:rPr>
              <w:t>Promover la certificación de los conocimientos, habilidades y destrezas requeridas, para que una persona realice cualquier actividad productiva, social o de gobierno, con un nivel de alto desempeño a través de los Estándares de Competencia Laboral.</w:t>
            </w:r>
          </w:p>
        </w:tc>
        <w:tc>
          <w:tcPr>
            <w:tcW w:w="2835" w:type="dxa"/>
            <w:shd w:val="clear" w:color="auto" w:fill="auto"/>
          </w:tcPr>
          <w:p w14:paraId="42D99EC9" w14:textId="03E04DD1" w:rsidR="00C60020" w:rsidRPr="003D6220" w:rsidRDefault="00C60020" w:rsidP="00C60020">
            <w:pPr>
              <w:rPr>
                <w:rFonts w:cs="Arial"/>
                <w:sz w:val="18"/>
                <w:szCs w:val="20"/>
              </w:rPr>
            </w:pPr>
            <w:r>
              <w:rPr>
                <w:rFonts w:cs="Arial"/>
                <w:sz w:val="20"/>
                <w:szCs w:val="20"/>
              </w:rPr>
              <w:t>C01.A05 - Certificación de las habilidades, destrezas y aptitudes de la población en Estándares de Competencia Laboral (ECL).</w:t>
            </w:r>
          </w:p>
        </w:tc>
        <w:tc>
          <w:tcPr>
            <w:tcW w:w="2268" w:type="dxa"/>
            <w:shd w:val="clear" w:color="FFFFFF" w:fill="FFFFFF"/>
          </w:tcPr>
          <w:p w14:paraId="31AD4BC1" w14:textId="4F15ED51" w:rsidR="00C60020" w:rsidRPr="003D6220" w:rsidRDefault="00C60020" w:rsidP="00C60020">
            <w:pPr>
              <w:rPr>
                <w:rFonts w:cs="Arial"/>
                <w:sz w:val="18"/>
                <w:szCs w:val="20"/>
              </w:rPr>
            </w:pPr>
            <w:r>
              <w:rPr>
                <w:rFonts w:cs="Arial"/>
                <w:sz w:val="20"/>
                <w:szCs w:val="20"/>
              </w:rPr>
              <w:t>C01A05 - Porcentaje de personas inscritas en evaluaciones para certificarse en un Estándar de Competencia Laboral en todo el Estado.</w:t>
            </w:r>
          </w:p>
        </w:tc>
        <w:tc>
          <w:tcPr>
            <w:tcW w:w="2693" w:type="dxa"/>
            <w:shd w:val="clear" w:color="auto" w:fill="auto"/>
          </w:tcPr>
          <w:p w14:paraId="603FF092" w14:textId="173E2494" w:rsidR="00C60020" w:rsidRPr="003D6220" w:rsidRDefault="00C60020" w:rsidP="00C60020">
            <w:pPr>
              <w:rPr>
                <w:rFonts w:cs="Arial"/>
                <w:sz w:val="18"/>
                <w:szCs w:val="20"/>
              </w:rPr>
            </w:pPr>
            <w:r>
              <w:rPr>
                <w:rFonts w:cs="Arial"/>
                <w:sz w:val="20"/>
                <w:szCs w:val="20"/>
              </w:rPr>
              <w:t>Concentrado de Resultados Académicos (Registro de Inscripción RI) http://qroo.gob.mx/icatqr/indicadores-de-desempeno.</w:t>
            </w:r>
          </w:p>
        </w:tc>
        <w:tc>
          <w:tcPr>
            <w:tcW w:w="2127" w:type="dxa"/>
            <w:shd w:val="clear" w:color="auto" w:fill="auto"/>
          </w:tcPr>
          <w:p w14:paraId="0FFCF97E" w14:textId="460E07AC" w:rsidR="00C60020" w:rsidRPr="003D6220" w:rsidRDefault="00C60020" w:rsidP="00C60020">
            <w:pPr>
              <w:rPr>
                <w:rFonts w:cs="Arial"/>
                <w:sz w:val="18"/>
                <w:szCs w:val="20"/>
              </w:rPr>
            </w:pPr>
            <w:r>
              <w:rPr>
                <w:rFonts w:cs="Arial"/>
                <w:sz w:val="20"/>
                <w:szCs w:val="20"/>
              </w:rPr>
              <w:t>Las personas se interesen en inscribirse en las evaluaciones para certificarse en un Estándar de Competencia Laboral ofertados.</w:t>
            </w:r>
          </w:p>
        </w:tc>
      </w:tr>
    </w:tbl>
    <w:p w14:paraId="4632DB4E" w14:textId="1BF162DD" w:rsidR="00E23746" w:rsidRPr="003D6220" w:rsidRDefault="00E23746" w:rsidP="003D6220">
      <w:pPr>
        <w:rPr>
          <w:rFonts w:eastAsia="Calibri" w:cs="Arial"/>
          <w:bCs/>
          <w:color w:val="595959" w:themeColor="text1" w:themeTint="A6"/>
          <w:sz w:val="18"/>
          <w:szCs w:val="20"/>
        </w:rPr>
      </w:pPr>
      <w:r w:rsidRPr="0093279A">
        <w:rPr>
          <w:rFonts w:eastAsia="Calibri" w:cs="Arial"/>
          <w:bCs/>
          <w:color w:val="595959" w:themeColor="text1" w:themeTint="A6"/>
          <w:sz w:val="18"/>
          <w:szCs w:val="20"/>
        </w:rPr>
        <w:t>El anexo aquí presentado es perfectible, y se encuentra susceptible de modificaciones programáticas toda vez que así se le indique por observaciones de auditorías, evaluaciones al desempeño y revisiones de la Secretaría de Finanzas y Planeación antes y durante el ejercicio fiscal del que se trate, así como también, cuando las condiciones del Ente Público responsable de dicha información programática requiera hacer modificaciones a sus necesidades institucionales, atendiendo a lo establecido en los Lineamientos para la Creación, Modificación y Cancelación de Programas Presupuestarios y para la Modificación de Metas del Gobi</w:t>
      </w:r>
      <w:r w:rsidR="003D6220">
        <w:rPr>
          <w:rFonts w:eastAsia="Calibri" w:cs="Arial"/>
          <w:bCs/>
          <w:color w:val="595959" w:themeColor="text1" w:themeTint="A6"/>
          <w:sz w:val="18"/>
          <w:szCs w:val="20"/>
        </w:rPr>
        <w:t>erno del Estado de Quintana Roo</w:t>
      </w:r>
    </w:p>
    <w:p w14:paraId="5B82C64E" w14:textId="77777777" w:rsidR="00E23746" w:rsidRDefault="00E23746" w:rsidP="00E23746">
      <w:pPr>
        <w:rPr>
          <w:lang w:val="es-MX" w:eastAsia="en-US"/>
        </w:rPr>
      </w:pPr>
      <w:r>
        <w:rPr>
          <w:lang w:val="es-MX" w:eastAsia="en-US"/>
        </w:rPr>
        <w:br w:type="page"/>
      </w:r>
    </w:p>
    <w:tbl>
      <w:tblPr>
        <w:tblW w:w="14029" w:type="dxa"/>
        <w:tblLayout w:type="fixed"/>
        <w:tblCellMar>
          <w:left w:w="70" w:type="dxa"/>
          <w:right w:w="70" w:type="dxa"/>
        </w:tblCellMar>
        <w:tblLook w:val="04A0" w:firstRow="1" w:lastRow="0" w:firstColumn="1" w:lastColumn="0" w:noHBand="0" w:noVBand="1"/>
      </w:tblPr>
      <w:tblGrid>
        <w:gridCol w:w="1218"/>
        <w:gridCol w:w="2768"/>
        <w:gridCol w:w="2724"/>
        <w:gridCol w:w="2499"/>
        <w:gridCol w:w="2835"/>
        <w:gridCol w:w="1985"/>
      </w:tblGrid>
      <w:tr w:rsidR="00E23746" w:rsidRPr="006F7CAA" w14:paraId="0A4C1B69" w14:textId="77777777" w:rsidTr="000B2F10">
        <w:trPr>
          <w:trHeight w:val="735"/>
        </w:trPr>
        <w:tc>
          <w:tcPr>
            <w:tcW w:w="3986" w:type="dxa"/>
            <w:gridSpan w:val="2"/>
            <w:tcBorders>
              <w:top w:val="single" w:sz="4" w:space="0" w:color="auto"/>
              <w:left w:val="single" w:sz="4" w:space="0" w:color="auto"/>
              <w:bottom w:val="single" w:sz="4" w:space="0" w:color="auto"/>
              <w:right w:val="single" w:sz="4" w:space="0" w:color="000000"/>
            </w:tcBorders>
            <w:shd w:val="clear" w:color="000000" w:fill="BFBFBF"/>
            <w:vAlign w:val="center"/>
            <w:hideMark/>
          </w:tcPr>
          <w:p w14:paraId="42FE728E" w14:textId="77777777" w:rsidR="00E23746" w:rsidRPr="006F7CAA" w:rsidRDefault="00E23746" w:rsidP="000B2F10">
            <w:pPr>
              <w:spacing w:after="0" w:line="240" w:lineRule="auto"/>
              <w:jc w:val="center"/>
              <w:rPr>
                <w:rFonts w:eastAsia="Times New Roman" w:cs="Arial"/>
                <w:b/>
                <w:bCs/>
                <w:sz w:val="20"/>
                <w:szCs w:val="20"/>
                <w:lang w:val="es-MX" w:eastAsia="es-MX"/>
              </w:rPr>
            </w:pPr>
            <w:r w:rsidRPr="006F7CAA">
              <w:rPr>
                <w:rFonts w:eastAsia="Times New Roman" w:cs="Arial"/>
                <w:b/>
                <w:bCs/>
                <w:sz w:val="20"/>
                <w:szCs w:val="20"/>
                <w:lang w:val="es-MX" w:eastAsia="es-MX"/>
              </w:rPr>
              <w:lastRenderedPageBreak/>
              <w:t>PROGRAMA PRESUPUESTARIO:</w:t>
            </w:r>
          </w:p>
        </w:tc>
        <w:tc>
          <w:tcPr>
            <w:tcW w:w="10043" w:type="dxa"/>
            <w:gridSpan w:val="4"/>
            <w:tcBorders>
              <w:top w:val="single" w:sz="4" w:space="0" w:color="auto"/>
              <w:left w:val="nil"/>
              <w:bottom w:val="single" w:sz="4" w:space="0" w:color="auto"/>
              <w:right w:val="single" w:sz="4" w:space="0" w:color="auto"/>
            </w:tcBorders>
            <w:shd w:val="clear" w:color="auto" w:fill="auto"/>
            <w:vAlign w:val="center"/>
            <w:hideMark/>
          </w:tcPr>
          <w:p w14:paraId="367D91B8" w14:textId="77777777" w:rsidR="00E23746" w:rsidRPr="006F7CAA" w:rsidRDefault="00E23746" w:rsidP="000B2F10">
            <w:pPr>
              <w:spacing w:after="0" w:line="240" w:lineRule="auto"/>
              <w:jc w:val="left"/>
              <w:rPr>
                <w:rFonts w:eastAsia="Times New Roman" w:cs="Arial"/>
                <w:sz w:val="20"/>
                <w:szCs w:val="20"/>
                <w:lang w:val="es-MX" w:eastAsia="es-MX"/>
              </w:rPr>
            </w:pPr>
            <w:r w:rsidRPr="006F7CAA">
              <w:rPr>
                <w:rFonts w:eastAsia="Times New Roman" w:cs="Arial"/>
                <w:sz w:val="20"/>
                <w:szCs w:val="20"/>
                <w:lang w:val="es-MX" w:eastAsia="es-MX"/>
              </w:rPr>
              <w:t>Educación Media Superior.</w:t>
            </w:r>
          </w:p>
        </w:tc>
      </w:tr>
      <w:tr w:rsidR="00E23746" w:rsidRPr="006F7CAA" w14:paraId="28D2A8AF" w14:textId="77777777" w:rsidTr="000B2F10">
        <w:trPr>
          <w:trHeight w:val="570"/>
        </w:trPr>
        <w:tc>
          <w:tcPr>
            <w:tcW w:w="3986" w:type="dxa"/>
            <w:gridSpan w:val="2"/>
            <w:tcBorders>
              <w:top w:val="single" w:sz="4" w:space="0" w:color="auto"/>
              <w:left w:val="single" w:sz="4" w:space="0" w:color="auto"/>
              <w:bottom w:val="single" w:sz="4" w:space="0" w:color="auto"/>
              <w:right w:val="single" w:sz="4" w:space="0" w:color="000000"/>
            </w:tcBorders>
            <w:shd w:val="clear" w:color="000000" w:fill="BFBFBF"/>
            <w:vAlign w:val="center"/>
            <w:hideMark/>
          </w:tcPr>
          <w:p w14:paraId="24C43D46" w14:textId="77777777" w:rsidR="00E23746" w:rsidRPr="006F7CAA" w:rsidRDefault="00E23746" w:rsidP="000B2F10">
            <w:pPr>
              <w:spacing w:after="0" w:line="240" w:lineRule="auto"/>
              <w:jc w:val="center"/>
              <w:rPr>
                <w:rFonts w:eastAsia="Times New Roman" w:cs="Arial"/>
                <w:b/>
                <w:bCs/>
                <w:sz w:val="20"/>
                <w:szCs w:val="20"/>
                <w:lang w:val="es-MX" w:eastAsia="es-MX"/>
              </w:rPr>
            </w:pPr>
            <w:r w:rsidRPr="006F7CAA">
              <w:rPr>
                <w:rFonts w:eastAsia="Times New Roman" w:cs="Arial"/>
                <w:b/>
                <w:bCs/>
                <w:sz w:val="20"/>
                <w:szCs w:val="20"/>
                <w:lang w:val="es-MX" w:eastAsia="es-MX"/>
              </w:rPr>
              <w:t>INSTITUCIÓN:</w:t>
            </w:r>
          </w:p>
        </w:tc>
        <w:tc>
          <w:tcPr>
            <w:tcW w:w="10043" w:type="dxa"/>
            <w:gridSpan w:val="4"/>
            <w:tcBorders>
              <w:top w:val="single" w:sz="4" w:space="0" w:color="auto"/>
              <w:left w:val="nil"/>
              <w:bottom w:val="single" w:sz="4" w:space="0" w:color="auto"/>
              <w:right w:val="single" w:sz="4" w:space="0" w:color="auto"/>
            </w:tcBorders>
            <w:shd w:val="clear" w:color="auto" w:fill="auto"/>
            <w:vAlign w:val="center"/>
            <w:hideMark/>
          </w:tcPr>
          <w:p w14:paraId="176F6DC4" w14:textId="77777777" w:rsidR="00E23746" w:rsidRPr="006F7CAA" w:rsidRDefault="00E23746" w:rsidP="000B2F10">
            <w:pPr>
              <w:spacing w:after="0" w:line="240" w:lineRule="auto"/>
              <w:jc w:val="left"/>
              <w:rPr>
                <w:rFonts w:eastAsia="Times New Roman" w:cs="Arial"/>
                <w:sz w:val="20"/>
                <w:szCs w:val="20"/>
                <w:lang w:val="es-MX" w:eastAsia="es-MX"/>
              </w:rPr>
            </w:pPr>
            <w:r w:rsidRPr="006F7CAA">
              <w:rPr>
                <w:rFonts w:eastAsia="Times New Roman" w:cs="Arial"/>
                <w:sz w:val="20"/>
                <w:szCs w:val="20"/>
                <w:lang w:val="es-MX" w:eastAsia="es-MX"/>
              </w:rPr>
              <w:t>Colegio de Estudios Científicos y Tecnológicos de Quintana Roo.</w:t>
            </w:r>
          </w:p>
        </w:tc>
      </w:tr>
      <w:tr w:rsidR="00E23746" w:rsidRPr="006F7CAA" w14:paraId="30BFEFD5" w14:textId="77777777" w:rsidTr="000B2F10">
        <w:trPr>
          <w:trHeight w:val="120"/>
        </w:trPr>
        <w:tc>
          <w:tcPr>
            <w:tcW w:w="1218" w:type="dxa"/>
            <w:tcBorders>
              <w:top w:val="nil"/>
              <w:left w:val="nil"/>
              <w:bottom w:val="nil"/>
              <w:right w:val="nil"/>
            </w:tcBorders>
            <w:shd w:val="clear" w:color="auto" w:fill="auto"/>
            <w:hideMark/>
          </w:tcPr>
          <w:p w14:paraId="349E090F" w14:textId="77777777" w:rsidR="00E23746" w:rsidRPr="006F7CAA" w:rsidRDefault="00E23746" w:rsidP="000B2F10">
            <w:pPr>
              <w:spacing w:after="0" w:line="240" w:lineRule="auto"/>
              <w:jc w:val="left"/>
              <w:rPr>
                <w:rFonts w:eastAsia="Times New Roman" w:cs="Arial"/>
                <w:sz w:val="20"/>
                <w:szCs w:val="20"/>
                <w:lang w:val="es-MX" w:eastAsia="es-MX"/>
              </w:rPr>
            </w:pPr>
          </w:p>
        </w:tc>
        <w:tc>
          <w:tcPr>
            <w:tcW w:w="2768" w:type="dxa"/>
            <w:tcBorders>
              <w:top w:val="nil"/>
              <w:left w:val="nil"/>
              <w:bottom w:val="nil"/>
              <w:right w:val="nil"/>
            </w:tcBorders>
            <w:shd w:val="clear" w:color="auto" w:fill="auto"/>
            <w:hideMark/>
          </w:tcPr>
          <w:p w14:paraId="2DCE42DE" w14:textId="77777777" w:rsidR="00E23746" w:rsidRPr="006F7CAA" w:rsidRDefault="00E23746" w:rsidP="000B2F10">
            <w:pPr>
              <w:spacing w:after="0" w:line="240" w:lineRule="auto"/>
              <w:jc w:val="left"/>
              <w:rPr>
                <w:rFonts w:ascii="Times New Roman" w:eastAsia="Times New Roman" w:hAnsi="Times New Roman" w:cs="Times New Roman"/>
                <w:sz w:val="20"/>
                <w:szCs w:val="20"/>
                <w:lang w:val="es-MX" w:eastAsia="es-MX"/>
              </w:rPr>
            </w:pPr>
          </w:p>
        </w:tc>
        <w:tc>
          <w:tcPr>
            <w:tcW w:w="2724" w:type="dxa"/>
            <w:tcBorders>
              <w:top w:val="nil"/>
              <w:left w:val="nil"/>
              <w:bottom w:val="nil"/>
              <w:right w:val="nil"/>
            </w:tcBorders>
            <w:shd w:val="clear" w:color="auto" w:fill="auto"/>
            <w:vAlign w:val="center"/>
            <w:hideMark/>
          </w:tcPr>
          <w:p w14:paraId="5CE7FDE3" w14:textId="77777777" w:rsidR="00E23746" w:rsidRPr="006F7CAA" w:rsidRDefault="00E23746" w:rsidP="000B2F10">
            <w:pPr>
              <w:spacing w:after="0" w:line="240" w:lineRule="auto"/>
              <w:jc w:val="left"/>
              <w:rPr>
                <w:rFonts w:ascii="Times New Roman" w:eastAsia="Times New Roman" w:hAnsi="Times New Roman" w:cs="Times New Roman"/>
                <w:sz w:val="20"/>
                <w:szCs w:val="20"/>
                <w:lang w:val="es-MX" w:eastAsia="es-MX"/>
              </w:rPr>
            </w:pPr>
          </w:p>
        </w:tc>
        <w:tc>
          <w:tcPr>
            <w:tcW w:w="2499" w:type="dxa"/>
            <w:tcBorders>
              <w:top w:val="nil"/>
              <w:left w:val="nil"/>
              <w:bottom w:val="nil"/>
              <w:right w:val="nil"/>
            </w:tcBorders>
            <w:shd w:val="clear" w:color="auto" w:fill="auto"/>
            <w:hideMark/>
          </w:tcPr>
          <w:p w14:paraId="4B03D2FE" w14:textId="77777777" w:rsidR="00E23746" w:rsidRPr="006F7CAA" w:rsidRDefault="00E23746" w:rsidP="000B2F10">
            <w:pPr>
              <w:spacing w:after="0" w:line="240" w:lineRule="auto"/>
              <w:jc w:val="left"/>
              <w:rPr>
                <w:rFonts w:ascii="Times New Roman" w:eastAsia="Times New Roman" w:hAnsi="Times New Roman" w:cs="Times New Roman"/>
                <w:sz w:val="20"/>
                <w:szCs w:val="20"/>
                <w:lang w:val="es-MX" w:eastAsia="es-MX"/>
              </w:rPr>
            </w:pPr>
          </w:p>
        </w:tc>
        <w:tc>
          <w:tcPr>
            <w:tcW w:w="2835" w:type="dxa"/>
            <w:tcBorders>
              <w:top w:val="nil"/>
              <w:left w:val="nil"/>
              <w:bottom w:val="nil"/>
              <w:right w:val="nil"/>
            </w:tcBorders>
            <w:shd w:val="clear" w:color="auto" w:fill="auto"/>
            <w:vAlign w:val="center"/>
            <w:hideMark/>
          </w:tcPr>
          <w:p w14:paraId="6CC238D5" w14:textId="77777777" w:rsidR="00E23746" w:rsidRPr="006F7CAA" w:rsidRDefault="00E23746" w:rsidP="000B2F10">
            <w:pPr>
              <w:spacing w:after="0" w:line="240" w:lineRule="auto"/>
              <w:jc w:val="left"/>
              <w:rPr>
                <w:rFonts w:ascii="Times New Roman" w:eastAsia="Times New Roman" w:hAnsi="Times New Roman" w:cs="Times New Roman"/>
                <w:sz w:val="20"/>
                <w:szCs w:val="20"/>
                <w:lang w:val="es-MX" w:eastAsia="es-MX"/>
              </w:rPr>
            </w:pPr>
          </w:p>
        </w:tc>
        <w:tc>
          <w:tcPr>
            <w:tcW w:w="1985" w:type="dxa"/>
            <w:tcBorders>
              <w:top w:val="nil"/>
              <w:left w:val="nil"/>
              <w:bottom w:val="nil"/>
              <w:right w:val="nil"/>
            </w:tcBorders>
            <w:shd w:val="clear" w:color="auto" w:fill="auto"/>
            <w:vAlign w:val="center"/>
            <w:hideMark/>
          </w:tcPr>
          <w:p w14:paraId="720B260F" w14:textId="77777777" w:rsidR="00E23746" w:rsidRPr="006F7CAA" w:rsidRDefault="00E23746" w:rsidP="000B2F10">
            <w:pPr>
              <w:spacing w:after="0" w:line="240" w:lineRule="auto"/>
              <w:jc w:val="center"/>
              <w:rPr>
                <w:rFonts w:ascii="Times New Roman" w:eastAsia="Times New Roman" w:hAnsi="Times New Roman" w:cs="Times New Roman"/>
                <w:sz w:val="20"/>
                <w:szCs w:val="20"/>
                <w:lang w:val="es-MX" w:eastAsia="es-MX"/>
              </w:rPr>
            </w:pPr>
          </w:p>
        </w:tc>
      </w:tr>
      <w:tr w:rsidR="00E23746" w:rsidRPr="006F7CAA" w14:paraId="67D6CF61" w14:textId="77777777" w:rsidTr="006B434D">
        <w:trPr>
          <w:trHeight w:val="297"/>
        </w:trPr>
        <w:tc>
          <w:tcPr>
            <w:tcW w:w="14029" w:type="dxa"/>
            <w:gridSpan w:val="6"/>
            <w:tcBorders>
              <w:top w:val="single" w:sz="4" w:space="0" w:color="auto"/>
              <w:left w:val="single" w:sz="4" w:space="0" w:color="auto"/>
              <w:bottom w:val="single" w:sz="4" w:space="0" w:color="auto"/>
              <w:right w:val="single" w:sz="4" w:space="0" w:color="auto"/>
            </w:tcBorders>
            <w:shd w:val="clear" w:color="000000" w:fill="BFBFBF"/>
            <w:vAlign w:val="center"/>
            <w:hideMark/>
          </w:tcPr>
          <w:p w14:paraId="4E6084E3" w14:textId="77777777" w:rsidR="00E23746" w:rsidRPr="006F7CAA" w:rsidRDefault="00E23746" w:rsidP="000B2F10">
            <w:pPr>
              <w:spacing w:after="0" w:line="240" w:lineRule="auto"/>
              <w:jc w:val="center"/>
              <w:rPr>
                <w:rFonts w:eastAsia="Times New Roman" w:cs="Arial"/>
                <w:b/>
                <w:bCs/>
                <w:sz w:val="20"/>
                <w:szCs w:val="20"/>
                <w:lang w:val="es-MX" w:eastAsia="es-MX"/>
              </w:rPr>
            </w:pPr>
            <w:r w:rsidRPr="006F7CAA">
              <w:rPr>
                <w:rFonts w:eastAsia="Times New Roman" w:cs="Arial"/>
                <w:b/>
                <w:bCs/>
                <w:sz w:val="20"/>
                <w:szCs w:val="20"/>
                <w:lang w:val="es-MX" w:eastAsia="es-MX"/>
              </w:rPr>
              <w:t>MATRIZ DE INDICADORES PARA RESULTADOS (MIR)</w:t>
            </w:r>
          </w:p>
        </w:tc>
      </w:tr>
      <w:tr w:rsidR="00E23746" w:rsidRPr="006F7CAA" w14:paraId="5F1227F4" w14:textId="77777777" w:rsidTr="006B434D">
        <w:trPr>
          <w:trHeight w:val="938"/>
        </w:trPr>
        <w:tc>
          <w:tcPr>
            <w:tcW w:w="1218"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36DEB10D" w14:textId="77777777" w:rsidR="00E23746" w:rsidRPr="006F7CAA" w:rsidRDefault="00E23746" w:rsidP="000B2F10">
            <w:pPr>
              <w:spacing w:after="0" w:line="240" w:lineRule="auto"/>
              <w:jc w:val="center"/>
              <w:rPr>
                <w:rFonts w:eastAsia="Times New Roman" w:cs="Arial"/>
                <w:b/>
                <w:bCs/>
                <w:sz w:val="20"/>
                <w:szCs w:val="20"/>
                <w:lang w:val="es-MX" w:eastAsia="es-MX"/>
              </w:rPr>
            </w:pPr>
            <w:r w:rsidRPr="006F7CAA">
              <w:rPr>
                <w:rFonts w:eastAsia="Times New Roman" w:cs="Arial"/>
                <w:b/>
                <w:bCs/>
                <w:sz w:val="20"/>
                <w:szCs w:val="20"/>
                <w:lang w:val="es-MX" w:eastAsia="es-MX"/>
              </w:rPr>
              <w:t>NIVEL</w:t>
            </w:r>
          </w:p>
        </w:tc>
        <w:tc>
          <w:tcPr>
            <w:tcW w:w="2768" w:type="dxa"/>
            <w:tcBorders>
              <w:top w:val="single" w:sz="4" w:space="0" w:color="auto"/>
              <w:left w:val="nil"/>
              <w:bottom w:val="single" w:sz="4" w:space="0" w:color="auto"/>
              <w:right w:val="single" w:sz="4" w:space="0" w:color="auto"/>
            </w:tcBorders>
            <w:shd w:val="clear" w:color="000000" w:fill="BFBFBF"/>
            <w:vAlign w:val="center"/>
            <w:hideMark/>
          </w:tcPr>
          <w:p w14:paraId="183B2062" w14:textId="77777777" w:rsidR="00E23746" w:rsidRPr="006F7CAA" w:rsidRDefault="00E23746" w:rsidP="000B2F10">
            <w:pPr>
              <w:spacing w:after="0" w:line="240" w:lineRule="auto"/>
              <w:jc w:val="center"/>
              <w:rPr>
                <w:rFonts w:eastAsia="Times New Roman" w:cs="Arial"/>
                <w:b/>
                <w:bCs/>
                <w:sz w:val="20"/>
                <w:szCs w:val="20"/>
                <w:lang w:val="es-MX" w:eastAsia="es-MX"/>
              </w:rPr>
            </w:pPr>
            <w:r w:rsidRPr="006F7CAA">
              <w:rPr>
                <w:rFonts w:eastAsia="Times New Roman" w:cs="Arial"/>
                <w:b/>
                <w:bCs/>
                <w:sz w:val="20"/>
                <w:szCs w:val="20"/>
                <w:lang w:val="es-MX" w:eastAsia="es-MX"/>
              </w:rPr>
              <w:t>ALINEACIÓN PED/PD</w:t>
            </w:r>
          </w:p>
        </w:tc>
        <w:tc>
          <w:tcPr>
            <w:tcW w:w="2724" w:type="dxa"/>
            <w:tcBorders>
              <w:top w:val="single" w:sz="4" w:space="0" w:color="auto"/>
              <w:left w:val="nil"/>
              <w:bottom w:val="single" w:sz="4" w:space="0" w:color="auto"/>
              <w:right w:val="single" w:sz="4" w:space="0" w:color="auto"/>
            </w:tcBorders>
            <w:shd w:val="clear" w:color="000000" w:fill="BFBFBF"/>
            <w:vAlign w:val="center"/>
            <w:hideMark/>
          </w:tcPr>
          <w:p w14:paraId="2F560F38" w14:textId="77777777" w:rsidR="00E23746" w:rsidRPr="006F7CAA" w:rsidRDefault="00E23746" w:rsidP="000B2F10">
            <w:pPr>
              <w:spacing w:after="0" w:line="240" w:lineRule="auto"/>
              <w:jc w:val="center"/>
              <w:rPr>
                <w:rFonts w:eastAsia="Times New Roman" w:cs="Arial"/>
                <w:b/>
                <w:bCs/>
                <w:sz w:val="20"/>
                <w:szCs w:val="20"/>
                <w:lang w:val="es-MX" w:eastAsia="es-MX"/>
              </w:rPr>
            </w:pPr>
            <w:r w:rsidRPr="006F7CAA">
              <w:rPr>
                <w:rFonts w:eastAsia="Times New Roman" w:cs="Arial"/>
                <w:b/>
                <w:bCs/>
                <w:sz w:val="20"/>
                <w:szCs w:val="20"/>
                <w:lang w:val="es-MX" w:eastAsia="es-MX"/>
              </w:rPr>
              <w:t>OBJETIVO</w:t>
            </w:r>
          </w:p>
        </w:tc>
        <w:tc>
          <w:tcPr>
            <w:tcW w:w="2499" w:type="dxa"/>
            <w:tcBorders>
              <w:top w:val="single" w:sz="4" w:space="0" w:color="auto"/>
              <w:left w:val="nil"/>
              <w:bottom w:val="single" w:sz="4" w:space="0" w:color="auto"/>
              <w:right w:val="single" w:sz="4" w:space="0" w:color="auto"/>
            </w:tcBorders>
            <w:shd w:val="clear" w:color="000000" w:fill="BFBFBF"/>
            <w:vAlign w:val="center"/>
            <w:hideMark/>
          </w:tcPr>
          <w:p w14:paraId="139292FD" w14:textId="77777777" w:rsidR="00E23746" w:rsidRPr="006F7CAA" w:rsidRDefault="00E23746" w:rsidP="000B2F10">
            <w:pPr>
              <w:spacing w:after="0" w:line="240" w:lineRule="auto"/>
              <w:jc w:val="center"/>
              <w:rPr>
                <w:rFonts w:eastAsia="Times New Roman" w:cs="Arial"/>
                <w:b/>
                <w:bCs/>
                <w:sz w:val="20"/>
                <w:szCs w:val="20"/>
                <w:lang w:val="es-MX" w:eastAsia="es-MX"/>
              </w:rPr>
            </w:pPr>
            <w:r w:rsidRPr="006F7CAA">
              <w:rPr>
                <w:rFonts w:eastAsia="Times New Roman" w:cs="Arial"/>
                <w:b/>
                <w:bCs/>
                <w:sz w:val="20"/>
                <w:szCs w:val="20"/>
                <w:lang w:val="es-MX" w:eastAsia="es-MX"/>
              </w:rPr>
              <w:t>INDICADOR</w:t>
            </w:r>
          </w:p>
        </w:tc>
        <w:tc>
          <w:tcPr>
            <w:tcW w:w="2835" w:type="dxa"/>
            <w:tcBorders>
              <w:top w:val="single" w:sz="4" w:space="0" w:color="auto"/>
              <w:left w:val="nil"/>
              <w:bottom w:val="single" w:sz="4" w:space="0" w:color="auto"/>
              <w:right w:val="single" w:sz="4" w:space="0" w:color="auto"/>
            </w:tcBorders>
            <w:shd w:val="clear" w:color="000000" w:fill="BFBFBF"/>
            <w:vAlign w:val="center"/>
            <w:hideMark/>
          </w:tcPr>
          <w:p w14:paraId="791DBDDC" w14:textId="77777777" w:rsidR="00E23746" w:rsidRPr="006F7CAA" w:rsidRDefault="00E23746" w:rsidP="000B2F10">
            <w:pPr>
              <w:spacing w:after="0" w:line="240" w:lineRule="auto"/>
              <w:jc w:val="center"/>
              <w:rPr>
                <w:rFonts w:eastAsia="Times New Roman" w:cs="Arial"/>
                <w:b/>
                <w:bCs/>
                <w:sz w:val="20"/>
                <w:szCs w:val="20"/>
                <w:lang w:val="es-MX" w:eastAsia="es-MX"/>
              </w:rPr>
            </w:pPr>
            <w:r w:rsidRPr="006F7CAA">
              <w:rPr>
                <w:rFonts w:eastAsia="Times New Roman" w:cs="Arial"/>
                <w:b/>
                <w:bCs/>
                <w:sz w:val="20"/>
                <w:szCs w:val="20"/>
                <w:lang w:val="es-MX" w:eastAsia="es-MX"/>
              </w:rPr>
              <w:t>MEDIOS DE VERIFICACIÓN</w:t>
            </w:r>
          </w:p>
        </w:tc>
        <w:tc>
          <w:tcPr>
            <w:tcW w:w="1985" w:type="dxa"/>
            <w:tcBorders>
              <w:top w:val="single" w:sz="4" w:space="0" w:color="auto"/>
              <w:left w:val="nil"/>
              <w:bottom w:val="single" w:sz="4" w:space="0" w:color="auto"/>
              <w:right w:val="single" w:sz="4" w:space="0" w:color="auto"/>
            </w:tcBorders>
            <w:shd w:val="clear" w:color="000000" w:fill="BFBFBF"/>
            <w:vAlign w:val="center"/>
            <w:hideMark/>
          </w:tcPr>
          <w:p w14:paraId="0509ABD8" w14:textId="77777777" w:rsidR="00E23746" w:rsidRPr="006F7CAA" w:rsidRDefault="00E23746" w:rsidP="000B2F10">
            <w:pPr>
              <w:spacing w:after="0" w:line="240" w:lineRule="auto"/>
              <w:jc w:val="center"/>
              <w:rPr>
                <w:rFonts w:eastAsia="Times New Roman" w:cs="Arial"/>
                <w:b/>
                <w:bCs/>
                <w:sz w:val="20"/>
                <w:szCs w:val="20"/>
                <w:lang w:val="es-MX" w:eastAsia="es-MX"/>
              </w:rPr>
            </w:pPr>
            <w:r w:rsidRPr="006F7CAA">
              <w:rPr>
                <w:rFonts w:eastAsia="Times New Roman" w:cs="Arial"/>
                <w:b/>
                <w:bCs/>
                <w:sz w:val="20"/>
                <w:szCs w:val="20"/>
                <w:lang w:val="es-MX" w:eastAsia="es-MX"/>
              </w:rPr>
              <w:t>SUPUESTO</w:t>
            </w:r>
          </w:p>
        </w:tc>
      </w:tr>
      <w:tr w:rsidR="00E23746" w:rsidRPr="006F7CAA" w14:paraId="49EE11CA" w14:textId="77777777" w:rsidTr="006B434D">
        <w:trPr>
          <w:trHeight w:val="2160"/>
        </w:trPr>
        <w:tc>
          <w:tcPr>
            <w:tcW w:w="1218" w:type="dxa"/>
            <w:tcBorders>
              <w:top w:val="single" w:sz="4" w:space="0" w:color="auto"/>
              <w:left w:val="single" w:sz="4" w:space="0" w:color="auto"/>
              <w:bottom w:val="single" w:sz="4" w:space="0" w:color="auto"/>
              <w:right w:val="single" w:sz="4" w:space="0" w:color="auto"/>
            </w:tcBorders>
            <w:shd w:val="clear" w:color="auto" w:fill="auto"/>
            <w:hideMark/>
          </w:tcPr>
          <w:p w14:paraId="5693951B" w14:textId="77777777" w:rsidR="00E23746" w:rsidRPr="006F7CAA" w:rsidRDefault="00E23746" w:rsidP="000B2F10">
            <w:pPr>
              <w:spacing w:after="0" w:line="240" w:lineRule="auto"/>
              <w:jc w:val="center"/>
              <w:rPr>
                <w:rFonts w:eastAsia="Times New Roman" w:cs="Arial"/>
                <w:b/>
                <w:bCs/>
                <w:sz w:val="20"/>
                <w:szCs w:val="20"/>
                <w:lang w:val="es-MX" w:eastAsia="es-MX"/>
              </w:rPr>
            </w:pPr>
            <w:r w:rsidRPr="006F7CAA">
              <w:rPr>
                <w:rFonts w:eastAsia="Times New Roman" w:cs="Arial"/>
                <w:b/>
                <w:bCs/>
                <w:sz w:val="20"/>
                <w:szCs w:val="20"/>
                <w:lang w:val="es-MX" w:eastAsia="es-MX"/>
              </w:rPr>
              <w:t>Fin</w:t>
            </w:r>
          </w:p>
        </w:tc>
        <w:tc>
          <w:tcPr>
            <w:tcW w:w="2768" w:type="dxa"/>
            <w:tcBorders>
              <w:top w:val="single" w:sz="4" w:space="0" w:color="auto"/>
              <w:left w:val="single" w:sz="4" w:space="0" w:color="auto"/>
              <w:bottom w:val="single" w:sz="4" w:space="0" w:color="auto"/>
              <w:right w:val="single" w:sz="4" w:space="0" w:color="auto"/>
            </w:tcBorders>
            <w:shd w:val="clear" w:color="auto" w:fill="auto"/>
            <w:hideMark/>
          </w:tcPr>
          <w:p w14:paraId="76CC0200" w14:textId="77777777" w:rsidR="00E23746" w:rsidRPr="006F7CAA" w:rsidRDefault="00E23746" w:rsidP="000B2F10">
            <w:pPr>
              <w:spacing w:after="0" w:line="240" w:lineRule="auto"/>
              <w:rPr>
                <w:rFonts w:eastAsia="Times New Roman" w:cs="Arial"/>
                <w:sz w:val="20"/>
                <w:szCs w:val="20"/>
                <w:lang w:val="es-MX" w:eastAsia="es-MX"/>
              </w:rPr>
            </w:pPr>
            <w:r w:rsidRPr="006F7CAA">
              <w:rPr>
                <w:rFonts w:eastAsia="Times New Roman" w:cs="Arial"/>
                <w:sz w:val="20"/>
                <w:szCs w:val="20"/>
                <w:lang w:val="es-MX" w:eastAsia="es-MX"/>
              </w:rPr>
              <w:t>Garantizar el acceso y permanencia a una educación inclusiva y de calidad en todos los niveles educativos que promueva en los educandos aprendizajes para la vida.</w:t>
            </w:r>
          </w:p>
        </w:tc>
        <w:tc>
          <w:tcPr>
            <w:tcW w:w="2724" w:type="dxa"/>
            <w:tcBorders>
              <w:top w:val="single" w:sz="4" w:space="0" w:color="auto"/>
              <w:left w:val="single" w:sz="4" w:space="0" w:color="auto"/>
              <w:bottom w:val="single" w:sz="4" w:space="0" w:color="auto"/>
              <w:right w:val="single" w:sz="4" w:space="0" w:color="auto"/>
            </w:tcBorders>
            <w:shd w:val="clear" w:color="auto" w:fill="auto"/>
            <w:hideMark/>
          </w:tcPr>
          <w:p w14:paraId="0B75A800" w14:textId="77777777" w:rsidR="00E23746" w:rsidRDefault="00E23746" w:rsidP="000B2F10">
            <w:pPr>
              <w:spacing w:after="0" w:line="240" w:lineRule="auto"/>
              <w:rPr>
                <w:rFonts w:eastAsia="Times New Roman" w:cs="Arial"/>
                <w:sz w:val="20"/>
                <w:szCs w:val="20"/>
                <w:lang w:val="es-MX" w:eastAsia="es-MX"/>
              </w:rPr>
            </w:pPr>
            <w:r w:rsidRPr="006F7CAA">
              <w:rPr>
                <w:rFonts w:eastAsia="Times New Roman" w:cs="Arial"/>
                <w:sz w:val="20"/>
                <w:szCs w:val="20"/>
                <w:lang w:val="es-MX" w:eastAsia="es-MX"/>
              </w:rPr>
              <w:t xml:space="preserve">F - Contribuir a garantizar el acceso y permanencia a una educación inclusiva y de calidad en todos los niveles educativos que promueva en los educandos aprendizajes para la vida mediante estrategias de atención a la demanda y permanencia en todos los niveles educativos. </w:t>
            </w:r>
          </w:p>
          <w:p w14:paraId="3BBAADFD" w14:textId="77777777" w:rsidR="00E23746" w:rsidRDefault="00E23746" w:rsidP="000B2F10">
            <w:pPr>
              <w:spacing w:after="0" w:line="240" w:lineRule="auto"/>
              <w:rPr>
                <w:rFonts w:eastAsia="Times New Roman" w:cs="Arial"/>
                <w:sz w:val="20"/>
                <w:szCs w:val="20"/>
                <w:lang w:val="es-MX" w:eastAsia="es-MX"/>
              </w:rPr>
            </w:pPr>
          </w:p>
          <w:p w14:paraId="03B1A046" w14:textId="77777777" w:rsidR="00E23746" w:rsidRPr="006F7CAA" w:rsidRDefault="00E23746" w:rsidP="000B2F10">
            <w:pPr>
              <w:spacing w:after="0" w:line="240" w:lineRule="auto"/>
              <w:rPr>
                <w:rFonts w:eastAsia="Times New Roman" w:cs="Arial"/>
                <w:sz w:val="20"/>
                <w:szCs w:val="20"/>
                <w:lang w:val="es-MX" w:eastAsia="es-MX"/>
              </w:rPr>
            </w:pPr>
          </w:p>
        </w:tc>
        <w:tc>
          <w:tcPr>
            <w:tcW w:w="2499" w:type="dxa"/>
            <w:tcBorders>
              <w:top w:val="single" w:sz="4" w:space="0" w:color="auto"/>
              <w:left w:val="single" w:sz="4" w:space="0" w:color="auto"/>
              <w:bottom w:val="single" w:sz="4" w:space="0" w:color="auto"/>
              <w:right w:val="single" w:sz="4" w:space="0" w:color="auto"/>
            </w:tcBorders>
            <w:shd w:val="clear" w:color="auto" w:fill="auto"/>
            <w:hideMark/>
          </w:tcPr>
          <w:p w14:paraId="505E5D58" w14:textId="77777777" w:rsidR="00E23746" w:rsidRPr="006F7CAA" w:rsidRDefault="00E23746" w:rsidP="000B2F10">
            <w:pPr>
              <w:spacing w:after="0" w:line="240" w:lineRule="auto"/>
              <w:rPr>
                <w:rFonts w:eastAsia="Times New Roman" w:cs="Arial"/>
                <w:sz w:val="20"/>
                <w:szCs w:val="20"/>
                <w:lang w:val="es-MX" w:eastAsia="es-MX"/>
              </w:rPr>
            </w:pPr>
            <w:r w:rsidRPr="006F7CAA">
              <w:rPr>
                <w:rFonts w:eastAsia="Times New Roman" w:cs="Arial"/>
                <w:sz w:val="20"/>
                <w:szCs w:val="20"/>
                <w:lang w:val="es-MX" w:eastAsia="es-MX"/>
              </w:rPr>
              <w:t>Tasa de cobertura estatal de educación media superior.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F2FD07C" w14:textId="77777777" w:rsidR="00E23746" w:rsidRPr="006F7CAA" w:rsidRDefault="00E23746" w:rsidP="000B2F10">
            <w:pPr>
              <w:spacing w:after="0" w:line="240" w:lineRule="auto"/>
              <w:rPr>
                <w:rFonts w:eastAsia="Times New Roman" w:cs="Arial"/>
                <w:sz w:val="20"/>
                <w:szCs w:val="20"/>
                <w:lang w:val="es-MX" w:eastAsia="es-MX"/>
              </w:rPr>
            </w:pPr>
            <w:r w:rsidRPr="00846E84">
              <w:rPr>
                <w:rFonts w:eastAsia="Times New Roman" w:cs="Arial"/>
                <w:sz w:val="20"/>
                <w:szCs w:val="20"/>
                <w:lang w:val="es-MX" w:eastAsia="es-MX"/>
              </w:rPr>
              <w:t>Estadísticas continúas del formato 911, matrícula de inicio de ciclo escolar, SEQ. Proyecciones de población por edad desplegada, entidad federativa (Quintana Roo) 1970-2050, CONAPO, https://qroo.gob.mx/seq/medios-de-verificacion-de-la-planeacion-anual</w:t>
            </w:r>
            <w:r>
              <w:rPr>
                <w:rFonts w:eastAsia="Times New Roman" w:cs="Arial"/>
                <w:sz w:val="20"/>
                <w:szCs w:val="20"/>
                <w:lang w:val="es-MX" w:eastAsia="es-MX"/>
              </w:rPr>
              <w:t>.</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785E04E1" w14:textId="77777777" w:rsidR="00E23746" w:rsidRPr="006F7CAA" w:rsidRDefault="00E23746" w:rsidP="000B2F10">
            <w:pPr>
              <w:spacing w:after="0" w:line="240" w:lineRule="auto"/>
              <w:rPr>
                <w:rFonts w:eastAsia="Times New Roman" w:cs="Arial"/>
                <w:sz w:val="20"/>
                <w:szCs w:val="20"/>
                <w:lang w:val="es-MX" w:eastAsia="es-MX"/>
              </w:rPr>
            </w:pPr>
            <w:r>
              <w:rPr>
                <w:rFonts w:cs="Arial"/>
                <w:sz w:val="20"/>
                <w:szCs w:val="20"/>
              </w:rPr>
              <w:t>La población del Estado obtiene una educación integral de calidad que les permite progresar individual y colectivamente.</w:t>
            </w:r>
          </w:p>
        </w:tc>
      </w:tr>
      <w:tr w:rsidR="00E23746" w:rsidRPr="006F7CAA" w14:paraId="372AD165" w14:textId="77777777" w:rsidTr="006B434D">
        <w:trPr>
          <w:trHeight w:val="2003"/>
        </w:trPr>
        <w:tc>
          <w:tcPr>
            <w:tcW w:w="1218" w:type="dxa"/>
            <w:tcBorders>
              <w:top w:val="single" w:sz="4" w:space="0" w:color="auto"/>
              <w:left w:val="single" w:sz="4" w:space="0" w:color="auto"/>
              <w:bottom w:val="single" w:sz="4" w:space="0" w:color="auto"/>
              <w:right w:val="single" w:sz="4" w:space="0" w:color="auto"/>
            </w:tcBorders>
            <w:shd w:val="clear" w:color="auto" w:fill="auto"/>
            <w:hideMark/>
          </w:tcPr>
          <w:p w14:paraId="4D2D5B82" w14:textId="77777777" w:rsidR="00E23746" w:rsidRPr="006F7CAA" w:rsidRDefault="00E23746" w:rsidP="000B2F10">
            <w:pPr>
              <w:spacing w:after="0" w:line="240" w:lineRule="auto"/>
              <w:jc w:val="center"/>
              <w:rPr>
                <w:rFonts w:eastAsia="Times New Roman" w:cs="Arial"/>
                <w:b/>
                <w:bCs/>
                <w:sz w:val="20"/>
                <w:szCs w:val="20"/>
                <w:lang w:val="es-MX" w:eastAsia="es-MX"/>
              </w:rPr>
            </w:pPr>
            <w:r w:rsidRPr="006F7CAA">
              <w:rPr>
                <w:rFonts w:eastAsia="Times New Roman" w:cs="Arial"/>
                <w:b/>
                <w:bCs/>
                <w:sz w:val="20"/>
                <w:szCs w:val="20"/>
                <w:lang w:val="es-MX" w:eastAsia="es-MX"/>
              </w:rPr>
              <w:t>Propósito</w:t>
            </w:r>
          </w:p>
        </w:tc>
        <w:tc>
          <w:tcPr>
            <w:tcW w:w="2768" w:type="dxa"/>
            <w:tcBorders>
              <w:top w:val="single" w:sz="4" w:space="0" w:color="auto"/>
              <w:left w:val="single" w:sz="4" w:space="0" w:color="auto"/>
              <w:bottom w:val="single" w:sz="4" w:space="0" w:color="auto"/>
              <w:right w:val="single" w:sz="4" w:space="0" w:color="auto"/>
            </w:tcBorders>
            <w:shd w:val="clear" w:color="auto" w:fill="auto"/>
            <w:hideMark/>
          </w:tcPr>
          <w:p w14:paraId="601C5DFF" w14:textId="77777777" w:rsidR="00E23746" w:rsidRPr="006F7CAA" w:rsidRDefault="00E23746" w:rsidP="000B2F10">
            <w:pPr>
              <w:spacing w:after="0" w:line="240" w:lineRule="auto"/>
              <w:rPr>
                <w:rFonts w:eastAsia="Times New Roman" w:cs="Arial"/>
                <w:sz w:val="20"/>
                <w:szCs w:val="20"/>
                <w:lang w:val="es-MX" w:eastAsia="es-MX"/>
              </w:rPr>
            </w:pPr>
            <w:r w:rsidRPr="006F7CAA">
              <w:rPr>
                <w:rFonts w:eastAsia="Times New Roman" w:cs="Arial"/>
                <w:sz w:val="20"/>
                <w:szCs w:val="20"/>
                <w:lang w:val="es-MX" w:eastAsia="es-MX"/>
              </w:rPr>
              <w:t>Brindar una educación media superior de calidad relevante y pertinente centrada en el mejoramiento del desempeño escolar del estudiante.</w:t>
            </w:r>
          </w:p>
        </w:tc>
        <w:tc>
          <w:tcPr>
            <w:tcW w:w="2724" w:type="dxa"/>
            <w:tcBorders>
              <w:top w:val="single" w:sz="4" w:space="0" w:color="auto"/>
              <w:left w:val="single" w:sz="4" w:space="0" w:color="auto"/>
              <w:bottom w:val="single" w:sz="4" w:space="0" w:color="auto"/>
              <w:right w:val="single" w:sz="4" w:space="0" w:color="auto"/>
            </w:tcBorders>
            <w:shd w:val="clear" w:color="auto" w:fill="auto"/>
            <w:hideMark/>
          </w:tcPr>
          <w:p w14:paraId="3B4EDC53" w14:textId="77777777" w:rsidR="00E23746" w:rsidRPr="006F7CAA" w:rsidRDefault="00E23746" w:rsidP="000B2F10">
            <w:pPr>
              <w:spacing w:after="0" w:line="240" w:lineRule="auto"/>
              <w:rPr>
                <w:rFonts w:eastAsia="Times New Roman" w:cs="Arial"/>
                <w:sz w:val="20"/>
                <w:szCs w:val="20"/>
                <w:lang w:val="es-MX" w:eastAsia="es-MX"/>
              </w:rPr>
            </w:pPr>
            <w:r w:rsidRPr="006F7CAA">
              <w:rPr>
                <w:rFonts w:eastAsia="Times New Roman" w:cs="Arial"/>
                <w:sz w:val="20"/>
                <w:szCs w:val="20"/>
                <w:lang w:val="es-MX" w:eastAsia="es-MX"/>
              </w:rPr>
              <w:t>P - Los alumnos de educación media superior reciben una educación de calidad relevante y pertinente centrada en el mejoramiento de su desempeño escolar.</w:t>
            </w:r>
          </w:p>
        </w:tc>
        <w:tc>
          <w:tcPr>
            <w:tcW w:w="2499" w:type="dxa"/>
            <w:tcBorders>
              <w:top w:val="single" w:sz="4" w:space="0" w:color="auto"/>
              <w:left w:val="single" w:sz="4" w:space="0" w:color="auto"/>
              <w:bottom w:val="single" w:sz="4" w:space="0" w:color="auto"/>
              <w:right w:val="single" w:sz="4" w:space="0" w:color="auto"/>
            </w:tcBorders>
            <w:shd w:val="clear" w:color="auto" w:fill="auto"/>
            <w:hideMark/>
          </w:tcPr>
          <w:p w14:paraId="5B672A14" w14:textId="77777777" w:rsidR="00E23746" w:rsidRPr="006F7CAA" w:rsidRDefault="00E23746" w:rsidP="000B2F10">
            <w:pPr>
              <w:spacing w:after="0" w:line="240" w:lineRule="auto"/>
              <w:rPr>
                <w:rFonts w:eastAsia="Times New Roman" w:cs="Arial"/>
                <w:sz w:val="20"/>
                <w:szCs w:val="20"/>
                <w:lang w:val="es-MX" w:eastAsia="es-MX"/>
              </w:rPr>
            </w:pPr>
            <w:r w:rsidRPr="006F7CAA">
              <w:rPr>
                <w:rFonts w:eastAsia="Times New Roman" w:cs="Arial"/>
                <w:sz w:val="20"/>
                <w:szCs w:val="20"/>
                <w:lang w:val="es-MX" w:eastAsia="es-MX"/>
              </w:rPr>
              <w:t>Porcentaje de los alumnos que concluyen  el último semestre de educación media superior con un promedio mayor o igual a 8</w:t>
            </w:r>
            <w:r>
              <w:rPr>
                <w:rFonts w:eastAsia="Times New Roman" w:cs="Arial"/>
                <w:sz w:val="20"/>
                <w:szCs w:val="20"/>
                <w:lang w:val="es-MX" w:eastAsia="es-MX"/>
              </w:rPr>
              <w: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D80B2B1" w14:textId="4E7B8E66" w:rsidR="00E23746" w:rsidRPr="006F7CAA" w:rsidRDefault="00E23746" w:rsidP="000B2F10">
            <w:pPr>
              <w:spacing w:after="0" w:line="240" w:lineRule="auto"/>
              <w:rPr>
                <w:rFonts w:eastAsia="Times New Roman" w:cs="Arial"/>
                <w:sz w:val="20"/>
                <w:szCs w:val="20"/>
                <w:lang w:val="es-MX" w:eastAsia="es-MX"/>
              </w:rPr>
            </w:pPr>
            <w:r>
              <w:rPr>
                <w:rFonts w:cs="Arial"/>
                <w:sz w:val="20"/>
                <w:szCs w:val="20"/>
              </w:rPr>
              <w:t xml:space="preserve">Tabla de promedios generales del último semestre de educación media superior, Subsecretaría de Educación Media y Superior, </w:t>
            </w:r>
            <w:hyperlink r:id="rId63" w:history="1">
              <w:r w:rsidRPr="003135B9">
                <w:rPr>
                  <w:rStyle w:val="Hipervnculo"/>
                  <w:rFonts w:cs="Arial"/>
                  <w:sz w:val="20"/>
                  <w:szCs w:val="20"/>
                </w:rPr>
                <w:t>https://qroo.gob.mx/seq/medios-de-verificacion-de-la-planeacion-anual</w:t>
              </w:r>
              <w:r w:rsidRPr="003135B9">
                <w:rPr>
                  <w:rStyle w:val="Hipervnculo"/>
                  <w:rFonts w:eastAsia="Times New Roman" w:cs="Arial"/>
                  <w:sz w:val="20"/>
                  <w:szCs w:val="20"/>
                  <w:lang w:val="es-MX" w:eastAsia="es-MX"/>
                </w:rPr>
                <w:t>/medios-de-verificacion-de-la-planeacion-anual</w:t>
              </w:r>
            </w:hyperlink>
          </w:p>
        </w:tc>
        <w:tc>
          <w:tcPr>
            <w:tcW w:w="1985" w:type="dxa"/>
            <w:tcBorders>
              <w:top w:val="single" w:sz="4" w:space="0" w:color="auto"/>
              <w:left w:val="single" w:sz="4" w:space="0" w:color="auto"/>
              <w:bottom w:val="single" w:sz="4" w:space="0" w:color="auto"/>
              <w:right w:val="single" w:sz="4" w:space="0" w:color="auto"/>
            </w:tcBorders>
            <w:shd w:val="clear" w:color="FFFFFF" w:fill="FFFFFF"/>
            <w:hideMark/>
          </w:tcPr>
          <w:p w14:paraId="1D53E953" w14:textId="77777777" w:rsidR="00E23746" w:rsidRPr="006F7CAA" w:rsidRDefault="00E23746" w:rsidP="000B2F10">
            <w:pPr>
              <w:spacing w:after="0" w:line="240" w:lineRule="auto"/>
              <w:rPr>
                <w:rFonts w:eastAsia="Times New Roman" w:cs="Arial"/>
                <w:sz w:val="20"/>
                <w:szCs w:val="20"/>
                <w:lang w:val="es-MX" w:eastAsia="es-MX"/>
              </w:rPr>
            </w:pPr>
            <w:r w:rsidRPr="006F7CAA">
              <w:rPr>
                <w:rFonts w:eastAsia="Times New Roman" w:cs="Arial"/>
                <w:sz w:val="20"/>
                <w:szCs w:val="20"/>
                <w:lang w:val="es-MX" w:eastAsia="es-MX"/>
              </w:rPr>
              <w:t>Los alumnos concluyen su educación básica.</w:t>
            </w:r>
          </w:p>
        </w:tc>
      </w:tr>
    </w:tbl>
    <w:p w14:paraId="419EC281" w14:textId="77777777" w:rsidR="00D345CB" w:rsidRDefault="00D345CB">
      <w:pPr>
        <w:spacing w:after="0" w:line="240" w:lineRule="auto"/>
        <w:jc w:val="left"/>
      </w:pPr>
      <w:r>
        <w:br w:type="page"/>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13"/>
        <w:gridCol w:w="2573"/>
        <w:gridCol w:w="2724"/>
        <w:gridCol w:w="2499"/>
        <w:gridCol w:w="2835"/>
        <w:gridCol w:w="1985"/>
      </w:tblGrid>
      <w:tr w:rsidR="00E23746" w:rsidRPr="006F7CAA" w14:paraId="7B3AE90B" w14:textId="77777777" w:rsidTr="00A2626C">
        <w:trPr>
          <w:trHeight w:val="550"/>
        </w:trPr>
        <w:tc>
          <w:tcPr>
            <w:tcW w:w="1413" w:type="dxa"/>
            <w:shd w:val="clear" w:color="000000" w:fill="BFBFBF"/>
            <w:vAlign w:val="center"/>
            <w:hideMark/>
          </w:tcPr>
          <w:p w14:paraId="00AFEB08" w14:textId="77777777" w:rsidR="00E23746" w:rsidRPr="006F7CAA" w:rsidRDefault="00E23746" w:rsidP="000B2F10">
            <w:pPr>
              <w:spacing w:after="0" w:line="240" w:lineRule="auto"/>
              <w:jc w:val="center"/>
              <w:rPr>
                <w:rFonts w:eastAsia="Times New Roman" w:cs="Arial"/>
                <w:b/>
                <w:bCs/>
                <w:sz w:val="20"/>
                <w:szCs w:val="20"/>
                <w:lang w:val="es-MX" w:eastAsia="es-MX"/>
              </w:rPr>
            </w:pPr>
            <w:r w:rsidRPr="006F7CAA">
              <w:rPr>
                <w:rFonts w:eastAsia="Times New Roman" w:cs="Arial"/>
                <w:b/>
                <w:bCs/>
                <w:sz w:val="20"/>
                <w:szCs w:val="20"/>
                <w:lang w:val="es-MX" w:eastAsia="es-MX"/>
              </w:rPr>
              <w:lastRenderedPageBreak/>
              <w:t>NIVEL</w:t>
            </w:r>
          </w:p>
        </w:tc>
        <w:tc>
          <w:tcPr>
            <w:tcW w:w="2573" w:type="dxa"/>
            <w:shd w:val="clear" w:color="000000" w:fill="BFBFBF"/>
            <w:vAlign w:val="center"/>
            <w:hideMark/>
          </w:tcPr>
          <w:p w14:paraId="77D8557D" w14:textId="77777777" w:rsidR="00E23746" w:rsidRPr="006F7CAA" w:rsidRDefault="00E23746" w:rsidP="000B2F10">
            <w:pPr>
              <w:spacing w:after="0" w:line="240" w:lineRule="auto"/>
              <w:jc w:val="center"/>
              <w:rPr>
                <w:rFonts w:eastAsia="Times New Roman" w:cs="Arial"/>
                <w:b/>
                <w:bCs/>
                <w:sz w:val="20"/>
                <w:szCs w:val="20"/>
                <w:lang w:val="es-MX" w:eastAsia="es-MX"/>
              </w:rPr>
            </w:pPr>
            <w:r w:rsidRPr="006F7CAA">
              <w:rPr>
                <w:rFonts w:eastAsia="Times New Roman" w:cs="Arial"/>
                <w:b/>
                <w:bCs/>
                <w:sz w:val="20"/>
                <w:szCs w:val="20"/>
                <w:lang w:val="es-MX" w:eastAsia="es-MX"/>
              </w:rPr>
              <w:t>ALINEACIÓN PED/PD</w:t>
            </w:r>
          </w:p>
        </w:tc>
        <w:tc>
          <w:tcPr>
            <w:tcW w:w="2724" w:type="dxa"/>
            <w:shd w:val="clear" w:color="000000" w:fill="BFBFBF"/>
            <w:vAlign w:val="center"/>
            <w:hideMark/>
          </w:tcPr>
          <w:p w14:paraId="41549678" w14:textId="77777777" w:rsidR="00E23746" w:rsidRPr="006F7CAA" w:rsidRDefault="00E23746" w:rsidP="000B2F10">
            <w:pPr>
              <w:spacing w:after="0" w:line="240" w:lineRule="auto"/>
              <w:jc w:val="center"/>
              <w:rPr>
                <w:rFonts w:eastAsia="Times New Roman" w:cs="Arial"/>
                <w:b/>
                <w:bCs/>
                <w:sz w:val="20"/>
                <w:szCs w:val="20"/>
                <w:lang w:val="es-MX" w:eastAsia="es-MX"/>
              </w:rPr>
            </w:pPr>
            <w:r w:rsidRPr="006F7CAA">
              <w:rPr>
                <w:rFonts w:eastAsia="Times New Roman" w:cs="Arial"/>
                <w:b/>
                <w:bCs/>
                <w:sz w:val="20"/>
                <w:szCs w:val="20"/>
                <w:lang w:val="es-MX" w:eastAsia="es-MX"/>
              </w:rPr>
              <w:t>OBJETIVO</w:t>
            </w:r>
          </w:p>
        </w:tc>
        <w:tc>
          <w:tcPr>
            <w:tcW w:w="2499" w:type="dxa"/>
            <w:shd w:val="clear" w:color="000000" w:fill="BFBFBF"/>
            <w:vAlign w:val="center"/>
            <w:hideMark/>
          </w:tcPr>
          <w:p w14:paraId="651D5AEC" w14:textId="77777777" w:rsidR="00E23746" w:rsidRPr="006F7CAA" w:rsidRDefault="00E23746" w:rsidP="000B2F10">
            <w:pPr>
              <w:spacing w:after="0" w:line="240" w:lineRule="auto"/>
              <w:jc w:val="center"/>
              <w:rPr>
                <w:rFonts w:eastAsia="Times New Roman" w:cs="Arial"/>
                <w:b/>
                <w:bCs/>
                <w:sz w:val="20"/>
                <w:szCs w:val="20"/>
                <w:lang w:val="es-MX" w:eastAsia="es-MX"/>
              </w:rPr>
            </w:pPr>
            <w:r w:rsidRPr="006F7CAA">
              <w:rPr>
                <w:rFonts w:eastAsia="Times New Roman" w:cs="Arial"/>
                <w:b/>
                <w:bCs/>
                <w:sz w:val="20"/>
                <w:szCs w:val="20"/>
                <w:lang w:val="es-MX" w:eastAsia="es-MX"/>
              </w:rPr>
              <w:t>INDICADOR</w:t>
            </w:r>
          </w:p>
        </w:tc>
        <w:tc>
          <w:tcPr>
            <w:tcW w:w="2835" w:type="dxa"/>
            <w:shd w:val="clear" w:color="000000" w:fill="BFBFBF"/>
            <w:vAlign w:val="center"/>
            <w:hideMark/>
          </w:tcPr>
          <w:p w14:paraId="32360E11" w14:textId="77777777" w:rsidR="00E23746" w:rsidRPr="006F7CAA" w:rsidRDefault="00E23746" w:rsidP="000B2F10">
            <w:pPr>
              <w:spacing w:after="0" w:line="240" w:lineRule="auto"/>
              <w:jc w:val="center"/>
              <w:rPr>
                <w:rFonts w:eastAsia="Times New Roman" w:cs="Arial"/>
                <w:b/>
                <w:bCs/>
                <w:sz w:val="20"/>
                <w:szCs w:val="20"/>
                <w:lang w:val="es-MX" w:eastAsia="es-MX"/>
              </w:rPr>
            </w:pPr>
            <w:r w:rsidRPr="006F7CAA">
              <w:rPr>
                <w:rFonts w:eastAsia="Times New Roman" w:cs="Arial"/>
                <w:b/>
                <w:bCs/>
                <w:sz w:val="20"/>
                <w:szCs w:val="20"/>
                <w:lang w:val="es-MX" w:eastAsia="es-MX"/>
              </w:rPr>
              <w:t>MEDIOS DE VERIFICACIÓN</w:t>
            </w:r>
          </w:p>
        </w:tc>
        <w:tc>
          <w:tcPr>
            <w:tcW w:w="1985" w:type="dxa"/>
            <w:shd w:val="clear" w:color="000000" w:fill="BFBFBF"/>
            <w:vAlign w:val="center"/>
            <w:hideMark/>
          </w:tcPr>
          <w:p w14:paraId="5EC65F17" w14:textId="77777777" w:rsidR="00E23746" w:rsidRPr="006F7CAA" w:rsidRDefault="00E23746" w:rsidP="000B2F10">
            <w:pPr>
              <w:spacing w:after="0" w:line="240" w:lineRule="auto"/>
              <w:jc w:val="center"/>
              <w:rPr>
                <w:rFonts w:eastAsia="Times New Roman" w:cs="Arial"/>
                <w:b/>
                <w:bCs/>
                <w:sz w:val="20"/>
                <w:szCs w:val="20"/>
                <w:lang w:val="es-MX" w:eastAsia="es-MX"/>
              </w:rPr>
            </w:pPr>
            <w:r w:rsidRPr="006F7CAA">
              <w:rPr>
                <w:rFonts w:eastAsia="Times New Roman" w:cs="Arial"/>
                <w:b/>
                <w:bCs/>
                <w:sz w:val="20"/>
                <w:szCs w:val="20"/>
                <w:lang w:val="es-MX" w:eastAsia="es-MX"/>
              </w:rPr>
              <w:t>SUPUESTO</w:t>
            </w:r>
          </w:p>
        </w:tc>
      </w:tr>
      <w:tr w:rsidR="00E23746" w:rsidRPr="006F7CAA" w14:paraId="51C76D07" w14:textId="77777777" w:rsidTr="00A2626C">
        <w:trPr>
          <w:trHeight w:val="1685"/>
        </w:trPr>
        <w:tc>
          <w:tcPr>
            <w:tcW w:w="1413" w:type="dxa"/>
            <w:shd w:val="clear" w:color="auto" w:fill="auto"/>
            <w:hideMark/>
          </w:tcPr>
          <w:p w14:paraId="1E0B3639" w14:textId="77777777" w:rsidR="00E23746" w:rsidRPr="006F7CAA" w:rsidRDefault="00E23746" w:rsidP="000B2F10">
            <w:pPr>
              <w:spacing w:after="0" w:line="240" w:lineRule="auto"/>
              <w:jc w:val="center"/>
              <w:rPr>
                <w:rFonts w:eastAsia="Times New Roman" w:cs="Arial"/>
                <w:b/>
                <w:bCs/>
                <w:sz w:val="20"/>
                <w:szCs w:val="20"/>
                <w:lang w:val="es-MX" w:eastAsia="es-MX"/>
              </w:rPr>
            </w:pPr>
            <w:r>
              <w:rPr>
                <w:rFonts w:eastAsia="Times New Roman" w:cs="Arial"/>
                <w:b/>
                <w:bCs/>
                <w:sz w:val="20"/>
                <w:szCs w:val="20"/>
                <w:lang w:val="es-MX" w:eastAsia="es-MX"/>
              </w:rPr>
              <w:t>Componente</w:t>
            </w:r>
          </w:p>
        </w:tc>
        <w:tc>
          <w:tcPr>
            <w:tcW w:w="2573" w:type="dxa"/>
            <w:shd w:val="clear" w:color="auto" w:fill="auto"/>
            <w:hideMark/>
          </w:tcPr>
          <w:p w14:paraId="70FD3CB6" w14:textId="7C51A39A" w:rsidR="00E23746" w:rsidRPr="006F7CAA" w:rsidRDefault="00E23746" w:rsidP="009F36C9">
            <w:pPr>
              <w:spacing w:after="0" w:line="240" w:lineRule="auto"/>
              <w:rPr>
                <w:rFonts w:eastAsia="Times New Roman" w:cs="Arial"/>
                <w:sz w:val="20"/>
                <w:szCs w:val="20"/>
                <w:lang w:val="es-MX" w:eastAsia="es-MX"/>
              </w:rPr>
            </w:pPr>
            <w:r w:rsidRPr="006F7CAA">
              <w:rPr>
                <w:rFonts w:eastAsia="Times New Roman" w:cs="Arial"/>
                <w:sz w:val="20"/>
                <w:szCs w:val="20"/>
                <w:lang w:val="es-MX" w:eastAsia="es-MX"/>
              </w:rPr>
              <w:t>Impulsar estrategias para fortalecer la comprensión de lectura, escritura y pensamiento lógico matemático y demás áreas del conocimiento en escuelas a nivel medio superior.</w:t>
            </w:r>
          </w:p>
        </w:tc>
        <w:tc>
          <w:tcPr>
            <w:tcW w:w="2724" w:type="dxa"/>
            <w:shd w:val="clear" w:color="auto" w:fill="auto"/>
            <w:hideMark/>
          </w:tcPr>
          <w:p w14:paraId="3E0EF938" w14:textId="77777777" w:rsidR="00E23746" w:rsidRPr="006F7CAA" w:rsidRDefault="00E23746" w:rsidP="000B2F10">
            <w:pPr>
              <w:spacing w:after="0" w:line="240" w:lineRule="auto"/>
              <w:rPr>
                <w:rFonts w:eastAsia="Times New Roman" w:cs="Arial"/>
                <w:sz w:val="20"/>
                <w:szCs w:val="20"/>
                <w:lang w:val="es-MX" w:eastAsia="es-MX"/>
              </w:rPr>
            </w:pPr>
            <w:r w:rsidRPr="006F7CAA">
              <w:rPr>
                <w:rFonts w:eastAsia="Times New Roman" w:cs="Arial"/>
                <w:sz w:val="20"/>
                <w:szCs w:val="20"/>
                <w:lang w:val="es-MX" w:eastAsia="es-MX"/>
              </w:rPr>
              <w:t>C01 - Alumnos con desempeño escolar mejorado.</w:t>
            </w:r>
          </w:p>
        </w:tc>
        <w:tc>
          <w:tcPr>
            <w:tcW w:w="2499" w:type="dxa"/>
            <w:shd w:val="clear" w:color="auto" w:fill="auto"/>
            <w:hideMark/>
          </w:tcPr>
          <w:p w14:paraId="5F7BB0C9" w14:textId="77777777" w:rsidR="00E23746" w:rsidRPr="006F7CAA" w:rsidRDefault="00E23746" w:rsidP="000B2F10">
            <w:pPr>
              <w:spacing w:after="0" w:line="240" w:lineRule="auto"/>
              <w:rPr>
                <w:rFonts w:eastAsia="Times New Roman" w:cs="Arial"/>
                <w:sz w:val="20"/>
                <w:szCs w:val="20"/>
                <w:lang w:val="es-MX" w:eastAsia="es-MX"/>
              </w:rPr>
            </w:pPr>
            <w:r w:rsidRPr="006F7CAA">
              <w:rPr>
                <w:rFonts w:eastAsia="Times New Roman" w:cs="Arial"/>
                <w:sz w:val="20"/>
                <w:szCs w:val="20"/>
                <w:lang w:val="es-MX" w:eastAsia="es-MX"/>
              </w:rPr>
              <w:t>C01 - Promedio de aprovechamiento.</w:t>
            </w:r>
          </w:p>
        </w:tc>
        <w:tc>
          <w:tcPr>
            <w:tcW w:w="2835" w:type="dxa"/>
            <w:shd w:val="clear" w:color="auto" w:fill="auto"/>
            <w:hideMark/>
          </w:tcPr>
          <w:p w14:paraId="2739E7E3" w14:textId="77777777" w:rsidR="00E23746" w:rsidRPr="006F7CAA" w:rsidRDefault="00E23746" w:rsidP="000B2F10">
            <w:pPr>
              <w:spacing w:after="0" w:line="240" w:lineRule="auto"/>
              <w:rPr>
                <w:rFonts w:eastAsia="Times New Roman" w:cs="Arial"/>
                <w:sz w:val="20"/>
                <w:szCs w:val="20"/>
                <w:lang w:val="es-MX" w:eastAsia="es-MX"/>
              </w:rPr>
            </w:pPr>
            <w:r w:rsidRPr="006F7CAA">
              <w:rPr>
                <w:rFonts w:eastAsia="Times New Roman" w:cs="Arial"/>
                <w:sz w:val="20"/>
                <w:szCs w:val="20"/>
                <w:lang w:val="es-MX" w:eastAsia="es-MX"/>
              </w:rPr>
              <w:t>Dirección Académica.</w:t>
            </w:r>
            <w:r>
              <w:rPr>
                <w:rFonts w:eastAsia="Times New Roman" w:cs="Arial"/>
                <w:sz w:val="20"/>
                <w:szCs w:val="20"/>
                <w:lang w:val="es-MX" w:eastAsia="es-MX"/>
              </w:rPr>
              <w:t xml:space="preserve"> </w:t>
            </w:r>
            <w:r w:rsidRPr="006F7CAA">
              <w:rPr>
                <w:rFonts w:eastAsia="Times New Roman" w:cs="Arial"/>
                <w:sz w:val="20"/>
                <w:szCs w:val="20"/>
                <w:lang w:val="es-MX" w:eastAsia="es-MX"/>
              </w:rPr>
              <w:t>Estadísticos de Control Escolar. www.cecyteqroo.edu.mx</w:t>
            </w:r>
          </w:p>
        </w:tc>
        <w:tc>
          <w:tcPr>
            <w:tcW w:w="1985" w:type="dxa"/>
            <w:shd w:val="clear" w:color="auto" w:fill="auto"/>
            <w:hideMark/>
          </w:tcPr>
          <w:p w14:paraId="7381B346" w14:textId="77777777" w:rsidR="00E23746" w:rsidRPr="006F7CAA" w:rsidRDefault="00E23746" w:rsidP="000B2F10">
            <w:pPr>
              <w:spacing w:after="0" w:line="240" w:lineRule="auto"/>
              <w:rPr>
                <w:rFonts w:eastAsia="Times New Roman" w:cs="Arial"/>
                <w:sz w:val="20"/>
                <w:szCs w:val="20"/>
                <w:lang w:val="es-MX" w:eastAsia="es-MX"/>
              </w:rPr>
            </w:pPr>
            <w:r w:rsidRPr="006F7CAA">
              <w:rPr>
                <w:rFonts w:eastAsia="Times New Roman" w:cs="Arial"/>
                <w:sz w:val="20"/>
                <w:szCs w:val="20"/>
                <w:lang w:val="es-MX" w:eastAsia="es-MX"/>
              </w:rPr>
              <w:t>Los alumnos mejoran su nivel promedio de aprovechamiento.</w:t>
            </w:r>
          </w:p>
        </w:tc>
      </w:tr>
      <w:tr w:rsidR="00E23746" w:rsidRPr="006F7CAA" w14:paraId="324BAE06" w14:textId="77777777" w:rsidTr="00A2626C">
        <w:trPr>
          <w:trHeight w:val="2220"/>
        </w:trPr>
        <w:tc>
          <w:tcPr>
            <w:tcW w:w="1413" w:type="dxa"/>
            <w:shd w:val="clear" w:color="auto" w:fill="auto"/>
            <w:hideMark/>
          </w:tcPr>
          <w:p w14:paraId="6AAE9542" w14:textId="77777777" w:rsidR="00E23746" w:rsidRPr="006F7CAA" w:rsidRDefault="00E23746" w:rsidP="000B2F10">
            <w:pPr>
              <w:spacing w:after="0" w:line="240" w:lineRule="auto"/>
              <w:jc w:val="center"/>
              <w:rPr>
                <w:rFonts w:eastAsia="Times New Roman" w:cs="Arial"/>
                <w:b/>
                <w:bCs/>
                <w:sz w:val="20"/>
                <w:szCs w:val="20"/>
                <w:lang w:val="es-MX" w:eastAsia="es-MX"/>
              </w:rPr>
            </w:pPr>
            <w:r>
              <w:rPr>
                <w:rFonts w:eastAsia="Times New Roman" w:cs="Arial"/>
                <w:b/>
                <w:bCs/>
                <w:sz w:val="20"/>
                <w:szCs w:val="20"/>
                <w:lang w:val="es-MX" w:eastAsia="es-MX"/>
              </w:rPr>
              <w:t>Actividad</w:t>
            </w:r>
          </w:p>
        </w:tc>
        <w:tc>
          <w:tcPr>
            <w:tcW w:w="2573" w:type="dxa"/>
            <w:shd w:val="clear" w:color="auto" w:fill="auto"/>
            <w:hideMark/>
          </w:tcPr>
          <w:p w14:paraId="17EBC3BA" w14:textId="48BD25F5" w:rsidR="00E23746" w:rsidRPr="006F7CAA" w:rsidRDefault="00E23746" w:rsidP="009F36C9">
            <w:pPr>
              <w:spacing w:after="0" w:line="240" w:lineRule="auto"/>
              <w:rPr>
                <w:rFonts w:eastAsia="Times New Roman" w:cs="Arial"/>
                <w:sz w:val="20"/>
                <w:szCs w:val="20"/>
                <w:lang w:val="es-MX" w:eastAsia="es-MX"/>
              </w:rPr>
            </w:pPr>
            <w:r w:rsidRPr="006F7CAA">
              <w:rPr>
                <w:rFonts w:eastAsia="Times New Roman" w:cs="Arial"/>
                <w:sz w:val="20"/>
                <w:szCs w:val="20"/>
                <w:lang w:val="es-MX" w:eastAsia="es-MX"/>
              </w:rPr>
              <w:t>Promover con metodologías pedagógicas y uso de materiales didácticos la comprensión lectora, escritura y fortalecimiento lógico matemático (lenguaje matemático) para favorecer el logro de los aprendizajes esperados en los estudiantes de educación media superior.</w:t>
            </w:r>
          </w:p>
        </w:tc>
        <w:tc>
          <w:tcPr>
            <w:tcW w:w="2724" w:type="dxa"/>
            <w:shd w:val="clear" w:color="auto" w:fill="auto"/>
            <w:hideMark/>
          </w:tcPr>
          <w:p w14:paraId="4AC06374" w14:textId="77777777" w:rsidR="00E23746" w:rsidRPr="006F7CAA" w:rsidRDefault="00E23746" w:rsidP="000B2F10">
            <w:pPr>
              <w:spacing w:after="0" w:line="240" w:lineRule="auto"/>
              <w:rPr>
                <w:rFonts w:eastAsia="Times New Roman" w:cs="Arial"/>
                <w:sz w:val="20"/>
                <w:szCs w:val="20"/>
                <w:lang w:val="es-MX" w:eastAsia="es-MX"/>
              </w:rPr>
            </w:pPr>
            <w:r w:rsidRPr="006F7CAA">
              <w:rPr>
                <w:rFonts w:eastAsia="Times New Roman" w:cs="Arial"/>
                <w:sz w:val="20"/>
                <w:szCs w:val="20"/>
                <w:lang w:val="es-MX" w:eastAsia="es-MX"/>
              </w:rPr>
              <w:t>C01.A01 - Evaluación del nivel de desarrollo de las habilidades correspondiente a los reactivos tipo PLANEA 2017.</w:t>
            </w:r>
          </w:p>
        </w:tc>
        <w:tc>
          <w:tcPr>
            <w:tcW w:w="2499" w:type="dxa"/>
            <w:shd w:val="clear" w:color="auto" w:fill="auto"/>
            <w:hideMark/>
          </w:tcPr>
          <w:p w14:paraId="51B42B69" w14:textId="77777777" w:rsidR="00E23746" w:rsidRPr="006F7CAA" w:rsidRDefault="00E23746" w:rsidP="000B2F10">
            <w:pPr>
              <w:spacing w:after="0" w:line="240" w:lineRule="auto"/>
              <w:rPr>
                <w:rFonts w:eastAsia="Times New Roman" w:cs="Arial"/>
                <w:sz w:val="20"/>
                <w:szCs w:val="20"/>
                <w:lang w:val="es-MX" w:eastAsia="es-MX"/>
              </w:rPr>
            </w:pPr>
            <w:r w:rsidRPr="006F7CAA">
              <w:rPr>
                <w:rFonts w:eastAsia="Times New Roman" w:cs="Arial"/>
                <w:sz w:val="20"/>
                <w:szCs w:val="20"/>
                <w:lang w:val="es-MX" w:eastAsia="es-MX"/>
              </w:rPr>
              <w:t>C01A01 - Porcentaje de aciertos en la Prueba Interna Tipo PLANEA.</w:t>
            </w:r>
          </w:p>
        </w:tc>
        <w:tc>
          <w:tcPr>
            <w:tcW w:w="2835" w:type="dxa"/>
            <w:shd w:val="clear" w:color="auto" w:fill="auto"/>
            <w:hideMark/>
          </w:tcPr>
          <w:p w14:paraId="07F245EC" w14:textId="77777777" w:rsidR="00E23746" w:rsidRPr="006F7CAA" w:rsidRDefault="00E23746" w:rsidP="000B2F10">
            <w:pPr>
              <w:spacing w:after="0" w:line="240" w:lineRule="auto"/>
              <w:rPr>
                <w:rFonts w:eastAsia="Times New Roman" w:cs="Arial"/>
                <w:sz w:val="20"/>
                <w:szCs w:val="20"/>
                <w:lang w:val="es-MX" w:eastAsia="es-MX"/>
              </w:rPr>
            </w:pPr>
            <w:r w:rsidRPr="006F7CAA">
              <w:rPr>
                <w:rFonts w:eastAsia="Times New Roman" w:cs="Arial"/>
                <w:sz w:val="20"/>
                <w:szCs w:val="20"/>
                <w:lang w:val="es-MX" w:eastAsia="es-MX"/>
              </w:rPr>
              <w:t>Dirección Académica. Base de datos de los resultados de la aplicación interna de la prueba tipo PLANEA 2017. www.cecyteqroo.edu.mx</w:t>
            </w:r>
            <w:r>
              <w:rPr>
                <w:rFonts w:eastAsia="Times New Roman" w:cs="Arial"/>
                <w:sz w:val="20"/>
                <w:szCs w:val="20"/>
                <w:lang w:val="es-MX" w:eastAsia="es-MX"/>
              </w:rPr>
              <w:t>.</w:t>
            </w:r>
          </w:p>
        </w:tc>
        <w:tc>
          <w:tcPr>
            <w:tcW w:w="1985" w:type="dxa"/>
            <w:shd w:val="clear" w:color="auto" w:fill="auto"/>
            <w:hideMark/>
          </w:tcPr>
          <w:p w14:paraId="74711BFD" w14:textId="77777777" w:rsidR="00E23746" w:rsidRPr="006F7CAA" w:rsidRDefault="00E23746" w:rsidP="000B2F10">
            <w:pPr>
              <w:spacing w:after="0" w:line="240" w:lineRule="auto"/>
              <w:rPr>
                <w:rFonts w:eastAsia="Times New Roman" w:cs="Arial"/>
                <w:sz w:val="20"/>
                <w:szCs w:val="20"/>
                <w:lang w:val="es-MX" w:eastAsia="es-MX"/>
              </w:rPr>
            </w:pPr>
            <w:r w:rsidRPr="006F7CAA">
              <w:rPr>
                <w:rFonts w:eastAsia="Times New Roman" w:cs="Arial"/>
                <w:sz w:val="20"/>
                <w:szCs w:val="20"/>
                <w:lang w:val="es-MX" w:eastAsia="es-MX"/>
              </w:rPr>
              <w:t>Los alumnos asisten a la Prueba PLANEA.</w:t>
            </w:r>
          </w:p>
        </w:tc>
      </w:tr>
      <w:tr w:rsidR="00E23746" w:rsidRPr="006F7CAA" w14:paraId="4F4A9F46" w14:textId="77777777" w:rsidTr="00A2626C">
        <w:trPr>
          <w:trHeight w:val="1872"/>
        </w:trPr>
        <w:tc>
          <w:tcPr>
            <w:tcW w:w="1413" w:type="dxa"/>
            <w:shd w:val="clear" w:color="auto" w:fill="auto"/>
            <w:hideMark/>
          </w:tcPr>
          <w:p w14:paraId="1C5FF26D" w14:textId="77777777" w:rsidR="00E23746" w:rsidRPr="006F7CAA" w:rsidRDefault="00E23746" w:rsidP="000B2F10">
            <w:pPr>
              <w:spacing w:after="0" w:line="240" w:lineRule="auto"/>
              <w:jc w:val="center"/>
              <w:rPr>
                <w:rFonts w:eastAsia="Times New Roman" w:cs="Arial"/>
                <w:b/>
                <w:bCs/>
                <w:sz w:val="20"/>
                <w:szCs w:val="20"/>
                <w:lang w:val="es-MX" w:eastAsia="es-MX"/>
              </w:rPr>
            </w:pPr>
            <w:r>
              <w:rPr>
                <w:rFonts w:eastAsia="Times New Roman" w:cs="Arial"/>
                <w:b/>
                <w:bCs/>
                <w:sz w:val="20"/>
                <w:szCs w:val="20"/>
                <w:lang w:val="es-MX" w:eastAsia="es-MX"/>
              </w:rPr>
              <w:t>Actividad</w:t>
            </w:r>
          </w:p>
        </w:tc>
        <w:tc>
          <w:tcPr>
            <w:tcW w:w="2573" w:type="dxa"/>
            <w:shd w:val="clear" w:color="auto" w:fill="auto"/>
            <w:hideMark/>
          </w:tcPr>
          <w:p w14:paraId="4010E7F7" w14:textId="6CDE05CD" w:rsidR="00E23746" w:rsidRPr="006F7CAA" w:rsidRDefault="00E23746" w:rsidP="00A2626C">
            <w:pPr>
              <w:spacing w:after="0" w:line="240" w:lineRule="auto"/>
              <w:rPr>
                <w:rFonts w:eastAsia="Times New Roman" w:cs="Arial"/>
                <w:sz w:val="20"/>
                <w:szCs w:val="20"/>
                <w:lang w:val="es-MX" w:eastAsia="es-MX"/>
              </w:rPr>
            </w:pPr>
            <w:r w:rsidRPr="006F7CAA">
              <w:rPr>
                <w:rFonts w:eastAsia="Times New Roman" w:cs="Arial"/>
                <w:sz w:val="20"/>
                <w:szCs w:val="20"/>
                <w:lang w:val="es-MX" w:eastAsia="es-MX"/>
              </w:rPr>
              <w:t>Implementación de programas para fortalecer las habilidades socio-emocionales, recreativas, y de prevención de adicciones en los estudiantes y docentes como una estrategia trasversal que considere valores humanistas.</w:t>
            </w:r>
          </w:p>
        </w:tc>
        <w:tc>
          <w:tcPr>
            <w:tcW w:w="2724" w:type="dxa"/>
            <w:shd w:val="clear" w:color="auto" w:fill="auto"/>
            <w:hideMark/>
          </w:tcPr>
          <w:p w14:paraId="639FCA11" w14:textId="77777777" w:rsidR="00E23746" w:rsidRPr="006F7CAA" w:rsidRDefault="00E23746" w:rsidP="000B2F10">
            <w:pPr>
              <w:spacing w:after="0" w:line="240" w:lineRule="auto"/>
              <w:rPr>
                <w:rFonts w:eastAsia="Times New Roman" w:cs="Arial"/>
                <w:sz w:val="20"/>
                <w:szCs w:val="20"/>
                <w:lang w:val="es-MX" w:eastAsia="es-MX"/>
              </w:rPr>
            </w:pPr>
            <w:r w:rsidRPr="006F7CAA">
              <w:rPr>
                <w:rFonts w:eastAsia="Times New Roman" w:cs="Arial"/>
                <w:sz w:val="20"/>
                <w:szCs w:val="20"/>
                <w:lang w:val="es-MX" w:eastAsia="es-MX"/>
              </w:rPr>
              <w:t>C01.A02 - Acompañamiento y orientación a los docentes validados en los procesos de ingreso y promoción.</w:t>
            </w:r>
          </w:p>
        </w:tc>
        <w:tc>
          <w:tcPr>
            <w:tcW w:w="2499" w:type="dxa"/>
            <w:shd w:val="clear" w:color="auto" w:fill="auto"/>
            <w:hideMark/>
          </w:tcPr>
          <w:p w14:paraId="0417D821" w14:textId="77777777" w:rsidR="00E23746" w:rsidRPr="006F7CAA" w:rsidRDefault="00E23746" w:rsidP="000B2F10">
            <w:pPr>
              <w:spacing w:after="0" w:line="240" w:lineRule="auto"/>
              <w:rPr>
                <w:rFonts w:eastAsia="Times New Roman" w:cs="Arial"/>
                <w:sz w:val="20"/>
                <w:szCs w:val="20"/>
                <w:lang w:val="es-MX" w:eastAsia="es-MX"/>
              </w:rPr>
            </w:pPr>
            <w:r w:rsidRPr="006F7CAA">
              <w:rPr>
                <w:rFonts w:eastAsia="Times New Roman" w:cs="Arial"/>
                <w:sz w:val="20"/>
                <w:szCs w:val="20"/>
                <w:lang w:val="es-MX" w:eastAsia="es-MX"/>
              </w:rPr>
              <w:t>C01A02 - Porcentaje de docentes atendidos.</w:t>
            </w:r>
          </w:p>
        </w:tc>
        <w:tc>
          <w:tcPr>
            <w:tcW w:w="2835" w:type="dxa"/>
            <w:shd w:val="clear" w:color="auto" w:fill="auto"/>
            <w:hideMark/>
          </w:tcPr>
          <w:p w14:paraId="21CB1752" w14:textId="77777777" w:rsidR="00E23746" w:rsidRPr="006F7CAA" w:rsidRDefault="00E23746" w:rsidP="000B2F10">
            <w:pPr>
              <w:spacing w:after="0" w:line="240" w:lineRule="auto"/>
              <w:rPr>
                <w:rFonts w:eastAsia="Times New Roman" w:cs="Arial"/>
                <w:sz w:val="20"/>
                <w:szCs w:val="20"/>
                <w:lang w:val="es-MX" w:eastAsia="es-MX"/>
              </w:rPr>
            </w:pPr>
            <w:r w:rsidRPr="006F7CAA">
              <w:rPr>
                <w:rFonts w:eastAsia="Times New Roman" w:cs="Arial"/>
                <w:sz w:val="20"/>
                <w:szCs w:val="20"/>
                <w:lang w:val="es-MX" w:eastAsia="es-MX"/>
              </w:rPr>
              <w:t>Dirección Académica. Lista de asistencia. www.cecyteqroo.edu.mx</w:t>
            </w:r>
          </w:p>
        </w:tc>
        <w:tc>
          <w:tcPr>
            <w:tcW w:w="1985" w:type="dxa"/>
            <w:shd w:val="clear" w:color="auto" w:fill="auto"/>
            <w:hideMark/>
          </w:tcPr>
          <w:p w14:paraId="074A7A83" w14:textId="77777777" w:rsidR="00E23746" w:rsidRPr="006F7CAA" w:rsidRDefault="00E23746" w:rsidP="000B2F10">
            <w:pPr>
              <w:spacing w:after="0" w:line="240" w:lineRule="auto"/>
              <w:rPr>
                <w:rFonts w:eastAsia="Times New Roman" w:cs="Arial"/>
                <w:sz w:val="20"/>
                <w:szCs w:val="20"/>
                <w:lang w:val="es-MX" w:eastAsia="es-MX"/>
              </w:rPr>
            </w:pPr>
            <w:r w:rsidRPr="006F7CAA">
              <w:rPr>
                <w:rFonts w:eastAsia="Times New Roman" w:cs="Arial"/>
                <w:sz w:val="20"/>
                <w:szCs w:val="20"/>
                <w:lang w:val="es-MX" w:eastAsia="es-MX"/>
              </w:rPr>
              <w:t>Los docentes validados son asistidos en el acompañamiento para su validación.</w:t>
            </w:r>
          </w:p>
        </w:tc>
      </w:tr>
    </w:tbl>
    <w:p w14:paraId="46E8760F" w14:textId="77777777" w:rsidR="00D345CB" w:rsidRDefault="00D345CB">
      <w:pPr>
        <w:spacing w:after="0" w:line="240" w:lineRule="auto"/>
        <w:jc w:val="left"/>
      </w:pPr>
      <w:r>
        <w:br w:type="page"/>
      </w:r>
    </w:p>
    <w:tbl>
      <w:tblPr>
        <w:tblW w:w="14029" w:type="dxa"/>
        <w:tblLayout w:type="fixed"/>
        <w:tblCellMar>
          <w:left w:w="70" w:type="dxa"/>
          <w:right w:w="70" w:type="dxa"/>
        </w:tblCellMar>
        <w:tblLook w:val="04A0" w:firstRow="1" w:lastRow="0" w:firstColumn="1" w:lastColumn="0" w:noHBand="0" w:noVBand="1"/>
      </w:tblPr>
      <w:tblGrid>
        <w:gridCol w:w="1413"/>
        <w:gridCol w:w="2573"/>
        <w:gridCol w:w="2724"/>
        <w:gridCol w:w="2499"/>
        <w:gridCol w:w="2835"/>
        <w:gridCol w:w="1985"/>
      </w:tblGrid>
      <w:tr w:rsidR="00E23746" w:rsidRPr="006F7CAA" w14:paraId="2E60B851" w14:textId="77777777" w:rsidTr="009F36C9">
        <w:trPr>
          <w:trHeight w:val="721"/>
        </w:trPr>
        <w:tc>
          <w:tcPr>
            <w:tcW w:w="1413"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7CCD164B" w14:textId="77777777" w:rsidR="00E23746" w:rsidRPr="006F7CAA" w:rsidRDefault="00E23746" w:rsidP="000B2F10">
            <w:pPr>
              <w:spacing w:after="0" w:line="240" w:lineRule="auto"/>
              <w:jc w:val="center"/>
              <w:rPr>
                <w:rFonts w:eastAsia="Times New Roman" w:cs="Arial"/>
                <w:b/>
                <w:bCs/>
                <w:sz w:val="20"/>
                <w:szCs w:val="20"/>
                <w:lang w:val="es-MX" w:eastAsia="es-MX"/>
              </w:rPr>
            </w:pPr>
            <w:r w:rsidRPr="006F7CAA">
              <w:rPr>
                <w:rFonts w:eastAsia="Times New Roman" w:cs="Arial"/>
                <w:b/>
                <w:bCs/>
                <w:sz w:val="20"/>
                <w:szCs w:val="20"/>
                <w:lang w:val="es-MX" w:eastAsia="es-MX"/>
              </w:rPr>
              <w:lastRenderedPageBreak/>
              <w:t>NIVEL</w:t>
            </w:r>
          </w:p>
        </w:tc>
        <w:tc>
          <w:tcPr>
            <w:tcW w:w="2573" w:type="dxa"/>
            <w:tcBorders>
              <w:top w:val="single" w:sz="4" w:space="0" w:color="auto"/>
              <w:left w:val="nil"/>
              <w:bottom w:val="single" w:sz="4" w:space="0" w:color="auto"/>
              <w:right w:val="single" w:sz="4" w:space="0" w:color="auto"/>
            </w:tcBorders>
            <w:shd w:val="clear" w:color="000000" w:fill="BFBFBF"/>
            <w:vAlign w:val="center"/>
            <w:hideMark/>
          </w:tcPr>
          <w:p w14:paraId="62DD4197" w14:textId="77777777" w:rsidR="00E23746" w:rsidRPr="006F7CAA" w:rsidRDefault="00E23746" w:rsidP="000B2F10">
            <w:pPr>
              <w:spacing w:after="0" w:line="240" w:lineRule="auto"/>
              <w:jc w:val="center"/>
              <w:rPr>
                <w:rFonts w:eastAsia="Times New Roman" w:cs="Arial"/>
                <w:b/>
                <w:bCs/>
                <w:sz w:val="20"/>
                <w:szCs w:val="20"/>
                <w:lang w:val="es-MX" w:eastAsia="es-MX"/>
              </w:rPr>
            </w:pPr>
            <w:r w:rsidRPr="006F7CAA">
              <w:rPr>
                <w:rFonts w:eastAsia="Times New Roman" w:cs="Arial"/>
                <w:b/>
                <w:bCs/>
                <w:sz w:val="20"/>
                <w:szCs w:val="20"/>
                <w:lang w:val="es-MX" w:eastAsia="es-MX"/>
              </w:rPr>
              <w:t>ALINEACIÓN PED/PD</w:t>
            </w:r>
          </w:p>
        </w:tc>
        <w:tc>
          <w:tcPr>
            <w:tcW w:w="2724" w:type="dxa"/>
            <w:tcBorders>
              <w:top w:val="single" w:sz="4" w:space="0" w:color="auto"/>
              <w:left w:val="nil"/>
              <w:bottom w:val="single" w:sz="4" w:space="0" w:color="auto"/>
              <w:right w:val="single" w:sz="4" w:space="0" w:color="auto"/>
            </w:tcBorders>
            <w:shd w:val="clear" w:color="000000" w:fill="BFBFBF"/>
            <w:vAlign w:val="center"/>
            <w:hideMark/>
          </w:tcPr>
          <w:p w14:paraId="5D2A31EB" w14:textId="77777777" w:rsidR="00E23746" w:rsidRPr="006F7CAA" w:rsidRDefault="00E23746" w:rsidP="000B2F10">
            <w:pPr>
              <w:spacing w:after="0" w:line="240" w:lineRule="auto"/>
              <w:jc w:val="center"/>
              <w:rPr>
                <w:rFonts w:eastAsia="Times New Roman" w:cs="Arial"/>
                <w:b/>
                <w:bCs/>
                <w:sz w:val="20"/>
                <w:szCs w:val="20"/>
                <w:lang w:val="es-MX" w:eastAsia="es-MX"/>
              </w:rPr>
            </w:pPr>
            <w:r w:rsidRPr="006F7CAA">
              <w:rPr>
                <w:rFonts w:eastAsia="Times New Roman" w:cs="Arial"/>
                <w:b/>
                <w:bCs/>
                <w:sz w:val="20"/>
                <w:szCs w:val="20"/>
                <w:lang w:val="es-MX" w:eastAsia="es-MX"/>
              </w:rPr>
              <w:t>OBJETIVO</w:t>
            </w:r>
          </w:p>
        </w:tc>
        <w:tc>
          <w:tcPr>
            <w:tcW w:w="2499" w:type="dxa"/>
            <w:tcBorders>
              <w:top w:val="single" w:sz="4" w:space="0" w:color="auto"/>
              <w:left w:val="nil"/>
              <w:bottom w:val="single" w:sz="4" w:space="0" w:color="auto"/>
              <w:right w:val="single" w:sz="4" w:space="0" w:color="auto"/>
            </w:tcBorders>
            <w:shd w:val="clear" w:color="000000" w:fill="BFBFBF"/>
            <w:vAlign w:val="center"/>
            <w:hideMark/>
          </w:tcPr>
          <w:p w14:paraId="36C9EC13" w14:textId="77777777" w:rsidR="00E23746" w:rsidRPr="006F7CAA" w:rsidRDefault="00E23746" w:rsidP="000B2F10">
            <w:pPr>
              <w:spacing w:after="0" w:line="240" w:lineRule="auto"/>
              <w:jc w:val="center"/>
              <w:rPr>
                <w:rFonts w:eastAsia="Times New Roman" w:cs="Arial"/>
                <w:b/>
                <w:bCs/>
                <w:sz w:val="20"/>
                <w:szCs w:val="20"/>
                <w:lang w:val="es-MX" w:eastAsia="es-MX"/>
              </w:rPr>
            </w:pPr>
            <w:r w:rsidRPr="006F7CAA">
              <w:rPr>
                <w:rFonts w:eastAsia="Times New Roman" w:cs="Arial"/>
                <w:b/>
                <w:bCs/>
                <w:sz w:val="20"/>
                <w:szCs w:val="20"/>
                <w:lang w:val="es-MX" w:eastAsia="es-MX"/>
              </w:rPr>
              <w:t>INDICADOR</w:t>
            </w:r>
          </w:p>
        </w:tc>
        <w:tc>
          <w:tcPr>
            <w:tcW w:w="2835" w:type="dxa"/>
            <w:tcBorders>
              <w:top w:val="single" w:sz="4" w:space="0" w:color="auto"/>
              <w:left w:val="nil"/>
              <w:bottom w:val="single" w:sz="4" w:space="0" w:color="auto"/>
              <w:right w:val="single" w:sz="4" w:space="0" w:color="auto"/>
            </w:tcBorders>
            <w:shd w:val="clear" w:color="000000" w:fill="BFBFBF"/>
            <w:vAlign w:val="center"/>
            <w:hideMark/>
          </w:tcPr>
          <w:p w14:paraId="7B72575C" w14:textId="77777777" w:rsidR="00E23746" w:rsidRPr="006F7CAA" w:rsidRDefault="00E23746" w:rsidP="000B2F10">
            <w:pPr>
              <w:spacing w:after="0" w:line="240" w:lineRule="auto"/>
              <w:jc w:val="center"/>
              <w:rPr>
                <w:rFonts w:eastAsia="Times New Roman" w:cs="Arial"/>
                <w:b/>
                <w:bCs/>
                <w:sz w:val="20"/>
                <w:szCs w:val="20"/>
                <w:lang w:val="es-MX" w:eastAsia="es-MX"/>
              </w:rPr>
            </w:pPr>
            <w:r w:rsidRPr="006F7CAA">
              <w:rPr>
                <w:rFonts w:eastAsia="Times New Roman" w:cs="Arial"/>
                <w:b/>
                <w:bCs/>
                <w:sz w:val="20"/>
                <w:szCs w:val="20"/>
                <w:lang w:val="es-MX" w:eastAsia="es-MX"/>
              </w:rPr>
              <w:t>MEDIOS DE VERIFICACIÓN</w:t>
            </w:r>
          </w:p>
        </w:tc>
        <w:tc>
          <w:tcPr>
            <w:tcW w:w="1985" w:type="dxa"/>
            <w:tcBorders>
              <w:top w:val="single" w:sz="4" w:space="0" w:color="auto"/>
              <w:left w:val="nil"/>
              <w:bottom w:val="single" w:sz="4" w:space="0" w:color="auto"/>
              <w:right w:val="single" w:sz="4" w:space="0" w:color="auto"/>
            </w:tcBorders>
            <w:shd w:val="clear" w:color="000000" w:fill="BFBFBF"/>
            <w:vAlign w:val="center"/>
            <w:hideMark/>
          </w:tcPr>
          <w:p w14:paraId="6C8E690B" w14:textId="77777777" w:rsidR="00E23746" w:rsidRPr="006F7CAA" w:rsidRDefault="00E23746" w:rsidP="000B2F10">
            <w:pPr>
              <w:spacing w:after="0" w:line="240" w:lineRule="auto"/>
              <w:jc w:val="center"/>
              <w:rPr>
                <w:rFonts w:eastAsia="Times New Roman" w:cs="Arial"/>
                <w:b/>
                <w:bCs/>
                <w:sz w:val="20"/>
                <w:szCs w:val="20"/>
                <w:lang w:val="es-MX" w:eastAsia="es-MX"/>
              </w:rPr>
            </w:pPr>
            <w:r w:rsidRPr="006F7CAA">
              <w:rPr>
                <w:rFonts w:eastAsia="Times New Roman" w:cs="Arial"/>
                <w:b/>
                <w:bCs/>
                <w:sz w:val="20"/>
                <w:szCs w:val="20"/>
                <w:lang w:val="es-MX" w:eastAsia="es-MX"/>
              </w:rPr>
              <w:t>SUPUESTO</w:t>
            </w:r>
          </w:p>
        </w:tc>
      </w:tr>
      <w:tr w:rsidR="00E23746" w:rsidRPr="006F7CAA" w14:paraId="65B60F5E" w14:textId="77777777" w:rsidTr="009F36C9">
        <w:trPr>
          <w:trHeight w:val="1826"/>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14:paraId="4F8BD5DD" w14:textId="77777777" w:rsidR="00E23746" w:rsidRPr="006F7CAA" w:rsidRDefault="00E23746" w:rsidP="000B2F10">
            <w:pPr>
              <w:spacing w:after="0" w:line="240" w:lineRule="auto"/>
              <w:jc w:val="center"/>
              <w:rPr>
                <w:rFonts w:eastAsia="Times New Roman" w:cs="Arial"/>
                <w:b/>
                <w:bCs/>
                <w:sz w:val="20"/>
                <w:szCs w:val="20"/>
                <w:lang w:val="es-MX" w:eastAsia="es-MX"/>
              </w:rPr>
            </w:pPr>
            <w:r w:rsidRPr="006F7CAA">
              <w:rPr>
                <w:rFonts w:eastAsia="Times New Roman" w:cs="Arial"/>
                <w:b/>
                <w:bCs/>
                <w:sz w:val="20"/>
                <w:szCs w:val="20"/>
                <w:lang w:val="es-MX" w:eastAsia="es-MX"/>
              </w:rPr>
              <w:t xml:space="preserve">Actividad </w:t>
            </w:r>
          </w:p>
        </w:tc>
        <w:tc>
          <w:tcPr>
            <w:tcW w:w="2573" w:type="dxa"/>
            <w:tcBorders>
              <w:top w:val="single" w:sz="4" w:space="0" w:color="auto"/>
              <w:left w:val="nil"/>
              <w:bottom w:val="single" w:sz="4" w:space="0" w:color="auto"/>
              <w:right w:val="single" w:sz="4" w:space="0" w:color="auto"/>
            </w:tcBorders>
            <w:shd w:val="clear" w:color="auto" w:fill="auto"/>
            <w:hideMark/>
          </w:tcPr>
          <w:p w14:paraId="42986257" w14:textId="77777777" w:rsidR="00E23746" w:rsidRDefault="00E23746" w:rsidP="000B2F10">
            <w:pPr>
              <w:spacing w:after="0" w:line="240" w:lineRule="auto"/>
              <w:rPr>
                <w:rFonts w:eastAsia="Times New Roman" w:cs="Arial"/>
                <w:sz w:val="20"/>
                <w:szCs w:val="20"/>
                <w:lang w:val="es-MX" w:eastAsia="es-MX"/>
              </w:rPr>
            </w:pPr>
            <w:r w:rsidRPr="006F7CAA">
              <w:rPr>
                <w:rFonts w:eastAsia="Times New Roman" w:cs="Arial"/>
                <w:sz w:val="20"/>
                <w:szCs w:val="20"/>
                <w:lang w:val="es-MX" w:eastAsia="es-MX"/>
              </w:rPr>
              <w:t>Implementación de programas para fortalecer las habilidades socio-emocionales, recreativas, y de prevención de adicciones en los estudiantes y docentes como una estrategia trasversal que considere valores humanistas.</w:t>
            </w:r>
          </w:p>
          <w:p w14:paraId="6B018263" w14:textId="77777777" w:rsidR="00E23746" w:rsidRPr="006F7CAA" w:rsidRDefault="00E23746" w:rsidP="000B2F10">
            <w:pPr>
              <w:spacing w:after="0" w:line="240" w:lineRule="auto"/>
              <w:rPr>
                <w:rFonts w:eastAsia="Times New Roman" w:cs="Arial"/>
                <w:sz w:val="20"/>
                <w:szCs w:val="20"/>
                <w:lang w:val="es-MX" w:eastAsia="es-MX"/>
              </w:rPr>
            </w:pPr>
          </w:p>
        </w:tc>
        <w:tc>
          <w:tcPr>
            <w:tcW w:w="2724" w:type="dxa"/>
            <w:tcBorders>
              <w:top w:val="single" w:sz="4" w:space="0" w:color="auto"/>
              <w:left w:val="nil"/>
              <w:bottom w:val="single" w:sz="4" w:space="0" w:color="auto"/>
              <w:right w:val="single" w:sz="4" w:space="0" w:color="auto"/>
            </w:tcBorders>
            <w:shd w:val="clear" w:color="auto" w:fill="auto"/>
            <w:hideMark/>
          </w:tcPr>
          <w:p w14:paraId="33F4078D" w14:textId="77777777" w:rsidR="00E23746" w:rsidRPr="006F7CAA" w:rsidRDefault="00E23746" w:rsidP="000B2F10">
            <w:pPr>
              <w:spacing w:after="0" w:line="240" w:lineRule="auto"/>
              <w:rPr>
                <w:rFonts w:eastAsia="Times New Roman" w:cs="Arial"/>
                <w:sz w:val="20"/>
                <w:szCs w:val="20"/>
                <w:lang w:val="es-MX" w:eastAsia="es-MX"/>
              </w:rPr>
            </w:pPr>
            <w:r w:rsidRPr="006F7CAA">
              <w:rPr>
                <w:rFonts w:eastAsia="Times New Roman" w:cs="Arial"/>
                <w:sz w:val="20"/>
                <w:szCs w:val="20"/>
                <w:lang w:val="es-MX" w:eastAsia="es-MX"/>
              </w:rPr>
              <w:t>C01.A03 - Realización del curso de capacitación docente y directiva.</w:t>
            </w:r>
          </w:p>
        </w:tc>
        <w:tc>
          <w:tcPr>
            <w:tcW w:w="2499" w:type="dxa"/>
            <w:tcBorders>
              <w:top w:val="single" w:sz="4" w:space="0" w:color="auto"/>
              <w:left w:val="nil"/>
              <w:bottom w:val="single" w:sz="4" w:space="0" w:color="auto"/>
              <w:right w:val="single" w:sz="4" w:space="0" w:color="auto"/>
            </w:tcBorders>
            <w:shd w:val="clear" w:color="auto" w:fill="auto"/>
            <w:hideMark/>
          </w:tcPr>
          <w:p w14:paraId="33D2822B" w14:textId="77777777" w:rsidR="00E23746" w:rsidRPr="006F7CAA" w:rsidRDefault="00E23746" w:rsidP="000B2F10">
            <w:pPr>
              <w:spacing w:after="0" w:line="240" w:lineRule="auto"/>
              <w:rPr>
                <w:rFonts w:eastAsia="Times New Roman" w:cs="Arial"/>
                <w:sz w:val="20"/>
                <w:szCs w:val="20"/>
                <w:lang w:val="es-MX" w:eastAsia="es-MX"/>
              </w:rPr>
            </w:pPr>
            <w:r w:rsidRPr="006F7CAA">
              <w:rPr>
                <w:rFonts w:eastAsia="Times New Roman" w:cs="Arial"/>
                <w:sz w:val="20"/>
                <w:szCs w:val="20"/>
                <w:lang w:val="es-MX" w:eastAsia="es-MX"/>
              </w:rPr>
              <w:t>C01A03 - Porcentaje de docentes que participaron en la capacitación.</w:t>
            </w:r>
          </w:p>
        </w:tc>
        <w:tc>
          <w:tcPr>
            <w:tcW w:w="2835" w:type="dxa"/>
            <w:tcBorders>
              <w:top w:val="single" w:sz="4" w:space="0" w:color="auto"/>
              <w:left w:val="nil"/>
              <w:bottom w:val="single" w:sz="4" w:space="0" w:color="auto"/>
              <w:right w:val="single" w:sz="4" w:space="0" w:color="auto"/>
            </w:tcBorders>
            <w:shd w:val="clear" w:color="auto" w:fill="auto"/>
            <w:hideMark/>
          </w:tcPr>
          <w:p w14:paraId="2DD86C36" w14:textId="77777777" w:rsidR="00E23746" w:rsidRPr="006F7CAA" w:rsidRDefault="00E23746" w:rsidP="000B2F10">
            <w:pPr>
              <w:spacing w:after="0" w:line="240" w:lineRule="auto"/>
              <w:rPr>
                <w:rFonts w:eastAsia="Times New Roman" w:cs="Arial"/>
                <w:sz w:val="20"/>
                <w:szCs w:val="20"/>
                <w:lang w:val="es-MX" w:eastAsia="es-MX"/>
              </w:rPr>
            </w:pPr>
            <w:r w:rsidRPr="006F7CAA">
              <w:rPr>
                <w:rFonts w:eastAsia="Times New Roman" w:cs="Arial"/>
                <w:sz w:val="20"/>
                <w:szCs w:val="20"/>
                <w:lang w:val="es-MX" w:eastAsia="es-MX"/>
              </w:rPr>
              <w:t>Dirección Académica. Lista de asistencia. Constancias.  www.cecyteqroo.edu.mx</w:t>
            </w:r>
          </w:p>
        </w:tc>
        <w:tc>
          <w:tcPr>
            <w:tcW w:w="1985" w:type="dxa"/>
            <w:tcBorders>
              <w:top w:val="single" w:sz="4" w:space="0" w:color="auto"/>
              <w:left w:val="nil"/>
              <w:bottom w:val="single" w:sz="4" w:space="0" w:color="auto"/>
              <w:right w:val="single" w:sz="4" w:space="0" w:color="auto"/>
            </w:tcBorders>
            <w:shd w:val="clear" w:color="auto" w:fill="auto"/>
            <w:hideMark/>
          </w:tcPr>
          <w:p w14:paraId="62BC1D1F" w14:textId="77777777" w:rsidR="00E23746" w:rsidRPr="006F7CAA" w:rsidRDefault="00E23746" w:rsidP="000B2F10">
            <w:pPr>
              <w:spacing w:after="0" w:line="240" w:lineRule="auto"/>
              <w:rPr>
                <w:rFonts w:eastAsia="Times New Roman" w:cs="Arial"/>
                <w:sz w:val="20"/>
                <w:szCs w:val="20"/>
                <w:lang w:val="es-MX" w:eastAsia="es-MX"/>
              </w:rPr>
            </w:pPr>
            <w:r w:rsidRPr="006F7CAA">
              <w:rPr>
                <w:rFonts w:eastAsia="Times New Roman" w:cs="Arial"/>
                <w:sz w:val="20"/>
                <w:szCs w:val="20"/>
                <w:lang w:val="es-MX" w:eastAsia="es-MX"/>
              </w:rPr>
              <w:t>Los docentes asisten y participan en el curso de capacitación.</w:t>
            </w:r>
          </w:p>
        </w:tc>
      </w:tr>
      <w:tr w:rsidR="00E23746" w:rsidRPr="006F7CAA" w14:paraId="02223623" w14:textId="77777777" w:rsidTr="009F36C9">
        <w:trPr>
          <w:trHeight w:val="2520"/>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14:paraId="14787293" w14:textId="77777777" w:rsidR="00E23746" w:rsidRPr="006F7CAA" w:rsidRDefault="00E23746" w:rsidP="000B2F10">
            <w:pPr>
              <w:spacing w:after="0" w:line="240" w:lineRule="auto"/>
              <w:jc w:val="center"/>
              <w:rPr>
                <w:rFonts w:eastAsia="Times New Roman" w:cs="Arial"/>
                <w:b/>
                <w:bCs/>
                <w:sz w:val="20"/>
                <w:szCs w:val="20"/>
                <w:lang w:val="es-MX" w:eastAsia="es-MX"/>
              </w:rPr>
            </w:pPr>
            <w:r>
              <w:rPr>
                <w:rFonts w:eastAsia="Times New Roman" w:cs="Arial"/>
                <w:b/>
                <w:bCs/>
                <w:sz w:val="20"/>
                <w:szCs w:val="20"/>
                <w:lang w:val="es-MX" w:eastAsia="es-MX"/>
              </w:rPr>
              <w:t>Actividad</w:t>
            </w:r>
          </w:p>
        </w:tc>
        <w:tc>
          <w:tcPr>
            <w:tcW w:w="2573" w:type="dxa"/>
            <w:tcBorders>
              <w:top w:val="single" w:sz="4" w:space="0" w:color="auto"/>
              <w:left w:val="nil"/>
              <w:bottom w:val="single" w:sz="4" w:space="0" w:color="auto"/>
              <w:right w:val="single" w:sz="4" w:space="0" w:color="auto"/>
            </w:tcBorders>
            <w:shd w:val="clear" w:color="auto" w:fill="auto"/>
            <w:hideMark/>
          </w:tcPr>
          <w:p w14:paraId="6A64FCCA" w14:textId="34250459" w:rsidR="00E23746" w:rsidRPr="006F7CAA" w:rsidRDefault="00E23746" w:rsidP="009F36C9">
            <w:pPr>
              <w:spacing w:after="0" w:line="240" w:lineRule="auto"/>
              <w:rPr>
                <w:rFonts w:eastAsia="Times New Roman" w:cs="Arial"/>
                <w:sz w:val="20"/>
                <w:szCs w:val="20"/>
                <w:lang w:val="es-MX" w:eastAsia="es-MX"/>
              </w:rPr>
            </w:pPr>
            <w:r w:rsidRPr="006F7CAA">
              <w:rPr>
                <w:rFonts w:eastAsia="Times New Roman" w:cs="Arial"/>
                <w:sz w:val="20"/>
                <w:szCs w:val="20"/>
                <w:lang w:val="es-MX" w:eastAsia="es-MX"/>
              </w:rPr>
              <w:t>Impulsar el Modelo Mexicano de Formación Dual para establecer un equilibrio armónico entre la formación teórica y la formación práctica de los estudiantes de bachillerato tecnológico, profesional técnico o profesional técnico bachiller de Instituciones públicas de educación media superior.</w:t>
            </w:r>
          </w:p>
        </w:tc>
        <w:tc>
          <w:tcPr>
            <w:tcW w:w="2724" w:type="dxa"/>
            <w:tcBorders>
              <w:top w:val="single" w:sz="4" w:space="0" w:color="auto"/>
              <w:left w:val="nil"/>
              <w:bottom w:val="single" w:sz="4" w:space="0" w:color="auto"/>
              <w:right w:val="single" w:sz="4" w:space="0" w:color="auto"/>
            </w:tcBorders>
            <w:shd w:val="clear" w:color="auto" w:fill="auto"/>
            <w:hideMark/>
          </w:tcPr>
          <w:p w14:paraId="3F42C6DF" w14:textId="77777777" w:rsidR="00E23746" w:rsidRPr="006F7CAA" w:rsidRDefault="00E23746" w:rsidP="000B2F10">
            <w:pPr>
              <w:spacing w:after="0" w:line="240" w:lineRule="auto"/>
              <w:rPr>
                <w:rFonts w:eastAsia="Times New Roman" w:cs="Arial"/>
                <w:sz w:val="20"/>
                <w:szCs w:val="20"/>
                <w:lang w:val="es-MX" w:eastAsia="es-MX"/>
              </w:rPr>
            </w:pPr>
            <w:r w:rsidRPr="006F7CAA">
              <w:rPr>
                <w:rFonts w:eastAsia="Times New Roman" w:cs="Arial"/>
                <w:sz w:val="20"/>
                <w:szCs w:val="20"/>
                <w:lang w:val="es-MX" w:eastAsia="es-MX"/>
              </w:rPr>
              <w:t>C01.A04 - Atención de alumnos con el Modelo Mexicano de Formación Dual.</w:t>
            </w:r>
          </w:p>
        </w:tc>
        <w:tc>
          <w:tcPr>
            <w:tcW w:w="2499" w:type="dxa"/>
            <w:tcBorders>
              <w:top w:val="single" w:sz="4" w:space="0" w:color="auto"/>
              <w:left w:val="nil"/>
              <w:bottom w:val="single" w:sz="4" w:space="0" w:color="auto"/>
              <w:right w:val="single" w:sz="4" w:space="0" w:color="auto"/>
            </w:tcBorders>
            <w:shd w:val="clear" w:color="auto" w:fill="auto"/>
            <w:hideMark/>
          </w:tcPr>
          <w:p w14:paraId="7FD42BA7" w14:textId="77777777" w:rsidR="00E23746" w:rsidRPr="006F7CAA" w:rsidRDefault="00E23746" w:rsidP="000B2F10">
            <w:pPr>
              <w:spacing w:after="0" w:line="240" w:lineRule="auto"/>
              <w:rPr>
                <w:rFonts w:eastAsia="Times New Roman" w:cs="Arial"/>
                <w:sz w:val="20"/>
                <w:szCs w:val="20"/>
                <w:lang w:val="es-MX" w:eastAsia="es-MX"/>
              </w:rPr>
            </w:pPr>
            <w:r w:rsidRPr="006F7CAA">
              <w:rPr>
                <w:rFonts w:eastAsia="Times New Roman" w:cs="Arial"/>
                <w:sz w:val="20"/>
                <w:szCs w:val="20"/>
                <w:lang w:val="es-MX" w:eastAsia="es-MX"/>
              </w:rPr>
              <w:t>C01A04 - Porcentaje de alumnos que concluyen su participación en el Modelo Mexicano de Formación Dual.</w:t>
            </w:r>
          </w:p>
        </w:tc>
        <w:tc>
          <w:tcPr>
            <w:tcW w:w="2835" w:type="dxa"/>
            <w:tcBorders>
              <w:top w:val="single" w:sz="4" w:space="0" w:color="auto"/>
              <w:left w:val="nil"/>
              <w:bottom w:val="single" w:sz="4" w:space="0" w:color="auto"/>
              <w:right w:val="single" w:sz="4" w:space="0" w:color="auto"/>
            </w:tcBorders>
            <w:shd w:val="clear" w:color="auto" w:fill="auto"/>
            <w:hideMark/>
          </w:tcPr>
          <w:p w14:paraId="099BB349" w14:textId="77777777" w:rsidR="00E23746" w:rsidRPr="006F7CAA" w:rsidRDefault="00E23746" w:rsidP="000B2F10">
            <w:pPr>
              <w:spacing w:after="0" w:line="240" w:lineRule="auto"/>
              <w:rPr>
                <w:rFonts w:eastAsia="Times New Roman" w:cs="Arial"/>
                <w:sz w:val="20"/>
                <w:szCs w:val="20"/>
                <w:lang w:val="es-MX" w:eastAsia="es-MX"/>
              </w:rPr>
            </w:pPr>
            <w:r w:rsidRPr="006F7CAA">
              <w:rPr>
                <w:rFonts w:eastAsia="Times New Roman" w:cs="Arial"/>
                <w:sz w:val="20"/>
                <w:szCs w:val="20"/>
                <w:lang w:val="es-MX" w:eastAsia="es-MX"/>
              </w:rPr>
              <w:t>Dirección Académica. Estadísticos de Control Escolar. www.cecyteqroo.edu.mx</w:t>
            </w:r>
          </w:p>
        </w:tc>
        <w:tc>
          <w:tcPr>
            <w:tcW w:w="1985" w:type="dxa"/>
            <w:tcBorders>
              <w:top w:val="single" w:sz="4" w:space="0" w:color="auto"/>
              <w:left w:val="nil"/>
              <w:bottom w:val="single" w:sz="4" w:space="0" w:color="auto"/>
              <w:right w:val="single" w:sz="4" w:space="0" w:color="auto"/>
            </w:tcBorders>
            <w:shd w:val="clear" w:color="auto" w:fill="auto"/>
            <w:hideMark/>
          </w:tcPr>
          <w:p w14:paraId="3539B6AF" w14:textId="77777777" w:rsidR="00E23746" w:rsidRPr="006F7CAA" w:rsidRDefault="00E23746" w:rsidP="000B2F10">
            <w:pPr>
              <w:spacing w:after="0" w:line="240" w:lineRule="auto"/>
              <w:rPr>
                <w:rFonts w:eastAsia="Times New Roman" w:cs="Arial"/>
                <w:sz w:val="20"/>
                <w:szCs w:val="20"/>
                <w:lang w:val="es-MX" w:eastAsia="es-MX"/>
              </w:rPr>
            </w:pPr>
            <w:r w:rsidRPr="006F7CAA">
              <w:rPr>
                <w:rFonts w:eastAsia="Times New Roman" w:cs="Arial"/>
                <w:sz w:val="20"/>
                <w:szCs w:val="20"/>
                <w:lang w:val="es-MX" w:eastAsia="es-MX"/>
              </w:rPr>
              <w:t>Los Alumnos participan y concluyen el programa.</w:t>
            </w:r>
          </w:p>
        </w:tc>
      </w:tr>
      <w:tr w:rsidR="00E23746" w:rsidRPr="006F7CAA" w14:paraId="355C9CE9" w14:textId="77777777" w:rsidTr="009F36C9">
        <w:trPr>
          <w:trHeight w:val="1740"/>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14:paraId="75839907" w14:textId="77777777" w:rsidR="00E23746" w:rsidRPr="006F7CAA" w:rsidRDefault="00E23746" w:rsidP="000B2F10">
            <w:pPr>
              <w:spacing w:after="0" w:line="240" w:lineRule="auto"/>
              <w:jc w:val="center"/>
              <w:rPr>
                <w:rFonts w:eastAsia="Times New Roman" w:cs="Arial"/>
                <w:b/>
                <w:bCs/>
                <w:sz w:val="20"/>
                <w:szCs w:val="20"/>
                <w:lang w:val="es-MX" w:eastAsia="es-MX"/>
              </w:rPr>
            </w:pPr>
            <w:r>
              <w:rPr>
                <w:rFonts w:eastAsia="Times New Roman" w:cs="Arial"/>
                <w:b/>
                <w:bCs/>
                <w:sz w:val="20"/>
                <w:szCs w:val="20"/>
                <w:lang w:val="es-MX" w:eastAsia="es-MX"/>
              </w:rPr>
              <w:t>Componente</w:t>
            </w:r>
          </w:p>
        </w:tc>
        <w:tc>
          <w:tcPr>
            <w:tcW w:w="2573" w:type="dxa"/>
            <w:tcBorders>
              <w:top w:val="single" w:sz="4" w:space="0" w:color="auto"/>
              <w:left w:val="nil"/>
              <w:bottom w:val="single" w:sz="4" w:space="0" w:color="auto"/>
              <w:right w:val="single" w:sz="4" w:space="0" w:color="auto"/>
            </w:tcBorders>
            <w:shd w:val="clear" w:color="auto" w:fill="auto"/>
            <w:hideMark/>
          </w:tcPr>
          <w:p w14:paraId="5492AA37" w14:textId="77777777" w:rsidR="00E23746" w:rsidRPr="006F7CAA" w:rsidRDefault="00E23746" w:rsidP="000B2F10">
            <w:pPr>
              <w:spacing w:after="0" w:line="240" w:lineRule="auto"/>
              <w:rPr>
                <w:rFonts w:eastAsia="Times New Roman" w:cs="Arial"/>
                <w:sz w:val="20"/>
                <w:szCs w:val="20"/>
                <w:lang w:val="es-MX" w:eastAsia="es-MX"/>
              </w:rPr>
            </w:pPr>
            <w:r w:rsidRPr="006F7CAA">
              <w:rPr>
                <w:rFonts w:eastAsia="Times New Roman" w:cs="Arial"/>
                <w:sz w:val="20"/>
                <w:szCs w:val="20"/>
                <w:lang w:val="es-MX" w:eastAsia="es-MX"/>
              </w:rPr>
              <w:t>Desarrollar una estrategia integral que permita ampliar la cobertura educativa de nivel medio superior en instituciones públicas.</w:t>
            </w:r>
          </w:p>
        </w:tc>
        <w:tc>
          <w:tcPr>
            <w:tcW w:w="2724" w:type="dxa"/>
            <w:tcBorders>
              <w:top w:val="single" w:sz="4" w:space="0" w:color="auto"/>
              <w:left w:val="nil"/>
              <w:bottom w:val="single" w:sz="4" w:space="0" w:color="auto"/>
              <w:right w:val="single" w:sz="4" w:space="0" w:color="auto"/>
            </w:tcBorders>
            <w:shd w:val="clear" w:color="auto" w:fill="auto"/>
            <w:hideMark/>
          </w:tcPr>
          <w:p w14:paraId="1998D686" w14:textId="77777777" w:rsidR="00E23746" w:rsidRPr="006F7CAA" w:rsidRDefault="00E23746" w:rsidP="000B2F10">
            <w:pPr>
              <w:spacing w:after="0" w:line="240" w:lineRule="auto"/>
              <w:rPr>
                <w:rFonts w:eastAsia="Times New Roman" w:cs="Arial"/>
                <w:sz w:val="20"/>
                <w:szCs w:val="20"/>
                <w:lang w:val="es-MX" w:eastAsia="es-MX"/>
              </w:rPr>
            </w:pPr>
            <w:r w:rsidRPr="006F7CAA">
              <w:rPr>
                <w:rFonts w:eastAsia="Times New Roman" w:cs="Arial"/>
                <w:sz w:val="20"/>
                <w:szCs w:val="20"/>
                <w:lang w:val="es-MX" w:eastAsia="es-MX"/>
              </w:rPr>
              <w:t>C02 - Alumnos en  educación media superior inscritos</w:t>
            </w:r>
            <w:r>
              <w:rPr>
                <w:rFonts w:eastAsia="Times New Roman" w:cs="Arial"/>
                <w:sz w:val="20"/>
                <w:szCs w:val="20"/>
                <w:lang w:val="es-MX" w:eastAsia="es-MX"/>
              </w:rPr>
              <w:t>.</w:t>
            </w:r>
          </w:p>
        </w:tc>
        <w:tc>
          <w:tcPr>
            <w:tcW w:w="2499" w:type="dxa"/>
            <w:tcBorders>
              <w:top w:val="single" w:sz="4" w:space="0" w:color="auto"/>
              <w:left w:val="nil"/>
              <w:bottom w:val="single" w:sz="4" w:space="0" w:color="auto"/>
              <w:right w:val="single" w:sz="4" w:space="0" w:color="auto"/>
            </w:tcBorders>
            <w:shd w:val="clear" w:color="auto" w:fill="auto"/>
            <w:hideMark/>
          </w:tcPr>
          <w:p w14:paraId="176AA4A7" w14:textId="77777777" w:rsidR="00E23746" w:rsidRPr="006F7CAA" w:rsidRDefault="00E23746" w:rsidP="000B2F10">
            <w:pPr>
              <w:spacing w:after="0" w:line="240" w:lineRule="auto"/>
              <w:rPr>
                <w:rFonts w:eastAsia="Times New Roman" w:cs="Arial"/>
                <w:sz w:val="20"/>
                <w:szCs w:val="20"/>
                <w:lang w:val="es-MX" w:eastAsia="es-MX"/>
              </w:rPr>
            </w:pPr>
            <w:r w:rsidRPr="006F7CAA">
              <w:rPr>
                <w:rFonts w:eastAsia="Times New Roman" w:cs="Arial"/>
                <w:sz w:val="20"/>
                <w:szCs w:val="20"/>
                <w:lang w:val="es-MX" w:eastAsia="es-MX"/>
              </w:rPr>
              <w:t>C02 - Porcentaje de crecimiento de la matrícula.</w:t>
            </w:r>
          </w:p>
        </w:tc>
        <w:tc>
          <w:tcPr>
            <w:tcW w:w="2835" w:type="dxa"/>
            <w:tcBorders>
              <w:top w:val="single" w:sz="4" w:space="0" w:color="auto"/>
              <w:left w:val="nil"/>
              <w:bottom w:val="single" w:sz="4" w:space="0" w:color="auto"/>
              <w:right w:val="single" w:sz="4" w:space="0" w:color="auto"/>
            </w:tcBorders>
            <w:shd w:val="clear" w:color="auto" w:fill="auto"/>
            <w:hideMark/>
          </w:tcPr>
          <w:p w14:paraId="713B6991" w14:textId="77777777" w:rsidR="00E23746" w:rsidRPr="006F7CAA" w:rsidRDefault="00E23746" w:rsidP="000B2F10">
            <w:pPr>
              <w:spacing w:after="0" w:line="240" w:lineRule="auto"/>
              <w:rPr>
                <w:rFonts w:eastAsia="Times New Roman" w:cs="Arial"/>
                <w:sz w:val="20"/>
                <w:szCs w:val="20"/>
                <w:lang w:val="es-MX" w:eastAsia="es-MX"/>
              </w:rPr>
            </w:pPr>
            <w:r w:rsidRPr="006F7CAA">
              <w:rPr>
                <w:rFonts w:eastAsia="Times New Roman" w:cs="Arial"/>
                <w:sz w:val="20"/>
                <w:szCs w:val="20"/>
                <w:lang w:val="es-MX" w:eastAsia="es-MX"/>
              </w:rPr>
              <w:t>Dirección Académica. Departamento de Control Escolar. Informe 911. Matricula Oficial. www.cecyteqroo.edu.mx</w:t>
            </w:r>
            <w:r>
              <w:rPr>
                <w:rFonts w:eastAsia="Times New Roman" w:cs="Arial"/>
                <w:sz w:val="20"/>
                <w:szCs w:val="20"/>
                <w:lang w:val="es-MX" w:eastAsia="es-MX"/>
              </w:rPr>
              <w:t>.</w:t>
            </w:r>
          </w:p>
        </w:tc>
        <w:tc>
          <w:tcPr>
            <w:tcW w:w="1985" w:type="dxa"/>
            <w:tcBorders>
              <w:top w:val="single" w:sz="4" w:space="0" w:color="auto"/>
              <w:left w:val="nil"/>
              <w:bottom w:val="single" w:sz="4" w:space="0" w:color="auto"/>
              <w:right w:val="single" w:sz="4" w:space="0" w:color="auto"/>
            </w:tcBorders>
            <w:shd w:val="clear" w:color="auto" w:fill="auto"/>
            <w:hideMark/>
          </w:tcPr>
          <w:p w14:paraId="0F4DC3C9" w14:textId="77777777" w:rsidR="00E23746" w:rsidRPr="006F7CAA" w:rsidRDefault="00E23746" w:rsidP="000B2F10">
            <w:pPr>
              <w:spacing w:after="0" w:line="240" w:lineRule="auto"/>
              <w:rPr>
                <w:rFonts w:eastAsia="Times New Roman" w:cs="Arial"/>
                <w:sz w:val="20"/>
                <w:szCs w:val="20"/>
                <w:lang w:val="es-MX" w:eastAsia="es-MX"/>
              </w:rPr>
            </w:pPr>
            <w:r w:rsidRPr="006F7CAA">
              <w:rPr>
                <w:rFonts w:eastAsia="Times New Roman" w:cs="Arial"/>
                <w:sz w:val="20"/>
                <w:szCs w:val="20"/>
                <w:lang w:val="es-MX" w:eastAsia="es-MX"/>
              </w:rPr>
              <w:t>Los jóvenes egresados de secundaria continúan sus estudios a nivel medio superior.</w:t>
            </w:r>
          </w:p>
        </w:tc>
      </w:tr>
    </w:tbl>
    <w:p w14:paraId="68E010B3" w14:textId="77777777" w:rsidR="00D345CB" w:rsidRDefault="00D345CB">
      <w:pPr>
        <w:spacing w:after="0" w:line="240" w:lineRule="auto"/>
        <w:jc w:val="left"/>
      </w:pPr>
      <w:r>
        <w:br w:type="page"/>
      </w:r>
    </w:p>
    <w:tbl>
      <w:tblPr>
        <w:tblW w:w="14029" w:type="dxa"/>
        <w:tblLayout w:type="fixed"/>
        <w:tblCellMar>
          <w:left w:w="70" w:type="dxa"/>
          <w:right w:w="70" w:type="dxa"/>
        </w:tblCellMar>
        <w:tblLook w:val="04A0" w:firstRow="1" w:lastRow="0" w:firstColumn="1" w:lastColumn="0" w:noHBand="0" w:noVBand="1"/>
      </w:tblPr>
      <w:tblGrid>
        <w:gridCol w:w="1218"/>
        <w:gridCol w:w="2768"/>
        <w:gridCol w:w="2724"/>
        <w:gridCol w:w="2499"/>
        <w:gridCol w:w="2835"/>
        <w:gridCol w:w="1985"/>
      </w:tblGrid>
      <w:tr w:rsidR="00E23746" w:rsidRPr="006F7CAA" w14:paraId="27148A7C" w14:textId="77777777" w:rsidTr="000B2F10">
        <w:trPr>
          <w:trHeight w:val="692"/>
        </w:trPr>
        <w:tc>
          <w:tcPr>
            <w:tcW w:w="1218"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3CFC5489" w14:textId="77777777" w:rsidR="00E23746" w:rsidRPr="006F7CAA" w:rsidRDefault="00E23746" w:rsidP="000B2F10">
            <w:pPr>
              <w:spacing w:after="0" w:line="240" w:lineRule="auto"/>
              <w:jc w:val="center"/>
              <w:rPr>
                <w:rFonts w:eastAsia="Times New Roman" w:cs="Arial"/>
                <w:b/>
                <w:bCs/>
                <w:sz w:val="20"/>
                <w:szCs w:val="20"/>
                <w:lang w:val="es-MX" w:eastAsia="es-MX"/>
              </w:rPr>
            </w:pPr>
            <w:r w:rsidRPr="006F7CAA">
              <w:rPr>
                <w:rFonts w:eastAsia="Times New Roman" w:cs="Arial"/>
                <w:b/>
                <w:bCs/>
                <w:sz w:val="20"/>
                <w:szCs w:val="20"/>
                <w:lang w:val="es-MX" w:eastAsia="es-MX"/>
              </w:rPr>
              <w:lastRenderedPageBreak/>
              <w:t>NIVEL</w:t>
            </w:r>
          </w:p>
        </w:tc>
        <w:tc>
          <w:tcPr>
            <w:tcW w:w="2768" w:type="dxa"/>
            <w:tcBorders>
              <w:top w:val="single" w:sz="4" w:space="0" w:color="auto"/>
              <w:left w:val="nil"/>
              <w:bottom w:val="single" w:sz="4" w:space="0" w:color="auto"/>
              <w:right w:val="single" w:sz="4" w:space="0" w:color="auto"/>
            </w:tcBorders>
            <w:shd w:val="clear" w:color="000000" w:fill="BFBFBF"/>
            <w:vAlign w:val="center"/>
            <w:hideMark/>
          </w:tcPr>
          <w:p w14:paraId="3743E6F5" w14:textId="77777777" w:rsidR="00E23746" w:rsidRPr="006F7CAA" w:rsidRDefault="00E23746" w:rsidP="000B2F10">
            <w:pPr>
              <w:spacing w:after="0" w:line="240" w:lineRule="auto"/>
              <w:jc w:val="center"/>
              <w:rPr>
                <w:rFonts w:eastAsia="Times New Roman" w:cs="Arial"/>
                <w:b/>
                <w:bCs/>
                <w:sz w:val="20"/>
                <w:szCs w:val="20"/>
                <w:lang w:val="es-MX" w:eastAsia="es-MX"/>
              </w:rPr>
            </w:pPr>
            <w:r w:rsidRPr="006F7CAA">
              <w:rPr>
                <w:rFonts w:eastAsia="Times New Roman" w:cs="Arial"/>
                <w:b/>
                <w:bCs/>
                <w:sz w:val="20"/>
                <w:szCs w:val="20"/>
                <w:lang w:val="es-MX" w:eastAsia="es-MX"/>
              </w:rPr>
              <w:t>ALINEACIÓN PED/PD</w:t>
            </w:r>
          </w:p>
        </w:tc>
        <w:tc>
          <w:tcPr>
            <w:tcW w:w="2724" w:type="dxa"/>
            <w:tcBorders>
              <w:top w:val="single" w:sz="4" w:space="0" w:color="auto"/>
              <w:left w:val="nil"/>
              <w:bottom w:val="single" w:sz="4" w:space="0" w:color="auto"/>
              <w:right w:val="single" w:sz="4" w:space="0" w:color="auto"/>
            </w:tcBorders>
            <w:shd w:val="clear" w:color="000000" w:fill="BFBFBF"/>
            <w:vAlign w:val="center"/>
            <w:hideMark/>
          </w:tcPr>
          <w:p w14:paraId="43002104" w14:textId="77777777" w:rsidR="00E23746" w:rsidRPr="006F7CAA" w:rsidRDefault="00E23746" w:rsidP="000B2F10">
            <w:pPr>
              <w:spacing w:after="0" w:line="240" w:lineRule="auto"/>
              <w:jc w:val="center"/>
              <w:rPr>
                <w:rFonts w:eastAsia="Times New Roman" w:cs="Arial"/>
                <w:b/>
                <w:bCs/>
                <w:sz w:val="20"/>
                <w:szCs w:val="20"/>
                <w:lang w:val="es-MX" w:eastAsia="es-MX"/>
              </w:rPr>
            </w:pPr>
            <w:r w:rsidRPr="006F7CAA">
              <w:rPr>
                <w:rFonts w:eastAsia="Times New Roman" w:cs="Arial"/>
                <w:b/>
                <w:bCs/>
                <w:sz w:val="20"/>
                <w:szCs w:val="20"/>
                <w:lang w:val="es-MX" w:eastAsia="es-MX"/>
              </w:rPr>
              <w:t>OBJETIVO</w:t>
            </w:r>
          </w:p>
        </w:tc>
        <w:tc>
          <w:tcPr>
            <w:tcW w:w="2499" w:type="dxa"/>
            <w:tcBorders>
              <w:top w:val="single" w:sz="4" w:space="0" w:color="auto"/>
              <w:left w:val="nil"/>
              <w:bottom w:val="single" w:sz="4" w:space="0" w:color="auto"/>
              <w:right w:val="single" w:sz="4" w:space="0" w:color="auto"/>
            </w:tcBorders>
            <w:shd w:val="clear" w:color="000000" w:fill="BFBFBF"/>
            <w:vAlign w:val="center"/>
            <w:hideMark/>
          </w:tcPr>
          <w:p w14:paraId="76FF7263" w14:textId="77777777" w:rsidR="00E23746" w:rsidRPr="006F7CAA" w:rsidRDefault="00E23746" w:rsidP="000B2F10">
            <w:pPr>
              <w:spacing w:after="0" w:line="240" w:lineRule="auto"/>
              <w:jc w:val="center"/>
              <w:rPr>
                <w:rFonts w:eastAsia="Times New Roman" w:cs="Arial"/>
                <w:b/>
                <w:bCs/>
                <w:sz w:val="20"/>
                <w:szCs w:val="20"/>
                <w:lang w:val="es-MX" w:eastAsia="es-MX"/>
              </w:rPr>
            </w:pPr>
            <w:r w:rsidRPr="006F7CAA">
              <w:rPr>
                <w:rFonts w:eastAsia="Times New Roman" w:cs="Arial"/>
                <w:b/>
                <w:bCs/>
                <w:sz w:val="20"/>
                <w:szCs w:val="20"/>
                <w:lang w:val="es-MX" w:eastAsia="es-MX"/>
              </w:rPr>
              <w:t>INDICADOR</w:t>
            </w:r>
          </w:p>
        </w:tc>
        <w:tc>
          <w:tcPr>
            <w:tcW w:w="2835" w:type="dxa"/>
            <w:tcBorders>
              <w:top w:val="single" w:sz="4" w:space="0" w:color="auto"/>
              <w:left w:val="nil"/>
              <w:bottom w:val="single" w:sz="4" w:space="0" w:color="auto"/>
              <w:right w:val="single" w:sz="4" w:space="0" w:color="auto"/>
            </w:tcBorders>
            <w:shd w:val="clear" w:color="000000" w:fill="BFBFBF"/>
            <w:vAlign w:val="center"/>
            <w:hideMark/>
          </w:tcPr>
          <w:p w14:paraId="40D43B4C" w14:textId="77777777" w:rsidR="00E23746" w:rsidRPr="006F7CAA" w:rsidRDefault="00E23746" w:rsidP="000B2F10">
            <w:pPr>
              <w:spacing w:after="0" w:line="240" w:lineRule="auto"/>
              <w:jc w:val="center"/>
              <w:rPr>
                <w:rFonts w:eastAsia="Times New Roman" w:cs="Arial"/>
                <w:b/>
                <w:bCs/>
                <w:sz w:val="20"/>
                <w:szCs w:val="20"/>
                <w:lang w:val="es-MX" w:eastAsia="es-MX"/>
              </w:rPr>
            </w:pPr>
            <w:r w:rsidRPr="006F7CAA">
              <w:rPr>
                <w:rFonts w:eastAsia="Times New Roman" w:cs="Arial"/>
                <w:b/>
                <w:bCs/>
                <w:sz w:val="20"/>
                <w:szCs w:val="20"/>
                <w:lang w:val="es-MX" w:eastAsia="es-MX"/>
              </w:rPr>
              <w:t>MEDIOS DE VERIFICACIÓN</w:t>
            </w:r>
          </w:p>
        </w:tc>
        <w:tc>
          <w:tcPr>
            <w:tcW w:w="1985" w:type="dxa"/>
            <w:tcBorders>
              <w:top w:val="single" w:sz="4" w:space="0" w:color="auto"/>
              <w:left w:val="nil"/>
              <w:bottom w:val="single" w:sz="4" w:space="0" w:color="auto"/>
              <w:right w:val="single" w:sz="4" w:space="0" w:color="auto"/>
            </w:tcBorders>
            <w:shd w:val="clear" w:color="000000" w:fill="BFBFBF"/>
            <w:vAlign w:val="center"/>
            <w:hideMark/>
          </w:tcPr>
          <w:p w14:paraId="28F3ABDA" w14:textId="77777777" w:rsidR="00E23746" w:rsidRPr="006F7CAA" w:rsidRDefault="00E23746" w:rsidP="000B2F10">
            <w:pPr>
              <w:spacing w:after="0" w:line="240" w:lineRule="auto"/>
              <w:jc w:val="center"/>
              <w:rPr>
                <w:rFonts w:eastAsia="Times New Roman" w:cs="Arial"/>
                <w:b/>
                <w:bCs/>
                <w:sz w:val="20"/>
                <w:szCs w:val="20"/>
                <w:lang w:val="es-MX" w:eastAsia="es-MX"/>
              </w:rPr>
            </w:pPr>
            <w:r w:rsidRPr="006F7CAA">
              <w:rPr>
                <w:rFonts w:eastAsia="Times New Roman" w:cs="Arial"/>
                <w:b/>
                <w:bCs/>
                <w:sz w:val="20"/>
                <w:szCs w:val="20"/>
                <w:lang w:val="es-MX" w:eastAsia="es-MX"/>
              </w:rPr>
              <w:t>SUPUESTO</w:t>
            </w:r>
          </w:p>
        </w:tc>
      </w:tr>
      <w:tr w:rsidR="00E23746" w:rsidRPr="006F7CAA" w14:paraId="23FA813C" w14:textId="77777777" w:rsidTr="000B2F10">
        <w:trPr>
          <w:trHeight w:val="1718"/>
        </w:trPr>
        <w:tc>
          <w:tcPr>
            <w:tcW w:w="1218" w:type="dxa"/>
            <w:tcBorders>
              <w:top w:val="single" w:sz="4" w:space="0" w:color="auto"/>
              <w:left w:val="single" w:sz="4" w:space="0" w:color="auto"/>
              <w:bottom w:val="single" w:sz="4" w:space="0" w:color="auto"/>
              <w:right w:val="single" w:sz="4" w:space="0" w:color="auto"/>
            </w:tcBorders>
            <w:shd w:val="clear" w:color="auto" w:fill="auto"/>
            <w:hideMark/>
          </w:tcPr>
          <w:p w14:paraId="5A118B0A" w14:textId="77777777" w:rsidR="00E23746" w:rsidRPr="006F7CAA" w:rsidRDefault="00E23746" w:rsidP="000B2F10">
            <w:pPr>
              <w:spacing w:after="0" w:line="240" w:lineRule="auto"/>
              <w:jc w:val="center"/>
              <w:rPr>
                <w:rFonts w:eastAsia="Times New Roman" w:cs="Arial"/>
                <w:b/>
                <w:bCs/>
                <w:sz w:val="20"/>
                <w:szCs w:val="20"/>
                <w:lang w:val="es-MX" w:eastAsia="es-MX"/>
              </w:rPr>
            </w:pPr>
            <w:r>
              <w:rPr>
                <w:rFonts w:eastAsia="Times New Roman" w:cs="Arial"/>
                <w:b/>
                <w:bCs/>
                <w:sz w:val="20"/>
                <w:szCs w:val="20"/>
                <w:lang w:val="es-MX" w:eastAsia="es-MX"/>
              </w:rPr>
              <w:t>Actividad</w:t>
            </w:r>
          </w:p>
        </w:tc>
        <w:tc>
          <w:tcPr>
            <w:tcW w:w="2768" w:type="dxa"/>
            <w:tcBorders>
              <w:top w:val="single" w:sz="4" w:space="0" w:color="auto"/>
              <w:left w:val="nil"/>
              <w:bottom w:val="single" w:sz="4" w:space="0" w:color="auto"/>
              <w:right w:val="single" w:sz="4" w:space="0" w:color="auto"/>
            </w:tcBorders>
            <w:shd w:val="clear" w:color="auto" w:fill="auto"/>
            <w:hideMark/>
          </w:tcPr>
          <w:p w14:paraId="6E0FF039" w14:textId="77777777" w:rsidR="00E23746" w:rsidRPr="006F7CAA" w:rsidRDefault="00E23746" w:rsidP="000B2F10">
            <w:pPr>
              <w:spacing w:after="0" w:line="240" w:lineRule="auto"/>
              <w:rPr>
                <w:rFonts w:eastAsia="Times New Roman" w:cs="Arial"/>
                <w:sz w:val="20"/>
                <w:szCs w:val="20"/>
                <w:lang w:val="es-MX" w:eastAsia="es-MX"/>
              </w:rPr>
            </w:pPr>
            <w:r w:rsidRPr="006F7CAA">
              <w:rPr>
                <w:rFonts w:eastAsia="Times New Roman" w:cs="Arial"/>
                <w:sz w:val="20"/>
                <w:szCs w:val="20"/>
                <w:lang w:val="es-MX" w:eastAsia="es-MX"/>
              </w:rPr>
              <w:t>Desarrollar una estrategia integral que permita ampliar la cobertura educativa de nivel medio superior en instituciones públicas.</w:t>
            </w:r>
          </w:p>
        </w:tc>
        <w:tc>
          <w:tcPr>
            <w:tcW w:w="2724" w:type="dxa"/>
            <w:tcBorders>
              <w:top w:val="single" w:sz="4" w:space="0" w:color="auto"/>
              <w:left w:val="nil"/>
              <w:bottom w:val="single" w:sz="4" w:space="0" w:color="auto"/>
              <w:right w:val="single" w:sz="4" w:space="0" w:color="auto"/>
            </w:tcBorders>
            <w:shd w:val="clear" w:color="auto" w:fill="auto"/>
            <w:hideMark/>
          </w:tcPr>
          <w:p w14:paraId="747FA2A1" w14:textId="77777777" w:rsidR="00E23746" w:rsidRPr="006F7CAA" w:rsidRDefault="00E23746" w:rsidP="000B2F10">
            <w:pPr>
              <w:spacing w:after="0" w:line="240" w:lineRule="auto"/>
              <w:rPr>
                <w:rFonts w:eastAsia="Times New Roman" w:cs="Arial"/>
                <w:sz w:val="20"/>
                <w:szCs w:val="20"/>
                <w:lang w:val="es-MX" w:eastAsia="es-MX"/>
              </w:rPr>
            </w:pPr>
            <w:r w:rsidRPr="006F7CAA">
              <w:rPr>
                <w:rFonts w:eastAsia="Times New Roman" w:cs="Arial"/>
                <w:sz w:val="20"/>
                <w:szCs w:val="20"/>
                <w:lang w:val="es-MX" w:eastAsia="es-MX"/>
              </w:rPr>
              <w:t>C02.A01 - Implementación de un programa de promoción y difusión de la oferta educativa del Colegio para la captación de alumnos de nuevo ingreso.</w:t>
            </w:r>
          </w:p>
        </w:tc>
        <w:tc>
          <w:tcPr>
            <w:tcW w:w="2499" w:type="dxa"/>
            <w:tcBorders>
              <w:top w:val="single" w:sz="4" w:space="0" w:color="auto"/>
              <w:left w:val="nil"/>
              <w:bottom w:val="single" w:sz="4" w:space="0" w:color="auto"/>
              <w:right w:val="single" w:sz="4" w:space="0" w:color="auto"/>
            </w:tcBorders>
            <w:shd w:val="clear" w:color="auto" w:fill="auto"/>
            <w:hideMark/>
          </w:tcPr>
          <w:p w14:paraId="5F8EF84B" w14:textId="77777777" w:rsidR="00E23746" w:rsidRDefault="00E23746" w:rsidP="000B2F10">
            <w:pPr>
              <w:spacing w:after="0" w:line="240" w:lineRule="auto"/>
              <w:rPr>
                <w:rFonts w:eastAsia="Times New Roman" w:cs="Arial"/>
                <w:sz w:val="20"/>
                <w:szCs w:val="20"/>
                <w:lang w:val="es-MX" w:eastAsia="es-MX"/>
              </w:rPr>
            </w:pPr>
            <w:r w:rsidRPr="006F7CAA">
              <w:rPr>
                <w:rFonts w:eastAsia="Times New Roman" w:cs="Arial"/>
                <w:sz w:val="20"/>
                <w:szCs w:val="20"/>
                <w:lang w:val="es-MX" w:eastAsia="es-MX"/>
              </w:rPr>
              <w:t>C02A01 - Porcentaje de alumnos que solicitaron al CECyTE Quintana Roo, como primera opción en el examen de ingreso a la Educación Media Superior, por impacto del Programa de Promoción y Difusión.</w:t>
            </w:r>
          </w:p>
          <w:p w14:paraId="0AD82E31" w14:textId="77777777" w:rsidR="00E23746" w:rsidRDefault="00E23746" w:rsidP="000B2F10">
            <w:pPr>
              <w:spacing w:after="0" w:line="240" w:lineRule="auto"/>
              <w:rPr>
                <w:rFonts w:eastAsia="Times New Roman" w:cs="Arial"/>
                <w:sz w:val="20"/>
                <w:szCs w:val="20"/>
                <w:lang w:val="es-MX" w:eastAsia="es-MX"/>
              </w:rPr>
            </w:pPr>
          </w:p>
          <w:p w14:paraId="2270B238" w14:textId="77777777" w:rsidR="00E23746" w:rsidRPr="006F7CAA" w:rsidRDefault="00E23746" w:rsidP="000B2F10">
            <w:pPr>
              <w:spacing w:after="0" w:line="240" w:lineRule="auto"/>
              <w:rPr>
                <w:rFonts w:eastAsia="Times New Roman" w:cs="Arial"/>
                <w:sz w:val="20"/>
                <w:szCs w:val="20"/>
                <w:lang w:val="es-MX" w:eastAsia="es-MX"/>
              </w:rPr>
            </w:pPr>
          </w:p>
        </w:tc>
        <w:tc>
          <w:tcPr>
            <w:tcW w:w="2835" w:type="dxa"/>
            <w:tcBorders>
              <w:top w:val="single" w:sz="4" w:space="0" w:color="auto"/>
              <w:left w:val="nil"/>
              <w:bottom w:val="single" w:sz="4" w:space="0" w:color="auto"/>
              <w:right w:val="single" w:sz="4" w:space="0" w:color="auto"/>
            </w:tcBorders>
            <w:shd w:val="clear" w:color="auto" w:fill="auto"/>
            <w:hideMark/>
          </w:tcPr>
          <w:p w14:paraId="5871CC75" w14:textId="77777777" w:rsidR="00E23746" w:rsidRPr="006F7CAA" w:rsidRDefault="00E23746" w:rsidP="000B2F10">
            <w:pPr>
              <w:spacing w:after="0" w:line="240" w:lineRule="auto"/>
              <w:rPr>
                <w:rFonts w:eastAsia="Times New Roman" w:cs="Arial"/>
                <w:sz w:val="20"/>
                <w:szCs w:val="20"/>
                <w:lang w:val="es-MX" w:eastAsia="es-MX"/>
              </w:rPr>
            </w:pPr>
            <w:r w:rsidRPr="006F7CAA">
              <w:rPr>
                <w:rFonts w:eastAsia="Times New Roman" w:cs="Arial"/>
                <w:sz w:val="20"/>
                <w:szCs w:val="20"/>
                <w:lang w:val="es-MX" w:eastAsia="es-MX"/>
              </w:rPr>
              <w:t>Dirección Vinculación. Departamento de Control Escolar. Informe 911. Matricula Oficial. www.cecyteqroo.edu.mx</w:t>
            </w:r>
            <w:r>
              <w:rPr>
                <w:rFonts w:eastAsia="Times New Roman" w:cs="Arial"/>
                <w:sz w:val="20"/>
                <w:szCs w:val="20"/>
                <w:lang w:val="es-MX" w:eastAsia="es-MX"/>
              </w:rPr>
              <w:t>.</w:t>
            </w:r>
          </w:p>
        </w:tc>
        <w:tc>
          <w:tcPr>
            <w:tcW w:w="1985" w:type="dxa"/>
            <w:tcBorders>
              <w:top w:val="single" w:sz="4" w:space="0" w:color="auto"/>
              <w:left w:val="nil"/>
              <w:bottom w:val="single" w:sz="4" w:space="0" w:color="auto"/>
              <w:right w:val="single" w:sz="4" w:space="0" w:color="auto"/>
            </w:tcBorders>
            <w:shd w:val="clear" w:color="auto" w:fill="auto"/>
            <w:hideMark/>
          </w:tcPr>
          <w:p w14:paraId="20BD9499" w14:textId="77777777" w:rsidR="00E23746" w:rsidRPr="006F7CAA" w:rsidRDefault="00E23746" w:rsidP="000B2F10">
            <w:pPr>
              <w:spacing w:after="0" w:line="240" w:lineRule="auto"/>
              <w:rPr>
                <w:rFonts w:eastAsia="Times New Roman" w:cs="Arial"/>
                <w:sz w:val="20"/>
                <w:szCs w:val="20"/>
                <w:lang w:val="es-MX" w:eastAsia="es-MX"/>
              </w:rPr>
            </w:pPr>
            <w:r w:rsidRPr="006F7CAA">
              <w:rPr>
                <w:rFonts w:eastAsia="Times New Roman" w:cs="Arial"/>
                <w:sz w:val="20"/>
                <w:szCs w:val="20"/>
                <w:lang w:val="es-MX" w:eastAsia="es-MX"/>
              </w:rPr>
              <w:t>Los estudiantes egresados de secundaria solicitan al CECyTE como primera opción para continuar sus estudios.</w:t>
            </w:r>
          </w:p>
        </w:tc>
      </w:tr>
      <w:tr w:rsidR="00E23746" w:rsidRPr="006F7CAA" w14:paraId="018133D4" w14:textId="77777777" w:rsidTr="000B2F10">
        <w:trPr>
          <w:trHeight w:val="2310"/>
        </w:trPr>
        <w:tc>
          <w:tcPr>
            <w:tcW w:w="1218" w:type="dxa"/>
            <w:tcBorders>
              <w:top w:val="single" w:sz="4" w:space="0" w:color="auto"/>
              <w:left w:val="single" w:sz="4" w:space="0" w:color="auto"/>
              <w:bottom w:val="single" w:sz="4" w:space="0" w:color="auto"/>
              <w:right w:val="single" w:sz="4" w:space="0" w:color="auto"/>
            </w:tcBorders>
            <w:shd w:val="clear" w:color="auto" w:fill="auto"/>
            <w:hideMark/>
          </w:tcPr>
          <w:p w14:paraId="5C3C917E" w14:textId="77777777" w:rsidR="00E23746" w:rsidRPr="006F7CAA" w:rsidRDefault="00E23746" w:rsidP="000B2F10">
            <w:pPr>
              <w:spacing w:after="0" w:line="240" w:lineRule="auto"/>
              <w:jc w:val="center"/>
              <w:rPr>
                <w:rFonts w:eastAsia="Times New Roman" w:cs="Arial"/>
                <w:b/>
                <w:bCs/>
                <w:sz w:val="20"/>
                <w:szCs w:val="20"/>
                <w:lang w:val="es-MX" w:eastAsia="es-MX"/>
              </w:rPr>
            </w:pPr>
            <w:r>
              <w:rPr>
                <w:rFonts w:eastAsia="Times New Roman" w:cs="Arial"/>
                <w:b/>
                <w:bCs/>
                <w:sz w:val="20"/>
                <w:szCs w:val="20"/>
                <w:lang w:val="es-MX" w:eastAsia="es-MX"/>
              </w:rPr>
              <w:t>Actividad</w:t>
            </w:r>
          </w:p>
        </w:tc>
        <w:tc>
          <w:tcPr>
            <w:tcW w:w="2768" w:type="dxa"/>
            <w:tcBorders>
              <w:top w:val="single" w:sz="4" w:space="0" w:color="auto"/>
              <w:left w:val="nil"/>
              <w:bottom w:val="single" w:sz="4" w:space="0" w:color="auto"/>
              <w:right w:val="single" w:sz="4" w:space="0" w:color="auto"/>
            </w:tcBorders>
            <w:shd w:val="clear" w:color="auto" w:fill="auto"/>
            <w:hideMark/>
          </w:tcPr>
          <w:p w14:paraId="1AA67F8B" w14:textId="77777777" w:rsidR="00E23746" w:rsidRDefault="00E23746" w:rsidP="000B2F10">
            <w:pPr>
              <w:spacing w:after="0" w:line="240" w:lineRule="auto"/>
              <w:rPr>
                <w:rFonts w:eastAsia="Times New Roman" w:cs="Arial"/>
                <w:sz w:val="20"/>
                <w:szCs w:val="20"/>
                <w:lang w:val="es-MX" w:eastAsia="es-MX"/>
              </w:rPr>
            </w:pPr>
            <w:r w:rsidRPr="006F7CAA">
              <w:rPr>
                <w:rFonts w:eastAsia="Times New Roman" w:cs="Arial"/>
                <w:sz w:val="20"/>
                <w:szCs w:val="20"/>
                <w:lang w:val="es-MX" w:eastAsia="es-MX"/>
              </w:rPr>
              <w:t>Establecer convenios de colaboración con Instituciones de educación superior y organizaciones de la sociedad civil y padres de familia, para implementar acciones de regularización en estudiantes de educación media superior.</w:t>
            </w:r>
          </w:p>
          <w:p w14:paraId="0077B923" w14:textId="77777777" w:rsidR="00E23746" w:rsidRDefault="00E23746" w:rsidP="000B2F10">
            <w:pPr>
              <w:spacing w:after="0" w:line="240" w:lineRule="auto"/>
              <w:rPr>
                <w:rFonts w:eastAsia="Times New Roman" w:cs="Arial"/>
                <w:sz w:val="20"/>
                <w:szCs w:val="20"/>
                <w:lang w:val="es-MX" w:eastAsia="es-MX"/>
              </w:rPr>
            </w:pPr>
          </w:p>
          <w:p w14:paraId="0C062BB1" w14:textId="77777777" w:rsidR="00E23746" w:rsidRPr="006F7CAA" w:rsidRDefault="00E23746" w:rsidP="000B2F10">
            <w:pPr>
              <w:spacing w:after="0" w:line="240" w:lineRule="auto"/>
              <w:rPr>
                <w:rFonts w:eastAsia="Times New Roman" w:cs="Arial"/>
                <w:sz w:val="20"/>
                <w:szCs w:val="20"/>
                <w:lang w:val="es-MX" w:eastAsia="es-MX"/>
              </w:rPr>
            </w:pPr>
          </w:p>
        </w:tc>
        <w:tc>
          <w:tcPr>
            <w:tcW w:w="2724" w:type="dxa"/>
            <w:tcBorders>
              <w:top w:val="single" w:sz="4" w:space="0" w:color="auto"/>
              <w:left w:val="nil"/>
              <w:bottom w:val="single" w:sz="4" w:space="0" w:color="auto"/>
              <w:right w:val="single" w:sz="4" w:space="0" w:color="auto"/>
            </w:tcBorders>
            <w:shd w:val="clear" w:color="auto" w:fill="auto"/>
            <w:hideMark/>
          </w:tcPr>
          <w:p w14:paraId="63C6CCB6" w14:textId="77777777" w:rsidR="00E23746" w:rsidRPr="006F7CAA" w:rsidRDefault="00E23746" w:rsidP="000B2F10">
            <w:pPr>
              <w:spacing w:after="0" w:line="240" w:lineRule="auto"/>
              <w:rPr>
                <w:rFonts w:eastAsia="Times New Roman" w:cs="Arial"/>
                <w:sz w:val="20"/>
                <w:szCs w:val="20"/>
                <w:lang w:val="es-MX" w:eastAsia="es-MX"/>
              </w:rPr>
            </w:pPr>
            <w:r w:rsidRPr="006F7CAA">
              <w:rPr>
                <w:rFonts w:eastAsia="Times New Roman" w:cs="Arial"/>
                <w:sz w:val="20"/>
                <w:szCs w:val="20"/>
                <w:lang w:val="es-MX" w:eastAsia="es-MX"/>
              </w:rPr>
              <w:t>C02.A02 - Operación del Sistema de Seguimiento a Egresados. 2° Etapa</w:t>
            </w:r>
            <w:r>
              <w:rPr>
                <w:rFonts w:eastAsia="Times New Roman" w:cs="Arial"/>
                <w:sz w:val="20"/>
                <w:szCs w:val="20"/>
                <w:lang w:val="es-MX" w:eastAsia="es-MX"/>
              </w:rPr>
              <w:t>.</w:t>
            </w:r>
          </w:p>
        </w:tc>
        <w:tc>
          <w:tcPr>
            <w:tcW w:w="2499" w:type="dxa"/>
            <w:tcBorders>
              <w:top w:val="single" w:sz="4" w:space="0" w:color="auto"/>
              <w:left w:val="nil"/>
              <w:bottom w:val="single" w:sz="4" w:space="0" w:color="auto"/>
              <w:right w:val="single" w:sz="4" w:space="0" w:color="auto"/>
            </w:tcBorders>
            <w:shd w:val="clear" w:color="auto" w:fill="auto"/>
            <w:hideMark/>
          </w:tcPr>
          <w:p w14:paraId="5CA85C49" w14:textId="77777777" w:rsidR="00E23746" w:rsidRPr="006F7CAA" w:rsidRDefault="00E23746" w:rsidP="000B2F10">
            <w:pPr>
              <w:spacing w:after="0" w:line="240" w:lineRule="auto"/>
              <w:rPr>
                <w:rFonts w:eastAsia="Times New Roman" w:cs="Arial"/>
                <w:sz w:val="20"/>
                <w:szCs w:val="20"/>
                <w:lang w:val="es-MX" w:eastAsia="es-MX"/>
              </w:rPr>
            </w:pPr>
            <w:r w:rsidRPr="006F7CAA">
              <w:rPr>
                <w:rFonts w:eastAsia="Times New Roman" w:cs="Arial"/>
                <w:sz w:val="20"/>
                <w:szCs w:val="20"/>
                <w:lang w:val="es-MX" w:eastAsia="es-MX"/>
              </w:rPr>
              <w:t>C02A02 - Porcentaje de seguimiento de estudiantes egresados.</w:t>
            </w:r>
          </w:p>
        </w:tc>
        <w:tc>
          <w:tcPr>
            <w:tcW w:w="2835" w:type="dxa"/>
            <w:tcBorders>
              <w:top w:val="single" w:sz="4" w:space="0" w:color="auto"/>
              <w:left w:val="nil"/>
              <w:bottom w:val="single" w:sz="4" w:space="0" w:color="auto"/>
              <w:right w:val="single" w:sz="4" w:space="0" w:color="auto"/>
            </w:tcBorders>
            <w:shd w:val="clear" w:color="auto" w:fill="auto"/>
            <w:hideMark/>
          </w:tcPr>
          <w:p w14:paraId="41E94FE9" w14:textId="77777777" w:rsidR="00E23746" w:rsidRPr="006F7CAA" w:rsidRDefault="00E23746" w:rsidP="000B2F10">
            <w:pPr>
              <w:spacing w:after="0" w:line="240" w:lineRule="auto"/>
              <w:rPr>
                <w:rFonts w:eastAsia="Times New Roman" w:cs="Arial"/>
                <w:sz w:val="20"/>
                <w:szCs w:val="20"/>
                <w:lang w:val="es-MX" w:eastAsia="es-MX"/>
              </w:rPr>
            </w:pPr>
            <w:r>
              <w:rPr>
                <w:rFonts w:eastAsia="Times New Roman" w:cs="Arial"/>
                <w:sz w:val="20"/>
                <w:szCs w:val="20"/>
                <w:lang w:val="es-MX" w:eastAsia="es-MX"/>
              </w:rPr>
              <w:t>Dirección</w:t>
            </w:r>
            <w:r w:rsidRPr="006F7CAA">
              <w:rPr>
                <w:rFonts w:eastAsia="Times New Roman" w:cs="Arial"/>
                <w:sz w:val="20"/>
                <w:szCs w:val="20"/>
                <w:lang w:val="es-MX" w:eastAsia="es-MX"/>
              </w:rPr>
              <w:t xml:space="preserve"> Vinculación. Coordinación Nacional de los CECyTE´s. Estadísticos en la plataforma de seguimiento de egresados.  www.cecyteqroo.edu.mx</w:t>
            </w:r>
          </w:p>
        </w:tc>
        <w:tc>
          <w:tcPr>
            <w:tcW w:w="1985" w:type="dxa"/>
            <w:tcBorders>
              <w:top w:val="single" w:sz="4" w:space="0" w:color="auto"/>
              <w:left w:val="nil"/>
              <w:bottom w:val="single" w:sz="4" w:space="0" w:color="auto"/>
              <w:right w:val="single" w:sz="4" w:space="0" w:color="auto"/>
            </w:tcBorders>
            <w:shd w:val="clear" w:color="auto" w:fill="auto"/>
            <w:hideMark/>
          </w:tcPr>
          <w:p w14:paraId="2EAB6CFF" w14:textId="77777777" w:rsidR="00E23746" w:rsidRPr="006F7CAA" w:rsidRDefault="00E23746" w:rsidP="000B2F10">
            <w:pPr>
              <w:spacing w:after="0" w:line="240" w:lineRule="auto"/>
              <w:rPr>
                <w:rFonts w:eastAsia="Times New Roman" w:cs="Arial"/>
                <w:sz w:val="20"/>
                <w:szCs w:val="20"/>
                <w:lang w:val="es-MX" w:eastAsia="es-MX"/>
              </w:rPr>
            </w:pPr>
            <w:r w:rsidRPr="006F7CAA">
              <w:rPr>
                <w:rFonts w:eastAsia="Times New Roman" w:cs="Arial"/>
                <w:sz w:val="20"/>
                <w:szCs w:val="20"/>
                <w:lang w:val="es-MX" w:eastAsia="es-MX"/>
              </w:rPr>
              <w:t>Los estudiantes egresados del Colegio, continúan sus estudios.</w:t>
            </w:r>
          </w:p>
        </w:tc>
      </w:tr>
      <w:tr w:rsidR="00E23746" w:rsidRPr="006F7CAA" w14:paraId="4B07765A" w14:textId="77777777" w:rsidTr="000B2F10">
        <w:trPr>
          <w:trHeight w:val="1950"/>
        </w:trPr>
        <w:tc>
          <w:tcPr>
            <w:tcW w:w="1218" w:type="dxa"/>
            <w:tcBorders>
              <w:top w:val="single" w:sz="4" w:space="0" w:color="auto"/>
              <w:left w:val="single" w:sz="4" w:space="0" w:color="auto"/>
              <w:bottom w:val="single" w:sz="4" w:space="0" w:color="auto"/>
              <w:right w:val="single" w:sz="4" w:space="0" w:color="auto"/>
            </w:tcBorders>
            <w:shd w:val="clear" w:color="auto" w:fill="auto"/>
            <w:hideMark/>
          </w:tcPr>
          <w:p w14:paraId="54AE008A" w14:textId="77777777" w:rsidR="00E23746" w:rsidRPr="006F7CAA" w:rsidRDefault="00E23746" w:rsidP="000B2F10">
            <w:pPr>
              <w:spacing w:after="0" w:line="240" w:lineRule="auto"/>
              <w:jc w:val="center"/>
              <w:rPr>
                <w:rFonts w:eastAsia="Times New Roman" w:cs="Arial"/>
                <w:b/>
                <w:bCs/>
                <w:sz w:val="20"/>
                <w:szCs w:val="20"/>
                <w:lang w:val="es-MX" w:eastAsia="es-MX"/>
              </w:rPr>
            </w:pPr>
            <w:r>
              <w:rPr>
                <w:rFonts w:eastAsia="Times New Roman" w:cs="Arial"/>
                <w:b/>
                <w:bCs/>
                <w:sz w:val="20"/>
                <w:szCs w:val="20"/>
                <w:lang w:val="es-MX" w:eastAsia="es-MX"/>
              </w:rPr>
              <w:t>Actividad</w:t>
            </w:r>
          </w:p>
        </w:tc>
        <w:tc>
          <w:tcPr>
            <w:tcW w:w="2768" w:type="dxa"/>
            <w:tcBorders>
              <w:top w:val="single" w:sz="4" w:space="0" w:color="auto"/>
              <w:left w:val="nil"/>
              <w:bottom w:val="single" w:sz="4" w:space="0" w:color="auto"/>
              <w:right w:val="single" w:sz="4" w:space="0" w:color="auto"/>
            </w:tcBorders>
            <w:shd w:val="clear" w:color="auto" w:fill="auto"/>
            <w:hideMark/>
          </w:tcPr>
          <w:p w14:paraId="325794A3" w14:textId="77777777" w:rsidR="00E23746" w:rsidRDefault="00E23746" w:rsidP="000B2F10">
            <w:pPr>
              <w:spacing w:after="0" w:line="240" w:lineRule="auto"/>
              <w:rPr>
                <w:rFonts w:eastAsia="Times New Roman" w:cs="Arial"/>
                <w:sz w:val="20"/>
                <w:szCs w:val="20"/>
                <w:lang w:val="es-MX" w:eastAsia="es-MX"/>
              </w:rPr>
            </w:pPr>
            <w:r w:rsidRPr="006F7CAA">
              <w:rPr>
                <w:rFonts w:eastAsia="Times New Roman" w:cs="Arial"/>
                <w:sz w:val="20"/>
                <w:szCs w:val="20"/>
                <w:lang w:val="es-MX" w:eastAsia="es-MX"/>
              </w:rPr>
              <w:t>Operar un programa de incentivos y reconocimientos a estudiantes destacados de educación media superior a través de convenios con instituciones públicas y/o privadas.</w:t>
            </w:r>
          </w:p>
          <w:p w14:paraId="64EE02BC" w14:textId="77777777" w:rsidR="00E23746" w:rsidRPr="006F7CAA" w:rsidRDefault="00E23746" w:rsidP="000B2F10">
            <w:pPr>
              <w:spacing w:after="0" w:line="240" w:lineRule="auto"/>
              <w:rPr>
                <w:rFonts w:eastAsia="Times New Roman" w:cs="Arial"/>
                <w:sz w:val="20"/>
                <w:szCs w:val="20"/>
                <w:lang w:val="es-MX" w:eastAsia="es-MX"/>
              </w:rPr>
            </w:pPr>
          </w:p>
        </w:tc>
        <w:tc>
          <w:tcPr>
            <w:tcW w:w="2724" w:type="dxa"/>
            <w:tcBorders>
              <w:top w:val="single" w:sz="4" w:space="0" w:color="auto"/>
              <w:left w:val="nil"/>
              <w:bottom w:val="single" w:sz="4" w:space="0" w:color="auto"/>
              <w:right w:val="single" w:sz="4" w:space="0" w:color="auto"/>
            </w:tcBorders>
            <w:shd w:val="clear" w:color="auto" w:fill="auto"/>
            <w:hideMark/>
          </w:tcPr>
          <w:p w14:paraId="19EBD81E" w14:textId="77777777" w:rsidR="00E23746" w:rsidRPr="006F7CAA" w:rsidRDefault="00E23746" w:rsidP="000B2F10">
            <w:pPr>
              <w:spacing w:after="0" w:line="240" w:lineRule="auto"/>
              <w:rPr>
                <w:rFonts w:eastAsia="Times New Roman" w:cs="Arial"/>
                <w:sz w:val="20"/>
                <w:szCs w:val="20"/>
                <w:lang w:val="es-MX" w:eastAsia="es-MX"/>
              </w:rPr>
            </w:pPr>
            <w:r w:rsidRPr="006F7CAA">
              <w:rPr>
                <w:rFonts w:eastAsia="Times New Roman" w:cs="Arial"/>
                <w:sz w:val="20"/>
                <w:szCs w:val="20"/>
                <w:lang w:val="es-MX" w:eastAsia="es-MX"/>
              </w:rPr>
              <w:t>C02.A03 - Asignación de espacios de los alumnos para la realización del Servicio Social</w:t>
            </w:r>
            <w:r>
              <w:rPr>
                <w:rFonts w:eastAsia="Times New Roman" w:cs="Arial"/>
                <w:sz w:val="20"/>
                <w:szCs w:val="20"/>
                <w:lang w:val="es-MX" w:eastAsia="es-MX"/>
              </w:rPr>
              <w:t>.</w:t>
            </w:r>
          </w:p>
        </w:tc>
        <w:tc>
          <w:tcPr>
            <w:tcW w:w="2499" w:type="dxa"/>
            <w:tcBorders>
              <w:top w:val="single" w:sz="4" w:space="0" w:color="auto"/>
              <w:left w:val="nil"/>
              <w:bottom w:val="single" w:sz="4" w:space="0" w:color="auto"/>
              <w:right w:val="single" w:sz="4" w:space="0" w:color="auto"/>
            </w:tcBorders>
            <w:shd w:val="clear" w:color="auto" w:fill="auto"/>
            <w:hideMark/>
          </w:tcPr>
          <w:p w14:paraId="07CEA702" w14:textId="77777777" w:rsidR="00E23746" w:rsidRPr="006F7CAA" w:rsidRDefault="00E23746" w:rsidP="000B2F10">
            <w:pPr>
              <w:spacing w:after="0" w:line="240" w:lineRule="auto"/>
              <w:rPr>
                <w:rFonts w:eastAsia="Times New Roman" w:cs="Arial"/>
                <w:sz w:val="20"/>
                <w:szCs w:val="20"/>
                <w:lang w:val="es-MX" w:eastAsia="es-MX"/>
              </w:rPr>
            </w:pPr>
            <w:r w:rsidRPr="006F7CAA">
              <w:rPr>
                <w:rFonts w:eastAsia="Times New Roman" w:cs="Arial"/>
                <w:sz w:val="20"/>
                <w:szCs w:val="20"/>
                <w:lang w:val="es-MX" w:eastAsia="es-MX"/>
              </w:rPr>
              <w:t>C02A03 - Porcentaje de prestatarios de servicio social.</w:t>
            </w:r>
          </w:p>
        </w:tc>
        <w:tc>
          <w:tcPr>
            <w:tcW w:w="2835" w:type="dxa"/>
            <w:tcBorders>
              <w:top w:val="single" w:sz="4" w:space="0" w:color="auto"/>
              <w:left w:val="nil"/>
              <w:bottom w:val="single" w:sz="4" w:space="0" w:color="auto"/>
              <w:right w:val="single" w:sz="4" w:space="0" w:color="auto"/>
            </w:tcBorders>
            <w:shd w:val="clear" w:color="auto" w:fill="auto"/>
            <w:hideMark/>
          </w:tcPr>
          <w:p w14:paraId="1DE99C5E" w14:textId="77777777" w:rsidR="00E23746" w:rsidRPr="006F7CAA" w:rsidRDefault="00E23746" w:rsidP="000B2F10">
            <w:pPr>
              <w:spacing w:after="0" w:line="240" w:lineRule="auto"/>
              <w:rPr>
                <w:rFonts w:eastAsia="Times New Roman" w:cs="Arial"/>
                <w:sz w:val="20"/>
                <w:szCs w:val="20"/>
                <w:lang w:val="es-MX" w:eastAsia="es-MX"/>
              </w:rPr>
            </w:pPr>
            <w:r w:rsidRPr="006F7CAA">
              <w:rPr>
                <w:rFonts w:eastAsia="Times New Roman" w:cs="Arial"/>
                <w:sz w:val="20"/>
                <w:szCs w:val="20"/>
                <w:lang w:val="es-MX" w:eastAsia="es-MX"/>
              </w:rPr>
              <w:t>Dirección de Vinculación. Planteles del Colegio. Estadísticos.  www.cecyteqroo.edu.mx</w:t>
            </w:r>
          </w:p>
        </w:tc>
        <w:tc>
          <w:tcPr>
            <w:tcW w:w="1985" w:type="dxa"/>
            <w:tcBorders>
              <w:top w:val="single" w:sz="4" w:space="0" w:color="auto"/>
              <w:left w:val="nil"/>
              <w:bottom w:val="single" w:sz="4" w:space="0" w:color="auto"/>
              <w:right w:val="single" w:sz="4" w:space="0" w:color="auto"/>
            </w:tcBorders>
            <w:shd w:val="clear" w:color="auto" w:fill="auto"/>
            <w:hideMark/>
          </w:tcPr>
          <w:p w14:paraId="2620952C" w14:textId="77777777" w:rsidR="00E23746" w:rsidRPr="006F7CAA" w:rsidRDefault="00E23746" w:rsidP="000B2F10">
            <w:pPr>
              <w:spacing w:after="0" w:line="240" w:lineRule="auto"/>
              <w:rPr>
                <w:rFonts w:eastAsia="Times New Roman" w:cs="Arial"/>
                <w:sz w:val="20"/>
                <w:szCs w:val="20"/>
                <w:lang w:val="es-MX" w:eastAsia="es-MX"/>
              </w:rPr>
            </w:pPr>
            <w:r w:rsidRPr="006F7CAA">
              <w:rPr>
                <w:rFonts w:eastAsia="Times New Roman" w:cs="Arial"/>
                <w:sz w:val="20"/>
                <w:szCs w:val="20"/>
                <w:lang w:val="es-MX" w:eastAsia="es-MX"/>
              </w:rPr>
              <w:t>Los alumnos concluyen su Servicio Social.</w:t>
            </w:r>
          </w:p>
        </w:tc>
      </w:tr>
    </w:tbl>
    <w:p w14:paraId="68187D19" w14:textId="77777777" w:rsidR="00D345CB" w:rsidRDefault="00D345CB">
      <w:pPr>
        <w:spacing w:after="0" w:line="240" w:lineRule="auto"/>
        <w:jc w:val="left"/>
      </w:pPr>
      <w:r>
        <w:br w:type="page"/>
      </w:r>
    </w:p>
    <w:tbl>
      <w:tblPr>
        <w:tblW w:w="14029" w:type="dxa"/>
        <w:tblLayout w:type="fixed"/>
        <w:tblCellMar>
          <w:left w:w="70" w:type="dxa"/>
          <w:right w:w="70" w:type="dxa"/>
        </w:tblCellMar>
        <w:tblLook w:val="04A0" w:firstRow="1" w:lastRow="0" w:firstColumn="1" w:lastColumn="0" w:noHBand="0" w:noVBand="1"/>
      </w:tblPr>
      <w:tblGrid>
        <w:gridCol w:w="1413"/>
        <w:gridCol w:w="2573"/>
        <w:gridCol w:w="2724"/>
        <w:gridCol w:w="2499"/>
        <w:gridCol w:w="2835"/>
        <w:gridCol w:w="1985"/>
      </w:tblGrid>
      <w:tr w:rsidR="00E23746" w:rsidRPr="006F7CAA" w14:paraId="27BA7E4E" w14:textId="77777777" w:rsidTr="005A15E8">
        <w:trPr>
          <w:trHeight w:val="692"/>
        </w:trPr>
        <w:tc>
          <w:tcPr>
            <w:tcW w:w="1413"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78542B77" w14:textId="77777777" w:rsidR="00E23746" w:rsidRPr="006F7CAA" w:rsidRDefault="00E23746" w:rsidP="000B2F10">
            <w:pPr>
              <w:spacing w:after="0" w:line="240" w:lineRule="auto"/>
              <w:jc w:val="center"/>
              <w:rPr>
                <w:rFonts w:eastAsia="Times New Roman" w:cs="Arial"/>
                <w:b/>
                <w:bCs/>
                <w:sz w:val="20"/>
                <w:szCs w:val="20"/>
                <w:lang w:val="es-MX" w:eastAsia="es-MX"/>
              </w:rPr>
            </w:pPr>
            <w:r w:rsidRPr="006F7CAA">
              <w:rPr>
                <w:rFonts w:eastAsia="Times New Roman" w:cs="Arial"/>
                <w:b/>
                <w:bCs/>
                <w:sz w:val="20"/>
                <w:szCs w:val="20"/>
                <w:lang w:val="es-MX" w:eastAsia="es-MX"/>
              </w:rPr>
              <w:lastRenderedPageBreak/>
              <w:t>NIVEL</w:t>
            </w:r>
          </w:p>
        </w:tc>
        <w:tc>
          <w:tcPr>
            <w:tcW w:w="2573" w:type="dxa"/>
            <w:tcBorders>
              <w:top w:val="single" w:sz="4" w:space="0" w:color="auto"/>
              <w:left w:val="nil"/>
              <w:bottom w:val="single" w:sz="4" w:space="0" w:color="auto"/>
              <w:right w:val="single" w:sz="4" w:space="0" w:color="auto"/>
            </w:tcBorders>
            <w:shd w:val="clear" w:color="000000" w:fill="BFBFBF"/>
            <w:vAlign w:val="center"/>
            <w:hideMark/>
          </w:tcPr>
          <w:p w14:paraId="50146D17" w14:textId="77777777" w:rsidR="00E23746" w:rsidRPr="006F7CAA" w:rsidRDefault="00E23746" w:rsidP="000B2F10">
            <w:pPr>
              <w:spacing w:after="0" w:line="240" w:lineRule="auto"/>
              <w:jc w:val="center"/>
              <w:rPr>
                <w:rFonts w:eastAsia="Times New Roman" w:cs="Arial"/>
                <w:b/>
                <w:bCs/>
                <w:sz w:val="20"/>
                <w:szCs w:val="20"/>
                <w:lang w:val="es-MX" w:eastAsia="es-MX"/>
              </w:rPr>
            </w:pPr>
            <w:r w:rsidRPr="006F7CAA">
              <w:rPr>
                <w:rFonts w:eastAsia="Times New Roman" w:cs="Arial"/>
                <w:b/>
                <w:bCs/>
                <w:sz w:val="20"/>
                <w:szCs w:val="20"/>
                <w:lang w:val="es-MX" w:eastAsia="es-MX"/>
              </w:rPr>
              <w:t>ALINEACIÓN PED/PD</w:t>
            </w:r>
          </w:p>
        </w:tc>
        <w:tc>
          <w:tcPr>
            <w:tcW w:w="2724" w:type="dxa"/>
            <w:tcBorders>
              <w:top w:val="single" w:sz="4" w:space="0" w:color="auto"/>
              <w:left w:val="nil"/>
              <w:bottom w:val="single" w:sz="4" w:space="0" w:color="auto"/>
              <w:right w:val="single" w:sz="4" w:space="0" w:color="auto"/>
            </w:tcBorders>
            <w:shd w:val="clear" w:color="000000" w:fill="BFBFBF"/>
            <w:vAlign w:val="center"/>
            <w:hideMark/>
          </w:tcPr>
          <w:p w14:paraId="3AA9E4BF" w14:textId="77777777" w:rsidR="00E23746" w:rsidRPr="006F7CAA" w:rsidRDefault="00E23746" w:rsidP="000B2F10">
            <w:pPr>
              <w:spacing w:after="0" w:line="240" w:lineRule="auto"/>
              <w:jc w:val="center"/>
              <w:rPr>
                <w:rFonts w:eastAsia="Times New Roman" w:cs="Arial"/>
                <w:b/>
                <w:bCs/>
                <w:sz w:val="20"/>
                <w:szCs w:val="20"/>
                <w:lang w:val="es-MX" w:eastAsia="es-MX"/>
              </w:rPr>
            </w:pPr>
            <w:r w:rsidRPr="006F7CAA">
              <w:rPr>
                <w:rFonts w:eastAsia="Times New Roman" w:cs="Arial"/>
                <w:b/>
                <w:bCs/>
                <w:sz w:val="20"/>
                <w:szCs w:val="20"/>
                <w:lang w:val="es-MX" w:eastAsia="es-MX"/>
              </w:rPr>
              <w:t>OBJETIVO</w:t>
            </w:r>
          </w:p>
        </w:tc>
        <w:tc>
          <w:tcPr>
            <w:tcW w:w="2499" w:type="dxa"/>
            <w:tcBorders>
              <w:top w:val="single" w:sz="4" w:space="0" w:color="auto"/>
              <w:left w:val="nil"/>
              <w:bottom w:val="single" w:sz="4" w:space="0" w:color="auto"/>
              <w:right w:val="single" w:sz="4" w:space="0" w:color="auto"/>
            </w:tcBorders>
            <w:shd w:val="clear" w:color="000000" w:fill="BFBFBF"/>
            <w:vAlign w:val="center"/>
            <w:hideMark/>
          </w:tcPr>
          <w:p w14:paraId="22B9419D" w14:textId="77777777" w:rsidR="00E23746" w:rsidRPr="006F7CAA" w:rsidRDefault="00E23746" w:rsidP="000B2F10">
            <w:pPr>
              <w:spacing w:after="0" w:line="240" w:lineRule="auto"/>
              <w:jc w:val="center"/>
              <w:rPr>
                <w:rFonts w:eastAsia="Times New Roman" w:cs="Arial"/>
                <w:b/>
                <w:bCs/>
                <w:sz w:val="20"/>
                <w:szCs w:val="20"/>
                <w:lang w:val="es-MX" w:eastAsia="es-MX"/>
              </w:rPr>
            </w:pPr>
            <w:r w:rsidRPr="006F7CAA">
              <w:rPr>
                <w:rFonts w:eastAsia="Times New Roman" w:cs="Arial"/>
                <w:b/>
                <w:bCs/>
                <w:sz w:val="20"/>
                <w:szCs w:val="20"/>
                <w:lang w:val="es-MX" w:eastAsia="es-MX"/>
              </w:rPr>
              <w:t>INDICADOR</w:t>
            </w:r>
          </w:p>
        </w:tc>
        <w:tc>
          <w:tcPr>
            <w:tcW w:w="2835" w:type="dxa"/>
            <w:tcBorders>
              <w:top w:val="single" w:sz="4" w:space="0" w:color="auto"/>
              <w:left w:val="nil"/>
              <w:bottom w:val="single" w:sz="4" w:space="0" w:color="auto"/>
              <w:right w:val="single" w:sz="4" w:space="0" w:color="auto"/>
            </w:tcBorders>
            <w:shd w:val="clear" w:color="000000" w:fill="BFBFBF"/>
            <w:vAlign w:val="center"/>
            <w:hideMark/>
          </w:tcPr>
          <w:p w14:paraId="3816EFCA" w14:textId="77777777" w:rsidR="00E23746" w:rsidRPr="006F7CAA" w:rsidRDefault="00E23746" w:rsidP="000B2F10">
            <w:pPr>
              <w:spacing w:after="0" w:line="240" w:lineRule="auto"/>
              <w:jc w:val="center"/>
              <w:rPr>
                <w:rFonts w:eastAsia="Times New Roman" w:cs="Arial"/>
                <w:b/>
                <w:bCs/>
                <w:sz w:val="20"/>
                <w:szCs w:val="20"/>
                <w:lang w:val="es-MX" w:eastAsia="es-MX"/>
              </w:rPr>
            </w:pPr>
            <w:r w:rsidRPr="006F7CAA">
              <w:rPr>
                <w:rFonts w:eastAsia="Times New Roman" w:cs="Arial"/>
                <w:b/>
                <w:bCs/>
                <w:sz w:val="20"/>
                <w:szCs w:val="20"/>
                <w:lang w:val="es-MX" w:eastAsia="es-MX"/>
              </w:rPr>
              <w:t>MEDIOS DE VERIFICACIÓN</w:t>
            </w:r>
          </w:p>
        </w:tc>
        <w:tc>
          <w:tcPr>
            <w:tcW w:w="1985" w:type="dxa"/>
            <w:tcBorders>
              <w:top w:val="single" w:sz="4" w:space="0" w:color="auto"/>
              <w:left w:val="nil"/>
              <w:bottom w:val="single" w:sz="4" w:space="0" w:color="auto"/>
              <w:right w:val="single" w:sz="4" w:space="0" w:color="auto"/>
            </w:tcBorders>
            <w:shd w:val="clear" w:color="000000" w:fill="BFBFBF"/>
            <w:vAlign w:val="center"/>
            <w:hideMark/>
          </w:tcPr>
          <w:p w14:paraId="62F9E45C" w14:textId="77777777" w:rsidR="00E23746" w:rsidRPr="006F7CAA" w:rsidRDefault="00E23746" w:rsidP="000B2F10">
            <w:pPr>
              <w:spacing w:after="0" w:line="240" w:lineRule="auto"/>
              <w:jc w:val="center"/>
              <w:rPr>
                <w:rFonts w:eastAsia="Times New Roman" w:cs="Arial"/>
                <w:b/>
                <w:bCs/>
                <w:sz w:val="20"/>
                <w:szCs w:val="20"/>
                <w:lang w:val="es-MX" w:eastAsia="es-MX"/>
              </w:rPr>
            </w:pPr>
            <w:r w:rsidRPr="006F7CAA">
              <w:rPr>
                <w:rFonts w:eastAsia="Times New Roman" w:cs="Arial"/>
                <w:b/>
                <w:bCs/>
                <w:sz w:val="20"/>
                <w:szCs w:val="20"/>
                <w:lang w:val="es-MX" w:eastAsia="es-MX"/>
              </w:rPr>
              <w:t>SUPUESTO</w:t>
            </w:r>
          </w:p>
        </w:tc>
      </w:tr>
      <w:tr w:rsidR="00E23746" w:rsidRPr="00A87DDE" w14:paraId="082A2BF9" w14:textId="77777777" w:rsidTr="005A15E8">
        <w:trPr>
          <w:trHeight w:val="1920"/>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14:paraId="388C4ADB" w14:textId="77777777" w:rsidR="00E23746" w:rsidRPr="006F7CAA" w:rsidRDefault="00E23746" w:rsidP="000B2F10">
            <w:pPr>
              <w:spacing w:after="0" w:line="240" w:lineRule="auto"/>
              <w:jc w:val="center"/>
              <w:rPr>
                <w:rFonts w:eastAsia="Times New Roman" w:cs="Arial"/>
                <w:b/>
                <w:bCs/>
                <w:sz w:val="20"/>
                <w:szCs w:val="20"/>
                <w:lang w:val="es-MX" w:eastAsia="es-MX"/>
              </w:rPr>
            </w:pPr>
            <w:r>
              <w:rPr>
                <w:rFonts w:eastAsia="Times New Roman" w:cs="Arial"/>
                <w:b/>
                <w:bCs/>
                <w:sz w:val="20"/>
                <w:szCs w:val="20"/>
                <w:lang w:val="es-MX" w:eastAsia="es-MX"/>
              </w:rPr>
              <w:t>Componente</w:t>
            </w:r>
          </w:p>
        </w:tc>
        <w:tc>
          <w:tcPr>
            <w:tcW w:w="2573" w:type="dxa"/>
            <w:tcBorders>
              <w:top w:val="single" w:sz="4" w:space="0" w:color="auto"/>
              <w:left w:val="nil"/>
              <w:bottom w:val="single" w:sz="4" w:space="0" w:color="auto"/>
              <w:right w:val="single" w:sz="4" w:space="0" w:color="auto"/>
            </w:tcBorders>
            <w:shd w:val="clear" w:color="auto" w:fill="auto"/>
            <w:hideMark/>
          </w:tcPr>
          <w:p w14:paraId="79208933" w14:textId="77777777" w:rsidR="00E23746" w:rsidRPr="00A87DDE" w:rsidRDefault="00E23746" w:rsidP="000B2F10">
            <w:pPr>
              <w:spacing w:after="0" w:line="240" w:lineRule="auto"/>
              <w:rPr>
                <w:rFonts w:eastAsia="Times New Roman" w:cs="Arial"/>
                <w:sz w:val="18"/>
                <w:szCs w:val="20"/>
                <w:lang w:val="es-MX" w:eastAsia="es-MX"/>
              </w:rPr>
            </w:pPr>
            <w:r w:rsidRPr="00A87DDE">
              <w:rPr>
                <w:rFonts w:eastAsia="Times New Roman" w:cs="Arial"/>
                <w:sz w:val="18"/>
                <w:szCs w:val="20"/>
                <w:lang w:val="es-MX" w:eastAsia="es-MX"/>
              </w:rPr>
              <w:t>Implementar un programa para elevar la eficiencia terminal en la educación Media Superior.</w:t>
            </w:r>
          </w:p>
        </w:tc>
        <w:tc>
          <w:tcPr>
            <w:tcW w:w="2724" w:type="dxa"/>
            <w:tcBorders>
              <w:top w:val="single" w:sz="4" w:space="0" w:color="auto"/>
              <w:left w:val="nil"/>
              <w:bottom w:val="single" w:sz="4" w:space="0" w:color="auto"/>
              <w:right w:val="single" w:sz="4" w:space="0" w:color="auto"/>
            </w:tcBorders>
            <w:shd w:val="clear" w:color="auto" w:fill="auto"/>
            <w:hideMark/>
          </w:tcPr>
          <w:p w14:paraId="703C5AF7" w14:textId="77777777" w:rsidR="00E23746" w:rsidRPr="00A87DDE" w:rsidRDefault="00E23746" w:rsidP="000B2F10">
            <w:pPr>
              <w:spacing w:after="0" w:line="240" w:lineRule="auto"/>
              <w:rPr>
                <w:rFonts w:eastAsia="Times New Roman" w:cs="Arial"/>
                <w:sz w:val="18"/>
                <w:szCs w:val="20"/>
                <w:lang w:val="es-MX" w:eastAsia="es-MX"/>
              </w:rPr>
            </w:pPr>
            <w:r w:rsidRPr="00A87DDE">
              <w:rPr>
                <w:rFonts w:eastAsia="Times New Roman" w:cs="Arial"/>
                <w:sz w:val="18"/>
                <w:szCs w:val="20"/>
                <w:lang w:val="es-MX" w:eastAsia="es-MX"/>
              </w:rPr>
              <w:t>C03. Alumnos con programas de formación para elevar la eficiencia terminal, atendidos.</w:t>
            </w:r>
          </w:p>
        </w:tc>
        <w:tc>
          <w:tcPr>
            <w:tcW w:w="2499" w:type="dxa"/>
            <w:tcBorders>
              <w:top w:val="single" w:sz="4" w:space="0" w:color="auto"/>
              <w:left w:val="nil"/>
              <w:bottom w:val="single" w:sz="4" w:space="0" w:color="auto"/>
              <w:right w:val="single" w:sz="4" w:space="0" w:color="auto"/>
            </w:tcBorders>
            <w:shd w:val="clear" w:color="auto" w:fill="auto"/>
            <w:hideMark/>
          </w:tcPr>
          <w:p w14:paraId="567AB63B" w14:textId="77777777" w:rsidR="00E23746" w:rsidRPr="00A87DDE" w:rsidRDefault="00E23746" w:rsidP="000B2F10">
            <w:pPr>
              <w:spacing w:after="0" w:line="240" w:lineRule="auto"/>
              <w:rPr>
                <w:rFonts w:eastAsia="Times New Roman" w:cs="Arial"/>
                <w:sz w:val="18"/>
                <w:szCs w:val="20"/>
                <w:lang w:val="es-MX" w:eastAsia="es-MX"/>
              </w:rPr>
            </w:pPr>
            <w:r w:rsidRPr="00A87DDE">
              <w:rPr>
                <w:rFonts w:eastAsia="Times New Roman" w:cs="Arial"/>
                <w:sz w:val="18"/>
                <w:szCs w:val="20"/>
                <w:lang w:val="es-MX" w:eastAsia="es-MX"/>
              </w:rPr>
              <w:t>C03 - Porcentaje de Eficiencia terminal.</w:t>
            </w:r>
          </w:p>
        </w:tc>
        <w:tc>
          <w:tcPr>
            <w:tcW w:w="2835" w:type="dxa"/>
            <w:tcBorders>
              <w:top w:val="single" w:sz="4" w:space="0" w:color="auto"/>
              <w:left w:val="nil"/>
              <w:bottom w:val="single" w:sz="4" w:space="0" w:color="auto"/>
              <w:right w:val="single" w:sz="4" w:space="0" w:color="auto"/>
            </w:tcBorders>
            <w:shd w:val="clear" w:color="auto" w:fill="auto"/>
            <w:hideMark/>
          </w:tcPr>
          <w:p w14:paraId="3CADE30E" w14:textId="77777777" w:rsidR="00E23746" w:rsidRPr="00A87DDE" w:rsidRDefault="00E23746" w:rsidP="000B2F10">
            <w:pPr>
              <w:spacing w:after="0" w:line="240" w:lineRule="auto"/>
              <w:rPr>
                <w:rFonts w:eastAsia="Times New Roman" w:cs="Arial"/>
                <w:sz w:val="18"/>
                <w:szCs w:val="20"/>
                <w:lang w:val="es-MX" w:eastAsia="es-MX"/>
              </w:rPr>
            </w:pPr>
            <w:r w:rsidRPr="00A87DDE">
              <w:rPr>
                <w:rFonts w:eastAsia="Times New Roman" w:cs="Arial"/>
                <w:sz w:val="18"/>
                <w:szCs w:val="20"/>
                <w:lang w:val="es-MX" w:eastAsia="es-MX"/>
              </w:rPr>
              <w:t>Dirección Académica. Estadísticos de Control Escolar.  www.cecyteqroo.edu.mx</w:t>
            </w:r>
          </w:p>
        </w:tc>
        <w:tc>
          <w:tcPr>
            <w:tcW w:w="1985" w:type="dxa"/>
            <w:tcBorders>
              <w:top w:val="single" w:sz="4" w:space="0" w:color="auto"/>
              <w:left w:val="nil"/>
              <w:bottom w:val="single" w:sz="4" w:space="0" w:color="auto"/>
              <w:right w:val="single" w:sz="4" w:space="0" w:color="auto"/>
            </w:tcBorders>
            <w:shd w:val="clear" w:color="auto" w:fill="auto"/>
            <w:hideMark/>
          </w:tcPr>
          <w:p w14:paraId="75EC5FF5" w14:textId="77777777" w:rsidR="00E23746" w:rsidRPr="00A87DDE" w:rsidRDefault="00E23746" w:rsidP="000B2F10">
            <w:pPr>
              <w:spacing w:after="0" w:line="240" w:lineRule="auto"/>
              <w:rPr>
                <w:rFonts w:eastAsia="Times New Roman" w:cs="Arial"/>
                <w:sz w:val="18"/>
                <w:szCs w:val="20"/>
                <w:lang w:val="es-MX" w:eastAsia="es-MX"/>
              </w:rPr>
            </w:pPr>
            <w:r w:rsidRPr="00A87DDE">
              <w:rPr>
                <w:rFonts w:eastAsia="Times New Roman" w:cs="Arial"/>
                <w:sz w:val="18"/>
                <w:szCs w:val="20"/>
                <w:lang w:val="es-MX" w:eastAsia="es-MX"/>
              </w:rPr>
              <w:t>Los alumnos detectados en riesgo de abandono escolar, ingresan en los programas integrales.</w:t>
            </w:r>
          </w:p>
        </w:tc>
      </w:tr>
      <w:tr w:rsidR="00E23746" w:rsidRPr="00A87DDE" w14:paraId="46DC8B4D" w14:textId="77777777" w:rsidTr="005A15E8">
        <w:trPr>
          <w:trHeight w:val="1643"/>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14:paraId="54E5AD92" w14:textId="77777777" w:rsidR="00E23746" w:rsidRPr="006F7CAA" w:rsidRDefault="00E23746" w:rsidP="000B2F10">
            <w:pPr>
              <w:spacing w:after="0" w:line="240" w:lineRule="auto"/>
              <w:jc w:val="center"/>
              <w:rPr>
                <w:rFonts w:eastAsia="Times New Roman" w:cs="Arial"/>
                <w:b/>
                <w:bCs/>
                <w:sz w:val="20"/>
                <w:szCs w:val="20"/>
                <w:lang w:val="es-MX" w:eastAsia="es-MX"/>
              </w:rPr>
            </w:pPr>
            <w:r>
              <w:rPr>
                <w:rFonts w:eastAsia="Times New Roman" w:cs="Arial"/>
                <w:b/>
                <w:bCs/>
                <w:sz w:val="20"/>
                <w:szCs w:val="20"/>
                <w:lang w:val="es-MX" w:eastAsia="es-MX"/>
              </w:rPr>
              <w:t>Actividad</w:t>
            </w:r>
          </w:p>
        </w:tc>
        <w:tc>
          <w:tcPr>
            <w:tcW w:w="2573" w:type="dxa"/>
            <w:tcBorders>
              <w:top w:val="single" w:sz="4" w:space="0" w:color="auto"/>
              <w:left w:val="nil"/>
              <w:bottom w:val="single" w:sz="4" w:space="0" w:color="auto"/>
              <w:right w:val="single" w:sz="4" w:space="0" w:color="auto"/>
            </w:tcBorders>
            <w:shd w:val="clear" w:color="auto" w:fill="auto"/>
            <w:hideMark/>
          </w:tcPr>
          <w:p w14:paraId="0A40AA23" w14:textId="77777777" w:rsidR="00E23746" w:rsidRPr="00A87DDE" w:rsidRDefault="00E23746" w:rsidP="000B2F10">
            <w:pPr>
              <w:spacing w:after="0" w:line="240" w:lineRule="auto"/>
              <w:rPr>
                <w:rFonts w:eastAsia="Times New Roman" w:cs="Arial"/>
                <w:sz w:val="18"/>
                <w:szCs w:val="20"/>
                <w:lang w:val="es-MX" w:eastAsia="es-MX"/>
              </w:rPr>
            </w:pPr>
            <w:r w:rsidRPr="00A87DDE">
              <w:rPr>
                <w:rFonts w:eastAsia="Times New Roman" w:cs="Arial"/>
                <w:sz w:val="18"/>
                <w:szCs w:val="20"/>
                <w:lang w:val="es-MX" w:eastAsia="es-MX"/>
              </w:rPr>
              <w:t>Fortalecer los programas de asesoría, tutoría y de acompañamiento académico de los estudiantes de media superior  a fin de elevar el desempeño escolar y la eficiencia terminal.</w:t>
            </w:r>
          </w:p>
        </w:tc>
        <w:tc>
          <w:tcPr>
            <w:tcW w:w="2724" w:type="dxa"/>
            <w:tcBorders>
              <w:top w:val="single" w:sz="4" w:space="0" w:color="auto"/>
              <w:left w:val="nil"/>
              <w:bottom w:val="single" w:sz="4" w:space="0" w:color="auto"/>
              <w:right w:val="single" w:sz="4" w:space="0" w:color="auto"/>
            </w:tcBorders>
            <w:shd w:val="clear" w:color="auto" w:fill="auto"/>
            <w:hideMark/>
          </w:tcPr>
          <w:p w14:paraId="6DCBA9FF" w14:textId="77777777" w:rsidR="00E23746" w:rsidRPr="00A87DDE" w:rsidRDefault="00E23746" w:rsidP="000B2F10">
            <w:pPr>
              <w:spacing w:after="0" w:line="240" w:lineRule="auto"/>
              <w:rPr>
                <w:rFonts w:eastAsia="Times New Roman" w:cs="Arial"/>
                <w:sz w:val="18"/>
                <w:szCs w:val="20"/>
                <w:lang w:val="es-MX" w:eastAsia="es-MX"/>
              </w:rPr>
            </w:pPr>
            <w:r w:rsidRPr="00A87DDE">
              <w:rPr>
                <w:rFonts w:eastAsia="Times New Roman" w:cs="Arial"/>
                <w:sz w:val="18"/>
                <w:szCs w:val="20"/>
                <w:lang w:val="es-MX" w:eastAsia="es-MX"/>
              </w:rPr>
              <w:t>C03.A01 - Atención de alumnos con programas de asesoría académica.</w:t>
            </w:r>
          </w:p>
        </w:tc>
        <w:tc>
          <w:tcPr>
            <w:tcW w:w="2499" w:type="dxa"/>
            <w:tcBorders>
              <w:top w:val="single" w:sz="4" w:space="0" w:color="auto"/>
              <w:left w:val="nil"/>
              <w:bottom w:val="single" w:sz="4" w:space="0" w:color="auto"/>
              <w:right w:val="single" w:sz="4" w:space="0" w:color="auto"/>
            </w:tcBorders>
            <w:shd w:val="clear" w:color="auto" w:fill="auto"/>
            <w:hideMark/>
          </w:tcPr>
          <w:p w14:paraId="39459F10" w14:textId="77777777" w:rsidR="00E23746" w:rsidRPr="00A87DDE" w:rsidRDefault="00E23746" w:rsidP="000B2F10">
            <w:pPr>
              <w:spacing w:after="0" w:line="240" w:lineRule="auto"/>
              <w:rPr>
                <w:rFonts w:eastAsia="Times New Roman" w:cs="Arial"/>
                <w:sz w:val="18"/>
                <w:szCs w:val="20"/>
                <w:lang w:val="es-MX" w:eastAsia="es-MX"/>
              </w:rPr>
            </w:pPr>
            <w:r w:rsidRPr="00A87DDE">
              <w:rPr>
                <w:rFonts w:eastAsia="Times New Roman" w:cs="Arial"/>
                <w:sz w:val="18"/>
                <w:szCs w:val="20"/>
                <w:lang w:val="es-MX" w:eastAsia="es-MX"/>
              </w:rPr>
              <w:t>C03A01 - Porcentaje de alumnos atendidos con programas de asesoría académica.</w:t>
            </w:r>
          </w:p>
        </w:tc>
        <w:tc>
          <w:tcPr>
            <w:tcW w:w="2835" w:type="dxa"/>
            <w:tcBorders>
              <w:top w:val="single" w:sz="4" w:space="0" w:color="auto"/>
              <w:left w:val="nil"/>
              <w:bottom w:val="single" w:sz="4" w:space="0" w:color="auto"/>
              <w:right w:val="single" w:sz="4" w:space="0" w:color="auto"/>
            </w:tcBorders>
            <w:shd w:val="clear" w:color="auto" w:fill="auto"/>
            <w:hideMark/>
          </w:tcPr>
          <w:p w14:paraId="3EF3F35E" w14:textId="77777777" w:rsidR="00E23746" w:rsidRPr="00A87DDE" w:rsidRDefault="00E23746" w:rsidP="000B2F10">
            <w:pPr>
              <w:spacing w:after="0" w:line="240" w:lineRule="auto"/>
              <w:rPr>
                <w:rFonts w:eastAsia="Times New Roman" w:cs="Arial"/>
                <w:sz w:val="18"/>
                <w:szCs w:val="20"/>
                <w:lang w:val="es-MX" w:eastAsia="es-MX"/>
              </w:rPr>
            </w:pPr>
            <w:r w:rsidRPr="00A87DDE">
              <w:rPr>
                <w:rFonts w:eastAsia="Times New Roman" w:cs="Arial"/>
                <w:sz w:val="18"/>
                <w:szCs w:val="20"/>
                <w:lang w:val="es-MX" w:eastAsia="es-MX"/>
              </w:rPr>
              <w:t>Departamento de Orientación Educativa. Reportes de atención de alumnos.  www.cecyteqroo.edu.mx</w:t>
            </w:r>
          </w:p>
        </w:tc>
        <w:tc>
          <w:tcPr>
            <w:tcW w:w="1985" w:type="dxa"/>
            <w:tcBorders>
              <w:top w:val="single" w:sz="4" w:space="0" w:color="auto"/>
              <w:left w:val="nil"/>
              <w:bottom w:val="single" w:sz="4" w:space="0" w:color="auto"/>
              <w:right w:val="single" w:sz="4" w:space="0" w:color="auto"/>
            </w:tcBorders>
            <w:shd w:val="clear" w:color="auto" w:fill="auto"/>
            <w:hideMark/>
          </w:tcPr>
          <w:p w14:paraId="2FCC2CB9" w14:textId="77777777" w:rsidR="00E23746" w:rsidRPr="00A87DDE" w:rsidRDefault="00E23746" w:rsidP="000B2F10">
            <w:pPr>
              <w:spacing w:after="0" w:line="240" w:lineRule="auto"/>
              <w:rPr>
                <w:rFonts w:eastAsia="Times New Roman" w:cs="Arial"/>
                <w:sz w:val="18"/>
                <w:szCs w:val="20"/>
                <w:lang w:val="es-MX" w:eastAsia="es-MX"/>
              </w:rPr>
            </w:pPr>
            <w:r w:rsidRPr="00A87DDE">
              <w:rPr>
                <w:rFonts w:eastAsia="Times New Roman" w:cs="Arial"/>
                <w:sz w:val="18"/>
                <w:szCs w:val="20"/>
                <w:lang w:val="es-MX" w:eastAsia="es-MX"/>
              </w:rPr>
              <w:t>Los alumnos participan y son atendidos con programas de asesoría académica.</w:t>
            </w:r>
          </w:p>
        </w:tc>
      </w:tr>
      <w:tr w:rsidR="00E23746" w:rsidRPr="00A87DDE" w14:paraId="031CD73D" w14:textId="77777777" w:rsidTr="005A15E8">
        <w:trPr>
          <w:trHeight w:val="1692"/>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14:paraId="15D8D780" w14:textId="77777777" w:rsidR="00E23746" w:rsidRPr="006F7CAA" w:rsidRDefault="00E23746" w:rsidP="000B2F10">
            <w:pPr>
              <w:spacing w:after="0" w:line="240" w:lineRule="auto"/>
              <w:jc w:val="center"/>
              <w:rPr>
                <w:rFonts w:eastAsia="Times New Roman" w:cs="Arial"/>
                <w:b/>
                <w:bCs/>
                <w:sz w:val="20"/>
                <w:szCs w:val="20"/>
                <w:lang w:val="es-MX" w:eastAsia="es-MX"/>
              </w:rPr>
            </w:pPr>
            <w:r>
              <w:rPr>
                <w:rFonts w:eastAsia="Times New Roman" w:cs="Arial"/>
                <w:b/>
                <w:bCs/>
                <w:sz w:val="20"/>
                <w:szCs w:val="20"/>
                <w:lang w:val="es-MX" w:eastAsia="es-MX"/>
              </w:rPr>
              <w:t>Actividad</w:t>
            </w:r>
          </w:p>
        </w:tc>
        <w:tc>
          <w:tcPr>
            <w:tcW w:w="2573" w:type="dxa"/>
            <w:tcBorders>
              <w:top w:val="single" w:sz="4" w:space="0" w:color="auto"/>
              <w:left w:val="nil"/>
              <w:bottom w:val="single" w:sz="4" w:space="0" w:color="auto"/>
              <w:right w:val="single" w:sz="4" w:space="0" w:color="auto"/>
            </w:tcBorders>
            <w:shd w:val="clear" w:color="auto" w:fill="auto"/>
            <w:hideMark/>
          </w:tcPr>
          <w:p w14:paraId="3AD00AC3" w14:textId="77777777" w:rsidR="00E23746" w:rsidRPr="00A87DDE" w:rsidRDefault="00E23746" w:rsidP="000B2F10">
            <w:pPr>
              <w:spacing w:after="0" w:line="240" w:lineRule="auto"/>
              <w:rPr>
                <w:rFonts w:eastAsia="Times New Roman" w:cs="Arial"/>
                <w:sz w:val="18"/>
                <w:szCs w:val="20"/>
                <w:lang w:val="es-MX" w:eastAsia="es-MX"/>
              </w:rPr>
            </w:pPr>
            <w:r w:rsidRPr="00A87DDE">
              <w:rPr>
                <w:rFonts w:eastAsia="Times New Roman" w:cs="Arial"/>
                <w:sz w:val="18"/>
                <w:szCs w:val="20"/>
                <w:lang w:val="es-MX" w:eastAsia="es-MX"/>
              </w:rPr>
              <w:t>Ampliar la cobertura de los servicios de evaluación y certificación de competencias laborales, servicios tecnológicos y capacitación para facilitar la inserción y movilidad laboral de los egresados de educación media superior.</w:t>
            </w:r>
          </w:p>
        </w:tc>
        <w:tc>
          <w:tcPr>
            <w:tcW w:w="2724" w:type="dxa"/>
            <w:tcBorders>
              <w:top w:val="single" w:sz="4" w:space="0" w:color="auto"/>
              <w:left w:val="nil"/>
              <w:bottom w:val="single" w:sz="4" w:space="0" w:color="auto"/>
              <w:right w:val="single" w:sz="4" w:space="0" w:color="auto"/>
            </w:tcBorders>
            <w:shd w:val="clear" w:color="auto" w:fill="auto"/>
            <w:hideMark/>
          </w:tcPr>
          <w:p w14:paraId="5A39BCB2" w14:textId="77777777" w:rsidR="00E23746" w:rsidRPr="00A87DDE" w:rsidRDefault="00E23746" w:rsidP="000B2F10">
            <w:pPr>
              <w:spacing w:after="0" w:line="240" w:lineRule="auto"/>
              <w:rPr>
                <w:rFonts w:eastAsia="Times New Roman" w:cs="Arial"/>
                <w:sz w:val="18"/>
                <w:szCs w:val="20"/>
                <w:lang w:val="es-MX" w:eastAsia="es-MX"/>
              </w:rPr>
            </w:pPr>
            <w:r w:rsidRPr="00A87DDE">
              <w:rPr>
                <w:rFonts w:eastAsia="Times New Roman" w:cs="Arial"/>
                <w:sz w:val="18"/>
                <w:szCs w:val="20"/>
                <w:lang w:val="es-MX" w:eastAsia="es-MX"/>
              </w:rPr>
              <w:t>C03.A02 - Atención de alumnos en el Programa de Orientación Educativa.</w:t>
            </w:r>
          </w:p>
        </w:tc>
        <w:tc>
          <w:tcPr>
            <w:tcW w:w="2499" w:type="dxa"/>
            <w:tcBorders>
              <w:top w:val="single" w:sz="4" w:space="0" w:color="auto"/>
              <w:left w:val="nil"/>
              <w:bottom w:val="single" w:sz="4" w:space="0" w:color="auto"/>
              <w:right w:val="single" w:sz="4" w:space="0" w:color="auto"/>
            </w:tcBorders>
            <w:shd w:val="clear" w:color="auto" w:fill="auto"/>
            <w:hideMark/>
          </w:tcPr>
          <w:p w14:paraId="7408DB0B" w14:textId="77777777" w:rsidR="00E23746" w:rsidRPr="00A87DDE" w:rsidRDefault="00E23746" w:rsidP="000B2F10">
            <w:pPr>
              <w:spacing w:after="0" w:line="240" w:lineRule="auto"/>
              <w:rPr>
                <w:rFonts w:eastAsia="Times New Roman" w:cs="Arial"/>
                <w:sz w:val="18"/>
                <w:szCs w:val="20"/>
                <w:lang w:val="es-MX" w:eastAsia="es-MX"/>
              </w:rPr>
            </w:pPr>
            <w:r w:rsidRPr="00A87DDE">
              <w:rPr>
                <w:rFonts w:eastAsia="Times New Roman" w:cs="Arial"/>
                <w:sz w:val="18"/>
                <w:szCs w:val="20"/>
                <w:lang w:val="es-MX" w:eastAsia="es-MX"/>
              </w:rPr>
              <w:t>C03A02 - Porcentaje de alumnos atendidos con el programa de orientación educativa.</w:t>
            </w:r>
          </w:p>
        </w:tc>
        <w:tc>
          <w:tcPr>
            <w:tcW w:w="2835" w:type="dxa"/>
            <w:tcBorders>
              <w:top w:val="single" w:sz="4" w:space="0" w:color="auto"/>
              <w:left w:val="nil"/>
              <w:bottom w:val="single" w:sz="4" w:space="0" w:color="auto"/>
              <w:right w:val="single" w:sz="4" w:space="0" w:color="auto"/>
            </w:tcBorders>
            <w:shd w:val="clear" w:color="auto" w:fill="auto"/>
            <w:hideMark/>
          </w:tcPr>
          <w:p w14:paraId="12C821CC" w14:textId="77777777" w:rsidR="00E23746" w:rsidRPr="00A87DDE" w:rsidRDefault="00E23746" w:rsidP="000B2F10">
            <w:pPr>
              <w:spacing w:after="0" w:line="240" w:lineRule="auto"/>
              <w:rPr>
                <w:rFonts w:eastAsia="Times New Roman" w:cs="Arial"/>
                <w:sz w:val="18"/>
                <w:szCs w:val="20"/>
                <w:lang w:val="es-MX" w:eastAsia="es-MX"/>
              </w:rPr>
            </w:pPr>
            <w:r w:rsidRPr="00A87DDE">
              <w:rPr>
                <w:rFonts w:eastAsia="Times New Roman" w:cs="Arial"/>
                <w:sz w:val="18"/>
                <w:szCs w:val="20"/>
                <w:lang w:val="es-MX" w:eastAsia="es-MX"/>
              </w:rPr>
              <w:t>Dirección Académica.  Reporte de alumnos atendidos. www.cecyteqroo.edu.mx</w:t>
            </w:r>
          </w:p>
        </w:tc>
        <w:tc>
          <w:tcPr>
            <w:tcW w:w="1985" w:type="dxa"/>
            <w:tcBorders>
              <w:top w:val="single" w:sz="4" w:space="0" w:color="auto"/>
              <w:left w:val="nil"/>
              <w:bottom w:val="single" w:sz="4" w:space="0" w:color="auto"/>
              <w:right w:val="single" w:sz="4" w:space="0" w:color="auto"/>
            </w:tcBorders>
            <w:shd w:val="clear" w:color="auto" w:fill="auto"/>
            <w:hideMark/>
          </w:tcPr>
          <w:p w14:paraId="22C538B2" w14:textId="77777777" w:rsidR="00E23746" w:rsidRPr="00A87DDE" w:rsidRDefault="00E23746" w:rsidP="000B2F10">
            <w:pPr>
              <w:spacing w:after="0" w:line="240" w:lineRule="auto"/>
              <w:rPr>
                <w:rFonts w:eastAsia="Times New Roman" w:cs="Arial"/>
                <w:sz w:val="18"/>
                <w:szCs w:val="20"/>
                <w:lang w:val="es-MX" w:eastAsia="es-MX"/>
              </w:rPr>
            </w:pPr>
            <w:r w:rsidRPr="00A87DDE">
              <w:rPr>
                <w:rFonts w:eastAsia="Times New Roman" w:cs="Arial"/>
                <w:sz w:val="18"/>
                <w:szCs w:val="20"/>
                <w:lang w:val="es-MX" w:eastAsia="es-MX"/>
              </w:rPr>
              <w:t>Los alumnos participan en el Programa de Orientación Educativa.</w:t>
            </w:r>
          </w:p>
        </w:tc>
      </w:tr>
      <w:tr w:rsidR="00E23746" w:rsidRPr="006F7CAA" w14:paraId="1D5944BC" w14:textId="77777777" w:rsidTr="005A15E8">
        <w:trPr>
          <w:trHeight w:val="1643"/>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14:paraId="0479F915" w14:textId="77777777" w:rsidR="00E23746" w:rsidRPr="006F7CAA" w:rsidRDefault="00E23746" w:rsidP="000B2F10">
            <w:pPr>
              <w:spacing w:after="0" w:line="240" w:lineRule="auto"/>
              <w:jc w:val="center"/>
              <w:rPr>
                <w:rFonts w:eastAsia="Times New Roman" w:cs="Arial"/>
                <w:b/>
                <w:bCs/>
                <w:sz w:val="20"/>
                <w:szCs w:val="20"/>
                <w:lang w:val="es-MX" w:eastAsia="es-MX"/>
              </w:rPr>
            </w:pPr>
            <w:r w:rsidRPr="006F7CAA">
              <w:rPr>
                <w:rFonts w:eastAsia="Times New Roman" w:cs="Arial"/>
                <w:b/>
                <w:bCs/>
                <w:sz w:val="20"/>
                <w:szCs w:val="20"/>
                <w:lang w:val="es-MX" w:eastAsia="es-MX"/>
              </w:rPr>
              <w:t>Act</w:t>
            </w:r>
            <w:r>
              <w:rPr>
                <w:rFonts w:eastAsia="Times New Roman" w:cs="Arial"/>
                <w:b/>
                <w:bCs/>
                <w:sz w:val="20"/>
                <w:szCs w:val="20"/>
                <w:lang w:val="es-MX" w:eastAsia="es-MX"/>
              </w:rPr>
              <w:t>ividad</w:t>
            </w:r>
          </w:p>
        </w:tc>
        <w:tc>
          <w:tcPr>
            <w:tcW w:w="2573" w:type="dxa"/>
            <w:tcBorders>
              <w:top w:val="single" w:sz="4" w:space="0" w:color="auto"/>
              <w:left w:val="nil"/>
              <w:bottom w:val="single" w:sz="4" w:space="0" w:color="auto"/>
              <w:right w:val="single" w:sz="4" w:space="0" w:color="auto"/>
            </w:tcBorders>
            <w:shd w:val="clear" w:color="auto" w:fill="auto"/>
            <w:hideMark/>
          </w:tcPr>
          <w:p w14:paraId="56555DC4" w14:textId="77777777" w:rsidR="00E23746" w:rsidRPr="00A87DDE" w:rsidRDefault="00E23746" w:rsidP="000B2F10">
            <w:pPr>
              <w:spacing w:after="0" w:line="240" w:lineRule="auto"/>
              <w:rPr>
                <w:rFonts w:eastAsia="Times New Roman" w:cs="Arial"/>
                <w:sz w:val="18"/>
                <w:szCs w:val="20"/>
                <w:lang w:val="es-MX" w:eastAsia="es-MX"/>
              </w:rPr>
            </w:pPr>
            <w:r w:rsidRPr="00A87DDE">
              <w:rPr>
                <w:rFonts w:eastAsia="Times New Roman" w:cs="Arial"/>
                <w:sz w:val="18"/>
                <w:szCs w:val="20"/>
                <w:lang w:val="es-MX" w:eastAsia="es-MX"/>
              </w:rPr>
              <w:t>Fortalecer los programas de asesoría, tutoría y de acompañamiento académico de los estudiantes de media superior  a fin de elevar el desempeño escolar y la eficiencia terminal.</w:t>
            </w:r>
          </w:p>
        </w:tc>
        <w:tc>
          <w:tcPr>
            <w:tcW w:w="2724" w:type="dxa"/>
            <w:tcBorders>
              <w:top w:val="single" w:sz="4" w:space="0" w:color="auto"/>
              <w:left w:val="nil"/>
              <w:bottom w:val="single" w:sz="4" w:space="0" w:color="auto"/>
              <w:right w:val="single" w:sz="4" w:space="0" w:color="auto"/>
            </w:tcBorders>
            <w:shd w:val="clear" w:color="auto" w:fill="auto"/>
            <w:hideMark/>
          </w:tcPr>
          <w:p w14:paraId="23FB0F72" w14:textId="77777777" w:rsidR="00E23746" w:rsidRPr="00A87DDE" w:rsidRDefault="00E23746" w:rsidP="000B2F10">
            <w:pPr>
              <w:spacing w:after="0" w:line="240" w:lineRule="auto"/>
              <w:rPr>
                <w:rFonts w:eastAsia="Times New Roman" w:cs="Arial"/>
                <w:sz w:val="18"/>
                <w:szCs w:val="20"/>
                <w:lang w:val="es-MX" w:eastAsia="es-MX"/>
              </w:rPr>
            </w:pPr>
            <w:r w:rsidRPr="00A87DDE">
              <w:rPr>
                <w:rFonts w:eastAsia="Times New Roman" w:cs="Arial"/>
                <w:sz w:val="18"/>
                <w:szCs w:val="20"/>
                <w:lang w:val="es-MX" w:eastAsia="es-MX"/>
              </w:rPr>
              <w:t>C03.A03 - Atención de alumnos con el Programa de tutoría grupal.</w:t>
            </w:r>
          </w:p>
        </w:tc>
        <w:tc>
          <w:tcPr>
            <w:tcW w:w="2499" w:type="dxa"/>
            <w:tcBorders>
              <w:top w:val="single" w:sz="4" w:space="0" w:color="auto"/>
              <w:left w:val="nil"/>
              <w:bottom w:val="single" w:sz="4" w:space="0" w:color="auto"/>
              <w:right w:val="single" w:sz="4" w:space="0" w:color="auto"/>
            </w:tcBorders>
            <w:shd w:val="clear" w:color="auto" w:fill="auto"/>
            <w:hideMark/>
          </w:tcPr>
          <w:p w14:paraId="718C5E81" w14:textId="77777777" w:rsidR="00E23746" w:rsidRPr="00A87DDE" w:rsidRDefault="00E23746" w:rsidP="000B2F10">
            <w:pPr>
              <w:spacing w:after="0" w:line="240" w:lineRule="auto"/>
              <w:rPr>
                <w:rFonts w:eastAsia="Times New Roman" w:cs="Arial"/>
                <w:sz w:val="18"/>
                <w:szCs w:val="20"/>
                <w:lang w:val="es-MX" w:eastAsia="es-MX"/>
              </w:rPr>
            </w:pPr>
            <w:r w:rsidRPr="00A87DDE">
              <w:rPr>
                <w:rFonts w:eastAsia="Times New Roman" w:cs="Arial"/>
                <w:sz w:val="18"/>
                <w:szCs w:val="20"/>
                <w:lang w:val="es-MX" w:eastAsia="es-MX"/>
              </w:rPr>
              <w:t>C03A03 - Porcentaje de grupos de alumnos atendidos con tutoría grupal.</w:t>
            </w:r>
          </w:p>
        </w:tc>
        <w:tc>
          <w:tcPr>
            <w:tcW w:w="2835" w:type="dxa"/>
            <w:tcBorders>
              <w:top w:val="single" w:sz="4" w:space="0" w:color="auto"/>
              <w:left w:val="nil"/>
              <w:bottom w:val="single" w:sz="4" w:space="0" w:color="auto"/>
              <w:right w:val="single" w:sz="4" w:space="0" w:color="auto"/>
            </w:tcBorders>
            <w:shd w:val="clear" w:color="auto" w:fill="auto"/>
            <w:hideMark/>
          </w:tcPr>
          <w:p w14:paraId="31126FC1" w14:textId="77777777" w:rsidR="00E23746" w:rsidRPr="00A87DDE" w:rsidRDefault="00E23746" w:rsidP="000B2F10">
            <w:pPr>
              <w:spacing w:after="0" w:line="240" w:lineRule="auto"/>
              <w:rPr>
                <w:rFonts w:eastAsia="Times New Roman" w:cs="Arial"/>
                <w:sz w:val="18"/>
                <w:szCs w:val="20"/>
                <w:lang w:val="es-MX" w:eastAsia="es-MX"/>
              </w:rPr>
            </w:pPr>
            <w:r w:rsidRPr="00A87DDE">
              <w:rPr>
                <w:rFonts w:eastAsia="Times New Roman" w:cs="Arial"/>
                <w:sz w:val="18"/>
                <w:szCs w:val="20"/>
                <w:lang w:val="es-MX" w:eastAsia="es-MX"/>
              </w:rPr>
              <w:t>Dirección Académica. Reporte de alumnos atendidos. www.cecyteqroo.edu.mx</w:t>
            </w:r>
          </w:p>
        </w:tc>
        <w:tc>
          <w:tcPr>
            <w:tcW w:w="1985" w:type="dxa"/>
            <w:tcBorders>
              <w:top w:val="single" w:sz="4" w:space="0" w:color="auto"/>
              <w:left w:val="nil"/>
              <w:bottom w:val="single" w:sz="4" w:space="0" w:color="auto"/>
              <w:right w:val="single" w:sz="4" w:space="0" w:color="auto"/>
            </w:tcBorders>
            <w:shd w:val="clear" w:color="auto" w:fill="auto"/>
            <w:hideMark/>
          </w:tcPr>
          <w:p w14:paraId="2B560061" w14:textId="77777777" w:rsidR="00E23746" w:rsidRPr="00A87DDE" w:rsidRDefault="00E23746" w:rsidP="000B2F10">
            <w:pPr>
              <w:spacing w:after="0" w:line="240" w:lineRule="auto"/>
              <w:rPr>
                <w:rFonts w:eastAsia="Times New Roman" w:cs="Arial"/>
                <w:sz w:val="18"/>
                <w:szCs w:val="20"/>
                <w:lang w:val="es-MX" w:eastAsia="es-MX"/>
              </w:rPr>
            </w:pPr>
            <w:r w:rsidRPr="00A87DDE">
              <w:rPr>
                <w:rFonts w:eastAsia="Times New Roman" w:cs="Arial"/>
                <w:sz w:val="18"/>
                <w:szCs w:val="20"/>
                <w:lang w:val="es-MX" w:eastAsia="es-MX"/>
              </w:rPr>
              <w:t>Los alumnos participan y son atendidos con programas de tutoría grupal académica.</w:t>
            </w:r>
          </w:p>
        </w:tc>
      </w:tr>
      <w:tr w:rsidR="00E23746" w:rsidRPr="006F7CAA" w14:paraId="560BE830" w14:textId="77777777" w:rsidTr="005A15E8">
        <w:trPr>
          <w:trHeight w:val="692"/>
        </w:trPr>
        <w:tc>
          <w:tcPr>
            <w:tcW w:w="1413"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04AE9C52" w14:textId="77777777" w:rsidR="00E23746" w:rsidRPr="006F7CAA" w:rsidRDefault="00E23746" w:rsidP="000B2F10">
            <w:pPr>
              <w:spacing w:after="0" w:line="240" w:lineRule="auto"/>
              <w:jc w:val="center"/>
              <w:rPr>
                <w:rFonts w:eastAsia="Times New Roman" w:cs="Arial"/>
                <w:b/>
                <w:bCs/>
                <w:sz w:val="20"/>
                <w:szCs w:val="20"/>
                <w:lang w:val="es-MX" w:eastAsia="es-MX"/>
              </w:rPr>
            </w:pPr>
            <w:r w:rsidRPr="006F7CAA">
              <w:rPr>
                <w:rFonts w:eastAsia="Times New Roman" w:cs="Arial"/>
                <w:b/>
                <w:bCs/>
                <w:sz w:val="20"/>
                <w:szCs w:val="20"/>
                <w:lang w:val="es-MX" w:eastAsia="es-MX"/>
              </w:rPr>
              <w:lastRenderedPageBreak/>
              <w:t>NIVEL</w:t>
            </w:r>
          </w:p>
        </w:tc>
        <w:tc>
          <w:tcPr>
            <w:tcW w:w="2573" w:type="dxa"/>
            <w:tcBorders>
              <w:top w:val="single" w:sz="4" w:space="0" w:color="auto"/>
              <w:left w:val="nil"/>
              <w:bottom w:val="single" w:sz="4" w:space="0" w:color="auto"/>
              <w:right w:val="single" w:sz="4" w:space="0" w:color="auto"/>
            </w:tcBorders>
            <w:shd w:val="clear" w:color="000000" w:fill="BFBFBF"/>
            <w:vAlign w:val="center"/>
            <w:hideMark/>
          </w:tcPr>
          <w:p w14:paraId="39AF95DC" w14:textId="77777777" w:rsidR="00E23746" w:rsidRPr="006F7CAA" w:rsidRDefault="00E23746" w:rsidP="000B2F10">
            <w:pPr>
              <w:spacing w:after="0" w:line="240" w:lineRule="auto"/>
              <w:jc w:val="center"/>
              <w:rPr>
                <w:rFonts w:eastAsia="Times New Roman" w:cs="Arial"/>
                <w:b/>
                <w:bCs/>
                <w:sz w:val="20"/>
                <w:szCs w:val="20"/>
                <w:lang w:val="es-MX" w:eastAsia="es-MX"/>
              </w:rPr>
            </w:pPr>
            <w:r w:rsidRPr="006F7CAA">
              <w:rPr>
                <w:rFonts w:eastAsia="Times New Roman" w:cs="Arial"/>
                <w:b/>
                <w:bCs/>
                <w:sz w:val="20"/>
                <w:szCs w:val="20"/>
                <w:lang w:val="es-MX" w:eastAsia="es-MX"/>
              </w:rPr>
              <w:t>ALINEACIÓN PED/PD</w:t>
            </w:r>
          </w:p>
        </w:tc>
        <w:tc>
          <w:tcPr>
            <w:tcW w:w="2724" w:type="dxa"/>
            <w:tcBorders>
              <w:top w:val="single" w:sz="4" w:space="0" w:color="auto"/>
              <w:left w:val="nil"/>
              <w:bottom w:val="single" w:sz="4" w:space="0" w:color="auto"/>
              <w:right w:val="single" w:sz="4" w:space="0" w:color="auto"/>
            </w:tcBorders>
            <w:shd w:val="clear" w:color="000000" w:fill="BFBFBF"/>
            <w:vAlign w:val="center"/>
            <w:hideMark/>
          </w:tcPr>
          <w:p w14:paraId="2014E8DF" w14:textId="77777777" w:rsidR="00E23746" w:rsidRPr="006F7CAA" w:rsidRDefault="00E23746" w:rsidP="000B2F10">
            <w:pPr>
              <w:spacing w:after="0" w:line="240" w:lineRule="auto"/>
              <w:jc w:val="center"/>
              <w:rPr>
                <w:rFonts w:eastAsia="Times New Roman" w:cs="Arial"/>
                <w:b/>
                <w:bCs/>
                <w:sz w:val="20"/>
                <w:szCs w:val="20"/>
                <w:lang w:val="es-MX" w:eastAsia="es-MX"/>
              </w:rPr>
            </w:pPr>
            <w:r w:rsidRPr="006F7CAA">
              <w:rPr>
                <w:rFonts w:eastAsia="Times New Roman" w:cs="Arial"/>
                <w:b/>
                <w:bCs/>
                <w:sz w:val="20"/>
                <w:szCs w:val="20"/>
                <w:lang w:val="es-MX" w:eastAsia="es-MX"/>
              </w:rPr>
              <w:t>OBJETIVO</w:t>
            </w:r>
          </w:p>
        </w:tc>
        <w:tc>
          <w:tcPr>
            <w:tcW w:w="2499" w:type="dxa"/>
            <w:tcBorders>
              <w:top w:val="single" w:sz="4" w:space="0" w:color="auto"/>
              <w:left w:val="nil"/>
              <w:bottom w:val="single" w:sz="4" w:space="0" w:color="auto"/>
              <w:right w:val="single" w:sz="4" w:space="0" w:color="auto"/>
            </w:tcBorders>
            <w:shd w:val="clear" w:color="000000" w:fill="BFBFBF"/>
            <w:vAlign w:val="center"/>
            <w:hideMark/>
          </w:tcPr>
          <w:p w14:paraId="5D368595" w14:textId="77777777" w:rsidR="00E23746" w:rsidRPr="006F7CAA" w:rsidRDefault="00E23746" w:rsidP="000B2F10">
            <w:pPr>
              <w:spacing w:after="0" w:line="240" w:lineRule="auto"/>
              <w:jc w:val="center"/>
              <w:rPr>
                <w:rFonts w:eastAsia="Times New Roman" w:cs="Arial"/>
                <w:b/>
                <w:bCs/>
                <w:sz w:val="20"/>
                <w:szCs w:val="20"/>
                <w:lang w:val="es-MX" w:eastAsia="es-MX"/>
              </w:rPr>
            </w:pPr>
            <w:r w:rsidRPr="006F7CAA">
              <w:rPr>
                <w:rFonts w:eastAsia="Times New Roman" w:cs="Arial"/>
                <w:b/>
                <w:bCs/>
                <w:sz w:val="20"/>
                <w:szCs w:val="20"/>
                <w:lang w:val="es-MX" w:eastAsia="es-MX"/>
              </w:rPr>
              <w:t>INDICADOR</w:t>
            </w:r>
          </w:p>
        </w:tc>
        <w:tc>
          <w:tcPr>
            <w:tcW w:w="2835" w:type="dxa"/>
            <w:tcBorders>
              <w:top w:val="single" w:sz="4" w:space="0" w:color="auto"/>
              <w:left w:val="nil"/>
              <w:bottom w:val="single" w:sz="4" w:space="0" w:color="auto"/>
              <w:right w:val="single" w:sz="4" w:space="0" w:color="auto"/>
            </w:tcBorders>
            <w:shd w:val="clear" w:color="000000" w:fill="BFBFBF"/>
            <w:vAlign w:val="center"/>
            <w:hideMark/>
          </w:tcPr>
          <w:p w14:paraId="0FAF856A" w14:textId="77777777" w:rsidR="00E23746" w:rsidRPr="006F7CAA" w:rsidRDefault="00E23746" w:rsidP="000B2F10">
            <w:pPr>
              <w:spacing w:after="0" w:line="240" w:lineRule="auto"/>
              <w:jc w:val="center"/>
              <w:rPr>
                <w:rFonts w:eastAsia="Times New Roman" w:cs="Arial"/>
                <w:b/>
                <w:bCs/>
                <w:sz w:val="20"/>
                <w:szCs w:val="20"/>
                <w:lang w:val="es-MX" w:eastAsia="es-MX"/>
              </w:rPr>
            </w:pPr>
            <w:r w:rsidRPr="006F7CAA">
              <w:rPr>
                <w:rFonts w:eastAsia="Times New Roman" w:cs="Arial"/>
                <w:b/>
                <w:bCs/>
                <w:sz w:val="20"/>
                <w:szCs w:val="20"/>
                <w:lang w:val="es-MX" w:eastAsia="es-MX"/>
              </w:rPr>
              <w:t>MEDIOS DE VERIFICACIÓN</w:t>
            </w:r>
          </w:p>
        </w:tc>
        <w:tc>
          <w:tcPr>
            <w:tcW w:w="1985" w:type="dxa"/>
            <w:tcBorders>
              <w:top w:val="single" w:sz="4" w:space="0" w:color="auto"/>
              <w:left w:val="nil"/>
              <w:bottom w:val="single" w:sz="4" w:space="0" w:color="auto"/>
              <w:right w:val="single" w:sz="4" w:space="0" w:color="auto"/>
            </w:tcBorders>
            <w:shd w:val="clear" w:color="000000" w:fill="BFBFBF"/>
            <w:vAlign w:val="center"/>
            <w:hideMark/>
          </w:tcPr>
          <w:p w14:paraId="5B9DF6A4" w14:textId="77777777" w:rsidR="00E23746" w:rsidRPr="006F7CAA" w:rsidRDefault="00E23746" w:rsidP="000B2F10">
            <w:pPr>
              <w:spacing w:after="0" w:line="240" w:lineRule="auto"/>
              <w:jc w:val="center"/>
              <w:rPr>
                <w:rFonts w:eastAsia="Times New Roman" w:cs="Arial"/>
                <w:b/>
                <w:bCs/>
                <w:sz w:val="20"/>
                <w:szCs w:val="20"/>
                <w:lang w:val="es-MX" w:eastAsia="es-MX"/>
              </w:rPr>
            </w:pPr>
            <w:r w:rsidRPr="006F7CAA">
              <w:rPr>
                <w:rFonts w:eastAsia="Times New Roman" w:cs="Arial"/>
                <w:b/>
                <w:bCs/>
                <w:sz w:val="20"/>
                <w:szCs w:val="20"/>
                <w:lang w:val="es-MX" w:eastAsia="es-MX"/>
              </w:rPr>
              <w:t>SUPUESTO</w:t>
            </w:r>
          </w:p>
        </w:tc>
      </w:tr>
      <w:tr w:rsidR="00E23746" w:rsidRPr="006F7CAA" w14:paraId="7CB144A7" w14:textId="77777777" w:rsidTr="005A15E8">
        <w:trPr>
          <w:trHeight w:val="1620"/>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14:paraId="21D767E2" w14:textId="77777777" w:rsidR="00E23746" w:rsidRPr="006F7CAA" w:rsidRDefault="00E23746" w:rsidP="000B2F10">
            <w:pPr>
              <w:spacing w:after="0" w:line="240" w:lineRule="auto"/>
              <w:jc w:val="center"/>
              <w:rPr>
                <w:rFonts w:eastAsia="Times New Roman" w:cs="Arial"/>
                <w:b/>
                <w:bCs/>
                <w:sz w:val="20"/>
                <w:szCs w:val="20"/>
                <w:lang w:val="es-MX" w:eastAsia="es-MX"/>
              </w:rPr>
            </w:pPr>
            <w:r>
              <w:rPr>
                <w:rFonts w:eastAsia="Times New Roman" w:cs="Arial"/>
                <w:b/>
                <w:bCs/>
                <w:sz w:val="20"/>
                <w:szCs w:val="20"/>
                <w:lang w:val="es-MX" w:eastAsia="es-MX"/>
              </w:rPr>
              <w:t>Actividad</w:t>
            </w:r>
          </w:p>
        </w:tc>
        <w:tc>
          <w:tcPr>
            <w:tcW w:w="2573" w:type="dxa"/>
            <w:tcBorders>
              <w:top w:val="single" w:sz="4" w:space="0" w:color="auto"/>
              <w:left w:val="single" w:sz="4" w:space="0" w:color="auto"/>
              <w:bottom w:val="single" w:sz="4" w:space="0" w:color="auto"/>
              <w:right w:val="single" w:sz="4" w:space="0" w:color="auto"/>
            </w:tcBorders>
            <w:shd w:val="clear" w:color="auto" w:fill="auto"/>
            <w:hideMark/>
          </w:tcPr>
          <w:p w14:paraId="5FB918E6" w14:textId="77777777" w:rsidR="00E23746" w:rsidRPr="006F7CAA" w:rsidRDefault="00E23746" w:rsidP="000B2F10">
            <w:pPr>
              <w:spacing w:after="0" w:line="240" w:lineRule="auto"/>
              <w:rPr>
                <w:rFonts w:eastAsia="Times New Roman" w:cs="Arial"/>
                <w:sz w:val="20"/>
                <w:szCs w:val="20"/>
                <w:lang w:val="es-MX" w:eastAsia="es-MX"/>
              </w:rPr>
            </w:pPr>
            <w:r w:rsidRPr="006F7CAA">
              <w:rPr>
                <w:rFonts w:eastAsia="Times New Roman" w:cs="Arial"/>
                <w:sz w:val="20"/>
                <w:szCs w:val="20"/>
                <w:lang w:val="es-MX" w:eastAsia="es-MX"/>
              </w:rPr>
              <w:t>Fortalecer los programas de asesoría, tutoría y de acompañamiento académico de los estudiantes de media superior  a fin de elevar el desempeño escolar y la eficiencia terminal.</w:t>
            </w:r>
          </w:p>
        </w:tc>
        <w:tc>
          <w:tcPr>
            <w:tcW w:w="2724" w:type="dxa"/>
            <w:tcBorders>
              <w:top w:val="single" w:sz="4" w:space="0" w:color="auto"/>
              <w:left w:val="single" w:sz="4" w:space="0" w:color="auto"/>
              <w:bottom w:val="single" w:sz="4" w:space="0" w:color="auto"/>
              <w:right w:val="single" w:sz="4" w:space="0" w:color="auto"/>
            </w:tcBorders>
            <w:shd w:val="clear" w:color="auto" w:fill="auto"/>
            <w:hideMark/>
          </w:tcPr>
          <w:p w14:paraId="5AFD1A8D" w14:textId="77777777" w:rsidR="00E23746" w:rsidRPr="006F7CAA" w:rsidRDefault="00E23746" w:rsidP="000B2F10">
            <w:pPr>
              <w:spacing w:after="0" w:line="240" w:lineRule="auto"/>
              <w:rPr>
                <w:rFonts w:eastAsia="Times New Roman" w:cs="Arial"/>
                <w:sz w:val="20"/>
                <w:szCs w:val="20"/>
                <w:lang w:val="es-MX" w:eastAsia="es-MX"/>
              </w:rPr>
            </w:pPr>
            <w:r w:rsidRPr="006F7CAA">
              <w:rPr>
                <w:rFonts w:eastAsia="Times New Roman" w:cs="Arial"/>
                <w:sz w:val="20"/>
                <w:szCs w:val="20"/>
                <w:lang w:val="es-MX" w:eastAsia="es-MX"/>
              </w:rPr>
              <w:t>C03.A04 - Atención de alumnos con el Modelo de Orientación Vocacional Ocupacional (MOVO).</w:t>
            </w:r>
          </w:p>
        </w:tc>
        <w:tc>
          <w:tcPr>
            <w:tcW w:w="2499" w:type="dxa"/>
            <w:tcBorders>
              <w:top w:val="single" w:sz="4" w:space="0" w:color="auto"/>
              <w:left w:val="single" w:sz="4" w:space="0" w:color="auto"/>
              <w:bottom w:val="single" w:sz="4" w:space="0" w:color="auto"/>
              <w:right w:val="single" w:sz="4" w:space="0" w:color="auto"/>
            </w:tcBorders>
            <w:shd w:val="clear" w:color="auto" w:fill="auto"/>
            <w:hideMark/>
          </w:tcPr>
          <w:p w14:paraId="3AF07BC0" w14:textId="77777777" w:rsidR="00E23746" w:rsidRPr="006F7CAA" w:rsidRDefault="00E23746" w:rsidP="000B2F10">
            <w:pPr>
              <w:spacing w:after="0" w:line="240" w:lineRule="auto"/>
              <w:rPr>
                <w:rFonts w:eastAsia="Times New Roman" w:cs="Arial"/>
                <w:sz w:val="20"/>
                <w:szCs w:val="20"/>
                <w:lang w:val="es-MX" w:eastAsia="es-MX"/>
              </w:rPr>
            </w:pPr>
            <w:r w:rsidRPr="006F7CAA">
              <w:rPr>
                <w:rFonts w:eastAsia="Times New Roman" w:cs="Arial"/>
                <w:sz w:val="20"/>
                <w:szCs w:val="20"/>
                <w:lang w:val="es-MX" w:eastAsia="es-MX"/>
              </w:rPr>
              <w:t>C03A04 - Porcentaje de alumnos atendidos con el MOVO.</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6C83723" w14:textId="77777777" w:rsidR="00E23746" w:rsidRPr="006F7CAA" w:rsidRDefault="00E23746" w:rsidP="000B2F10">
            <w:pPr>
              <w:spacing w:after="0" w:line="240" w:lineRule="auto"/>
              <w:rPr>
                <w:rFonts w:eastAsia="Times New Roman" w:cs="Arial"/>
                <w:sz w:val="20"/>
                <w:szCs w:val="20"/>
                <w:lang w:val="es-MX" w:eastAsia="es-MX"/>
              </w:rPr>
            </w:pPr>
            <w:r w:rsidRPr="006F7CAA">
              <w:rPr>
                <w:rFonts w:eastAsia="Times New Roman" w:cs="Arial"/>
                <w:sz w:val="20"/>
                <w:szCs w:val="20"/>
                <w:lang w:val="es-MX" w:eastAsia="es-MX"/>
              </w:rPr>
              <w:t>Dirección Académica.</w:t>
            </w:r>
            <w:r>
              <w:rPr>
                <w:rFonts w:eastAsia="Times New Roman" w:cs="Arial"/>
                <w:sz w:val="20"/>
                <w:szCs w:val="20"/>
                <w:lang w:val="es-MX" w:eastAsia="es-MX"/>
              </w:rPr>
              <w:t xml:space="preserve"> </w:t>
            </w:r>
            <w:r w:rsidRPr="006F7CAA">
              <w:rPr>
                <w:rFonts w:eastAsia="Times New Roman" w:cs="Arial"/>
                <w:sz w:val="20"/>
                <w:szCs w:val="20"/>
                <w:lang w:val="es-MX" w:eastAsia="es-MX"/>
              </w:rPr>
              <w:t>Reporte de alumnos atendidos. www.cecyteqroo.edu.mx</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39F81102" w14:textId="77777777" w:rsidR="00E23746" w:rsidRPr="006F7CAA" w:rsidRDefault="00E23746" w:rsidP="000B2F10">
            <w:pPr>
              <w:spacing w:after="0" w:line="240" w:lineRule="auto"/>
              <w:rPr>
                <w:rFonts w:eastAsia="Times New Roman" w:cs="Arial"/>
                <w:sz w:val="20"/>
                <w:szCs w:val="20"/>
                <w:lang w:val="es-MX" w:eastAsia="es-MX"/>
              </w:rPr>
            </w:pPr>
            <w:r w:rsidRPr="006F7CAA">
              <w:rPr>
                <w:rFonts w:eastAsia="Times New Roman" w:cs="Arial"/>
                <w:sz w:val="20"/>
                <w:szCs w:val="20"/>
                <w:lang w:val="es-MX" w:eastAsia="es-MX"/>
              </w:rPr>
              <w:t>Los alumnos participan en el Modelo de Orientación Vocacional Ocupacional.</w:t>
            </w:r>
          </w:p>
        </w:tc>
      </w:tr>
      <w:tr w:rsidR="00E23746" w:rsidRPr="006F7CAA" w14:paraId="2C430867" w14:textId="77777777" w:rsidTr="005A15E8">
        <w:trPr>
          <w:trHeight w:val="1163"/>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14:paraId="37A3AD16" w14:textId="77777777" w:rsidR="00E23746" w:rsidRPr="006F7CAA" w:rsidRDefault="00E23746" w:rsidP="000B2F10">
            <w:pPr>
              <w:spacing w:after="0" w:line="240" w:lineRule="auto"/>
              <w:jc w:val="center"/>
              <w:rPr>
                <w:rFonts w:eastAsia="Times New Roman" w:cs="Arial"/>
                <w:b/>
                <w:bCs/>
                <w:sz w:val="20"/>
                <w:szCs w:val="20"/>
                <w:lang w:val="es-MX" w:eastAsia="es-MX"/>
              </w:rPr>
            </w:pPr>
            <w:r>
              <w:rPr>
                <w:rFonts w:eastAsia="Times New Roman" w:cs="Arial"/>
                <w:b/>
                <w:bCs/>
                <w:sz w:val="20"/>
                <w:szCs w:val="20"/>
                <w:lang w:val="es-MX" w:eastAsia="es-MX"/>
              </w:rPr>
              <w:t>Actividad</w:t>
            </w:r>
          </w:p>
        </w:tc>
        <w:tc>
          <w:tcPr>
            <w:tcW w:w="2573" w:type="dxa"/>
            <w:tcBorders>
              <w:top w:val="single" w:sz="4" w:space="0" w:color="auto"/>
              <w:left w:val="single" w:sz="4" w:space="0" w:color="auto"/>
              <w:bottom w:val="single" w:sz="4" w:space="0" w:color="auto"/>
              <w:right w:val="single" w:sz="4" w:space="0" w:color="auto"/>
            </w:tcBorders>
            <w:shd w:val="clear" w:color="auto" w:fill="auto"/>
            <w:hideMark/>
          </w:tcPr>
          <w:p w14:paraId="1D33E68F" w14:textId="77777777" w:rsidR="00E23746" w:rsidRPr="006F7CAA" w:rsidRDefault="00E23746" w:rsidP="000B2F10">
            <w:pPr>
              <w:spacing w:after="0" w:line="240" w:lineRule="auto"/>
              <w:rPr>
                <w:rFonts w:eastAsia="Times New Roman" w:cs="Arial"/>
                <w:sz w:val="20"/>
                <w:szCs w:val="20"/>
                <w:lang w:val="es-MX" w:eastAsia="es-MX"/>
              </w:rPr>
            </w:pPr>
            <w:r w:rsidRPr="006F7CAA">
              <w:rPr>
                <w:rFonts w:eastAsia="Times New Roman" w:cs="Arial"/>
                <w:sz w:val="20"/>
                <w:szCs w:val="20"/>
                <w:lang w:val="es-MX" w:eastAsia="es-MX"/>
              </w:rPr>
              <w:t>Promover la formación integral del estudiantado de nivel media superior; a través de actividades deportivas, artísticas y culturales.</w:t>
            </w:r>
          </w:p>
        </w:tc>
        <w:tc>
          <w:tcPr>
            <w:tcW w:w="2724" w:type="dxa"/>
            <w:tcBorders>
              <w:top w:val="single" w:sz="4" w:space="0" w:color="auto"/>
              <w:left w:val="single" w:sz="4" w:space="0" w:color="auto"/>
              <w:bottom w:val="single" w:sz="4" w:space="0" w:color="auto"/>
              <w:right w:val="single" w:sz="4" w:space="0" w:color="auto"/>
            </w:tcBorders>
            <w:shd w:val="clear" w:color="auto" w:fill="auto"/>
            <w:hideMark/>
          </w:tcPr>
          <w:p w14:paraId="6B20ACF3" w14:textId="77777777" w:rsidR="00E23746" w:rsidRPr="006F7CAA" w:rsidRDefault="00E23746" w:rsidP="000B2F10">
            <w:pPr>
              <w:spacing w:after="0" w:line="240" w:lineRule="auto"/>
              <w:rPr>
                <w:rFonts w:eastAsia="Times New Roman" w:cs="Arial"/>
                <w:sz w:val="20"/>
                <w:szCs w:val="20"/>
                <w:lang w:val="es-MX" w:eastAsia="es-MX"/>
              </w:rPr>
            </w:pPr>
            <w:r w:rsidRPr="006F7CAA">
              <w:rPr>
                <w:rFonts w:eastAsia="Times New Roman" w:cs="Arial"/>
                <w:sz w:val="20"/>
                <w:szCs w:val="20"/>
                <w:lang w:val="es-MX" w:eastAsia="es-MX"/>
              </w:rPr>
              <w:t>C03.A05 - Atención de alumnos en el Programa CONSTRUYE-T.</w:t>
            </w:r>
          </w:p>
        </w:tc>
        <w:tc>
          <w:tcPr>
            <w:tcW w:w="2499" w:type="dxa"/>
            <w:tcBorders>
              <w:top w:val="single" w:sz="4" w:space="0" w:color="auto"/>
              <w:left w:val="single" w:sz="4" w:space="0" w:color="auto"/>
              <w:bottom w:val="single" w:sz="4" w:space="0" w:color="auto"/>
              <w:right w:val="single" w:sz="4" w:space="0" w:color="auto"/>
            </w:tcBorders>
            <w:shd w:val="clear" w:color="auto" w:fill="auto"/>
            <w:hideMark/>
          </w:tcPr>
          <w:p w14:paraId="5F97DE89" w14:textId="77777777" w:rsidR="00E23746" w:rsidRPr="006F7CAA" w:rsidRDefault="00E23746" w:rsidP="000B2F10">
            <w:pPr>
              <w:spacing w:after="0" w:line="240" w:lineRule="auto"/>
              <w:rPr>
                <w:rFonts w:eastAsia="Times New Roman" w:cs="Arial"/>
                <w:sz w:val="20"/>
                <w:szCs w:val="20"/>
                <w:lang w:val="es-MX" w:eastAsia="es-MX"/>
              </w:rPr>
            </w:pPr>
            <w:r w:rsidRPr="006F7CAA">
              <w:rPr>
                <w:rFonts w:eastAsia="Times New Roman" w:cs="Arial"/>
                <w:sz w:val="20"/>
                <w:szCs w:val="20"/>
                <w:lang w:val="es-MX" w:eastAsia="es-MX"/>
              </w:rPr>
              <w:t>C03A05 - Porcentaje de alumnos atendidos con el programa CONSTRUYE-T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0411C23" w14:textId="77777777" w:rsidR="00E23746" w:rsidRPr="006F7CAA" w:rsidRDefault="00E23746" w:rsidP="000B2F10">
            <w:pPr>
              <w:spacing w:after="0" w:line="240" w:lineRule="auto"/>
              <w:rPr>
                <w:rFonts w:eastAsia="Times New Roman" w:cs="Arial"/>
                <w:sz w:val="20"/>
                <w:szCs w:val="20"/>
                <w:lang w:val="es-MX" w:eastAsia="es-MX"/>
              </w:rPr>
            </w:pPr>
            <w:r w:rsidRPr="006F7CAA">
              <w:rPr>
                <w:rFonts w:eastAsia="Times New Roman" w:cs="Arial"/>
                <w:sz w:val="20"/>
                <w:szCs w:val="20"/>
                <w:lang w:val="es-MX" w:eastAsia="es-MX"/>
              </w:rPr>
              <w:t>Dirección Académica. Reporte de alumnos atendidos. www.cecyteqroo.edu.mx</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3CE159E9" w14:textId="77777777" w:rsidR="00E23746" w:rsidRPr="006F7CAA" w:rsidRDefault="00E23746" w:rsidP="000B2F10">
            <w:pPr>
              <w:spacing w:after="0" w:line="240" w:lineRule="auto"/>
              <w:rPr>
                <w:rFonts w:eastAsia="Times New Roman" w:cs="Arial"/>
                <w:sz w:val="20"/>
                <w:szCs w:val="20"/>
                <w:lang w:val="es-MX" w:eastAsia="es-MX"/>
              </w:rPr>
            </w:pPr>
            <w:r w:rsidRPr="006F7CAA">
              <w:rPr>
                <w:rFonts w:eastAsia="Times New Roman" w:cs="Arial"/>
                <w:sz w:val="20"/>
                <w:szCs w:val="20"/>
                <w:lang w:val="es-MX" w:eastAsia="es-MX"/>
              </w:rPr>
              <w:t>Los alumnos participan con interés en las actividades del programa.</w:t>
            </w:r>
          </w:p>
        </w:tc>
      </w:tr>
    </w:tbl>
    <w:p w14:paraId="22A61935" w14:textId="77777777" w:rsidR="00E23746" w:rsidRDefault="00E23746" w:rsidP="00E23746">
      <w:pPr>
        <w:rPr>
          <w:rFonts w:eastAsia="Calibri" w:cs="Arial"/>
          <w:bCs/>
          <w:color w:val="595959" w:themeColor="text1" w:themeTint="A6"/>
          <w:sz w:val="18"/>
          <w:szCs w:val="20"/>
        </w:rPr>
      </w:pPr>
      <w:r w:rsidRPr="0093279A">
        <w:rPr>
          <w:rFonts w:eastAsia="Calibri" w:cs="Arial"/>
          <w:bCs/>
          <w:color w:val="595959" w:themeColor="text1" w:themeTint="A6"/>
          <w:sz w:val="18"/>
          <w:szCs w:val="20"/>
        </w:rPr>
        <w:t>El anexo aquí presentado es perfectible, y se encuentra susceptible de modificaciones programáticas toda vez que así se le indique por observaciones de auditorías, evaluaciones al desempeño y revisiones de la Secretaría de Finanzas y Planeación antes y durante el ejercicio fiscal del que se trate, así como también, cuando las condiciones del Ente Público responsable de dicha información programática requiera hacer modificaciones a sus necesidades institucionales, atendiendo a lo establecido en los Lineamientos para la Creación, Modificación y Cancelación de Programas Presupuestarios y para la Modificación de Metas del Gobierno del Estado de Quintana Roo.</w:t>
      </w:r>
    </w:p>
    <w:p w14:paraId="00A22CCC" w14:textId="77777777" w:rsidR="00E23746" w:rsidRDefault="00E23746" w:rsidP="00E23746">
      <w:pPr>
        <w:rPr>
          <w:lang w:val="es-MX" w:eastAsia="en-US"/>
        </w:rPr>
      </w:pPr>
      <w:r>
        <w:rPr>
          <w:lang w:val="es-MX" w:eastAsia="en-US"/>
        </w:rPr>
        <w:br w:type="page"/>
      </w:r>
    </w:p>
    <w:tbl>
      <w:tblPr>
        <w:tblW w:w="14029" w:type="dxa"/>
        <w:tblLayout w:type="fixed"/>
        <w:tblCellMar>
          <w:left w:w="70" w:type="dxa"/>
          <w:right w:w="70" w:type="dxa"/>
        </w:tblCellMar>
        <w:tblLook w:val="04A0" w:firstRow="1" w:lastRow="0" w:firstColumn="1" w:lastColumn="0" w:noHBand="0" w:noVBand="1"/>
      </w:tblPr>
      <w:tblGrid>
        <w:gridCol w:w="1183"/>
        <w:gridCol w:w="2923"/>
        <w:gridCol w:w="2835"/>
        <w:gridCol w:w="2268"/>
        <w:gridCol w:w="2835"/>
        <w:gridCol w:w="1985"/>
      </w:tblGrid>
      <w:tr w:rsidR="00E23746" w:rsidRPr="0021025C" w14:paraId="72062D9A" w14:textId="77777777" w:rsidTr="000B2F10">
        <w:trPr>
          <w:trHeight w:val="540"/>
        </w:trPr>
        <w:tc>
          <w:tcPr>
            <w:tcW w:w="4106" w:type="dxa"/>
            <w:gridSpan w:val="2"/>
            <w:tcBorders>
              <w:top w:val="single" w:sz="4" w:space="0" w:color="auto"/>
              <w:left w:val="single" w:sz="4" w:space="0" w:color="auto"/>
              <w:bottom w:val="single" w:sz="4" w:space="0" w:color="auto"/>
              <w:right w:val="single" w:sz="4" w:space="0" w:color="000000"/>
            </w:tcBorders>
            <w:shd w:val="clear" w:color="000000" w:fill="BFBFBF"/>
            <w:vAlign w:val="center"/>
            <w:hideMark/>
          </w:tcPr>
          <w:p w14:paraId="689D30CD" w14:textId="77777777" w:rsidR="00E23746" w:rsidRPr="0021025C" w:rsidRDefault="00E23746" w:rsidP="000B2F10">
            <w:pPr>
              <w:spacing w:after="0" w:line="240" w:lineRule="auto"/>
              <w:jc w:val="center"/>
              <w:rPr>
                <w:rFonts w:eastAsia="Times New Roman" w:cs="Arial"/>
                <w:b/>
                <w:bCs/>
                <w:sz w:val="20"/>
                <w:szCs w:val="20"/>
                <w:lang w:val="es-MX" w:eastAsia="es-MX"/>
              </w:rPr>
            </w:pPr>
            <w:r w:rsidRPr="0021025C">
              <w:rPr>
                <w:rFonts w:eastAsia="Times New Roman" w:cs="Arial"/>
                <w:b/>
                <w:bCs/>
                <w:sz w:val="20"/>
                <w:szCs w:val="20"/>
                <w:lang w:val="es-MX" w:eastAsia="es-MX"/>
              </w:rPr>
              <w:lastRenderedPageBreak/>
              <w:t>PROGRAMA PRESUPUESTARIO:</w:t>
            </w:r>
          </w:p>
        </w:tc>
        <w:tc>
          <w:tcPr>
            <w:tcW w:w="9923" w:type="dxa"/>
            <w:gridSpan w:val="4"/>
            <w:tcBorders>
              <w:top w:val="single" w:sz="4" w:space="0" w:color="auto"/>
              <w:left w:val="nil"/>
              <w:bottom w:val="single" w:sz="4" w:space="0" w:color="auto"/>
              <w:right w:val="single" w:sz="4" w:space="0" w:color="auto"/>
            </w:tcBorders>
            <w:shd w:val="clear" w:color="auto" w:fill="auto"/>
            <w:vAlign w:val="center"/>
            <w:hideMark/>
          </w:tcPr>
          <w:p w14:paraId="71660622" w14:textId="77777777" w:rsidR="00E23746" w:rsidRPr="0021025C" w:rsidRDefault="00E23746" w:rsidP="000B2F10">
            <w:pPr>
              <w:spacing w:after="0" w:line="240" w:lineRule="auto"/>
              <w:jc w:val="left"/>
              <w:rPr>
                <w:rFonts w:eastAsia="Times New Roman" w:cs="Arial"/>
                <w:sz w:val="20"/>
                <w:szCs w:val="20"/>
                <w:lang w:val="es-MX" w:eastAsia="es-MX"/>
              </w:rPr>
            </w:pPr>
            <w:r w:rsidRPr="0021025C">
              <w:rPr>
                <w:rFonts w:eastAsia="Times New Roman" w:cs="Arial"/>
                <w:sz w:val="20"/>
                <w:szCs w:val="20"/>
                <w:lang w:val="es-MX" w:eastAsia="es-MX"/>
              </w:rPr>
              <w:t>Educación Media Superior</w:t>
            </w:r>
          </w:p>
        </w:tc>
      </w:tr>
      <w:tr w:rsidR="00E23746" w:rsidRPr="0021025C" w14:paraId="58C0EC94" w14:textId="77777777" w:rsidTr="000B2F10">
        <w:trPr>
          <w:trHeight w:val="735"/>
        </w:trPr>
        <w:tc>
          <w:tcPr>
            <w:tcW w:w="4106" w:type="dxa"/>
            <w:gridSpan w:val="2"/>
            <w:tcBorders>
              <w:top w:val="single" w:sz="4" w:space="0" w:color="auto"/>
              <w:left w:val="single" w:sz="4" w:space="0" w:color="auto"/>
              <w:bottom w:val="single" w:sz="4" w:space="0" w:color="auto"/>
              <w:right w:val="single" w:sz="4" w:space="0" w:color="000000"/>
            </w:tcBorders>
            <w:shd w:val="clear" w:color="000000" w:fill="BFBFBF"/>
            <w:vAlign w:val="center"/>
            <w:hideMark/>
          </w:tcPr>
          <w:p w14:paraId="72105278" w14:textId="77777777" w:rsidR="00E23746" w:rsidRPr="0021025C" w:rsidRDefault="00E23746" w:rsidP="000B2F10">
            <w:pPr>
              <w:spacing w:after="0" w:line="240" w:lineRule="auto"/>
              <w:jc w:val="center"/>
              <w:rPr>
                <w:rFonts w:eastAsia="Times New Roman" w:cs="Arial"/>
                <w:b/>
                <w:bCs/>
                <w:sz w:val="20"/>
                <w:szCs w:val="20"/>
                <w:lang w:val="es-MX" w:eastAsia="es-MX"/>
              </w:rPr>
            </w:pPr>
            <w:r w:rsidRPr="0021025C">
              <w:rPr>
                <w:rFonts w:eastAsia="Times New Roman" w:cs="Arial"/>
                <w:b/>
                <w:bCs/>
                <w:sz w:val="20"/>
                <w:szCs w:val="20"/>
                <w:lang w:val="es-MX" w:eastAsia="es-MX"/>
              </w:rPr>
              <w:t>INSTITUCIÓN:</w:t>
            </w:r>
          </w:p>
        </w:tc>
        <w:tc>
          <w:tcPr>
            <w:tcW w:w="9923" w:type="dxa"/>
            <w:gridSpan w:val="4"/>
            <w:tcBorders>
              <w:top w:val="single" w:sz="4" w:space="0" w:color="auto"/>
              <w:left w:val="nil"/>
              <w:bottom w:val="single" w:sz="4" w:space="0" w:color="auto"/>
              <w:right w:val="single" w:sz="4" w:space="0" w:color="auto"/>
            </w:tcBorders>
            <w:shd w:val="clear" w:color="auto" w:fill="auto"/>
            <w:vAlign w:val="center"/>
            <w:hideMark/>
          </w:tcPr>
          <w:p w14:paraId="7738CA97" w14:textId="77777777" w:rsidR="00E23746" w:rsidRPr="0021025C" w:rsidRDefault="00E23746" w:rsidP="000B2F10">
            <w:pPr>
              <w:spacing w:after="0" w:line="240" w:lineRule="auto"/>
              <w:jc w:val="left"/>
              <w:rPr>
                <w:rFonts w:eastAsia="Times New Roman" w:cs="Arial"/>
                <w:sz w:val="20"/>
                <w:szCs w:val="20"/>
                <w:lang w:val="es-MX" w:eastAsia="es-MX"/>
              </w:rPr>
            </w:pPr>
            <w:r w:rsidRPr="0021025C">
              <w:rPr>
                <w:rFonts w:eastAsia="Times New Roman" w:cs="Arial"/>
                <w:sz w:val="20"/>
                <w:szCs w:val="20"/>
                <w:lang w:val="es-MX" w:eastAsia="es-MX"/>
              </w:rPr>
              <w:t>Colegio de Bachilleres del Estado de Quintana Roo</w:t>
            </w:r>
          </w:p>
        </w:tc>
      </w:tr>
      <w:tr w:rsidR="00E23746" w:rsidRPr="0021025C" w14:paraId="322ED899" w14:textId="77777777" w:rsidTr="000B2F10">
        <w:trPr>
          <w:trHeight w:val="282"/>
        </w:trPr>
        <w:tc>
          <w:tcPr>
            <w:tcW w:w="1183" w:type="dxa"/>
            <w:tcBorders>
              <w:top w:val="nil"/>
              <w:left w:val="nil"/>
              <w:bottom w:val="nil"/>
              <w:right w:val="nil"/>
            </w:tcBorders>
            <w:shd w:val="clear" w:color="auto" w:fill="auto"/>
            <w:vAlign w:val="center"/>
            <w:hideMark/>
          </w:tcPr>
          <w:p w14:paraId="7C40CEFE" w14:textId="77777777" w:rsidR="00E23746" w:rsidRPr="0021025C" w:rsidRDefault="00E23746" w:rsidP="000B2F10">
            <w:pPr>
              <w:spacing w:after="0" w:line="240" w:lineRule="auto"/>
              <w:jc w:val="left"/>
              <w:rPr>
                <w:rFonts w:eastAsia="Times New Roman" w:cs="Arial"/>
                <w:sz w:val="20"/>
                <w:szCs w:val="20"/>
                <w:lang w:val="es-MX" w:eastAsia="es-MX"/>
              </w:rPr>
            </w:pPr>
          </w:p>
        </w:tc>
        <w:tc>
          <w:tcPr>
            <w:tcW w:w="2923" w:type="dxa"/>
            <w:tcBorders>
              <w:top w:val="nil"/>
              <w:left w:val="nil"/>
              <w:bottom w:val="nil"/>
              <w:right w:val="nil"/>
            </w:tcBorders>
            <w:shd w:val="clear" w:color="auto" w:fill="auto"/>
            <w:hideMark/>
          </w:tcPr>
          <w:p w14:paraId="5D51CF52" w14:textId="77777777" w:rsidR="00E23746" w:rsidRPr="0021025C" w:rsidRDefault="00E23746" w:rsidP="000B2F10">
            <w:pPr>
              <w:spacing w:after="0" w:line="240" w:lineRule="auto"/>
              <w:jc w:val="left"/>
              <w:rPr>
                <w:rFonts w:ascii="Times New Roman" w:eastAsia="Times New Roman" w:hAnsi="Times New Roman" w:cs="Times New Roman"/>
                <w:sz w:val="20"/>
                <w:szCs w:val="20"/>
                <w:lang w:val="es-MX" w:eastAsia="es-MX"/>
              </w:rPr>
            </w:pPr>
          </w:p>
        </w:tc>
        <w:tc>
          <w:tcPr>
            <w:tcW w:w="2835" w:type="dxa"/>
            <w:tcBorders>
              <w:top w:val="nil"/>
              <w:left w:val="nil"/>
              <w:bottom w:val="nil"/>
              <w:right w:val="nil"/>
            </w:tcBorders>
            <w:shd w:val="clear" w:color="auto" w:fill="auto"/>
            <w:hideMark/>
          </w:tcPr>
          <w:p w14:paraId="268B701B" w14:textId="77777777" w:rsidR="00E23746" w:rsidRPr="0021025C" w:rsidRDefault="00E23746" w:rsidP="000B2F10">
            <w:pPr>
              <w:spacing w:after="0" w:line="240" w:lineRule="auto"/>
              <w:jc w:val="left"/>
              <w:rPr>
                <w:rFonts w:ascii="Times New Roman" w:eastAsia="Times New Roman" w:hAnsi="Times New Roman" w:cs="Times New Roman"/>
                <w:sz w:val="20"/>
                <w:szCs w:val="20"/>
                <w:lang w:val="es-MX" w:eastAsia="es-MX"/>
              </w:rPr>
            </w:pPr>
          </w:p>
        </w:tc>
        <w:tc>
          <w:tcPr>
            <w:tcW w:w="2268" w:type="dxa"/>
            <w:tcBorders>
              <w:top w:val="nil"/>
              <w:left w:val="nil"/>
              <w:bottom w:val="nil"/>
              <w:right w:val="nil"/>
            </w:tcBorders>
            <w:shd w:val="clear" w:color="auto" w:fill="auto"/>
            <w:hideMark/>
          </w:tcPr>
          <w:p w14:paraId="4E588430" w14:textId="77777777" w:rsidR="00E23746" w:rsidRPr="0021025C" w:rsidRDefault="00E23746" w:rsidP="000B2F10">
            <w:pPr>
              <w:spacing w:after="0" w:line="240" w:lineRule="auto"/>
              <w:jc w:val="left"/>
              <w:rPr>
                <w:rFonts w:ascii="Times New Roman" w:eastAsia="Times New Roman" w:hAnsi="Times New Roman" w:cs="Times New Roman"/>
                <w:sz w:val="20"/>
                <w:szCs w:val="20"/>
                <w:lang w:val="es-MX" w:eastAsia="es-MX"/>
              </w:rPr>
            </w:pPr>
          </w:p>
        </w:tc>
        <w:tc>
          <w:tcPr>
            <w:tcW w:w="2835" w:type="dxa"/>
            <w:tcBorders>
              <w:top w:val="nil"/>
              <w:left w:val="nil"/>
              <w:bottom w:val="nil"/>
              <w:right w:val="nil"/>
            </w:tcBorders>
            <w:shd w:val="clear" w:color="auto" w:fill="auto"/>
            <w:hideMark/>
          </w:tcPr>
          <w:p w14:paraId="34D4111C" w14:textId="77777777" w:rsidR="00E23746" w:rsidRPr="0021025C" w:rsidRDefault="00E23746" w:rsidP="000B2F10">
            <w:pPr>
              <w:spacing w:after="0" w:line="240" w:lineRule="auto"/>
              <w:jc w:val="left"/>
              <w:rPr>
                <w:rFonts w:ascii="Times New Roman" w:eastAsia="Times New Roman" w:hAnsi="Times New Roman" w:cs="Times New Roman"/>
                <w:sz w:val="20"/>
                <w:szCs w:val="20"/>
                <w:lang w:val="es-MX" w:eastAsia="es-MX"/>
              </w:rPr>
            </w:pPr>
          </w:p>
        </w:tc>
        <w:tc>
          <w:tcPr>
            <w:tcW w:w="1985" w:type="dxa"/>
            <w:tcBorders>
              <w:top w:val="nil"/>
              <w:left w:val="nil"/>
              <w:bottom w:val="nil"/>
              <w:right w:val="nil"/>
            </w:tcBorders>
            <w:shd w:val="clear" w:color="auto" w:fill="auto"/>
            <w:hideMark/>
          </w:tcPr>
          <w:p w14:paraId="46A139AF" w14:textId="77777777" w:rsidR="00E23746" w:rsidRPr="0021025C" w:rsidRDefault="00E23746" w:rsidP="000B2F10">
            <w:pPr>
              <w:spacing w:after="0" w:line="240" w:lineRule="auto"/>
              <w:jc w:val="left"/>
              <w:rPr>
                <w:rFonts w:ascii="Times New Roman" w:eastAsia="Times New Roman" w:hAnsi="Times New Roman" w:cs="Times New Roman"/>
                <w:sz w:val="20"/>
                <w:szCs w:val="20"/>
                <w:lang w:val="es-MX" w:eastAsia="es-MX"/>
              </w:rPr>
            </w:pPr>
          </w:p>
        </w:tc>
      </w:tr>
      <w:tr w:rsidR="00E23746" w:rsidRPr="0021025C" w14:paraId="6B05827B" w14:textId="77777777" w:rsidTr="000B2F10">
        <w:trPr>
          <w:trHeight w:val="375"/>
        </w:trPr>
        <w:tc>
          <w:tcPr>
            <w:tcW w:w="14029" w:type="dxa"/>
            <w:gridSpan w:val="6"/>
            <w:tcBorders>
              <w:top w:val="single" w:sz="4" w:space="0" w:color="auto"/>
              <w:left w:val="single" w:sz="4" w:space="0" w:color="auto"/>
              <w:bottom w:val="single" w:sz="4" w:space="0" w:color="auto"/>
              <w:right w:val="single" w:sz="4" w:space="0" w:color="000000"/>
            </w:tcBorders>
            <w:shd w:val="clear" w:color="000000" w:fill="BFBFBF"/>
            <w:vAlign w:val="center"/>
            <w:hideMark/>
          </w:tcPr>
          <w:p w14:paraId="4A38403F" w14:textId="77777777" w:rsidR="00E23746" w:rsidRPr="0021025C" w:rsidRDefault="00E23746" w:rsidP="000B2F10">
            <w:pPr>
              <w:spacing w:after="0" w:line="240" w:lineRule="auto"/>
              <w:jc w:val="center"/>
              <w:rPr>
                <w:rFonts w:eastAsia="Times New Roman" w:cs="Arial"/>
                <w:b/>
                <w:bCs/>
                <w:sz w:val="20"/>
                <w:szCs w:val="20"/>
                <w:lang w:val="es-MX" w:eastAsia="es-MX"/>
              </w:rPr>
            </w:pPr>
            <w:r w:rsidRPr="0021025C">
              <w:rPr>
                <w:rFonts w:eastAsia="Times New Roman" w:cs="Arial"/>
                <w:b/>
                <w:bCs/>
                <w:sz w:val="20"/>
                <w:szCs w:val="20"/>
                <w:lang w:val="es-MX" w:eastAsia="es-MX"/>
              </w:rPr>
              <w:t>MATRIZ DE INDICADORES PARA RESULTADOS (MIR)</w:t>
            </w:r>
          </w:p>
        </w:tc>
      </w:tr>
      <w:tr w:rsidR="00E23746" w:rsidRPr="0021025C" w14:paraId="3D77A733" w14:textId="77777777" w:rsidTr="000B2F10">
        <w:trPr>
          <w:trHeight w:val="577"/>
        </w:trPr>
        <w:tc>
          <w:tcPr>
            <w:tcW w:w="1183" w:type="dxa"/>
            <w:tcBorders>
              <w:top w:val="nil"/>
              <w:left w:val="single" w:sz="4" w:space="0" w:color="auto"/>
              <w:bottom w:val="single" w:sz="4" w:space="0" w:color="auto"/>
              <w:right w:val="single" w:sz="4" w:space="0" w:color="auto"/>
            </w:tcBorders>
            <w:shd w:val="clear" w:color="000000" w:fill="BFBFBF"/>
            <w:vAlign w:val="center"/>
            <w:hideMark/>
          </w:tcPr>
          <w:p w14:paraId="4D6BA178" w14:textId="77777777" w:rsidR="00E23746" w:rsidRPr="0021025C" w:rsidRDefault="00E23746" w:rsidP="000B2F10">
            <w:pPr>
              <w:spacing w:after="0" w:line="240" w:lineRule="auto"/>
              <w:jc w:val="center"/>
              <w:rPr>
                <w:rFonts w:eastAsia="Times New Roman" w:cs="Arial"/>
                <w:b/>
                <w:bCs/>
                <w:sz w:val="20"/>
                <w:szCs w:val="20"/>
                <w:lang w:val="es-MX" w:eastAsia="es-MX"/>
              </w:rPr>
            </w:pPr>
            <w:r w:rsidRPr="0021025C">
              <w:rPr>
                <w:rFonts w:eastAsia="Times New Roman" w:cs="Arial"/>
                <w:b/>
                <w:bCs/>
                <w:sz w:val="20"/>
                <w:szCs w:val="20"/>
                <w:lang w:val="es-MX" w:eastAsia="es-MX"/>
              </w:rPr>
              <w:t>NIVEL</w:t>
            </w:r>
          </w:p>
        </w:tc>
        <w:tc>
          <w:tcPr>
            <w:tcW w:w="2923" w:type="dxa"/>
            <w:tcBorders>
              <w:top w:val="nil"/>
              <w:left w:val="nil"/>
              <w:bottom w:val="single" w:sz="4" w:space="0" w:color="auto"/>
              <w:right w:val="single" w:sz="4" w:space="0" w:color="auto"/>
            </w:tcBorders>
            <w:shd w:val="clear" w:color="000000" w:fill="BFBFBF"/>
            <w:vAlign w:val="center"/>
            <w:hideMark/>
          </w:tcPr>
          <w:p w14:paraId="351E4AF1" w14:textId="77777777" w:rsidR="00E23746" w:rsidRPr="0021025C" w:rsidRDefault="00E23746" w:rsidP="000B2F10">
            <w:pPr>
              <w:spacing w:after="0" w:line="240" w:lineRule="auto"/>
              <w:jc w:val="center"/>
              <w:rPr>
                <w:rFonts w:eastAsia="Times New Roman" w:cs="Arial"/>
                <w:b/>
                <w:bCs/>
                <w:sz w:val="20"/>
                <w:szCs w:val="20"/>
                <w:lang w:val="es-MX" w:eastAsia="es-MX"/>
              </w:rPr>
            </w:pPr>
            <w:r w:rsidRPr="0021025C">
              <w:rPr>
                <w:rFonts w:eastAsia="Times New Roman" w:cs="Arial"/>
                <w:b/>
                <w:bCs/>
                <w:sz w:val="20"/>
                <w:szCs w:val="20"/>
                <w:lang w:val="es-MX" w:eastAsia="es-MX"/>
              </w:rPr>
              <w:t>ALINEACIÓN PED/PD</w:t>
            </w:r>
          </w:p>
        </w:tc>
        <w:tc>
          <w:tcPr>
            <w:tcW w:w="2835" w:type="dxa"/>
            <w:tcBorders>
              <w:top w:val="nil"/>
              <w:left w:val="nil"/>
              <w:bottom w:val="single" w:sz="4" w:space="0" w:color="auto"/>
              <w:right w:val="single" w:sz="4" w:space="0" w:color="auto"/>
            </w:tcBorders>
            <w:shd w:val="clear" w:color="000000" w:fill="BFBFBF"/>
            <w:vAlign w:val="center"/>
            <w:hideMark/>
          </w:tcPr>
          <w:p w14:paraId="662DCAED" w14:textId="77777777" w:rsidR="00E23746" w:rsidRPr="0021025C" w:rsidRDefault="00E23746" w:rsidP="000B2F10">
            <w:pPr>
              <w:spacing w:after="0" w:line="240" w:lineRule="auto"/>
              <w:jc w:val="center"/>
              <w:rPr>
                <w:rFonts w:eastAsia="Times New Roman" w:cs="Arial"/>
                <w:b/>
                <w:bCs/>
                <w:sz w:val="20"/>
                <w:szCs w:val="20"/>
                <w:lang w:val="es-MX" w:eastAsia="es-MX"/>
              </w:rPr>
            </w:pPr>
            <w:r w:rsidRPr="0021025C">
              <w:rPr>
                <w:rFonts w:eastAsia="Times New Roman" w:cs="Arial"/>
                <w:b/>
                <w:bCs/>
                <w:sz w:val="20"/>
                <w:szCs w:val="20"/>
                <w:lang w:val="es-MX" w:eastAsia="es-MX"/>
              </w:rPr>
              <w:t>OBJETIVO</w:t>
            </w:r>
          </w:p>
        </w:tc>
        <w:tc>
          <w:tcPr>
            <w:tcW w:w="2268" w:type="dxa"/>
            <w:tcBorders>
              <w:top w:val="nil"/>
              <w:left w:val="nil"/>
              <w:bottom w:val="single" w:sz="4" w:space="0" w:color="auto"/>
              <w:right w:val="single" w:sz="4" w:space="0" w:color="auto"/>
            </w:tcBorders>
            <w:shd w:val="clear" w:color="000000" w:fill="BFBFBF"/>
            <w:vAlign w:val="center"/>
            <w:hideMark/>
          </w:tcPr>
          <w:p w14:paraId="05CEDBF7" w14:textId="77777777" w:rsidR="00E23746" w:rsidRPr="0021025C" w:rsidRDefault="00E23746" w:rsidP="000B2F10">
            <w:pPr>
              <w:spacing w:after="0" w:line="240" w:lineRule="auto"/>
              <w:jc w:val="center"/>
              <w:rPr>
                <w:rFonts w:eastAsia="Times New Roman" w:cs="Arial"/>
                <w:b/>
                <w:bCs/>
                <w:sz w:val="20"/>
                <w:szCs w:val="20"/>
                <w:lang w:val="es-MX" w:eastAsia="es-MX"/>
              </w:rPr>
            </w:pPr>
            <w:r w:rsidRPr="0021025C">
              <w:rPr>
                <w:rFonts w:eastAsia="Times New Roman" w:cs="Arial"/>
                <w:b/>
                <w:bCs/>
                <w:sz w:val="20"/>
                <w:szCs w:val="20"/>
                <w:lang w:val="es-MX" w:eastAsia="es-MX"/>
              </w:rPr>
              <w:t>INDICADOR</w:t>
            </w:r>
          </w:p>
        </w:tc>
        <w:tc>
          <w:tcPr>
            <w:tcW w:w="2835" w:type="dxa"/>
            <w:tcBorders>
              <w:top w:val="nil"/>
              <w:left w:val="nil"/>
              <w:bottom w:val="single" w:sz="4" w:space="0" w:color="auto"/>
              <w:right w:val="single" w:sz="4" w:space="0" w:color="auto"/>
            </w:tcBorders>
            <w:shd w:val="clear" w:color="000000" w:fill="BFBFBF"/>
            <w:vAlign w:val="center"/>
            <w:hideMark/>
          </w:tcPr>
          <w:p w14:paraId="6BD93B7D" w14:textId="77777777" w:rsidR="00E23746" w:rsidRPr="0021025C" w:rsidRDefault="00E23746" w:rsidP="000B2F10">
            <w:pPr>
              <w:spacing w:after="0" w:line="240" w:lineRule="auto"/>
              <w:jc w:val="center"/>
              <w:rPr>
                <w:rFonts w:eastAsia="Times New Roman" w:cs="Arial"/>
                <w:b/>
                <w:bCs/>
                <w:sz w:val="20"/>
                <w:szCs w:val="20"/>
                <w:lang w:val="es-MX" w:eastAsia="es-MX"/>
              </w:rPr>
            </w:pPr>
            <w:r w:rsidRPr="0021025C">
              <w:rPr>
                <w:rFonts w:eastAsia="Times New Roman" w:cs="Arial"/>
                <w:b/>
                <w:bCs/>
                <w:sz w:val="20"/>
                <w:szCs w:val="20"/>
                <w:lang w:val="es-MX" w:eastAsia="es-MX"/>
              </w:rPr>
              <w:t>MEDIOS DE VERIFICACIÓN</w:t>
            </w:r>
          </w:p>
        </w:tc>
        <w:tc>
          <w:tcPr>
            <w:tcW w:w="1985" w:type="dxa"/>
            <w:tcBorders>
              <w:top w:val="nil"/>
              <w:left w:val="nil"/>
              <w:bottom w:val="single" w:sz="4" w:space="0" w:color="auto"/>
              <w:right w:val="single" w:sz="4" w:space="0" w:color="auto"/>
            </w:tcBorders>
            <w:shd w:val="clear" w:color="000000" w:fill="BFBFBF"/>
            <w:vAlign w:val="center"/>
            <w:hideMark/>
          </w:tcPr>
          <w:p w14:paraId="07CC236C" w14:textId="77777777" w:rsidR="00E23746" w:rsidRPr="0021025C" w:rsidRDefault="00E23746" w:rsidP="000B2F10">
            <w:pPr>
              <w:spacing w:after="0" w:line="240" w:lineRule="auto"/>
              <w:jc w:val="center"/>
              <w:rPr>
                <w:rFonts w:eastAsia="Times New Roman" w:cs="Arial"/>
                <w:b/>
                <w:bCs/>
                <w:sz w:val="20"/>
                <w:szCs w:val="20"/>
                <w:lang w:val="es-MX" w:eastAsia="es-MX"/>
              </w:rPr>
            </w:pPr>
            <w:r w:rsidRPr="0021025C">
              <w:rPr>
                <w:rFonts w:eastAsia="Times New Roman" w:cs="Arial"/>
                <w:b/>
                <w:bCs/>
                <w:sz w:val="20"/>
                <w:szCs w:val="20"/>
                <w:lang w:val="es-MX" w:eastAsia="es-MX"/>
              </w:rPr>
              <w:t>SUPUESTO</w:t>
            </w:r>
          </w:p>
        </w:tc>
      </w:tr>
      <w:tr w:rsidR="00E23746" w:rsidRPr="0021025C" w14:paraId="78E759C3" w14:textId="77777777" w:rsidTr="000B2F10">
        <w:trPr>
          <w:trHeight w:val="2232"/>
        </w:trPr>
        <w:tc>
          <w:tcPr>
            <w:tcW w:w="1183" w:type="dxa"/>
            <w:tcBorders>
              <w:top w:val="nil"/>
              <w:left w:val="single" w:sz="4" w:space="0" w:color="auto"/>
              <w:bottom w:val="single" w:sz="4" w:space="0" w:color="auto"/>
              <w:right w:val="single" w:sz="4" w:space="0" w:color="auto"/>
            </w:tcBorders>
            <w:shd w:val="clear" w:color="auto" w:fill="auto"/>
            <w:hideMark/>
          </w:tcPr>
          <w:p w14:paraId="32561583" w14:textId="77777777" w:rsidR="00E23746" w:rsidRPr="0021025C" w:rsidRDefault="00E23746" w:rsidP="000B2F10">
            <w:pPr>
              <w:spacing w:after="0" w:line="240" w:lineRule="auto"/>
              <w:jc w:val="center"/>
              <w:rPr>
                <w:rFonts w:eastAsia="Times New Roman" w:cs="Arial"/>
                <w:b/>
                <w:bCs/>
                <w:sz w:val="20"/>
                <w:szCs w:val="20"/>
                <w:lang w:val="es-MX" w:eastAsia="es-MX"/>
              </w:rPr>
            </w:pPr>
            <w:r w:rsidRPr="0021025C">
              <w:rPr>
                <w:rFonts w:eastAsia="Times New Roman" w:cs="Arial"/>
                <w:b/>
                <w:bCs/>
                <w:sz w:val="20"/>
                <w:szCs w:val="20"/>
                <w:lang w:val="es-MX" w:eastAsia="es-MX"/>
              </w:rPr>
              <w:t>Fin</w:t>
            </w:r>
          </w:p>
        </w:tc>
        <w:tc>
          <w:tcPr>
            <w:tcW w:w="2923" w:type="dxa"/>
            <w:tcBorders>
              <w:top w:val="nil"/>
              <w:left w:val="nil"/>
              <w:bottom w:val="single" w:sz="4" w:space="0" w:color="auto"/>
              <w:right w:val="single" w:sz="4" w:space="0" w:color="auto"/>
            </w:tcBorders>
            <w:shd w:val="clear" w:color="auto" w:fill="auto"/>
            <w:hideMark/>
          </w:tcPr>
          <w:p w14:paraId="2B840F18" w14:textId="77777777" w:rsidR="00E23746" w:rsidRPr="0021025C" w:rsidRDefault="00E23746" w:rsidP="000B2F10">
            <w:pPr>
              <w:spacing w:after="0" w:line="240" w:lineRule="auto"/>
              <w:rPr>
                <w:rFonts w:eastAsia="Times New Roman" w:cs="Arial"/>
                <w:sz w:val="20"/>
                <w:szCs w:val="20"/>
                <w:lang w:val="es-MX" w:eastAsia="es-MX"/>
              </w:rPr>
            </w:pPr>
            <w:r w:rsidRPr="0021025C">
              <w:rPr>
                <w:rFonts w:eastAsia="Times New Roman" w:cs="Arial"/>
                <w:sz w:val="20"/>
                <w:szCs w:val="20"/>
                <w:lang w:val="es-MX" w:eastAsia="es-MX"/>
              </w:rPr>
              <w:t>Garantizar el acceso y permanencia a una educación inclusiva y de calidad en todos los niveles educativos que promueva en los educandos aprendizajes para la vida.</w:t>
            </w:r>
          </w:p>
        </w:tc>
        <w:tc>
          <w:tcPr>
            <w:tcW w:w="2835" w:type="dxa"/>
            <w:tcBorders>
              <w:top w:val="nil"/>
              <w:left w:val="nil"/>
              <w:bottom w:val="single" w:sz="4" w:space="0" w:color="auto"/>
              <w:right w:val="single" w:sz="4" w:space="0" w:color="auto"/>
            </w:tcBorders>
            <w:shd w:val="clear" w:color="auto" w:fill="auto"/>
            <w:hideMark/>
          </w:tcPr>
          <w:p w14:paraId="0443D0A8" w14:textId="77777777" w:rsidR="00E23746" w:rsidRDefault="00E23746" w:rsidP="000B2F10">
            <w:pPr>
              <w:spacing w:after="0" w:line="240" w:lineRule="auto"/>
              <w:rPr>
                <w:rFonts w:eastAsia="Times New Roman" w:cs="Arial"/>
                <w:sz w:val="20"/>
                <w:szCs w:val="20"/>
                <w:lang w:val="es-MX" w:eastAsia="es-MX"/>
              </w:rPr>
            </w:pPr>
            <w:r w:rsidRPr="0021025C">
              <w:rPr>
                <w:rFonts w:eastAsia="Times New Roman" w:cs="Arial"/>
                <w:sz w:val="20"/>
                <w:szCs w:val="20"/>
                <w:lang w:val="es-MX" w:eastAsia="es-MX"/>
              </w:rPr>
              <w:t xml:space="preserve">F - Contribuir a garantizar el acceso y permanencia a una educación inclusiva y de calidad en todos los niveles educativos que promueva en los educandos aprendizajes para la vida mediante estrategias de atención a la demanda y permanencia en todos los niveles educativos. </w:t>
            </w:r>
          </w:p>
          <w:p w14:paraId="38A874B4" w14:textId="77777777" w:rsidR="00E23746" w:rsidRDefault="00E23746" w:rsidP="000B2F10">
            <w:pPr>
              <w:spacing w:after="0" w:line="240" w:lineRule="auto"/>
              <w:rPr>
                <w:rFonts w:eastAsia="Times New Roman" w:cs="Arial"/>
                <w:sz w:val="20"/>
                <w:szCs w:val="20"/>
                <w:lang w:val="es-MX" w:eastAsia="es-MX"/>
              </w:rPr>
            </w:pPr>
          </w:p>
          <w:p w14:paraId="3191F5A8" w14:textId="77777777" w:rsidR="00E23746" w:rsidRDefault="00E23746" w:rsidP="000B2F10">
            <w:pPr>
              <w:spacing w:after="0" w:line="240" w:lineRule="auto"/>
              <w:rPr>
                <w:rFonts w:eastAsia="Times New Roman" w:cs="Arial"/>
                <w:sz w:val="20"/>
                <w:szCs w:val="20"/>
                <w:lang w:val="es-MX" w:eastAsia="es-MX"/>
              </w:rPr>
            </w:pPr>
          </w:p>
          <w:p w14:paraId="478A06D2" w14:textId="77777777" w:rsidR="00E23746" w:rsidRPr="0021025C" w:rsidRDefault="00E23746" w:rsidP="000B2F10">
            <w:pPr>
              <w:spacing w:after="0" w:line="240" w:lineRule="auto"/>
              <w:rPr>
                <w:rFonts w:eastAsia="Times New Roman" w:cs="Arial"/>
                <w:sz w:val="20"/>
                <w:szCs w:val="20"/>
                <w:lang w:val="es-MX" w:eastAsia="es-MX"/>
              </w:rPr>
            </w:pPr>
          </w:p>
        </w:tc>
        <w:tc>
          <w:tcPr>
            <w:tcW w:w="2268" w:type="dxa"/>
            <w:tcBorders>
              <w:top w:val="nil"/>
              <w:left w:val="nil"/>
              <w:bottom w:val="single" w:sz="4" w:space="0" w:color="auto"/>
              <w:right w:val="single" w:sz="4" w:space="0" w:color="auto"/>
            </w:tcBorders>
            <w:shd w:val="clear" w:color="auto" w:fill="auto"/>
            <w:hideMark/>
          </w:tcPr>
          <w:p w14:paraId="1534897F" w14:textId="77777777" w:rsidR="00E23746" w:rsidRPr="0021025C" w:rsidRDefault="00E23746" w:rsidP="000B2F10">
            <w:pPr>
              <w:spacing w:after="0" w:line="240" w:lineRule="auto"/>
              <w:rPr>
                <w:rFonts w:eastAsia="Times New Roman" w:cs="Arial"/>
                <w:sz w:val="20"/>
                <w:szCs w:val="20"/>
                <w:lang w:val="es-MX" w:eastAsia="es-MX"/>
              </w:rPr>
            </w:pPr>
            <w:r w:rsidRPr="0021025C">
              <w:rPr>
                <w:rFonts w:eastAsia="Times New Roman" w:cs="Arial"/>
                <w:sz w:val="20"/>
                <w:szCs w:val="20"/>
                <w:lang w:val="es-MX" w:eastAsia="es-MX"/>
              </w:rPr>
              <w:t>Tasa de cobertura estatal de educación media superior.</w:t>
            </w:r>
          </w:p>
        </w:tc>
        <w:tc>
          <w:tcPr>
            <w:tcW w:w="2835" w:type="dxa"/>
            <w:tcBorders>
              <w:top w:val="nil"/>
              <w:left w:val="nil"/>
              <w:bottom w:val="single" w:sz="4" w:space="0" w:color="auto"/>
              <w:right w:val="single" w:sz="4" w:space="0" w:color="auto"/>
            </w:tcBorders>
            <w:shd w:val="clear" w:color="auto" w:fill="auto"/>
            <w:hideMark/>
          </w:tcPr>
          <w:p w14:paraId="1B8B937F" w14:textId="77777777" w:rsidR="00E23746" w:rsidRDefault="00E23746" w:rsidP="000B2F10">
            <w:pPr>
              <w:spacing w:after="0" w:line="240" w:lineRule="auto"/>
              <w:rPr>
                <w:rFonts w:eastAsia="Times New Roman" w:cs="Arial"/>
                <w:sz w:val="20"/>
                <w:szCs w:val="20"/>
                <w:lang w:val="es-MX" w:eastAsia="es-MX"/>
              </w:rPr>
            </w:pPr>
            <w:r w:rsidRPr="0021025C">
              <w:rPr>
                <w:rFonts w:eastAsia="Times New Roman" w:cs="Arial"/>
                <w:sz w:val="20"/>
                <w:szCs w:val="20"/>
                <w:lang w:val="es-MX" w:eastAsia="es-MX"/>
              </w:rPr>
              <w:t xml:space="preserve">Estadísticas continúas del formato 911, matrícula de inicio de ciclo escolar, SEQ. Proyecciones de población por edad desplegada, entidad federativa (Quintana Roo) 1970-2050, CONAPO, </w:t>
            </w:r>
            <w:hyperlink r:id="rId64" w:history="1">
              <w:r w:rsidRPr="003135B9">
                <w:rPr>
                  <w:rStyle w:val="Hipervnculo"/>
                  <w:rFonts w:eastAsia="Times New Roman" w:cs="Arial"/>
                  <w:sz w:val="20"/>
                  <w:szCs w:val="20"/>
                  <w:lang w:val="es-MX" w:eastAsia="es-MX"/>
                </w:rPr>
                <w:t>https://qroo.gob.mx/seq/medios-de-verificacion-de-la-planeacion-anual</w:t>
              </w:r>
            </w:hyperlink>
            <w:r>
              <w:rPr>
                <w:rFonts w:eastAsia="Times New Roman" w:cs="Arial"/>
                <w:sz w:val="20"/>
                <w:szCs w:val="20"/>
                <w:lang w:val="es-MX" w:eastAsia="es-MX"/>
              </w:rPr>
              <w:t>.</w:t>
            </w:r>
          </w:p>
          <w:p w14:paraId="54A6381E" w14:textId="77777777" w:rsidR="00E23746" w:rsidRPr="0021025C" w:rsidRDefault="00E23746" w:rsidP="000B2F10">
            <w:pPr>
              <w:spacing w:after="0" w:line="240" w:lineRule="auto"/>
              <w:rPr>
                <w:rFonts w:eastAsia="Times New Roman" w:cs="Arial"/>
                <w:sz w:val="20"/>
                <w:szCs w:val="20"/>
                <w:lang w:val="es-MX" w:eastAsia="es-MX"/>
              </w:rPr>
            </w:pPr>
          </w:p>
        </w:tc>
        <w:tc>
          <w:tcPr>
            <w:tcW w:w="1985" w:type="dxa"/>
            <w:tcBorders>
              <w:top w:val="nil"/>
              <w:left w:val="nil"/>
              <w:bottom w:val="single" w:sz="4" w:space="0" w:color="auto"/>
              <w:right w:val="single" w:sz="4" w:space="0" w:color="auto"/>
            </w:tcBorders>
            <w:shd w:val="clear" w:color="auto" w:fill="auto"/>
            <w:hideMark/>
          </w:tcPr>
          <w:p w14:paraId="07C3AD98" w14:textId="77777777" w:rsidR="00E23746" w:rsidRPr="0021025C" w:rsidRDefault="00E23746" w:rsidP="000B2F10">
            <w:pPr>
              <w:spacing w:after="0" w:line="240" w:lineRule="auto"/>
              <w:rPr>
                <w:rFonts w:eastAsia="Times New Roman" w:cs="Arial"/>
                <w:sz w:val="20"/>
                <w:szCs w:val="20"/>
                <w:lang w:val="es-MX" w:eastAsia="es-MX"/>
              </w:rPr>
            </w:pPr>
            <w:r>
              <w:rPr>
                <w:rFonts w:cs="Arial"/>
                <w:sz w:val="20"/>
                <w:szCs w:val="20"/>
              </w:rPr>
              <w:t>La población del Estado obtiene una educación integral de calidad que les permite progresar individual y colectivamente.</w:t>
            </w:r>
          </w:p>
        </w:tc>
      </w:tr>
      <w:tr w:rsidR="00E23746" w:rsidRPr="0021025C" w14:paraId="34854206" w14:textId="77777777" w:rsidTr="000B2F10">
        <w:trPr>
          <w:trHeight w:val="1275"/>
        </w:trPr>
        <w:tc>
          <w:tcPr>
            <w:tcW w:w="1183" w:type="dxa"/>
            <w:tcBorders>
              <w:top w:val="single" w:sz="4" w:space="0" w:color="auto"/>
              <w:left w:val="single" w:sz="4" w:space="0" w:color="auto"/>
              <w:bottom w:val="single" w:sz="4" w:space="0" w:color="auto"/>
              <w:right w:val="single" w:sz="4" w:space="0" w:color="auto"/>
            </w:tcBorders>
            <w:shd w:val="clear" w:color="auto" w:fill="auto"/>
            <w:hideMark/>
          </w:tcPr>
          <w:p w14:paraId="5E6B7ADC" w14:textId="77777777" w:rsidR="00E23746" w:rsidRPr="0021025C" w:rsidRDefault="00E23746" w:rsidP="000B2F10">
            <w:pPr>
              <w:spacing w:after="0" w:line="240" w:lineRule="auto"/>
              <w:jc w:val="center"/>
              <w:rPr>
                <w:rFonts w:eastAsia="Times New Roman" w:cs="Arial"/>
                <w:b/>
                <w:bCs/>
                <w:sz w:val="20"/>
                <w:szCs w:val="20"/>
                <w:lang w:val="es-MX" w:eastAsia="es-MX"/>
              </w:rPr>
            </w:pPr>
            <w:r w:rsidRPr="0021025C">
              <w:rPr>
                <w:rFonts w:eastAsia="Times New Roman" w:cs="Arial"/>
                <w:b/>
                <w:bCs/>
                <w:sz w:val="20"/>
                <w:szCs w:val="20"/>
                <w:lang w:val="es-MX" w:eastAsia="es-MX"/>
              </w:rPr>
              <w:t>Propósito</w:t>
            </w:r>
          </w:p>
        </w:tc>
        <w:tc>
          <w:tcPr>
            <w:tcW w:w="2923" w:type="dxa"/>
            <w:tcBorders>
              <w:top w:val="single" w:sz="4" w:space="0" w:color="auto"/>
              <w:left w:val="nil"/>
              <w:bottom w:val="single" w:sz="4" w:space="0" w:color="auto"/>
              <w:right w:val="single" w:sz="4" w:space="0" w:color="auto"/>
            </w:tcBorders>
            <w:shd w:val="clear" w:color="auto" w:fill="auto"/>
            <w:hideMark/>
          </w:tcPr>
          <w:p w14:paraId="5C552ED9" w14:textId="77777777" w:rsidR="00E23746" w:rsidRPr="0021025C" w:rsidRDefault="00E23746" w:rsidP="000B2F10">
            <w:pPr>
              <w:spacing w:after="0" w:line="240" w:lineRule="auto"/>
              <w:rPr>
                <w:rFonts w:eastAsia="Times New Roman" w:cs="Arial"/>
                <w:sz w:val="20"/>
                <w:szCs w:val="20"/>
                <w:lang w:val="es-MX" w:eastAsia="es-MX"/>
              </w:rPr>
            </w:pPr>
            <w:r w:rsidRPr="0021025C">
              <w:rPr>
                <w:rFonts w:eastAsia="Times New Roman" w:cs="Arial"/>
                <w:sz w:val="20"/>
                <w:szCs w:val="20"/>
                <w:lang w:val="es-MX" w:eastAsia="es-MX"/>
              </w:rPr>
              <w:t>Brindar una educación media superior de calidad relevante y pertinente centrada en el mejoramiento del desempeño escolar del estudiante.</w:t>
            </w:r>
          </w:p>
        </w:tc>
        <w:tc>
          <w:tcPr>
            <w:tcW w:w="2835" w:type="dxa"/>
            <w:tcBorders>
              <w:top w:val="single" w:sz="4" w:space="0" w:color="auto"/>
              <w:left w:val="nil"/>
              <w:bottom w:val="single" w:sz="4" w:space="0" w:color="auto"/>
              <w:right w:val="single" w:sz="4" w:space="0" w:color="auto"/>
            </w:tcBorders>
            <w:shd w:val="clear" w:color="auto" w:fill="auto"/>
            <w:hideMark/>
          </w:tcPr>
          <w:p w14:paraId="4AF32E5F" w14:textId="77777777" w:rsidR="00E23746" w:rsidRPr="0021025C" w:rsidRDefault="00E23746" w:rsidP="000B2F10">
            <w:pPr>
              <w:spacing w:after="0" w:line="240" w:lineRule="auto"/>
              <w:rPr>
                <w:rFonts w:eastAsia="Times New Roman" w:cs="Arial"/>
                <w:sz w:val="20"/>
                <w:szCs w:val="20"/>
                <w:lang w:val="es-MX" w:eastAsia="es-MX"/>
              </w:rPr>
            </w:pPr>
            <w:r w:rsidRPr="0021025C">
              <w:rPr>
                <w:rFonts w:eastAsia="Times New Roman" w:cs="Arial"/>
                <w:sz w:val="20"/>
                <w:szCs w:val="20"/>
                <w:lang w:val="es-MX" w:eastAsia="es-MX"/>
              </w:rPr>
              <w:t>P - Los alumnos de educación media superior reciben una educación de calidad relevante y pertinente centrada en el mejoramiento de su desempeño escolar.</w:t>
            </w:r>
          </w:p>
        </w:tc>
        <w:tc>
          <w:tcPr>
            <w:tcW w:w="2268" w:type="dxa"/>
            <w:tcBorders>
              <w:top w:val="single" w:sz="4" w:space="0" w:color="auto"/>
              <w:left w:val="nil"/>
              <w:bottom w:val="single" w:sz="4" w:space="0" w:color="auto"/>
              <w:right w:val="single" w:sz="4" w:space="0" w:color="auto"/>
            </w:tcBorders>
            <w:shd w:val="clear" w:color="auto" w:fill="auto"/>
            <w:hideMark/>
          </w:tcPr>
          <w:p w14:paraId="6E46CFCC" w14:textId="77777777" w:rsidR="00E23746" w:rsidRPr="0021025C" w:rsidRDefault="00E23746" w:rsidP="000B2F10">
            <w:pPr>
              <w:spacing w:after="0" w:line="240" w:lineRule="auto"/>
              <w:rPr>
                <w:rFonts w:eastAsia="Times New Roman" w:cs="Arial"/>
                <w:sz w:val="20"/>
                <w:szCs w:val="20"/>
                <w:lang w:val="es-MX" w:eastAsia="es-MX"/>
              </w:rPr>
            </w:pPr>
            <w:r w:rsidRPr="0021025C">
              <w:rPr>
                <w:rFonts w:eastAsia="Times New Roman" w:cs="Arial"/>
                <w:sz w:val="20"/>
                <w:szCs w:val="20"/>
                <w:lang w:val="es-MX" w:eastAsia="es-MX"/>
              </w:rPr>
              <w:t>Porcentaje de los alumnos que concluyen  el último semestre de educación media superior con un promedio mayor o igual a 8</w:t>
            </w:r>
            <w:r>
              <w:rPr>
                <w:rFonts w:eastAsia="Times New Roman" w:cs="Arial"/>
                <w:sz w:val="20"/>
                <w:szCs w:val="20"/>
                <w:lang w:val="es-MX" w:eastAsia="es-MX"/>
              </w:rPr>
              <w:t>.</w:t>
            </w:r>
          </w:p>
        </w:tc>
        <w:tc>
          <w:tcPr>
            <w:tcW w:w="2835" w:type="dxa"/>
            <w:tcBorders>
              <w:top w:val="single" w:sz="4" w:space="0" w:color="auto"/>
              <w:left w:val="nil"/>
              <w:bottom w:val="single" w:sz="4" w:space="0" w:color="auto"/>
              <w:right w:val="single" w:sz="4" w:space="0" w:color="auto"/>
            </w:tcBorders>
            <w:shd w:val="clear" w:color="auto" w:fill="auto"/>
            <w:hideMark/>
          </w:tcPr>
          <w:p w14:paraId="2D9EA46B" w14:textId="77777777" w:rsidR="00E23746" w:rsidRDefault="00E23746" w:rsidP="000B2F10">
            <w:pPr>
              <w:spacing w:after="0" w:line="240" w:lineRule="auto"/>
              <w:rPr>
                <w:rFonts w:eastAsia="Times New Roman" w:cs="Arial"/>
                <w:sz w:val="20"/>
                <w:szCs w:val="20"/>
                <w:lang w:val="es-MX" w:eastAsia="es-MX"/>
              </w:rPr>
            </w:pPr>
            <w:r w:rsidRPr="0021025C">
              <w:rPr>
                <w:rFonts w:eastAsia="Times New Roman" w:cs="Arial"/>
                <w:sz w:val="20"/>
                <w:szCs w:val="20"/>
                <w:lang w:val="es-MX" w:eastAsia="es-MX"/>
              </w:rPr>
              <w:t xml:space="preserve">Tabla de promedios generales del último semestre de educación media superior, Subsecretaría de Educación Media y Superior, </w:t>
            </w:r>
            <w:hyperlink r:id="rId65" w:history="1">
              <w:r w:rsidRPr="003135B9">
                <w:rPr>
                  <w:rStyle w:val="Hipervnculo"/>
                  <w:rFonts w:eastAsia="Times New Roman" w:cs="Arial"/>
                  <w:sz w:val="20"/>
                  <w:szCs w:val="20"/>
                  <w:lang w:val="es-MX" w:eastAsia="es-MX"/>
                </w:rPr>
                <w:t>https://qroo.gob.mx/seq/medios-de-verificacion-de-la-planeacion-anual</w:t>
              </w:r>
            </w:hyperlink>
            <w:r>
              <w:rPr>
                <w:rFonts w:eastAsia="Times New Roman" w:cs="Arial"/>
                <w:sz w:val="20"/>
                <w:szCs w:val="20"/>
                <w:lang w:val="es-MX" w:eastAsia="es-MX"/>
              </w:rPr>
              <w:t>.</w:t>
            </w:r>
          </w:p>
          <w:p w14:paraId="3A167882" w14:textId="77777777" w:rsidR="00E23746" w:rsidRDefault="00E23746" w:rsidP="000B2F10">
            <w:pPr>
              <w:spacing w:after="0" w:line="240" w:lineRule="auto"/>
              <w:rPr>
                <w:rFonts w:eastAsia="Times New Roman" w:cs="Arial"/>
                <w:sz w:val="20"/>
                <w:szCs w:val="20"/>
                <w:lang w:val="es-MX" w:eastAsia="es-MX"/>
              </w:rPr>
            </w:pPr>
          </w:p>
          <w:p w14:paraId="0B19F2B0" w14:textId="77777777" w:rsidR="00E23746" w:rsidRPr="0021025C" w:rsidRDefault="00E23746" w:rsidP="000B2F10">
            <w:pPr>
              <w:spacing w:after="0" w:line="240" w:lineRule="auto"/>
              <w:rPr>
                <w:rFonts w:eastAsia="Times New Roman" w:cs="Arial"/>
                <w:sz w:val="20"/>
                <w:szCs w:val="20"/>
                <w:lang w:val="es-MX" w:eastAsia="es-MX"/>
              </w:rPr>
            </w:pPr>
          </w:p>
        </w:tc>
        <w:tc>
          <w:tcPr>
            <w:tcW w:w="1985" w:type="dxa"/>
            <w:tcBorders>
              <w:top w:val="single" w:sz="4" w:space="0" w:color="auto"/>
              <w:left w:val="nil"/>
              <w:bottom w:val="single" w:sz="4" w:space="0" w:color="auto"/>
              <w:right w:val="single" w:sz="4" w:space="0" w:color="auto"/>
            </w:tcBorders>
            <w:shd w:val="clear" w:color="auto" w:fill="auto"/>
            <w:hideMark/>
          </w:tcPr>
          <w:p w14:paraId="7D800D25" w14:textId="77777777" w:rsidR="00E23746" w:rsidRPr="0021025C" w:rsidRDefault="00E23746" w:rsidP="000B2F10">
            <w:pPr>
              <w:spacing w:after="0" w:line="240" w:lineRule="auto"/>
              <w:rPr>
                <w:rFonts w:eastAsia="Times New Roman" w:cs="Arial"/>
                <w:sz w:val="20"/>
                <w:szCs w:val="20"/>
                <w:lang w:val="es-MX" w:eastAsia="es-MX"/>
              </w:rPr>
            </w:pPr>
            <w:r w:rsidRPr="0021025C">
              <w:rPr>
                <w:rFonts w:eastAsia="Times New Roman" w:cs="Arial"/>
                <w:sz w:val="20"/>
                <w:szCs w:val="20"/>
                <w:lang w:val="es-MX" w:eastAsia="es-MX"/>
              </w:rPr>
              <w:t>Los alumnos concluyen sus estudios de nivel medio superior con una formación integral de calidad</w:t>
            </w:r>
            <w:r>
              <w:rPr>
                <w:rFonts w:eastAsia="Times New Roman" w:cs="Arial"/>
                <w:sz w:val="20"/>
                <w:szCs w:val="20"/>
                <w:lang w:val="es-MX" w:eastAsia="es-MX"/>
              </w:rPr>
              <w:t>.</w:t>
            </w:r>
          </w:p>
        </w:tc>
      </w:tr>
    </w:tbl>
    <w:p w14:paraId="04FFFFD4" w14:textId="77777777" w:rsidR="00D345CB" w:rsidRDefault="00D345CB">
      <w:pPr>
        <w:spacing w:after="0" w:line="240" w:lineRule="auto"/>
        <w:jc w:val="left"/>
      </w:pPr>
      <w:r>
        <w:br w:type="page"/>
      </w:r>
    </w:p>
    <w:tbl>
      <w:tblPr>
        <w:tblW w:w="14029" w:type="dxa"/>
        <w:tblLayout w:type="fixed"/>
        <w:tblCellMar>
          <w:left w:w="70" w:type="dxa"/>
          <w:right w:w="70" w:type="dxa"/>
        </w:tblCellMar>
        <w:tblLook w:val="04A0" w:firstRow="1" w:lastRow="0" w:firstColumn="1" w:lastColumn="0" w:noHBand="0" w:noVBand="1"/>
      </w:tblPr>
      <w:tblGrid>
        <w:gridCol w:w="1413"/>
        <w:gridCol w:w="2693"/>
        <w:gridCol w:w="2835"/>
        <w:gridCol w:w="2268"/>
        <w:gridCol w:w="2835"/>
        <w:gridCol w:w="1985"/>
      </w:tblGrid>
      <w:tr w:rsidR="00E23746" w:rsidRPr="0021025C" w14:paraId="52AAC45F" w14:textId="77777777" w:rsidTr="005A15E8">
        <w:trPr>
          <w:trHeight w:val="577"/>
        </w:trPr>
        <w:tc>
          <w:tcPr>
            <w:tcW w:w="1413"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7742A423" w14:textId="77777777" w:rsidR="00E23746" w:rsidRPr="0021025C" w:rsidRDefault="00E23746" w:rsidP="000B2F10">
            <w:pPr>
              <w:spacing w:after="0" w:line="240" w:lineRule="auto"/>
              <w:jc w:val="center"/>
              <w:rPr>
                <w:rFonts w:eastAsia="Times New Roman" w:cs="Arial"/>
                <w:b/>
                <w:bCs/>
                <w:sz w:val="20"/>
                <w:szCs w:val="20"/>
                <w:lang w:val="es-MX" w:eastAsia="es-MX"/>
              </w:rPr>
            </w:pPr>
            <w:r w:rsidRPr="0021025C">
              <w:rPr>
                <w:rFonts w:eastAsia="Times New Roman" w:cs="Arial"/>
                <w:b/>
                <w:bCs/>
                <w:sz w:val="20"/>
                <w:szCs w:val="20"/>
                <w:lang w:val="es-MX" w:eastAsia="es-MX"/>
              </w:rPr>
              <w:lastRenderedPageBreak/>
              <w:t>NIVEL</w:t>
            </w:r>
          </w:p>
        </w:tc>
        <w:tc>
          <w:tcPr>
            <w:tcW w:w="2693" w:type="dxa"/>
            <w:tcBorders>
              <w:top w:val="single" w:sz="4" w:space="0" w:color="auto"/>
              <w:left w:val="nil"/>
              <w:bottom w:val="single" w:sz="4" w:space="0" w:color="auto"/>
              <w:right w:val="single" w:sz="4" w:space="0" w:color="auto"/>
            </w:tcBorders>
            <w:shd w:val="clear" w:color="000000" w:fill="BFBFBF"/>
            <w:vAlign w:val="center"/>
            <w:hideMark/>
          </w:tcPr>
          <w:p w14:paraId="529FC940" w14:textId="77777777" w:rsidR="00E23746" w:rsidRPr="0021025C" w:rsidRDefault="00E23746" w:rsidP="000B2F10">
            <w:pPr>
              <w:spacing w:after="0" w:line="240" w:lineRule="auto"/>
              <w:jc w:val="center"/>
              <w:rPr>
                <w:rFonts w:eastAsia="Times New Roman" w:cs="Arial"/>
                <w:b/>
                <w:bCs/>
                <w:sz w:val="20"/>
                <w:szCs w:val="20"/>
                <w:lang w:val="es-MX" w:eastAsia="es-MX"/>
              </w:rPr>
            </w:pPr>
            <w:r w:rsidRPr="0021025C">
              <w:rPr>
                <w:rFonts w:eastAsia="Times New Roman" w:cs="Arial"/>
                <w:b/>
                <w:bCs/>
                <w:sz w:val="20"/>
                <w:szCs w:val="20"/>
                <w:lang w:val="es-MX" w:eastAsia="es-MX"/>
              </w:rPr>
              <w:t>ALINEACIÓN PED/PD</w:t>
            </w:r>
          </w:p>
        </w:tc>
        <w:tc>
          <w:tcPr>
            <w:tcW w:w="2835" w:type="dxa"/>
            <w:tcBorders>
              <w:top w:val="single" w:sz="4" w:space="0" w:color="auto"/>
              <w:left w:val="nil"/>
              <w:bottom w:val="single" w:sz="4" w:space="0" w:color="auto"/>
              <w:right w:val="single" w:sz="4" w:space="0" w:color="auto"/>
            </w:tcBorders>
            <w:shd w:val="clear" w:color="000000" w:fill="BFBFBF"/>
            <w:vAlign w:val="center"/>
            <w:hideMark/>
          </w:tcPr>
          <w:p w14:paraId="56F883E0" w14:textId="77777777" w:rsidR="00E23746" w:rsidRPr="0021025C" w:rsidRDefault="00E23746" w:rsidP="000B2F10">
            <w:pPr>
              <w:spacing w:after="0" w:line="240" w:lineRule="auto"/>
              <w:jc w:val="center"/>
              <w:rPr>
                <w:rFonts w:eastAsia="Times New Roman" w:cs="Arial"/>
                <w:b/>
                <w:bCs/>
                <w:sz w:val="20"/>
                <w:szCs w:val="20"/>
                <w:lang w:val="es-MX" w:eastAsia="es-MX"/>
              </w:rPr>
            </w:pPr>
            <w:r w:rsidRPr="0021025C">
              <w:rPr>
                <w:rFonts w:eastAsia="Times New Roman" w:cs="Arial"/>
                <w:b/>
                <w:bCs/>
                <w:sz w:val="20"/>
                <w:szCs w:val="20"/>
                <w:lang w:val="es-MX" w:eastAsia="es-MX"/>
              </w:rPr>
              <w:t>OBJETIVO</w:t>
            </w:r>
          </w:p>
        </w:tc>
        <w:tc>
          <w:tcPr>
            <w:tcW w:w="2268" w:type="dxa"/>
            <w:tcBorders>
              <w:top w:val="single" w:sz="4" w:space="0" w:color="auto"/>
              <w:left w:val="nil"/>
              <w:bottom w:val="single" w:sz="4" w:space="0" w:color="auto"/>
              <w:right w:val="single" w:sz="4" w:space="0" w:color="auto"/>
            </w:tcBorders>
            <w:shd w:val="clear" w:color="000000" w:fill="BFBFBF"/>
            <w:vAlign w:val="center"/>
            <w:hideMark/>
          </w:tcPr>
          <w:p w14:paraId="16E80A3C" w14:textId="77777777" w:rsidR="00E23746" w:rsidRPr="0021025C" w:rsidRDefault="00E23746" w:rsidP="000B2F10">
            <w:pPr>
              <w:spacing w:after="0" w:line="240" w:lineRule="auto"/>
              <w:jc w:val="center"/>
              <w:rPr>
                <w:rFonts w:eastAsia="Times New Roman" w:cs="Arial"/>
                <w:b/>
                <w:bCs/>
                <w:sz w:val="20"/>
                <w:szCs w:val="20"/>
                <w:lang w:val="es-MX" w:eastAsia="es-MX"/>
              </w:rPr>
            </w:pPr>
            <w:r w:rsidRPr="0021025C">
              <w:rPr>
                <w:rFonts w:eastAsia="Times New Roman" w:cs="Arial"/>
                <w:b/>
                <w:bCs/>
                <w:sz w:val="20"/>
                <w:szCs w:val="20"/>
                <w:lang w:val="es-MX" w:eastAsia="es-MX"/>
              </w:rPr>
              <w:t>INDICADOR</w:t>
            </w:r>
          </w:p>
        </w:tc>
        <w:tc>
          <w:tcPr>
            <w:tcW w:w="2835" w:type="dxa"/>
            <w:tcBorders>
              <w:top w:val="single" w:sz="4" w:space="0" w:color="auto"/>
              <w:left w:val="nil"/>
              <w:bottom w:val="single" w:sz="4" w:space="0" w:color="auto"/>
              <w:right w:val="single" w:sz="4" w:space="0" w:color="auto"/>
            </w:tcBorders>
            <w:shd w:val="clear" w:color="000000" w:fill="BFBFBF"/>
            <w:vAlign w:val="center"/>
            <w:hideMark/>
          </w:tcPr>
          <w:p w14:paraId="5EDD5BD0" w14:textId="77777777" w:rsidR="00E23746" w:rsidRPr="0021025C" w:rsidRDefault="00E23746" w:rsidP="000B2F10">
            <w:pPr>
              <w:spacing w:after="0" w:line="240" w:lineRule="auto"/>
              <w:jc w:val="center"/>
              <w:rPr>
                <w:rFonts w:eastAsia="Times New Roman" w:cs="Arial"/>
                <w:b/>
                <w:bCs/>
                <w:sz w:val="20"/>
                <w:szCs w:val="20"/>
                <w:lang w:val="es-MX" w:eastAsia="es-MX"/>
              </w:rPr>
            </w:pPr>
            <w:r w:rsidRPr="0021025C">
              <w:rPr>
                <w:rFonts w:eastAsia="Times New Roman" w:cs="Arial"/>
                <w:b/>
                <w:bCs/>
                <w:sz w:val="20"/>
                <w:szCs w:val="20"/>
                <w:lang w:val="es-MX" w:eastAsia="es-MX"/>
              </w:rPr>
              <w:t>MEDIOS DE VERIFICACIÓN</w:t>
            </w:r>
          </w:p>
        </w:tc>
        <w:tc>
          <w:tcPr>
            <w:tcW w:w="1985" w:type="dxa"/>
            <w:tcBorders>
              <w:top w:val="single" w:sz="4" w:space="0" w:color="auto"/>
              <w:left w:val="nil"/>
              <w:bottom w:val="single" w:sz="4" w:space="0" w:color="auto"/>
              <w:right w:val="single" w:sz="4" w:space="0" w:color="auto"/>
            </w:tcBorders>
            <w:shd w:val="clear" w:color="000000" w:fill="BFBFBF"/>
            <w:vAlign w:val="center"/>
            <w:hideMark/>
          </w:tcPr>
          <w:p w14:paraId="6D18275B" w14:textId="77777777" w:rsidR="00E23746" w:rsidRPr="0021025C" w:rsidRDefault="00E23746" w:rsidP="000B2F10">
            <w:pPr>
              <w:spacing w:after="0" w:line="240" w:lineRule="auto"/>
              <w:jc w:val="center"/>
              <w:rPr>
                <w:rFonts w:eastAsia="Times New Roman" w:cs="Arial"/>
                <w:b/>
                <w:bCs/>
                <w:sz w:val="20"/>
                <w:szCs w:val="20"/>
                <w:lang w:val="es-MX" w:eastAsia="es-MX"/>
              </w:rPr>
            </w:pPr>
            <w:r w:rsidRPr="0021025C">
              <w:rPr>
                <w:rFonts w:eastAsia="Times New Roman" w:cs="Arial"/>
                <w:b/>
                <w:bCs/>
                <w:sz w:val="20"/>
                <w:szCs w:val="20"/>
                <w:lang w:val="es-MX" w:eastAsia="es-MX"/>
              </w:rPr>
              <w:t>SUPUESTO</w:t>
            </w:r>
          </w:p>
        </w:tc>
      </w:tr>
      <w:tr w:rsidR="00E23746" w:rsidRPr="0021025C" w14:paraId="085B0AF3" w14:textId="77777777" w:rsidTr="005A15E8">
        <w:trPr>
          <w:trHeight w:val="1543"/>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14:paraId="7C3C4327" w14:textId="77777777" w:rsidR="00E23746" w:rsidRPr="0021025C" w:rsidRDefault="00E23746" w:rsidP="000B2F10">
            <w:pPr>
              <w:spacing w:after="0" w:line="240" w:lineRule="auto"/>
              <w:jc w:val="center"/>
              <w:rPr>
                <w:rFonts w:eastAsia="Times New Roman" w:cs="Arial"/>
                <w:b/>
                <w:bCs/>
                <w:sz w:val="20"/>
                <w:szCs w:val="20"/>
                <w:lang w:val="es-MX" w:eastAsia="es-MX"/>
              </w:rPr>
            </w:pPr>
            <w:r w:rsidRPr="0021025C">
              <w:rPr>
                <w:rFonts w:eastAsia="Times New Roman" w:cs="Arial"/>
                <w:b/>
                <w:bCs/>
                <w:sz w:val="20"/>
                <w:szCs w:val="20"/>
                <w:lang w:val="es-MX" w:eastAsia="es-MX"/>
              </w:rPr>
              <w:t>Componente</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2EE93CC9" w14:textId="77777777" w:rsidR="00E23746" w:rsidRPr="0021025C" w:rsidRDefault="00E23746" w:rsidP="000B2F10">
            <w:pPr>
              <w:spacing w:after="0" w:line="240" w:lineRule="auto"/>
              <w:rPr>
                <w:rFonts w:eastAsia="Times New Roman" w:cs="Arial"/>
                <w:sz w:val="20"/>
                <w:szCs w:val="20"/>
                <w:lang w:val="es-MX" w:eastAsia="es-MX"/>
              </w:rPr>
            </w:pPr>
            <w:r w:rsidRPr="0021025C">
              <w:rPr>
                <w:rFonts w:eastAsia="Times New Roman" w:cs="Arial"/>
                <w:sz w:val="20"/>
                <w:szCs w:val="20"/>
                <w:lang w:val="es-MX" w:eastAsia="es-MX"/>
              </w:rPr>
              <w:t>Impulsar estrategias para fortalecer la comprensión de lectura, escritura y pensamiento lógico matemático y demás áreas del conocimiento en escuelas a nivel medio superior.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4CDAA2F" w14:textId="77777777" w:rsidR="00E23746" w:rsidRPr="0021025C" w:rsidRDefault="00E23746" w:rsidP="000B2F10">
            <w:pPr>
              <w:spacing w:after="0" w:line="240" w:lineRule="auto"/>
              <w:rPr>
                <w:rFonts w:eastAsia="Times New Roman" w:cs="Arial"/>
                <w:sz w:val="20"/>
                <w:szCs w:val="20"/>
                <w:lang w:val="es-MX" w:eastAsia="es-MX"/>
              </w:rPr>
            </w:pPr>
            <w:r w:rsidRPr="0021025C">
              <w:rPr>
                <w:rFonts w:eastAsia="Times New Roman" w:cs="Arial"/>
                <w:sz w:val="20"/>
                <w:szCs w:val="20"/>
                <w:lang w:val="es-MX" w:eastAsia="es-MX"/>
              </w:rPr>
              <w:t>C01 - Alumnos con desempeño escolar mejorado.</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2106ABA3" w14:textId="77777777" w:rsidR="00E23746" w:rsidRPr="0021025C" w:rsidRDefault="00E23746" w:rsidP="000B2F10">
            <w:pPr>
              <w:spacing w:after="0" w:line="240" w:lineRule="auto"/>
              <w:rPr>
                <w:rFonts w:eastAsia="Times New Roman" w:cs="Arial"/>
                <w:sz w:val="20"/>
                <w:szCs w:val="20"/>
                <w:lang w:val="es-MX" w:eastAsia="es-MX"/>
              </w:rPr>
            </w:pPr>
            <w:r w:rsidRPr="0021025C">
              <w:rPr>
                <w:rFonts w:eastAsia="Times New Roman" w:cs="Arial"/>
                <w:sz w:val="20"/>
                <w:szCs w:val="20"/>
                <w:lang w:val="es-MX" w:eastAsia="es-MX"/>
              </w:rPr>
              <w:t>C01 - Promedio de aprovechamiento</w:t>
            </w:r>
            <w:r>
              <w:rPr>
                <w:rFonts w:eastAsia="Times New Roman" w:cs="Arial"/>
                <w:sz w:val="20"/>
                <w:szCs w:val="20"/>
                <w:lang w:val="es-MX" w:eastAsia="es-MX"/>
              </w:rPr>
              <w: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7F34889" w14:textId="77777777" w:rsidR="00E23746" w:rsidRPr="0021025C" w:rsidRDefault="00E23746" w:rsidP="000B2F10">
            <w:pPr>
              <w:spacing w:after="0" w:line="240" w:lineRule="auto"/>
              <w:rPr>
                <w:rFonts w:eastAsia="Times New Roman" w:cs="Arial"/>
                <w:sz w:val="20"/>
                <w:szCs w:val="20"/>
                <w:lang w:val="es-MX" w:eastAsia="es-MX"/>
              </w:rPr>
            </w:pPr>
            <w:r w:rsidRPr="0021025C">
              <w:rPr>
                <w:rFonts w:eastAsia="Times New Roman" w:cs="Arial"/>
                <w:sz w:val="20"/>
                <w:szCs w:val="20"/>
                <w:lang w:val="es-MX" w:eastAsia="es-MX"/>
              </w:rPr>
              <w:t>Reporte semestral de calificaciones. http://www.cobaqroo.edu.mx/paginaweb2019/dirplaneacion.php</w:t>
            </w:r>
            <w:r>
              <w:rPr>
                <w:rFonts w:eastAsia="Times New Roman" w:cs="Arial"/>
                <w:sz w:val="20"/>
                <w:szCs w:val="20"/>
                <w:lang w:val="es-MX" w:eastAsia="es-MX"/>
              </w:rPr>
              <w:t>.</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6B326BB6" w14:textId="77777777" w:rsidR="00E23746" w:rsidRPr="0021025C" w:rsidRDefault="00E23746" w:rsidP="000B2F10">
            <w:pPr>
              <w:spacing w:after="0" w:line="240" w:lineRule="auto"/>
              <w:rPr>
                <w:rFonts w:eastAsia="Times New Roman" w:cs="Arial"/>
                <w:sz w:val="20"/>
                <w:szCs w:val="20"/>
                <w:lang w:val="es-MX" w:eastAsia="es-MX"/>
              </w:rPr>
            </w:pPr>
            <w:r w:rsidRPr="0021025C">
              <w:rPr>
                <w:rFonts w:eastAsia="Times New Roman" w:cs="Arial"/>
                <w:sz w:val="20"/>
                <w:szCs w:val="20"/>
                <w:lang w:val="es-MX" w:eastAsia="es-MX"/>
              </w:rPr>
              <w:t>Los alumnos mejoran su promedio de aprovechamiento.</w:t>
            </w:r>
          </w:p>
        </w:tc>
      </w:tr>
      <w:tr w:rsidR="00E23746" w:rsidRPr="0021025C" w14:paraId="7E648F3E" w14:textId="77777777" w:rsidTr="005A15E8">
        <w:trPr>
          <w:trHeight w:val="1550"/>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14:paraId="27BFBA0F" w14:textId="77777777" w:rsidR="00E23746" w:rsidRPr="0021025C" w:rsidRDefault="00E23746" w:rsidP="000B2F10">
            <w:pPr>
              <w:spacing w:after="0" w:line="240" w:lineRule="auto"/>
              <w:jc w:val="center"/>
              <w:rPr>
                <w:rFonts w:eastAsia="Times New Roman" w:cs="Arial"/>
                <w:b/>
                <w:bCs/>
                <w:sz w:val="20"/>
                <w:szCs w:val="20"/>
                <w:lang w:val="es-MX" w:eastAsia="es-MX"/>
              </w:rPr>
            </w:pPr>
            <w:r w:rsidRPr="0021025C">
              <w:rPr>
                <w:rFonts w:eastAsia="Times New Roman" w:cs="Arial"/>
                <w:b/>
                <w:bCs/>
                <w:sz w:val="20"/>
                <w:szCs w:val="20"/>
                <w:lang w:val="es-MX" w:eastAsia="es-MX"/>
              </w:rPr>
              <w:t>Actividad</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0151AA9E" w14:textId="77777777" w:rsidR="00E23746" w:rsidRPr="0021025C" w:rsidRDefault="00E23746" w:rsidP="000B2F10">
            <w:pPr>
              <w:spacing w:after="0" w:line="240" w:lineRule="auto"/>
              <w:rPr>
                <w:rFonts w:eastAsia="Times New Roman" w:cs="Arial"/>
                <w:sz w:val="20"/>
                <w:szCs w:val="20"/>
                <w:lang w:val="es-MX" w:eastAsia="es-MX"/>
              </w:rPr>
            </w:pPr>
            <w:r w:rsidRPr="0021025C">
              <w:rPr>
                <w:rFonts w:eastAsia="Times New Roman" w:cs="Arial"/>
                <w:sz w:val="20"/>
                <w:szCs w:val="20"/>
                <w:lang w:val="es-MX" w:eastAsia="es-MX"/>
              </w:rPr>
              <w:t>Impulsar la formación integral de los estudiantes en el nivel medio superior</w:t>
            </w:r>
            <w:r>
              <w:rPr>
                <w:rFonts w:eastAsia="Times New Roman" w:cs="Arial"/>
                <w:sz w:val="20"/>
                <w:szCs w:val="20"/>
                <w:lang w:val="es-MX" w:eastAsia="es-MX"/>
              </w:rPr>
              <w: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50B28B8" w14:textId="77777777" w:rsidR="00E23746" w:rsidRPr="0021025C" w:rsidRDefault="00E23746" w:rsidP="000B2F10">
            <w:pPr>
              <w:spacing w:after="0" w:line="240" w:lineRule="auto"/>
              <w:rPr>
                <w:rFonts w:eastAsia="Times New Roman" w:cs="Arial"/>
                <w:sz w:val="20"/>
                <w:szCs w:val="20"/>
                <w:lang w:val="es-MX" w:eastAsia="es-MX"/>
              </w:rPr>
            </w:pPr>
            <w:r w:rsidRPr="0021025C">
              <w:rPr>
                <w:rFonts w:eastAsia="Times New Roman" w:cs="Arial"/>
                <w:sz w:val="20"/>
                <w:szCs w:val="20"/>
                <w:lang w:val="es-MX" w:eastAsia="es-MX"/>
              </w:rPr>
              <w:t>C01.A01 - Atención del alumnado mediante el servicio de orientación educativa.</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0825F2F7" w14:textId="77777777" w:rsidR="00E23746" w:rsidRPr="0021025C" w:rsidRDefault="00E23746" w:rsidP="000B2F10">
            <w:pPr>
              <w:spacing w:after="0" w:line="240" w:lineRule="auto"/>
              <w:rPr>
                <w:rFonts w:eastAsia="Times New Roman" w:cs="Arial"/>
                <w:sz w:val="20"/>
                <w:szCs w:val="20"/>
                <w:lang w:val="es-MX" w:eastAsia="es-MX"/>
              </w:rPr>
            </w:pPr>
            <w:r w:rsidRPr="0021025C">
              <w:rPr>
                <w:rFonts w:eastAsia="Times New Roman" w:cs="Arial"/>
                <w:sz w:val="20"/>
                <w:szCs w:val="20"/>
                <w:lang w:val="es-MX" w:eastAsia="es-MX"/>
              </w:rPr>
              <w:t xml:space="preserve">C01A01 - Porcentaje de estudiantes que son atendidos por el servicio de orientación educativa. </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2E69DB9" w14:textId="77777777" w:rsidR="00E23746" w:rsidRDefault="00E23746" w:rsidP="000B2F10">
            <w:pPr>
              <w:spacing w:after="0" w:line="240" w:lineRule="auto"/>
              <w:rPr>
                <w:rFonts w:eastAsia="Times New Roman" w:cs="Arial"/>
                <w:sz w:val="20"/>
                <w:szCs w:val="20"/>
                <w:lang w:val="es-MX" w:eastAsia="es-MX"/>
              </w:rPr>
            </w:pPr>
            <w:r w:rsidRPr="0021025C">
              <w:rPr>
                <w:rFonts w:eastAsia="Times New Roman" w:cs="Arial"/>
                <w:sz w:val="20"/>
                <w:szCs w:val="20"/>
                <w:lang w:val="es-MX" w:eastAsia="es-MX"/>
              </w:rPr>
              <w:t xml:space="preserve">Reporte de estudiantes atendidos por el servicio de orientación educativa. </w:t>
            </w:r>
            <w:hyperlink r:id="rId66" w:history="1">
              <w:r w:rsidRPr="003135B9">
                <w:rPr>
                  <w:rStyle w:val="Hipervnculo"/>
                  <w:rFonts w:eastAsia="Times New Roman" w:cs="Arial"/>
                  <w:sz w:val="20"/>
                  <w:szCs w:val="20"/>
                  <w:lang w:val="es-MX" w:eastAsia="es-MX"/>
                </w:rPr>
                <w:t>http://www.cobaqroo.edu.mx/paginaweb2019/dirplaneacion.php</w:t>
              </w:r>
            </w:hyperlink>
          </w:p>
          <w:p w14:paraId="543D95F0" w14:textId="77777777" w:rsidR="00E23746" w:rsidRDefault="00E23746" w:rsidP="000B2F10">
            <w:pPr>
              <w:spacing w:after="0" w:line="240" w:lineRule="auto"/>
              <w:rPr>
                <w:rFonts w:eastAsia="Times New Roman" w:cs="Arial"/>
                <w:sz w:val="20"/>
                <w:szCs w:val="20"/>
                <w:lang w:val="es-MX" w:eastAsia="es-MX"/>
              </w:rPr>
            </w:pPr>
          </w:p>
          <w:p w14:paraId="59AE0492" w14:textId="77777777" w:rsidR="00E23746" w:rsidRPr="0021025C" w:rsidRDefault="00E23746" w:rsidP="000B2F10">
            <w:pPr>
              <w:spacing w:after="0" w:line="240" w:lineRule="auto"/>
              <w:rPr>
                <w:rFonts w:eastAsia="Times New Roman" w:cs="Arial"/>
                <w:sz w:val="20"/>
                <w:szCs w:val="20"/>
                <w:lang w:val="es-MX" w:eastAsia="es-MX"/>
              </w:rPr>
            </w:pP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03F23840" w14:textId="77777777" w:rsidR="00E23746" w:rsidRPr="0021025C" w:rsidRDefault="00E23746" w:rsidP="000B2F10">
            <w:pPr>
              <w:spacing w:after="0" w:line="240" w:lineRule="auto"/>
              <w:rPr>
                <w:rFonts w:eastAsia="Times New Roman" w:cs="Arial"/>
                <w:sz w:val="20"/>
                <w:szCs w:val="20"/>
                <w:lang w:val="es-MX" w:eastAsia="es-MX"/>
              </w:rPr>
            </w:pPr>
            <w:r w:rsidRPr="0021025C">
              <w:rPr>
                <w:rFonts w:eastAsia="Times New Roman" w:cs="Arial"/>
                <w:sz w:val="20"/>
                <w:szCs w:val="20"/>
                <w:lang w:val="es-MX" w:eastAsia="es-MX"/>
              </w:rPr>
              <w:t>El alumnado utiliza el servicio de orientación educativa para mejorar su desempeño escolar.</w:t>
            </w:r>
          </w:p>
        </w:tc>
      </w:tr>
      <w:tr w:rsidR="00E23746" w:rsidRPr="0021025C" w14:paraId="4C9856A1" w14:textId="77777777" w:rsidTr="005A15E8">
        <w:trPr>
          <w:trHeight w:val="1543"/>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14:paraId="72D82CDD" w14:textId="77777777" w:rsidR="00E23746" w:rsidRPr="0021025C" w:rsidRDefault="00E23746" w:rsidP="000B2F10">
            <w:pPr>
              <w:spacing w:after="0" w:line="240" w:lineRule="auto"/>
              <w:jc w:val="center"/>
              <w:rPr>
                <w:rFonts w:eastAsia="Times New Roman" w:cs="Arial"/>
                <w:b/>
                <w:bCs/>
                <w:sz w:val="20"/>
                <w:szCs w:val="20"/>
                <w:lang w:val="es-MX" w:eastAsia="es-MX"/>
              </w:rPr>
            </w:pPr>
            <w:r w:rsidRPr="0021025C">
              <w:rPr>
                <w:rFonts w:eastAsia="Times New Roman" w:cs="Arial"/>
                <w:b/>
                <w:bCs/>
                <w:sz w:val="20"/>
                <w:szCs w:val="20"/>
                <w:lang w:val="es-MX" w:eastAsia="es-MX"/>
              </w:rPr>
              <w:t>Actividad</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6A3E177D" w14:textId="77777777" w:rsidR="00E23746" w:rsidRPr="0021025C" w:rsidRDefault="00E23746" w:rsidP="000B2F10">
            <w:pPr>
              <w:spacing w:after="0" w:line="240" w:lineRule="auto"/>
              <w:rPr>
                <w:rFonts w:eastAsia="Times New Roman" w:cs="Arial"/>
                <w:sz w:val="20"/>
                <w:szCs w:val="20"/>
                <w:lang w:val="es-MX" w:eastAsia="es-MX"/>
              </w:rPr>
            </w:pPr>
            <w:r w:rsidRPr="0021025C">
              <w:rPr>
                <w:rFonts w:eastAsia="Times New Roman" w:cs="Arial"/>
                <w:sz w:val="20"/>
                <w:szCs w:val="20"/>
                <w:lang w:val="es-MX" w:eastAsia="es-MX"/>
              </w:rPr>
              <w:t>Impulsar acciones de atención para mejorar la formación continua y desarrollo profesional de los docentes.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B180454" w14:textId="77777777" w:rsidR="00E23746" w:rsidRPr="0021025C" w:rsidRDefault="00E23746" w:rsidP="000B2F10">
            <w:pPr>
              <w:spacing w:after="0" w:line="240" w:lineRule="auto"/>
              <w:rPr>
                <w:rFonts w:eastAsia="Times New Roman" w:cs="Arial"/>
                <w:sz w:val="20"/>
                <w:szCs w:val="20"/>
                <w:lang w:val="es-MX" w:eastAsia="es-MX"/>
              </w:rPr>
            </w:pPr>
            <w:r w:rsidRPr="0021025C">
              <w:rPr>
                <w:rFonts w:eastAsia="Times New Roman" w:cs="Arial"/>
                <w:sz w:val="20"/>
                <w:szCs w:val="20"/>
                <w:lang w:val="es-MX" w:eastAsia="es-MX"/>
              </w:rPr>
              <w:t xml:space="preserve">C01.A02 - Capacitación al personal docente para su actualización y desarrollo profesional. </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136AF644" w14:textId="77777777" w:rsidR="00E23746" w:rsidRDefault="00E23746" w:rsidP="000B2F10">
            <w:pPr>
              <w:spacing w:after="0" w:line="240" w:lineRule="auto"/>
              <w:rPr>
                <w:rFonts w:eastAsia="Times New Roman" w:cs="Arial"/>
                <w:sz w:val="20"/>
                <w:szCs w:val="20"/>
                <w:lang w:val="es-MX" w:eastAsia="es-MX"/>
              </w:rPr>
            </w:pPr>
            <w:r w:rsidRPr="0021025C">
              <w:rPr>
                <w:rFonts w:eastAsia="Times New Roman" w:cs="Arial"/>
                <w:sz w:val="20"/>
                <w:szCs w:val="20"/>
                <w:lang w:val="es-MX" w:eastAsia="es-MX"/>
              </w:rPr>
              <w:t>C01A02 - Porcentaje de Docentes que aplican en el aula los conocimientos adquiridos en la capacitación.</w:t>
            </w:r>
          </w:p>
          <w:p w14:paraId="097649FA" w14:textId="77777777" w:rsidR="00E23746" w:rsidRDefault="00E23746" w:rsidP="000B2F10">
            <w:pPr>
              <w:spacing w:after="0" w:line="240" w:lineRule="auto"/>
              <w:rPr>
                <w:rFonts w:eastAsia="Times New Roman" w:cs="Arial"/>
                <w:sz w:val="20"/>
                <w:szCs w:val="20"/>
                <w:lang w:val="es-MX" w:eastAsia="es-MX"/>
              </w:rPr>
            </w:pPr>
          </w:p>
          <w:p w14:paraId="1A00A2EF" w14:textId="77777777" w:rsidR="00E23746" w:rsidRPr="0021025C" w:rsidRDefault="00E23746" w:rsidP="000B2F10">
            <w:pPr>
              <w:spacing w:after="0" w:line="240" w:lineRule="auto"/>
              <w:rPr>
                <w:rFonts w:eastAsia="Times New Roman" w:cs="Arial"/>
                <w:sz w:val="20"/>
                <w:szCs w:val="20"/>
                <w:lang w:val="es-MX" w:eastAsia="es-MX"/>
              </w:rPr>
            </w:pP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5777D9F" w14:textId="77777777" w:rsidR="00E23746" w:rsidRPr="0021025C" w:rsidRDefault="00E23746" w:rsidP="000B2F10">
            <w:pPr>
              <w:spacing w:after="0" w:line="240" w:lineRule="auto"/>
              <w:rPr>
                <w:rFonts w:eastAsia="Times New Roman" w:cs="Arial"/>
                <w:sz w:val="20"/>
                <w:szCs w:val="20"/>
                <w:lang w:val="es-MX" w:eastAsia="es-MX"/>
              </w:rPr>
            </w:pPr>
            <w:r w:rsidRPr="0021025C">
              <w:rPr>
                <w:rFonts w:eastAsia="Times New Roman" w:cs="Arial"/>
                <w:sz w:val="20"/>
                <w:szCs w:val="20"/>
                <w:lang w:val="es-MX" w:eastAsia="es-MX"/>
              </w:rPr>
              <w:t>Reporte de Docentes que aplican en el aula los conocimientos adquiridos en la capacitación. http://www.cobaqroo.edu.mx/paginaweb2019/dirplaneacion.php</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741B0B95" w14:textId="77777777" w:rsidR="00E23746" w:rsidRPr="0021025C" w:rsidRDefault="00E23746" w:rsidP="000B2F10">
            <w:pPr>
              <w:spacing w:after="0" w:line="240" w:lineRule="auto"/>
              <w:rPr>
                <w:rFonts w:eastAsia="Times New Roman" w:cs="Arial"/>
                <w:sz w:val="20"/>
                <w:szCs w:val="20"/>
                <w:lang w:val="es-MX" w:eastAsia="es-MX"/>
              </w:rPr>
            </w:pPr>
            <w:r w:rsidRPr="0021025C">
              <w:rPr>
                <w:rFonts w:eastAsia="Times New Roman" w:cs="Arial"/>
                <w:sz w:val="20"/>
                <w:szCs w:val="20"/>
                <w:lang w:val="es-MX" w:eastAsia="es-MX"/>
              </w:rPr>
              <w:t>El personal docente se inscribe y participa en la capacitación para mejorar su desempeño profesional.</w:t>
            </w:r>
          </w:p>
        </w:tc>
      </w:tr>
      <w:tr w:rsidR="00E23746" w:rsidRPr="0021025C" w14:paraId="2CE1A2CC" w14:textId="77777777" w:rsidTr="005A15E8">
        <w:trPr>
          <w:trHeight w:val="1740"/>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14:paraId="0B402FF0" w14:textId="77777777" w:rsidR="00E23746" w:rsidRPr="0021025C" w:rsidRDefault="00E23746" w:rsidP="000B2F10">
            <w:pPr>
              <w:spacing w:after="0" w:line="240" w:lineRule="auto"/>
              <w:jc w:val="center"/>
              <w:rPr>
                <w:rFonts w:eastAsia="Times New Roman" w:cs="Arial"/>
                <w:b/>
                <w:bCs/>
                <w:sz w:val="20"/>
                <w:szCs w:val="20"/>
                <w:lang w:val="es-MX" w:eastAsia="es-MX"/>
              </w:rPr>
            </w:pPr>
            <w:r w:rsidRPr="0021025C">
              <w:rPr>
                <w:rFonts w:eastAsia="Times New Roman" w:cs="Arial"/>
                <w:b/>
                <w:bCs/>
                <w:sz w:val="20"/>
                <w:szCs w:val="20"/>
                <w:lang w:val="es-MX" w:eastAsia="es-MX"/>
              </w:rPr>
              <w:t>Componente</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387BCEAC" w14:textId="77777777" w:rsidR="00E23746" w:rsidRPr="0021025C" w:rsidRDefault="00E23746" w:rsidP="000B2F10">
            <w:pPr>
              <w:spacing w:after="0" w:line="240" w:lineRule="auto"/>
              <w:rPr>
                <w:rFonts w:eastAsia="Times New Roman" w:cs="Arial"/>
                <w:sz w:val="20"/>
                <w:szCs w:val="20"/>
                <w:lang w:val="es-MX" w:eastAsia="es-MX"/>
              </w:rPr>
            </w:pPr>
            <w:r w:rsidRPr="0021025C">
              <w:rPr>
                <w:rFonts w:eastAsia="Times New Roman" w:cs="Arial"/>
                <w:sz w:val="20"/>
                <w:szCs w:val="20"/>
                <w:lang w:val="es-MX" w:eastAsia="es-MX"/>
              </w:rPr>
              <w:t>Desarrollar una estrategia integral que permita ampliar la cobertura educativa de nivel medio superior en las instituciones públicas.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0B47714" w14:textId="77777777" w:rsidR="00E23746" w:rsidRPr="0021025C" w:rsidRDefault="00E23746" w:rsidP="000B2F10">
            <w:pPr>
              <w:spacing w:after="0" w:line="240" w:lineRule="auto"/>
              <w:rPr>
                <w:rFonts w:eastAsia="Times New Roman" w:cs="Arial"/>
                <w:sz w:val="20"/>
                <w:szCs w:val="20"/>
                <w:lang w:val="es-MX" w:eastAsia="es-MX"/>
              </w:rPr>
            </w:pPr>
            <w:r w:rsidRPr="0021025C">
              <w:rPr>
                <w:rFonts w:eastAsia="Times New Roman" w:cs="Arial"/>
                <w:sz w:val="20"/>
                <w:szCs w:val="20"/>
                <w:lang w:val="es-MX" w:eastAsia="es-MX"/>
              </w:rPr>
              <w:t>C02 - Alumnos  en Educación Media Superior, inscritos.</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2648DE88" w14:textId="77777777" w:rsidR="00E23746" w:rsidRPr="0021025C" w:rsidRDefault="00E23746" w:rsidP="000B2F10">
            <w:pPr>
              <w:spacing w:after="0" w:line="240" w:lineRule="auto"/>
              <w:rPr>
                <w:rFonts w:eastAsia="Times New Roman" w:cs="Arial"/>
                <w:sz w:val="20"/>
                <w:szCs w:val="20"/>
                <w:lang w:val="es-MX" w:eastAsia="es-MX"/>
              </w:rPr>
            </w:pPr>
            <w:r w:rsidRPr="0021025C">
              <w:rPr>
                <w:rFonts w:eastAsia="Times New Roman" w:cs="Arial"/>
                <w:sz w:val="20"/>
                <w:szCs w:val="20"/>
                <w:lang w:val="es-MX" w:eastAsia="es-MX"/>
              </w:rPr>
              <w:t>C02 - Porcentaje de Absorción</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48DDDF3" w14:textId="77777777" w:rsidR="00E23746" w:rsidRPr="0021025C" w:rsidRDefault="00E23746" w:rsidP="000B2F10">
            <w:pPr>
              <w:spacing w:after="0" w:line="240" w:lineRule="auto"/>
              <w:rPr>
                <w:rFonts w:eastAsia="Times New Roman" w:cs="Arial"/>
                <w:sz w:val="20"/>
                <w:szCs w:val="20"/>
                <w:lang w:val="es-MX" w:eastAsia="es-MX"/>
              </w:rPr>
            </w:pPr>
            <w:r w:rsidRPr="0021025C">
              <w:rPr>
                <w:rFonts w:eastAsia="Times New Roman" w:cs="Arial"/>
                <w:sz w:val="20"/>
                <w:szCs w:val="20"/>
                <w:lang w:val="es-MX" w:eastAsia="es-MX"/>
              </w:rPr>
              <w:t>Estadística del Sistema Integral de Control Escolar (SICE). http://www.cobaqroo.edu.mx/paginaweb2019/dirplaneacion.php</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34293BA3" w14:textId="794824C9" w:rsidR="00E23746" w:rsidRPr="0021025C" w:rsidRDefault="00E23746" w:rsidP="005A15E8">
            <w:pPr>
              <w:spacing w:after="0" w:line="240" w:lineRule="auto"/>
              <w:rPr>
                <w:rFonts w:eastAsia="Times New Roman" w:cs="Arial"/>
                <w:sz w:val="20"/>
                <w:szCs w:val="20"/>
                <w:lang w:val="es-MX" w:eastAsia="es-MX"/>
              </w:rPr>
            </w:pPr>
            <w:r w:rsidRPr="0021025C">
              <w:rPr>
                <w:rFonts w:eastAsia="Times New Roman" w:cs="Arial"/>
                <w:sz w:val="20"/>
                <w:szCs w:val="20"/>
                <w:lang w:val="es-MX" w:eastAsia="es-MX"/>
              </w:rPr>
              <w:t>Los jóvenes egresados de secundaria continúan sus estudios a nivel medio superior.</w:t>
            </w:r>
          </w:p>
        </w:tc>
      </w:tr>
    </w:tbl>
    <w:p w14:paraId="4EEBF5A4" w14:textId="77777777" w:rsidR="00D345CB" w:rsidRDefault="00D345CB">
      <w:pPr>
        <w:spacing w:after="0" w:line="240" w:lineRule="auto"/>
        <w:jc w:val="left"/>
      </w:pPr>
      <w:r>
        <w:br w:type="page"/>
      </w:r>
    </w:p>
    <w:tbl>
      <w:tblPr>
        <w:tblW w:w="14029" w:type="dxa"/>
        <w:tblLayout w:type="fixed"/>
        <w:tblCellMar>
          <w:left w:w="70" w:type="dxa"/>
          <w:right w:w="70" w:type="dxa"/>
        </w:tblCellMar>
        <w:tblLook w:val="04A0" w:firstRow="1" w:lastRow="0" w:firstColumn="1" w:lastColumn="0" w:noHBand="0" w:noVBand="1"/>
      </w:tblPr>
      <w:tblGrid>
        <w:gridCol w:w="1413"/>
        <w:gridCol w:w="2693"/>
        <w:gridCol w:w="2835"/>
        <w:gridCol w:w="2268"/>
        <w:gridCol w:w="2835"/>
        <w:gridCol w:w="1985"/>
      </w:tblGrid>
      <w:tr w:rsidR="00E23746" w:rsidRPr="0021025C" w14:paraId="7672A918" w14:textId="77777777" w:rsidTr="005A15E8">
        <w:trPr>
          <w:trHeight w:val="577"/>
        </w:trPr>
        <w:tc>
          <w:tcPr>
            <w:tcW w:w="1413"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672F49FE" w14:textId="77777777" w:rsidR="00E23746" w:rsidRPr="0021025C" w:rsidRDefault="00E23746" w:rsidP="000B2F10">
            <w:pPr>
              <w:spacing w:after="0" w:line="240" w:lineRule="auto"/>
              <w:jc w:val="center"/>
              <w:rPr>
                <w:rFonts w:eastAsia="Times New Roman" w:cs="Arial"/>
                <w:b/>
                <w:bCs/>
                <w:sz w:val="20"/>
                <w:szCs w:val="20"/>
                <w:lang w:val="es-MX" w:eastAsia="es-MX"/>
              </w:rPr>
            </w:pPr>
            <w:r w:rsidRPr="0021025C">
              <w:rPr>
                <w:rFonts w:eastAsia="Times New Roman" w:cs="Arial"/>
                <w:b/>
                <w:bCs/>
                <w:sz w:val="20"/>
                <w:szCs w:val="20"/>
                <w:lang w:val="es-MX" w:eastAsia="es-MX"/>
              </w:rPr>
              <w:lastRenderedPageBreak/>
              <w:t>NIVEL</w:t>
            </w:r>
          </w:p>
        </w:tc>
        <w:tc>
          <w:tcPr>
            <w:tcW w:w="2693" w:type="dxa"/>
            <w:tcBorders>
              <w:top w:val="single" w:sz="4" w:space="0" w:color="auto"/>
              <w:left w:val="nil"/>
              <w:bottom w:val="single" w:sz="4" w:space="0" w:color="auto"/>
              <w:right w:val="single" w:sz="4" w:space="0" w:color="auto"/>
            </w:tcBorders>
            <w:shd w:val="clear" w:color="000000" w:fill="BFBFBF"/>
            <w:vAlign w:val="center"/>
            <w:hideMark/>
          </w:tcPr>
          <w:p w14:paraId="1C3685F8" w14:textId="77777777" w:rsidR="00E23746" w:rsidRPr="0021025C" w:rsidRDefault="00E23746" w:rsidP="000B2F10">
            <w:pPr>
              <w:spacing w:after="0" w:line="240" w:lineRule="auto"/>
              <w:jc w:val="center"/>
              <w:rPr>
                <w:rFonts w:eastAsia="Times New Roman" w:cs="Arial"/>
                <w:b/>
                <w:bCs/>
                <w:sz w:val="20"/>
                <w:szCs w:val="20"/>
                <w:lang w:val="es-MX" w:eastAsia="es-MX"/>
              </w:rPr>
            </w:pPr>
            <w:r w:rsidRPr="0021025C">
              <w:rPr>
                <w:rFonts w:eastAsia="Times New Roman" w:cs="Arial"/>
                <w:b/>
                <w:bCs/>
                <w:sz w:val="20"/>
                <w:szCs w:val="20"/>
                <w:lang w:val="es-MX" w:eastAsia="es-MX"/>
              </w:rPr>
              <w:t>ALINEACIÓN PED/PD</w:t>
            </w:r>
          </w:p>
        </w:tc>
        <w:tc>
          <w:tcPr>
            <w:tcW w:w="2835" w:type="dxa"/>
            <w:tcBorders>
              <w:top w:val="single" w:sz="4" w:space="0" w:color="auto"/>
              <w:left w:val="nil"/>
              <w:bottom w:val="single" w:sz="4" w:space="0" w:color="auto"/>
              <w:right w:val="single" w:sz="4" w:space="0" w:color="auto"/>
            </w:tcBorders>
            <w:shd w:val="clear" w:color="000000" w:fill="BFBFBF"/>
            <w:vAlign w:val="center"/>
            <w:hideMark/>
          </w:tcPr>
          <w:p w14:paraId="72BE35C3" w14:textId="77777777" w:rsidR="00E23746" w:rsidRPr="0021025C" w:rsidRDefault="00E23746" w:rsidP="000B2F10">
            <w:pPr>
              <w:spacing w:after="0" w:line="240" w:lineRule="auto"/>
              <w:jc w:val="center"/>
              <w:rPr>
                <w:rFonts w:eastAsia="Times New Roman" w:cs="Arial"/>
                <w:b/>
                <w:bCs/>
                <w:sz w:val="20"/>
                <w:szCs w:val="20"/>
                <w:lang w:val="es-MX" w:eastAsia="es-MX"/>
              </w:rPr>
            </w:pPr>
            <w:r w:rsidRPr="0021025C">
              <w:rPr>
                <w:rFonts w:eastAsia="Times New Roman" w:cs="Arial"/>
                <w:b/>
                <w:bCs/>
                <w:sz w:val="20"/>
                <w:szCs w:val="20"/>
                <w:lang w:val="es-MX" w:eastAsia="es-MX"/>
              </w:rPr>
              <w:t>OBJETIVO</w:t>
            </w:r>
          </w:p>
        </w:tc>
        <w:tc>
          <w:tcPr>
            <w:tcW w:w="2268" w:type="dxa"/>
            <w:tcBorders>
              <w:top w:val="single" w:sz="4" w:space="0" w:color="auto"/>
              <w:left w:val="nil"/>
              <w:bottom w:val="single" w:sz="4" w:space="0" w:color="auto"/>
              <w:right w:val="single" w:sz="4" w:space="0" w:color="auto"/>
            </w:tcBorders>
            <w:shd w:val="clear" w:color="000000" w:fill="BFBFBF"/>
            <w:vAlign w:val="center"/>
            <w:hideMark/>
          </w:tcPr>
          <w:p w14:paraId="06215C4D" w14:textId="77777777" w:rsidR="00E23746" w:rsidRPr="0021025C" w:rsidRDefault="00E23746" w:rsidP="000B2F10">
            <w:pPr>
              <w:spacing w:after="0" w:line="240" w:lineRule="auto"/>
              <w:jc w:val="center"/>
              <w:rPr>
                <w:rFonts w:eastAsia="Times New Roman" w:cs="Arial"/>
                <w:b/>
                <w:bCs/>
                <w:sz w:val="20"/>
                <w:szCs w:val="20"/>
                <w:lang w:val="es-MX" w:eastAsia="es-MX"/>
              </w:rPr>
            </w:pPr>
            <w:r w:rsidRPr="0021025C">
              <w:rPr>
                <w:rFonts w:eastAsia="Times New Roman" w:cs="Arial"/>
                <w:b/>
                <w:bCs/>
                <w:sz w:val="20"/>
                <w:szCs w:val="20"/>
                <w:lang w:val="es-MX" w:eastAsia="es-MX"/>
              </w:rPr>
              <w:t>INDICADOR</w:t>
            </w:r>
          </w:p>
        </w:tc>
        <w:tc>
          <w:tcPr>
            <w:tcW w:w="2835" w:type="dxa"/>
            <w:tcBorders>
              <w:top w:val="single" w:sz="4" w:space="0" w:color="auto"/>
              <w:left w:val="nil"/>
              <w:bottom w:val="single" w:sz="4" w:space="0" w:color="auto"/>
              <w:right w:val="single" w:sz="4" w:space="0" w:color="auto"/>
            </w:tcBorders>
            <w:shd w:val="clear" w:color="000000" w:fill="BFBFBF"/>
            <w:vAlign w:val="center"/>
            <w:hideMark/>
          </w:tcPr>
          <w:p w14:paraId="48DE9D29" w14:textId="77777777" w:rsidR="00E23746" w:rsidRPr="0021025C" w:rsidRDefault="00E23746" w:rsidP="000B2F10">
            <w:pPr>
              <w:spacing w:after="0" w:line="240" w:lineRule="auto"/>
              <w:jc w:val="center"/>
              <w:rPr>
                <w:rFonts w:eastAsia="Times New Roman" w:cs="Arial"/>
                <w:b/>
                <w:bCs/>
                <w:sz w:val="20"/>
                <w:szCs w:val="20"/>
                <w:lang w:val="es-MX" w:eastAsia="es-MX"/>
              </w:rPr>
            </w:pPr>
            <w:r w:rsidRPr="0021025C">
              <w:rPr>
                <w:rFonts w:eastAsia="Times New Roman" w:cs="Arial"/>
                <w:b/>
                <w:bCs/>
                <w:sz w:val="20"/>
                <w:szCs w:val="20"/>
                <w:lang w:val="es-MX" w:eastAsia="es-MX"/>
              </w:rPr>
              <w:t>MEDIOS DE VERIFICACIÓN</w:t>
            </w:r>
          </w:p>
        </w:tc>
        <w:tc>
          <w:tcPr>
            <w:tcW w:w="1985" w:type="dxa"/>
            <w:tcBorders>
              <w:top w:val="single" w:sz="4" w:space="0" w:color="auto"/>
              <w:left w:val="nil"/>
              <w:bottom w:val="single" w:sz="4" w:space="0" w:color="auto"/>
              <w:right w:val="single" w:sz="4" w:space="0" w:color="auto"/>
            </w:tcBorders>
            <w:shd w:val="clear" w:color="000000" w:fill="BFBFBF"/>
            <w:vAlign w:val="center"/>
            <w:hideMark/>
          </w:tcPr>
          <w:p w14:paraId="1F4007A9" w14:textId="77777777" w:rsidR="00E23746" w:rsidRPr="0021025C" w:rsidRDefault="00E23746" w:rsidP="000B2F10">
            <w:pPr>
              <w:spacing w:after="0" w:line="240" w:lineRule="auto"/>
              <w:jc w:val="center"/>
              <w:rPr>
                <w:rFonts w:eastAsia="Times New Roman" w:cs="Arial"/>
                <w:b/>
                <w:bCs/>
                <w:sz w:val="20"/>
                <w:szCs w:val="20"/>
                <w:lang w:val="es-MX" w:eastAsia="es-MX"/>
              </w:rPr>
            </w:pPr>
            <w:r w:rsidRPr="0021025C">
              <w:rPr>
                <w:rFonts w:eastAsia="Times New Roman" w:cs="Arial"/>
                <w:b/>
                <w:bCs/>
                <w:sz w:val="20"/>
                <w:szCs w:val="20"/>
                <w:lang w:val="es-MX" w:eastAsia="es-MX"/>
              </w:rPr>
              <w:t>SUPUESTO</w:t>
            </w:r>
          </w:p>
        </w:tc>
      </w:tr>
      <w:tr w:rsidR="00E23746" w:rsidRPr="0021025C" w14:paraId="77D55BDC" w14:textId="77777777" w:rsidTr="005A15E8">
        <w:trPr>
          <w:trHeight w:val="1658"/>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14:paraId="27CE0198" w14:textId="77777777" w:rsidR="00E23746" w:rsidRPr="0021025C" w:rsidRDefault="00E23746" w:rsidP="000B2F10">
            <w:pPr>
              <w:spacing w:after="0" w:line="240" w:lineRule="auto"/>
              <w:jc w:val="center"/>
              <w:rPr>
                <w:rFonts w:eastAsia="Times New Roman" w:cs="Arial"/>
                <w:b/>
                <w:bCs/>
                <w:sz w:val="20"/>
                <w:szCs w:val="20"/>
                <w:lang w:val="es-MX" w:eastAsia="es-MX"/>
              </w:rPr>
            </w:pPr>
            <w:r w:rsidRPr="0021025C">
              <w:rPr>
                <w:rFonts w:eastAsia="Times New Roman" w:cs="Arial"/>
                <w:b/>
                <w:bCs/>
                <w:sz w:val="20"/>
                <w:szCs w:val="20"/>
                <w:lang w:val="es-MX" w:eastAsia="es-MX"/>
              </w:rPr>
              <w:t>Actividad</w:t>
            </w:r>
          </w:p>
        </w:tc>
        <w:tc>
          <w:tcPr>
            <w:tcW w:w="2693" w:type="dxa"/>
            <w:tcBorders>
              <w:top w:val="single" w:sz="4" w:space="0" w:color="auto"/>
              <w:left w:val="nil"/>
              <w:bottom w:val="single" w:sz="4" w:space="0" w:color="auto"/>
              <w:right w:val="single" w:sz="4" w:space="0" w:color="auto"/>
            </w:tcBorders>
            <w:shd w:val="clear" w:color="auto" w:fill="auto"/>
            <w:hideMark/>
          </w:tcPr>
          <w:p w14:paraId="251FF212" w14:textId="77777777" w:rsidR="00E23746" w:rsidRPr="0021025C" w:rsidRDefault="00E23746" w:rsidP="000B2F10">
            <w:pPr>
              <w:spacing w:after="0" w:line="240" w:lineRule="auto"/>
              <w:rPr>
                <w:rFonts w:eastAsia="Times New Roman" w:cs="Arial"/>
                <w:sz w:val="20"/>
                <w:szCs w:val="20"/>
                <w:lang w:val="es-MX" w:eastAsia="es-MX"/>
              </w:rPr>
            </w:pPr>
            <w:r w:rsidRPr="0021025C">
              <w:rPr>
                <w:rFonts w:eastAsia="Times New Roman" w:cs="Arial"/>
                <w:sz w:val="20"/>
                <w:szCs w:val="20"/>
                <w:lang w:val="es-MX" w:eastAsia="es-MX"/>
              </w:rPr>
              <w:t>Reorientar el programa de becas e incentivos para otorgarlas a alumnos de escasos recursos a fin de que concluyan sus estudios.</w:t>
            </w:r>
          </w:p>
        </w:tc>
        <w:tc>
          <w:tcPr>
            <w:tcW w:w="2835" w:type="dxa"/>
            <w:tcBorders>
              <w:top w:val="single" w:sz="4" w:space="0" w:color="auto"/>
              <w:left w:val="nil"/>
              <w:bottom w:val="single" w:sz="4" w:space="0" w:color="auto"/>
              <w:right w:val="single" w:sz="4" w:space="0" w:color="auto"/>
            </w:tcBorders>
            <w:shd w:val="clear" w:color="auto" w:fill="auto"/>
            <w:hideMark/>
          </w:tcPr>
          <w:p w14:paraId="55966BD0" w14:textId="77777777" w:rsidR="00E23746" w:rsidRPr="0021025C" w:rsidRDefault="00E23746" w:rsidP="000B2F10">
            <w:pPr>
              <w:spacing w:after="0" w:line="240" w:lineRule="auto"/>
              <w:rPr>
                <w:rFonts w:eastAsia="Times New Roman" w:cs="Arial"/>
                <w:sz w:val="20"/>
                <w:szCs w:val="20"/>
                <w:lang w:val="es-MX" w:eastAsia="es-MX"/>
              </w:rPr>
            </w:pPr>
            <w:r w:rsidRPr="0021025C">
              <w:rPr>
                <w:rFonts w:eastAsia="Times New Roman" w:cs="Arial"/>
                <w:sz w:val="20"/>
                <w:szCs w:val="20"/>
                <w:lang w:val="es-MX" w:eastAsia="es-MX"/>
              </w:rPr>
              <w:t xml:space="preserve"> C02.A01 - Gestión de becas Federales para estudiantes en situación vulnerable.</w:t>
            </w:r>
          </w:p>
        </w:tc>
        <w:tc>
          <w:tcPr>
            <w:tcW w:w="2268" w:type="dxa"/>
            <w:tcBorders>
              <w:top w:val="single" w:sz="4" w:space="0" w:color="auto"/>
              <w:left w:val="nil"/>
              <w:bottom w:val="single" w:sz="4" w:space="0" w:color="auto"/>
              <w:right w:val="single" w:sz="4" w:space="0" w:color="auto"/>
            </w:tcBorders>
            <w:shd w:val="clear" w:color="auto" w:fill="auto"/>
            <w:hideMark/>
          </w:tcPr>
          <w:p w14:paraId="06B2EB26" w14:textId="77777777" w:rsidR="00E23746" w:rsidRPr="0021025C" w:rsidRDefault="00E23746" w:rsidP="000B2F10">
            <w:pPr>
              <w:spacing w:after="0" w:line="240" w:lineRule="auto"/>
              <w:rPr>
                <w:rFonts w:eastAsia="Times New Roman" w:cs="Arial"/>
                <w:sz w:val="20"/>
                <w:szCs w:val="20"/>
                <w:lang w:val="es-MX" w:eastAsia="es-MX"/>
              </w:rPr>
            </w:pPr>
            <w:r w:rsidRPr="0021025C">
              <w:rPr>
                <w:rFonts w:eastAsia="Times New Roman" w:cs="Arial"/>
                <w:sz w:val="20"/>
                <w:szCs w:val="20"/>
                <w:lang w:val="es-MX" w:eastAsia="es-MX"/>
              </w:rPr>
              <w:t xml:space="preserve"> C02A01 - Porcentaje de estudiantes en situación vulnerable con beca federal pagada</w:t>
            </w:r>
          </w:p>
        </w:tc>
        <w:tc>
          <w:tcPr>
            <w:tcW w:w="2835" w:type="dxa"/>
            <w:tcBorders>
              <w:top w:val="single" w:sz="4" w:space="0" w:color="auto"/>
              <w:left w:val="nil"/>
              <w:bottom w:val="single" w:sz="4" w:space="0" w:color="auto"/>
              <w:right w:val="single" w:sz="4" w:space="0" w:color="auto"/>
            </w:tcBorders>
            <w:shd w:val="clear" w:color="auto" w:fill="auto"/>
            <w:hideMark/>
          </w:tcPr>
          <w:p w14:paraId="18F3C974" w14:textId="77777777" w:rsidR="00E23746" w:rsidRPr="0021025C" w:rsidRDefault="00E23746" w:rsidP="000B2F10">
            <w:pPr>
              <w:spacing w:after="0" w:line="240" w:lineRule="auto"/>
              <w:rPr>
                <w:rFonts w:eastAsia="Times New Roman" w:cs="Arial"/>
                <w:sz w:val="20"/>
                <w:szCs w:val="20"/>
                <w:lang w:val="es-MX" w:eastAsia="es-MX"/>
              </w:rPr>
            </w:pPr>
            <w:r w:rsidRPr="0021025C">
              <w:rPr>
                <w:rFonts w:eastAsia="Times New Roman" w:cs="Arial"/>
                <w:sz w:val="20"/>
                <w:szCs w:val="20"/>
                <w:lang w:val="es-MX" w:eastAsia="es-MX"/>
              </w:rPr>
              <w:t>Reporte de estudiantes con beca federal pagada que se encuentran en situación de vulnerabilidad. http://www.cobaqroo.edu.mx/paginaweb2019/dirplaneacion.php</w:t>
            </w:r>
          </w:p>
        </w:tc>
        <w:tc>
          <w:tcPr>
            <w:tcW w:w="1985" w:type="dxa"/>
            <w:tcBorders>
              <w:top w:val="single" w:sz="4" w:space="0" w:color="auto"/>
              <w:left w:val="nil"/>
              <w:bottom w:val="single" w:sz="4" w:space="0" w:color="auto"/>
              <w:right w:val="single" w:sz="4" w:space="0" w:color="auto"/>
            </w:tcBorders>
            <w:shd w:val="clear" w:color="auto" w:fill="auto"/>
            <w:hideMark/>
          </w:tcPr>
          <w:p w14:paraId="5B8426E7" w14:textId="77777777" w:rsidR="00E23746" w:rsidRPr="0021025C" w:rsidRDefault="00E23746" w:rsidP="000B2F10">
            <w:pPr>
              <w:spacing w:after="0" w:line="240" w:lineRule="auto"/>
              <w:rPr>
                <w:rFonts w:eastAsia="Times New Roman" w:cs="Arial"/>
                <w:sz w:val="20"/>
                <w:szCs w:val="20"/>
                <w:lang w:val="es-MX" w:eastAsia="es-MX"/>
              </w:rPr>
            </w:pPr>
            <w:r w:rsidRPr="0021025C">
              <w:rPr>
                <w:rFonts w:eastAsia="Times New Roman" w:cs="Arial"/>
                <w:sz w:val="20"/>
                <w:szCs w:val="20"/>
                <w:lang w:val="es-MX" w:eastAsia="es-MX"/>
              </w:rPr>
              <w:t>La Federación otorga becas para estudiantes de Educación Media Superior</w:t>
            </w:r>
          </w:p>
        </w:tc>
      </w:tr>
      <w:tr w:rsidR="00E23746" w:rsidRPr="0021025C" w14:paraId="396C4B8B" w14:textId="77777777" w:rsidTr="005A15E8">
        <w:trPr>
          <w:trHeight w:val="2430"/>
        </w:trPr>
        <w:tc>
          <w:tcPr>
            <w:tcW w:w="1413" w:type="dxa"/>
            <w:tcBorders>
              <w:top w:val="nil"/>
              <w:left w:val="single" w:sz="4" w:space="0" w:color="auto"/>
              <w:bottom w:val="single" w:sz="4" w:space="0" w:color="auto"/>
              <w:right w:val="single" w:sz="4" w:space="0" w:color="auto"/>
            </w:tcBorders>
            <w:shd w:val="clear" w:color="auto" w:fill="auto"/>
            <w:hideMark/>
          </w:tcPr>
          <w:p w14:paraId="4F31EEFF" w14:textId="77777777" w:rsidR="00E23746" w:rsidRPr="0021025C" w:rsidRDefault="00E23746" w:rsidP="000B2F10">
            <w:pPr>
              <w:spacing w:after="0" w:line="240" w:lineRule="auto"/>
              <w:jc w:val="center"/>
              <w:rPr>
                <w:rFonts w:eastAsia="Times New Roman" w:cs="Arial"/>
                <w:b/>
                <w:bCs/>
                <w:sz w:val="20"/>
                <w:szCs w:val="20"/>
                <w:lang w:val="es-MX" w:eastAsia="es-MX"/>
              </w:rPr>
            </w:pPr>
            <w:r w:rsidRPr="0021025C">
              <w:rPr>
                <w:rFonts w:eastAsia="Times New Roman" w:cs="Arial"/>
                <w:b/>
                <w:bCs/>
                <w:sz w:val="20"/>
                <w:szCs w:val="20"/>
                <w:lang w:val="es-MX" w:eastAsia="es-MX"/>
              </w:rPr>
              <w:t>Actividad</w:t>
            </w:r>
          </w:p>
        </w:tc>
        <w:tc>
          <w:tcPr>
            <w:tcW w:w="2693" w:type="dxa"/>
            <w:tcBorders>
              <w:top w:val="nil"/>
              <w:left w:val="nil"/>
              <w:bottom w:val="single" w:sz="4" w:space="0" w:color="auto"/>
              <w:right w:val="single" w:sz="4" w:space="0" w:color="auto"/>
            </w:tcBorders>
            <w:shd w:val="clear" w:color="auto" w:fill="auto"/>
            <w:hideMark/>
          </w:tcPr>
          <w:p w14:paraId="49AA9204" w14:textId="77777777" w:rsidR="00E23746" w:rsidRPr="0021025C" w:rsidRDefault="00E23746" w:rsidP="000B2F10">
            <w:pPr>
              <w:spacing w:after="0" w:line="240" w:lineRule="auto"/>
              <w:rPr>
                <w:rFonts w:eastAsia="Times New Roman" w:cs="Arial"/>
                <w:sz w:val="20"/>
                <w:szCs w:val="20"/>
                <w:lang w:val="es-MX" w:eastAsia="es-MX"/>
              </w:rPr>
            </w:pPr>
            <w:r w:rsidRPr="0021025C">
              <w:rPr>
                <w:rFonts w:eastAsia="Times New Roman" w:cs="Arial"/>
                <w:sz w:val="20"/>
                <w:szCs w:val="20"/>
                <w:lang w:val="es-MX" w:eastAsia="es-MX"/>
              </w:rPr>
              <w:t>Impulsar e implementar acciones permanentes en materia de promoción, protección y defensa de los Derechos Humanos, con la aplicación de planteamientos legales, estructurales, así como la constante formación de Servidores Públicos fortaleciendo el ejercicio de los Derechos Humanos de los Ciudadanos.</w:t>
            </w:r>
          </w:p>
        </w:tc>
        <w:tc>
          <w:tcPr>
            <w:tcW w:w="2835" w:type="dxa"/>
            <w:tcBorders>
              <w:top w:val="nil"/>
              <w:left w:val="nil"/>
              <w:bottom w:val="single" w:sz="4" w:space="0" w:color="auto"/>
              <w:right w:val="single" w:sz="4" w:space="0" w:color="auto"/>
            </w:tcBorders>
            <w:shd w:val="clear" w:color="auto" w:fill="auto"/>
            <w:hideMark/>
          </w:tcPr>
          <w:p w14:paraId="2FB07414" w14:textId="77777777" w:rsidR="00E23746" w:rsidRPr="0021025C" w:rsidRDefault="00E23746" w:rsidP="000B2F10">
            <w:pPr>
              <w:spacing w:after="0" w:line="240" w:lineRule="auto"/>
              <w:rPr>
                <w:rFonts w:eastAsia="Times New Roman" w:cs="Arial"/>
                <w:sz w:val="20"/>
                <w:szCs w:val="20"/>
                <w:lang w:val="es-MX" w:eastAsia="es-MX"/>
              </w:rPr>
            </w:pPr>
            <w:r w:rsidRPr="0021025C">
              <w:rPr>
                <w:rFonts w:eastAsia="Times New Roman" w:cs="Arial"/>
                <w:sz w:val="20"/>
                <w:szCs w:val="20"/>
                <w:lang w:val="es-MX" w:eastAsia="es-MX"/>
              </w:rPr>
              <w:t>C02.A02 - Capacitación a las figuras educativas del COBAQROO en materia de derechos humanos.</w:t>
            </w:r>
          </w:p>
        </w:tc>
        <w:tc>
          <w:tcPr>
            <w:tcW w:w="2268" w:type="dxa"/>
            <w:tcBorders>
              <w:top w:val="nil"/>
              <w:left w:val="nil"/>
              <w:bottom w:val="single" w:sz="4" w:space="0" w:color="auto"/>
              <w:right w:val="single" w:sz="4" w:space="0" w:color="auto"/>
            </w:tcBorders>
            <w:shd w:val="clear" w:color="auto" w:fill="auto"/>
            <w:hideMark/>
          </w:tcPr>
          <w:p w14:paraId="1F61E7D4" w14:textId="77777777" w:rsidR="00E23746" w:rsidRPr="0021025C" w:rsidRDefault="00E23746" w:rsidP="000B2F10">
            <w:pPr>
              <w:spacing w:after="0" w:line="240" w:lineRule="auto"/>
              <w:rPr>
                <w:rFonts w:eastAsia="Times New Roman" w:cs="Arial"/>
                <w:sz w:val="20"/>
                <w:szCs w:val="20"/>
                <w:lang w:val="es-MX" w:eastAsia="es-MX"/>
              </w:rPr>
            </w:pPr>
            <w:r w:rsidRPr="0021025C">
              <w:rPr>
                <w:rFonts w:eastAsia="Times New Roman" w:cs="Arial"/>
                <w:sz w:val="20"/>
                <w:szCs w:val="20"/>
                <w:lang w:val="es-MX" w:eastAsia="es-MX"/>
              </w:rPr>
              <w:t xml:space="preserve"> C02A02 - Porcentaje de figuras educativas del COBAQROO capacitadas en temas de derechos humanos</w:t>
            </w:r>
          </w:p>
        </w:tc>
        <w:tc>
          <w:tcPr>
            <w:tcW w:w="2835" w:type="dxa"/>
            <w:tcBorders>
              <w:top w:val="nil"/>
              <w:left w:val="nil"/>
              <w:bottom w:val="single" w:sz="4" w:space="0" w:color="auto"/>
              <w:right w:val="single" w:sz="4" w:space="0" w:color="auto"/>
            </w:tcBorders>
            <w:shd w:val="clear" w:color="auto" w:fill="auto"/>
            <w:hideMark/>
          </w:tcPr>
          <w:p w14:paraId="0A076B36" w14:textId="77777777" w:rsidR="00E23746" w:rsidRPr="0021025C" w:rsidRDefault="00E23746" w:rsidP="000B2F10">
            <w:pPr>
              <w:spacing w:after="0" w:line="240" w:lineRule="auto"/>
              <w:rPr>
                <w:rFonts w:eastAsia="Times New Roman" w:cs="Arial"/>
                <w:sz w:val="20"/>
                <w:szCs w:val="20"/>
                <w:lang w:val="es-MX" w:eastAsia="es-MX"/>
              </w:rPr>
            </w:pPr>
            <w:r w:rsidRPr="0021025C">
              <w:rPr>
                <w:rFonts w:eastAsia="Times New Roman" w:cs="Arial"/>
                <w:sz w:val="20"/>
                <w:szCs w:val="20"/>
                <w:lang w:val="es-MX" w:eastAsia="es-MX"/>
              </w:rPr>
              <w:t>Reporte de figuras educativas que se capacitan en derechos humanos. http://www.cobaqroo.edu.mx/paginaweb2019/dirplaneacion.php</w:t>
            </w:r>
          </w:p>
        </w:tc>
        <w:tc>
          <w:tcPr>
            <w:tcW w:w="1985" w:type="dxa"/>
            <w:tcBorders>
              <w:top w:val="nil"/>
              <w:left w:val="nil"/>
              <w:bottom w:val="single" w:sz="4" w:space="0" w:color="auto"/>
              <w:right w:val="single" w:sz="4" w:space="0" w:color="auto"/>
            </w:tcBorders>
            <w:shd w:val="clear" w:color="auto" w:fill="auto"/>
            <w:hideMark/>
          </w:tcPr>
          <w:p w14:paraId="59A8BD20" w14:textId="77777777" w:rsidR="00E23746" w:rsidRPr="0021025C" w:rsidRDefault="00E23746" w:rsidP="000B2F10">
            <w:pPr>
              <w:spacing w:after="0" w:line="240" w:lineRule="auto"/>
              <w:rPr>
                <w:rFonts w:eastAsia="Times New Roman" w:cs="Arial"/>
                <w:sz w:val="20"/>
                <w:szCs w:val="20"/>
                <w:lang w:val="es-MX" w:eastAsia="es-MX"/>
              </w:rPr>
            </w:pPr>
            <w:r w:rsidRPr="0021025C">
              <w:rPr>
                <w:rFonts w:eastAsia="Times New Roman" w:cs="Arial"/>
                <w:sz w:val="20"/>
                <w:szCs w:val="20"/>
                <w:lang w:val="es-MX" w:eastAsia="es-MX"/>
              </w:rPr>
              <w:t>Las Figuras educativas del COBAQROO se inscriben y asisten a cursos de capacitación en materia de Derechos Humanos.</w:t>
            </w:r>
          </w:p>
        </w:tc>
      </w:tr>
      <w:tr w:rsidR="00E23746" w:rsidRPr="0021025C" w14:paraId="5A724E5E" w14:textId="77777777" w:rsidTr="005A15E8">
        <w:trPr>
          <w:trHeight w:val="1402"/>
        </w:trPr>
        <w:tc>
          <w:tcPr>
            <w:tcW w:w="1413" w:type="dxa"/>
            <w:tcBorders>
              <w:top w:val="nil"/>
              <w:left w:val="single" w:sz="4" w:space="0" w:color="auto"/>
              <w:bottom w:val="single" w:sz="4" w:space="0" w:color="auto"/>
              <w:right w:val="single" w:sz="4" w:space="0" w:color="auto"/>
            </w:tcBorders>
            <w:shd w:val="clear" w:color="auto" w:fill="auto"/>
            <w:hideMark/>
          </w:tcPr>
          <w:p w14:paraId="0A9AE1F3" w14:textId="77777777" w:rsidR="00E23746" w:rsidRPr="0021025C" w:rsidRDefault="00E23746" w:rsidP="000B2F10">
            <w:pPr>
              <w:spacing w:after="0" w:line="240" w:lineRule="auto"/>
              <w:jc w:val="center"/>
              <w:rPr>
                <w:rFonts w:eastAsia="Times New Roman" w:cs="Arial"/>
                <w:b/>
                <w:bCs/>
                <w:sz w:val="20"/>
                <w:szCs w:val="20"/>
                <w:lang w:val="es-MX" w:eastAsia="es-MX"/>
              </w:rPr>
            </w:pPr>
            <w:r w:rsidRPr="0021025C">
              <w:rPr>
                <w:rFonts w:eastAsia="Times New Roman" w:cs="Arial"/>
                <w:b/>
                <w:bCs/>
                <w:sz w:val="20"/>
                <w:szCs w:val="20"/>
                <w:lang w:val="es-MX" w:eastAsia="es-MX"/>
              </w:rPr>
              <w:t>Componente</w:t>
            </w:r>
          </w:p>
        </w:tc>
        <w:tc>
          <w:tcPr>
            <w:tcW w:w="2693" w:type="dxa"/>
            <w:tcBorders>
              <w:top w:val="nil"/>
              <w:left w:val="nil"/>
              <w:bottom w:val="single" w:sz="4" w:space="0" w:color="auto"/>
              <w:right w:val="single" w:sz="4" w:space="0" w:color="auto"/>
            </w:tcBorders>
            <w:shd w:val="clear" w:color="auto" w:fill="auto"/>
            <w:hideMark/>
          </w:tcPr>
          <w:p w14:paraId="72DAE192" w14:textId="77777777" w:rsidR="00E23746" w:rsidRPr="0021025C" w:rsidRDefault="00E23746" w:rsidP="000B2F10">
            <w:pPr>
              <w:spacing w:after="0" w:line="240" w:lineRule="auto"/>
              <w:rPr>
                <w:rFonts w:eastAsia="Times New Roman" w:cs="Arial"/>
                <w:sz w:val="20"/>
                <w:szCs w:val="20"/>
                <w:lang w:val="es-MX" w:eastAsia="es-MX"/>
              </w:rPr>
            </w:pPr>
            <w:r w:rsidRPr="0021025C">
              <w:rPr>
                <w:rFonts w:eastAsia="Times New Roman" w:cs="Arial"/>
                <w:sz w:val="20"/>
                <w:szCs w:val="20"/>
                <w:lang w:val="es-MX" w:eastAsia="es-MX"/>
              </w:rPr>
              <w:t>Implementar un programa para elevar la eficiencia terminal en la educación Media Superior</w:t>
            </w:r>
          </w:p>
        </w:tc>
        <w:tc>
          <w:tcPr>
            <w:tcW w:w="2835" w:type="dxa"/>
            <w:tcBorders>
              <w:top w:val="nil"/>
              <w:left w:val="nil"/>
              <w:bottom w:val="single" w:sz="4" w:space="0" w:color="auto"/>
              <w:right w:val="single" w:sz="4" w:space="0" w:color="auto"/>
            </w:tcBorders>
            <w:shd w:val="clear" w:color="auto" w:fill="auto"/>
            <w:hideMark/>
          </w:tcPr>
          <w:p w14:paraId="520C8404" w14:textId="77777777" w:rsidR="00E23746" w:rsidRPr="0021025C" w:rsidRDefault="00E23746" w:rsidP="000B2F10">
            <w:pPr>
              <w:spacing w:after="0" w:line="240" w:lineRule="auto"/>
              <w:rPr>
                <w:rFonts w:eastAsia="Times New Roman" w:cs="Arial"/>
                <w:sz w:val="20"/>
                <w:szCs w:val="20"/>
                <w:lang w:val="es-MX" w:eastAsia="es-MX"/>
              </w:rPr>
            </w:pPr>
            <w:r w:rsidRPr="0021025C">
              <w:rPr>
                <w:rFonts w:eastAsia="Times New Roman" w:cs="Arial"/>
                <w:sz w:val="20"/>
                <w:szCs w:val="20"/>
                <w:lang w:val="es-MX" w:eastAsia="es-MX"/>
              </w:rPr>
              <w:t xml:space="preserve">C03 - Alumnos con programas de formación para elevar la eficiencia terminal, atendidos </w:t>
            </w:r>
          </w:p>
        </w:tc>
        <w:tc>
          <w:tcPr>
            <w:tcW w:w="2268" w:type="dxa"/>
            <w:tcBorders>
              <w:top w:val="nil"/>
              <w:left w:val="nil"/>
              <w:bottom w:val="single" w:sz="4" w:space="0" w:color="auto"/>
              <w:right w:val="single" w:sz="4" w:space="0" w:color="auto"/>
            </w:tcBorders>
            <w:shd w:val="clear" w:color="auto" w:fill="auto"/>
            <w:hideMark/>
          </w:tcPr>
          <w:p w14:paraId="45316F89" w14:textId="77777777" w:rsidR="00E23746" w:rsidRPr="0021025C" w:rsidRDefault="00E23746" w:rsidP="000B2F10">
            <w:pPr>
              <w:spacing w:after="0" w:line="240" w:lineRule="auto"/>
              <w:rPr>
                <w:rFonts w:eastAsia="Times New Roman" w:cs="Arial"/>
                <w:sz w:val="20"/>
                <w:szCs w:val="20"/>
                <w:lang w:val="es-MX" w:eastAsia="es-MX"/>
              </w:rPr>
            </w:pPr>
            <w:r w:rsidRPr="0021025C">
              <w:rPr>
                <w:rFonts w:eastAsia="Times New Roman" w:cs="Arial"/>
                <w:sz w:val="20"/>
                <w:szCs w:val="20"/>
                <w:lang w:val="es-MX" w:eastAsia="es-MX"/>
              </w:rPr>
              <w:t>C03 - Porcentaje de Eficiencia Terminal</w:t>
            </w:r>
          </w:p>
        </w:tc>
        <w:tc>
          <w:tcPr>
            <w:tcW w:w="2835" w:type="dxa"/>
            <w:tcBorders>
              <w:top w:val="nil"/>
              <w:left w:val="nil"/>
              <w:bottom w:val="single" w:sz="4" w:space="0" w:color="auto"/>
              <w:right w:val="single" w:sz="4" w:space="0" w:color="auto"/>
            </w:tcBorders>
            <w:shd w:val="clear" w:color="auto" w:fill="auto"/>
            <w:hideMark/>
          </w:tcPr>
          <w:p w14:paraId="1490ABB2" w14:textId="77777777" w:rsidR="00E23746" w:rsidRPr="0021025C" w:rsidRDefault="00E23746" w:rsidP="000B2F10">
            <w:pPr>
              <w:spacing w:after="0" w:line="240" w:lineRule="auto"/>
              <w:rPr>
                <w:rFonts w:eastAsia="Times New Roman" w:cs="Arial"/>
                <w:sz w:val="20"/>
                <w:szCs w:val="20"/>
                <w:lang w:val="es-MX" w:eastAsia="es-MX"/>
              </w:rPr>
            </w:pPr>
            <w:r w:rsidRPr="0021025C">
              <w:rPr>
                <w:rFonts w:eastAsia="Times New Roman" w:cs="Arial"/>
                <w:sz w:val="20"/>
                <w:szCs w:val="20"/>
                <w:lang w:val="es-MX" w:eastAsia="es-MX"/>
              </w:rPr>
              <w:t>Estadística del Sistema Integral de Control Escolar (SICE). http://www.cobaqroo.edu.mx/paginaweb2019/dirplaneacion.php</w:t>
            </w:r>
          </w:p>
        </w:tc>
        <w:tc>
          <w:tcPr>
            <w:tcW w:w="1985" w:type="dxa"/>
            <w:tcBorders>
              <w:top w:val="nil"/>
              <w:left w:val="nil"/>
              <w:bottom w:val="single" w:sz="4" w:space="0" w:color="auto"/>
              <w:right w:val="single" w:sz="4" w:space="0" w:color="auto"/>
            </w:tcBorders>
            <w:shd w:val="clear" w:color="auto" w:fill="auto"/>
            <w:hideMark/>
          </w:tcPr>
          <w:p w14:paraId="0D1785BD" w14:textId="77777777" w:rsidR="00E23746" w:rsidRPr="0021025C" w:rsidRDefault="00E23746" w:rsidP="000B2F10">
            <w:pPr>
              <w:spacing w:after="0" w:line="240" w:lineRule="auto"/>
              <w:rPr>
                <w:rFonts w:eastAsia="Times New Roman" w:cs="Arial"/>
                <w:sz w:val="20"/>
                <w:szCs w:val="20"/>
                <w:lang w:val="es-MX" w:eastAsia="es-MX"/>
              </w:rPr>
            </w:pPr>
            <w:r w:rsidRPr="0021025C">
              <w:rPr>
                <w:rFonts w:eastAsia="Times New Roman" w:cs="Arial"/>
                <w:sz w:val="20"/>
                <w:szCs w:val="20"/>
                <w:lang w:val="es-MX" w:eastAsia="es-MX"/>
              </w:rPr>
              <w:t xml:space="preserve"> Los alumnos detectados en riesgo de abandono escolar , ingresan en los programas integrales.</w:t>
            </w:r>
          </w:p>
        </w:tc>
      </w:tr>
      <w:tr w:rsidR="00E23746" w:rsidRPr="0021025C" w14:paraId="7AAAC6D9" w14:textId="77777777" w:rsidTr="005A15E8">
        <w:trPr>
          <w:trHeight w:val="1249"/>
        </w:trPr>
        <w:tc>
          <w:tcPr>
            <w:tcW w:w="1413" w:type="dxa"/>
            <w:tcBorders>
              <w:top w:val="nil"/>
              <w:left w:val="single" w:sz="4" w:space="0" w:color="auto"/>
              <w:bottom w:val="single" w:sz="4" w:space="0" w:color="auto"/>
              <w:right w:val="single" w:sz="4" w:space="0" w:color="auto"/>
            </w:tcBorders>
            <w:shd w:val="clear" w:color="auto" w:fill="auto"/>
            <w:hideMark/>
          </w:tcPr>
          <w:p w14:paraId="6E355A84" w14:textId="77777777" w:rsidR="00E23746" w:rsidRPr="0021025C" w:rsidRDefault="00E23746" w:rsidP="000B2F10">
            <w:pPr>
              <w:spacing w:after="0" w:line="240" w:lineRule="auto"/>
              <w:jc w:val="center"/>
              <w:rPr>
                <w:rFonts w:eastAsia="Times New Roman" w:cs="Arial"/>
                <w:b/>
                <w:bCs/>
                <w:sz w:val="20"/>
                <w:szCs w:val="20"/>
                <w:lang w:val="es-MX" w:eastAsia="es-MX"/>
              </w:rPr>
            </w:pPr>
            <w:r w:rsidRPr="0021025C">
              <w:rPr>
                <w:rFonts w:eastAsia="Times New Roman" w:cs="Arial"/>
                <w:b/>
                <w:bCs/>
                <w:sz w:val="20"/>
                <w:szCs w:val="20"/>
                <w:lang w:val="es-MX" w:eastAsia="es-MX"/>
              </w:rPr>
              <w:t>Actividad</w:t>
            </w:r>
          </w:p>
        </w:tc>
        <w:tc>
          <w:tcPr>
            <w:tcW w:w="2693" w:type="dxa"/>
            <w:tcBorders>
              <w:top w:val="nil"/>
              <w:left w:val="nil"/>
              <w:bottom w:val="single" w:sz="4" w:space="0" w:color="auto"/>
              <w:right w:val="single" w:sz="4" w:space="0" w:color="auto"/>
            </w:tcBorders>
            <w:shd w:val="clear" w:color="auto" w:fill="auto"/>
            <w:hideMark/>
          </w:tcPr>
          <w:p w14:paraId="2F1A191A" w14:textId="73BDC498" w:rsidR="00E23746" w:rsidRPr="0021025C" w:rsidRDefault="00E23746" w:rsidP="000B2F10">
            <w:pPr>
              <w:spacing w:after="0" w:line="240" w:lineRule="auto"/>
              <w:rPr>
                <w:rFonts w:eastAsia="Times New Roman" w:cs="Arial"/>
                <w:sz w:val="20"/>
                <w:szCs w:val="20"/>
                <w:lang w:val="es-MX" w:eastAsia="es-MX"/>
              </w:rPr>
            </w:pPr>
            <w:r w:rsidRPr="0021025C">
              <w:rPr>
                <w:rFonts w:eastAsia="Times New Roman" w:cs="Arial"/>
                <w:sz w:val="20"/>
                <w:szCs w:val="20"/>
                <w:lang w:val="es-MX" w:eastAsia="es-MX"/>
              </w:rPr>
              <w:t>Impulsar la calidad en los planteles de Educación Media Superior mediante evaluaciones y/o acreditaciones.</w:t>
            </w:r>
          </w:p>
        </w:tc>
        <w:tc>
          <w:tcPr>
            <w:tcW w:w="2835" w:type="dxa"/>
            <w:tcBorders>
              <w:top w:val="nil"/>
              <w:left w:val="nil"/>
              <w:bottom w:val="single" w:sz="4" w:space="0" w:color="auto"/>
              <w:right w:val="single" w:sz="4" w:space="0" w:color="auto"/>
            </w:tcBorders>
            <w:shd w:val="clear" w:color="auto" w:fill="auto"/>
            <w:hideMark/>
          </w:tcPr>
          <w:p w14:paraId="1741C05B" w14:textId="77777777" w:rsidR="00E23746" w:rsidRPr="0021025C" w:rsidRDefault="00E23746" w:rsidP="000B2F10">
            <w:pPr>
              <w:spacing w:after="0" w:line="240" w:lineRule="auto"/>
              <w:rPr>
                <w:rFonts w:eastAsia="Times New Roman" w:cs="Arial"/>
                <w:sz w:val="20"/>
                <w:szCs w:val="20"/>
                <w:lang w:val="es-MX" w:eastAsia="es-MX"/>
              </w:rPr>
            </w:pPr>
            <w:r w:rsidRPr="0021025C">
              <w:rPr>
                <w:rFonts w:eastAsia="Times New Roman" w:cs="Arial"/>
                <w:sz w:val="20"/>
                <w:szCs w:val="20"/>
                <w:lang w:val="es-MX" w:eastAsia="es-MX"/>
              </w:rPr>
              <w:t>C03.A01 - Evaluación de los Planteles del COBAQROO para medir la calidad.</w:t>
            </w:r>
          </w:p>
        </w:tc>
        <w:tc>
          <w:tcPr>
            <w:tcW w:w="2268" w:type="dxa"/>
            <w:tcBorders>
              <w:top w:val="nil"/>
              <w:left w:val="nil"/>
              <w:bottom w:val="single" w:sz="4" w:space="0" w:color="auto"/>
              <w:right w:val="single" w:sz="4" w:space="0" w:color="auto"/>
            </w:tcBorders>
            <w:shd w:val="clear" w:color="auto" w:fill="auto"/>
            <w:hideMark/>
          </w:tcPr>
          <w:p w14:paraId="507D2897" w14:textId="77777777" w:rsidR="00E23746" w:rsidRDefault="00E23746" w:rsidP="000B2F10">
            <w:pPr>
              <w:spacing w:after="0" w:line="240" w:lineRule="auto"/>
              <w:rPr>
                <w:rFonts w:eastAsia="Times New Roman" w:cs="Arial"/>
                <w:sz w:val="20"/>
                <w:szCs w:val="20"/>
                <w:lang w:val="es-MX" w:eastAsia="es-MX"/>
              </w:rPr>
            </w:pPr>
            <w:r w:rsidRPr="0021025C">
              <w:rPr>
                <w:rFonts w:eastAsia="Times New Roman" w:cs="Arial"/>
                <w:sz w:val="20"/>
                <w:szCs w:val="20"/>
                <w:lang w:val="es-MX" w:eastAsia="es-MX"/>
              </w:rPr>
              <w:t xml:space="preserve"> C03A01 - Porcentajes de Planteles Evaluados del COBAQROO que obtienen un resultado satisfactorio.</w:t>
            </w:r>
          </w:p>
          <w:p w14:paraId="2F2F1317" w14:textId="6EBBFB1F" w:rsidR="00E23746" w:rsidRPr="0021025C" w:rsidRDefault="00E23746" w:rsidP="000B2F10">
            <w:pPr>
              <w:spacing w:after="0" w:line="240" w:lineRule="auto"/>
              <w:rPr>
                <w:rFonts w:eastAsia="Times New Roman" w:cs="Arial"/>
                <w:sz w:val="20"/>
                <w:szCs w:val="20"/>
                <w:lang w:val="es-MX" w:eastAsia="es-MX"/>
              </w:rPr>
            </w:pPr>
          </w:p>
        </w:tc>
        <w:tc>
          <w:tcPr>
            <w:tcW w:w="2835" w:type="dxa"/>
            <w:tcBorders>
              <w:top w:val="nil"/>
              <w:left w:val="nil"/>
              <w:bottom w:val="single" w:sz="4" w:space="0" w:color="auto"/>
              <w:right w:val="single" w:sz="4" w:space="0" w:color="auto"/>
            </w:tcBorders>
            <w:shd w:val="clear" w:color="auto" w:fill="auto"/>
            <w:hideMark/>
          </w:tcPr>
          <w:p w14:paraId="3BFC354B" w14:textId="77777777" w:rsidR="00E23746" w:rsidRPr="0021025C" w:rsidRDefault="00E23746" w:rsidP="000B2F10">
            <w:pPr>
              <w:spacing w:after="0" w:line="240" w:lineRule="auto"/>
              <w:rPr>
                <w:rFonts w:eastAsia="Times New Roman" w:cs="Arial"/>
                <w:sz w:val="20"/>
                <w:szCs w:val="20"/>
                <w:lang w:val="es-MX" w:eastAsia="es-MX"/>
              </w:rPr>
            </w:pPr>
            <w:r w:rsidRPr="0021025C">
              <w:rPr>
                <w:rFonts w:eastAsia="Times New Roman" w:cs="Arial"/>
                <w:sz w:val="20"/>
                <w:szCs w:val="20"/>
                <w:lang w:val="es-MX" w:eastAsia="es-MX"/>
              </w:rPr>
              <w:t>Reporte de evaluación de los Planteles. http://www.cobaqroo.edu.mx/paginaweb2019/dirplaneacion.php</w:t>
            </w:r>
          </w:p>
        </w:tc>
        <w:tc>
          <w:tcPr>
            <w:tcW w:w="1985" w:type="dxa"/>
            <w:tcBorders>
              <w:top w:val="nil"/>
              <w:left w:val="nil"/>
              <w:bottom w:val="single" w:sz="4" w:space="0" w:color="auto"/>
              <w:right w:val="single" w:sz="4" w:space="0" w:color="auto"/>
            </w:tcBorders>
            <w:shd w:val="clear" w:color="auto" w:fill="auto"/>
            <w:hideMark/>
          </w:tcPr>
          <w:p w14:paraId="55955337" w14:textId="77777777" w:rsidR="00E23746" w:rsidRDefault="00E23746" w:rsidP="000B2F10">
            <w:pPr>
              <w:spacing w:after="0" w:line="240" w:lineRule="auto"/>
              <w:rPr>
                <w:rFonts w:eastAsia="Times New Roman" w:cs="Arial"/>
                <w:sz w:val="20"/>
                <w:szCs w:val="20"/>
                <w:lang w:val="es-MX" w:eastAsia="es-MX"/>
              </w:rPr>
            </w:pPr>
            <w:r w:rsidRPr="0021025C">
              <w:rPr>
                <w:rFonts w:eastAsia="Times New Roman" w:cs="Arial"/>
                <w:sz w:val="20"/>
                <w:szCs w:val="20"/>
                <w:lang w:val="es-MX" w:eastAsia="es-MX"/>
              </w:rPr>
              <w:t>La comunidad educativa participa en las evaluaciones a los Planteles del COBAQROO.</w:t>
            </w:r>
          </w:p>
          <w:p w14:paraId="70A81140" w14:textId="12A907A5" w:rsidR="00E23746" w:rsidRPr="0021025C" w:rsidRDefault="00E23746" w:rsidP="000B2F10">
            <w:pPr>
              <w:spacing w:after="0" w:line="240" w:lineRule="auto"/>
              <w:rPr>
                <w:rFonts w:eastAsia="Times New Roman" w:cs="Arial"/>
                <w:sz w:val="20"/>
                <w:szCs w:val="20"/>
                <w:lang w:val="es-MX" w:eastAsia="es-MX"/>
              </w:rPr>
            </w:pPr>
          </w:p>
        </w:tc>
      </w:tr>
      <w:tr w:rsidR="00E23746" w:rsidRPr="0021025C" w14:paraId="1002B786" w14:textId="77777777" w:rsidTr="005A15E8">
        <w:trPr>
          <w:trHeight w:val="577"/>
        </w:trPr>
        <w:tc>
          <w:tcPr>
            <w:tcW w:w="1413"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049B63C1" w14:textId="77777777" w:rsidR="00E23746" w:rsidRPr="0021025C" w:rsidRDefault="00E23746" w:rsidP="000B2F10">
            <w:pPr>
              <w:spacing w:after="0" w:line="240" w:lineRule="auto"/>
              <w:jc w:val="center"/>
              <w:rPr>
                <w:rFonts w:eastAsia="Times New Roman" w:cs="Arial"/>
                <w:b/>
                <w:bCs/>
                <w:sz w:val="20"/>
                <w:szCs w:val="20"/>
                <w:lang w:val="es-MX" w:eastAsia="es-MX"/>
              </w:rPr>
            </w:pPr>
            <w:r w:rsidRPr="0021025C">
              <w:rPr>
                <w:rFonts w:eastAsia="Times New Roman" w:cs="Arial"/>
                <w:b/>
                <w:bCs/>
                <w:sz w:val="20"/>
                <w:szCs w:val="20"/>
                <w:lang w:val="es-MX" w:eastAsia="es-MX"/>
              </w:rPr>
              <w:lastRenderedPageBreak/>
              <w:t>NIVEL</w:t>
            </w:r>
          </w:p>
        </w:tc>
        <w:tc>
          <w:tcPr>
            <w:tcW w:w="2693" w:type="dxa"/>
            <w:tcBorders>
              <w:top w:val="single" w:sz="4" w:space="0" w:color="auto"/>
              <w:left w:val="nil"/>
              <w:bottom w:val="single" w:sz="4" w:space="0" w:color="auto"/>
              <w:right w:val="single" w:sz="4" w:space="0" w:color="auto"/>
            </w:tcBorders>
            <w:shd w:val="clear" w:color="000000" w:fill="BFBFBF"/>
            <w:vAlign w:val="center"/>
            <w:hideMark/>
          </w:tcPr>
          <w:p w14:paraId="584E8C66" w14:textId="77777777" w:rsidR="00E23746" w:rsidRPr="0021025C" w:rsidRDefault="00E23746" w:rsidP="000B2F10">
            <w:pPr>
              <w:spacing w:after="0" w:line="240" w:lineRule="auto"/>
              <w:jc w:val="center"/>
              <w:rPr>
                <w:rFonts w:eastAsia="Times New Roman" w:cs="Arial"/>
                <w:b/>
                <w:bCs/>
                <w:sz w:val="20"/>
                <w:szCs w:val="20"/>
                <w:lang w:val="es-MX" w:eastAsia="es-MX"/>
              </w:rPr>
            </w:pPr>
            <w:r w:rsidRPr="0021025C">
              <w:rPr>
                <w:rFonts w:eastAsia="Times New Roman" w:cs="Arial"/>
                <w:b/>
                <w:bCs/>
                <w:sz w:val="20"/>
                <w:szCs w:val="20"/>
                <w:lang w:val="es-MX" w:eastAsia="es-MX"/>
              </w:rPr>
              <w:t>ALINEACIÓN PED/PD</w:t>
            </w:r>
          </w:p>
        </w:tc>
        <w:tc>
          <w:tcPr>
            <w:tcW w:w="2835" w:type="dxa"/>
            <w:tcBorders>
              <w:top w:val="single" w:sz="4" w:space="0" w:color="auto"/>
              <w:left w:val="nil"/>
              <w:bottom w:val="single" w:sz="4" w:space="0" w:color="auto"/>
              <w:right w:val="single" w:sz="4" w:space="0" w:color="auto"/>
            </w:tcBorders>
            <w:shd w:val="clear" w:color="000000" w:fill="BFBFBF"/>
            <w:vAlign w:val="center"/>
            <w:hideMark/>
          </w:tcPr>
          <w:p w14:paraId="586D021D" w14:textId="77777777" w:rsidR="00E23746" w:rsidRPr="0021025C" w:rsidRDefault="00E23746" w:rsidP="000B2F10">
            <w:pPr>
              <w:spacing w:after="0" w:line="240" w:lineRule="auto"/>
              <w:jc w:val="center"/>
              <w:rPr>
                <w:rFonts w:eastAsia="Times New Roman" w:cs="Arial"/>
                <w:b/>
                <w:bCs/>
                <w:sz w:val="20"/>
                <w:szCs w:val="20"/>
                <w:lang w:val="es-MX" w:eastAsia="es-MX"/>
              </w:rPr>
            </w:pPr>
            <w:r w:rsidRPr="0021025C">
              <w:rPr>
                <w:rFonts w:eastAsia="Times New Roman" w:cs="Arial"/>
                <w:b/>
                <w:bCs/>
                <w:sz w:val="20"/>
                <w:szCs w:val="20"/>
                <w:lang w:val="es-MX" w:eastAsia="es-MX"/>
              </w:rPr>
              <w:t>OBJETIVO</w:t>
            </w:r>
          </w:p>
        </w:tc>
        <w:tc>
          <w:tcPr>
            <w:tcW w:w="2268" w:type="dxa"/>
            <w:tcBorders>
              <w:top w:val="single" w:sz="4" w:space="0" w:color="auto"/>
              <w:left w:val="nil"/>
              <w:bottom w:val="single" w:sz="4" w:space="0" w:color="auto"/>
              <w:right w:val="single" w:sz="4" w:space="0" w:color="auto"/>
            </w:tcBorders>
            <w:shd w:val="clear" w:color="000000" w:fill="BFBFBF"/>
            <w:vAlign w:val="center"/>
            <w:hideMark/>
          </w:tcPr>
          <w:p w14:paraId="68F7034D" w14:textId="77777777" w:rsidR="00E23746" w:rsidRPr="0021025C" w:rsidRDefault="00E23746" w:rsidP="000B2F10">
            <w:pPr>
              <w:spacing w:after="0" w:line="240" w:lineRule="auto"/>
              <w:jc w:val="center"/>
              <w:rPr>
                <w:rFonts w:eastAsia="Times New Roman" w:cs="Arial"/>
                <w:b/>
                <w:bCs/>
                <w:sz w:val="20"/>
                <w:szCs w:val="20"/>
                <w:lang w:val="es-MX" w:eastAsia="es-MX"/>
              </w:rPr>
            </w:pPr>
            <w:r w:rsidRPr="0021025C">
              <w:rPr>
                <w:rFonts w:eastAsia="Times New Roman" w:cs="Arial"/>
                <w:b/>
                <w:bCs/>
                <w:sz w:val="20"/>
                <w:szCs w:val="20"/>
                <w:lang w:val="es-MX" w:eastAsia="es-MX"/>
              </w:rPr>
              <w:t>INDICADOR</w:t>
            </w:r>
          </w:p>
        </w:tc>
        <w:tc>
          <w:tcPr>
            <w:tcW w:w="2835" w:type="dxa"/>
            <w:tcBorders>
              <w:top w:val="single" w:sz="4" w:space="0" w:color="auto"/>
              <w:left w:val="nil"/>
              <w:bottom w:val="single" w:sz="4" w:space="0" w:color="auto"/>
              <w:right w:val="single" w:sz="4" w:space="0" w:color="auto"/>
            </w:tcBorders>
            <w:shd w:val="clear" w:color="000000" w:fill="BFBFBF"/>
            <w:vAlign w:val="center"/>
            <w:hideMark/>
          </w:tcPr>
          <w:p w14:paraId="674688F9" w14:textId="77777777" w:rsidR="00E23746" w:rsidRPr="0021025C" w:rsidRDefault="00E23746" w:rsidP="000B2F10">
            <w:pPr>
              <w:spacing w:after="0" w:line="240" w:lineRule="auto"/>
              <w:jc w:val="center"/>
              <w:rPr>
                <w:rFonts w:eastAsia="Times New Roman" w:cs="Arial"/>
                <w:b/>
                <w:bCs/>
                <w:sz w:val="20"/>
                <w:szCs w:val="20"/>
                <w:lang w:val="es-MX" w:eastAsia="es-MX"/>
              </w:rPr>
            </w:pPr>
            <w:r w:rsidRPr="0021025C">
              <w:rPr>
                <w:rFonts w:eastAsia="Times New Roman" w:cs="Arial"/>
                <w:b/>
                <w:bCs/>
                <w:sz w:val="20"/>
                <w:szCs w:val="20"/>
                <w:lang w:val="es-MX" w:eastAsia="es-MX"/>
              </w:rPr>
              <w:t>MEDIOS DE VERIFICACIÓN</w:t>
            </w:r>
          </w:p>
        </w:tc>
        <w:tc>
          <w:tcPr>
            <w:tcW w:w="1985" w:type="dxa"/>
            <w:tcBorders>
              <w:top w:val="single" w:sz="4" w:space="0" w:color="auto"/>
              <w:left w:val="nil"/>
              <w:bottom w:val="single" w:sz="4" w:space="0" w:color="auto"/>
              <w:right w:val="single" w:sz="4" w:space="0" w:color="auto"/>
            </w:tcBorders>
            <w:shd w:val="clear" w:color="000000" w:fill="BFBFBF"/>
            <w:vAlign w:val="center"/>
            <w:hideMark/>
          </w:tcPr>
          <w:p w14:paraId="180196CB" w14:textId="77777777" w:rsidR="00E23746" w:rsidRPr="0021025C" w:rsidRDefault="00E23746" w:rsidP="000B2F10">
            <w:pPr>
              <w:spacing w:after="0" w:line="240" w:lineRule="auto"/>
              <w:jc w:val="center"/>
              <w:rPr>
                <w:rFonts w:eastAsia="Times New Roman" w:cs="Arial"/>
                <w:b/>
                <w:bCs/>
                <w:sz w:val="20"/>
                <w:szCs w:val="20"/>
                <w:lang w:val="es-MX" w:eastAsia="es-MX"/>
              </w:rPr>
            </w:pPr>
            <w:r w:rsidRPr="0021025C">
              <w:rPr>
                <w:rFonts w:eastAsia="Times New Roman" w:cs="Arial"/>
                <w:b/>
                <w:bCs/>
                <w:sz w:val="20"/>
                <w:szCs w:val="20"/>
                <w:lang w:val="es-MX" w:eastAsia="es-MX"/>
              </w:rPr>
              <w:t>SUPUESTO</w:t>
            </w:r>
          </w:p>
        </w:tc>
      </w:tr>
      <w:tr w:rsidR="00E23746" w:rsidRPr="0021025C" w14:paraId="123F5C0F" w14:textId="77777777" w:rsidTr="005A15E8">
        <w:trPr>
          <w:trHeight w:val="1598"/>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14:paraId="534757FC" w14:textId="77777777" w:rsidR="00E23746" w:rsidRPr="0021025C" w:rsidRDefault="00E23746" w:rsidP="000B2F10">
            <w:pPr>
              <w:spacing w:after="0" w:line="240" w:lineRule="auto"/>
              <w:jc w:val="center"/>
              <w:rPr>
                <w:rFonts w:eastAsia="Times New Roman" w:cs="Arial"/>
                <w:b/>
                <w:bCs/>
                <w:sz w:val="20"/>
                <w:szCs w:val="20"/>
                <w:lang w:val="es-MX" w:eastAsia="es-MX"/>
              </w:rPr>
            </w:pPr>
            <w:r w:rsidRPr="0021025C">
              <w:rPr>
                <w:rFonts w:eastAsia="Times New Roman" w:cs="Arial"/>
                <w:b/>
                <w:bCs/>
                <w:sz w:val="20"/>
                <w:szCs w:val="20"/>
                <w:lang w:val="es-MX" w:eastAsia="es-MX"/>
              </w:rPr>
              <w:t>Actividad</w:t>
            </w:r>
          </w:p>
        </w:tc>
        <w:tc>
          <w:tcPr>
            <w:tcW w:w="2693" w:type="dxa"/>
            <w:tcBorders>
              <w:top w:val="single" w:sz="4" w:space="0" w:color="auto"/>
              <w:left w:val="nil"/>
              <w:bottom w:val="single" w:sz="4" w:space="0" w:color="auto"/>
              <w:right w:val="single" w:sz="4" w:space="0" w:color="auto"/>
            </w:tcBorders>
            <w:shd w:val="clear" w:color="auto" w:fill="auto"/>
            <w:hideMark/>
          </w:tcPr>
          <w:p w14:paraId="7307433F" w14:textId="77777777" w:rsidR="00E23746" w:rsidRPr="0021025C" w:rsidRDefault="00E23746" w:rsidP="000B2F10">
            <w:pPr>
              <w:spacing w:after="0" w:line="240" w:lineRule="auto"/>
              <w:rPr>
                <w:rFonts w:eastAsia="Times New Roman" w:cs="Arial"/>
                <w:sz w:val="20"/>
                <w:szCs w:val="20"/>
                <w:lang w:val="es-MX" w:eastAsia="es-MX"/>
              </w:rPr>
            </w:pPr>
            <w:r w:rsidRPr="0021025C">
              <w:rPr>
                <w:rFonts w:eastAsia="Times New Roman" w:cs="Arial"/>
                <w:sz w:val="20"/>
                <w:szCs w:val="20"/>
                <w:lang w:val="es-MX" w:eastAsia="es-MX"/>
              </w:rPr>
              <w:t>Impulsar la participación de los padres de familia en la formación integral de los alumnos.</w:t>
            </w:r>
          </w:p>
        </w:tc>
        <w:tc>
          <w:tcPr>
            <w:tcW w:w="2835" w:type="dxa"/>
            <w:tcBorders>
              <w:top w:val="single" w:sz="4" w:space="0" w:color="auto"/>
              <w:left w:val="nil"/>
              <w:bottom w:val="single" w:sz="4" w:space="0" w:color="auto"/>
              <w:right w:val="single" w:sz="4" w:space="0" w:color="auto"/>
            </w:tcBorders>
            <w:shd w:val="clear" w:color="auto" w:fill="auto"/>
            <w:hideMark/>
          </w:tcPr>
          <w:p w14:paraId="78ABCCE2" w14:textId="77777777" w:rsidR="00E23746" w:rsidRPr="0021025C" w:rsidRDefault="00E23746" w:rsidP="000B2F10">
            <w:pPr>
              <w:spacing w:after="0" w:line="240" w:lineRule="auto"/>
              <w:rPr>
                <w:rFonts w:eastAsia="Times New Roman" w:cs="Arial"/>
                <w:sz w:val="20"/>
                <w:szCs w:val="20"/>
                <w:lang w:val="es-MX" w:eastAsia="es-MX"/>
              </w:rPr>
            </w:pPr>
            <w:r w:rsidRPr="0021025C">
              <w:rPr>
                <w:rFonts w:eastAsia="Times New Roman" w:cs="Arial"/>
                <w:sz w:val="20"/>
                <w:szCs w:val="20"/>
                <w:lang w:val="es-MX" w:eastAsia="es-MX"/>
              </w:rPr>
              <w:t>C03.A02 - Vinculación de los Padres y madres de familia en las actividades escolares de sus hijos/as</w:t>
            </w:r>
          </w:p>
        </w:tc>
        <w:tc>
          <w:tcPr>
            <w:tcW w:w="2268" w:type="dxa"/>
            <w:tcBorders>
              <w:top w:val="single" w:sz="4" w:space="0" w:color="auto"/>
              <w:left w:val="nil"/>
              <w:bottom w:val="single" w:sz="4" w:space="0" w:color="auto"/>
              <w:right w:val="single" w:sz="4" w:space="0" w:color="auto"/>
            </w:tcBorders>
            <w:shd w:val="clear" w:color="auto" w:fill="auto"/>
            <w:hideMark/>
          </w:tcPr>
          <w:p w14:paraId="71DFE3D3" w14:textId="77777777" w:rsidR="00E23746" w:rsidRPr="0021025C" w:rsidRDefault="00E23746" w:rsidP="000B2F10">
            <w:pPr>
              <w:spacing w:after="0" w:line="240" w:lineRule="auto"/>
              <w:rPr>
                <w:rFonts w:eastAsia="Times New Roman" w:cs="Arial"/>
                <w:sz w:val="20"/>
                <w:szCs w:val="20"/>
                <w:lang w:val="es-MX" w:eastAsia="es-MX"/>
              </w:rPr>
            </w:pPr>
            <w:r w:rsidRPr="0021025C">
              <w:rPr>
                <w:rFonts w:eastAsia="Times New Roman" w:cs="Arial"/>
                <w:sz w:val="20"/>
                <w:szCs w:val="20"/>
                <w:lang w:val="es-MX" w:eastAsia="es-MX"/>
              </w:rPr>
              <w:t xml:space="preserve"> C03A02 - Porcentaje de padres y madres de familia que asisten a las reuniones convocadas por el centro educativo.</w:t>
            </w:r>
          </w:p>
        </w:tc>
        <w:tc>
          <w:tcPr>
            <w:tcW w:w="2835" w:type="dxa"/>
            <w:tcBorders>
              <w:top w:val="single" w:sz="4" w:space="0" w:color="auto"/>
              <w:left w:val="nil"/>
              <w:bottom w:val="single" w:sz="4" w:space="0" w:color="auto"/>
              <w:right w:val="single" w:sz="4" w:space="0" w:color="auto"/>
            </w:tcBorders>
            <w:shd w:val="clear" w:color="auto" w:fill="auto"/>
            <w:hideMark/>
          </w:tcPr>
          <w:p w14:paraId="3533FAE2" w14:textId="77777777" w:rsidR="00E23746" w:rsidRPr="0021025C" w:rsidRDefault="00E23746" w:rsidP="000B2F10">
            <w:pPr>
              <w:spacing w:after="0" w:line="240" w:lineRule="auto"/>
              <w:rPr>
                <w:rFonts w:eastAsia="Times New Roman" w:cs="Arial"/>
                <w:sz w:val="20"/>
                <w:szCs w:val="20"/>
                <w:lang w:val="es-MX" w:eastAsia="es-MX"/>
              </w:rPr>
            </w:pPr>
            <w:r w:rsidRPr="0021025C">
              <w:rPr>
                <w:rFonts w:eastAsia="Times New Roman" w:cs="Arial"/>
                <w:sz w:val="20"/>
                <w:szCs w:val="20"/>
                <w:lang w:val="es-MX" w:eastAsia="es-MX"/>
              </w:rPr>
              <w:t>Reportes de asistencia de Padres y Madres de Familia a las actividades convocadas. http://www.cobaqroo.edu.mx/paginaweb2019/dirplaneacion.php</w:t>
            </w:r>
          </w:p>
        </w:tc>
        <w:tc>
          <w:tcPr>
            <w:tcW w:w="1985" w:type="dxa"/>
            <w:tcBorders>
              <w:top w:val="single" w:sz="4" w:space="0" w:color="auto"/>
              <w:left w:val="nil"/>
              <w:bottom w:val="single" w:sz="4" w:space="0" w:color="auto"/>
              <w:right w:val="single" w:sz="4" w:space="0" w:color="auto"/>
            </w:tcBorders>
            <w:shd w:val="clear" w:color="auto" w:fill="auto"/>
            <w:hideMark/>
          </w:tcPr>
          <w:p w14:paraId="262C72DD" w14:textId="77777777" w:rsidR="00E23746" w:rsidRPr="0021025C" w:rsidRDefault="00E23746" w:rsidP="000B2F10">
            <w:pPr>
              <w:spacing w:after="0" w:line="240" w:lineRule="auto"/>
              <w:rPr>
                <w:rFonts w:eastAsia="Times New Roman" w:cs="Arial"/>
                <w:sz w:val="20"/>
                <w:szCs w:val="20"/>
                <w:lang w:val="es-MX" w:eastAsia="es-MX"/>
              </w:rPr>
            </w:pPr>
            <w:r w:rsidRPr="0021025C">
              <w:rPr>
                <w:rFonts w:eastAsia="Times New Roman" w:cs="Arial"/>
                <w:sz w:val="20"/>
                <w:szCs w:val="20"/>
                <w:lang w:val="es-MX" w:eastAsia="es-MX"/>
              </w:rPr>
              <w:t>Los padres y madres de familia participan en las actividades escolares de sus hijos/as</w:t>
            </w:r>
          </w:p>
        </w:tc>
      </w:tr>
      <w:tr w:rsidR="00E23746" w:rsidRPr="0021025C" w14:paraId="58756342" w14:textId="77777777" w:rsidTr="005A15E8">
        <w:trPr>
          <w:trHeight w:val="1508"/>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14:paraId="23BB61C6" w14:textId="77777777" w:rsidR="00E23746" w:rsidRPr="0021025C" w:rsidRDefault="00E23746" w:rsidP="000B2F10">
            <w:pPr>
              <w:spacing w:after="0" w:line="240" w:lineRule="auto"/>
              <w:jc w:val="center"/>
              <w:rPr>
                <w:rFonts w:eastAsia="Times New Roman" w:cs="Arial"/>
                <w:b/>
                <w:bCs/>
                <w:sz w:val="20"/>
                <w:szCs w:val="20"/>
                <w:lang w:val="es-MX" w:eastAsia="es-MX"/>
              </w:rPr>
            </w:pPr>
            <w:r w:rsidRPr="0021025C">
              <w:rPr>
                <w:rFonts w:eastAsia="Times New Roman" w:cs="Arial"/>
                <w:b/>
                <w:bCs/>
                <w:sz w:val="20"/>
                <w:szCs w:val="20"/>
                <w:lang w:val="es-MX" w:eastAsia="es-MX"/>
              </w:rPr>
              <w:t>Actividad</w:t>
            </w:r>
          </w:p>
        </w:tc>
        <w:tc>
          <w:tcPr>
            <w:tcW w:w="2693" w:type="dxa"/>
            <w:tcBorders>
              <w:top w:val="single" w:sz="4" w:space="0" w:color="auto"/>
              <w:left w:val="nil"/>
              <w:bottom w:val="single" w:sz="4" w:space="0" w:color="auto"/>
              <w:right w:val="single" w:sz="4" w:space="0" w:color="auto"/>
            </w:tcBorders>
            <w:shd w:val="clear" w:color="auto" w:fill="auto"/>
            <w:hideMark/>
          </w:tcPr>
          <w:p w14:paraId="66A2B6DA" w14:textId="77777777" w:rsidR="00E23746" w:rsidRPr="0021025C" w:rsidRDefault="00E23746" w:rsidP="000B2F10">
            <w:pPr>
              <w:spacing w:after="0" w:line="240" w:lineRule="auto"/>
              <w:rPr>
                <w:rFonts w:eastAsia="Times New Roman" w:cs="Arial"/>
                <w:sz w:val="20"/>
                <w:szCs w:val="20"/>
                <w:lang w:val="es-MX" w:eastAsia="es-MX"/>
              </w:rPr>
            </w:pPr>
            <w:r w:rsidRPr="0021025C">
              <w:rPr>
                <w:rFonts w:eastAsia="Times New Roman" w:cs="Arial"/>
                <w:sz w:val="20"/>
                <w:szCs w:val="20"/>
                <w:lang w:val="es-MX" w:eastAsia="es-MX"/>
              </w:rPr>
              <w:t>Implementar un programa de Seguridad Escolar para el fortalecimiento de valores, la tolerancia y la promoción de la paz social en las escuelas de nivel medio superior.</w:t>
            </w:r>
          </w:p>
        </w:tc>
        <w:tc>
          <w:tcPr>
            <w:tcW w:w="2835" w:type="dxa"/>
            <w:tcBorders>
              <w:top w:val="single" w:sz="4" w:space="0" w:color="auto"/>
              <w:left w:val="nil"/>
              <w:bottom w:val="single" w:sz="4" w:space="0" w:color="auto"/>
              <w:right w:val="single" w:sz="4" w:space="0" w:color="auto"/>
            </w:tcBorders>
            <w:shd w:val="clear" w:color="auto" w:fill="auto"/>
            <w:hideMark/>
          </w:tcPr>
          <w:p w14:paraId="0B4DC5CE" w14:textId="77777777" w:rsidR="00E23746" w:rsidRPr="0021025C" w:rsidRDefault="00E23746" w:rsidP="000B2F10">
            <w:pPr>
              <w:spacing w:after="0" w:line="240" w:lineRule="auto"/>
              <w:rPr>
                <w:rFonts w:eastAsia="Times New Roman" w:cs="Arial"/>
                <w:sz w:val="20"/>
                <w:szCs w:val="20"/>
                <w:lang w:val="es-MX" w:eastAsia="es-MX"/>
              </w:rPr>
            </w:pPr>
            <w:r w:rsidRPr="0021025C">
              <w:rPr>
                <w:rFonts w:eastAsia="Times New Roman" w:cs="Arial"/>
                <w:sz w:val="20"/>
                <w:szCs w:val="20"/>
                <w:lang w:val="es-MX" w:eastAsia="es-MX"/>
              </w:rPr>
              <w:t>C03.A03 - Implementación de acciones en materia de seguridad escolar.</w:t>
            </w:r>
          </w:p>
        </w:tc>
        <w:tc>
          <w:tcPr>
            <w:tcW w:w="2268" w:type="dxa"/>
            <w:tcBorders>
              <w:top w:val="single" w:sz="4" w:space="0" w:color="auto"/>
              <w:left w:val="nil"/>
              <w:bottom w:val="single" w:sz="4" w:space="0" w:color="auto"/>
              <w:right w:val="single" w:sz="4" w:space="0" w:color="auto"/>
            </w:tcBorders>
            <w:shd w:val="clear" w:color="auto" w:fill="auto"/>
            <w:hideMark/>
          </w:tcPr>
          <w:p w14:paraId="41AA25EF" w14:textId="77777777" w:rsidR="00E23746" w:rsidRPr="0021025C" w:rsidRDefault="00E23746" w:rsidP="000B2F10">
            <w:pPr>
              <w:spacing w:after="0" w:line="240" w:lineRule="auto"/>
              <w:rPr>
                <w:rFonts w:eastAsia="Times New Roman" w:cs="Arial"/>
                <w:sz w:val="20"/>
                <w:szCs w:val="20"/>
                <w:lang w:val="es-MX" w:eastAsia="es-MX"/>
              </w:rPr>
            </w:pPr>
            <w:r w:rsidRPr="0021025C">
              <w:rPr>
                <w:rFonts w:eastAsia="Times New Roman" w:cs="Arial"/>
                <w:sz w:val="20"/>
                <w:szCs w:val="20"/>
                <w:lang w:val="es-MX" w:eastAsia="es-MX"/>
              </w:rPr>
              <w:t xml:space="preserve"> C03A03 - Porcentaje de centros educativos con riesgo bajo en seguridad escolar.</w:t>
            </w:r>
          </w:p>
        </w:tc>
        <w:tc>
          <w:tcPr>
            <w:tcW w:w="2835" w:type="dxa"/>
            <w:tcBorders>
              <w:top w:val="single" w:sz="4" w:space="0" w:color="auto"/>
              <w:left w:val="nil"/>
              <w:bottom w:val="single" w:sz="4" w:space="0" w:color="auto"/>
              <w:right w:val="single" w:sz="4" w:space="0" w:color="auto"/>
            </w:tcBorders>
            <w:shd w:val="clear" w:color="auto" w:fill="auto"/>
            <w:hideMark/>
          </w:tcPr>
          <w:p w14:paraId="377E2135" w14:textId="77777777" w:rsidR="00E23746" w:rsidRPr="0021025C" w:rsidRDefault="00E23746" w:rsidP="000B2F10">
            <w:pPr>
              <w:spacing w:after="0" w:line="240" w:lineRule="auto"/>
              <w:rPr>
                <w:rFonts w:eastAsia="Times New Roman" w:cs="Arial"/>
                <w:sz w:val="20"/>
                <w:szCs w:val="20"/>
                <w:lang w:val="es-MX" w:eastAsia="es-MX"/>
              </w:rPr>
            </w:pPr>
            <w:r w:rsidRPr="0021025C">
              <w:rPr>
                <w:rFonts w:eastAsia="Times New Roman" w:cs="Arial"/>
                <w:sz w:val="20"/>
                <w:szCs w:val="20"/>
                <w:lang w:val="es-MX" w:eastAsia="es-MX"/>
              </w:rPr>
              <w:t>Reportes de centros educativos respecto al riesgo en seguridad escolar. http://www.cobaqroo.edu.mx/paginaweb2019/dirplaneacion.php</w:t>
            </w:r>
          </w:p>
        </w:tc>
        <w:tc>
          <w:tcPr>
            <w:tcW w:w="1985" w:type="dxa"/>
            <w:tcBorders>
              <w:top w:val="single" w:sz="4" w:space="0" w:color="auto"/>
              <w:left w:val="nil"/>
              <w:bottom w:val="single" w:sz="4" w:space="0" w:color="auto"/>
              <w:right w:val="single" w:sz="4" w:space="0" w:color="auto"/>
            </w:tcBorders>
            <w:shd w:val="clear" w:color="auto" w:fill="auto"/>
            <w:hideMark/>
          </w:tcPr>
          <w:p w14:paraId="7CCCD0DB" w14:textId="77777777" w:rsidR="00E23746" w:rsidRPr="0021025C" w:rsidRDefault="00E23746" w:rsidP="000B2F10">
            <w:pPr>
              <w:spacing w:after="0" w:line="240" w:lineRule="auto"/>
              <w:rPr>
                <w:rFonts w:eastAsia="Times New Roman" w:cs="Arial"/>
                <w:sz w:val="20"/>
                <w:szCs w:val="20"/>
                <w:lang w:val="es-MX" w:eastAsia="es-MX"/>
              </w:rPr>
            </w:pPr>
            <w:r w:rsidRPr="0021025C">
              <w:rPr>
                <w:rFonts w:eastAsia="Times New Roman" w:cs="Arial"/>
                <w:sz w:val="20"/>
                <w:szCs w:val="20"/>
                <w:lang w:val="es-MX" w:eastAsia="es-MX"/>
              </w:rPr>
              <w:t>El alumnado participa en las actividades de seguridad escolar.</w:t>
            </w:r>
          </w:p>
        </w:tc>
      </w:tr>
    </w:tbl>
    <w:p w14:paraId="2A6DC500" w14:textId="77777777" w:rsidR="00E23746" w:rsidRDefault="00E23746" w:rsidP="00E23746">
      <w:pPr>
        <w:rPr>
          <w:rFonts w:eastAsia="Calibri" w:cs="Arial"/>
          <w:bCs/>
          <w:color w:val="595959" w:themeColor="text1" w:themeTint="A6"/>
          <w:sz w:val="18"/>
          <w:szCs w:val="20"/>
        </w:rPr>
      </w:pPr>
      <w:r w:rsidRPr="0093279A">
        <w:rPr>
          <w:rFonts w:eastAsia="Calibri" w:cs="Arial"/>
          <w:bCs/>
          <w:color w:val="595959" w:themeColor="text1" w:themeTint="A6"/>
          <w:sz w:val="18"/>
          <w:szCs w:val="20"/>
        </w:rPr>
        <w:t>El anexo aquí presentado es perfectible, y se encuentra susceptible de modificaciones programáticas toda vez que así se le indique por observaciones de auditorías, evaluaciones al desempeño y revisiones de la Secretaría de Finanzas y Planeación antes y durante el ejercicio fiscal del que se trate, así como también, cuando las condiciones del Ente Público responsable de dicha información programática requiera hacer modificaciones a sus necesidades institucionales, atendiendo a lo establecido en los Lineamientos para la Creación, Modificación y Cancelación de Programas Presupuestarios y para la Modificación de Metas del Gobierno del Estado de Quintana Roo.</w:t>
      </w:r>
    </w:p>
    <w:p w14:paraId="498D81E4" w14:textId="77777777" w:rsidR="00E23746" w:rsidRDefault="00E23746" w:rsidP="00E23746">
      <w:pPr>
        <w:rPr>
          <w:lang w:val="es-MX" w:eastAsia="en-US"/>
        </w:rPr>
      </w:pPr>
      <w:r>
        <w:rPr>
          <w:lang w:val="es-MX" w:eastAsia="en-US"/>
        </w:rPr>
        <w:br w:type="page"/>
      </w:r>
    </w:p>
    <w:tbl>
      <w:tblPr>
        <w:tblW w:w="14128" w:type="dxa"/>
        <w:tblLayout w:type="fixed"/>
        <w:tblCellMar>
          <w:left w:w="70" w:type="dxa"/>
          <w:right w:w="70" w:type="dxa"/>
        </w:tblCellMar>
        <w:tblLook w:val="04A0" w:firstRow="1" w:lastRow="0" w:firstColumn="1" w:lastColumn="0" w:noHBand="0" w:noVBand="1"/>
      </w:tblPr>
      <w:tblGrid>
        <w:gridCol w:w="1271"/>
        <w:gridCol w:w="2928"/>
        <w:gridCol w:w="6"/>
        <w:gridCol w:w="2829"/>
        <w:gridCol w:w="2268"/>
        <w:gridCol w:w="2835"/>
        <w:gridCol w:w="1985"/>
        <w:gridCol w:w="6"/>
      </w:tblGrid>
      <w:tr w:rsidR="00E23746" w:rsidRPr="00063F96" w14:paraId="3BDC14C9" w14:textId="77777777" w:rsidTr="000B2F10">
        <w:trPr>
          <w:trHeight w:val="698"/>
        </w:trPr>
        <w:tc>
          <w:tcPr>
            <w:tcW w:w="4205" w:type="dxa"/>
            <w:gridSpan w:val="3"/>
            <w:tcBorders>
              <w:top w:val="single" w:sz="4" w:space="0" w:color="auto"/>
              <w:left w:val="single" w:sz="4" w:space="0" w:color="auto"/>
              <w:bottom w:val="single" w:sz="4" w:space="0" w:color="auto"/>
              <w:right w:val="single" w:sz="4" w:space="0" w:color="000000"/>
            </w:tcBorders>
            <w:shd w:val="clear" w:color="000000" w:fill="BFBFBF"/>
            <w:vAlign w:val="center"/>
            <w:hideMark/>
          </w:tcPr>
          <w:p w14:paraId="54BCD2D5" w14:textId="77777777" w:rsidR="00E23746" w:rsidRPr="00063F96" w:rsidRDefault="00E23746" w:rsidP="000B2F10">
            <w:pPr>
              <w:spacing w:after="0" w:line="240" w:lineRule="auto"/>
              <w:jc w:val="center"/>
              <w:rPr>
                <w:rFonts w:eastAsia="Times New Roman" w:cs="Arial"/>
                <w:b/>
                <w:bCs/>
                <w:sz w:val="20"/>
                <w:szCs w:val="20"/>
                <w:lang w:val="es-MX" w:eastAsia="es-MX"/>
              </w:rPr>
            </w:pPr>
            <w:r w:rsidRPr="00063F96">
              <w:rPr>
                <w:rFonts w:eastAsia="Times New Roman" w:cs="Arial"/>
                <w:b/>
                <w:bCs/>
                <w:sz w:val="20"/>
                <w:szCs w:val="20"/>
                <w:lang w:val="es-MX" w:eastAsia="es-MX"/>
              </w:rPr>
              <w:lastRenderedPageBreak/>
              <w:t>PROGRAMA PRESUPUESTARIO:</w:t>
            </w:r>
          </w:p>
        </w:tc>
        <w:tc>
          <w:tcPr>
            <w:tcW w:w="9923" w:type="dxa"/>
            <w:gridSpan w:val="5"/>
            <w:tcBorders>
              <w:top w:val="single" w:sz="4" w:space="0" w:color="auto"/>
              <w:left w:val="nil"/>
              <w:bottom w:val="single" w:sz="4" w:space="0" w:color="auto"/>
              <w:right w:val="single" w:sz="4" w:space="0" w:color="auto"/>
            </w:tcBorders>
            <w:shd w:val="clear" w:color="auto" w:fill="auto"/>
            <w:vAlign w:val="center"/>
            <w:hideMark/>
          </w:tcPr>
          <w:p w14:paraId="6AF10866" w14:textId="77777777" w:rsidR="00E23746" w:rsidRPr="00063F96" w:rsidRDefault="00E23746" w:rsidP="000B2F10">
            <w:pPr>
              <w:spacing w:after="0" w:line="240" w:lineRule="auto"/>
              <w:jc w:val="left"/>
              <w:rPr>
                <w:rFonts w:eastAsia="Times New Roman" w:cs="Arial"/>
                <w:sz w:val="20"/>
                <w:szCs w:val="20"/>
                <w:lang w:val="es-MX" w:eastAsia="es-MX"/>
              </w:rPr>
            </w:pPr>
            <w:r w:rsidRPr="00063F96">
              <w:rPr>
                <w:rFonts w:eastAsia="Times New Roman" w:cs="Arial"/>
                <w:sz w:val="20"/>
                <w:szCs w:val="20"/>
                <w:lang w:val="es-MX" w:eastAsia="es-MX"/>
              </w:rPr>
              <w:t>Educación Media Superior</w:t>
            </w:r>
          </w:p>
        </w:tc>
      </w:tr>
      <w:tr w:rsidR="00E23746" w:rsidRPr="00063F96" w14:paraId="425B1EBB" w14:textId="77777777" w:rsidTr="000B2F10">
        <w:trPr>
          <w:trHeight w:val="735"/>
        </w:trPr>
        <w:tc>
          <w:tcPr>
            <w:tcW w:w="4205" w:type="dxa"/>
            <w:gridSpan w:val="3"/>
            <w:tcBorders>
              <w:top w:val="single" w:sz="4" w:space="0" w:color="auto"/>
              <w:left w:val="single" w:sz="4" w:space="0" w:color="auto"/>
              <w:bottom w:val="single" w:sz="4" w:space="0" w:color="auto"/>
              <w:right w:val="single" w:sz="4" w:space="0" w:color="000000"/>
            </w:tcBorders>
            <w:shd w:val="clear" w:color="000000" w:fill="BFBFBF"/>
            <w:vAlign w:val="center"/>
            <w:hideMark/>
          </w:tcPr>
          <w:p w14:paraId="051633DF" w14:textId="77777777" w:rsidR="00E23746" w:rsidRPr="00063F96" w:rsidRDefault="00E23746" w:rsidP="000B2F10">
            <w:pPr>
              <w:spacing w:after="0" w:line="240" w:lineRule="auto"/>
              <w:jc w:val="center"/>
              <w:rPr>
                <w:rFonts w:eastAsia="Times New Roman" w:cs="Arial"/>
                <w:b/>
                <w:bCs/>
                <w:sz w:val="20"/>
                <w:szCs w:val="20"/>
                <w:lang w:val="es-MX" w:eastAsia="es-MX"/>
              </w:rPr>
            </w:pPr>
            <w:r w:rsidRPr="00063F96">
              <w:rPr>
                <w:rFonts w:eastAsia="Times New Roman" w:cs="Arial"/>
                <w:b/>
                <w:bCs/>
                <w:sz w:val="20"/>
                <w:szCs w:val="20"/>
                <w:lang w:val="es-MX" w:eastAsia="es-MX"/>
              </w:rPr>
              <w:t>INSTITUCIÓN:</w:t>
            </w:r>
          </w:p>
        </w:tc>
        <w:tc>
          <w:tcPr>
            <w:tcW w:w="9923" w:type="dxa"/>
            <w:gridSpan w:val="5"/>
            <w:tcBorders>
              <w:top w:val="single" w:sz="4" w:space="0" w:color="auto"/>
              <w:left w:val="nil"/>
              <w:bottom w:val="single" w:sz="4" w:space="0" w:color="auto"/>
              <w:right w:val="single" w:sz="4" w:space="0" w:color="auto"/>
            </w:tcBorders>
            <w:shd w:val="clear" w:color="auto" w:fill="auto"/>
            <w:vAlign w:val="center"/>
            <w:hideMark/>
          </w:tcPr>
          <w:p w14:paraId="3FD0A51D" w14:textId="77777777" w:rsidR="00E23746" w:rsidRPr="00063F96" w:rsidRDefault="00E23746" w:rsidP="000B2F10">
            <w:pPr>
              <w:spacing w:after="0" w:line="240" w:lineRule="auto"/>
              <w:jc w:val="left"/>
              <w:rPr>
                <w:rFonts w:eastAsia="Times New Roman" w:cs="Arial"/>
                <w:sz w:val="20"/>
                <w:szCs w:val="20"/>
                <w:lang w:val="es-MX" w:eastAsia="es-MX"/>
              </w:rPr>
            </w:pPr>
            <w:r w:rsidRPr="00063F96">
              <w:rPr>
                <w:rFonts w:eastAsia="Times New Roman" w:cs="Arial"/>
                <w:sz w:val="20"/>
                <w:szCs w:val="20"/>
                <w:lang w:val="es-MX" w:eastAsia="es-MX"/>
              </w:rPr>
              <w:t>Colegio de Educación Profesional Técnica del Estado de Quintana Roo</w:t>
            </w:r>
          </w:p>
        </w:tc>
      </w:tr>
      <w:tr w:rsidR="00E23746" w:rsidRPr="00063F96" w14:paraId="4D88D30C" w14:textId="77777777" w:rsidTr="000B2F10">
        <w:trPr>
          <w:gridAfter w:val="1"/>
          <w:wAfter w:w="6" w:type="dxa"/>
          <w:trHeight w:val="282"/>
        </w:trPr>
        <w:tc>
          <w:tcPr>
            <w:tcW w:w="1271" w:type="dxa"/>
            <w:tcBorders>
              <w:top w:val="nil"/>
              <w:left w:val="nil"/>
              <w:bottom w:val="nil"/>
              <w:right w:val="nil"/>
            </w:tcBorders>
            <w:shd w:val="clear" w:color="auto" w:fill="auto"/>
            <w:vAlign w:val="center"/>
            <w:hideMark/>
          </w:tcPr>
          <w:p w14:paraId="3CB6B391" w14:textId="77777777" w:rsidR="00E23746" w:rsidRPr="00063F96" w:rsidRDefault="00E23746" w:rsidP="000B2F10">
            <w:pPr>
              <w:spacing w:after="0" w:line="240" w:lineRule="auto"/>
              <w:jc w:val="left"/>
              <w:rPr>
                <w:rFonts w:eastAsia="Times New Roman" w:cs="Arial"/>
                <w:sz w:val="20"/>
                <w:szCs w:val="20"/>
                <w:lang w:val="es-MX" w:eastAsia="es-MX"/>
              </w:rPr>
            </w:pPr>
          </w:p>
        </w:tc>
        <w:tc>
          <w:tcPr>
            <w:tcW w:w="2928" w:type="dxa"/>
            <w:tcBorders>
              <w:top w:val="nil"/>
              <w:left w:val="nil"/>
              <w:bottom w:val="nil"/>
              <w:right w:val="nil"/>
            </w:tcBorders>
            <w:shd w:val="clear" w:color="auto" w:fill="auto"/>
            <w:hideMark/>
          </w:tcPr>
          <w:p w14:paraId="48138E07" w14:textId="77777777" w:rsidR="00E23746" w:rsidRPr="00063F96" w:rsidRDefault="00E23746" w:rsidP="000B2F10">
            <w:pPr>
              <w:spacing w:after="0" w:line="240" w:lineRule="auto"/>
              <w:jc w:val="left"/>
              <w:rPr>
                <w:rFonts w:ascii="Times New Roman" w:eastAsia="Times New Roman" w:hAnsi="Times New Roman" w:cs="Times New Roman"/>
                <w:sz w:val="20"/>
                <w:szCs w:val="20"/>
                <w:lang w:val="es-MX" w:eastAsia="es-MX"/>
              </w:rPr>
            </w:pPr>
          </w:p>
        </w:tc>
        <w:tc>
          <w:tcPr>
            <w:tcW w:w="2835" w:type="dxa"/>
            <w:gridSpan w:val="2"/>
            <w:tcBorders>
              <w:top w:val="nil"/>
              <w:left w:val="nil"/>
              <w:bottom w:val="nil"/>
              <w:right w:val="nil"/>
            </w:tcBorders>
            <w:shd w:val="clear" w:color="auto" w:fill="auto"/>
            <w:hideMark/>
          </w:tcPr>
          <w:p w14:paraId="313C7FE8" w14:textId="77777777" w:rsidR="00E23746" w:rsidRPr="00063F96" w:rsidRDefault="00E23746" w:rsidP="000B2F10">
            <w:pPr>
              <w:spacing w:after="0" w:line="240" w:lineRule="auto"/>
              <w:jc w:val="left"/>
              <w:rPr>
                <w:rFonts w:ascii="Times New Roman" w:eastAsia="Times New Roman" w:hAnsi="Times New Roman" w:cs="Times New Roman"/>
                <w:sz w:val="20"/>
                <w:szCs w:val="20"/>
                <w:lang w:val="es-MX" w:eastAsia="es-MX"/>
              </w:rPr>
            </w:pPr>
          </w:p>
        </w:tc>
        <w:tc>
          <w:tcPr>
            <w:tcW w:w="2268" w:type="dxa"/>
            <w:tcBorders>
              <w:top w:val="nil"/>
              <w:left w:val="nil"/>
              <w:bottom w:val="nil"/>
              <w:right w:val="nil"/>
            </w:tcBorders>
            <w:shd w:val="clear" w:color="auto" w:fill="auto"/>
            <w:hideMark/>
          </w:tcPr>
          <w:p w14:paraId="7903A731" w14:textId="77777777" w:rsidR="00E23746" w:rsidRPr="00063F96" w:rsidRDefault="00E23746" w:rsidP="000B2F10">
            <w:pPr>
              <w:spacing w:after="0" w:line="240" w:lineRule="auto"/>
              <w:jc w:val="left"/>
              <w:rPr>
                <w:rFonts w:ascii="Times New Roman" w:eastAsia="Times New Roman" w:hAnsi="Times New Roman" w:cs="Times New Roman"/>
                <w:sz w:val="20"/>
                <w:szCs w:val="20"/>
                <w:lang w:val="es-MX" w:eastAsia="es-MX"/>
              </w:rPr>
            </w:pPr>
          </w:p>
        </w:tc>
        <w:tc>
          <w:tcPr>
            <w:tcW w:w="2835" w:type="dxa"/>
            <w:tcBorders>
              <w:top w:val="nil"/>
              <w:left w:val="nil"/>
              <w:bottom w:val="nil"/>
              <w:right w:val="nil"/>
            </w:tcBorders>
            <w:shd w:val="clear" w:color="auto" w:fill="auto"/>
            <w:hideMark/>
          </w:tcPr>
          <w:p w14:paraId="1C3200AF" w14:textId="77777777" w:rsidR="00E23746" w:rsidRPr="00063F96" w:rsidRDefault="00E23746" w:rsidP="000B2F10">
            <w:pPr>
              <w:spacing w:after="0" w:line="240" w:lineRule="auto"/>
              <w:jc w:val="left"/>
              <w:rPr>
                <w:rFonts w:ascii="Times New Roman" w:eastAsia="Times New Roman" w:hAnsi="Times New Roman" w:cs="Times New Roman"/>
                <w:sz w:val="20"/>
                <w:szCs w:val="20"/>
                <w:lang w:val="es-MX" w:eastAsia="es-MX"/>
              </w:rPr>
            </w:pPr>
          </w:p>
        </w:tc>
        <w:tc>
          <w:tcPr>
            <w:tcW w:w="1985" w:type="dxa"/>
            <w:tcBorders>
              <w:top w:val="nil"/>
              <w:left w:val="nil"/>
              <w:bottom w:val="nil"/>
              <w:right w:val="nil"/>
            </w:tcBorders>
            <w:shd w:val="clear" w:color="auto" w:fill="auto"/>
            <w:hideMark/>
          </w:tcPr>
          <w:p w14:paraId="4550F30B" w14:textId="77777777" w:rsidR="00E23746" w:rsidRPr="00063F96" w:rsidRDefault="00E23746" w:rsidP="000B2F10">
            <w:pPr>
              <w:spacing w:after="0" w:line="240" w:lineRule="auto"/>
              <w:jc w:val="left"/>
              <w:rPr>
                <w:rFonts w:ascii="Times New Roman" w:eastAsia="Times New Roman" w:hAnsi="Times New Roman" w:cs="Times New Roman"/>
                <w:sz w:val="20"/>
                <w:szCs w:val="20"/>
                <w:lang w:val="es-MX" w:eastAsia="es-MX"/>
              </w:rPr>
            </w:pPr>
          </w:p>
        </w:tc>
      </w:tr>
      <w:tr w:rsidR="00E23746" w:rsidRPr="00063F96" w14:paraId="6F841513" w14:textId="77777777" w:rsidTr="000B2F10">
        <w:trPr>
          <w:trHeight w:val="375"/>
        </w:trPr>
        <w:tc>
          <w:tcPr>
            <w:tcW w:w="14128" w:type="dxa"/>
            <w:gridSpan w:val="8"/>
            <w:tcBorders>
              <w:top w:val="single" w:sz="4" w:space="0" w:color="auto"/>
              <w:left w:val="single" w:sz="4" w:space="0" w:color="auto"/>
              <w:bottom w:val="single" w:sz="4" w:space="0" w:color="auto"/>
              <w:right w:val="single" w:sz="4" w:space="0" w:color="000000"/>
            </w:tcBorders>
            <w:shd w:val="clear" w:color="000000" w:fill="BFBFBF"/>
            <w:vAlign w:val="center"/>
            <w:hideMark/>
          </w:tcPr>
          <w:p w14:paraId="15155C56" w14:textId="77777777" w:rsidR="00E23746" w:rsidRPr="00063F96" w:rsidRDefault="00E23746" w:rsidP="000B2F10">
            <w:pPr>
              <w:spacing w:after="0" w:line="240" w:lineRule="auto"/>
              <w:jc w:val="center"/>
              <w:rPr>
                <w:rFonts w:eastAsia="Times New Roman" w:cs="Arial"/>
                <w:b/>
                <w:bCs/>
                <w:sz w:val="20"/>
                <w:szCs w:val="20"/>
                <w:lang w:val="es-MX" w:eastAsia="es-MX"/>
              </w:rPr>
            </w:pPr>
            <w:r w:rsidRPr="00063F96">
              <w:rPr>
                <w:rFonts w:eastAsia="Times New Roman" w:cs="Arial"/>
                <w:b/>
                <w:bCs/>
                <w:sz w:val="20"/>
                <w:szCs w:val="20"/>
                <w:lang w:val="es-MX" w:eastAsia="es-MX"/>
              </w:rPr>
              <w:t>MATRIZ DE INDICADORES PARA RESULTADOS (MIR)</w:t>
            </w:r>
          </w:p>
        </w:tc>
      </w:tr>
      <w:tr w:rsidR="00E23746" w:rsidRPr="00063F96" w14:paraId="6D72F789" w14:textId="77777777" w:rsidTr="006B434D">
        <w:trPr>
          <w:gridAfter w:val="1"/>
          <w:wAfter w:w="6" w:type="dxa"/>
          <w:trHeight w:val="552"/>
        </w:trPr>
        <w:tc>
          <w:tcPr>
            <w:tcW w:w="1271" w:type="dxa"/>
            <w:tcBorders>
              <w:top w:val="nil"/>
              <w:left w:val="single" w:sz="4" w:space="0" w:color="auto"/>
              <w:bottom w:val="single" w:sz="4" w:space="0" w:color="auto"/>
              <w:right w:val="single" w:sz="4" w:space="0" w:color="auto"/>
            </w:tcBorders>
            <w:shd w:val="clear" w:color="000000" w:fill="BFBFBF"/>
            <w:vAlign w:val="center"/>
            <w:hideMark/>
          </w:tcPr>
          <w:p w14:paraId="39295ED5" w14:textId="77777777" w:rsidR="00E23746" w:rsidRPr="00063F96" w:rsidRDefault="00E23746" w:rsidP="000B2F10">
            <w:pPr>
              <w:spacing w:after="0" w:line="240" w:lineRule="auto"/>
              <w:jc w:val="center"/>
              <w:rPr>
                <w:rFonts w:eastAsia="Times New Roman" w:cs="Arial"/>
                <w:b/>
                <w:bCs/>
                <w:sz w:val="20"/>
                <w:szCs w:val="20"/>
                <w:lang w:val="es-MX" w:eastAsia="es-MX"/>
              </w:rPr>
            </w:pPr>
            <w:r w:rsidRPr="00063F96">
              <w:rPr>
                <w:rFonts w:eastAsia="Times New Roman" w:cs="Arial"/>
                <w:b/>
                <w:bCs/>
                <w:sz w:val="20"/>
                <w:szCs w:val="20"/>
                <w:lang w:val="es-MX" w:eastAsia="es-MX"/>
              </w:rPr>
              <w:t>NIVEL</w:t>
            </w:r>
          </w:p>
        </w:tc>
        <w:tc>
          <w:tcPr>
            <w:tcW w:w="2928" w:type="dxa"/>
            <w:tcBorders>
              <w:top w:val="nil"/>
              <w:left w:val="nil"/>
              <w:bottom w:val="single" w:sz="4" w:space="0" w:color="auto"/>
              <w:right w:val="single" w:sz="4" w:space="0" w:color="auto"/>
            </w:tcBorders>
            <w:shd w:val="clear" w:color="000000" w:fill="BFBFBF"/>
            <w:vAlign w:val="center"/>
            <w:hideMark/>
          </w:tcPr>
          <w:p w14:paraId="0327DEA2" w14:textId="77777777" w:rsidR="00E23746" w:rsidRPr="00063F96" w:rsidRDefault="00E23746" w:rsidP="000B2F10">
            <w:pPr>
              <w:spacing w:after="0" w:line="240" w:lineRule="auto"/>
              <w:jc w:val="center"/>
              <w:rPr>
                <w:rFonts w:eastAsia="Times New Roman" w:cs="Arial"/>
                <w:b/>
                <w:bCs/>
                <w:sz w:val="20"/>
                <w:szCs w:val="20"/>
                <w:lang w:val="es-MX" w:eastAsia="es-MX"/>
              </w:rPr>
            </w:pPr>
            <w:r w:rsidRPr="00063F96">
              <w:rPr>
                <w:rFonts w:eastAsia="Times New Roman" w:cs="Arial"/>
                <w:b/>
                <w:bCs/>
                <w:sz w:val="20"/>
                <w:szCs w:val="20"/>
                <w:lang w:val="es-MX" w:eastAsia="es-MX"/>
              </w:rPr>
              <w:t>ALINEACIÓN PED/PD</w:t>
            </w:r>
          </w:p>
        </w:tc>
        <w:tc>
          <w:tcPr>
            <w:tcW w:w="2835" w:type="dxa"/>
            <w:gridSpan w:val="2"/>
            <w:tcBorders>
              <w:top w:val="nil"/>
              <w:left w:val="nil"/>
              <w:bottom w:val="single" w:sz="4" w:space="0" w:color="auto"/>
              <w:right w:val="single" w:sz="4" w:space="0" w:color="auto"/>
            </w:tcBorders>
            <w:shd w:val="clear" w:color="000000" w:fill="BFBFBF"/>
            <w:vAlign w:val="center"/>
            <w:hideMark/>
          </w:tcPr>
          <w:p w14:paraId="2B94AABE" w14:textId="77777777" w:rsidR="00E23746" w:rsidRPr="00063F96" w:rsidRDefault="00E23746" w:rsidP="000B2F10">
            <w:pPr>
              <w:spacing w:after="0" w:line="240" w:lineRule="auto"/>
              <w:jc w:val="center"/>
              <w:rPr>
                <w:rFonts w:eastAsia="Times New Roman" w:cs="Arial"/>
                <w:b/>
                <w:bCs/>
                <w:sz w:val="20"/>
                <w:szCs w:val="20"/>
                <w:lang w:val="es-MX" w:eastAsia="es-MX"/>
              </w:rPr>
            </w:pPr>
            <w:r w:rsidRPr="00063F96">
              <w:rPr>
                <w:rFonts w:eastAsia="Times New Roman" w:cs="Arial"/>
                <w:b/>
                <w:bCs/>
                <w:sz w:val="20"/>
                <w:szCs w:val="20"/>
                <w:lang w:val="es-MX" w:eastAsia="es-MX"/>
              </w:rPr>
              <w:t>OBJETIVO</w:t>
            </w:r>
          </w:p>
        </w:tc>
        <w:tc>
          <w:tcPr>
            <w:tcW w:w="2268" w:type="dxa"/>
            <w:tcBorders>
              <w:top w:val="nil"/>
              <w:left w:val="nil"/>
              <w:bottom w:val="single" w:sz="4" w:space="0" w:color="auto"/>
              <w:right w:val="single" w:sz="4" w:space="0" w:color="auto"/>
            </w:tcBorders>
            <w:shd w:val="clear" w:color="000000" w:fill="BFBFBF"/>
            <w:vAlign w:val="center"/>
            <w:hideMark/>
          </w:tcPr>
          <w:p w14:paraId="01671638" w14:textId="77777777" w:rsidR="00E23746" w:rsidRPr="00063F96" w:rsidRDefault="00E23746" w:rsidP="000B2F10">
            <w:pPr>
              <w:spacing w:after="0" w:line="240" w:lineRule="auto"/>
              <w:jc w:val="center"/>
              <w:rPr>
                <w:rFonts w:eastAsia="Times New Roman" w:cs="Arial"/>
                <w:b/>
                <w:bCs/>
                <w:sz w:val="20"/>
                <w:szCs w:val="20"/>
                <w:lang w:val="es-MX" w:eastAsia="es-MX"/>
              </w:rPr>
            </w:pPr>
            <w:r w:rsidRPr="00063F96">
              <w:rPr>
                <w:rFonts w:eastAsia="Times New Roman" w:cs="Arial"/>
                <w:b/>
                <w:bCs/>
                <w:sz w:val="20"/>
                <w:szCs w:val="20"/>
                <w:lang w:val="es-MX" w:eastAsia="es-MX"/>
              </w:rPr>
              <w:t>INDICADOR</w:t>
            </w:r>
          </w:p>
        </w:tc>
        <w:tc>
          <w:tcPr>
            <w:tcW w:w="2835" w:type="dxa"/>
            <w:tcBorders>
              <w:top w:val="nil"/>
              <w:left w:val="nil"/>
              <w:bottom w:val="single" w:sz="4" w:space="0" w:color="auto"/>
              <w:right w:val="single" w:sz="4" w:space="0" w:color="auto"/>
            </w:tcBorders>
            <w:shd w:val="clear" w:color="000000" w:fill="BFBFBF"/>
            <w:vAlign w:val="center"/>
            <w:hideMark/>
          </w:tcPr>
          <w:p w14:paraId="6ACC08A1" w14:textId="77777777" w:rsidR="00E23746" w:rsidRPr="00063F96" w:rsidRDefault="00E23746" w:rsidP="000B2F10">
            <w:pPr>
              <w:spacing w:after="0" w:line="240" w:lineRule="auto"/>
              <w:jc w:val="center"/>
              <w:rPr>
                <w:rFonts w:eastAsia="Times New Roman" w:cs="Arial"/>
                <w:b/>
                <w:bCs/>
                <w:sz w:val="20"/>
                <w:szCs w:val="20"/>
                <w:lang w:val="es-MX" w:eastAsia="es-MX"/>
              </w:rPr>
            </w:pPr>
            <w:r w:rsidRPr="00063F96">
              <w:rPr>
                <w:rFonts w:eastAsia="Times New Roman" w:cs="Arial"/>
                <w:b/>
                <w:bCs/>
                <w:sz w:val="20"/>
                <w:szCs w:val="20"/>
                <w:lang w:val="es-MX" w:eastAsia="es-MX"/>
              </w:rPr>
              <w:t>MEDIOS DE VERIFICACIÓN</w:t>
            </w:r>
          </w:p>
        </w:tc>
        <w:tc>
          <w:tcPr>
            <w:tcW w:w="1985" w:type="dxa"/>
            <w:tcBorders>
              <w:top w:val="nil"/>
              <w:left w:val="nil"/>
              <w:bottom w:val="single" w:sz="4" w:space="0" w:color="auto"/>
              <w:right w:val="single" w:sz="4" w:space="0" w:color="auto"/>
            </w:tcBorders>
            <w:shd w:val="clear" w:color="000000" w:fill="BFBFBF"/>
            <w:vAlign w:val="center"/>
            <w:hideMark/>
          </w:tcPr>
          <w:p w14:paraId="307401BA" w14:textId="77777777" w:rsidR="00E23746" w:rsidRPr="00063F96" w:rsidRDefault="00E23746" w:rsidP="000B2F10">
            <w:pPr>
              <w:spacing w:after="0" w:line="240" w:lineRule="auto"/>
              <w:jc w:val="center"/>
              <w:rPr>
                <w:rFonts w:eastAsia="Times New Roman" w:cs="Arial"/>
                <w:b/>
                <w:bCs/>
                <w:sz w:val="20"/>
                <w:szCs w:val="20"/>
                <w:lang w:val="es-MX" w:eastAsia="es-MX"/>
              </w:rPr>
            </w:pPr>
            <w:r w:rsidRPr="00063F96">
              <w:rPr>
                <w:rFonts w:eastAsia="Times New Roman" w:cs="Arial"/>
                <w:b/>
                <w:bCs/>
                <w:sz w:val="20"/>
                <w:szCs w:val="20"/>
                <w:lang w:val="es-MX" w:eastAsia="es-MX"/>
              </w:rPr>
              <w:t>SUPUESTO</w:t>
            </w:r>
          </w:p>
        </w:tc>
      </w:tr>
      <w:tr w:rsidR="00E23746" w:rsidRPr="00063F96" w14:paraId="5267E6C7" w14:textId="77777777" w:rsidTr="006B434D">
        <w:trPr>
          <w:gridAfter w:val="1"/>
          <w:wAfter w:w="6" w:type="dxa"/>
          <w:trHeight w:val="2300"/>
        </w:trPr>
        <w:tc>
          <w:tcPr>
            <w:tcW w:w="1271" w:type="dxa"/>
            <w:tcBorders>
              <w:top w:val="single" w:sz="4" w:space="0" w:color="auto"/>
              <w:left w:val="single" w:sz="4" w:space="0" w:color="auto"/>
              <w:bottom w:val="single" w:sz="4" w:space="0" w:color="auto"/>
              <w:right w:val="single" w:sz="4" w:space="0" w:color="auto"/>
            </w:tcBorders>
            <w:shd w:val="clear" w:color="auto" w:fill="auto"/>
            <w:hideMark/>
          </w:tcPr>
          <w:p w14:paraId="6E8F4119" w14:textId="77777777" w:rsidR="00E23746" w:rsidRPr="00063F96" w:rsidRDefault="00E23746" w:rsidP="000B2F10">
            <w:pPr>
              <w:spacing w:after="0" w:line="240" w:lineRule="auto"/>
              <w:jc w:val="center"/>
              <w:rPr>
                <w:rFonts w:eastAsia="Times New Roman" w:cs="Arial"/>
                <w:b/>
                <w:bCs/>
                <w:sz w:val="20"/>
                <w:szCs w:val="20"/>
                <w:lang w:val="es-MX" w:eastAsia="es-MX"/>
              </w:rPr>
            </w:pPr>
            <w:r w:rsidRPr="00063F96">
              <w:rPr>
                <w:rFonts w:eastAsia="Times New Roman" w:cs="Arial"/>
                <w:b/>
                <w:bCs/>
                <w:sz w:val="20"/>
                <w:szCs w:val="20"/>
                <w:lang w:val="es-MX" w:eastAsia="es-MX"/>
              </w:rPr>
              <w:t>Fin</w:t>
            </w:r>
          </w:p>
        </w:tc>
        <w:tc>
          <w:tcPr>
            <w:tcW w:w="2928" w:type="dxa"/>
            <w:tcBorders>
              <w:top w:val="single" w:sz="4" w:space="0" w:color="auto"/>
              <w:left w:val="single" w:sz="4" w:space="0" w:color="auto"/>
              <w:bottom w:val="single" w:sz="4" w:space="0" w:color="auto"/>
              <w:right w:val="single" w:sz="4" w:space="0" w:color="auto"/>
            </w:tcBorders>
            <w:shd w:val="clear" w:color="auto" w:fill="auto"/>
            <w:hideMark/>
          </w:tcPr>
          <w:p w14:paraId="08C13F84" w14:textId="77777777" w:rsidR="00E23746" w:rsidRPr="00063F96" w:rsidRDefault="00E23746" w:rsidP="000B2F10">
            <w:pPr>
              <w:spacing w:after="0" w:line="240" w:lineRule="auto"/>
              <w:rPr>
                <w:rFonts w:eastAsia="Times New Roman" w:cs="Arial"/>
                <w:sz w:val="20"/>
                <w:szCs w:val="20"/>
                <w:lang w:val="es-MX" w:eastAsia="es-MX"/>
              </w:rPr>
            </w:pPr>
            <w:r w:rsidRPr="00063F96">
              <w:rPr>
                <w:rFonts w:eastAsia="Times New Roman" w:cs="Arial"/>
                <w:sz w:val="20"/>
                <w:szCs w:val="20"/>
                <w:lang w:val="es-MX" w:eastAsia="es-MX"/>
              </w:rPr>
              <w:t>Garantizar el acceso y permanencia a una educación inclusiva y de calidad en todos los niveles educativos que promueva en los educandos aprendizajes para la vida.</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hideMark/>
          </w:tcPr>
          <w:p w14:paraId="78AE5FED" w14:textId="77777777" w:rsidR="00E23746" w:rsidRPr="00063F96" w:rsidRDefault="00E23746" w:rsidP="000B2F10">
            <w:pPr>
              <w:spacing w:after="0" w:line="240" w:lineRule="auto"/>
              <w:rPr>
                <w:rFonts w:eastAsia="Times New Roman" w:cs="Arial"/>
                <w:sz w:val="20"/>
                <w:szCs w:val="20"/>
                <w:lang w:val="es-MX" w:eastAsia="es-MX"/>
              </w:rPr>
            </w:pPr>
            <w:r w:rsidRPr="00063F96">
              <w:rPr>
                <w:rFonts w:eastAsia="Times New Roman" w:cs="Arial"/>
                <w:sz w:val="20"/>
                <w:szCs w:val="20"/>
                <w:lang w:val="es-MX" w:eastAsia="es-MX"/>
              </w:rPr>
              <w:t xml:space="preserve">F - Contribuir a garantizar el acceso y permanencia a una educación inclusiva y de calidad en todos los niveles educativos que promueva en los educandos aprendizajes para la vida mediante estrategias de atención a la demanda y permanencia en todos los niveles educativos. </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54A2F10C" w14:textId="77777777" w:rsidR="00E23746" w:rsidRPr="00063F96" w:rsidRDefault="00E23746" w:rsidP="000B2F10">
            <w:pPr>
              <w:spacing w:after="0" w:line="240" w:lineRule="auto"/>
              <w:rPr>
                <w:rFonts w:eastAsia="Times New Roman" w:cs="Arial"/>
                <w:sz w:val="20"/>
                <w:szCs w:val="20"/>
                <w:lang w:val="es-MX" w:eastAsia="es-MX"/>
              </w:rPr>
            </w:pPr>
            <w:r w:rsidRPr="00063F96">
              <w:rPr>
                <w:rFonts w:eastAsia="Times New Roman" w:cs="Arial"/>
                <w:sz w:val="20"/>
                <w:szCs w:val="20"/>
                <w:lang w:val="es-MX" w:eastAsia="es-MX"/>
              </w:rPr>
              <w:t>Tasa de cobertura estatal de educación media superior.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A062D35" w14:textId="77777777" w:rsidR="00E23746" w:rsidRDefault="00E23746" w:rsidP="000B2F10">
            <w:pPr>
              <w:spacing w:after="0" w:line="240" w:lineRule="auto"/>
              <w:rPr>
                <w:rFonts w:eastAsia="Times New Roman" w:cs="Arial"/>
                <w:sz w:val="20"/>
                <w:szCs w:val="20"/>
                <w:lang w:val="es-MX" w:eastAsia="es-MX"/>
              </w:rPr>
            </w:pPr>
            <w:r w:rsidRPr="0021025C">
              <w:rPr>
                <w:rFonts w:eastAsia="Times New Roman" w:cs="Arial"/>
                <w:sz w:val="20"/>
                <w:szCs w:val="20"/>
                <w:lang w:val="es-MX" w:eastAsia="es-MX"/>
              </w:rPr>
              <w:t xml:space="preserve">Estadísticas continúas del formato 911, matrícula de inicio de ciclo escolar, SEQ. Proyecciones de población por edad desplegada, entidad federativa (Quintana Roo) 1970-2050, CONAPO, </w:t>
            </w:r>
            <w:hyperlink r:id="rId67" w:history="1">
              <w:r w:rsidRPr="003135B9">
                <w:rPr>
                  <w:rStyle w:val="Hipervnculo"/>
                  <w:rFonts w:eastAsia="Times New Roman" w:cs="Arial"/>
                  <w:sz w:val="20"/>
                  <w:szCs w:val="20"/>
                  <w:lang w:val="es-MX" w:eastAsia="es-MX"/>
                </w:rPr>
                <w:t>https://qroo.gob.mx/seq/medios-de-verificacion-de-la-planeacion-anual</w:t>
              </w:r>
            </w:hyperlink>
            <w:r>
              <w:rPr>
                <w:rFonts w:eastAsia="Times New Roman" w:cs="Arial"/>
                <w:sz w:val="20"/>
                <w:szCs w:val="20"/>
                <w:lang w:val="es-MX" w:eastAsia="es-MX"/>
              </w:rPr>
              <w:t>.</w:t>
            </w:r>
          </w:p>
          <w:p w14:paraId="2A01078C" w14:textId="77777777" w:rsidR="00E23746" w:rsidRDefault="00E23746" w:rsidP="000B2F10">
            <w:pPr>
              <w:spacing w:after="0" w:line="240" w:lineRule="auto"/>
              <w:rPr>
                <w:rFonts w:eastAsia="Times New Roman" w:cs="Arial"/>
                <w:sz w:val="20"/>
                <w:szCs w:val="20"/>
                <w:lang w:val="es-MX" w:eastAsia="es-MX"/>
              </w:rPr>
            </w:pPr>
          </w:p>
          <w:p w14:paraId="048B4FAB" w14:textId="77777777" w:rsidR="00E23746" w:rsidRDefault="00E23746" w:rsidP="000B2F10">
            <w:pPr>
              <w:spacing w:after="0" w:line="240" w:lineRule="auto"/>
              <w:rPr>
                <w:rFonts w:eastAsia="Times New Roman" w:cs="Arial"/>
                <w:sz w:val="20"/>
                <w:szCs w:val="20"/>
                <w:lang w:val="es-MX" w:eastAsia="es-MX"/>
              </w:rPr>
            </w:pPr>
          </w:p>
          <w:p w14:paraId="6F7C035F" w14:textId="77777777" w:rsidR="00E23746" w:rsidRPr="00063F96" w:rsidRDefault="00E23746" w:rsidP="000B2F10">
            <w:pPr>
              <w:spacing w:after="0" w:line="240" w:lineRule="auto"/>
              <w:rPr>
                <w:rFonts w:eastAsia="Times New Roman" w:cs="Arial"/>
                <w:sz w:val="20"/>
                <w:szCs w:val="20"/>
                <w:lang w:val="es-MX" w:eastAsia="es-MX"/>
              </w:rPr>
            </w:pP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039A52D2" w14:textId="77777777" w:rsidR="00E23746" w:rsidRPr="00063F96" w:rsidRDefault="00E23746" w:rsidP="000B2F10">
            <w:pPr>
              <w:spacing w:after="0" w:line="240" w:lineRule="auto"/>
              <w:rPr>
                <w:rFonts w:eastAsia="Times New Roman" w:cs="Arial"/>
                <w:sz w:val="20"/>
                <w:szCs w:val="20"/>
                <w:lang w:val="es-MX" w:eastAsia="es-MX"/>
              </w:rPr>
            </w:pPr>
            <w:r>
              <w:rPr>
                <w:rFonts w:cs="Arial"/>
                <w:sz w:val="20"/>
                <w:szCs w:val="20"/>
              </w:rPr>
              <w:t>La población del Estado obtiene una educación integral de calidad que les permite progresar individual y colectivamente.</w:t>
            </w:r>
          </w:p>
        </w:tc>
      </w:tr>
      <w:tr w:rsidR="00E23746" w:rsidRPr="00063F96" w14:paraId="65C07007" w14:textId="77777777" w:rsidTr="006B434D">
        <w:trPr>
          <w:gridAfter w:val="1"/>
          <w:wAfter w:w="6" w:type="dxa"/>
          <w:trHeight w:val="1598"/>
        </w:trPr>
        <w:tc>
          <w:tcPr>
            <w:tcW w:w="1271" w:type="dxa"/>
            <w:tcBorders>
              <w:top w:val="single" w:sz="4" w:space="0" w:color="auto"/>
              <w:left w:val="single" w:sz="4" w:space="0" w:color="auto"/>
              <w:bottom w:val="single" w:sz="4" w:space="0" w:color="auto"/>
              <w:right w:val="single" w:sz="4" w:space="0" w:color="auto"/>
            </w:tcBorders>
            <w:shd w:val="clear" w:color="auto" w:fill="auto"/>
            <w:hideMark/>
          </w:tcPr>
          <w:p w14:paraId="770D4BBD" w14:textId="77777777" w:rsidR="00E23746" w:rsidRPr="00063F96" w:rsidRDefault="00E23746" w:rsidP="000B2F10">
            <w:pPr>
              <w:spacing w:after="0" w:line="240" w:lineRule="auto"/>
              <w:jc w:val="center"/>
              <w:rPr>
                <w:rFonts w:eastAsia="Times New Roman" w:cs="Arial"/>
                <w:b/>
                <w:bCs/>
                <w:sz w:val="20"/>
                <w:szCs w:val="20"/>
                <w:lang w:val="es-MX" w:eastAsia="es-MX"/>
              </w:rPr>
            </w:pPr>
            <w:r w:rsidRPr="00063F96">
              <w:rPr>
                <w:rFonts w:eastAsia="Times New Roman" w:cs="Arial"/>
                <w:b/>
                <w:bCs/>
                <w:sz w:val="20"/>
                <w:szCs w:val="20"/>
                <w:lang w:val="es-MX" w:eastAsia="es-MX"/>
              </w:rPr>
              <w:t>Propósito</w:t>
            </w:r>
          </w:p>
        </w:tc>
        <w:tc>
          <w:tcPr>
            <w:tcW w:w="2928" w:type="dxa"/>
            <w:tcBorders>
              <w:top w:val="single" w:sz="4" w:space="0" w:color="auto"/>
              <w:left w:val="nil"/>
              <w:bottom w:val="single" w:sz="4" w:space="0" w:color="auto"/>
              <w:right w:val="single" w:sz="4" w:space="0" w:color="auto"/>
            </w:tcBorders>
            <w:shd w:val="clear" w:color="auto" w:fill="auto"/>
            <w:hideMark/>
          </w:tcPr>
          <w:p w14:paraId="541F7DA2" w14:textId="77777777" w:rsidR="00E23746" w:rsidRPr="00063F96" w:rsidRDefault="00E23746" w:rsidP="000B2F10">
            <w:pPr>
              <w:spacing w:after="0" w:line="240" w:lineRule="auto"/>
              <w:rPr>
                <w:rFonts w:eastAsia="Times New Roman" w:cs="Arial"/>
                <w:sz w:val="20"/>
                <w:szCs w:val="20"/>
                <w:lang w:val="es-MX" w:eastAsia="es-MX"/>
              </w:rPr>
            </w:pPr>
            <w:r w:rsidRPr="00063F96">
              <w:rPr>
                <w:rFonts w:eastAsia="Times New Roman" w:cs="Arial"/>
                <w:sz w:val="20"/>
                <w:szCs w:val="20"/>
                <w:lang w:val="es-MX" w:eastAsia="es-MX"/>
              </w:rPr>
              <w:t>Brindar una educación media superior de calidad relevante y pertinente centrada en el mejoramiento del desempeño escolar del estudiante.</w:t>
            </w:r>
          </w:p>
        </w:tc>
        <w:tc>
          <w:tcPr>
            <w:tcW w:w="2835" w:type="dxa"/>
            <w:gridSpan w:val="2"/>
            <w:tcBorders>
              <w:top w:val="single" w:sz="4" w:space="0" w:color="auto"/>
              <w:left w:val="nil"/>
              <w:bottom w:val="single" w:sz="4" w:space="0" w:color="auto"/>
              <w:right w:val="single" w:sz="4" w:space="0" w:color="auto"/>
            </w:tcBorders>
            <w:shd w:val="clear" w:color="auto" w:fill="auto"/>
            <w:hideMark/>
          </w:tcPr>
          <w:p w14:paraId="57237FF3" w14:textId="77777777" w:rsidR="00E23746" w:rsidRPr="00063F96" w:rsidRDefault="00E23746" w:rsidP="000B2F10">
            <w:pPr>
              <w:spacing w:after="0" w:line="240" w:lineRule="auto"/>
              <w:rPr>
                <w:rFonts w:eastAsia="Times New Roman" w:cs="Arial"/>
                <w:sz w:val="20"/>
                <w:szCs w:val="20"/>
                <w:lang w:val="es-MX" w:eastAsia="es-MX"/>
              </w:rPr>
            </w:pPr>
            <w:r w:rsidRPr="00063F96">
              <w:rPr>
                <w:rFonts w:eastAsia="Times New Roman" w:cs="Arial"/>
                <w:sz w:val="20"/>
                <w:szCs w:val="20"/>
                <w:lang w:val="es-MX" w:eastAsia="es-MX"/>
              </w:rPr>
              <w:t>P - Los alumnos de educación media superior reciben una educación de calidad relevante y pertinente centrada en el mejoramiento de su desempeño escolar.</w:t>
            </w:r>
          </w:p>
        </w:tc>
        <w:tc>
          <w:tcPr>
            <w:tcW w:w="2268" w:type="dxa"/>
            <w:tcBorders>
              <w:top w:val="single" w:sz="4" w:space="0" w:color="auto"/>
              <w:left w:val="nil"/>
              <w:bottom w:val="single" w:sz="4" w:space="0" w:color="auto"/>
              <w:right w:val="single" w:sz="4" w:space="0" w:color="auto"/>
            </w:tcBorders>
            <w:shd w:val="clear" w:color="auto" w:fill="auto"/>
            <w:hideMark/>
          </w:tcPr>
          <w:p w14:paraId="07F06DCA" w14:textId="77777777" w:rsidR="00E23746" w:rsidRPr="00063F96" w:rsidRDefault="00E23746" w:rsidP="000B2F10">
            <w:pPr>
              <w:spacing w:after="0" w:line="240" w:lineRule="auto"/>
              <w:rPr>
                <w:rFonts w:eastAsia="Times New Roman" w:cs="Arial"/>
                <w:sz w:val="20"/>
                <w:szCs w:val="20"/>
                <w:lang w:val="es-MX" w:eastAsia="es-MX"/>
              </w:rPr>
            </w:pPr>
            <w:r w:rsidRPr="00063F96">
              <w:rPr>
                <w:rFonts w:eastAsia="Times New Roman" w:cs="Arial"/>
                <w:sz w:val="20"/>
                <w:szCs w:val="20"/>
                <w:lang w:val="es-MX" w:eastAsia="es-MX"/>
              </w:rPr>
              <w:t>Porcentaje de los alumnos que concluyen  el último semestre de educación media superior con un promedio mayor o igual a 8</w:t>
            </w:r>
            <w:r>
              <w:rPr>
                <w:rFonts w:eastAsia="Times New Roman" w:cs="Arial"/>
                <w:sz w:val="20"/>
                <w:szCs w:val="20"/>
                <w:lang w:val="es-MX" w:eastAsia="es-MX"/>
              </w:rPr>
              <w:t>.</w:t>
            </w:r>
          </w:p>
        </w:tc>
        <w:tc>
          <w:tcPr>
            <w:tcW w:w="2835" w:type="dxa"/>
            <w:tcBorders>
              <w:top w:val="single" w:sz="4" w:space="0" w:color="auto"/>
              <w:left w:val="nil"/>
              <w:bottom w:val="single" w:sz="4" w:space="0" w:color="auto"/>
              <w:right w:val="single" w:sz="4" w:space="0" w:color="auto"/>
            </w:tcBorders>
            <w:shd w:val="clear" w:color="auto" w:fill="auto"/>
            <w:hideMark/>
          </w:tcPr>
          <w:p w14:paraId="2DB09010" w14:textId="77777777" w:rsidR="00E23746" w:rsidRDefault="00E23746" w:rsidP="000B2F10">
            <w:pPr>
              <w:spacing w:after="0" w:line="240" w:lineRule="auto"/>
              <w:rPr>
                <w:rFonts w:eastAsia="Times New Roman" w:cs="Arial"/>
                <w:sz w:val="20"/>
                <w:szCs w:val="20"/>
                <w:lang w:val="es-MX" w:eastAsia="es-MX"/>
              </w:rPr>
            </w:pPr>
            <w:r w:rsidRPr="0021025C">
              <w:rPr>
                <w:rFonts w:eastAsia="Times New Roman" w:cs="Arial"/>
                <w:sz w:val="20"/>
                <w:szCs w:val="20"/>
                <w:lang w:val="es-MX" w:eastAsia="es-MX"/>
              </w:rPr>
              <w:t xml:space="preserve">Tabla de promedios generales del último semestre de educación media superior, Subsecretaría de Educación Media y Superior, </w:t>
            </w:r>
            <w:hyperlink r:id="rId68" w:history="1">
              <w:r w:rsidRPr="003135B9">
                <w:rPr>
                  <w:rStyle w:val="Hipervnculo"/>
                  <w:rFonts w:eastAsia="Times New Roman" w:cs="Arial"/>
                  <w:sz w:val="20"/>
                  <w:szCs w:val="20"/>
                  <w:lang w:val="es-MX" w:eastAsia="es-MX"/>
                </w:rPr>
                <w:t>https://qroo.gob.mx/seq/medios-de-verificacion-de-la-planeacion-anual</w:t>
              </w:r>
            </w:hyperlink>
            <w:r>
              <w:rPr>
                <w:rFonts w:eastAsia="Times New Roman" w:cs="Arial"/>
                <w:sz w:val="20"/>
                <w:szCs w:val="20"/>
                <w:lang w:val="es-MX" w:eastAsia="es-MX"/>
              </w:rPr>
              <w:t>.</w:t>
            </w:r>
          </w:p>
          <w:p w14:paraId="699379B2" w14:textId="77777777" w:rsidR="00E23746" w:rsidRPr="00063F96" w:rsidRDefault="00E23746" w:rsidP="000B2F10">
            <w:pPr>
              <w:spacing w:after="0" w:line="240" w:lineRule="auto"/>
              <w:rPr>
                <w:rFonts w:eastAsia="Times New Roman" w:cs="Arial"/>
                <w:sz w:val="20"/>
                <w:szCs w:val="20"/>
                <w:lang w:val="es-MX" w:eastAsia="es-MX"/>
              </w:rPr>
            </w:pPr>
          </w:p>
        </w:tc>
        <w:tc>
          <w:tcPr>
            <w:tcW w:w="1985" w:type="dxa"/>
            <w:tcBorders>
              <w:top w:val="single" w:sz="4" w:space="0" w:color="auto"/>
              <w:left w:val="nil"/>
              <w:bottom w:val="single" w:sz="4" w:space="0" w:color="auto"/>
              <w:right w:val="single" w:sz="4" w:space="0" w:color="auto"/>
            </w:tcBorders>
            <w:shd w:val="clear" w:color="auto" w:fill="auto"/>
            <w:hideMark/>
          </w:tcPr>
          <w:p w14:paraId="59B0913B" w14:textId="77777777" w:rsidR="00E23746" w:rsidRPr="00063F96" w:rsidRDefault="00E23746" w:rsidP="000B2F10">
            <w:pPr>
              <w:spacing w:after="0" w:line="240" w:lineRule="auto"/>
              <w:rPr>
                <w:rFonts w:eastAsia="Times New Roman" w:cs="Arial"/>
                <w:sz w:val="20"/>
                <w:szCs w:val="20"/>
                <w:lang w:val="es-MX" w:eastAsia="es-MX"/>
              </w:rPr>
            </w:pPr>
            <w:r w:rsidRPr="0021025C">
              <w:rPr>
                <w:rFonts w:eastAsia="Times New Roman" w:cs="Arial"/>
                <w:sz w:val="20"/>
                <w:szCs w:val="20"/>
                <w:lang w:val="es-MX" w:eastAsia="es-MX"/>
              </w:rPr>
              <w:t>Los alumnos concluyen sus estudios de nivel medio superior con una formación integral de calidad</w:t>
            </w:r>
            <w:r>
              <w:rPr>
                <w:rFonts w:eastAsia="Times New Roman" w:cs="Arial"/>
                <w:sz w:val="20"/>
                <w:szCs w:val="20"/>
                <w:lang w:val="es-MX" w:eastAsia="es-MX"/>
              </w:rPr>
              <w:t>.</w:t>
            </w:r>
          </w:p>
        </w:tc>
      </w:tr>
    </w:tbl>
    <w:p w14:paraId="62C6EA97" w14:textId="77777777" w:rsidR="00D345CB" w:rsidRDefault="00D345CB">
      <w:pPr>
        <w:spacing w:after="0" w:line="240" w:lineRule="auto"/>
        <w:jc w:val="left"/>
      </w:pPr>
      <w:r>
        <w:br w:type="page"/>
      </w:r>
    </w:p>
    <w:tbl>
      <w:tblPr>
        <w:tblW w:w="14122" w:type="dxa"/>
        <w:tblLayout w:type="fixed"/>
        <w:tblCellMar>
          <w:left w:w="70" w:type="dxa"/>
          <w:right w:w="70" w:type="dxa"/>
        </w:tblCellMar>
        <w:tblLook w:val="04A0" w:firstRow="1" w:lastRow="0" w:firstColumn="1" w:lastColumn="0" w:noHBand="0" w:noVBand="1"/>
      </w:tblPr>
      <w:tblGrid>
        <w:gridCol w:w="1413"/>
        <w:gridCol w:w="2786"/>
        <w:gridCol w:w="2835"/>
        <w:gridCol w:w="2268"/>
        <w:gridCol w:w="2835"/>
        <w:gridCol w:w="1985"/>
      </w:tblGrid>
      <w:tr w:rsidR="00E23746" w:rsidRPr="00063F96" w14:paraId="665299EC" w14:textId="77777777" w:rsidTr="005A15E8">
        <w:trPr>
          <w:trHeight w:val="552"/>
        </w:trPr>
        <w:tc>
          <w:tcPr>
            <w:tcW w:w="1413"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2296B674" w14:textId="77777777" w:rsidR="00E23746" w:rsidRPr="00063F96" w:rsidRDefault="00E23746" w:rsidP="000B2F10">
            <w:pPr>
              <w:spacing w:after="0" w:line="240" w:lineRule="auto"/>
              <w:jc w:val="center"/>
              <w:rPr>
                <w:rFonts w:eastAsia="Times New Roman" w:cs="Arial"/>
                <w:b/>
                <w:bCs/>
                <w:sz w:val="20"/>
                <w:szCs w:val="20"/>
                <w:lang w:val="es-MX" w:eastAsia="es-MX"/>
              </w:rPr>
            </w:pPr>
            <w:r w:rsidRPr="00063F96">
              <w:rPr>
                <w:rFonts w:eastAsia="Times New Roman" w:cs="Arial"/>
                <w:b/>
                <w:bCs/>
                <w:sz w:val="20"/>
                <w:szCs w:val="20"/>
                <w:lang w:val="es-MX" w:eastAsia="es-MX"/>
              </w:rPr>
              <w:lastRenderedPageBreak/>
              <w:t>NIVEL</w:t>
            </w:r>
          </w:p>
        </w:tc>
        <w:tc>
          <w:tcPr>
            <w:tcW w:w="2786" w:type="dxa"/>
            <w:tcBorders>
              <w:top w:val="single" w:sz="4" w:space="0" w:color="auto"/>
              <w:left w:val="nil"/>
              <w:bottom w:val="single" w:sz="4" w:space="0" w:color="auto"/>
              <w:right w:val="single" w:sz="4" w:space="0" w:color="auto"/>
            </w:tcBorders>
            <w:shd w:val="clear" w:color="000000" w:fill="BFBFBF"/>
            <w:vAlign w:val="center"/>
            <w:hideMark/>
          </w:tcPr>
          <w:p w14:paraId="0AE247ED" w14:textId="77777777" w:rsidR="00E23746" w:rsidRPr="00063F96" w:rsidRDefault="00E23746" w:rsidP="000B2F10">
            <w:pPr>
              <w:spacing w:after="0" w:line="240" w:lineRule="auto"/>
              <w:jc w:val="center"/>
              <w:rPr>
                <w:rFonts w:eastAsia="Times New Roman" w:cs="Arial"/>
                <w:b/>
                <w:bCs/>
                <w:sz w:val="20"/>
                <w:szCs w:val="20"/>
                <w:lang w:val="es-MX" w:eastAsia="es-MX"/>
              </w:rPr>
            </w:pPr>
            <w:r w:rsidRPr="00063F96">
              <w:rPr>
                <w:rFonts w:eastAsia="Times New Roman" w:cs="Arial"/>
                <w:b/>
                <w:bCs/>
                <w:sz w:val="20"/>
                <w:szCs w:val="20"/>
                <w:lang w:val="es-MX" w:eastAsia="es-MX"/>
              </w:rPr>
              <w:t>ALINEACIÓN PED/PD</w:t>
            </w:r>
          </w:p>
        </w:tc>
        <w:tc>
          <w:tcPr>
            <w:tcW w:w="2835" w:type="dxa"/>
            <w:tcBorders>
              <w:top w:val="single" w:sz="4" w:space="0" w:color="auto"/>
              <w:left w:val="nil"/>
              <w:bottom w:val="single" w:sz="4" w:space="0" w:color="auto"/>
              <w:right w:val="single" w:sz="4" w:space="0" w:color="auto"/>
            </w:tcBorders>
            <w:shd w:val="clear" w:color="000000" w:fill="BFBFBF"/>
            <w:vAlign w:val="center"/>
            <w:hideMark/>
          </w:tcPr>
          <w:p w14:paraId="25EE0306" w14:textId="77777777" w:rsidR="00E23746" w:rsidRPr="00063F96" w:rsidRDefault="00E23746" w:rsidP="000B2F10">
            <w:pPr>
              <w:spacing w:after="0" w:line="240" w:lineRule="auto"/>
              <w:jc w:val="center"/>
              <w:rPr>
                <w:rFonts w:eastAsia="Times New Roman" w:cs="Arial"/>
                <w:b/>
                <w:bCs/>
                <w:sz w:val="20"/>
                <w:szCs w:val="20"/>
                <w:lang w:val="es-MX" w:eastAsia="es-MX"/>
              </w:rPr>
            </w:pPr>
            <w:r w:rsidRPr="00063F96">
              <w:rPr>
                <w:rFonts w:eastAsia="Times New Roman" w:cs="Arial"/>
                <w:b/>
                <w:bCs/>
                <w:sz w:val="20"/>
                <w:szCs w:val="20"/>
                <w:lang w:val="es-MX" w:eastAsia="es-MX"/>
              </w:rPr>
              <w:t>OBJETIVO</w:t>
            </w:r>
          </w:p>
        </w:tc>
        <w:tc>
          <w:tcPr>
            <w:tcW w:w="2268" w:type="dxa"/>
            <w:tcBorders>
              <w:top w:val="single" w:sz="4" w:space="0" w:color="auto"/>
              <w:left w:val="nil"/>
              <w:bottom w:val="single" w:sz="4" w:space="0" w:color="auto"/>
              <w:right w:val="single" w:sz="4" w:space="0" w:color="auto"/>
            </w:tcBorders>
            <w:shd w:val="clear" w:color="000000" w:fill="BFBFBF"/>
            <w:vAlign w:val="center"/>
            <w:hideMark/>
          </w:tcPr>
          <w:p w14:paraId="36F6D24D" w14:textId="77777777" w:rsidR="00E23746" w:rsidRPr="00063F96" w:rsidRDefault="00E23746" w:rsidP="000B2F10">
            <w:pPr>
              <w:spacing w:after="0" w:line="240" w:lineRule="auto"/>
              <w:jc w:val="center"/>
              <w:rPr>
                <w:rFonts w:eastAsia="Times New Roman" w:cs="Arial"/>
                <w:b/>
                <w:bCs/>
                <w:sz w:val="20"/>
                <w:szCs w:val="20"/>
                <w:lang w:val="es-MX" w:eastAsia="es-MX"/>
              </w:rPr>
            </w:pPr>
            <w:r w:rsidRPr="00063F96">
              <w:rPr>
                <w:rFonts w:eastAsia="Times New Roman" w:cs="Arial"/>
                <w:b/>
                <w:bCs/>
                <w:sz w:val="20"/>
                <w:szCs w:val="20"/>
                <w:lang w:val="es-MX" w:eastAsia="es-MX"/>
              </w:rPr>
              <w:t>INDICADOR</w:t>
            </w:r>
          </w:p>
        </w:tc>
        <w:tc>
          <w:tcPr>
            <w:tcW w:w="2835" w:type="dxa"/>
            <w:tcBorders>
              <w:top w:val="single" w:sz="4" w:space="0" w:color="auto"/>
              <w:left w:val="nil"/>
              <w:bottom w:val="single" w:sz="4" w:space="0" w:color="auto"/>
              <w:right w:val="single" w:sz="4" w:space="0" w:color="auto"/>
            </w:tcBorders>
            <w:shd w:val="clear" w:color="000000" w:fill="BFBFBF"/>
            <w:vAlign w:val="center"/>
            <w:hideMark/>
          </w:tcPr>
          <w:p w14:paraId="35EE94A3" w14:textId="77777777" w:rsidR="00E23746" w:rsidRPr="00063F96" w:rsidRDefault="00E23746" w:rsidP="000B2F10">
            <w:pPr>
              <w:spacing w:after="0" w:line="240" w:lineRule="auto"/>
              <w:jc w:val="center"/>
              <w:rPr>
                <w:rFonts w:eastAsia="Times New Roman" w:cs="Arial"/>
                <w:b/>
                <w:bCs/>
                <w:sz w:val="20"/>
                <w:szCs w:val="20"/>
                <w:lang w:val="es-MX" w:eastAsia="es-MX"/>
              </w:rPr>
            </w:pPr>
            <w:r w:rsidRPr="00063F96">
              <w:rPr>
                <w:rFonts w:eastAsia="Times New Roman" w:cs="Arial"/>
                <w:b/>
                <w:bCs/>
                <w:sz w:val="20"/>
                <w:szCs w:val="20"/>
                <w:lang w:val="es-MX" w:eastAsia="es-MX"/>
              </w:rPr>
              <w:t>MEDIOS DE VERIFICACIÓN</w:t>
            </w:r>
          </w:p>
        </w:tc>
        <w:tc>
          <w:tcPr>
            <w:tcW w:w="1985" w:type="dxa"/>
            <w:tcBorders>
              <w:top w:val="single" w:sz="4" w:space="0" w:color="auto"/>
              <w:left w:val="nil"/>
              <w:bottom w:val="single" w:sz="4" w:space="0" w:color="auto"/>
              <w:right w:val="single" w:sz="4" w:space="0" w:color="auto"/>
            </w:tcBorders>
            <w:shd w:val="clear" w:color="000000" w:fill="BFBFBF"/>
            <w:vAlign w:val="center"/>
            <w:hideMark/>
          </w:tcPr>
          <w:p w14:paraId="1CC901B1" w14:textId="77777777" w:rsidR="00E23746" w:rsidRPr="00063F96" w:rsidRDefault="00E23746" w:rsidP="000B2F10">
            <w:pPr>
              <w:spacing w:after="0" w:line="240" w:lineRule="auto"/>
              <w:jc w:val="center"/>
              <w:rPr>
                <w:rFonts w:eastAsia="Times New Roman" w:cs="Arial"/>
                <w:b/>
                <w:bCs/>
                <w:sz w:val="20"/>
                <w:szCs w:val="20"/>
                <w:lang w:val="es-MX" w:eastAsia="es-MX"/>
              </w:rPr>
            </w:pPr>
            <w:r w:rsidRPr="00063F96">
              <w:rPr>
                <w:rFonts w:eastAsia="Times New Roman" w:cs="Arial"/>
                <w:b/>
                <w:bCs/>
                <w:sz w:val="20"/>
                <w:szCs w:val="20"/>
                <w:lang w:val="es-MX" w:eastAsia="es-MX"/>
              </w:rPr>
              <w:t>SUPUESTO</w:t>
            </w:r>
          </w:p>
        </w:tc>
      </w:tr>
      <w:tr w:rsidR="00E23746" w:rsidRPr="00063F96" w14:paraId="50783AAB" w14:textId="77777777" w:rsidTr="005A15E8">
        <w:trPr>
          <w:trHeight w:val="1489"/>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14:paraId="09E7DC89" w14:textId="77777777" w:rsidR="00E23746" w:rsidRPr="00063F96" w:rsidRDefault="00E23746" w:rsidP="000B2F10">
            <w:pPr>
              <w:spacing w:after="0" w:line="240" w:lineRule="auto"/>
              <w:jc w:val="center"/>
              <w:rPr>
                <w:rFonts w:eastAsia="Times New Roman" w:cs="Arial"/>
                <w:b/>
                <w:bCs/>
                <w:sz w:val="20"/>
                <w:szCs w:val="20"/>
                <w:lang w:val="es-MX" w:eastAsia="es-MX"/>
              </w:rPr>
            </w:pPr>
            <w:r w:rsidRPr="00063F96">
              <w:rPr>
                <w:rFonts w:eastAsia="Times New Roman" w:cs="Arial"/>
                <w:b/>
                <w:bCs/>
                <w:sz w:val="20"/>
                <w:szCs w:val="20"/>
                <w:lang w:val="es-MX" w:eastAsia="es-MX"/>
              </w:rPr>
              <w:t>Componente</w:t>
            </w:r>
          </w:p>
        </w:tc>
        <w:tc>
          <w:tcPr>
            <w:tcW w:w="2786" w:type="dxa"/>
            <w:tcBorders>
              <w:top w:val="single" w:sz="4" w:space="0" w:color="auto"/>
              <w:left w:val="single" w:sz="4" w:space="0" w:color="auto"/>
              <w:bottom w:val="single" w:sz="4" w:space="0" w:color="auto"/>
              <w:right w:val="single" w:sz="4" w:space="0" w:color="auto"/>
            </w:tcBorders>
            <w:shd w:val="clear" w:color="auto" w:fill="auto"/>
            <w:hideMark/>
          </w:tcPr>
          <w:p w14:paraId="1F043988" w14:textId="77777777" w:rsidR="00E23746" w:rsidRPr="00E50E5B" w:rsidRDefault="00E23746" w:rsidP="000B2F10">
            <w:pPr>
              <w:spacing w:after="0" w:line="240" w:lineRule="auto"/>
              <w:rPr>
                <w:rFonts w:eastAsia="Times New Roman" w:cs="Arial"/>
                <w:sz w:val="18"/>
                <w:szCs w:val="20"/>
                <w:lang w:val="es-MX" w:eastAsia="es-MX"/>
              </w:rPr>
            </w:pPr>
            <w:r w:rsidRPr="00E50E5B">
              <w:rPr>
                <w:rFonts w:eastAsia="Times New Roman" w:cs="Arial"/>
                <w:sz w:val="18"/>
                <w:szCs w:val="20"/>
                <w:lang w:val="es-MX" w:eastAsia="es-MX"/>
              </w:rPr>
              <w:t>Impulsar estrategias para fortalecer la comprensión de lectura, escritura y pensamiento lógico matemático y demás áreas del conocimiento en escuelas a nivel medio superior.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01FCE02" w14:textId="77777777" w:rsidR="00E23746" w:rsidRPr="00E50E5B" w:rsidRDefault="00E23746" w:rsidP="000B2F10">
            <w:pPr>
              <w:spacing w:after="0" w:line="240" w:lineRule="auto"/>
              <w:rPr>
                <w:rFonts w:eastAsia="Times New Roman" w:cs="Arial"/>
                <w:sz w:val="18"/>
                <w:szCs w:val="20"/>
                <w:lang w:val="es-MX" w:eastAsia="es-MX"/>
              </w:rPr>
            </w:pPr>
            <w:r w:rsidRPr="00E50E5B">
              <w:rPr>
                <w:rFonts w:eastAsia="Times New Roman" w:cs="Arial"/>
                <w:sz w:val="18"/>
                <w:szCs w:val="20"/>
                <w:lang w:val="es-MX" w:eastAsia="es-MX"/>
              </w:rPr>
              <w:t>C01 - Alumnos con desempeño escolar mejorado.</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5F2ECDA9" w14:textId="77777777" w:rsidR="00E23746" w:rsidRPr="00E50E5B" w:rsidRDefault="00E23746" w:rsidP="000B2F10">
            <w:pPr>
              <w:spacing w:after="0" w:line="240" w:lineRule="auto"/>
              <w:rPr>
                <w:rFonts w:eastAsia="Times New Roman" w:cs="Arial"/>
                <w:sz w:val="18"/>
                <w:szCs w:val="20"/>
                <w:lang w:val="es-MX" w:eastAsia="es-MX"/>
              </w:rPr>
            </w:pPr>
            <w:r w:rsidRPr="00E50E5B">
              <w:rPr>
                <w:rFonts w:eastAsia="Times New Roman" w:cs="Arial"/>
                <w:sz w:val="18"/>
                <w:szCs w:val="20"/>
                <w:lang w:val="es-MX" w:eastAsia="es-MX"/>
              </w:rPr>
              <w:t>C01 - Promedio de aprovechamiento.</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2194A94F" w14:textId="77777777" w:rsidR="00E23746" w:rsidRPr="00E50E5B" w:rsidRDefault="00E23746" w:rsidP="000B2F10">
            <w:pPr>
              <w:spacing w:after="0" w:line="240" w:lineRule="auto"/>
              <w:rPr>
                <w:rFonts w:eastAsia="Times New Roman" w:cs="Arial"/>
                <w:sz w:val="18"/>
                <w:szCs w:val="20"/>
                <w:lang w:val="es-MX" w:eastAsia="es-MX"/>
              </w:rPr>
            </w:pPr>
            <w:r w:rsidRPr="00E50E5B">
              <w:rPr>
                <w:rFonts w:eastAsia="Times New Roman" w:cs="Arial"/>
                <w:sz w:val="18"/>
                <w:szCs w:val="20"/>
                <w:lang w:val="es-MX" w:eastAsia="es-MX"/>
              </w:rPr>
              <w:t>Reporte semestral de calificaciones.</w:t>
            </w:r>
            <w:r w:rsidRPr="00E50E5B">
              <w:rPr>
                <w:rFonts w:eastAsia="Times New Roman" w:cs="Arial"/>
                <w:sz w:val="18"/>
                <w:szCs w:val="20"/>
                <w:lang w:val="es-MX" w:eastAsia="es-MX"/>
              </w:rPr>
              <w:br/>
              <w:t xml:space="preserve">http://transparencia.qroo.gob.mx/portaliframe/detalleRubro.php?iddep=37&amp;idrubro=6 </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5F30068D" w14:textId="77777777" w:rsidR="00E23746" w:rsidRPr="00E50E5B" w:rsidRDefault="00E23746" w:rsidP="000B2F10">
            <w:pPr>
              <w:spacing w:after="0" w:line="240" w:lineRule="auto"/>
              <w:rPr>
                <w:rFonts w:eastAsia="Times New Roman" w:cs="Arial"/>
                <w:sz w:val="18"/>
                <w:szCs w:val="20"/>
                <w:lang w:val="es-MX" w:eastAsia="es-MX"/>
              </w:rPr>
            </w:pPr>
            <w:r w:rsidRPr="00E50E5B">
              <w:rPr>
                <w:rFonts w:eastAsia="Times New Roman" w:cs="Arial"/>
                <w:sz w:val="18"/>
                <w:szCs w:val="20"/>
                <w:lang w:val="es-MX" w:eastAsia="es-MX"/>
              </w:rPr>
              <w:t>Los alumnos mejoran su promedio de aprovechamiento.</w:t>
            </w:r>
          </w:p>
        </w:tc>
      </w:tr>
      <w:tr w:rsidR="00E23746" w:rsidRPr="00063F96" w14:paraId="07DB38A7" w14:textId="77777777" w:rsidTr="005A15E8">
        <w:trPr>
          <w:trHeight w:val="1170"/>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14:paraId="2F6F9E18" w14:textId="77777777" w:rsidR="00E23746" w:rsidRPr="00063F96" w:rsidRDefault="00E23746" w:rsidP="000B2F10">
            <w:pPr>
              <w:spacing w:after="0" w:line="240" w:lineRule="auto"/>
              <w:jc w:val="center"/>
              <w:rPr>
                <w:rFonts w:eastAsia="Times New Roman" w:cs="Arial"/>
                <w:b/>
                <w:bCs/>
                <w:sz w:val="20"/>
                <w:szCs w:val="20"/>
                <w:lang w:val="es-MX" w:eastAsia="es-MX"/>
              </w:rPr>
            </w:pPr>
            <w:r w:rsidRPr="00063F96">
              <w:rPr>
                <w:rFonts w:eastAsia="Times New Roman" w:cs="Arial"/>
                <w:b/>
                <w:bCs/>
                <w:sz w:val="20"/>
                <w:szCs w:val="20"/>
                <w:lang w:val="es-MX" w:eastAsia="es-MX"/>
              </w:rPr>
              <w:t>Actividad</w:t>
            </w:r>
          </w:p>
        </w:tc>
        <w:tc>
          <w:tcPr>
            <w:tcW w:w="2786" w:type="dxa"/>
            <w:tcBorders>
              <w:top w:val="single" w:sz="4" w:space="0" w:color="auto"/>
              <w:left w:val="single" w:sz="4" w:space="0" w:color="auto"/>
              <w:bottom w:val="single" w:sz="4" w:space="0" w:color="auto"/>
              <w:right w:val="single" w:sz="4" w:space="0" w:color="auto"/>
            </w:tcBorders>
            <w:shd w:val="clear" w:color="auto" w:fill="auto"/>
            <w:hideMark/>
          </w:tcPr>
          <w:p w14:paraId="6810CEBD" w14:textId="77777777" w:rsidR="00E23746" w:rsidRPr="00E50E5B" w:rsidRDefault="00E23746" w:rsidP="000B2F10">
            <w:pPr>
              <w:spacing w:after="0" w:line="240" w:lineRule="auto"/>
              <w:rPr>
                <w:rFonts w:eastAsia="Times New Roman" w:cs="Arial"/>
                <w:sz w:val="18"/>
                <w:szCs w:val="20"/>
                <w:lang w:val="es-MX" w:eastAsia="es-MX"/>
              </w:rPr>
            </w:pPr>
            <w:r w:rsidRPr="00E50E5B">
              <w:rPr>
                <w:rFonts w:eastAsia="Times New Roman" w:cs="Arial"/>
                <w:sz w:val="18"/>
                <w:szCs w:val="20"/>
                <w:lang w:val="es-MX" w:eastAsia="es-MX"/>
              </w:rPr>
              <w:t>Impulsar acciones de atención para mejorar la formación continua y desarrollo profesional de los docentes.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7D82890" w14:textId="77777777" w:rsidR="00E23746" w:rsidRPr="00E50E5B" w:rsidRDefault="00E23746" w:rsidP="000B2F10">
            <w:pPr>
              <w:spacing w:after="0" w:line="240" w:lineRule="auto"/>
              <w:rPr>
                <w:rFonts w:eastAsia="Times New Roman" w:cs="Arial"/>
                <w:sz w:val="18"/>
                <w:szCs w:val="20"/>
                <w:lang w:val="es-MX" w:eastAsia="es-MX"/>
              </w:rPr>
            </w:pPr>
            <w:r w:rsidRPr="00E50E5B">
              <w:rPr>
                <w:rFonts w:eastAsia="Times New Roman" w:cs="Arial"/>
                <w:sz w:val="18"/>
                <w:szCs w:val="20"/>
                <w:lang w:val="es-MX" w:eastAsia="es-MX"/>
              </w:rPr>
              <w:t>C01.A01 - Capacitación a docentes.</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6A98F879" w14:textId="77777777" w:rsidR="00E23746" w:rsidRPr="00E50E5B" w:rsidRDefault="00E23746" w:rsidP="000B2F10">
            <w:pPr>
              <w:spacing w:after="0" w:line="240" w:lineRule="auto"/>
              <w:rPr>
                <w:rFonts w:eastAsia="Times New Roman" w:cs="Arial"/>
                <w:sz w:val="18"/>
                <w:szCs w:val="20"/>
                <w:lang w:val="es-MX" w:eastAsia="es-MX"/>
              </w:rPr>
            </w:pPr>
            <w:r w:rsidRPr="00E50E5B">
              <w:rPr>
                <w:rFonts w:eastAsia="Times New Roman" w:cs="Arial"/>
                <w:sz w:val="18"/>
                <w:szCs w:val="20"/>
                <w:lang w:val="es-MX" w:eastAsia="es-MX"/>
              </w:rPr>
              <w:t>C01A01 - Porcentaje de docentes capacitados.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98123D6" w14:textId="77777777" w:rsidR="00E23746" w:rsidRPr="00E50E5B" w:rsidRDefault="00E23746" w:rsidP="000B2F10">
            <w:pPr>
              <w:spacing w:after="0" w:line="240" w:lineRule="auto"/>
              <w:rPr>
                <w:rFonts w:eastAsia="Times New Roman" w:cs="Arial"/>
                <w:sz w:val="18"/>
                <w:szCs w:val="20"/>
                <w:lang w:val="es-MX" w:eastAsia="es-MX"/>
              </w:rPr>
            </w:pPr>
            <w:r w:rsidRPr="00E50E5B">
              <w:rPr>
                <w:rFonts w:eastAsia="Times New Roman" w:cs="Arial"/>
                <w:sz w:val="18"/>
                <w:szCs w:val="20"/>
                <w:lang w:val="es-MX" w:eastAsia="es-MX"/>
              </w:rPr>
              <w:t>Reporte del número de docentes capacitados.</w:t>
            </w:r>
            <w:r w:rsidRPr="00E50E5B">
              <w:rPr>
                <w:rFonts w:eastAsia="Times New Roman" w:cs="Arial"/>
                <w:sz w:val="18"/>
                <w:szCs w:val="20"/>
                <w:lang w:val="es-MX" w:eastAsia="es-MX"/>
              </w:rPr>
              <w:br/>
              <w:t>http://transparencia.qroo.gob.mx/portaliframe/detalleRubro.php?iddep=37&amp;idrubro=6</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3A486F1B" w14:textId="77777777" w:rsidR="00E23746" w:rsidRPr="00E50E5B" w:rsidRDefault="00E23746" w:rsidP="000B2F10">
            <w:pPr>
              <w:spacing w:after="0" w:line="240" w:lineRule="auto"/>
              <w:rPr>
                <w:rFonts w:eastAsia="Times New Roman" w:cs="Arial"/>
                <w:sz w:val="18"/>
                <w:szCs w:val="20"/>
                <w:lang w:val="es-MX" w:eastAsia="es-MX"/>
              </w:rPr>
            </w:pPr>
            <w:r w:rsidRPr="00E50E5B">
              <w:rPr>
                <w:rFonts w:eastAsia="Times New Roman" w:cs="Arial"/>
                <w:sz w:val="18"/>
                <w:szCs w:val="20"/>
                <w:lang w:val="es-MX" w:eastAsia="es-MX"/>
              </w:rPr>
              <w:t>Los docentes asisten a las capacitaciones ofertadas.</w:t>
            </w:r>
          </w:p>
        </w:tc>
      </w:tr>
      <w:tr w:rsidR="00E23746" w:rsidRPr="00063F96" w14:paraId="66A811ED" w14:textId="77777777" w:rsidTr="005A15E8">
        <w:trPr>
          <w:trHeight w:val="1500"/>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14:paraId="001909FB" w14:textId="77777777" w:rsidR="00E23746" w:rsidRPr="00063F96" w:rsidRDefault="00E23746" w:rsidP="000B2F10">
            <w:pPr>
              <w:spacing w:after="0" w:line="240" w:lineRule="auto"/>
              <w:jc w:val="center"/>
              <w:rPr>
                <w:rFonts w:eastAsia="Times New Roman" w:cs="Arial"/>
                <w:b/>
                <w:bCs/>
                <w:sz w:val="20"/>
                <w:szCs w:val="20"/>
                <w:lang w:val="es-MX" w:eastAsia="es-MX"/>
              </w:rPr>
            </w:pPr>
            <w:r w:rsidRPr="00063F96">
              <w:rPr>
                <w:rFonts w:eastAsia="Times New Roman" w:cs="Arial"/>
                <w:b/>
                <w:bCs/>
                <w:sz w:val="20"/>
                <w:szCs w:val="20"/>
                <w:lang w:val="es-MX" w:eastAsia="es-MX"/>
              </w:rPr>
              <w:t>Actividad</w:t>
            </w:r>
          </w:p>
        </w:tc>
        <w:tc>
          <w:tcPr>
            <w:tcW w:w="2786" w:type="dxa"/>
            <w:tcBorders>
              <w:top w:val="single" w:sz="4" w:space="0" w:color="auto"/>
              <w:left w:val="single" w:sz="4" w:space="0" w:color="auto"/>
              <w:bottom w:val="single" w:sz="4" w:space="0" w:color="auto"/>
              <w:right w:val="single" w:sz="4" w:space="0" w:color="auto"/>
            </w:tcBorders>
            <w:shd w:val="clear" w:color="auto" w:fill="auto"/>
            <w:hideMark/>
          </w:tcPr>
          <w:p w14:paraId="5BA09535" w14:textId="77777777" w:rsidR="00E23746" w:rsidRPr="00E50E5B" w:rsidRDefault="00E23746" w:rsidP="000B2F10">
            <w:pPr>
              <w:spacing w:after="0" w:line="240" w:lineRule="auto"/>
              <w:rPr>
                <w:rFonts w:eastAsia="Times New Roman" w:cs="Arial"/>
                <w:sz w:val="18"/>
                <w:szCs w:val="20"/>
                <w:lang w:val="es-MX" w:eastAsia="es-MX"/>
              </w:rPr>
            </w:pPr>
            <w:r w:rsidRPr="00E50E5B">
              <w:rPr>
                <w:rFonts w:eastAsia="Times New Roman" w:cs="Arial"/>
                <w:sz w:val="18"/>
                <w:szCs w:val="20"/>
                <w:lang w:val="es-MX" w:eastAsia="es-MX"/>
              </w:rPr>
              <w:t>Impulsar estrategias para fortalecer la comprensión de lectura, escritura y pensamiento lógico matemático y demás áreas del conocimiento en escuelas a nivel medio superior.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A8906D8" w14:textId="77777777" w:rsidR="00E23746" w:rsidRPr="00E50E5B" w:rsidRDefault="00E23746" w:rsidP="000B2F10">
            <w:pPr>
              <w:spacing w:after="0" w:line="240" w:lineRule="auto"/>
              <w:rPr>
                <w:rFonts w:eastAsia="Times New Roman" w:cs="Arial"/>
                <w:sz w:val="18"/>
                <w:szCs w:val="20"/>
                <w:lang w:val="es-MX" w:eastAsia="es-MX"/>
              </w:rPr>
            </w:pPr>
            <w:r w:rsidRPr="00E50E5B">
              <w:rPr>
                <w:rFonts w:eastAsia="Times New Roman" w:cs="Arial"/>
                <w:sz w:val="18"/>
                <w:szCs w:val="20"/>
                <w:lang w:val="es-MX" w:eastAsia="es-MX"/>
              </w:rPr>
              <w:t>C01.A02 - Operación del programa de tutorías.</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35D865DC" w14:textId="77777777" w:rsidR="00E23746" w:rsidRPr="00E50E5B" w:rsidRDefault="00E23746" w:rsidP="000B2F10">
            <w:pPr>
              <w:spacing w:after="0" w:line="240" w:lineRule="auto"/>
              <w:rPr>
                <w:rFonts w:eastAsia="Times New Roman" w:cs="Arial"/>
                <w:sz w:val="18"/>
                <w:szCs w:val="20"/>
                <w:lang w:val="es-MX" w:eastAsia="es-MX"/>
              </w:rPr>
            </w:pPr>
            <w:r w:rsidRPr="00E50E5B">
              <w:rPr>
                <w:rFonts w:eastAsia="Times New Roman" w:cs="Arial"/>
                <w:sz w:val="18"/>
                <w:szCs w:val="20"/>
                <w:lang w:val="es-MX" w:eastAsia="es-MX"/>
              </w:rPr>
              <w:t>C01A02 - Porcentaje de alumnos que participan en programas de tutorías.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9C87726" w14:textId="77777777" w:rsidR="00E23746" w:rsidRPr="00E50E5B" w:rsidRDefault="00E23746" w:rsidP="000B2F10">
            <w:pPr>
              <w:spacing w:after="0" w:line="240" w:lineRule="auto"/>
              <w:rPr>
                <w:rFonts w:eastAsia="Times New Roman" w:cs="Arial"/>
                <w:sz w:val="18"/>
                <w:szCs w:val="20"/>
                <w:lang w:val="es-MX" w:eastAsia="es-MX"/>
              </w:rPr>
            </w:pPr>
            <w:r w:rsidRPr="00E50E5B">
              <w:rPr>
                <w:rFonts w:eastAsia="Times New Roman" w:cs="Arial"/>
                <w:sz w:val="18"/>
                <w:szCs w:val="20"/>
                <w:lang w:val="es-MX" w:eastAsia="es-MX"/>
              </w:rPr>
              <w:t>Entrega de informe del número de alumnos en programas de tutorías.</w:t>
            </w:r>
            <w:r w:rsidRPr="00E50E5B">
              <w:rPr>
                <w:rFonts w:eastAsia="Times New Roman" w:cs="Arial"/>
                <w:sz w:val="18"/>
                <w:szCs w:val="20"/>
                <w:lang w:val="es-MX" w:eastAsia="es-MX"/>
              </w:rPr>
              <w:br/>
              <w:t>http://transparencia.qroo.gob.mx/portaliframe/detalleRubro.php?iddep=37&amp;idrubro=6</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2A8FB88F" w14:textId="77777777" w:rsidR="00E23746" w:rsidRPr="00E50E5B" w:rsidRDefault="00E23746" w:rsidP="000B2F10">
            <w:pPr>
              <w:spacing w:after="0" w:line="240" w:lineRule="auto"/>
              <w:rPr>
                <w:rFonts w:eastAsia="Times New Roman" w:cs="Arial"/>
                <w:sz w:val="18"/>
                <w:szCs w:val="20"/>
                <w:lang w:val="es-MX" w:eastAsia="es-MX"/>
              </w:rPr>
            </w:pPr>
            <w:r w:rsidRPr="00E50E5B">
              <w:rPr>
                <w:rFonts w:eastAsia="Times New Roman" w:cs="Arial"/>
                <w:sz w:val="18"/>
                <w:szCs w:val="20"/>
                <w:lang w:val="es-MX" w:eastAsia="es-MX"/>
              </w:rPr>
              <w:t>Los alumnos asisten a las tutorías académicas que se otorgan.</w:t>
            </w:r>
          </w:p>
        </w:tc>
      </w:tr>
      <w:tr w:rsidR="00E23746" w:rsidRPr="00063F96" w14:paraId="04C2FC23" w14:textId="77777777" w:rsidTr="005A15E8">
        <w:trPr>
          <w:trHeight w:val="1485"/>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14:paraId="58C491FB" w14:textId="77777777" w:rsidR="00E23746" w:rsidRPr="00063F96" w:rsidRDefault="00E23746" w:rsidP="000B2F10">
            <w:pPr>
              <w:spacing w:after="0" w:line="240" w:lineRule="auto"/>
              <w:jc w:val="center"/>
              <w:rPr>
                <w:rFonts w:eastAsia="Times New Roman" w:cs="Arial"/>
                <w:b/>
                <w:bCs/>
                <w:sz w:val="20"/>
                <w:szCs w:val="20"/>
                <w:lang w:val="es-MX" w:eastAsia="es-MX"/>
              </w:rPr>
            </w:pPr>
            <w:r w:rsidRPr="00063F96">
              <w:rPr>
                <w:rFonts w:eastAsia="Times New Roman" w:cs="Arial"/>
                <w:b/>
                <w:bCs/>
                <w:sz w:val="20"/>
                <w:szCs w:val="20"/>
                <w:lang w:val="es-MX" w:eastAsia="es-MX"/>
              </w:rPr>
              <w:t>Actividad</w:t>
            </w:r>
          </w:p>
        </w:tc>
        <w:tc>
          <w:tcPr>
            <w:tcW w:w="2786" w:type="dxa"/>
            <w:tcBorders>
              <w:top w:val="single" w:sz="4" w:space="0" w:color="auto"/>
              <w:left w:val="single" w:sz="4" w:space="0" w:color="auto"/>
              <w:bottom w:val="single" w:sz="4" w:space="0" w:color="auto"/>
              <w:right w:val="single" w:sz="4" w:space="0" w:color="auto"/>
            </w:tcBorders>
            <w:shd w:val="clear" w:color="auto" w:fill="auto"/>
            <w:hideMark/>
          </w:tcPr>
          <w:p w14:paraId="08211EB5" w14:textId="77777777" w:rsidR="00E23746" w:rsidRPr="00E50E5B" w:rsidRDefault="00E23746" w:rsidP="000B2F10">
            <w:pPr>
              <w:spacing w:after="0" w:line="240" w:lineRule="auto"/>
              <w:rPr>
                <w:rFonts w:eastAsia="Times New Roman" w:cs="Arial"/>
                <w:sz w:val="18"/>
                <w:szCs w:val="20"/>
                <w:lang w:val="es-MX" w:eastAsia="es-MX"/>
              </w:rPr>
            </w:pPr>
            <w:r w:rsidRPr="00E50E5B">
              <w:rPr>
                <w:rFonts w:eastAsia="Times New Roman" w:cs="Arial"/>
                <w:sz w:val="18"/>
                <w:szCs w:val="20"/>
                <w:lang w:val="es-MX" w:eastAsia="es-MX"/>
              </w:rPr>
              <w:t>Impulsar estrategias para fortalecer la comprensión de lectura, escritura y pensamiento lógico matemático y demás áreas del conocimiento en escuelas a nivel medio superior.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9A3B508" w14:textId="77777777" w:rsidR="00E23746" w:rsidRPr="00E50E5B" w:rsidRDefault="00E23746" w:rsidP="000B2F10">
            <w:pPr>
              <w:spacing w:after="0" w:line="240" w:lineRule="auto"/>
              <w:rPr>
                <w:rFonts w:eastAsia="Times New Roman" w:cs="Arial"/>
                <w:sz w:val="18"/>
                <w:szCs w:val="20"/>
                <w:lang w:val="es-MX" w:eastAsia="es-MX"/>
              </w:rPr>
            </w:pPr>
            <w:r w:rsidRPr="00E50E5B">
              <w:rPr>
                <w:rFonts w:eastAsia="Times New Roman" w:cs="Arial"/>
                <w:sz w:val="18"/>
                <w:szCs w:val="20"/>
                <w:lang w:val="es-MX" w:eastAsia="es-MX"/>
              </w:rPr>
              <w:t>C01.A03 - Implementación de proyectos integrados en las Academias.</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1864E55A" w14:textId="77777777" w:rsidR="00E23746" w:rsidRPr="00E50E5B" w:rsidRDefault="00E23746" w:rsidP="000B2F10">
            <w:pPr>
              <w:spacing w:after="0" w:line="240" w:lineRule="auto"/>
              <w:rPr>
                <w:rFonts w:eastAsia="Times New Roman" w:cs="Arial"/>
                <w:sz w:val="18"/>
                <w:szCs w:val="20"/>
                <w:lang w:val="es-MX" w:eastAsia="es-MX"/>
              </w:rPr>
            </w:pPr>
            <w:r w:rsidRPr="00E50E5B">
              <w:rPr>
                <w:rFonts w:eastAsia="Times New Roman" w:cs="Arial"/>
                <w:sz w:val="18"/>
                <w:szCs w:val="20"/>
                <w:lang w:val="es-MX" w:eastAsia="es-MX"/>
              </w:rPr>
              <w:t>C01A03 - Porcentaje de proyectos implementados en las Academias.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71BF6178" w14:textId="77777777" w:rsidR="00E23746" w:rsidRPr="00E50E5B" w:rsidRDefault="00E23746" w:rsidP="000B2F10">
            <w:pPr>
              <w:spacing w:after="0" w:line="240" w:lineRule="auto"/>
              <w:rPr>
                <w:rFonts w:eastAsia="Times New Roman" w:cs="Arial"/>
                <w:sz w:val="18"/>
                <w:szCs w:val="20"/>
                <w:lang w:val="es-MX" w:eastAsia="es-MX"/>
              </w:rPr>
            </w:pPr>
            <w:r w:rsidRPr="00E50E5B">
              <w:rPr>
                <w:rFonts w:eastAsia="Times New Roman" w:cs="Arial"/>
                <w:sz w:val="18"/>
                <w:szCs w:val="20"/>
                <w:lang w:val="es-MX" w:eastAsia="es-MX"/>
              </w:rPr>
              <w:t>Reporte semestral de proyectos que participan en Academias.</w:t>
            </w:r>
            <w:r w:rsidRPr="00E50E5B">
              <w:rPr>
                <w:rFonts w:eastAsia="Times New Roman" w:cs="Arial"/>
                <w:sz w:val="18"/>
                <w:szCs w:val="20"/>
                <w:lang w:val="es-MX" w:eastAsia="es-MX"/>
              </w:rPr>
              <w:br/>
              <w:t>http://transparencia.qroo.gob.mx/portaliframe/detalleRubro.php?iddep=37&amp;idrubro=6</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560B2623" w14:textId="77777777" w:rsidR="00E23746" w:rsidRPr="00E50E5B" w:rsidRDefault="00E23746" w:rsidP="000B2F10">
            <w:pPr>
              <w:spacing w:after="0" w:line="240" w:lineRule="auto"/>
              <w:rPr>
                <w:rFonts w:eastAsia="Times New Roman" w:cs="Arial"/>
                <w:sz w:val="18"/>
                <w:szCs w:val="20"/>
                <w:lang w:val="es-MX" w:eastAsia="es-MX"/>
              </w:rPr>
            </w:pPr>
            <w:r w:rsidRPr="00E50E5B">
              <w:rPr>
                <w:rFonts w:eastAsia="Times New Roman" w:cs="Arial"/>
                <w:sz w:val="18"/>
                <w:szCs w:val="20"/>
                <w:lang w:val="es-MX" w:eastAsia="es-MX"/>
              </w:rPr>
              <w:t>Los docentes participan en el desarrollo de proyectos.</w:t>
            </w:r>
          </w:p>
        </w:tc>
      </w:tr>
      <w:tr w:rsidR="00E23746" w:rsidRPr="00063F96" w14:paraId="59B572E8" w14:textId="77777777" w:rsidTr="005A15E8">
        <w:trPr>
          <w:trHeight w:val="1575"/>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14:paraId="474F8203" w14:textId="77777777" w:rsidR="00E23746" w:rsidRPr="00063F96" w:rsidRDefault="00E23746" w:rsidP="000B2F10">
            <w:pPr>
              <w:spacing w:after="0" w:line="240" w:lineRule="auto"/>
              <w:jc w:val="center"/>
              <w:rPr>
                <w:rFonts w:eastAsia="Times New Roman" w:cs="Arial"/>
                <w:b/>
                <w:bCs/>
                <w:sz w:val="20"/>
                <w:szCs w:val="20"/>
                <w:lang w:val="es-MX" w:eastAsia="es-MX"/>
              </w:rPr>
            </w:pPr>
            <w:r w:rsidRPr="00063F96">
              <w:rPr>
                <w:rFonts w:eastAsia="Times New Roman" w:cs="Arial"/>
                <w:b/>
                <w:bCs/>
                <w:sz w:val="20"/>
                <w:szCs w:val="20"/>
                <w:lang w:val="es-MX" w:eastAsia="es-MX"/>
              </w:rPr>
              <w:t>Componente</w:t>
            </w:r>
          </w:p>
        </w:tc>
        <w:tc>
          <w:tcPr>
            <w:tcW w:w="2786" w:type="dxa"/>
            <w:tcBorders>
              <w:top w:val="single" w:sz="4" w:space="0" w:color="auto"/>
              <w:left w:val="single" w:sz="4" w:space="0" w:color="auto"/>
              <w:bottom w:val="single" w:sz="4" w:space="0" w:color="auto"/>
              <w:right w:val="single" w:sz="4" w:space="0" w:color="auto"/>
            </w:tcBorders>
            <w:shd w:val="clear" w:color="auto" w:fill="auto"/>
            <w:hideMark/>
          </w:tcPr>
          <w:p w14:paraId="503B88E0" w14:textId="77777777" w:rsidR="00E23746" w:rsidRPr="00E50E5B" w:rsidRDefault="00E23746" w:rsidP="000B2F10">
            <w:pPr>
              <w:spacing w:after="0" w:line="240" w:lineRule="auto"/>
              <w:rPr>
                <w:rFonts w:eastAsia="Times New Roman" w:cs="Arial"/>
                <w:sz w:val="18"/>
                <w:szCs w:val="20"/>
                <w:lang w:val="es-MX" w:eastAsia="es-MX"/>
              </w:rPr>
            </w:pPr>
            <w:r w:rsidRPr="00E50E5B">
              <w:rPr>
                <w:rFonts w:eastAsia="Times New Roman" w:cs="Arial"/>
                <w:sz w:val="18"/>
                <w:szCs w:val="20"/>
                <w:lang w:val="es-MX" w:eastAsia="es-MX"/>
              </w:rPr>
              <w:t>Desarrollar una estrategia integral que permita ampliar la cobertura educativa de nivel medio superior en las instituciones públicas.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6FEE6C6" w14:textId="77777777" w:rsidR="00E23746" w:rsidRPr="00E50E5B" w:rsidRDefault="00E23746" w:rsidP="000B2F10">
            <w:pPr>
              <w:spacing w:after="0" w:line="240" w:lineRule="auto"/>
              <w:rPr>
                <w:rFonts w:eastAsia="Times New Roman" w:cs="Arial"/>
                <w:sz w:val="18"/>
                <w:szCs w:val="20"/>
                <w:lang w:val="es-MX" w:eastAsia="es-MX"/>
              </w:rPr>
            </w:pPr>
            <w:r w:rsidRPr="00E50E5B">
              <w:rPr>
                <w:rFonts w:eastAsia="Times New Roman" w:cs="Arial"/>
                <w:sz w:val="18"/>
                <w:szCs w:val="20"/>
                <w:lang w:val="es-MX" w:eastAsia="es-MX"/>
              </w:rPr>
              <w:t>C02 - Alumnos  en Educación Media Superior, inscritos.</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4BE7F4E6" w14:textId="77777777" w:rsidR="00E23746" w:rsidRPr="00E50E5B" w:rsidRDefault="00E23746" w:rsidP="000B2F10">
            <w:pPr>
              <w:spacing w:after="0" w:line="240" w:lineRule="auto"/>
              <w:rPr>
                <w:rFonts w:eastAsia="Times New Roman" w:cs="Arial"/>
                <w:sz w:val="18"/>
                <w:szCs w:val="20"/>
                <w:lang w:val="es-MX" w:eastAsia="es-MX"/>
              </w:rPr>
            </w:pPr>
            <w:r w:rsidRPr="00E50E5B">
              <w:rPr>
                <w:rFonts w:eastAsia="Times New Roman" w:cs="Arial"/>
                <w:sz w:val="18"/>
                <w:szCs w:val="20"/>
                <w:lang w:val="es-MX" w:eastAsia="es-MX"/>
              </w:rPr>
              <w:t>C02 - Porcentaje de Absorción.</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CAAF386" w14:textId="77777777" w:rsidR="00E23746" w:rsidRPr="00E50E5B" w:rsidRDefault="00E23746" w:rsidP="000B2F10">
            <w:pPr>
              <w:spacing w:after="0" w:line="240" w:lineRule="auto"/>
              <w:rPr>
                <w:rFonts w:eastAsia="Times New Roman" w:cs="Arial"/>
                <w:sz w:val="18"/>
                <w:szCs w:val="20"/>
                <w:lang w:val="es-MX" w:eastAsia="es-MX"/>
              </w:rPr>
            </w:pPr>
            <w:r w:rsidRPr="00E50E5B">
              <w:rPr>
                <w:rFonts w:eastAsia="Times New Roman" w:cs="Arial"/>
                <w:sz w:val="18"/>
                <w:szCs w:val="20"/>
                <w:lang w:val="es-MX" w:eastAsia="es-MX"/>
              </w:rPr>
              <w:t>Estadística Básica de la Jefatura de Proyecto de Servicios Escolares.</w:t>
            </w:r>
            <w:r w:rsidRPr="00E50E5B">
              <w:rPr>
                <w:rFonts w:eastAsia="Times New Roman" w:cs="Arial"/>
                <w:sz w:val="18"/>
                <w:szCs w:val="20"/>
                <w:lang w:val="es-MX" w:eastAsia="es-MX"/>
              </w:rPr>
              <w:br/>
              <w:t>http://transparencia.qroo.gob.mx/portaliframe/detalleRubro.php?iddep=37&amp;idrubro=6</w:t>
            </w:r>
          </w:p>
        </w:tc>
        <w:tc>
          <w:tcPr>
            <w:tcW w:w="1985" w:type="dxa"/>
            <w:tcBorders>
              <w:top w:val="single" w:sz="4" w:space="0" w:color="auto"/>
              <w:left w:val="single" w:sz="4" w:space="0" w:color="auto"/>
              <w:bottom w:val="single" w:sz="4" w:space="0" w:color="auto"/>
              <w:right w:val="single" w:sz="4" w:space="0" w:color="auto"/>
            </w:tcBorders>
            <w:shd w:val="clear" w:color="auto" w:fill="auto"/>
            <w:hideMark/>
          </w:tcPr>
          <w:p w14:paraId="654D1898" w14:textId="77777777" w:rsidR="00E23746" w:rsidRPr="00E50E5B" w:rsidRDefault="00E23746" w:rsidP="000B2F10">
            <w:pPr>
              <w:spacing w:after="0" w:line="240" w:lineRule="auto"/>
              <w:rPr>
                <w:rFonts w:eastAsia="Times New Roman" w:cs="Arial"/>
                <w:sz w:val="18"/>
                <w:szCs w:val="20"/>
                <w:lang w:val="es-MX" w:eastAsia="es-MX"/>
              </w:rPr>
            </w:pPr>
            <w:r w:rsidRPr="00E50E5B">
              <w:rPr>
                <w:rFonts w:eastAsia="Times New Roman" w:cs="Arial"/>
                <w:sz w:val="18"/>
                <w:szCs w:val="20"/>
                <w:lang w:val="es-MX" w:eastAsia="es-MX"/>
              </w:rPr>
              <w:t>Los jóvenes egresados de secundaria continúan sus estudios a nivel medio superior.</w:t>
            </w:r>
          </w:p>
        </w:tc>
      </w:tr>
    </w:tbl>
    <w:p w14:paraId="1D9BFDE2" w14:textId="77777777" w:rsidR="00D345CB" w:rsidRDefault="00D345CB">
      <w:pPr>
        <w:spacing w:after="0" w:line="240" w:lineRule="auto"/>
        <w:jc w:val="left"/>
      </w:pPr>
      <w:r>
        <w:br w:type="page"/>
      </w:r>
    </w:p>
    <w:tbl>
      <w:tblPr>
        <w:tblW w:w="14122" w:type="dxa"/>
        <w:tblLayout w:type="fixed"/>
        <w:tblCellMar>
          <w:left w:w="70" w:type="dxa"/>
          <w:right w:w="70" w:type="dxa"/>
        </w:tblCellMar>
        <w:tblLook w:val="04A0" w:firstRow="1" w:lastRow="0" w:firstColumn="1" w:lastColumn="0" w:noHBand="0" w:noVBand="1"/>
      </w:tblPr>
      <w:tblGrid>
        <w:gridCol w:w="1413"/>
        <w:gridCol w:w="2786"/>
        <w:gridCol w:w="2835"/>
        <w:gridCol w:w="2268"/>
        <w:gridCol w:w="2835"/>
        <w:gridCol w:w="1985"/>
      </w:tblGrid>
      <w:tr w:rsidR="00E23746" w:rsidRPr="00063F96" w14:paraId="015D238C" w14:textId="77777777" w:rsidTr="005A15E8">
        <w:trPr>
          <w:trHeight w:val="552"/>
        </w:trPr>
        <w:tc>
          <w:tcPr>
            <w:tcW w:w="1413"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21061981" w14:textId="77777777" w:rsidR="00E23746" w:rsidRPr="00063F96" w:rsidRDefault="00E23746" w:rsidP="000B2F10">
            <w:pPr>
              <w:spacing w:after="0" w:line="240" w:lineRule="auto"/>
              <w:jc w:val="center"/>
              <w:rPr>
                <w:rFonts w:eastAsia="Times New Roman" w:cs="Arial"/>
                <w:b/>
                <w:bCs/>
                <w:sz w:val="20"/>
                <w:szCs w:val="20"/>
                <w:lang w:val="es-MX" w:eastAsia="es-MX"/>
              </w:rPr>
            </w:pPr>
            <w:r w:rsidRPr="00063F96">
              <w:rPr>
                <w:rFonts w:eastAsia="Times New Roman" w:cs="Arial"/>
                <w:b/>
                <w:bCs/>
                <w:sz w:val="20"/>
                <w:szCs w:val="20"/>
                <w:lang w:val="es-MX" w:eastAsia="es-MX"/>
              </w:rPr>
              <w:lastRenderedPageBreak/>
              <w:t>NIVEL</w:t>
            </w:r>
          </w:p>
        </w:tc>
        <w:tc>
          <w:tcPr>
            <w:tcW w:w="2786" w:type="dxa"/>
            <w:tcBorders>
              <w:top w:val="single" w:sz="4" w:space="0" w:color="auto"/>
              <w:left w:val="nil"/>
              <w:bottom w:val="single" w:sz="4" w:space="0" w:color="auto"/>
              <w:right w:val="single" w:sz="4" w:space="0" w:color="auto"/>
            </w:tcBorders>
            <w:shd w:val="clear" w:color="000000" w:fill="BFBFBF"/>
            <w:vAlign w:val="center"/>
            <w:hideMark/>
          </w:tcPr>
          <w:p w14:paraId="020D40EF" w14:textId="77777777" w:rsidR="00E23746" w:rsidRPr="00063F96" w:rsidRDefault="00E23746" w:rsidP="000B2F10">
            <w:pPr>
              <w:spacing w:after="0" w:line="240" w:lineRule="auto"/>
              <w:jc w:val="center"/>
              <w:rPr>
                <w:rFonts w:eastAsia="Times New Roman" w:cs="Arial"/>
                <w:b/>
                <w:bCs/>
                <w:sz w:val="20"/>
                <w:szCs w:val="20"/>
                <w:lang w:val="es-MX" w:eastAsia="es-MX"/>
              </w:rPr>
            </w:pPr>
            <w:r w:rsidRPr="00063F96">
              <w:rPr>
                <w:rFonts w:eastAsia="Times New Roman" w:cs="Arial"/>
                <w:b/>
                <w:bCs/>
                <w:sz w:val="20"/>
                <w:szCs w:val="20"/>
                <w:lang w:val="es-MX" w:eastAsia="es-MX"/>
              </w:rPr>
              <w:t>ALINEACIÓN PED/PD</w:t>
            </w:r>
          </w:p>
        </w:tc>
        <w:tc>
          <w:tcPr>
            <w:tcW w:w="2835" w:type="dxa"/>
            <w:tcBorders>
              <w:top w:val="single" w:sz="4" w:space="0" w:color="auto"/>
              <w:left w:val="nil"/>
              <w:bottom w:val="single" w:sz="4" w:space="0" w:color="auto"/>
              <w:right w:val="single" w:sz="4" w:space="0" w:color="auto"/>
            </w:tcBorders>
            <w:shd w:val="clear" w:color="000000" w:fill="BFBFBF"/>
            <w:vAlign w:val="center"/>
            <w:hideMark/>
          </w:tcPr>
          <w:p w14:paraId="5180C6D9" w14:textId="77777777" w:rsidR="00E23746" w:rsidRPr="00063F96" w:rsidRDefault="00E23746" w:rsidP="000B2F10">
            <w:pPr>
              <w:spacing w:after="0" w:line="240" w:lineRule="auto"/>
              <w:jc w:val="center"/>
              <w:rPr>
                <w:rFonts w:eastAsia="Times New Roman" w:cs="Arial"/>
                <w:b/>
                <w:bCs/>
                <w:sz w:val="20"/>
                <w:szCs w:val="20"/>
                <w:lang w:val="es-MX" w:eastAsia="es-MX"/>
              </w:rPr>
            </w:pPr>
            <w:r w:rsidRPr="00063F96">
              <w:rPr>
                <w:rFonts w:eastAsia="Times New Roman" w:cs="Arial"/>
                <w:b/>
                <w:bCs/>
                <w:sz w:val="20"/>
                <w:szCs w:val="20"/>
                <w:lang w:val="es-MX" w:eastAsia="es-MX"/>
              </w:rPr>
              <w:t>OBJETIVO</w:t>
            </w:r>
          </w:p>
        </w:tc>
        <w:tc>
          <w:tcPr>
            <w:tcW w:w="2268" w:type="dxa"/>
            <w:tcBorders>
              <w:top w:val="single" w:sz="4" w:space="0" w:color="auto"/>
              <w:left w:val="nil"/>
              <w:bottom w:val="single" w:sz="4" w:space="0" w:color="auto"/>
              <w:right w:val="single" w:sz="4" w:space="0" w:color="auto"/>
            </w:tcBorders>
            <w:shd w:val="clear" w:color="000000" w:fill="BFBFBF"/>
            <w:vAlign w:val="center"/>
            <w:hideMark/>
          </w:tcPr>
          <w:p w14:paraId="54594B40" w14:textId="77777777" w:rsidR="00E23746" w:rsidRPr="00063F96" w:rsidRDefault="00E23746" w:rsidP="000B2F10">
            <w:pPr>
              <w:spacing w:after="0" w:line="240" w:lineRule="auto"/>
              <w:jc w:val="center"/>
              <w:rPr>
                <w:rFonts w:eastAsia="Times New Roman" w:cs="Arial"/>
                <w:b/>
                <w:bCs/>
                <w:sz w:val="20"/>
                <w:szCs w:val="20"/>
                <w:lang w:val="es-MX" w:eastAsia="es-MX"/>
              </w:rPr>
            </w:pPr>
            <w:r w:rsidRPr="00063F96">
              <w:rPr>
                <w:rFonts w:eastAsia="Times New Roman" w:cs="Arial"/>
                <w:b/>
                <w:bCs/>
                <w:sz w:val="20"/>
                <w:szCs w:val="20"/>
                <w:lang w:val="es-MX" w:eastAsia="es-MX"/>
              </w:rPr>
              <w:t>INDICADOR</w:t>
            </w:r>
          </w:p>
        </w:tc>
        <w:tc>
          <w:tcPr>
            <w:tcW w:w="2835" w:type="dxa"/>
            <w:tcBorders>
              <w:top w:val="single" w:sz="4" w:space="0" w:color="auto"/>
              <w:left w:val="nil"/>
              <w:bottom w:val="single" w:sz="4" w:space="0" w:color="auto"/>
              <w:right w:val="single" w:sz="4" w:space="0" w:color="auto"/>
            </w:tcBorders>
            <w:shd w:val="clear" w:color="000000" w:fill="BFBFBF"/>
            <w:vAlign w:val="center"/>
            <w:hideMark/>
          </w:tcPr>
          <w:p w14:paraId="00A8AD9F" w14:textId="77777777" w:rsidR="00E23746" w:rsidRPr="00063F96" w:rsidRDefault="00E23746" w:rsidP="000B2F10">
            <w:pPr>
              <w:spacing w:after="0" w:line="240" w:lineRule="auto"/>
              <w:jc w:val="center"/>
              <w:rPr>
                <w:rFonts w:eastAsia="Times New Roman" w:cs="Arial"/>
                <w:b/>
                <w:bCs/>
                <w:sz w:val="20"/>
                <w:szCs w:val="20"/>
                <w:lang w:val="es-MX" w:eastAsia="es-MX"/>
              </w:rPr>
            </w:pPr>
            <w:r w:rsidRPr="00063F96">
              <w:rPr>
                <w:rFonts w:eastAsia="Times New Roman" w:cs="Arial"/>
                <w:b/>
                <w:bCs/>
                <w:sz w:val="20"/>
                <w:szCs w:val="20"/>
                <w:lang w:val="es-MX" w:eastAsia="es-MX"/>
              </w:rPr>
              <w:t>MEDIOS DE VERIFICACIÓN</w:t>
            </w:r>
          </w:p>
        </w:tc>
        <w:tc>
          <w:tcPr>
            <w:tcW w:w="1985" w:type="dxa"/>
            <w:tcBorders>
              <w:top w:val="single" w:sz="4" w:space="0" w:color="auto"/>
              <w:left w:val="nil"/>
              <w:bottom w:val="single" w:sz="4" w:space="0" w:color="auto"/>
              <w:right w:val="single" w:sz="4" w:space="0" w:color="auto"/>
            </w:tcBorders>
            <w:shd w:val="clear" w:color="000000" w:fill="BFBFBF"/>
            <w:vAlign w:val="center"/>
            <w:hideMark/>
          </w:tcPr>
          <w:p w14:paraId="6219584B" w14:textId="77777777" w:rsidR="00E23746" w:rsidRPr="00063F96" w:rsidRDefault="00E23746" w:rsidP="000B2F10">
            <w:pPr>
              <w:spacing w:after="0" w:line="240" w:lineRule="auto"/>
              <w:jc w:val="center"/>
              <w:rPr>
                <w:rFonts w:eastAsia="Times New Roman" w:cs="Arial"/>
                <w:b/>
                <w:bCs/>
                <w:sz w:val="20"/>
                <w:szCs w:val="20"/>
                <w:lang w:val="es-MX" w:eastAsia="es-MX"/>
              </w:rPr>
            </w:pPr>
            <w:r w:rsidRPr="00063F96">
              <w:rPr>
                <w:rFonts w:eastAsia="Times New Roman" w:cs="Arial"/>
                <w:b/>
                <w:bCs/>
                <w:sz w:val="20"/>
                <w:szCs w:val="20"/>
                <w:lang w:val="es-MX" w:eastAsia="es-MX"/>
              </w:rPr>
              <w:t>SUPUESTO</w:t>
            </w:r>
          </w:p>
        </w:tc>
      </w:tr>
      <w:tr w:rsidR="00E23746" w:rsidRPr="00063F96" w14:paraId="5DBADA0B" w14:textId="77777777" w:rsidTr="005A15E8">
        <w:trPr>
          <w:trHeight w:val="1455"/>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14:paraId="6D2958D2" w14:textId="77777777" w:rsidR="00E23746" w:rsidRPr="00063F96" w:rsidRDefault="00E23746" w:rsidP="000B2F10">
            <w:pPr>
              <w:spacing w:after="0" w:line="240" w:lineRule="auto"/>
              <w:jc w:val="center"/>
              <w:rPr>
                <w:rFonts w:eastAsia="Times New Roman" w:cs="Arial"/>
                <w:b/>
                <w:bCs/>
                <w:sz w:val="20"/>
                <w:szCs w:val="20"/>
                <w:lang w:val="es-MX" w:eastAsia="es-MX"/>
              </w:rPr>
            </w:pPr>
            <w:r w:rsidRPr="00063F96">
              <w:rPr>
                <w:rFonts w:eastAsia="Times New Roman" w:cs="Arial"/>
                <w:b/>
                <w:bCs/>
                <w:sz w:val="20"/>
                <w:szCs w:val="20"/>
                <w:lang w:val="es-MX" w:eastAsia="es-MX"/>
              </w:rPr>
              <w:t>Actividad</w:t>
            </w:r>
          </w:p>
        </w:tc>
        <w:tc>
          <w:tcPr>
            <w:tcW w:w="2786" w:type="dxa"/>
            <w:tcBorders>
              <w:top w:val="single" w:sz="4" w:space="0" w:color="auto"/>
              <w:left w:val="nil"/>
              <w:bottom w:val="single" w:sz="4" w:space="0" w:color="auto"/>
              <w:right w:val="single" w:sz="4" w:space="0" w:color="auto"/>
            </w:tcBorders>
            <w:shd w:val="clear" w:color="auto" w:fill="auto"/>
            <w:hideMark/>
          </w:tcPr>
          <w:p w14:paraId="66415B83" w14:textId="77777777" w:rsidR="00E23746" w:rsidRPr="00E50E5B" w:rsidRDefault="00E23746" w:rsidP="000B2F10">
            <w:pPr>
              <w:spacing w:after="0" w:line="240" w:lineRule="auto"/>
              <w:rPr>
                <w:rFonts w:eastAsia="Times New Roman" w:cs="Arial"/>
                <w:sz w:val="18"/>
                <w:szCs w:val="20"/>
                <w:lang w:val="es-MX" w:eastAsia="es-MX"/>
              </w:rPr>
            </w:pPr>
            <w:r w:rsidRPr="00E50E5B">
              <w:rPr>
                <w:rFonts w:eastAsia="Times New Roman" w:cs="Arial"/>
                <w:sz w:val="18"/>
                <w:szCs w:val="20"/>
                <w:lang w:val="es-MX" w:eastAsia="es-MX"/>
              </w:rPr>
              <w:t>Desarrollar una estrategia integral que permita ampliar la cobertura educativa de nivel medio superior en las instituciones públicas.</w:t>
            </w:r>
          </w:p>
        </w:tc>
        <w:tc>
          <w:tcPr>
            <w:tcW w:w="2835" w:type="dxa"/>
            <w:tcBorders>
              <w:top w:val="single" w:sz="4" w:space="0" w:color="auto"/>
              <w:left w:val="nil"/>
              <w:bottom w:val="single" w:sz="4" w:space="0" w:color="auto"/>
              <w:right w:val="single" w:sz="4" w:space="0" w:color="auto"/>
            </w:tcBorders>
            <w:shd w:val="clear" w:color="auto" w:fill="auto"/>
            <w:hideMark/>
          </w:tcPr>
          <w:p w14:paraId="74609344" w14:textId="77777777" w:rsidR="00E23746" w:rsidRPr="00E50E5B" w:rsidRDefault="00E23746" w:rsidP="000B2F10">
            <w:pPr>
              <w:spacing w:after="0" w:line="240" w:lineRule="auto"/>
              <w:rPr>
                <w:rFonts w:eastAsia="Times New Roman" w:cs="Arial"/>
                <w:sz w:val="18"/>
                <w:szCs w:val="20"/>
                <w:lang w:val="es-MX" w:eastAsia="es-MX"/>
              </w:rPr>
            </w:pPr>
            <w:r w:rsidRPr="00E50E5B">
              <w:rPr>
                <w:rFonts w:eastAsia="Times New Roman" w:cs="Arial"/>
                <w:sz w:val="18"/>
                <w:szCs w:val="20"/>
                <w:lang w:val="es-MX" w:eastAsia="es-MX"/>
              </w:rPr>
              <w:t>C02.A01 - Ejecución de la campaña de promoción y difusión.</w:t>
            </w:r>
          </w:p>
        </w:tc>
        <w:tc>
          <w:tcPr>
            <w:tcW w:w="2268" w:type="dxa"/>
            <w:tcBorders>
              <w:top w:val="single" w:sz="4" w:space="0" w:color="auto"/>
              <w:left w:val="nil"/>
              <w:bottom w:val="single" w:sz="4" w:space="0" w:color="auto"/>
              <w:right w:val="single" w:sz="4" w:space="0" w:color="auto"/>
            </w:tcBorders>
            <w:shd w:val="clear" w:color="auto" w:fill="auto"/>
            <w:hideMark/>
          </w:tcPr>
          <w:p w14:paraId="37FEA060" w14:textId="77777777" w:rsidR="00E23746" w:rsidRPr="00E50E5B" w:rsidRDefault="00E23746" w:rsidP="000B2F10">
            <w:pPr>
              <w:spacing w:after="0" w:line="240" w:lineRule="auto"/>
              <w:rPr>
                <w:rFonts w:eastAsia="Times New Roman" w:cs="Arial"/>
                <w:sz w:val="18"/>
                <w:szCs w:val="20"/>
                <w:lang w:val="es-MX" w:eastAsia="es-MX"/>
              </w:rPr>
            </w:pPr>
            <w:r w:rsidRPr="00E50E5B">
              <w:rPr>
                <w:rFonts w:eastAsia="Times New Roman" w:cs="Arial"/>
                <w:sz w:val="18"/>
                <w:szCs w:val="20"/>
                <w:lang w:val="es-MX" w:eastAsia="es-MX"/>
              </w:rPr>
              <w:t>C02A01 - Porcentaje de planteles con campaña de promoción y difusión.</w:t>
            </w:r>
          </w:p>
        </w:tc>
        <w:tc>
          <w:tcPr>
            <w:tcW w:w="2835" w:type="dxa"/>
            <w:tcBorders>
              <w:top w:val="single" w:sz="4" w:space="0" w:color="auto"/>
              <w:left w:val="nil"/>
              <w:bottom w:val="single" w:sz="4" w:space="0" w:color="auto"/>
              <w:right w:val="single" w:sz="4" w:space="0" w:color="auto"/>
            </w:tcBorders>
            <w:shd w:val="clear" w:color="auto" w:fill="auto"/>
            <w:hideMark/>
          </w:tcPr>
          <w:p w14:paraId="3E5B4257" w14:textId="77777777" w:rsidR="00E23746" w:rsidRPr="00E50E5B" w:rsidRDefault="00E23746" w:rsidP="000B2F10">
            <w:pPr>
              <w:spacing w:after="0" w:line="240" w:lineRule="auto"/>
              <w:rPr>
                <w:rFonts w:eastAsia="Times New Roman" w:cs="Arial"/>
                <w:sz w:val="18"/>
                <w:szCs w:val="20"/>
                <w:lang w:val="es-MX" w:eastAsia="es-MX"/>
              </w:rPr>
            </w:pPr>
            <w:r w:rsidRPr="00E50E5B">
              <w:rPr>
                <w:rFonts w:eastAsia="Times New Roman" w:cs="Arial"/>
                <w:sz w:val="18"/>
                <w:szCs w:val="20"/>
                <w:lang w:val="es-MX" w:eastAsia="es-MX"/>
              </w:rPr>
              <w:t>Reporte de la campaña estatal de promoción y difusión.</w:t>
            </w:r>
            <w:r w:rsidRPr="00E50E5B">
              <w:rPr>
                <w:rFonts w:eastAsia="Times New Roman" w:cs="Arial"/>
                <w:sz w:val="18"/>
                <w:szCs w:val="20"/>
                <w:lang w:val="es-MX" w:eastAsia="es-MX"/>
              </w:rPr>
              <w:br/>
              <w:t>http://transparencia.qroo.gob.mx/portaliframe/detalleRubro.php?iddep=37&amp;idrubro=6</w:t>
            </w:r>
          </w:p>
        </w:tc>
        <w:tc>
          <w:tcPr>
            <w:tcW w:w="1985" w:type="dxa"/>
            <w:tcBorders>
              <w:top w:val="single" w:sz="4" w:space="0" w:color="auto"/>
              <w:left w:val="nil"/>
              <w:bottom w:val="single" w:sz="4" w:space="0" w:color="auto"/>
              <w:right w:val="single" w:sz="4" w:space="0" w:color="auto"/>
            </w:tcBorders>
            <w:shd w:val="clear" w:color="auto" w:fill="auto"/>
            <w:hideMark/>
          </w:tcPr>
          <w:p w14:paraId="4E0CD7AD" w14:textId="77777777" w:rsidR="00E23746" w:rsidRPr="00E50E5B" w:rsidRDefault="00E23746" w:rsidP="000B2F10">
            <w:pPr>
              <w:spacing w:after="0" w:line="240" w:lineRule="auto"/>
              <w:rPr>
                <w:rFonts w:eastAsia="Times New Roman" w:cs="Arial"/>
                <w:sz w:val="18"/>
                <w:szCs w:val="20"/>
                <w:lang w:val="es-MX" w:eastAsia="es-MX"/>
              </w:rPr>
            </w:pPr>
            <w:r w:rsidRPr="00E50E5B">
              <w:rPr>
                <w:rFonts w:eastAsia="Times New Roman" w:cs="Arial"/>
                <w:sz w:val="18"/>
                <w:szCs w:val="20"/>
                <w:lang w:val="es-MX" w:eastAsia="es-MX"/>
              </w:rPr>
              <w:t>Las escuelas secundarias aceptan recibir la campaña de promoción y difusión.</w:t>
            </w:r>
          </w:p>
        </w:tc>
      </w:tr>
      <w:tr w:rsidR="00E23746" w:rsidRPr="00063F96" w14:paraId="55AB1AB0" w14:textId="77777777" w:rsidTr="005A15E8">
        <w:trPr>
          <w:trHeight w:val="1425"/>
        </w:trPr>
        <w:tc>
          <w:tcPr>
            <w:tcW w:w="1413" w:type="dxa"/>
            <w:tcBorders>
              <w:top w:val="nil"/>
              <w:left w:val="single" w:sz="4" w:space="0" w:color="auto"/>
              <w:bottom w:val="single" w:sz="4" w:space="0" w:color="auto"/>
              <w:right w:val="single" w:sz="4" w:space="0" w:color="auto"/>
            </w:tcBorders>
            <w:shd w:val="clear" w:color="auto" w:fill="auto"/>
            <w:hideMark/>
          </w:tcPr>
          <w:p w14:paraId="644BBBCC" w14:textId="77777777" w:rsidR="00E23746" w:rsidRPr="00063F96" w:rsidRDefault="00E23746" w:rsidP="000B2F10">
            <w:pPr>
              <w:spacing w:after="0" w:line="240" w:lineRule="auto"/>
              <w:jc w:val="center"/>
              <w:rPr>
                <w:rFonts w:eastAsia="Times New Roman" w:cs="Arial"/>
                <w:b/>
                <w:bCs/>
                <w:sz w:val="20"/>
                <w:szCs w:val="20"/>
                <w:lang w:val="es-MX" w:eastAsia="es-MX"/>
              </w:rPr>
            </w:pPr>
            <w:r w:rsidRPr="00063F96">
              <w:rPr>
                <w:rFonts w:eastAsia="Times New Roman" w:cs="Arial"/>
                <w:b/>
                <w:bCs/>
                <w:sz w:val="20"/>
                <w:szCs w:val="20"/>
                <w:lang w:val="es-MX" w:eastAsia="es-MX"/>
              </w:rPr>
              <w:t>Actividad</w:t>
            </w:r>
          </w:p>
        </w:tc>
        <w:tc>
          <w:tcPr>
            <w:tcW w:w="2786" w:type="dxa"/>
            <w:tcBorders>
              <w:top w:val="nil"/>
              <w:left w:val="nil"/>
              <w:bottom w:val="single" w:sz="4" w:space="0" w:color="auto"/>
              <w:right w:val="single" w:sz="4" w:space="0" w:color="auto"/>
            </w:tcBorders>
            <w:shd w:val="clear" w:color="auto" w:fill="auto"/>
            <w:hideMark/>
          </w:tcPr>
          <w:p w14:paraId="48707F37" w14:textId="77777777" w:rsidR="00E23746" w:rsidRPr="00E50E5B" w:rsidRDefault="00E23746" w:rsidP="000B2F10">
            <w:pPr>
              <w:spacing w:after="0" w:line="240" w:lineRule="auto"/>
              <w:rPr>
                <w:rFonts w:eastAsia="Times New Roman" w:cs="Arial"/>
                <w:sz w:val="18"/>
                <w:szCs w:val="20"/>
                <w:lang w:val="es-MX" w:eastAsia="es-MX"/>
              </w:rPr>
            </w:pPr>
            <w:r w:rsidRPr="00E50E5B">
              <w:rPr>
                <w:rFonts w:eastAsia="Times New Roman" w:cs="Arial"/>
                <w:sz w:val="18"/>
                <w:szCs w:val="20"/>
                <w:lang w:val="es-MX" w:eastAsia="es-MX"/>
              </w:rPr>
              <w:t>Impulsar el Modelo Mexicano de Formación Dual para establecer un equilibrio armónico entre la formación teórica y la formación práctica de los estudiantes de bachillerato tecnológico, profesional técnico o profesional técnico bachiller de  instituciones públicas de nivel medio superior.</w:t>
            </w:r>
          </w:p>
        </w:tc>
        <w:tc>
          <w:tcPr>
            <w:tcW w:w="2835" w:type="dxa"/>
            <w:tcBorders>
              <w:top w:val="nil"/>
              <w:left w:val="nil"/>
              <w:bottom w:val="single" w:sz="4" w:space="0" w:color="auto"/>
              <w:right w:val="single" w:sz="4" w:space="0" w:color="auto"/>
            </w:tcBorders>
            <w:shd w:val="clear" w:color="auto" w:fill="auto"/>
            <w:hideMark/>
          </w:tcPr>
          <w:p w14:paraId="1ECD2F5C" w14:textId="77777777" w:rsidR="00E23746" w:rsidRPr="00E50E5B" w:rsidRDefault="00E23746" w:rsidP="000B2F10">
            <w:pPr>
              <w:spacing w:after="0" w:line="240" w:lineRule="auto"/>
              <w:rPr>
                <w:rFonts w:eastAsia="Times New Roman" w:cs="Arial"/>
                <w:sz w:val="18"/>
                <w:szCs w:val="20"/>
                <w:lang w:val="es-MX" w:eastAsia="es-MX"/>
              </w:rPr>
            </w:pPr>
            <w:r w:rsidRPr="00E50E5B">
              <w:rPr>
                <w:rFonts w:eastAsia="Times New Roman" w:cs="Arial"/>
                <w:sz w:val="18"/>
                <w:szCs w:val="20"/>
                <w:lang w:val="es-MX" w:eastAsia="es-MX"/>
              </w:rPr>
              <w:t>C02.A02 - Operación del Modelo de Formación Dual.</w:t>
            </w:r>
          </w:p>
        </w:tc>
        <w:tc>
          <w:tcPr>
            <w:tcW w:w="2268" w:type="dxa"/>
            <w:tcBorders>
              <w:top w:val="nil"/>
              <w:left w:val="nil"/>
              <w:bottom w:val="single" w:sz="4" w:space="0" w:color="auto"/>
              <w:right w:val="single" w:sz="4" w:space="0" w:color="auto"/>
            </w:tcBorders>
            <w:shd w:val="clear" w:color="auto" w:fill="auto"/>
            <w:hideMark/>
          </w:tcPr>
          <w:p w14:paraId="409E8FC0" w14:textId="77777777" w:rsidR="00E23746" w:rsidRPr="00E50E5B" w:rsidRDefault="00E23746" w:rsidP="000B2F10">
            <w:pPr>
              <w:spacing w:after="0" w:line="240" w:lineRule="auto"/>
              <w:rPr>
                <w:rFonts w:eastAsia="Times New Roman" w:cs="Arial"/>
                <w:sz w:val="18"/>
                <w:szCs w:val="20"/>
                <w:lang w:val="es-MX" w:eastAsia="es-MX"/>
              </w:rPr>
            </w:pPr>
            <w:r w:rsidRPr="00E50E5B">
              <w:rPr>
                <w:rFonts w:eastAsia="Times New Roman" w:cs="Arial"/>
                <w:sz w:val="18"/>
                <w:szCs w:val="20"/>
                <w:lang w:val="es-MX" w:eastAsia="es-MX"/>
              </w:rPr>
              <w:t>C02A02 - Porcentaje de alumnos que concluyen su plan de estudios a través del Modelo de Formación Dual.</w:t>
            </w:r>
          </w:p>
        </w:tc>
        <w:tc>
          <w:tcPr>
            <w:tcW w:w="2835" w:type="dxa"/>
            <w:tcBorders>
              <w:top w:val="nil"/>
              <w:left w:val="nil"/>
              <w:bottom w:val="single" w:sz="4" w:space="0" w:color="auto"/>
              <w:right w:val="single" w:sz="4" w:space="0" w:color="auto"/>
            </w:tcBorders>
            <w:shd w:val="clear" w:color="auto" w:fill="auto"/>
            <w:hideMark/>
          </w:tcPr>
          <w:p w14:paraId="1DFD7C7D" w14:textId="77777777" w:rsidR="00E23746" w:rsidRPr="00E50E5B" w:rsidRDefault="00E23746" w:rsidP="000B2F10">
            <w:pPr>
              <w:spacing w:after="0" w:line="240" w:lineRule="auto"/>
              <w:rPr>
                <w:rFonts w:eastAsia="Times New Roman" w:cs="Arial"/>
                <w:sz w:val="18"/>
                <w:szCs w:val="20"/>
                <w:lang w:val="es-MX" w:eastAsia="es-MX"/>
              </w:rPr>
            </w:pPr>
            <w:r w:rsidRPr="00E50E5B">
              <w:rPr>
                <w:rFonts w:eastAsia="Times New Roman" w:cs="Arial"/>
                <w:sz w:val="18"/>
                <w:szCs w:val="20"/>
                <w:lang w:val="es-MX" w:eastAsia="es-MX"/>
              </w:rPr>
              <w:t>Reporte que emite el Sistema de Administración Escolar (SAE).</w:t>
            </w:r>
            <w:r w:rsidRPr="00E50E5B">
              <w:rPr>
                <w:rFonts w:eastAsia="Times New Roman" w:cs="Arial"/>
                <w:sz w:val="18"/>
                <w:szCs w:val="20"/>
                <w:lang w:val="es-MX" w:eastAsia="es-MX"/>
              </w:rPr>
              <w:br/>
              <w:t>http://transparencia.qroo.gob.mx/portaliframe/detalleRubro.php?iddep=37&amp;idrubro=6</w:t>
            </w:r>
          </w:p>
        </w:tc>
        <w:tc>
          <w:tcPr>
            <w:tcW w:w="1985" w:type="dxa"/>
            <w:tcBorders>
              <w:top w:val="nil"/>
              <w:left w:val="nil"/>
              <w:bottom w:val="single" w:sz="4" w:space="0" w:color="auto"/>
              <w:right w:val="single" w:sz="4" w:space="0" w:color="auto"/>
            </w:tcBorders>
            <w:shd w:val="clear" w:color="auto" w:fill="auto"/>
            <w:hideMark/>
          </w:tcPr>
          <w:p w14:paraId="209D82AE" w14:textId="77777777" w:rsidR="00E23746" w:rsidRPr="00E50E5B" w:rsidRDefault="00E23746" w:rsidP="000B2F10">
            <w:pPr>
              <w:spacing w:after="0" w:line="240" w:lineRule="auto"/>
              <w:rPr>
                <w:rFonts w:eastAsia="Times New Roman" w:cs="Arial"/>
                <w:sz w:val="18"/>
                <w:szCs w:val="20"/>
                <w:lang w:val="es-MX" w:eastAsia="es-MX"/>
              </w:rPr>
            </w:pPr>
            <w:r w:rsidRPr="00E50E5B">
              <w:rPr>
                <w:rFonts w:eastAsia="Times New Roman" w:cs="Arial"/>
                <w:sz w:val="18"/>
                <w:szCs w:val="20"/>
                <w:lang w:val="es-MX" w:eastAsia="es-MX"/>
              </w:rPr>
              <w:t>Las empresas del sector productivo firman convenios para el desarrollo de competencias profesionales de los alumnos.</w:t>
            </w:r>
          </w:p>
        </w:tc>
      </w:tr>
      <w:tr w:rsidR="00E23746" w:rsidRPr="00063F96" w14:paraId="6C6CF028" w14:textId="77777777" w:rsidTr="005A15E8">
        <w:trPr>
          <w:trHeight w:val="1785"/>
        </w:trPr>
        <w:tc>
          <w:tcPr>
            <w:tcW w:w="1413" w:type="dxa"/>
            <w:tcBorders>
              <w:top w:val="nil"/>
              <w:left w:val="single" w:sz="4" w:space="0" w:color="auto"/>
              <w:bottom w:val="single" w:sz="4" w:space="0" w:color="auto"/>
              <w:right w:val="single" w:sz="4" w:space="0" w:color="auto"/>
            </w:tcBorders>
            <w:shd w:val="clear" w:color="auto" w:fill="auto"/>
            <w:hideMark/>
          </w:tcPr>
          <w:p w14:paraId="202BA4BC" w14:textId="77777777" w:rsidR="00E23746" w:rsidRPr="00063F96" w:rsidRDefault="00E23746" w:rsidP="000B2F10">
            <w:pPr>
              <w:spacing w:after="0" w:line="240" w:lineRule="auto"/>
              <w:jc w:val="center"/>
              <w:rPr>
                <w:rFonts w:eastAsia="Times New Roman" w:cs="Arial"/>
                <w:b/>
                <w:bCs/>
                <w:sz w:val="20"/>
                <w:szCs w:val="20"/>
                <w:lang w:val="es-MX" w:eastAsia="es-MX"/>
              </w:rPr>
            </w:pPr>
            <w:r w:rsidRPr="00063F96">
              <w:rPr>
                <w:rFonts w:eastAsia="Times New Roman" w:cs="Arial"/>
                <w:b/>
                <w:bCs/>
                <w:sz w:val="20"/>
                <w:szCs w:val="20"/>
                <w:lang w:val="es-MX" w:eastAsia="es-MX"/>
              </w:rPr>
              <w:t>Actividad</w:t>
            </w:r>
          </w:p>
        </w:tc>
        <w:tc>
          <w:tcPr>
            <w:tcW w:w="2786" w:type="dxa"/>
            <w:tcBorders>
              <w:top w:val="nil"/>
              <w:left w:val="nil"/>
              <w:bottom w:val="single" w:sz="4" w:space="0" w:color="auto"/>
              <w:right w:val="single" w:sz="4" w:space="0" w:color="auto"/>
            </w:tcBorders>
            <w:shd w:val="clear" w:color="auto" w:fill="auto"/>
            <w:hideMark/>
          </w:tcPr>
          <w:p w14:paraId="455B8F1F" w14:textId="77777777" w:rsidR="00E23746" w:rsidRPr="00E50E5B" w:rsidRDefault="00E23746" w:rsidP="000B2F10">
            <w:pPr>
              <w:spacing w:after="0" w:line="240" w:lineRule="auto"/>
              <w:rPr>
                <w:rFonts w:eastAsia="Times New Roman" w:cs="Arial"/>
                <w:sz w:val="18"/>
                <w:szCs w:val="20"/>
                <w:lang w:val="es-MX" w:eastAsia="es-MX"/>
              </w:rPr>
            </w:pPr>
            <w:r w:rsidRPr="00E50E5B">
              <w:rPr>
                <w:rFonts w:eastAsia="Times New Roman" w:cs="Arial"/>
                <w:sz w:val="18"/>
                <w:szCs w:val="20"/>
                <w:lang w:val="es-MX" w:eastAsia="es-MX"/>
              </w:rPr>
              <w:t>Impulsar los servicios de evaluación y certificación de competencias laborales, servicios tecnológicos y capacitación, para facilitar la inserción y movilidad laboral de los alumnos y egresados de Educación Media Superior, así como de la población en general.</w:t>
            </w:r>
          </w:p>
        </w:tc>
        <w:tc>
          <w:tcPr>
            <w:tcW w:w="2835" w:type="dxa"/>
            <w:tcBorders>
              <w:top w:val="nil"/>
              <w:left w:val="nil"/>
              <w:bottom w:val="single" w:sz="4" w:space="0" w:color="auto"/>
              <w:right w:val="single" w:sz="4" w:space="0" w:color="auto"/>
            </w:tcBorders>
            <w:shd w:val="clear" w:color="auto" w:fill="auto"/>
            <w:hideMark/>
          </w:tcPr>
          <w:p w14:paraId="648E7565" w14:textId="77777777" w:rsidR="00E23746" w:rsidRPr="00E50E5B" w:rsidRDefault="00E23746" w:rsidP="000B2F10">
            <w:pPr>
              <w:spacing w:after="0" w:line="240" w:lineRule="auto"/>
              <w:rPr>
                <w:rFonts w:eastAsia="Times New Roman" w:cs="Arial"/>
                <w:sz w:val="18"/>
                <w:szCs w:val="20"/>
                <w:lang w:val="es-MX" w:eastAsia="es-MX"/>
              </w:rPr>
            </w:pPr>
            <w:r w:rsidRPr="00E50E5B">
              <w:rPr>
                <w:rFonts w:eastAsia="Times New Roman" w:cs="Arial"/>
                <w:sz w:val="18"/>
                <w:szCs w:val="20"/>
                <w:lang w:val="es-MX" w:eastAsia="es-MX"/>
              </w:rPr>
              <w:t>C02.A03 - Operación del programa de Capacitación y certificación de competencias.</w:t>
            </w:r>
          </w:p>
        </w:tc>
        <w:tc>
          <w:tcPr>
            <w:tcW w:w="2268" w:type="dxa"/>
            <w:tcBorders>
              <w:top w:val="nil"/>
              <w:left w:val="nil"/>
              <w:bottom w:val="single" w:sz="4" w:space="0" w:color="auto"/>
              <w:right w:val="single" w:sz="4" w:space="0" w:color="auto"/>
            </w:tcBorders>
            <w:shd w:val="clear" w:color="auto" w:fill="auto"/>
            <w:hideMark/>
          </w:tcPr>
          <w:p w14:paraId="483A9B6D" w14:textId="77777777" w:rsidR="00E23746" w:rsidRPr="00E50E5B" w:rsidRDefault="00E23746" w:rsidP="000B2F10">
            <w:pPr>
              <w:spacing w:after="0" w:line="240" w:lineRule="auto"/>
              <w:rPr>
                <w:rFonts w:eastAsia="Times New Roman" w:cs="Arial"/>
                <w:sz w:val="18"/>
                <w:szCs w:val="20"/>
                <w:lang w:val="es-MX" w:eastAsia="es-MX"/>
              </w:rPr>
            </w:pPr>
            <w:r w:rsidRPr="00E50E5B">
              <w:rPr>
                <w:rFonts w:eastAsia="Times New Roman" w:cs="Arial"/>
                <w:sz w:val="18"/>
                <w:szCs w:val="20"/>
                <w:lang w:val="es-MX" w:eastAsia="es-MX"/>
              </w:rPr>
              <w:t xml:space="preserve">C02A03 - Porcentaje de personas atendidas con capacitación laboral y certificación de competencias. </w:t>
            </w:r>
          </w:p>
        </w:tc>
        <w:tc>
          <w:tcPr>
            <w:tcW w:w="2835" w:type="dxa"/>
            <w:tcBorders>
              <w:top w:val="nil"/>
              <w:left w:val="nil"/>
              <w:bottom w:val="single" w:sz="4" w:space="0" w:color="auto"/>
              <w:right w:val="single" w:sz="4" w:space="0" w:color="auto"/>
            </w:tcBorders>
            <w:shd w:val="clear" w:color="auto" w:fill="auto"/>
            <w:hideMark/>
          </w:tcPr>
          <w:p w14:paraId="0B69887B" w14:textId="77777777" w:rsidR="00E23746" w:rsidRPr="00E50E5B" w:rsidRDefault="00E23746" w:rsidP="000B2F10">
            <w:pPr>
              <w:spacing w:after="0" w:line="240" w:lineRule="auto"/>
              <w:rPr>
                <w:rFonts w:eastAsia="Times New Roman" w:cs="Arial"/>
                <w:sz w:val="18"/>
                <w:szCs w:val="20"/>
                <w:lang w:val="es-MX" w:eastAsia="es-MX"/>
              </w:rPr>
            </w:pPr>
            <w:r w:rsidRPr="00E50E5B">
              <w:rPr>
                <w:rFonts w:eastAsia="Times New Roman" w:cs="Arial"/>
                <w:sz w:val="18"/>
                <w:szCs w:val="20"/>
                <w:lang w:val="es-MX" w:eastAsia="es-MX"/>
              </w:rPr>
              <w:t>Informe de resultados de personas atendidas.</w:t>
            </w:r>
            <w:r w:rsidRPr="00E50E5B">
              <w:rPr>
                <w:rFonts w:eastAsia="Times New Roman" w:cs="Arial"/>
                <w:sz w:val="18"/>
                <w:szCs w:val="20"/>
                <w:lang w:val="es-MX" w:eastAsia="es-MX"/>
              </w:rPr>
              <w:br/>
              <w:t>http://transparencia.qroo.gob.mx/portaliframe/detalleRubro.php?iddep=37&amp;idrubro=6</w:t>
            </w:r>
          </w:p>
        </w:tc>
        <w:tc>
          <w:tcPr>
            <w:tcW w:w="1985" w:type="dxa"/>
            <w:tcBorders>
              <w:top w:val="nil"/>
              <w:left w:val="nil"/>
              <w:bottom w:val="single" w:sz="4" w:space="0" w:color="auto"/>
              <w:right w:val="single" w:sz="4" w:space="0" w:color="auto"/>
            </w:tcBorders>
            <w:shd w:val="clear" w:color="auto" w:fill="auto"/>
            <w:hideMark/>
          </w:tcPr>
          <w:p w14:paraId="6AA58F07" w14:textId="77777777" w:rsidR="00E23746" w:rsidRPr="00E50E5B" w:rsidRDefault="00E23746" w:rsidP="000B2F10">
            <w:pPr>
              <w:spacing w:after="0" w:line="240" w:lineRule="auto"/>
              <w:rPr>
                <w:rFonts w:eastAsia="Times New Roman" w:cs="Arial"/>
                <w:sz w:val="18"/>
                <w:szCs w:val="20"/>
                <w:lang w:val="es-MX" w:eastAsia="es-MX"/>
              </w:rPr>
            </w:pPr>
            <w:r w:rsidRPr="00E50E5B">
              <w:rPr>
                <w:rFonts w:eastAsia="Times New Roman" w:cs="Arial"/>
                <w:sz w:val="18"/>
                <w:szCs w:val="20"/>
                <w:lang w:val="es-MX" w:eastAsia="es-MX"/>
              </w:rPr>
              <w:t>El sector productivo Público y Social contrata los servicios de capacitación que oferta el Conalep Quintana Roo.</w:t>
            </w:r>
          </w:p>
        </w:tc>
      </w:tr>
      <w:tr w:rsidR="00E23746" w:rsidRPr="00063F96" w14:paraId="1E3493B8" w14:textId="77777777" w:rsidTr="005A15E8">
        <w:trPr>
          <w:trHeight w:val="1260"/>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14:paraId="2A462EF6" w14:textId="77777777" w:rsidR="00E23746" w:rsidRPr="00063F96" w:rsidRDefault="00E23746" w:rsidP="000B2F10">
            <w:pPr>
              <w:spacing w:after="0" w:line="240" w:lineRule="auto"/>
              <w:jc w:val="center"/>
              <w:rPr>
                <w:rFonts w:eastAsia="Times New Roman" w:cs="Arial"/>
                <w:b/>
                <w:bCs/>
                <w:sz w:val="20"/>
                <w:szCs w:val="20"/>
                <w:lang w:val="es-MX" w:eastAsia="es-MX"/>
              </w:rPr>
            </w:pPr>
            <w:r w:rsidRPr="00063F96">
              <w:rPr>
                <w:rFonts w:eastAsia="Times New Roman" w:cs="Arial"/>
                <w:b/>
                <w:bCs/>
                <w:sz w:val="20"/>
                <w:szCs w:val="20"/>
                <w:lang w:val="es-MX" w:eastAsia="es-MX"/>
              </w:rPr>
              <w:t>Componente</w:t>
            </w:r>
          </w:p>
        </w:tc>
        <w:tc>
          <w:tcPr>
            <w:tcW w:w="2786" w:type="dxa"/>
            <w:tcBorders>
              <w:top w:val="single" w:sz="4" w:space="0" w:color="auto"/>
              <w:left w:val="nil"/>
              <w:bottom w:val="single" w:sz="4" w:space="0" w:color="auto"/>
              <w:right w:val="single" w:sz="4" w:space="0" w:color="auto"/>
            </w:tcBorders>
            <w:shd w:val="clear" w:color="auto" w:fill="auto"/>
            <w:hideMark/>
          </w:tcPr>
          <w:p w14:paraId="618453BB" w14:textId="77777777" w:rsidR="00E23746" w:rsidRPr="00E50E5B" w:rsidRDefault="00E23746" w:rsidP="000B2F10">
            <w:pPr>
              <w:spacing w:after="0" w:line="240" w:lineRule="auto"/>
              <w:rPr>
                <w:rFonts w:eastAsia="Times New Roman" w:cs="Arial"/>
                <w:sz w:val="18"/>
                <w:szCs w:val="20"/>
                <w:lang w:val="es-MX" w:eastAsia="es-MX"/>
              </w:rPr>
            </w:pPr>
            <w:r w:rsidRPr="00E50E5B">
              <w:rPr>
                <w:rFonts w:eastAsia="Times New Roman" w:cs="Arial"/>
                <w:sz w:val="18"/>
                <w:szCs w:val="20"/>
                <w:lang w:val="es-MX" w:eastAsia="es-MX"/>
              </w:rPr>
              <w:t>Implementar un programa para elevar la eficiencia terminal en la Educación Media Superior.</w:t>
            </w:r>
          </w:p>
        </w:tc>
        <w:tc>
          <w:tcPr>
            <w:tcW w:w="2835" w:type="dxa"/>
            <w:tcBorders>
              <w:top w:val="single" w:sz="4" w:space="0" w:color="auto"/>
              <w:left w:val="nil"/>
              <w:bottom w:val="single" w:sz="4" w:space="0" w:color="auto"/>
              <w:right w:val="single" w:sz="4" w:space="0" w:color="auto"/>
            </w:tcBorders>
            <w:shd w:val="clear" w:color="auto" w:fill="auto"/>
            <w:hideMark/>
          </w:tcPr>
          <w:p w14:paraId="2C8D07E6" w14:textId="77777777" w:rsidR="00E23746" w:rsidRPr="00E50E5B" w:rsidRDefault="00E23746" w:rsidP="000B2F10">
            <w:pPr>
              <w:spacing w:after="0" w:line="240" w:lineRule="auto"/>
              <w:rPr>
                <w:rFonts w:eastAsia="Times New Roman" w:cs="Arial"/>
                <w:sz w:val="18"/>
                <w:szCs w:val="20"/>
                <w:lang w:val="es-MX" w:eastAsia="es-MX"/>
              </w:rPr>
            </w:pPr>
            <w:r w:rsidRPr="00E50E5B">
              <w:rPr>
                <w:rFonts w:eastAsia="Times New Roman" w:cs="Arial"/>
                <w:sz w:val="18"/>
                <w:szCs w:val="20"/>
                <w:lang w:val="es-MX" w:eastAsia="es-MX"/>
              </w:rPr>
              <w:t>C03 - Alumnos con programas de formación integral, atendidos .</w:t>
            </w:r>
          </w:p>
        </w:tc>
        <w:tc>
          <w:tcPr>
            <w:tcW w:w="2268" w:type="dxa"/>
            <w:tcBorders>
              <w:top w:val="single" w:sz="4" w:space="0" w:color="auto"/>
              <w:left w:val="nil"/>
              <w:bottom w:val="single" w:sz="4" w:space="0" w:color="auto"/>
              <w:right w:val="single" w:sz="4" w:space="0" w:color="auto"/>
            </w:tcBorders>
            <w:shd w:val="clear" w:color="auto" w:fill="auto"/>
            <w:hideMark/>
          </w:tcPr>
          <w:p w14:paraId="3974C9AA" w14:textId="77777777" w:rsidR="00E23746" w:rsidRPr="00E50E5B" w:rsidRDefault="00E23746" w:rsidP="000B2F10">
            <w:pPr>
              <w:spacing w:after="0" w:line="240" w:lineRule="auto"/>
              <w:rPr>
                <w:rFonts w:eastAsia="Times New Roman" w:cs="Arial"/>
                <w:sz w:val="18"/>
                <w:szCs w:val="20"/>
                <w:lang w:val="es-MX" w:eastAsia="es-MX"/>
              </w:rPr>
            </w:pPr>
            <w:r w:rsidRPr="00E50E5B">
              <w:rPr>
                <w:rFonts w:eastAsia="Times New Roman" w:cs="Arial"/>
                <w:sz w:val="18"/>
                <w:szCs w:val="20"/>
                <w:lang w:val="es-MX" w:eastAsia="es-MX"/>
              </w:rPr>
              <w:t>C03 - Porcentaje de Eficiencia Terminal.</w:t>
            </w:r>
          </w:p>
        </w:tc>
        <w:tc>
          <w:tcPr>
            <w:tcW w:w="2835" w:type="dxa"/>
            <w:tcBorders>
              <w:top w:val="single" w:sz="4" w:space="0" w:color="auto"/>
              <w:left w:val="nil"/>
              <w:bottom w:val="single" w:sz="4" w:space="0" w:color="auto"/>
              <w:right w:val="single" w:sz="4" w:space="0" w:color="auto"/>
            </w:tcBorders>
            <w:shd w:val="clear" w:color="auto" w:fill="auto"/>
            <w:hideMark/>
          </w:tcPr>
          <w:p w14:paraId="506940B2" w14:textId="77777777" w:rsidR="00E23746" w:rsidRPr="00E50E5B" w:rsidRDefault="00E23746" w:rsidP="000B2F10">
            <w:pPr>
              <w:spacing w:after="0" w:line="240" w:lineRule="auto"/>
              <w:rPr>
                <w:rFonts w:eastAsia="Times New Roman" w:cs="Arial"/>
                <w:sz w:val="18"/>
                <w:szCs w:val="20"/>
                <w:lang w:val="es-MX" w:eastAsia="es-MX"/>
              </w:rPr>
            </w:pPr>
            <w:r w:rsidRPr="00E50E5B">
              <w:rPr>
                <w:rFonts w:eastAsia="Times New Roman" w:cs="Arial"/>
                <w:sz w:val="18"/>
                <w:szCs w:val="20"/>
                <w:lang w:val="es-MX" w:eastAsia="es-MX"/>
              </w:rPr>
              <w:t>Estadística básica de la Jefatura de Servicios Escolares.</w:t>
            </w:r>
            <w:r w:rsidRPr="00E50E5B">
              <w:rPr>
                <w:rFonts w:eastAsia="Times New Roman" w:cs="Arial"/>
                <w:sz w:val="18"/>
                <w:szCs w:val="20"/>
                <w:lang w:val="es-MX" w:eastAsia="es-MX"/>
              </w:rPr>
              <w:br/>
            </w:r>
            <w:hyperlink r:id="rId69" w:history="1">
              <w:r w:rsidRPr="00E50E5B">
                <w:rPr>
                  <w:rStyle w:val="Hipervnculo"/>
                  <w:rFonts w:eastAsia="Times New Roman" w:cs="Arial"/>
                  <w:sz w:val="18"/>
                  <w:szCs w:val="20"/>
                  <w:lang w:val="es-MX" w:eastAsia="es-MX"/>
                </w:rPr>
                <w:t>http://transparencia.qroo.gob.mx/portaliframe/detalleRubro.php?iddep=37&amp;idrubro=6</w:t>
              </w:r>
            </w:hyperlink>
          </w:p>
          <w:p w14:paraId="6C5D1EE1" w14:textId="77777777" w:rsidR="00E23746" w:rsidRPr="00E50E5B" w:rsidRDefault="00E23746" w:rsidP="000B2F10">
            <w:pPr>
              <w:spacing w:after="0" w:line="240" w:lineRule="auto"/>
              <w:rPr>
                <w:rFonts w:eastAsia="Times New Roman" w:cs="Arial"/>
                <w:sz w:val="18"/>
                <w:szCs w:val="20"/>
                <w:lang w:val="es-MX" w:eastAsia="es-MX"/>
              </w:rPr>
            </w:pPr>
          </w:p>
        </w:tc>
        <w:tc>
          <w:tcPr>
            <w:tcW w:w="1985" w:type="dxa"/>
            <w:tcBorders>
              <w:top w:val="single" w:sz="4" w:space="0" w:color="auto"/>
              <w:left w:val="nil"/>
              <w:bottom w:val="single" w:sz="4" w:space="0" w:color="auto"/>
              <w:right w:val="single" w:sz="4" w:space="0" w:color="auto"/>
            </w:tcBorders>
            <w:shd w:val="clear" w:color="auto" w:fill="auto"/>
            <w:hideMark/>
          </w:tcPr>
          <w:p w14:paraId="4B768E0E" w14:textId="77777777" w:rsidR="00E23746" w:rsidRPr="00E50E5B" w:rsidRDefault="00E23746" w:rsidP="000B2F10">
            <w:pPr>
              <w:spacing w:after="0" w:line="240" w:lineRule="auto"/>
              <w:rPr>
                <w:rFonts w:eastAsia="Times New Roman" w:cs="Arial"/>
                <w:sz w:val="18"/>
                <w:szCs w:val="20"/>
                <w:lang w:val="es-MX" w:eastAsia="es-MX"/>
              </w:rPr>
            </w:pPr>
            <w:r w:rsidRPr="00E50E5B">
              <w:rPr>
                <w:rFonts w:eastAsia="Times New Roman" w:cs="Arial"/>
                <w:sz w:val="18"/>
                <w:szCs w:val="20"/>
                <w:lang w:val="es-MX" w:eastAsia="es-MX"/>
              </w:rPr>
              <w:t>Los alumnos detectados en riesgo de abandono escolar , ingresan en los programas integrales.</w:t>
            </w:r>
          </w:p>
        </w:tc>
      </w:tr>
    </w:tbl>
    <w:p w14:paraId="43F67012" w14:textId="77777777" w:rsidR="00D345CB" w:rsidRDefault="00D345CB">
      <w:pPr>
        <w:spacing w:after="0" w:line="240" w:lineRule="auto"/>
        <w:jc w:val="left"/>
      </w:pPr>
      <w:r>
        <w:br w:type="page"/>
      </w:r>
    </w:p>
    <w:tbl>
      <w:tblPr>
        <w:tblW w:w="14122" w:type="dxa"/>
        <w:tblLayout w:type="fixed"/>
        <w:tblCellMar>
          <w:left w:w="70" w:type="dxa"/>
          <w:right w:w="70" w:type="dxa"/>
        </w:tblCellMar>
        <w:tblLook w:val="04A0" w:firstRow="1" w:lastRow="0" w:firstColumn="1" w:lastColumn="0" w:noHBand="0" w:noVBand="1"/>
      </w:tblPr>
      <w:tblGrid>
        <w:gridCol w:w="1271"/>
        <w:gridCol w:w="2928"/>
        <w:gridCol w:w="2835"/>
        <w:gridCol w:w="2268"/>
        <w:gridCol w:w="2835"/>
        <w:gridCol w:w="1985"/>
      </w:tblGrid>
      <w:tr w:rsidR="00E23746" w:rsidRPr="00063F96" w14:paraId="2ED79084" w14:textId="77777777" w:rsidTr="00D345CB">
        <w:trPr>
          <w:trHeight w:val="552"/>
        </w:trPr>
        <w:tc>
          <w:tcPr>
            <w:tcW w:w="1271"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6213AB25" w14:textId="77777777" w:rsidR="00E23746" w:rsidRPr="00063F96" w:rsidRDefault="00E23746" w:rsidP="000B2F10">
            <w:pPr>
              <w:spacing w:after="0" w:line="240" w:lineRule="auto"/>
              <w:jc w:val="center"/>
              <w:rPr>
                <w:rFonts w:eastAsia="Times New Roman" w:cs="Arial"/>
                <w:b/>
                <w:bCs/>
                <w:sz w:val="20"/>
                <w:szCs w:val="20"/>
                <w:lang w:val="es-MX" w:eastAsia="es-MX"/>
              </w:rPr>
            </w:pPr>
            <w:r w:rsidRPr="00063F96">
              <w:rPr>
                <w:rFonts w:eastAsia="Times New Roman" w:cs="Arial"/>
                <w:b/>
                <w:bCs/>
                <w:sz w:val="20"/>
                <w:szCs w:val="20"/>
                <w:lang w:val="es-MX" w:eastAsia="es-MX"/>
              </w:rPr>
              <w:lastRenderedPageBreak/>
              <w:t>NIVEL</w:t>
            </w:r>
          </w:p>
        </w:tc>
        <w:tc>
          <w:tcPr>
            <w:tcW w:w="2928" w:type="dxa"/>
            <w:tcBorders>
              <w:top w:val="single" w:sz="4" w:space="0" w:color="auto"/>
              <w:left w:val="nil"/>
              <w:bottom w:val="single" w:sz="4" w:space="0" w:color="auto"/>
              <w:right w:val="single" w:sz="4" w:space="0" w:color="auto"/>
            </w:tcBorders>
            <w:shd w:val="clear" w:color="000000" w:fill="BFBFBF"/>
            <w:vAlign w:val="center"/>
            <w:hideMark/>
          </w:tcPr>
          <w:p w14:paraId="27999837" w14:textId="77777777" w:rsidR="00E23746" w:rsidRPr="00063F96" w:rsidRDefault="00E23746" w:rsidP="000B2F10">
            <w:pPr>
              <w:spacing w:after="0" w:line="240" w:lineRule="auto"/>
              <w:jc w:val="center"/>
              <w:rPr>
                <w:rFonts w:eastAsia="Times New Roman" w:cs="Arial"/>
                <w:b/>
                <w:bCs/>
                <w:sz w:val="20"/>
                <w:szCs w:val="20"/>
                <w:lang w:val="es-MX" w:eastAsia="es-MX"/>
              </w:rPr>
            </w:pPr>
            <w:r w:rsidRPr="00063F96">
              <w:rPr>
                <w:rFonts w:eastAsia="Times New Roman" w:cs="Arial"/>
                <w:b/>
                <w:bCs/>
                <w:sz w:val="20"/>
                <w:szCs w:val="20"/>
                <w:lang w:val="es-MX" w:eastAsia="es-MX"/>
              </w:rPr>
              <w:t>ALINEACIÓN PED/PD</w:t>
            </w:r>
          </w:p>
        </w:tc>
        <w:tc>
          <w:tcPr>
            <w:tcW w:w="2835" w:type="dxa"/>
            <w:tcBorders>
              <w:top w:val="single" w:sz="4" w:space="0" w:color="auto"/>
              <w:left w:val="nil"/>
              <w:bottom w:val="single" w:sz="4" w:space="0" w:color="auto"/>
              <w:right w:val="single" w:sz="4" w:space="0" w:color="auto"/>
            </w:tcBorders>
            <w:shd w:val="clear" w:color="000000" w:fill="BFBFBF"/>
            <w:vAlign w:val="center"/>
            <w:hideMark/>
          </w:tcPr>
          <w:p w14:paraId="4A712D6D" w14:textId="77777777" w:rsidR="00E23746" w:rsidRPr="00063F96" w:rsidRDefault="00E23746" w:rsidP="000B2F10">
            <w:pPr>
              <w:spacing w:after="0" w:line="240" w:lineRule="auto"/>
              <w:jc w:val="center"/>
              <w:rPr>
                <w:rFonts w:eastAsia="Times New Roman" w:cs="Arial"/>
                <w:b/>
                <w:bCs/>
                <w:sz w:val="20"/>
                <w:szCs w:val="20"/>
                <w:lang w:val="es-MX" w:eastAsia="es-MX"/>
              </w:rPr>
            </w:pPr>
            <w:r w:rsidRPr="00063F96">
              <w:rPr>
                <w:rFonts w:eastAsia="Times New Roman" w:cs="Arial"/>
                <w:b/>
                <w:bCs/>
                <w:sz w:val="20"/>
                <w:szCs w:val="20"/>
                <w:lang w:val="es-MX" w:eastAsia="es-MX"/>
              </w:rPr>
              <w:t>OBJETIVO</w:t>
            </w:r>
          </w:p>
        </w:tc>
        <w:tc>
          <w:tcPr>
            <w:tcW w:w="2268" w:type="dxa"/>
            <w:tcBorders>
              <w:top w:val="single" w:sz="4" w:space="0" w:color="auto"/>
              <w:left w:val="nil"/>
              <w:bottom w:val="single" w:sz="4" w:space="0" w:color="auto"/>
              <w:right w:val="single" w:sz="4" w:space="0" w:color="auto"/>
            </w:tcBorders>
            <w:shd w:val="clear" w:color="000000" w:fill="BFBFBF"/>
            <w:vAlign w:val="center"/>
            <w:hideMark/>
          </w:tcPr>
          <w:p w14:paraId="72E89852" w14:textId="77777777" w:rsidR="00E23746" w:rsidRPr="00063F96" w:rsidRDefault="00E23746" w:rsidP="000B2F10">
            <w:pPr>
              <w:spacing w:after="0" w:line="240" w:lineRule="auto"/>
              <w:jc w:val="center"/>
              <w:rPr>
                <w:rFonts w:eastAsia="Times New Roman" w:cs="Arial"/>
                <w:b/>
                <w:bCs/>
                <w:sz w:val="20"/>
                <w:szCs w:val="20"/>
                <w:lang w:val="es-MX" w:eastAsia="es-MX"/>
              </w:rPr>
            </w:pPr>
            <w:r w:rsidRPr="00063F96">
              <w:rPr>
                <w:rFonts w:eastAsia="Times New Roman" w:cs="Arial"/>
                <w:b/>
                <w:bCs/>
                <w:sz w:val="20"/>
                <w:szCs w:val="20"/>
                <w:lang w:val="es-MX" w:eastAsia="es-MX"/>
              </w:rPr>
              <w:t>INDICADOR</w:t>
            </w:r>
          </w:p>
        </w:tc>
        <w:tc>
          <w:tcPr>
            <w:tcW w:w="2835" w:type="dxa"/>
            <w:tcBorders>
              <w:top w:val="single" w:sz="4" w:space="0" w:color="auto"/>
              <w:left w:val="nil"/>
              <w:bottom w:val="single" w:sz="4" w:space="0" w:color="auto"/>
              <w:right w:val="single" w:sz="4" w:space="0" w:color="auto"/>
            </w:tcBorders>
            <w:shd w:val="clear" w:color="000000" w:fill="BFBFBF"/>
            <w:vAlign w:val="center"/>
            <w:hideMark/>
          </w:tcPr>
          <w:p w14:paraId="602866F1" w14:textId="77777777" w:rsidR="00E23746" w:rsidRPr="00063F96" w:rsidRDefault="00E23746" w:rsidP="000B2F10">
            <w:pPr>
              <w:spacing w:after="0" w:line="240" w:lineRule="auto"/>
              <w:jc w:val="center"/>
              <w:rPr>
                <w:rFonts w:eastAsia="Times New Roman" w:cs="Arial"/>
                <w:b/>
                <w:bCs/>
                <w:sz w:val="20"/>
                <w:szCs w:val="20"/>
                <w:lang w:val="es-MX" w:eastAsia="es-MX"/>
              </w:rPr>
            </w:pPr>
            <w:r w:rsidRPr="00063F96">
              <w:rPr>
                <w:rFonts w:eastAsia="Times New Roman" w:cs="Arial"/>
                <w:b/>
                <w:bCs/>
                <w:sz w:val="20"/>
                <w:szCs w:val="20"/>
                <w:lang w:val="es-MX" w:eastAsia="es-MX"/>
              </w:rPr>
              <w:t>MEDIOS DE VERIFICACIÓN</w:t>
            </w:r>
          </w:p>
        </w:tc>
        <w:tc>
          <w:tcPr>
            <w:tcW w:w="1985" w:type="dxa"/>
            <w:tcBorders>
              <w:top w:val="single" w:sz="4" w:space="0" w:color="auto"/>
              <w:left w:val="nil"/>
              <w:bottom w:val="single" w:sz="4" w:space="0" w:color="auto"/>
              <w:right w:val="single" w:sz="4" w:space="0" w:color="auto"/>
            </w:tcBorders>
            <w:shd w:val="clear" w:color="000000" w:fill="BFBFBF"/>
            <w:vAlign w:val="center"/>
            <w:hideMark/>
          </w:tcPr>
          <w:p w14:paraId="09020DC9" w14:textId="77777777" w:rsidR="00E23746" w:rsidRPr="00063F96" w:rsidRDefault="00E23746" w:rsidP="000B2F10">
            <w:pPr>
              <w:spacing w:after="0" w:line="240" w:lineRule="auto"/>
              <w:jc w:val="center"/>
              <w:rPr>
                <w:rFonts w:eastAsia="Times New Roman" w:cs="Arial"/>
                <w:b/>
                <w:bCs/>
                <w:sz w:val="20"/>
                <w:szCs w:val="20"/>
                <w:lang w:val="es-MX" w:eastAsia="es-MX"/>
              </w:rPr>
            </w:pPr>
            <w:r w:rsidRPr="00063F96">
              <w:rPr>
                <w:rFonts w:eastAsia="Times New Roman" w:cs="Arial"/>
                <w:b/>
                <w:bCs/>
                <w:sz w:val="20"/>
                <w:szCs w:val="20"/>
                <w:lang w:val="es-MX" w:eastAsia="es-MX"/>
              </w:rPr>
              <w:t>SUPUESTO</w:t>
            </w:r>
          </w:p>
        </w:tc>
      </w:tr>
      <w:tr w:rsidR="00E23746" w:rsidRPr="00063F96" w14:paraId="4DD4C553" w14:textId="77777777" w:rsidTr="00D345CB">
        <w:trPr>
          <w:trHeight w:val="1380"/>
        </w:trPr>
        <w:tc>
          <w:tcPr>
            <w:tcW w:w="1271" w:type="dxa"/>
            <w:tcBorders>
              <w:top w:val="single" w:sz="4" w:space="0" w:color="auto"/>
              <w:left w:val="single" w:sz="4" w:space="0" w:color="auto"/>
              <w:bottom w:val="single" w:sz="4" w:space="0" w:color="auto"/>
              <w:right w:val="single" w:sz="4" w:space="0" w:color="auto"/>
            </w:tcBorders>
            <w:shd w:val="clear" w:color="auto" w:fill="auto"/>
            <w:hideMark/>
          </w:tcPr>
          <w:p w14:paraId="1ECFF025" w14:textId="77777777" w:rsidR="00E23746" w:rsidRPr="00063F96" w:rsidRDefault="00E23746" w:rsidP="000B2F10">
            <w:pPr>
              <w:spacing w:after="0" w:line="240" w:lineRule="auto"/>
              <w:jc w:val="center"/>
              <w:rPr>
                <w:rFonts w:eastAsia="Times New Roman" w:cs="Arial"/>
                <w:b/>
                <w:bCs/>
                <w:sz w:val="20"/>
                <w:szCs w:val="20"/>
                <w:lang w:val="es-MX" w:eastAsia="es-MX"/>
              </w:rPr>
            </w:pPr>
            <w:r w:rsidRPr="00063F96">
              <w:rPr>
                <w:rFonts w:eastAsia="Times New Roman" w:cs="Arial"/>
                <w:b/>
                <w:bCs/>
                <w:sz w:val="20"/>
                <w:szCs w:val="20"/>
                <w:lang w:val="es-MX" w:eastAsia="es-MX"/>
              </w:rPr>
              <w:t>Actividad</w:t>
            </w:r>
          </w:p>
        </w:tc>
        <w:tc>
          <w:tcPr>
            <w:tcW w:w="2928" w:type="dxa"/>
            <w:tcBorders>
              <w:top w:val="single" w:sz="4" w:space="0" w:color="auto"/>
              <w:left w:val="nil"/>
              <w:bottom w:val="single" w:sz="4" w:space="0" w:color="auto"/>
              <w:right w:val="single" w:sz="4" w:space="0" w:color="auto"/>
            </w:tcBorders>
            <w:shd w:val="clear" w:color="auto" w:fill="auto"/>
            <w:hideMark/>
          </w:tcPr>
          <w:p w14:paraId="2A3C8D44" w14:textId="77777777" w:rsidR="00E23746" w:rsidRPr="00063F96" w:rsidRDefault="00E23746" w:rsidP="000B2F10">
            <w:pPr>
              <w:spacing w:after="0" w:line="240" w:lineRule="auto"/>
              <w:rPr>
                <w:rFonts w:eastAsia="Times New Roman" w:cs="Arial"/>
                <w:sz w:val="20"/>
                <w:szCs w:val="20"/>
                <w:lang w:val="es-MX" w:eastAsia="es-MX"/>
              </w:rPr>
            </w:pPr>
            <w:r w:rsidRPr="00063F96">
              <w:rPr>
                <w:rFonts w:eastAsia="Times New Roman" w:cs="Arial"/>
                <w:sz w:val="20"/>
                <w:szCs w:val="20"/>
                <w:lang w:val="es-MX" w:eastAsia="es-MX"/>
              </w:rPr>
              <w:t>Impulsar la participación de los padres de familia en la formación integral de los alumnos.</w:t>
            </w:r>
          </w:p>
        </w:tc>
        <w:tc>
          <w:tcPr>
            <w:tcW w:w="2835" w:type="dxa"/>
            <w:tcBorders>
              <w:top w:val="single" w:sz="4" w:space="0" w:color="auto"/>
              <w:left w:val="nil"/>
              <w:bottom w:val="single" w:sz="4" w:space="0" w:color="auto"/>
              <w:right w:val="single" w:sz="4" w:space="0" w:color="auto"/>
            </w:tcBorders>
            <w:shd w:val="clear" w:color="auto" w:fill="auto"/>
            <w:hideMark/>
          </w:tcPr>
          <w:p w14:paraId="70042AAA" w14:textId="77777777" w:rsidR="00E23746" w:rsidRPr="00063F96" w:rsidRDefault="00E23746" w:rsidP="000B2F10">
            <w:pPr>
              <w:spacing w:after="0" w:line="240" w:lineRule="auto"/>
              <w:rPr>
                <w:rFonts w:eastAsia="Times New Roman" w:cs="Arial"/>
                <w:sz w:val="20"/>
                <w:szCs w:val="20"/>
                <w:lang w:val="es-MX" w:eastAsia="es-MX"/>
              </w:rPr>
            </w:pPr>
            <w:r w:rsidRPr="00063F96">
              <w:rPr>
                <w:rFonts w:eastAsia="Times New Roman" w:cs="Arial"/>
                <w:sz w:val="20"/>
                <w:szCs w:val="20"/>
                <w:lang w:val="es-MX" w:eastAsia="es-MX"/>
              </w:rPr>
              <w:t>C03.A01 - Operación del programa de orientación educativa.</w:t>
            </w:r>
          </w:p>
        </w:tc>
        <w:tc>
          <w:tcPr>
            <w:tcW w:w="2268" w:type="dxa"/>
            <w:tcBorders>
              <w:top w:val="single" w:sz="4" w:space="0" w:color="auto"/>
              <w:left w:val="nil"/>
              <w:bottom w:val="single" w:sz="4" w:space="0" w:color="auto"/>
              <w:right w:val="single" w:sz="4" w:space="0" w:color="auto"/>
            </w:tcBorders>
            <w:shd w:val="clear" w:color="auto" w:fill="auto"/>
            <w:hideMark/>
          </w:tcPr>
          <w:p w14:paraId="6AE5A81A" w14:textId="77777777" w:rsidR="00E23746" w:rsidRPr="00063F96" w:rsidRDefault="00E23746" w:rsidP="000B2F10">
            <w:pPr>
              <w:spacing w:after="0" w:line="240" w:lineRule="auto"/>
              <w:rPr>
                <w:rFonts w:eastAsia="Times New Roman" w:cs="Arial"/>
                <w:sz w:val="20"/>
                <w:szCs w:val="20"/>
                <w:lang w:val="es-MX" w:eastAsia="es-MX"/>
              </w:rPr>
            </w:pPr>
            <w:r w:rsidRPr="00063F96">
              <w:rPr>
                <w:rFonts w:eastAsia="Times New Roman" w:cs="Arial"/>
                <w:sz w:val="20"/>
                <w:szCs w:val="20"/>
                <w:lang w:val="es-MX" w:eastAsia="es-MX"/>
              </w:rPr>
              <w:t>C03A01 - Porcentaje de alumnos con acompañamiento integral recibido mediante orientación educativa</w:t>
            </w:r>
            <w:r>
              <w:rPr>
                <w:rFonts w:eastAsia="Times New Roman" w:cs="Arial"/>
                <w:sz w:val="20"/>
                <w:szCs w:val="20"/>
                <w:lang w:val="es-MX" w:eastAsia="es-MX"/>
              </w:rPr>
              <w:t>.</w:t>
            </w:r>
          </w:p>
        </w:tc>
        <w:tc>
          <w:tcPr>
            <w:tcW w:w="2835" w:type="dxa"/>
            <w:tcBorders>
              <w:top w:val="single" w:sz="4" w:space="0" w:color="auto"/>
              <w:left w:val="nil"/>
              <w:bottom w:val="single" w:sz="4" w:space="0" w:color="auto"/>
              <w:right w:val="single" w:sz="4" w:space="0" w:color="auto"/>
            </w:tcBorders>
            <w:shd w:val="clear" w:color="auto" w:fill="auto"/>
            <w:hideMark/>
          </w:tcPr>
          <w:p w14:paraId="076EE077" w14:textId="77777777" w:rsidR="00E23746" w:rsidRPr="00063F96" w:rsidRDefault="00E23746" w:rsidP="000B2F10">
            <w:pPr>
              <w:spacing w:after="0" w:line="240" w:lineRule="auto"/>
              <w:rPr>
                <w:rFonts w:eastAsia="Times New Roman" w:cs="Arial"/>
                <w:sz w:val="20"/>
                <w:szCs w:val="20"/>
                <w:lang w:val="es-MX" w:eastAsia="es-MX"/>
              </w:rPr>
            </w:pPr>
            <w:r w:rsidRPr="00063F96">
              <w:rPr>
                <w:rFonts w:eastAsia="Times New Roman" w:cs="Arial"/>
                <w:sz w:val="20"/>
                <w:szCs w:val="20"/>
                <w:lang w:val="es-MX" w:eastAsia="es-MX"/>
              </w:rPr>
              <w:t>Reportes mensuales de atención a alumnos en orientación educativa.</w:t>
            </w:r>
            <w:r w:rsidRPr="00063F96">
              <w:rPr>
                <w:rFonts w:eastAsia="Times New Roman" w:cs="Arial"/>
                <w:sz w:val="20"/>
                <w:szCs w:val="20"/>
                <w:lang w:val="es-MX" w:eastAsia="es-MX"/>
              </w:rPr>
              <w:br/>
              <w:t>http://transparencia.qroo.gob.mx/portaliframe/detalleRubro.php?iddep=37&amp;idrubro=6</w:t>
            </w:r>
          </w:p>
        </w:tc>
        <w:tc>
          <w:tcPr>
            <w:tcW w:w="1985" w:type="dxa"/>
            <w:tcBorders>
              <w:top w:val="single" w:sz="4" w:space="0" w:color="auto"/>
              <w:left w:val="nil"/>
              <w:bottom w:val="single" w:sz="4" w:space="0" w:color="auto"/>
              <w:right w:val="single" w:sz="4" w:space="0" w:color="auto"/>
            </w:tcBorders>
            <w:shd w:val="clear" w:color="auto" w:fill="auto"/>
            <w:hideMark/>
          </w:tcPr>
          <w:p w14:paraId="43A5E1D0" w14:textId="77777777" w:rsidR="00E23746" w:rsidRPr="00063F96" w:rsidRDefault="00E23746" w:rsidP="000B2F10">
            <w:pPr>
              <w:spacing w:after="0" w:line="240" w:lineRule="auto"/>
              <w:rPr>
                <w:rFonts w:eastAsia="Times New Roman" w:cs="Arial"/>
                <w:sz w:val="20"/>
                <w:szCs w:val="20"/>
                <w:lang w:val="es-MX" w:eastAsia="es-MX"/>
              </w:rPr>
            </w:pPr>
            <w:r w:rsidRPr="00063F96">
              <w:rPr>
                <w:rFonts w:eastAsia="Times New Roman" w:cs="Arial"/>
                <w:sz w:val="20"/>
                <w:szCs w:val="20"/>
                <w:lang w:val="es-MX" w:eastAsia="es-MX"/>
              </w:rPr>
              <w:t>Los alumnos, ingresan en los programas de orientación.</w:t>
            </w:r>
          </w:p>
        </w:tc>
      </w:tr>
      <w:tr w:rsidR="00E23746" w:rsidRPr="00063F96" w14:paraId="064820CE" w14:textId="77777777" w:rsidTr="00D345CB">
        <w:trPr>
          <w:trHeight w:val="1290"/>
        </w:trPr>
        <w:tc>
          <w:tcPr>
            <w:tcW w:w="1271" w:type="dxa"/>
            <w:tcBorders>
              <w:top w:val="nil"/>
              <w:left w:val="single" w:sz="4" w:space="0" w:color="auto"/>
              <w:bottom w:val="single" w:sz="4" w:space="0" w:color="auto"/>
              <w:right w:val="single" w:sz="4" w:space="0" w:color="auto"/>
            </w:tcBorders>
            <w:shd w:val="clear" w:color="auto" w:fill="auto"/>
            <w:hideMark/>
          </w:tcPr>
          <w:p w14:paraId="76A2D60B" w14:textId="77777777" w:rsidR="00E23746" w:rsidRPr="00063F96" w:rsidRDefault="00E23746" w:rsidP="000B2F10">
            <w:pPr>
              <w:spacing w:after="0" w:line="240" w:lineRule="auto"/>
              <w:jc w:val="center"/>
              <w:rPr>
                <w:rFonts w:eastAsia="Times New Roman" w:cs="Arial"/>
                <w:b/>
                <w:bCs/>
                <w:sz w:val="20"/>
                <w:szCs w:val="20"/>
                <w:lang w:val="es-MX" w:eastAsia="es-MX"/>
              </w:rPr>
            </w:pPr>
            <w:r w:rsidRPr="00063F96">
              <w:rPr>
                <w:rFonts w:eastAsia="Times New Roman" w:cs="Arial"/>
                <w:b/>
                <w:bCs/>
                <w:sz w:val="20"/>
                <w:szCs w:val="20"/>
                <w:lang w:val="es-MX" w:eastAsia="es-MX"/>
              </w:rPr>
              <w:t>Actividad</w:t>
            </w:r>
          </w:p>
        </w:tc>
        <w:tc>
          <w:tcPr>
            <w:tcW w:w="2928" w:type="dxa"/>
            <w:tcBorders>
              <w:top w:val="nil"/>
              <w:left w:val="nil"/>
              <w:bottom w:val="single" w:sz="4" w:space="0" w:color="auto"/>
              <w:right w:val="single" w:sz="4" w:space="0" w:color="auto"/>
            </w:tcBorders>
            <w:shd w:val="clear" w:color="auto" w:fill="auto"/>
            <w:hideMark/>
          </w:tcPr>
          <w:p w14:paraId="5FFA5C7B" w14:textId="77777777" w:rsidR="00E23746" w:rsidRPr="00063F96" w:rsidRDefault="00E23746" w:rsidP="000B2F10">
            <w:pPr>
              <w:spacing w:after="0" w:line="240" w:lineRule="auto"/>
              <w:rPr>
                <w:rFonts w:eastAsia="Times New Roman" w:cs="Arial"/>
                <w:sz w:val="20"/>
                <w:szCs w:val="20"/>
                <w:lang w:val="es-MX" w:eastAsia="es-MX"/>
              </w:rPr>
            </w:pPr>
            <w:r w:rsidRPr="00063F96">
              <w:rPr>
                <w:rFonts w:eastAsia="Times New Roman" w:cs="Arial"/>
                <w:sz w:val="20"/>
                <w:szCs w:val="20"/>
                <w:lang w:val="es-MX" w:eastAsia="es-MX"/>
              </w:rPr>
              <w:t>Impulsar la formación integral de los estudiantes en el nivel medio superior.</w:t>
            </w:r>
          </w:p>
        </w:tc>
        <w:tc>
          <w:tcPr>
            <w:tcW w:w="2835" w:type="dxa"/>
            <w:tcBorders>
              <w:top w:val="nil"/>
              <w:left w:val="nil"/>
              <w:bottom w:val="single" w:sz="4" w:space="0" w:color="auto"/>
              <w:right w:val="single" w:sz="4" w:space="0" w:color="auto"/>
            </w:tcBorders>
            <w:shd w:val="clear" w:color="auto" w:fill="auto"/>
            <w:hideMark/>
          </w:tcPr>
          <w:p w14:paraId="22BAB786" w14:textId="77777777" w:rsidR="00E23746" w:rsidRPr="00063F96" w:rsidRDefault="00E23746" w:rsidP="000B2F10">
            <w:pPr>
              <w:spacing w:after="0" w:line="240" w:lineRule="auto"/>
              <w:rPr>
                <w:rFonts w:eastAsia="Times New Roman" w:cs="Arial"/>
                <w:sz w:val="20"/>
                <w:szCs w:val="20"/>
                <w:lang w:val="es-MX" w:eastAsia="es-MX"/>
              </w:rPr>
            </w:pPr>
            <w:r w:rsidRPr="00063F96">
              <w:rPr>
                <w:rFonts w:eastAsia="Times New Roman" w:cs="Arial"/>
                <w:sz w:val="20"/>
                <w:szCs w:val="20"/>
                <w:lang w:val="es-MX" w:eastAsia="es-MX"/>
              </w:rPr>
              <w:t>C03.A02 - Desarrollo de actividades deportivas y culturales.</w:t>
            </w:r>
          </w:p>
        </w:tc>
        <w:tc>
          <w:tcPr>
            <w:tcW w:w="2268" w:type="dxa"/>
            <w:tcBorders>
              <w:top w:val="nil"/>
              <w:left w:val="nil"/>
              <w:bottom w:val="single" w:sz="4" w:space="0" w:color="auto"/>
              <w:right w:val="single" w:sz="4" w:space="0" w:color="auto"/>
            </w:tcBorders>
            <w:shd w:val="clear" w:color="auto" w:fill="auto"/>
            <w:hideMark/>
          </w:tcPr>
          <w:p w14:paraId="701F452D" w14:textId="77777777" w:rsidR="00E23746" w:rsidRPr="00063F96" w:rsidRDefault="00E23746" w:rsidP="000B2F10">
            <w:pPr>
              <w:spacing w:after="0" w:line="240" w:lineRule="auto"/>
              <w:rPr>
                <w:rFonts w:eastAsia="Times New Roman" w:cs="Arial"/>
                <w:sz w:val="20"/>
                <w:szCs w:val="20"/>
                <w:lang w:val="es-MX" w:eastAsia="es-MX"/>
              </w:rPr>
            </w:pPr>
            <w:r w:rsidRPr="00063F96">
              <w:rPr>
                <w:rFonts w:eastAsia="Times New Roman" w:cs="Arial"/>
                <w:sz w:val="20"/>
                <w:szCs w:val="20"/>
                <w:lang w:val="es-MX" w:eastAsia="es-MX"/>
              </w:rPr>
              <w:t>C03A02 - Porcentaje de actividades deportivas y culturales realizadas.</w:t>
            </w:r>
          </w:p>
        </w:tc>
        <w:tc>
          <w:tcPr>
            <w:tcW w:w="2835" w:type="dxa"/>
            <w:tcBorders>
              <w:top w:val="nil"/>
              <w:left w:val="nil"/>
              <w:bottom w:val="single" w:sz="4" w:space="0" w:color="auto"/>
              <w:right w:val="single" w:sz="4" w:space="0" w:color="auto"/>
            </w:tcBorders>
            <w:shd w:val="clear" w:color="auto" w:fill="auto"/>
            <w:hideMark/>
          </w:tcPr>
          <w:p w14:paraId="7AADC3B5" w14:textId="77777777" w:rsidR="00E23746" w:rsidRPr="00063F96" w:rsidRDefault="00E23746" w:rsidP="000B2F10">
            <w:pPr>
              <w:spacing w:after="0" w:line="240" w:lineRule="auto"/>
              <w:rPr>
                <w:rFonts w:eastAsia="Times New Roman" w:cs="Arial"/>
                <w:sz w:val="20"/>
                <w:szCs w:val="20"/>
                <w:lang w:val="es-MX" w:eastAsia="es-MX"/>
              </w:rPr>
            </w:pPr>
            <w:r w:rsidRPr="00063F96">
              <w:rPr>
                <w:rFonts w:eastAsia="Times New Roman" w:cs="Arial"/>
                <w:sz w:val="20"/>
                <w:szCs w:val="20"/>
                <w:lang w:val="es-MX" w:eastAsia="es-MX"/>
              </w:rPr>
              <w:t xml:space="preserve">Reporte de las actividades culturales y deportivas realizadas. </w:t>
            </w:r>
            <w:r w:rsidRPr="00063F96">
              <w:rPr>
                <w:rFonts w:eastAsia="Times New Roman" w:cs="Arial"/>
                <w:sz w:val="20"/>
                <w:szCs w:val="20"/>
                <w:lang w:val="es-MX" w:eastAsia="es-MX"/>
              </w:rPr>
              <w:br/>
              <w:t>http://transparencia.qroo.gob.mx/portaliframe/detalleRubro.php?iddep=37&amp;idrubro=6</w:t>
            </w:r>
          </w:p>
        </w:tc>
        <w:tc>
          <w:tcPr>
            <w:tcW w:w="1985" w:type="dxa"/>
            <w:tcBorders>
              <w:top w:val="nil"/>
              <w:left w:val="nil"/>
              <w:bottom w:val="single" w:sz="4" w:space="0" w:color="auto"/>
              <w:right w:val="single" w:sz="4" w:space="0" w:color="auto"/>
            </w:tcBorders>
            <w:shd w:val="clear" w:color="auto" w:fill="auto"/>
            <w:hideMark/>
          </w:tcPr>
          <w:p w14:paraId="7739FA66" w14:textId="77777777" w:rsidR="00E23746" w:rsidRPr="00063F96" w:rsidRDefault="00E23746" w:rsidP="000B2F10">
            <w:pPr>
              <w:spacing w:after="0" w:line="240" w:lineRule="auto"/>
              <w:rPr>
                <w:rFonts w:eastAsia="Times New Roman" w:cs="Arial"/>
                <w:sz w:val="20"/>
                <w:szCs w:val="20"/>
                <w:lang w:val="es-MX" w:eastAsia="es-MX"/>
              </w:rPr>
            </w:pPr>
            <w:r w:rsidRPr="00063F96">
              <w:rPr>
                <w:rFonts w:eastAsia="Times New Roman" w:cs="Arial"/>
                <w:sz w:val="20"/>
                <w:szCs w:val="20"/>
                <w:lang w:val="es-MX" w:eastAsia="es-MX"/>
              </w:rPr>
              <w:t>Los alumnos participan en las actividades propuestas.</w:t>
            </w:r>
          </w:p>
        </w:tc>
      </w:tr>
      <w:tr w:rsidR="00E23746" w:rsidRPr="00063F96" w14:paraId="66FB8D4B" w14:textId="77777777" w:rsidTr="00D345CB">
        <w:trPr>
          <w:trHeight w:val="1275"/>
        </w:trPr>
        <w:tc>
          <w:tcPr>
            <w:tcW w:w="1271" w:type="dxa"/>
            <w:tcBorders>
              <w:top w:val="nil"/>
              <w:left w:val="single" w:sz="4" w:space="0" w:color="auto"/>
              <w:bottom w:val="single" w:sz="4" w:space="0" w:color="auto"/>
              <w:right w:val="single" w:sz="4" w:space="0" w:color="auto"/>
            </w:tcBorders>
            <w:shd w:val="clear" w:color="auto" w:fill="auto"/>
            <w:hideMark/>
          </w:tcPr>
          <w:p w14:paraId="181F3B28" w14:textId="77777777" w:rsidR="00E23746" w:rsidRPr="00063F96" w:rsidRDefault="00E23746" w:rsidP="000B2F10">
            <w:pPr>
              <w:spacing w:after="0" w:line="240" w:lineRule="auto"/>
              <w:jc w:val="center"/>
              <w:rPr>
                <w:rFonts w:eastAsia="Times New Roman" w:cs="Arial"/>
                <w:b/>
                <w:bCs/>
                <w:sz w:val="20"/>
                <w:szCs w:val="20"/>
                <w:lang w:val="es-MX" w:eastAsia="es-MX"/>
              </w:rPr>
            </w:pPr>
            <w:r w:rsidRPr="00063F96">
              <w:rPr>
                <w:rFonts w:eastAsia="Times New Roman" w:cs="Arial"/>
                <w:b/>
                <w:bCs/>
                <w:sz w:val="20"/>
                <w:szCs w:val="20"/>
                <w:lang w:val="es-MX" w:eastAsia="es-MX"/>
              </w:rPr>
              <w:t>Actividad</w:t>
            </w:r>
          </w:p>
        </w:tc>
        <w:tc>
          <w:tcPr>
            <w:tcW w:w="2928" w:type="dxa"/>
            <w:tcBorders>
              <w:top w:val="nil"/>
              <w:left w:val="nil"/>
              <w:bottom w:val="single" w:sz="4" w:space="0" w:color="auto"/>
              <w:right w:val="single" w:sz="4" w:space="0" w:color="auto"/>
            </w:tcBorders>
            <w:shd w:val="clear" w:color="auto" w:fill="auto"/>
            <w:hideMark/>
          </w:tcPr>
          <w:p w14:paraId="012D297A" w14:textId="77777777" w:rsidR="00E23746" w:rsidRPr="00063F96" w:rsidRDefault="00E23746" w:rsidP="000B2F10">
            <w:pPr>
              <w:spacing w:after="0" w:line="240" w:lineRule="auto"/>
              <w:rPr>
                <w:rFonts w:eastAsia="Times New Roman" w:cs="Arial"/>
                <w:sz w:val="20"/>
                <w:szCs w:val="20"/>
                <w:lang w:val="es-MX" w:eastAsia="es-MX"/>
              </w:rPr>
            </w:pPr>
            <w:r w:rsidRPr="00063F96">
              <w:rPr>
                <w:rFonts w:eastAsia="Times New Roman" w:cs="Arial"/>
                <w:sz w:val="20"/>
                <w:szCs w:val="20"/>
                <w:lang w:val="es-MX" w:eastAsia="es-MX"/>
              </w:rPr>
              <w:t>Impulsar la formación integral de los estudiantes en el nivel medio superior.</w:t>
            </w:r>
          </w:p>
        </w:tc>
        <w:tc>
          <w:tcPr>
            <w:tcW w:w="2835" w:type="dxa"/>
            <w:tcBorders>
              <w:top w:val="nil"/>
              <w:left w:val="nil"/>
              <w:bottom w:val="single" w:sz="4" w:space="0" w:color="auto"/>
              <w:right w:val="single" w:sz="4" w:space="0" w:color="auto"/>
            </w:tcBorders>
            <w:shd w:val="clear" w:color="auto" w:fill="auto"/>
            <w:hideMark/>
          </w:tcPr>
          <w:p w14:paraId="3C9CECC9" w14:textId="77777777" w:rsidR="00E23746" w:rsidRPr="00063F96" w:rsidRDefault="00E23746" w:rsidP="000B2F10">
            <w:pPr>
              <w:spacing w:after="0" w:line="240" w:lineRule="auto"/>
              <w:rPr>
                <w:rFonts w:eastAsia="Times New Roman" w:cs="Arial"/>
                <w:sz w:val="20"/>
                <w:szCs w:val="20"/>
                <w:lang w:val="es-MX" w:eastAsia="es-MX"/>
              </w:rPr>
            </w:pPr>
            <w:r w:rsidRPr="00063F96">
              <w:rPr>
                <w:rFonts w:eastAsia="Times New Roman" w:cs="Arial"/>
                <w:sz w:val="20"/>
                <w:szCs w:val="20"/>
                <w:lang w:val="es-MX" w:eastAsia="es-MX"/>
              </w:rPr>
              <w:t>C03.A03 - Participación de alumnos en convocatorias y concursos.</w:t>
            </w:r>
          </w:p>
        </w:tc>
        <w:tc>
          <w:tcPr>
            <w:tcW w:w="2268" w:type="dxa"/>
            <w:tcBorders>
              <w:top w:val="nil"/>
              <w:left w:val="nil"/>
              <w:bottom w:val="single" w:sz="4" w:space="0" w:color="auto"/>
              <w:right w:val="single" w:sz="4" w:space="0" w:color="auto"/>
            </w:tcBorders>
            <w:shd w:val="clear" w:color="auto" w:fill="auto"/>
            <w:hideMark/>
          </w:tcPr>
          <w:p w14:paraId="6B34AF17" w14:textId="77777777" w:rsidR="00E23746" w:rsidRPr="00063F96" w:rsidRDefault="00E23746" w:rsidP="000B2F10">
            <w:pPr>
              <w:spacing w:after="0" w:line="240" w:lineRule="auto"/>
              <w:rPr>
                <w:rFonts w:eastAsia="Times New Roman" w:cs="Arial"/>
                <w:sz w:val="20"/>
                <w:szCs w:val="20"/>
                <w:lang w:val="es-MX" w:eastAsia="es-MX"/>
              </w:rPr>
            </w:pPr>
            <w:r w:rsidRPr="00063F96">
              <w:rPr>
                <w:rFonts w:eastAsia="Times New Roman" w:cs="Arial"/>
                <w:sz w:val="20"/>
                <w:szCs w:val="20"/>
                <w:lang w:val="es-MX" w:eastAsia="es-MX"/>
              </w:rPr>
              <w:t>C03A03 - Porcentaje de participación en convocatorias y concursos</w:t>
            </w:r>
            <w:r>
              <w:rPr>
                <w:rFonts w:eastAsia="Times New Roman" w:cs="Arial"/>
                <w:sz w:val="20"/>
                <w:szCs w:val="20"/>
                <w:lang w:val="es-MX" w:eastAsia="es-MX"/>
              </w:rPr>
              <w:t>.</w:t>
            </w:r>
            <w:r w:rsidRPr="00063F96">
              <w:rPr>
                <w:rFonts w:eastAsia="Times New Roman" w:cs="Arial"/>
                <w:sz w:val="20"/>
                <w:szCs w:val="20"/>
                <w:lang w:val="es-MX" w:eastAsia="es-MX"/>
              </w:rPr>
              <w:t xml:space="preserve">      </w:t>
            </w:r>
          </w:p>
        </w:tc>
        <w:tc>
          <w:tcPr>
            <w:tcW w:w="2835" w:type="dxa"/>
            <w:tcBorders>
              <w:top w:val="nil"/>
              <w:left w:val="nil"/>
              <w:bottom w:val="single" w:sz="4" w:space="0" w:color="auto"/>
              <w:right w:val="single" w:sz="4" w:space="0" w:color="auto"/>
            </w:tcBorders>
            <w:shd w:val="clear" w:color="auto" w:fill="auto"/>
            <w:hideMark/>
          </w:tcPr>
          <w:p w14:paraId="5F2DE304" w14:textId="77777777" w:rsidR="00E23746" w:rsidRPr="00063F96" w:rsidRDefault="00E23746" w:rsidP="000B2F10">
            <w:pPr>
              <w:spacing w:after="0" w:line="240" w:lineRule="auto"/>
              <w:rPr>
                <w:rFonts w:eastAsia="Times New Roman" w:cs="Arial"/>
                <w:sz w:val="20"/>
                <w:szCs w:val="20"/>
                <w:lang w:val="es-MX" w:eastAsia="es-MX"/>
              </w:rPr>
            </w:pPr>
            <w:r w:rsidRPr="00063F96">
              <w:rPr>
                <w:rFonts w:eastAsia="Times New Roman" w:cs="Arial"/>
                <w:sz w:val="20"/>
                <w:szCs w:val="20"/>
                <w:lang w:val="es-MX" w:eastAsia="es-MX"/>
              </w:rPr>
              <w:t>Reporte de participantes de cada plantel por convocatoria o concurso.</w:t>
            </w:r>
            <w:r w:rsidRPr="00063F96">
              <w:rPr>
                <w:rFonts w:eastAsia="Times New Roman" w:cs="Arial"/>
                <w:sz w:val="20"/>
                <w:szCs w:val="20"/>
                <w:lang w:val="es-MX" w:eastAsia="es-MX"/>
              </w:rPr>
              <w:br/>
              <w:t>http://transparencia.qroo.gob.mx/portaliframe/detalleRubro.php?iddep=37&amp;idrubro=6</w:t>
            </w:r>
          </w:p>
        </w:tc>
        <w:tc>
          <w:tcPr>
            <w:tcW w:w="1985" w:type="dxa"/>
            <w:tcBorders>
              <w:top w:val="nil"/>
              <w:left w:val="nil"/>
              <w:bottom w:val="single" w:sz="4" w:space="0" w:color="auto"/>
              <w:right w:val="single" w:sz="4" w:space="0" w:color="auto"/>
            </w:tcBorders>
            <w:shd w:val="clear" w:color="auto" w:fill="auto"/>
            <w:hideMark/>
          </w:tcPr>
          <w:p w14:paraId="7E6AEC63" w14:textId="77777777" w:rsidR="00E23746" w:rsidRPr="00063F96" w:rsidRDefault="00E23746" w:rsidP="000B2F10">
            <w:pPr>
              <w:spacing w:after="0" w:line="240" w:lineRule="auto"/>
              <w:rPr>
                <w:rFonts w:eastAsia="Times New Roman" w:cs="Arial"/>
                <w:sz w:val="20"/>
                <w:szCs w:val="20"/>
                <w:lang w:val="es-MX" w:eastAsia="es-MX"/>
              </w:rPr>
            </w:pPr>
            <w:r w:rsidRPr="00063F96">
              <w:rPr>
                <w:rFonts w:eastAsia="Times New Roman" w:cs="Arial"/>
                <w:sz w:val="20"/>
                <w:szCs w:val="20"/>
                <w:lang w:val="es-MX" w:eastAsia="es-MX"/>
              </w:rPr>
              <w:t>Los alumnos participan en las convocatorias y concursos.</w:t>
            </w:r>
          </w:p>
        </w:tc>
      </w:tr>
      <w:tr w:rsidR="00E23746" w:rsidRPr="00063F96" w14:paraId="4E5D083D" w14:textId="77777777" w:rsidTr="00D345CB">
        <w:trPr>
          <w:trHeight w:val="975"/>
        </w:trPr>
        <w:tc>
          <w:tcPr>
            <w:tcW w:w="1271" w:type="dxa"/>
            <w:tcBorders>
              <w:top w:val="nil"/>
              <w:left w:val="single" w:sz="4" w:space="0" w:color="auto"/>
              <w:bottom w:val="single" w:sz="4" w:space="0" w:color="auto"/>
              <w:right w:val="single" w:sz="4" w:space="0" w:color="auto"/>
            </w:tcBorders>
            <w:shd w:val="clear" w:color="auto" w:fill="auto"/>
            <w:hideMark/>
          </w:tcPr>
          <w:p w14:paraId="5B6875D9" w14:textId="77777777" w:rsidR="00E23746" w:rsidRPr="00063F96" w:rsidRDefault="00E23746" w:rsidP="000B2F10">
            <w:pPr>
              <w:spacing w:after="0" w:line="240" w:lineRule="auto"/>
              <w:jc w:val="center"/>
              <w:rPr>
                <w:rFonts w:eastAsia="Times New Roman" w:cs="Arial"/>
                <w:b/>
                <w:bCs/>
                <w:sz w:val="20"/>
                <w:szCs w:val="20"/>
                <w:lang w:val="es-MX" w:eastAsia="es-MX"/>
              </w:rPr>
            </w:pPr>
            <w:r w:rsidRPr="00063F96">
              <w:rPr>
                <w:rFonts w:eastAsia="Times New Roman" w:cs="Arial"/>
                <w:b/>
                <w:bCs/>
                <w:sz w:val="20"/>
                <w:szCs w:val="20"/>
                <w:lang w:val="es-MX" w:eastAsia="es-MX"/>
              </w:rPr>
              <w:t>Actividad</w:t>
            </w:r>
          </w:p>
        </w:tc>
        <w:tc>
          <w:tcPr>
            <w:tcW w:w="2928" w:type="dxa"/>
            <w:tcBorders>
              <w:top w:val="nil"/>
              <w:left w:val="nil"/>
              <w:bottom w:val="single" w:sz="4" w:space="0" w:color="auto"/>
              <w:right w:val="single" w:sz="4" w:space="0" w:color="auto"/>
            </w:tcBorders>
            <w:shd w:val="clear" w:color="auto" w:fill="auto"/>
            <w:hideMark/>
          </w:tcPr>
          <w:p w14:paraId="517DEC7C" w14:textId="77777777" w:rsidR="00E23746" w:rsidRPr="00063F96" w:rsidRDefault="00E23746" w:rsidP="000B2F10">
            <w:pPr>
              <w:spacing w:after="0" w:line="240" w:lineRule="auto"/>
              <w:rPr>
                <w:rFonts w:eastAsia="Times New Roman" w:cs="Arial"/>
                <w:sz w:val="20"/>
                <w:szCs w:val="20"/>
                <w:lang w:val="es-MX" w:eastAsia="es-MX"/>
              </w:rPr>
            </w:pPr>
            <w:r w:rsidRPr="00063F96">
              <w:rPr>
                <w:rFonts w:eastAsia="Times New Roman" w:cs="Arial"/>
                <w:sz w:val="20"/>
                <w:szCs w:val="20"/>
                <w:lang w:val="es-MX" w:eastAsia="es-MX"/>
              </w:rPr>
              <w:t>Impulsar la formación integral de los estudiantes en el nivel medio superior.</w:t>
            </w:r>
          </w:p>
        </w:tc>
        <w:tc>
          <w:tcPr>
            <w:tcW w:w="2835" w:type="dxa"/>
            <w:tcBorders>
              <w:top w:val="nil"/>
              <w:left w:val="nil"/>
              <w:bottom w:val="single" w:sz="4" w:space="0" w:color="auto"/>
              <w:right w:val="single" w:sz="4" w:space="0" w:color="auto"/>
            </w:tcBorders>
            <w:shd w:val="clear" w:color="auto" w:fill="auto"/>
            <w:hideMark/>
          </w:tcPr>
          <w:p w14:paraId="66E6250A" w14:textId="77777777" w:rsidR="00E23746" w:rsidRPr="00063F96" w:rsidRDefault="00E23746" w:rsidP="000B2F10">
            <w:pPr>
              <w:spacing w:after="0" w:line="240" w:lineRule="auto"/>
              <w:rPr>
                <w:rFonts w:eastAsia="Times New Roman" w:cs="Arial"/>
                <w:sz w:val="20"/>
                <w:szCs w:val="20"/>
                <w:lang w:val="es-MX" w:eastAsia="es-MX"/>
              </w:rPr>
            </w:pPr>
            <w:r w:rsidRPr="00063F96">
              <w:rPr>
                <w:rFonts w:eastAsia="Times New Roman" w:cs="Arial"/>
                <w:sz w:val="20"/>
                <w:szCs w:val="20"/>
                <w:lang w:val="es-MX" w:eastAsia="es-MX"/>
              </w:rPr>
              <w:t>C03.A04 - Implementación de clubes académicos y de ciencias.</w:t>
            </w:r>
          </w:p>
        </w:tc>
        <w:tc>
          <w:tcPr>
            <w:tcW w:w="2268" w:type="dxa"/>
            <w:tcBorders>
              <w:top w:val="nil"/>
              <w:left w:val="nil"/>
              <w:bottom w:val="single" w:sz="4" w:space="0" w:color="auto"/>
              <w:right w:val="single" w:sz="4" w:space="0" w:color="auto"/>
            </w:tcBorders>
            <w:shd w:val="clear" w:color="auto" w:fill="auto"/>
            <w:hideMark/>
          </w:tcPr>
          <w:p w14:paraId="2627E23A" w14:textId="77777777" w:rsidR="00E23746" w:rsidRPr="00063F96" w:rsidRDefault="00E23746" w:rsidP="000B2F10">
            <w:pPr>
              <w:spacing w:after="0" w:line="240" w:lineRule="auto"/>
              <w:rPr>
                <w:rFonts w:eastAsia="Times New Roman" w:cs="Arial"/>
                <w:sz w:val="20"/>
                <w:szCs w:val="20"/>
                <w:lang w:val="es-MX" w:eastAsia="es-MX"/>
              </w:rPr>
            </w:pPr>
            <w:r w:rsidRPr="00063F96">
              <w:rPr>
                <w:rFonts w:eastAsia="Times New Roman" w:cs="Arial"/>
                <w:sz w:val="20"/>
                <w:szCs w:val="20"/>
                <w:lang w:val="es-MX" w:eastAsia="es-MX"/>
              </w:rPr>
              <w:t>C03A04 - Porcentaje de alumnos atendidos en clubes académicos y de ciencias</w:t>
            </w:r>
            <w:r>
              <w:rPr>
                <w:rFonts w:eastAsia="Times New Roman" w:cs="Arial"/>
                <w:sz w:val="20"/>
                <w:szCs w:val="20"/>
                <w:lang w:val="es-MX" w:eastAsia="es-MX"/>
              </w:rPr>
              <w:t>.</w:t>
            </w:r>
          </w:p>
        </w:tc>
        <w:tc>
          <w:tcPr>
            <w:tcW w:w="2835" w:type="dxa"/>
            <w:tcBorders>
              <w:top w:val="nil"/>
              <w:left w:val="nil"/>
              <w:bottom w:val="single" w:sz="4" w:space="0" w:color="auto"/>
              <w:right w:val="single" w:sz="4" w:space="0" w:color="auto"/>
            </w:tcBorders>
            <w:shd w:val="clear" w:color="auto" w:fill="auto"/>
            <w:hideMark/>
          </w:tcPr>
          <w:p w14:paraId="631E8CA1" w14:textId="77777777" w:rsidR="00E23746" w:rsidRPr="00063F96" w:rsidRDefault="00E23746" w:rsidP="000B2F10">
            <w:pPr>
              <w:spacing w:after="0" w:line="240" w:lineRule="auto"/>
              <w:rPr>
                <w:rFonts w:eastAsia="Times New Roman" w:cs="Arial"/>
                <w:sz w:val="20"/>
                <w:szCs w:val="20"/>
                <w:lang w:val="es-MX" w:eastAsia="es-MX"/>
              </w:rPr>
            </w:pPr>
            <w:r w:rsidRPr="00063F96">
              <w:rPr>
                <w:rFonts w:eastAsia="Times New Roman" w:cs="Arial"/>
                <w:sz w:val="20"/>
                <w:szCs w:val="20"/>
                <w:lang w:val="es-MX" w:eastAsia="es-MX"/>
              </w:rPr>
              <w:t>Reporte de asistencia a los Clubes.</w:t>
            </w:r>
            <w:r w:rsidRPr="00063F96">
              <w:rPr>
                <w:rFonts w:eastAsia="Times New Roman" w:cs="Arial"/>
                <w:sz w:val="20"/>
                <w:szCs w:val="20"/>
                <w:lang w:val="es-MX" w:eastAsia="es-MX"/>
              </w:rPr>
              <w:br/>
              <w:t>http://transparencia.qroo.gob.mx/portaliframe/detalleRubro.php?iddep=37&amp;idrubro=6</w:t>
            </w:r>
          </w:p>
        </w:tc>
        <w:tc>
          <w:tcPr>
            <w:tcW w:w="1985" w:type="dxa"/>
            <w:tcBorders>
              <w:top w:val="nil"/>
              <w:left w:val="nil"/>
              <w:bottom w:val="single" w:sz="4" w:space="0" w:color="auto"/>
              <w:right w:val="single" w:sz="4" w:space="0" w:color="auto"/>
            </w:tcBorders>
            <w:shd w:val="clear" w:color="auto" w:fill="auto"/>
            <w:hideMark/>
          </w:tcPr>
          <w:p w14:paraId="2605FA38" w14:textId="77777777" w:rsidR="00E23746" w:rsidRPr="00063F96" w:rsidRDefault="00E23746" w:rsidP="000B2F10">
            <w:pPr>
              <w:spacing w:after="0" w:line="240" w:lineRule="auto"/>
              <w:rPr>
                <w:rFonts w:eastAsia="Times New Roman" w:cs="Arial"/>
                <w:sz w:val="20"/>
                <w:szCs w:val="20"/>
                <w:lang w:val="es-MX" w:eastAsia="es-MX"/>
              </w:rPr>
            </w:pPr>
            <w:r w:rsidRPr="00063F96">
              <w:rPr>
                <w:rFonts w:eastAsia="Times New Roman" w:cs="Arial"/>
                <w:sz w:val="20"/>
                <w:szCs w:val="20"/>
                <w:lang w:val="es-MX" w:eastAsia="es-MX"/>
              </w:rPr>
              <w:t>Los alumnos  participan en los clubes académicos y de ciencias.</w:t>
            </w:r>
          </w:p>
        </w:tc>
      </w:tr>
    </w:tbl>
    <w:p w14:paraId="6211FA74" w14:textId="77777777" w:rsidR="00E23746" w:rsidRDefault="00E23746" w:rsidP="00E23746">
      <w:pPr>
        <w:rPr>
          <w:rFonts w:eastAsia="Calibri" w:cs="Arial"/>
          <w:bCs/>
          <w:color w:val="595959" w:themeColor="text1" w:themeTint="A6"/>
          <w:sz w:val="18"/>
          <w:szCs w:val="20"/>
        </w:rPr>
      </w:pPr>
      <w:r w:rsidRPr="0093279A">
        <w:rPr>
          <w:rFonts w:eastAsia="Calibri" w:cs="Arial"/>
          <w:bCs/>
          <w:color w:val="595959" w:themeColor="text1" w:themeTint="A6"/>
          <w:sz w:val="18"/>
          <w:szCs w:val="20"/>
        </w:rPr>
        <w:t>El anexo aquí presentado es perfectible, y se encuentra susceptible de modificaciones programáticas toda vez que así se le indique por observaciones de auditorías, evaluaciones al desempeño y revisiones de la Secretaría de Finanzas y Planeación antes y durante el ejercicio fiscal del que se trate, así como también, cuando las condiciones del Ente Público responsable de dicha información programática requiera hacer modificaciones a sus necesidades institucionales, atendiendo a lo establecido en los Lineamientos para la Creación, Modificación y Cancelación de Programas Presupuestarios y para la Modificación de Metas del Gobierno del Estado de Quintana Roo.</w:t>
      </w:r>
    </w:p>
    <w:p w14:paraId="529840F4" w14:textId="77777777" w:rsidR="00E23746" w:rsidRDefault="00E23746" w:rsidP="00E23746">
      <w:pPr>
        <w:rPr>
          <w:lang w:val="es-MX" w:eastAsia="en-US"/>
        </w:rPr>
      </w:pPr>
      <w:r>
        <w:rPr>
          <w:lang w:val="es-MX" w:eastAsia="en-US"/>
        </w:rPr>
        <w:br w:type="page"/>
      </w:r>
    </w:p>
    <w:tbl>
      <w:tblPr>
        <w:tblW w:w="14029" w:type="dxa"/>
        <w:tblLayout w:type="fixed"/>
        <w:tblCellMar>
          <w:left w:w="70" w:type="dxa"/>
          <w:right w:w="70" w:type="dxa"/>
        </w:tblCellMar>
        <w:tblLook w:val="04A0" w:firstRow="1" w:lastRow="0" w:firstColumn="1" w:lastColumn="0" w:noHBand="0" w:noVBand="1"/>
      </w:tblPr>
      <w:tblGrid>
        <w:gridCol w:w="1313"/>
        <w:gridCol w:w="2651"/>
        <w:gridCol w:w="2977"/>
        <w:gridCol w:w="2315"/>
        <w:gridCol w:w="2788"/>
        <w:gridCol w:w="1985"/>
      </w:tblGrid>
      <w:tr w:rsidR="00E23746" w:rsidRPr="00846E84" w14:paraId="77197369" w14:textId="77777777" w:rsidTr="000B2F10">
        <w:trPr>
          <w:trHeight w:val="758"/>
        </w:trPr>
        <w:tc>
          <w:tcPr>
            <w:tcW w:w="3964" w:type="dxa"/>
            <w:gridSpan w:val="2"/>
            <w:tcBorders>
              <w:top w:val="single" w:sz="4" w:space="0" w:color="auto"/>
              <w:left w:val="single" w:sz="4" w:space="0" w:color="auto"/>
              <w:bottom w:val="single" w:sz="4" w:space="0" w:color="auto"/>
              <w:right w:val="single" w:sz="4" w:space="0" w:color="000000"/>
            </w:tcBorders>
            <w:shd w:val="clear" w:color="000000" w:fill="BFBFBF"/>
            <w:vAlign w:val="center"/>
            <w:hideMark/>
          </w:tcPr>
          <w:p w14:paraId="55E33C76" w14:textId="77777777" w:rsidR="00E23746" w:rsidRPr="00846E84" w:rsidRDefault="00E23746" w:rsidP="000B2F10">
            <w:pPr>
              <w:spacing w:after="0" w:line="240" w:lineRule="auto"/>
              <w:jc w:val="center"/>
              <w:rPr>
                <w:rFonts w:eastAsia="Times New Roman" w:cs="Arial"/>
                <w:b/>
                <w:bCs/>
                <w:sz w:val="20"/>
                <w:szCs w:val="20"/>
                <w:lang w:val="es-MX" w:eastAsia="es-MX"/>
              </w:rPr>
            </w:pPr>
            <w:r w:rsidRPr="00846E84">
              <w:rPr>
                <w:rFonts w:eastAsia="Times New Roman" w:cs="Arial"/>
                <w:b/>
                <w:bCs/>
                <w:sz w:val="20"/>
                <w:szCs w:val="20"/>
                <w:lang w:val="es-MX" w:eastAsia="es-MX"/>
              </w:rPr>
              <w:lastRenderedPageBreak/>
              <w:t>PROGRAMA PRESUPUESTARIO:</w:t>
            </w:r>
          </w:p>
        </w:tc>
        <w:tc>
          <w:tcPr>
            <w:tcW w:w="10065" w:type="dxa"/>
            <w:gridSpan w:val="4"/>
            <w:tcBorders>
              <w:top w:val="single" w:sz="4" w:space="0" w:color="auto"/>
              <w:left w:val="nil"/>
              <w:bottom w:val="single" w:sz="4" w:space="0" w:color="auto"/>
              <w:right w:val="single" w:sz="4" w:space="0" w:color="auto"/>
            </w:tcBorders>
            <w:shd w:val="clear" w:color="auto" w:fill="auto"/>
            <w:vAlign w:val="center"/>
            <w:hideMark/>
          </w:tcPr>
          <w:p w14:paraId="0993686A" w14:textId="77777777" w:rsidR="00E23746" w:rsidRPr="00846E84" w:rsidRDefault="00E23746" w:rsidP="000B2F10">
            <w:pPr>
              <w:spacing w:after="0" w:line="240" w:lineRule="auto"/>
              <w:jc w:val="left"/>
              <w:rPr>
                <w:rFonts w:eastAsia="Times New Roman" w:cs="Arial"/>
                <w:sz w:val="20"/>
                <w:szCs w:val="20"/>
                <w:lang w:val="es-MX" w:eastAsia="es-MX"/>
              </w:rPr>
            </w:pPr>
            <w:r w:rsidRPr="00846E84">
              <w:rPr>
                <w:rFonts w:eastAsia="Times New Roman" w:cs="Arial"/>
                <w:sz w:val="20"/>
                <w:szCs w:val="20"/>
                <w:lang w:val="es-MX" w:eastAsia="es-MX"/>
              </w:rPr>
              <w:t>Educación Media Superior</w:t>
            </w:r>
          </w:p>
        </w:tc>
      </w:tr>
      <w:tr w:rsidR="00E23746" w:rsidRPr="00846E84" w14:paraId="710E8B83" w14:textId="77777777" w:rsidTr="000B2F10">
        <w:trPr>
          <w:trHeight w:val="682"/>
        </w:trPr>
        <w:tc>
          <w:tcPr>
            <w:tcW w:w="3964" w:type="dxa"/>
            <w:gridSpan w:val="2"/>
            <w:tcBorders>
              <w:top w:val="single" w:sz="4" w:space="0" w:color="auto"/>
              <w:left w:val="single" w:sz="4" w:space="0" w:color="auto"/>
              <w:bottom w:val="single" w:sz="4" w:space="0" w:color="auto"/>
              <w:right w:val="single" w:sz="4" w:space="0" w:color="000000"/>
            </w:tcBorders>
            <w:shd w:val="clear" w:color="000000" w:fill="BFBFBF"/>
            <w:vAlign w:val="center"/>
            <w:hideMark/>
          </w:tcPr>
          <w:p w14:paraId="266D793C" w14:textId="77777777" w:rsidR="00E23746" w:rsidRPr="00846E84" w:rsidRDefault="00E23746" w:rsidP="000B2F10">
            <w:pPr>
              <w:spacing w:after="0" w:line="240" w:lineRule="auto"/>
              <w:jc w:val="center"/>
              <w:rPr>
                <w:rFonts w:eastAsia="Times New Roman" w:cs="Arial"/>
                <w:b/>
                <w:bCs/>
                <w:sz w:val="20"/>
                <w:szCs w:val="20"/>
                <w:lang w:val="es-MX" w:eastAsia="es-MX"/>
              </w:rPr>
            </w:pPr>
            <w:r w:rsidRPr="00846E84">
              <w:rPr>
                <w:rFonts w:eastAsia="Times New Roman" w:cs="Arial"/>
                <w:b/>
                <w:bCs/>
                <w:sz w:val="20"/>
                <w:szCs w:val="20"/>
                <w:lang w:val="es-MX" w:eastAsia="es-MX"/>
              </w:rPr>
              <w:t>INSTITUCIÓN:</w:t>
            </w:r>
          </w:p>
        </w:tc>
        <w:tc>
          <w:tcPr>
            <w:tcW w:w="10065" w:type="dxa"/>
            <w:gridSpan w:val="4"/>
            <w:tcBorders>
              <w:top w:val="single" w:sz="4" w:space="0" w:color="auto"/>
              <w:left w:val="nil"/>
              <w:bottom w:val="single" w:sz="4" w:space="0" w:color="auto"/>
              <w:right w:val="single" w:sz="4" w:space="0" w:color="auto"/>
            </w:tcBorders>
            <w:shd w:val="clear" w:color="auto" w:fill="auto"/>
            <w:vAlign w:val="center"/>
            <w:hideMark/>
          </w:tcPr>
          <w:p w14:paraId="50D0B076" w14:textId="77777777" w:rsidR="00E23746" w:rsidRPr="00846E84" w:rsidRDefault="00E23746" w:rsidP="000B2F10">
            <w:pPr>
              <w:spacing w:after="0" w:line="240" w:lineRule="auto"/>
              <w:jc w:val="left"/>
              <w:rPr>
                <w:rFonts w:eastAsia="Times New Roman" w:cs="Arial"/>
                <w:sz w:val="20"/>
                <w:szCs w:val="20"/>
                <w:lang w:val="es-MX" w:eastAsia="es-MX"/>
              </w:rPr>
            </w:pPr>
            <w:r w:rsidRPr="00846E84">
              <w:rPr>
                <w:rFonts w:eastAsia="Times New Roman" w:cs="Arial"/>
                <w:sz w:val="20"/>
                <w:szCs w:val="20"/>
                <w:lang w:val="es-MX" w:eastAsia="es-MX"/>
              </w:rPr>
              <w:t>Centro de Estudios de Bachillerato Técnico Eva Sámano de López Mateos</w:t>
            </w:r>
          </w:p>
        </w:tc>
      </w:tr>
      <w:tr w:rsidR="00E23746" w:rsidRPr="00846E84" w14:paraId="68E28E69" w14:textId="77777777" w:rsidTr="000B2F10">
        <w:trPr>
          <w:trHeight w:val="282"/>
        </w:trPr>
        <w:tc>
          <w:tcPr>
            <w:tcW w:w="1313" w:type="dxa"/>
            <w:tcBorders>
              <w:top w:val="nil"/>
              <w:left w:val="nil"/>
              <w:bottom w:val="nil"/>
              <w:right w:val="nil"/>
            </w:tcBorders>
            <w:shd w:val="clear" w:color="auto" w:fill="auto"/>
            <w:hideMark/>
          </w:tcPr>
          <w:p w14:paraId="560B08F7" w14:textId="77777777" w:rsidR="00E23746" w:rsidRPr="00846E84" w:rsidRDefault="00E23746" w:rsidP="000B2F10">
            <w:pPr>
              <w:spacing w:after="0" w:line="240" w:lineRule="auto"/>
              <w:jc w:val="left"/>
              <w:rPr>
                <w:rFonts w:eastAsia="Times New Roman" w:cs="Arial"/>
                <w:sz w:val="20"/>
                <w:szCs w:val="20"/>
                <w:lang w:val="es-MX" w:eastAsia="es-MX"/>
              </w:rPr>
            </w:pPr>
          </w:p>
        </w:tc>
        <w:tc>
          <w:tcPr>
            <w:tcW w:w="2651" w:type="dxa"/>
            <w:tcBorders>
              <w:top w:val="nil"/>
              <w:left w:val="nil"/>
              <w:bottom w:val="nil"/>
              <w:right w:val="nil"/>
            </w:tcBorders>
            <w:shd w:val="clear" w:color="auto" w:fill="auto"/>
            <w:hideMark/>
          </w:tcPr>
          <w:p w14:paraId="0063C69F" w14:textId="77777777" w:rsidR="00E23746" w:rsidRPr="00846E84" w:rsidRDefault="00E23746" w:rsidP="000B2F10">
            <w:pPr>
              <w:spacing w:after="0" w:line="240" w:lineRule="auto"/>
              <w:jc w:val="left"/>
              <w:rPr>
                <w:rFonts w:ascii="Times New Roman" w:eastAsia="Times New Roman" w:hAnsi="Times New Roman" w:cs="Times New Roman"/>
                <w:sz w:val="20"/>
                <w:szCs w:val="20"/>
                <w:lang w:val="es-MX" w:eastAsia="es-MX"/>
              </w:rPr>
            </w:pPr>
          </w:p>
        </w:tc>
        <w:tc>
          <w:tcPr>
            <w:tcW w:w="2977" w:type="dxa"/>
            <w:tcBorders>
              <w:top w:val="nil"/>
              <w:left w:val="nil"/>
              <w:bottom w:val="nil"/>
              <w:right w:val="nil"/>
            </w:tcBorders>
            <w:shd w:val="clear" w:color="auto" w:fill="auto"/>
            <w:hideMark/>
          </w:tcPr>
          <w:p w14:paraId="0EC781E7" w14:textId="77777777" w:rsidR="00E23746" w:rsidRPr="00846E84" w:rsidRDefault="00E23746" w:rsidP="000B2F10">
            <w:pPr>
              <w:spacing w:after="0" w:line="240" w:lineRule="auto"/>
              <w:jc w:val="left"/>
              <w:rPr>
                <w:rFonts w:ascii="Times New Roman" w:eastAsia="Times New Roman" w:hAnsi="Times New Roman" w:cs="Times New Roman"/>
                <w:sz w:val="20"/>
                <w:szCs w:val="20"/>
                <w:lang w:val="es-MX" w:eastAsia="es-MX"/>
              </w:rPr>
            </w:pPr>
          </w:p>
        </w:tc>
        <w:tc>
          <w:tcPr>
            <w:tcW w:w="2315" w:type="dxa"/>
            <w:tcBorders>
              <w:top w:val="nil"/>
              <w:left w:val="nil"/>
              <w:bottom w:val="nil"/>
              <w:right w:val="nil"/>
            </w:tcBorders>
            <w:shd w:val="clear" w:color="auto" w:fill="auto"/>
            <w:hideMark/>
          </w:tcPr>
          <w:p w14:paraId="16CF40FB" w14:textId="77777777" w:rsidR="00E23746" w:rsidRPr="00846E84" w:rsidRDefault="00E23746" w:rsidP="000B2F10">
            <w:pPr>
              <w:spacing w:after="0" w:line="240" w:lineRule="auto"/>
              <w:jc w:val="left"/>
              <w:rPr>
                <w:rFonts w:ascii="Times New Roman" w:eastAsia="Times New Roman" w:hAnsi="Times New Roman" w:cs="Times New Roman"/>
                <w:sz w:val="20"/>
                <w:szCs w:val="20"/>
                <w:lang w:val="es-MX" w:eastAsia="es-MX"/>
              </w:rPr>
            </w:pPr>
          </w:p>
        </w:tc>
        <w:tc>
          <w:tcPr>
            <w:tcW w:w="2788" w:type="dxa"/>
            <w:tcBorders>
              <w:top w:val="nil"/>
              <w:left w:val="nil"/>
              <w:bottom w:val="nil"/>
              <w:right w:val="nil"/>
            </w:tcBorders>
            <w:shd w:val="clear" w:color="auto" w:fill="auto"/>
            <w:hideMark/>
          </w:tcPr>
          <w:p w14:paraId="27FC98A9" w14:textId="77777777" w:rsidR="00E23746" w:rsidRPr="00846E84" w:rsidRDefault="00E23746" w:rsidP="000B2F10">
            <w:pPr>
              <w:spacing w:after="0" w:line="240" w:lineRule="auto"/>
              <w:jc w:val="left"/>
              <w:rPr>
                <w:rFonts w:ascii="Times New Roman" w:eastAsia="Times New Roman" w:hAnsi="Times New Roman" w:cs="Times New Roman"/>
                <w:sz w:val="20"/>
                <w:szCs w:val="20"/>
                <w:lang w:val="es-MX" w:eastAsia="es-MX"/>
              </w:rPr>
            </w:pPr>
          </w:p>
        </w:tc>
        <w:tc>
          <w:tcPr>
            <w:tcW w:w="1985" w:type="dxa"/>
            <w:tcBorders>
              <w:top w:val="nil"/>
              <w:left w:val="nil"/>
              <w:bottom w:val="nil"/>
              <w:right w:val="nil"/>
            </w:tcBorders>
            <w:shd w:val="clear" w:color="auto" w:fill="auto"/>
            <w:hideMark/>
          </w:tcPr>
          <w:p w14:paraId="20794F43" w14:textId="77777777" w:rsidR="00E23746" w:rsidRPr="00846E84" w:rsidRDefault="00E23746" w:rsidP="000B2F10">
            <w:pPr>
              <w:spacing w:after="0" w:line="240" w:lineRule="auto"/>
              <w:jc w:val="left"/>
              <w:rPr>
                <w:rFonts w:ascii="Times New Roman" w:eastAsia="Times New Roman" w:hAnsi="Times New Roman" w:cs="Times New Roman"/>
                <w:sz w:val="20"/>
                <w:szCs w:val="20"/>
                <w:lang w:val="es-MX" w:eastAsia="es-MX"/>
              </w:rPr>
            </w:pPr>
          </w:p>
        </w:tc>
      </w:tr>
      <w:tr w:rsidR="00E23746" w:rsidRPr="00846E84" w14:paraId="447DD0C9" w14:textId="77777777" w:rsidTr="000B2F10">
        <w:trPr>
          <w:trHeight w:val="375"/>
        </w:trPr>
        <w:tc>
          <w:tcPr>
            <w:tcW w:w="14029" w:type="dxa"/>
            <w:gridSpan w:val="6"/>
            <w:tcBorders>
              <w:top w:val="single" w:sz="4" w:space="0" w:color="auto"/>
              <w:left w:val="single" w:sz="4" w:space="0" w:color="auto"/>
              <w:bottom w:val="single" w:sz="4" w:space="0" w:color="auto"/>
              <w:right w:val="single" w:sz="4" w:space="0" w:color="000000"/>
            </w:tcBorders>
            <w:shd w:val="clear" w:color="000000" w:fill="BFBFBF"/>
            <w:vAlign w:val="center"/>
            <w:hideMark/>
          </w:tcPr>
          <w:p w14:paraId="567E4083" w14:textId="77777777" w:rsidR="00E23746" w:rsidRPr="00846E84" w:rsidRDefault="00E23746" w:rsidP="000B2F10">
            <w:pPr>
              <w:spacing w:after="0" w:line="240" w:lineRule="auto"/>
              <w:jc w:val="center"/>
              <w:rPr>
                <w:rFonts w:eastAsia="Times New Roman" w:cs="Arial"/>
                <w:b/>
                <w:bCs/>
                <w:sz w:val="20"/>
                <w:szCs w:val="20"/>
                <w:lang w:val="es-MX" w:eastAsia="es-MX"/>
              </w:rPr>
            </w:pPr>
            <w:r w:rsidRPr="00846E84">
              <w:rPr>
                <w:rFonts w:eastAsia="Times New Roman" w:cs="Arial"/>
                <w:b/>
                <w:bCs/>
                <w:sz w:val="20"/>
                <w:szCs w:val="20"/>
                <w:lang w:val="es-MX" w:eastAsia="es-MX"/>
              </w:rPr>
              <w:t>MATRIZ DE INDICADORES PARA RESULTADOS (MIR)</w:t>
            </w:r>
          </w:p>
        </w:tc>
      </w:tr>
      <w:tr w:rsidR="00E23746" w:rsidRPr="00846E84" w14:paraId="2A8DE263" w14:textId="77777777" w:rsidTr="000B2F10">
        <w:trPr>
          <w:trHeight w:val="587"/>
        </w:trPr>
        <w:tc>
          <w:tcPr>
            <w:tcW w:w="1313" w:type="dxa"/>
            <w:tcBorders>
              <w:top w:val="nil"/>
              <w:left w:val="single" w:sz="4" w:space="0" w:color="auto"/>
              <w:bottom w:val="single" w:sz="4" w:space="0" w:color="auto"/>
              <w:right w:val="single" w:sz="4" w:space="0" w:color="auto"/>
            </w:tcBorders>
            <w:shd w:val="clear" w:color="000000" w:fill="BFBFBF"/>
            <w:vAlign w:val="center"/>
            <w:hideMark/>
          </w:tcPr>
          <w:p w14:paraId="29BF77C7" w14:textId="77777777" w:rsidR="00E23746" w:rsidRPr="00846E84" w:rsidRDefault="00E23746" w:rsidP="000B2F10">
            <w:pPr>
              <w:spacing w:after="0" w:line="240" w:lineRule="auto"/>
              <w:jc w:val="center"/>
              <w:rPr>
                <w:rFonts w:eastAsia="Times New Roman" w:cs="Arial"/>
                <w:b/>
                <w:bCs/>
                <w:sz w:val="20"/>
                <w:szCs w:val="20"/>
                <w:lang w:val="es-MX" w:eastAsia="es-MX"/>
              </w:rPr>
            </w:pPr>
            <w:r w:rsidRPr="00846E84">
              <w:rPr>
                <w:rFonts w:eastAsia="Times New Roman" w:cs="Arial"/>
                <w:b/>
                <w:bCs/>
                <w:sz w:val="20"/>
                <w:szCs w:val="20"/>
                <w:lang w:val="es-MX" w:eastAsia="es-MX"/>
              </w:rPr>
              <w:t>NIVEL</w:t>
            </w:r>
          </w:p>
        </w:tc>
        <w:tc>
          <w:tcPr>
            <w:tcW w:w="2651" w:type="dxa"/>
            <w:tcBorders>
              <w:top w:val="nil"/>
              <w:left w:val="nil"/>
              <w:bottom w:val="single" w:sz="4" w:space="0" w:color="auto"/>
              <w:right w:val="single" w:sz="4" w:space="0" w:color="auto"/>
            </w:tcBorders>
            <w:shd w:val="clear" w:color="000000" w:fill="BFBFBF"/>
            <w:vAlign w:val="center"/>
            <w:hideMark/>
          </w:tcPr>
          <w:p w14:paraId="3162CF15" w14:textId="77777777" w:rsidR="00E23746" w:rsidRPr="00846E84" w:rsidRDefault="00E23746" w:rsidP="000B2F10">
            <w:pPr>
              <w:spacing w:after="0" w:line="240" w:lineRule="auto"/>
              <w:jc w:val="center"/>
              <w:rPr>
                <w:rFonts w:eastAsia="Times New Roman" w:cs="Arial"/>
                <w:b/>
                <w:bCs/>
                <w:sz w:val="20"/>
                <w:szCs w:val="20"/>
                <w:lang w:val="es-MX" w:eastAsia="es-MX"/>
              </w:rPr>
            </w:pPr>
            <w:r w:rsidRPr="00846E84">
              <w:rPr>
                <w:rFonts w:eastAsia="Times New Roman" w:cs="Arial"/>
                <w:b/>
                <w:bCs/>
                <w:sz w:val="20"/>
                <w:szCs w:val="20"/>
                <w:lang w:val="es-MX" w:eastAsia="es-MX"/>
              </w:rPr>
              <w:t>ALINEACIÓN PED/PD</w:t>
            </w:r>
          </w:p>
        </w:tc>
        <w:tc>
          <w:tcPr>
            <w:tcW w:w="2977" w:type="dxa"/>
            <w:tcBorders>
              <w:top w:val="nil"/>
              <w:left w:val="nil"/>
              <w:bottom w:val="single" w:sz="4" w:space="0" w:color="auto"/>
              <w:right w:val="single" w:sz="4" w:space="0" w:color="auto"/>
            </w:tcBorders>
            <w:shd w:val="clear" w:color="000000" w:fill="BFBFBF"/>
            <w:vAlign w:val="center"/>
            <w:hideMark/>
          </w:tcPr>
          <w:p w14:paraId="36AF1E8A" w14:textId="77777777" w:rsidR="00E23746" w:rsidRPr="00846E84" w:rsidRDefault="00E23746" w:rsidP="000B2F10">
            <w:pPr>
              <w:spacing w:after="0" w:line="240" w:lineRule="auto"/>
              <w:jc w:val="center"/>
              <w:rPr>
                <w:rFonts w:eastAsia="Times New Roman" w:cs="Arial"/>
                <w:b/>
                <w:bCs/>
                <w:sz w:val="20"/>
                <w:szCs w:val="20"/>
                <w:lang w:val="es-MX" w:eastAsia="es-MX"/>
              </w:rPr>
            </w:pPr>
            <w:r w:rsidRPr="00846E84">
              <w:rPr>
                <w:rFonts w:eastAsia="Times New Roman" w:cs="Arial"/>
                <w:b/>
                <w:bCs/>
                <w:sz w:val="20"/>
                <w:szCs w:val="20"/>
                <w:lang w:val="es-MX" w:eastAsia="es-MX"/>
              </w:rPr>
              <w:t>OBJETIVO</w:t>
            </w:r>
          </w:p>
        </w:tc>
        <w:tc>
          <w:tcPr>
            <w:tcW w:w="2315" w:type="dxa"/>
            <w:tcBorders>
              <w:top w:val="nil"/>
              <w:left w:val="nil"/>
              <w:bottom w:val="single" w:sz="4" w:space="0" w:color="auto"/>
              <w:right w:val="single" w:sz="4" w:space="0" w:color="auto"/>
            </w:tcBorders>
            <w:shd w:val="clear" w:color="000000" w:fill="BFBFBF"/>
            <w:vAlign w:val="center"/>
            <w:hideMark/>
          </w:tcPr>
          <w:p w14:paraId="773359AA" w14:textId="77777777" w:rsidR="00E23746" w:rsidRPr="00846E84" w:rsidRDefault="00E23746" w:rsidP="000B2F10">
            <w:pPr>
              <w:spacing w:after="0" w:line="240" w:lineRule="auto"/>
              <w:jc w:val="center"/>
              <w:rPr>
                <w:rFonts w:eastAsia="Times New Roman" w:cs="Arial"/>
                <w:b/>
                <w:bCs/>
                <w:sz w:val="20"/>
                <w:szCs w:val="20"/>
                <w:lang w:val="es-MX" w:eastAsia="es-MX"/>
              </w:rPr>
            </w:pPr>
            <w:r w:rsidRPr="00846E84">
              <w:rPr>
                <w:rFonts w:eastAsia="Times New Roman" w:cs="Arial"/>
                <w:b/>
                <w:bCs/>
                <w:sz w:val="20"/>
                <w:szCs w:val="20"/>
                <w:lang w:val="es-MX" w:eastAsia="es-MX"/>
              </w:rPr>
              <w:t>INDICADOR</w:t>
            </w:r>
          </w:p>
        </w:tc>
        <w:tc>
          <w:tcPr>
            <w:tcW w:w="2788" w:type="dxa"/>
            <w:tcBorders>
              <w:top w:val="nil"/>
              <w:left w:val="nil"/>
              <w:bottom w:val="single" w:sz="4" w:space="0" w:color="auto"/>
              <w:right w:val="single" w:sz="4" w:space="0" w:color="auto"/>
            </w:tcBorders>
            <w:shd w:val="clear" w:color="000000" w:fill="BFBFBF"/>
            <w:vAlign w:val="center"/>
            <w:hideMark/>
          </w:tcPr>
          <w:p w14:paraId="0803BE2E" w14:textId="77777777" w:rsidR="00E23746" w:rsidRPr="00846E84" w:rsidRDefault="00E23746" w:rsidP="000B2F10">
            <w:pPr>
              <w:spacing w:after="0" w:line="240" w:lineRule="auto"/>
              <w:jc w:val="center"/>
              <w:rPr>
                <w:rFonts w:eastAsia="Times New Roman" w:cs="Arial"/>
                <w:b/>
                <w:bCs/>
                <w:sz w:val="20"/>
                <w:szCs w:val="20"/>
                <w:lang w:val="es-MX" w:eastAsia="es-MX"/>
              </w:rPr>
            </w:pPr>
            <w:r w:rsidRPr="00846E84">
              <w:rPr>
                <w:rFonts w:eastAsia="Times New Roman" w:cs="Arial"/>
                <w:b/>
                <w:bCs/>
                <w:sz w:val="20"/>
                <w:szCs w:val="20"/>
                <w:lang w:val="es-MX" w:eastAsia="es-MX"/>
              </w:rPr>
              <w:t>MEDIOS DE VERIFICACIÓN</w:t>
            </w:r>
          </w:p>
        </w:tc>
        <w:tc>
          <w:tcPr>
            <w:tcW w:w="1985" w:type="dxa"/>
            <w:tcBorders>
              <w:top w:val="nil"/>
              <w:left w:val="nil"/>
              <w:bottom w:val="single" w:sz="4" w:space="0" w:color="auto"/>
              <w:right w:val="single" w:sz="4" w:space="0" w:color="auto"/>
            </w:tcBorders>
            <w:shd w:val="clear" w:color="000000" w:fill="BFBFBF"/>
            <w:vAlign w:val="center"/>
            <w:hideMark/>
          </w:tcPr>
          <w:p w14:paraId="12A3A216" w14:textId="77777777" w:rsidR="00E23746" w:rsidRPr="00846E84" w:rsidRDefault="00E23746" w:rsidP="000B2F10">
            <w:pPr>
              <w:spacing w:after="0" w:line="240" w:lineRule="auto"/>
              <w:jc w:val="center"/>
              <w:rPr>
                <w:rFonts w:eastAsia="Times New Roman" w:cs="Arial"/>
                <w:b/>
                <w:bCs/>
                <w:sz w:val="20"/>
                <w:szCs w:val="20"/>
                <w:lang w:val="es-MX" w:eastAsia="es-MX"/>
              </w:rPr>
            </w:pPr>
            <w:r>
              <w:rPr>
                <w:rFonts w:eastAsia="Times New Roman" w:cs="Arial"/>
                <w:b/>
                <w:bCs/>
                <w:sz w:val="20"/>
                <w:szCs w:val="20"/>
                <w:lang w:val="es-MX" w:eastAsia="es-MX"/>
              </w:rPr>
              <w:t>SUPUESTO</w:t>
            </w:r>
          </w:p>
        </w:tc>
      </w:tr>
      <w:tr w:rsidR="00E23746" w:rsidRPr="00846E84" w14:paraId="75F86E19" w14:textId="77777777" w:rsidTr="000B2F10">
        <w:trPr>
          <w:trHeight w:val="2370"/>
        </w:trPr>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2032B2E1" w14:textId="77777777" w:rsidR="00E23746" w:rsidRPr="00846E84" w:rsidRDefault="00E23746" w:rsidP="000B2F10">
            <w:pPr>
              <w:spacing w:after="0" w:line="240" w:lineRule="auto"/>
              <w:jc w:val="center"/>
              <w:rPr>
                <w:rFonts w:eastAsia="Times New Roman" w:cs="Arial"/>
                <w:b/>
                <w:bCs/>
                <w:sz w:val="20"/>
                <w:szCs w:val="20"/>
                <w:lang w:val="es-MX" w:eastAsia="es-MX"/>
              </w:rPr>
            </w:pPr>
            <w:r w:rsidRPr="00846E84">
              <w:rPr>
                <w:rFonts w:eastAsia="Times New Roman" w:cs="Arial"/>
                <w:b/>
                <w:bCs/>
                <w:sz w:val="20"/>
                <w:szCs w:val="20"/>
                <w:lang w:val="es-MX" w:eastAsia="es-MX"/>
              </w:rPr>
              <w:t>Fin</w:t>
            </w:r>
          </w:p>
        </w:tc>
        <w:tc>
          <w:tcPr>
            <w:tcW w:w="2651" w:type="dxa"/>
            <w:tcBorders>
              <w:top w:val="single" w:sz="4" w:space="0" w:color="auto"/>
              <w:left w:val="nil"/>
              <w:bottom w:val="single" w:sz="4" w:space="0" w:color="auto"/>
              <w:right w:val="single" w:sz="4" w:space="0" w:color="auto"/>
            </w:tcBorders>
            <w:shd w:val="clear" w:color="auto" w:fill="auto"/>
            <w:hideMark/>
          </w:tcPr>
          <w:p w14:paraId="54051D15" w14:textId="77777777" w:rsidR="00E23746" w:rsidRPr="00846E84" w:rsidRDefault="00E23746" w:rsidP="000B2F10">
            <w:pPr>
              <w:spacing w:after="0" w:line="240" w:lineRule="auto"/>
              <w:rPr>
                <w:rFonts w:eastAsia="Times New Roman" w:cs="Arial"/>
                <w:sz w:val="20"/>
                <w:szCs w:val="20"/>
                <w:lang w:val="es-MX" w:eastAsia="es-MX"/>
              </w:rPr>
            </w:pPr>
            <w:r w:rsidRPr="00846E84">
              <w:rPr>
                <w:rFonts w:eastAsia="Times New Roman" w:cs="Arial"/>
                <w:sz w:val="20"/>
                <w:szCs w:val="20"/>
                <w:lang w:val="es-MX" w:eastAsia="es-MX"/>
              </w:rPr>
              <w:t>Garantizar el acceso y permanencia a una educación inclusiva y de calidad en todos los niveles educativos que promueva en los educandos aprendizajes para la vida.</w:t>
            </w:r>
          </w:p>
        </w:tc>
        <w:tc>
          <w:tcPr>
            <w:tcW w:w="2977" w:type="dxa"/>
            <w:tcBorders>
              <w:top w:val="single" w:sz="4" w:space="0" w:color="auto"/>
              <w:left w:val="nil"/>
              <w:bottom w:val="single" w:sz="4" w:space="0" w:color="auto"/>
              <w:right w:val="single" w:sz="4" w:space="0" w:color="auto"/>
            </w:tcBorders>
            <w:shd w:val="clear" w:color="auto" w:fill="auto"/>
            <w:hideMark/>
          </w:tcPr>
          <w:p w14:paraId="63398312" w14:textId="77777777" w:rsidR="00E23746" w:rsidRPr="00846E84" w:rsidRDefault="00E23746" w:rsidP="000B2F10">
            <w:pPr>
              <w:spacing w:after="0" w:line="240" w:lineRule="auto"/>
              <w:rPr>
                <w:rFonts w:eastAsia="Times New Roman" w:cs="Arial"/>
                <w:sz w:val="20"/>
                <w:szCs w:val="20"/>
                <w:lang w:val="es-MX" w:eastAsia="es-MX"/>
              </w:rPr>
            </w:pPr>
            <w:r w:rsidRPr="00846E84">
              <w:rPr>
                <w:rFonts w:eastAsia="Times New Roman" w:cs="Arial"/>
                <w:sz w:val="20"/>
                <w:szCs w:val="20"/>
                <w:lang w:val="es-MX" w:eastAsia="es-MX"/>
              </w:rPr>
              <w:t xml:space="preserve">F - Contribuir a garantizar el acceso y permanencia a una educación inclusiva y de calidad en todos los niveles educativos que promueva en los educandos aprendizajes para la vida mediante estrategias de atención a la demanda y permanencia en todos los niveles educativos. </w:t>
            </w:r>
          </w:p>
        </w:tc>
        <w:tc>
          <w:tcPr>
            <w:tcW w:w="2315" w:type="dxa"/>
            <w:tcBorders>
              <w:top w:val="single" w:sz="4" w:space="0" w:color="auto"/>
              <w:left w:val="nil"/>
              <w:bottom w:val="single" w:sz="4" w:space="0" w:color="auto"/>
              <w:right w:val="single" w:sz="4" w:space="0" w:color="auto"/>
            </w:tcBorders>
            <w:shd w:val="clear" w:color="auto" w:fill="auto"/>
            <w:hideMark/>
          </w:tcPr>
          <w:p w14:paraId="30663E94" w14:textId="77777777" w:rsidR="00E23746" w:rsidRPr="00846E84" w:rsidRDefault="00E23746" w:rsidP="000B2F10">
            <w:pPr>
              <w:spacing w:after="0" w:line="240" w:lineRule="auto"/>
              <w:rPr>
                <w:rFonts w:eastAsia="Times New Roman" w:cs="Arial"/>
                <w:sz w:val="20"/>
                <w:szCs w:val="20"/>
                <w:lang w:val="es-MX" w:eastAsia="es-MX"/>
              </w:rPr>
            </w:pPr>
            <w:r w:rsidRPr="00846E84">
              <w:rPr>
                <w:rFonts w:eastAsia="Times New Roman" w:cs="Arial"/>
                <w:sz w:val="20"/>
                <w:szCs w:val="20"/>
                <w:lang w:val="es-MX" w:eastAsia="es-MX"/>
              </w:rPr>
              <w:t>Tasa de cobertura estatal de educación media superior.</w:t>
            </w:r>
          </w:p>
        </w:tc>
        <w:tc>
          <w:tcPr>
            <w:tcW w:w="2788" w:type="dxa"/>
            <w:tcBorders>
              <w:top w:val="single" w:sz="4" w:space="0" w:color="auto"/>
              <w:left w:val="nil"/>
              <w:bottom w:val="single" w:sz="4" w:space="0" w:color="auto"/>
              <w:right w:val="single" w:sz="4" w:space="0" w:color="auto"/>
            </w:tcBorders>
            <w:shd w:val="clear" w:color="auto" w:fill="auto"/>
            <w:hideMark/>
          </w:tcPr>
          <w:p w14:paraId="5D7B82F7" w14:textId="77777777" w:rsidR="00E23746" w:rsidRPr="00846E84" w:rsidRDefault="00E23746" w:rsidP="000B2F10">
            <w:pPr>
              <w:spacing w:after="0" w:line="240" w:lineRule="auto"/>
              <w:rPr>
                <w:rFonts w:eastAsia="Times New Roman" w:cs="Arial"/>
                <w:sz w:val="20"/>
                <w:szCs w:val="20"/>
                <w:lang w:val="es-MX" w:eastAsia="es-MX"/>
              </w:rPr>
            </w:pPr>
            <w:r w:rsidRPr="00846E84">
              <w:rPr>
                <w:rFonts w:eastAsia="Times New Roman" w:cs="Arial"/>
                <w:sz w:val="20"/>
                <w:szCs w:val="20"/>
                <w:lang w:val="es-MX" w:eastAsia="es-MX"/>
              </w:rPr>
              <w:t>Estadísticas continúas del formato 911, matrícula de inicio de ciclo escolar, SEQ. Proyecciones de población por edad desplegada, entidad federativa (Quintana Roo) 1970-2050, CONAPO, https://qroo.gob.mx/seq/medios-de-verificacion-de-la-planeacion-anual</w:t>
            </w:r>
            <w:r>
              <w:rPr>
                <w:rFonts w:eastAsia="Times New Roman" w:cs="Arial"/>
                <w:sz w:val="20"/>
                <w:szCs w:val="20"/>
                <w:lang w:val="es-MX" w:eastAsia="es-MX"/>
              </w:rPr>
              <w:t>.</w:t>
            </w:r>
          </w:p>
        </w:tc>
        <w:tc>
          <w:tcPr>
            <w:tcW w:w="1985" w:type="dxa"/>
            <w:tcBorders>
              <w:top w:val="single" w:sz="4" w:space="0" w:color="auto"/>
              <w:left w:val="nil"/>
              <w:bottom w:val="single" w:sz="4" w:space="0" w:color="auto"/>
              <w:right w:val="single" w:sz="4" w:space="0" w:color="auto"/>
            </w:tcBorders>
            <w:shd w:val="clear" w:color="auto" w:fill="auto"/>
            <w:hideMark/>
          </w:tcPr>
          <w:p w14:paraId="665C1758" w14:textId="77777777" w:rsidR="00E23746" w:rsidRPr="00846E84" w:rsidRDefault="00E23746" w:rsidP="000B2F10">
            <w:pPr>
              <w:spacing w:after="0" w:line="240" w:lineRule="auto"/>
              <w:rPr>
                <w:rFonts w:eastAsia="Times New Roman" w:cs="Arial"/>
                <w:sz w:val="20"/>
                <w:szCs w:val="20"/>
                <w:lang w:val="es-MX" w:eastAsia="es-MX"/>
              </w:rPr>
            </w:pPr>
            <w:r>
              <w:rPr>
                <w:rFonts w:cs="Arial"/>
                <w:sz w:val="20"/>
                <w:szCs w:val="20"/>
              </w:rPr>
              <w:t>La población del Estado obtiene una educación integral de calidad que les permite progresar individual y colectivamente.</w:t>
            </w:r>
          </w:p>
        </w:tc>
      </w:tr>
      <w:tr w:rsidR="00E23746" w:rsidRPr="00846E84" w14:paraId="29509BAA" w14:textId="77777777" w:rsidTr="000B2F10">
        <w:trPr>
          <w:trHeight w:val="1826"/>
        </w:trPr>
        <w:tc>
          <w:tcPr>
            <w:tcW w:w="1313" w:type="dxa"/>
            <w:tcBorders>
              <w:top w:val="single" w:sz="4" w:space="0" w:color="auto"/>
              <w:left w:val="single" w:sz="4" w:space="0" w:color="auto"/>
              <w:bottom w:val="single" w:sz="4" w:space="0" w:color="auto"/>
              <w:right w:val="single" w:sz="4" w:space="0" w:color="auto"/>
            </w:tcBorders>
            <w:shd w:val="clear" w:color="auto" w:fill="auto"/>
            <w:hideMark/>
          </w:tcPr>
          <w:p w14:paraId="56A49AD5" w14:textId="77777777" w:rsidR="00E23746" w:rsidRPr="00846E84" w:rsidRDefault="00E23746" w:rsidP="000B2F10">
            <w:pPr>
              <w:spacing w:after="0" w:line="240" w:lineRule="auto"/>
              <w:jc w:val="center"/>
              <w:rPr>
                <w:rFonts w:eastAsia="Times New Roman" w:cs="Arial"/>
                <w:b/>
                <w:bCs/>
                <w:sz w:val="20"/>
                <w:szCs w:val="20"/>
                <w:lang w:val="es-MX" w:eastAsia="es-MX"/>
              </w:rPr>
            </w:pPr>
            <w:r w:rsidRPr="00846E84">
              <w:rPr>
                <w:rFonts w:eastAsia="Times New Roman" w:cs="Arial"/>
                <w:b/>
                <w:bCs/>
                <w:sz w:val="20"/>
                <w:szCs w:val="20"/>
                <w:lang w:val="es-MX" w:eastAsia="es-MX"/>
              </w:rPr>
              <w:t>Propósito</w:t>
            </w:r>
          </w:p>
        </w:tc>
        <w:tc>
          <w:tcPr>
            <w:tcW w:w="2651" w:type="dxa"/>
            <w:tcBorders>
              <w:top w:val="single" w:sz="4" w:space="0" w:color="auto"/>
              <w:left w:val="nil"/>
              <w:bottom w:val="single" w:sz="4" w:space="0" w:color="auto"/>
              <w:right w:val="single" w:sz="4" w:space="0" w:color="auto"/>
            </w:tcBorders>
            <w:shd w:val="clear" w:color="auto" w:fill="auto"/>
            <w:hideMark/>
          </w:tcPr>
          <w:p w14:paraId="03D4D0FF" w14:textId="77777777" w:rsidR="00E23746" w:rsidRPr="00846E84" w:rsidRDefault="00E23746" w:rsidP="000B2F10">
            <w:pPr>
              <w:spacing w:after="0" w:line="240" w:lineRule="auto"/>
              <w:rPr>
                <w:rFonts w:eastAsia="Times New Roman" w:cs="Arial"/>
                <w:sz w:val="20"/>
                <w:szCs w:val="20"/>
                <w:lang w:val="es-MX" w:eastAsia="es-MX"/>
              </w:rPr>
            </w:pPr>
            <w:r w:rsidRPr="00846E84">
              <w:rPr>
                <w:rFonts w:eastAsia="Times New Roman" w:cs="Arial"/>
                <w:sz w:val="20"/>
                <w:szCs w:val="20"/>
                <w:lang w:val="es-MX" w:eastAsia="es-MX"/>
              </w:rPr>
              <w:t>Brindar una educación media superior de calidad relevante y pertinente centrada en el mejoramiento del desempeño escolar del estudiante.</w:t>
            </w:r>
          </w:p>
        </w:tc>
        <w:tc>
          <w:tcPr>
            <w:tcW w:w="2977" w:type="dxa"/>
            <w:tcBorders>
              <w:top w:val="single" w:sz="4" w:space="0" w:color="auto"/>
              <w:left w:val="nil"/>
              <w:bottom w:val="single" w:sz="4" w:space="0" w:color="auto"/>
              <w:right w:val="single" w:sz="4" w:space="0" w:color="auto"/>
            </w:tcBorders>
            <w:shd w:val="clear" w:color="auto" w:fill="auto"/>
            <w:hideMark/>
          </w:tcPr>
          <w:p w14:paraId="16628488" w14:textId="77777777" w:rsidR="00E23746" w:rsidRPr="00846E84" w:rsidRDefault="00E23746" w:rsidP="000B2F10">
            <w:pPr>
              <w:spacing w:after="0" w:line="240" w:lineRule="auto"/>
              <w:rPr>
                <w:rFonts w:eastAsia="Times New Roman" w:cs="Arial"/>
                <w:sz w:val="20"/>
                <w:szCs w:val="20"/>
                <w:lang w:val="es-MX" w:eastAsia="es-MX"/>
              </w:rPr>
            </w:pPr>
            <w:r w:rsidRPr="00846E84">
              <w:rPr>
                <w:rFonts w:eastAsia="Times New Roman" w:cs="Arial"/>
                <w:sz w:val="20"/>
                <w:szCs w:val="20"/>
                <w:lang w:val="es-MX" w:eastAsia="es-MX"/>
              </w:rPr>
              <w:t>P - Los alumnos de educación media superior reciben una educación de calidad relevante y pertinente centrada en el mejoramiento de su desempeño escolar.</w:t>
            </w:r>
          </w:p>
        </w:tc>
        <w:tc>
          <w:tcPr>
            <w:tcW w:w="2315" w:type="dxa"/>
            <w:tcBorders>
              <w:top w:val="single" w:sz="4" w:space="0" w:color="auto"/>
              <w:left w:val="nil"/>
              <w:bottom w:val="single" w:sz="4" w:space="0" w:color="auto"/>
              <w:right w:val="single" w:sz="4" w:space="0" w:color="auto"/>
            </w:tcBorders>
            <w:shd w:val="clear" w:color="auto" w:fill="auto"/>
            <w:hideMark/>
          </w:tcPr>
          <w:p w14:paraId="5C830A3B" w14:textId="77777777" w:rsidR="00E23746" w:rsidRPr="00846E84" w:rsidRDefault="00E23746" w:rsidP="000B2F10">
            <w:pPr>
              <w:spacing w:after="0" w:line="240" w:lineRule="auto"/>
              <w:rPr>
                <w:rFonts w:eastAsia="Times New Roman" w:cs="Arial"/>
                <w:sz w:val="20"/>
                <w:szCs w:val="20"/>
                <w:lang w:val="es-MX" w:eastAsia="es-MX"/>
              </w:rPr>
            </w:pPr>
            <w:r w:rsidRPr="00846E84">
              <w:rPr>
                <w:rFonts w:eastAsia="Times New Roman" w:cs="Arial"/>
                <w:sz w:val="20"/>
                <w:szCs w:val="20"/>
                <w:lang w:val="es-MX" w:eastAsia="es-MX"/>
              </w:rPr>
              <w:t>Porcentaje de los alumnos que concluyen  el último semestre de educación media superior con un promedio mayor o igual a 8</w:t>
            </w:r>
            <w:r>
              <w:rPr>
                <w:rFonts w:eastAsia="Times New Roman" w:cs="Arial"/>
                <w:sz w:val="20"/>
                <w:szCs w:val="20"/>
                <w:lang w:val="es-MX" w:eastAsia="es-MX"/>
              </w:rPr>
              <w:t>.</w:t>
            </w:r>
          </w:p>
        </w:tc>
        <w:tc>
          <w:tcPr>
            <w:tcW w:w="2788" w:type="dxa"/>
            <w:tcBorders>
              <w:top w:val="single" w:sz="4" w:space="0" w:color="auto"/>
              <w:left w:val="nil"/>
              <w:bottom w:val="single" w:sz="4" w:space="0" w:color="auto"/>
              <w:right w:val="single" w:sz="4" w:space="0" w:color="auto"/>
            </w:tcBorders>
            <w:shd w:val="clear" w:color="auto" w:fill="auto"/>
            <w:hideMark/>
          </w:tcPr>
          <w:p w14:paraId="2A2C5572" w14:textId="77777777" w:rsidR="00E23746" w:rsidRPr="00846E84" w:rsidRDefault="00E23746" w:rsidP="000B2F10">
            <w:pPr>
              <w:spacing w:after="0" w:line="240" w:lineRule="auto"/>
              <w:rPr>
                <w:rFonts w:eastAsia="Times New Roman" w:cs="Arial"/>
                <w:sz w:val="20"/>
                <w:szCs w:val="20"/>
                <w:lang w:val="es-MX" w:eastAsia="es-MX"/>
              </w:rPr>
            </w:pPr>
            <w:r w:rsidRPr="00846E84">
              <w:rPr>
                <w:rFonts w:eastAsia="Times New Roman" w:cs="Arial"/>
                <w:sz w:val="20"/>
                <w:szCs w:val="20"/>
                <w:lang w:val="es-MX" w:eastAsia="es-MX"/>
              </w:rPr>
              <w:t>Tabla de promedios generales del último semestre de educación media superior, Subsecretaría de Educación Media y Superior, https://qroo.gob.mx/seq/medios-de-verificacion-de-la-planeacion-anual</w:t>
            </w:r>
          </w:p>
        </w:tc>
        <w:tc>
          <w:tcPr>
            <w:tcW w:w="1985" w:type="dxa"/>
            <w:tcBorders>
              <w:top w:val="single" w:sz="4" w:space="0" w:color="auto"/>
              <w:left w:val="nil"/>
              <w:bottom w:val="single" w:sz="4" w:space="0" w:color="auto"/>
              <w:right w:val="single" w:sz="4" w:space="0" w:color="auto"/>
            </w:tcBorders>
            <w:shd w:val="clear" w:color="auto" w:fill="auto"/>
            <w:hideMark/>
          </w:tcPr>
          <w:p w14:paraId="01D6D25B" w14:textId="77777777" w:rsidR="00E23746" w:rsidRPr="00846E84" w:rsidRDefault="00E23746" w:rsidP="000B2F10">
            <w:pPr>
              <w:spacing w:after="0" w:line="240" w:lineRule="auto"/>
              <w:rPr>
                <w:rFonts w:eastAsia="Times New Roman" w:cs="Arial"/>
                <w:sz w:val="20"/>
                <w:szCs w:val="20"/>
                <w:lang w:val="es-MX" w:eastAsia="es-MX"/>
              </w:rPr>
            </w:pPr>
            <w:r w:rsidRPr="0021025C">
              <w:rPr>
                <w:rFonts w:eastAsia="Times New Roman" w:cs="Arial"/>
                <w:sz w:val="20"/>
                <w:szCs w:val="20"/>
                <w:lang w:val="es-MX" w:eastAsia="es-MX"/>
              </w:rPr>
              <w:t>Los alumnos concluyen sus estudios de nivel medio superior con una formación integral de calidad</w:t>
            </w:r>
            <w:r>
              <w:rPr>
                <w:rFonts w:eastAsia="Times New Roman" w:cs="Arial"/>
                <w:sz w:val="20"/>
                <w:szCs w:val="20"/>
                <w:lang w:val="es-MX" w:eastAsia="es-MX"/>
              </w:rPr>
              <w:t>.</w:t>
            </w:r>
          </w:p>
        </w:tc>
      </w:tr>
    </w:tbl>
    <w:p w14:paraId="24425913" w14:textId="77777777" w:rsidR="00D36037" w:rsidRDefault="00D36037">
      <w:pPr>
        <w:spacing w:after="0" w:line="240" w:lineRule="auto"/>
        <w:jc w:val="left"/>
      </w:pPr>
      <w:r>
        <w:br w:type="page"/>
      </w:r>
    </w:p>
    <w:tbl>
      <w:tblPr>
        <w:tblW w:w="14029" w:type="dxa"/>
        <w:tblLayout w:type="fixed"/>
        <w:tblCellMar>
          <w:left w:w="70" w:type="dxa"/>
          <w:right w:w="70" w:type="dxa"/>
        </w:tblCellMar>
        <w:tblLook w:val="04A0" w:firstRow="1" w:lastRow="0" w:firstColumn="1" w:lastColumn="0" w:noHBand="0" w:noVBand="1"/>
      </w:tblPr>
      <w:tblGrid>
        <w:gridCol w:w="1413"/>
        <w:gridCol w:w="2551"/>
        <w:gridCol w:w="2977"/>
        <w:gridCol w:w="2315"/>
        <w:gridCol w:w="2788"/>
        <w:gridCol w:w="1985"/>
      </w:tblGrid>
      <w:tr w:rsidR="00E23746" w:rsidRPr="00846E84" w14:paraId="183EF3EC" w14:textId="77777777" w:rsidTr="006E6535">
        <w:trPr>
          <w:trHeight w:val="587"/>
        </w:trPr>
        <w:tc>
          <w:tcPr>
            <w:tcW w:w="1413"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1470A1DA" w14:textId="77777777" w:rsidR="00E23746" w:rsidRPr="00846E84" w:rsidRDefault="00E23746" w:rsidP="000B2F10">
            <w:pPr>
              <w:spacing w:after="0" w:line="240" w:lineRule="auto"/>
              <w:jc w:val="center"/>
              <w:rPr>
                <w:rFonts w:eastAsia="Times New Roman" w:cs="Arial"/>
                <w:b/>
                <w:bCs/>
                <w:sz w:val="20"/>
                <w:szCs w:val="20"/>
                <w:lang w:val="es-MX" w:eastAsia="es-MX"/>
              </w:rPr>
            </w:pPr>
            <w:r w:rsidRPr="00846E84">
              <w:rPr>
                <w:rFonts w:eastAsia="Times New Roman" w:cs="Arial"/>
                <w:b/>
                <w:bCs/>
                <w:sz w:val="20"/>
                <w:szCs w:val="20"/>
                <w:lang w:val="es-MX" w:eastAsia="es-MX"/>
              </w:rPr>
              <w:lastRenderedPageBreak/>
              <w:t>NIVEL</w:t>
            </w:r>
          </w:p>
        </w:tc>
        <w:tc>
          <w:tcPr>
            <w:tcW w:w="2551" w:type="dxa"/>
            <w:tcBorders>
              <w:top w:val="single" w:sz="4" w:space="0" w:color="auto"/>
              <w:left w:val="nil"/>
              <w:bottom w:val="single" w:sz="4" w:space="0" w:color="auto"/>
              <w:right w:val="single" w:sz="4" w:space="0" w:color="auto"/>
            </w:tcBorders>
            <w:shd w:val="clear" w:color="000000" w:fill="BFBFBF"/>
            <w:vAlign w:val="center"/>
            <w:hideMark/>
          </w:tcPr>
          <w:p w14:paraId="3FFDF18D" w14:textId="77777777" w:rsidR="00E23746" w:rsidRPr="00846E84" w:rsidRDefault="00E23746" w:rsidP="000B2F10">
            <w:pPr>
              <w:spacing w:after="0" w:line="240" w:lineRule="auto"/>
              <w:jc w:val="center"/>
              <w:rPr>
                <w:rFonts w:eastAsia="Times New Roman" w:cs="Arial"/>
                <w:b/>
                <w:bCs/>
                <w:sz w:val="20"/>
                <w:szCs w:val="20"/>
                <w:lang w:val="es-MX" w:eastAsia="es-MX"/>
              </w:rPr>
            </w:pPr>
            <w:r w:rsidRPr="00846E84">
              <w:rPr>
                <w:rFonts w:eastAsia="Times New Roman" w:cs="Arial"/>
                <w:b/>
                <w:bCs/>
                <w:sz w:val="20"/>
                <w:szCs w:val="20"/>
                <w:lang w:val="es-MX" w:eastAsia="es-MX"/>
              </w:rPr>
              <w:t>ALINEACIÓN PED/PD</w:t>
            </w:r>
          </w:p>
        </w:tc>
        <w:tc>
          <w:tcPr>
            <w:tcW w:w="2977" w:type="dxa"/>
            <w:tcBorders>
              <w:top w:val="single" w:sz="4" w:space="0" w:color="auto"/>
              <w:left w:val="nil"/>
              <w:bottom w:val="single" w:sz="4" w:space="0" w:color="auto"/>
              <w:right w:val="single" w:sz="4" w:space="0" w:color="auto"/>
            </w:tcBorders>
            <w:shd w:val="clear" w:color="000000" w:fill="BFBFBF"/>
            <w:vAlign w:val="center"/>
            <w:hideMark/>
          </w:tcPr>
          <w:p w14:paraId="0C288166" w14:textId="77777777" w:rsidR="00E23746" w:rsidRPr="00846E84" w:rsidRDefault="00E23746" w:rsidP="000B2F10">
            <w:pPr>
              <w:spacing w:after="0" w:line="240" w:lineRule="auto"/>
              <w:jc w:val="center"/>
              <w:rPr>
                <w:rFonts w:eastAsia="Times New Roman" w:cs="Arial"/>
                <w:b/>
                <w:bCs/>
                <w:sz w:val="20"/>
                <w:szCs w:val="20"/>
                <w:lang w:val="es-MX" w:eastAsia="es-MX"/>
              </w:rPr>
            </w:pPr>
            <w:r w:rsidRPr="00846E84">
              <w:rPr>
                <w:rFonts w:eastAsia="Times New Roman" w:cs="Arial"/>
                <w:b/>
                <w:bCs/>
                <w:sz w:val="20"/>
                <w:szCs w:val="20"/>
                <w:lang w:val="es-MX" w:eastAsia="es-MX"/>
              </w:rPr>
              <w:t>OBJETIVO</w:t>
            </w:r>
          </w:p>
        </w:tc>
        <w:tc>
          <w:tcPr>
            <w:tcW w:w="2315" w:type="dxa"/>
            <w:tcBorders>
              <w:top w:val="single" w:sz="4" w:space="0" w:color="auto"/>
              <w:left w:val="nil"/>
              <w:bottom w:val="single" w:sz="4" w:space="0" w:color="auto"/>
              <w:right w:val="single" w:sz="4" w:space="0" w:color="auto"/>
            </w:tcBorders>
            <w:shd w:val="clear" w:color="000000" w:fill="BFBFBF"/>
            <w:vAlign w:val="center"/>
            <w:hideMark/>
          </w:tcPr>
          <w:p w14:paraId="08F8CAFF" w14:textId="77777777" w:rsidR="00E23746" w:rsidRPr="00846E84" w:rsidRDefault="00E23746" w:rsidP="000B2F10">
            <w:pPr>
              <w:spacing w:after="0" w:line="240" w:lineRule="auto"/>
              <w:jc w:val="center"/>
              <w:rPr>
                <w:rFonts w:eastAsia="Times New Roman" w:cs="Arial"/>
                <w:b/>
                <w:bCs/>
                <w:sz w:val="20"/>
                <w:szCs w:val="20"/>
                <w:lang w:val="es-MX" w:eastAsia="es-MX"/>
              </w:rPr>
            </w:pPr>
            <w:r w:rsidRPr="00846E84">
              <w:rPr>
                <w:rFonts w:eastAsia="Times New Roman" w:cs="Arial"/>
                <w:b/>
                <w:bCs/>
                <w:sz w:val="20"/>
                <w:szCs w:val="20"/>
                <w:lang w:val="es-MX" w:eastAsia="es-MX"/>
              </w:rPr>
              <w:t>INDICADOR</w:t>
            </w:r>
          </w:p>
        </w:tc>
        <w:tc>
          <w:tcPr>
            <w:tcW w:w="2788" w:type="dxa"/>
            <w:tcBorders>
              <w:top w:val="single" w:sz="4" w:space="0" w:color="auto"/>
              <w:left w:val="nil"/>
              <w:bottom w:val="single" w:sz="4" w:space="0" w:color="auto"/>
              <w:right w:val="single" w:sz="4" w:space="0" w:color="auto"/>
            </w:tcBorders>
            <w:shd w:val="clear" w:color="000000" w:fill="BFBFBF"/>
            <w:vAlign w:val="center"/>
            <w:hideMark/>
          </w:tcPr>
          <w:p w14:paraId="4B90612B" w14:textId="77777777" w:rsidR="00E23746" w:rsidRPr="00846E84" w:rsidRDefault="00E23746" w:rsidP="000B2F10">
            <w:pPr>
              <w:spacing w:after="0" w:line="240" w:lineRule="auto"/>
              <w:jc w:val="center"/>
              <w:rPr>
                <w:rFonts w:eastAsia="Times New Roman" w:cs="Arial"/>
                <w:b/>
                <w:bCs/>
                <w:sz w:val="20"/>
                <w:szCs w:val="20"/>
                <w:lang w:val="es-MX" w:eastAsia="es-MX"/>
              </w:rPr>
            </w:pPr>
            <w:r w:rsidRPr="00846E84">
              <w:rPr>
                <w:rFonts w:eastAsia="Times New Roman" w:cs="Arial"/>
                <w:b/>
                <w:bCs/>
                <w:sz w:val="20"/>
                <w:szCs w:val="20"/>
                <w:lang w:val="es-MX" w:eastAsia="es-MX"/>
              </w:rPr>
              <w:t>MEDIOS DE VERIFICACIÓN</w:t>
            </w:r>
          </w:p>
        </w:tc>
        <w:tc>
          <w:tcPr>
            <w:tcW w:w="1985" w:type="dxa"/>
            <w:tcBorders>
              <w:top w:val="single" w:sz="4" w:space="0" w:color="auto"/>
              <w:left w:val="nil"/>
              <w:bottom w:val="single" w:sz="4" w:space="0" w:color="auto"/>
              <w:right w:val="single" w:sz="4" w:space="0" w:color="auto"/>
            </w:tcBorders>
            <w:shd w:val="clear" w:color="000000" w:fill="BFBFBF"/>
            <w:vAlign w:val="center"/>
            <w:hideMark/>
          </w:tcPr>
          <w:p w14:paraId="7CEC81DD" w14:textId="77777777" w:rsidR="00E23746" w:rsidRPr="00846E84" w:rsidRDefault="00E23746" w:rsidP="000B2F10">
            <w:pPr>
              <w:spacing w:after="0" w:line="240" w:lineRule="auto"/>
              <w:jc w:val="center"/>
              <w:rPr>
                <w:rFonts w:eastAsia="Times New Roman" w:cs="Arial"/>
                <w:b/>
                <w:bCs/>
                <w:sz w:val="20"/>
                <w:szCs w:val="20"/>
                <w:lang w:val="es-MX" w:eastAsia="es-MX"/>
              </w:rPr>
            </w:pPr>
            <w:r>
              <w:rPr>
                <w:rFonts w:eastAsia="Times New Roman" w:cs="Arial"/>
                <w:b/>
                <w:bCs/>
                <w:sz w:val="20"/>
                <w:szCs w:val="20"/>
                <w:lang w:val="es-MX" w:eastAsia="es-MX"/>
              </w:rPr>
              <w:t>SUPUESTO</w:t>
            </w:r>
          </w:p>
        </w:tc>
      </w:tr>
      <w:tr w:rsidR="00E23746" w:rsidRPr="00846E84" w14:paraId="667CF8F0" w14:textId="77777777" w:rsidTr="006E6535">
        <w:trPr>
          <w:trHeight w:val="1680"/>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14:paraId="4220694B" w14:textId="77777777" w:rsidR="00E23746" w:rsidRPr="00846E84" w:rsidRDefault="00E23746" w:rsidP="000B2F10">
            <w:pPr>
              <w:spacing w:after="0" w:line="240" w:lineRule="auto"/>
              <w:jc w:val="center"/>
              <w:rPr>
                <w:rFonts w:eastAsia="Times New Roman" w:cs="Arial"/>
                <w:b/>
                <w:bCs/>
                <w:sz w:val="20"/>
                <w:szCs w:val="20"/>
                <w:lang w:val="es-MX" w:eastAsia="es-MX"/>
              </w:rPr>
            </w:pPr>
            <w:r w:rsidRPr="00846E84">
              <w:rPr>
                <w:rFonts w:eastAsia="Times New Roman" w:cs="Arial"/>
                <w:b/>
                <w:bCs/>
                <w:sz w:val="20"/>
                <w:szCs w:val="20"/>
                <w:lang w:val="es-MX" w:eastAsia="es-MX"/>
              </w:rPr>
              <w:t>Componente</w:t>
            </w:r>
          </w:p>
        </w:tc>
        <w:tc>
          <w:tcPr>
            <w:tcW w:w="2551" w:type="dxa"/>
            <w:tcBorders>
              <w:top w:val="single" w:sz="4" w:space="0" w:color="auto"/>
              <w:left w:val="nil"/>
              <w:bottom w:val="single" w:sz="4" w:space="0" w:color="auto"/>
              <w:right w:val="single" w:sz="4" w:space="0" w:color="auto"/>
            </w:tcBorders>
            <w:shd w:val="clear" w:color="auto" w:fill="auto"/>
            <w:hideMark/>
          </w:tcPr>
          <w:p w14:paraId="707443CD" w14:textId="77777777" w:rsidR="00E23746" w:rsidRPr="00846E84" w:rsidRDefault="00E23746" w:rsidP="000B2F10">
            <w:pPr>
              <w:spacing w:after="0" w:line="240" w:lineRule="auto"/>
              <w:rPr>
                <w:rFonts w:ascii="Arial Narrow" w:eastAsia="Times New Roman" w:hAnsi="Arial Narrow" w:cs="Arial"/>
                <w:i/>
                <w:iCs/>
                <w:sz w:val="22"/>
                <w:szCs w:val="22"/>
                <w:lang w:val="es-MX" w:eastAsia="es-MX"/>
              </w:rPr>
            </w:pPr>
            <w:r w:rsidRPr="00846E84">
              <w:rPr>
                <w:rFonts w:eastAsia="Times New Roman" w:cs="Arial"/>
                <w:sz w:val="20"/>
                <w:szCs w:val="20"/>
                <w:lang w:val="es-MX" w:eastAsia="es-MX"/>
              </w:rPr>
              <w:t>Impulsar estrategias para fortalecer la comprensión de lectura, escritura y pensamiento lógico matemático y demás áreas del conocimiento en escuelas de nivel medio superior</w:t>
            </w:r>
            <w:r>
              <w:rPr>
                <w:rFonts w:eastAsia="Times New Roman" w:cs="Arial"/>
                <w:sz w:val="20"/>
                <w:szCs w:val="20"/>
                <w:lang w:val="es-MX" w:eastAsia="es-MX"/>
              </w:rPr>
              <w:t>.</w:t>
            </w:r>
          </w:p>
        </w:tc>
        <w:tc>
          <w:tcPr>
            <w:tcW w:w="2977" w:type="dxa"/>
            <w:tcBorders>
              <w:top w:val="single" w:sz="4" w:space="0" w:color="auto"/>
              <w:left w:val="nil"/>
              <w:bottom w:val="single" w:sz="4" w:space="0" w:color="auto"/>
              <w:right w:val="single" w:sz="4" w:space="0" w:color="auto"/>
            </w:tcBorders>
            <w:shd w:val="clear" w:color="auto" w:fill="auto"/>
            <w:hideMark/>
          </w:tcPr>
          <w:p w14:paraId="3759FC58" w14:textId="77777777" w:rsidR="00E23746" w:rsidRPr="00846E84" w:rsidRDefault="00E23746" w:rsidP="000B2F10">
            <w:pPr>
              <w:spacing w:after="0" w:line="240" w:lineRule="auto"/>
              <w:rPr>
                <w:rFonts w:eastAsia="Times New Roman" w:cs="Arial"/>
                <w:sz w:val="20"/>
                <w:szCs w:val="20"/>
                <w:lang w:val="es-MX" w:eastAsia="es-MX"/>
              </w:rPr>
            </w:pPr>
            <w:r w:rsidRPr="00846E84">
              <w:rPr>
                <w:rFonts w:eastAsia="Times New Roman" w:cs="Arial"/>
                <w:sz w:val="20"/>
                <w:szCs w:val="20"/>
                <w:lang w:val="es-MX" w:eastAsia="es-MX"/>
              </w:rPr>
              <w:t>C01 - Alumnos con desempeño escolar mejorado.</w:t>
            </w:r>
          </w:p>
        </w:tc>
        <w:tc>
          <w:tcPr>
            <w:tcW w:w="2315" w:type="dxa"/>
            <w:tcBorders>
              <w:top w:val="single" w:sz="4" w:space="0" w:color="auto"/>
              <w:left w:val="nil"/>
              <w:bottom w:val="single" w:sz="4" w:space="0" w:color="auto"/>
              <w:right w:val="single" w:sz="4" w:space="0" w:color="auto"/>
            </w:tcBorders>
            <w:shd w:val="clear" w:color="auto" w:fill="auto"/>
            <w:hideMark/>
          </w:tcPr>
          <w:p w14:paraId="123292F7" w14:textId="77777777" w:rsidR="00E23746" w:rsidRPr="00846E84" w:rsidRDefault="00E23746" w:rsidP="000B2F10">
            <w:pPr>
              <w:spacing w:after="0" w:line="240" w:lineRule="auto"/>
              <w:rPr>
                <w:rFonts w:eastAsia="Times New Roman" w:cs="Arial"/>
                <w:sz w:val="20"/>
                <w:szCs w:val="20"/>
                <w:lang w:val="es-MX" w:eastAsia="es-MX"/>
              </w:rPr>
            </w:pPr>
            <w:r w:rsidRPr="00846E84">
              <w:rPr>
                <w:rFonts w:eastAsia="Times New Roman" w:cs="Arial"/>
                <w:sz w:val="20"/>
                <w:szCs w:val="20"/>
                <w:lang w:val="es-MX" w:eastAsia="es-MX"/>
              </w:rPr>
              <w:t>C01I01 - Promedio de aprovechamiento</w:t>
            </w:r>
            <w:r>
              <w:rPr>
                <w:rFonts w:eastAsia="Times New Roman" w:cs="Arial"/>
                <w:sz w:val="20"/>
                <w:szCs w:val="20"/>
                <w:lang w:val="es-MX" w:eastAsia="es-MX"/>
              </w:rPr>
              <w:t>.</w:t>
            </w:r>
          </w:p>
        </w:tc>
        <w:tc>
          <w:tcPr>
            <w:tcW w:w="2788" w:type="dxa"/>
            <w:tcBorders>
              <w:top w:val="single" w:sz="4" w:space="0" w:color="auto"/>
              <w:left w:val="nil"/>
              <w:bottom w:val="single" w:sz="4" w:space="0" w:color="auto"/>
              <w:right w:val="single" w:sz="4" w:space="0" w:color="auto"/>
            </w:tcBorders>
            <w:shd w:val="clear" w:color="auto" w:fill="auto"/>
            <w:hideMark/>
          </w:tcPr>
          <w:p w14:paraId="393CBCC9" w14:textId="77777777" w:rsidR="00E23746" w:rsidRPr="00846E84" w:rsidRDefault="00E23746" w:rsidP="000B2F10">
            <w:pPr>
              <w:spacing w:after="0" w:line="240" w:lineRule="auto"/>
              <w:rPr>
                <w:rFonts w:eastAsia="Times New Roman" w:cs="Arial"/>
                <w:sz w:val="20"/>
                <w:szCs w:val="20"/>
                <w:lang w:val="es-MX" w:eastAsia="es-MX"/>
              </w:rPr>
            </w:pPr>
            <w:r w:rsidRPr="00846E84">
              <w:rPr>
                <w:rFonts w:eastAsia="Times New Roman" w:cs="Arial"/>
                <w:sz w:val="20"/>
                <w:szCs w:val="20"/>
                <w:lang w:val="es-MX" w:eastAsia="es-MX"/>
              </w:rPr>
              <w:t>Dirección Académica (Reporte generado del Sistema del Control Escolar) https://qroo.gob.mx/eva/actividades-academicas</w:t>
            </w:r>
            <w:r>
              <w:rPr>
                <w:rFonts w:eastAsia="Times New Roman" w:cs="Arial"/>
                <w:sz w:val="20"/>
                <w:szCs w:val="20"/>
                <w:lang w:val="es-MX" w:eastAsia="es-MX"/>
              </w:rPr>
              <w:t>.</w:t>
            </w:r>
          </w:p>
        </w:tc>
        <w:tc>
          <w:tcPr>
            <w:tcW w:w="1985" w:type="dxa"/>
            <w:tcBorders>
              <w:top w:val="single" w:sz="4" w:space="0" w:color="auto"/>
              <w:left w:val="nil"/>
              <w:bottom w:val="single" w:sz="4" w:space="0" w:color="auto"/>
              <w:right w:val="single" w:sz="4" w:space="0" w:color="auto"/>
            </w:tcBorders>
            <w:shd w:val="clear" w:color="auto" w:fill="auto"/>
            <w:hideMark/>
          </w:tcPr>
          <w:p w14:paraId="6A23478E" w14:textId="77777777" w:rsidR="00E23746" w:rsidRPr="00846E84" w:rsidRDefault="00E23746" w:rsidP="000B2F10">
            <w:pPr>
              <w:spacing w:after="0" w:line="240" w:lineRule="auto"/>
              <w:rPr>
                <w:rFonts w:eastAsia="Times New Roman" w:cs="Arial"/>
                <w:sz w:val="20"/>
                <w:szCs w:val="20"/>
                <w:lang w:val="es-MX" w:eastAsia="es-MX"/>
              </w:rPr>
            </w:pPr>
            <w:r w:rsidRPr="00846E84">
              <w:rPr>
                <w:rFonts w:eastAsia="Times New Roman" w:cs="Arial"/>
                <w:sz w:val="20"/>
                <w:szCs w:val="20"/>
                <w:lang w:val="es-MX" w:eastAsia="es-MX"/>
              </w:rPr>
              <w:t>Los alumnos mejoran su promedio de aprovechamiento.</w:t>
            </w:r>
          </w:p>
        </w:tc>
      </w:tr>
      <w:tr w:rsidR="00E23746" w:rsidRPr="00846E84" w14:paraId="752B53B5" w14:textId="77777777" w:rsidTr="006E6535">
        <w:trPr>
          <w:trHeight w:val="1275"/>
        </w:trPr>
        <w:tc>
          <w:tcPr>
            <w:tcW w:w="1413" w:type="dxa"/>
            <w:tcBorders>
              <w:top w:val="nil"/>
              <w:left w:val="single" w:sz="4" w:space="0" w:color="auto"/>
              <w:bottom w:val="single" w:sz="4" w:space="0" w:color="auto"/>
              <w:right w:val="single" w:sz="4" w:space="0" w:color="auto"/>
            </w:tcBorders>
            <w:shd w:val="clear" w:color="auto" w:fill="auto"/>
            <w:hideMark/>
          </w:tcPr>
          <w:p w14:paraId="6366EDAC" w14:textId="77777777" w:rsidR="00E23746" w:rsidRPr="00846E84" w:rsidRDefault="00E23746" w:rsidP="000B2F10">
            <w:pPr>
              <w:spacing w:after="0" w:line="240" w:lineRule="auto"/>
              <w:jc w:val="center"/>
              <w:rPr>
                <w:rFonts w:eastAsia="Times New Roman" w:cs="Arial"/>
                <w:b/>
                <w:bCs/>
                <w:sz w:val="20"/>
                <w:szCs w:val="20"/>
                <w:lang w:val="es-MX" w:eastAsia="es-MX"/>
              </w:rPr>
            </w:pPr>
            <w:r w:rsidRPr="00846E84">
              <w:rPr>
                <w:rFonts w:eastAsia="Times New Roman" w:cs="Arial"/>
                <w:b/>
                <w:bCs/>
                <w:sz w:val="20"/>
                <w:szCs w:val="20"/>
                <w:lang w:val="es-MX" w:eastAsia="es-MX"/>
              </w:rPr>
              <w:t>Actividad</w:t>
            </w:r>
          </w:p>
        </w:tc>
        <w:tc>
          <w:tcPr>
            <w:tcW w:w="2551" w:type="dxa"/>
            <w:tcBorders>
              <w:top w:val="nil"/>
              <w:left w:val="nil"/>
              <w:bottom w:val="single" w:sz="4" w:space="0" w:color="auto"/>
              <w:right w:val="single" w:sz="4" w:space="0" w:color="auto"/>
            </w:tcBorders>
            <w:shd w:val="clear" w:color="auto" w:fill="auto"/>
            <w:hideMark/>
          </w:tcPr>
          <w:p w14:paraId="7EB8BB31" w14:textId="77777777" w:rsidR="00E23746" w:rsidRPr="00846E84" w:rsidRDefault="00E23746" w:rsidP="000B2F10">
            <w:pPr>
              <w:spacing w:after="0" w:line="240" w:lineRule="auto"/>
              <w:rPr>
                <w:rFonts w:eastAsia="Times New Roman" w:cs="Arial"/>
                <w:sz w:val="20"/>
                <w:szCs w:val="20"/>
                <w:lang w:val="es-MX" w:eastAsia="es-MX"/>
              </w:rPr>
            </w:pPr>
            <w:r w:rsidRPr="00846E84">
              <w:rPr>
                <w:rFonts w:eastAsia="Times New Roman" w:cs="Arial"/>
                <w:sz w:val="20"/>
                <w:szCs w:val="20"/>
                <w:lang w:val="es-MX" w:eastAsia="es-MX"/>
              </w:rPr>
              <w:t>Impulsar la formación integral de los estudiantes en el nivel medio superior</w:t>
            </w:r>
            <w:r>
              <w:rPr>
                <w:rFonts w:eastAsia="Times New Roman" w:cs="Arial"/>
                <w:sz w:val="20"/>
                <w:szCs w:val="20"/>
                <w:lang w:val="es-MX" w:eastAsia="es-MX"/>
              </w:rPr>
              <w:t>.</w:t>
            </w:r>
          </w:p>
        </w:tc>
        <w:tc>
          <w:tcPr>
            <w:tcW w:w="2977" w:type="dxa"/>
            <w:tcBorders>
              <w:top w:val="nil"/>
              <w:left w:val="nil"/>
              <w:bottom w:val="single" w:sz="4" w:space="0" w:color="auto"/>
              <w:right w:val="single" w:sz="4" w:space="0" w:color="auto"/>
            </w:tcBorders>
            <w:shd w:val="clear" w:color="auto" w:fill="auto"/>
            <w:hideMark/>
          </w:tcPr>
          <w:p w14:paraId="0FF25398" w14:textId="77777777" w:rsidR="00E23746" w:rsidRPr="00846E84" w:rsidRDefault="00E23746" w:rsidP="000B2F10">
            <w:pPr>
              <w:spacing w:after="0" w:line="240" w:lineRule="auto"/>
              <w:rPr>
                <w:rFonts w:eastAsia="Times New Roman" w:cs="Arial"/>
                <w:sz w:val="20"/>
                <w:szCs w:val="20"/>
                <w:lang w:val="es-MX" w:eastAsia="es-MX"/>
              </w:rPr>
            </w:pPr>
            <w:r w:rsidRPr="00846E84">
              <w:rPr>
                <w:rFonts w:eastAsia="Times New Roman" w:cs="Arial"/>
                <w:sz w:val="20"/>
                <w:szCs w:val="20"/>
                <w:lang w:val="es-MX" w:eastAsia="es-MX"/>
              </w:rPr>
              <w:t>C01.A01 - Participación de alumnos en actividades cívicas, culturales, recreativas y deportivas</w:t>
            </w:r>
            <w:r>
              <w:rPr>
                <w:rFonts w:eastAsia="Times New Roman" w:cs="Arial"/>
                <w:sz w:val="20"/>
                <w:szCs w:val="20"/>
                <w:lang w:val="es-MX" w:eastAsia="es-MX"/>
              </w:rPr>
              <w:t>.</w:t>
            </w:r>
          </w:p>
        </w:tc>
        <w:tc>
          <w:tcPr>
            <w:tcW w:w="2315" w:type="dxa"/>
            <w:tcBorders>
              <w:top w:val="nil"/>
              <w:left w:val="nil"/>
              <w:bottom w:val="single" w:sz="4" w:space="0" w:color="auto"/>
              <w:right w:val="single" w:sz="4" w:space="0" w:color="auto"/>
            </w:tcBorders>
            <w:shd w:val="clear" w:color="auto" w:fill="auto"/>
            <w:hideMark/>
          </w:tcPr>
          <w:p w14:paraId="5E7DAD62" w14:textId="77777777" w:rsidR="00E23746" w:rsidRPr="00846E84" w:rsidRDefault="00E23746" w:rsidP="000B2F10">
            <w:pPr>
              <w:spacing w:after="0" w:line="240" w:lineRule="auto"/>
              <w:rPr>
                <w:rFonts w:eastAsia="Times New Roman" w:cs="Arial"/>
                <w:sz w:val="20"/>
                <w:szCs w:val="20"/>
                <w:lang w:val="es-MX" w:eastAsia="es-MX"/>
              </w:rPr>
            </w:pPr>
            <w:r w:rsidRPr="00846E84">
              <w:rPr>
                <w:rFonts w:eastAsia="Times New Roman" w:cs="Arial"/>
                <w:sz w:val="20"/>
                <w:szCs w:val="20"/>
                <w:lang w:val="es-MX" w:eastAsia="es-MX"/>
              </w:rPr>
              <w:t>C01A01 - Promedio de alumnos participantes en las actividades cívicas, culturales, recreativas y deportivas</w:t>
            </w:r>
            <w:r>
              <w:rPr>
                <w:rFonts w:eastAsia="Times New Roman" w:cs="Arial"/>
                <w:sz w:val="20"/>
                <w:szCs w:val="20"/>
                <w:lang w:val="es-MX" w:eastAsia="es-MX"/>
              </w:rPr>
              <w:t>.</w:t>
            </w:r>
          </w:p>
        </w:tc>
        <w:tc>
          <w:tcPr>
            <w:tcW w:w="2788" w:type="dxa"/>
            <w:tcBorders>
              <w:top w:val="nil"/>
              <w:left w:val="nil"/>
              <w:bottom w:val="single" w:sz="4" w:space="0" w:color="auto"/>
              <w:right w:val="single" w:sz="4" w:space="0" w:color="auto"/>
            </w:tcBorders>
            <w:shd w:val="clear" w:color="auto" w:fill="auto"/>
            <w:hideMark/>
          </w:tcPr>
          <w:p w14:paraId="1671672A" w14:textId="77777777" w:rsidR="00E23746" w:rsidRPr="00846E84" w:rsidRDefault="00E23746" w:rsidP="000B2F10">
            <w:pPr>
              <w:spacing w:after="0" w:line="240" w:lineRule="auto"/>
              <w:rPr>
                <w:rFonts w:eastAsia="Times New Roman" w:cs="Arial"/>
                <w:sz w:val="20"/>
                <w:szCs w:val="20"/>
                <w:lang w:val="es-MX" w:eastAsia="es-MX"/>
              </w:rPr>
            </w:pPr>
            <w:r w:rsidRPr="00846E84">
              <w:rPr>
                <w:rFonts w:eastAsia="Times New Roman" w:cs="Arial"/>
                <w:sz w:val="20"/>
                <w:szCs w:val="20"/>
                <w:lang w:val="es-MX" w:eastAsia="es-MX"/>
              </w:rPr>
              <w:t>Dirección Académica (Reporte de Actividades Cívicas, Culturales, Recreativas y Deportivas emitido por el Plantel Eva Sámano) https://qroo.gob.mx/eva/actividades-academicas</w:t>
            </w:r>
            <w:r>
              <w:rPr>
                <w:rFonts w:eastAsia="Times New Roman" w:cs="Arial"/>
                <w:sz w:val="20"/>
                <w:szCs w:val="20"/>
                <w:lang w:val="es-MX" w:eastAsia="es-MX"/>
              </w:rPr>
              <w:t>.</w:t>
            </w:r>
          </w:p>
        </w:tc>
        <w:tc>
          <w:tcPr>
            <w:tcW w:w="1985" w:type="dxa"/>
            <w:tcBorders>
              <w:top w:val="nil"/>
              <w:left w:val="nil"/>
              <w:bottom w:val="single" w:sz="4" w:space="0" w:color="auto"/>
              <w:right w:val="single" w:sz="4" w:space="0" w:color="auto"/>
            </w:tcBorders>
            <w:shd w:val="clear" w:color="auto" w:fill="auto"/>
            <w:hideMark/>
          </w:tcPr>
          <w:p w14:paraId="178F7294" w14:textId="77777777" w:rsidR="00E23746" w:rsidRPr="00846E84" w:rsidRDefault="00E23746" w:rsidP="000B2F10">
            <w:pPr>
              <w:spacing w:after="0" w:line="240" w:lineRule="auto"/>
              <w:rPr>
                <w:rFonts w:eastAsia="Times New Roman" w:cs="Arial"/>
                <w:sz w:val="20"/>
                <w:szCs w:val="20"/>
                <w:lang w:val="es-MX" w:eastAsia="es-MX"/>
              </w:rPr>
            </w:pPr>
            <w:r w:rsidRPr="00846E84">
              <w:rPr>
                <w:rFonts w:eastAsia="Times New Roman" w:cs="Arial"/>
                <w:sz w:val="20"/>
                <w:szCs w:val="20"/>
                <w:lang w:val="es-MX" w:eastAsia="es-MX"/>
              </w:rPr>
              <w:t>Los alumnos participan en las diversas actividades programadas para su formación integral</w:t>
            </w:r>
            <w:r>
              <w:rPr>
                <w:rFonts w:eastAsia="Times New Roman" w:cs="Arial"/>
                <w:sz w:val="20"/>
                <w:szCs w:val="20"/>
                <w:lang w:val="es-MX" w:eastAsia="es-MX"/>
              </w:rPr>
              <w:t>.</w:t>
            </w:r>
          </w:p>
        </w:tc>
      </w:tr>
      <w:tr w:rsidR="00E23746" w:rsidRPr="00846E84" w14:paraId="0C68759A" w14:textId="77777777" w:rsidTr="006E6535">
        <w:trPr>
          <w:trHeight w:val="1680"/>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14:paraId="1A372C96" w14:textId="77777777" w:rsidR="00E23746" w:rsidRPr="00846E84" w:rsidRDefault="00E23746" w:rsidP="000B2F10">
            <w:pPr>
              <w:spacing w:after="0" w:line="240" w:lineRule="auto"/>
              <w:jc w:val="center"/>
              <w:rPr>
                <w:rFonts w:eastAsia="Times New Roman" w:cs="Arial"/>
                <w:b/>
                <w:bCs/>
                <w:sz w:val="20"/>
                <w:szCs w:val="20"/>
                <w:lang w:val="es-MX" w:eastAsia="es-MX"/>
              </w:rPr>
            </w:pPr>
            <w:r w:rsidRPr="00846E84">
              <w:rPr>
                <w:rFonts w:eastAsia="Times New Roman" w:cs="Arial"/>
                <w:b/>
                <w:bCs/>
                <w:sz w:val="20"/>
                <w:szCs w:val="20"/>
                <w:lang w:val="es-MX" w:eastAsia="es-MX"/>
              </w:rPr>
              <w:t>Actividad</w:t>
            </w:r>
          </w:p>
        </w:tc>
        <w:tc>
          <w:tcPr>
            <w:tcW w:w="2551" w:type="dxa"/>
            <w:tcBorders>
              <w:top w:val="single" w:sz="4" w:space="0" w:color="auto"/>
              <w:left w:val="nil"/>
              <w:bottom w:val="single" w:sz="4" w:space="0" w:color="auto"/>
              <w:right w:val="single" w:sz="4" w:space="0" w:color="auto"/>
            </w:tcBorders>
            <w:shd w:val="clear" w:color="auto" w:fill="auto"/>
            <w:hideMark/>
          </w:tcPr>
          <w:p w14:paraId="51B62446" w14:textId="77777777" w:rsidR="00E23746" w:rsidRDefault="00E23746" w:rsidP="000B2F10">
            <w:pPr>
              <w:spacing w:after="0" w:line="240" w:lineRule="auto"/>
              <w:rPr>
                <w:rFonts w:eastAsia="Times New Roman" w:cs="Arial"/>
                <w:sz w:val="20"/>
                <w:szCs w:val="20"/>
                <w:lang w:val="es-MX" w:eastAsia="es-MX"/>
              </w:rPr>
            </w:pPr>
            <w:r w:rsidRPr="00846E84">
              <w:rPr>
                <w:rFonts w:eastAsia="Times New Roman" w:cs="Arial"/>
                <w:sz w:val="20"/>
                <w:szCs w:val="20"/>
                <w:lang w:val="es-MX" w:eastAsia="es-MX"/>
              </w:rPr>
              <w:t>Impulsar estrategias para fortalecer la comprensión de lectura, escritura y pensamiento lógico matemático y demás áreas del conocimiento en escuelas de nivel medio superior</w:t>
            </w:r>
            <w:r>
              <w:rPr>
                <w:rFonts w:eastAsia="Times New Roman" w:cs="Arial"/>
                <w:sz w:val="20"/>
                <w:szCs w:val="20"/>
                <w:lang w:val="es-MX" w:eastAsia="es-MX"/>
              </w:rPr>
              <w:t>.</w:t>
            </w:r>
          </w:p>
          <w:p w14:paraId="539A6A98" w14:textId="77777777" w:rsidR="00E23746" w:rsidRPr="00846E84" w:rsidRDefault="00E23746" w:rsidP="000B2F10">
            <w:pPr>
              <w:spacing w:after="0" w:line="240" w:lineRule="auto"/>
              <w:rPr>
                <w:rFonts w:ascii="Arial Narrow" w:eastAsia="Times New Roman" w:hAnsi="Arial Narrow" w:cs="Arial"/>
                <w:i/>
                <w:iCs/>
                <w:sz w:val="22"/>
                <w:szCs w:val="22"/>
                <w:lang w:val="es-MX" w:eastAsia="es-MX"/>
              </w:rPr>
            </w:pPr>
          </w:p>
        </w:tc>
        <w:tc>
          <w:tcPr>
            <w:tcW w:w="2977" w:type="dxa"/>
            <w:tcBorders>
              <w:top w:val="single" w:sz="4" w:space="0" w:color="auto"/>
              <w:left w:val="nil"/>
              <w:bottom w:val="single" w:sz="4" w:space="0" w:color="auto"/>
              <w:right w:val="single" w:sz="4" w:space="0" w:color="auto"/>
            </w:tcBorders>
            <w:shd w:val="clear" w:color="auto" w:fill="auto"/>
            <w:hideMark/>
          </w:tcPr>
          <w:p w14:paraId="65F828E6" w14:textId="77777777" w:rsidR="00E23746" w:rsidRPr="00846E84" w:rsidRDefault="00E23746" w:rsidP="000B2F10">
            <w:pPr>
              <w:spacing w:after="0" w:line="240" w:lineRule="auto"/>
              <w:rPr>
                <w:rFonts w:eastAsia="Times New Roman" w:cs="Arial"/>
                <w:sz w:val="20"/>
                <w:szCs w:val="20"/>
                <w:lang w:val="es-MX" w:eastAsia="es-MX"/>
              </w:rPr>
            </w:pPr>
            <w:r w:rsidRPr="00846E84">
              <w:rPr>
                <w:rFonts w:eastAsia="Times New Roman" w:cs="Arial"/>
                <w:sz w:val="20"/>
                <w:szCs w:val="20"/>
                <w:lang w:val="es-MX" w:eastAsia="es-MX"/>
              </w:rPr>
              <w:t>C01.A02 - Participación de los alumnos en las actividades académicas basadas en el Nuevo Modelo Educativo</w:t>
            </w:r>
            <w:r>
              <w:rPr>
                <w:rFonts w:eastAsia="Times New Roman" w:cs="Arial"/>
                <w:sz w:val="20"/>
                <w:szCs w:val="20"/>
                <w:lang w:val="es-MX" w:eastAsia="es-MX"/>
              </w:rPr>
              <w:t>.</w:t>
            </w:r>
          </w:p>
        </w:tc>
        <w:tc>
          <w:tcPr>
            <w:tcW w:w="2315" w:type="dxa"/>
            <w:tcBorders>
              <w:top w:val="single" w:sz="4" w:space="0" w:color="auto"/>
              <w:left w:val="nil"/>
              <w:bottom w:val="single" w:sz="4" w:space="0" w:color="auto"/>
              <w:right w:val="single" w:sz="4" w:space="0" w:color="auto"/>
            </w:tcBorders>
            <w:shd w:val="clear" w:color="auto" w:fill="auto"/>
            <w:hideMark/>
          </w:tcPr>
          <w:p w14:paraId="7C45FE08" w14:textId="77777777" w:rsidR="00E23746" w:rsidRPr="00846E84" w:rsidRDefault="00E23746" w:rsidP="000B2F10">
            <w:pPr>
              <w:spacing w:after="0" w:line="240" w:lineRule="auto"/>
              <w:rPr>
                <w:rFonts w:eastAsia="Times New Roman" w:cs="Arial"/>
                <w:sz w:val="20"/>
                <w:szCs w:val="20"/>
                <w:lang w:val="es-MX" w:eastAsia="es-MX"/>
              </w:rPr>
            </w:pPr>
            <w:r w:rsidRPr="00846E84">
              <w:rPr>
                <w:rFonts w:eastAsia="Times New Roman" w:cs="Arial"/>
                <w:sz w:val="20"/>
                <w:szCs w:val="20"/>
                <w:lang w:val="es-MX" w:eastAsia="es-MX"/>
              </w:rPr>
              <w:t>C01A02 - Promedio de alumnos participantes en las actividades académicas</w:t>
            </w:r>
            <w:r>
              <w:rPr>
                <w:rFonts w:eastAsia="Times New Roman" w:cs="Arial"/>
                <w:sz w:val="20"/>
                <w:szCs w:val="20"/>
                <w:lang w:val="es-MX" w:eastAsia="es-MX"/>
              </w:rPr>
              <w:t>.</w:t>
            </w:r>
          </w:p>
        </w:tc>
        <w:tc>
          <w:tcPr>
            <w:tcW w:w="2788" w:type="dxa"/>
            <w:tcBorders>
              <w:top w:val="single" w:sz="4" w:space="0" w:color="auto"/>
              <w:left w:val="nil"/>
              <w:bottom w:val="single" w:sz="4" w:space="0" w:color="auto"/>
              <w:right w:val="single" w:sz="4" w:space="0" w:color="auto"/>
            </w:tcBorders>
            <w:shd w:val="clear" w:color="auto" w:fill="auto"/>
            <w:hideMark/>
          </w:tcPr>
          <w:p w14:paraId="242F6A20" w14:textId="77777777" w:rsidR="00E23746" w:rsidRPr="00846E84" w:rsidRDefault="00E23746" w:rsidP="000B2F10">
            <w:pPr>
              <w:spacing w:after="0" w:line="240" w:lineRule="auto"/>
              <w:rPr>
                <w:rFonts w:eastAsia="Times New Roman" w:cs="Arial"/>
                <w:sz w:val="20"/>
                <w:szCs w:val="20"/>
                <w:lang w:val="es-MX" w:eastAsia="es-MX"/>
              </w:rPr>
            </w:pPr>
            <w:r w:rsidRPr="00846E84">
              <w:rPr>
                <w:rFonts w:eastAsia="Times New Roman" w:cs="Arial"/>
                <w:sz w:val="20"/>
                <w:szCs w:val="20"/>
                <w:lang w:val="es-MX" w:eastAsia="es-MX"/>
              </w:rPr>
              <w:t>Dirección Académica (Reporte de Actividades Académicas emitido por el Plantel Eva Sámano) https://qroo.gob.mx/eva/actividades-academicas</w:t>
            </w:r>
            <w:r>
              <w:rPr>
                <w:rFonts w:eastAsia="Times New Roman" w:cs="Arial"/>
                <w:sz w:val="20"/>
                <w:szCs w:val="20"/>
                <w:lang w:val="es-MX" w:eastAsia="es-MX"/>
              </w:rPr>
              <w:t>.</w:t>
            </w:r>
          </w:p>
        </w:tc>
        <w:tc>
          <w:tcPr>
            <w:tcW w:w="1985" w:type="dxa"/>
            <w:tcBorders>
              <w:top w:val="single" w:sz="4" w:space="0" w:color="auto"/>
              <w:left w:val="nil"/>
              <w:bottom w:val="single" w:sz="4" w:space="0" w:color="auto"/>
              <w:right w:val="single" w:sz="4" w:space="0" w:color="auto"/>
            </w:tcBorders>
            <w:shd w:val="clear" w:color="auto" w:fill="auto"/>
            <w:hideMark/>
          </w:tcPr>
          <w:p w14:paraId="4A0712C9" w14:textId="77777777" w:rsidR="00E23746" w:rsidRPr="00846E84" w:rsidRDefault="00E23746" w:rsidP="000B2F10">
            <w:pPr>
              <w:spacing w:after="0" w:line="240" w:lineRule="auto"/>
              <w:rPr>
                <w:rFonts w:eastAsia="Times New Roman" w:cs="Arial"/>
                <w:sz w:val="20"/>
                <w:szCs w:val="20"/>
                <w:lang w:val="es-MX" w:eastAsia="es-MX"/>
              </w:rPr>
            </w:pPr>
            <w:r w:rsidRPr="00846E84">
              <w:rPr>
                <w:rFonts w:eastAsia="Times New Roman" w:cs="Arial"/>
                <w:sz w:val="20"/>
                <w:szCs w:val="20"/>
                <w:lang w:val="es-MX" w:eastAsia="es-MX"/>
              </w:rPr>
              <w:t>Los maestros implementan el Nuevo Modelo Educativo</w:t>
            </w:r>
            <w:r>
              <w:rPr>
                <w:rFonts w:eastAsia="Times New Roman" w:cs="Arial"/>
                <w:sz w:val="20"/>
                <w:szCs w:val="20"/>
                <w:lang w:val="es-MX" w:eastAsia="es-MX"/>
              </w:rPr>
              <w:t>.</w:t>
            </w:r>
          </w:p>
        </w:tc>
      </w:tr>
      <w:tr w:rsidR="00E23746" w:rsidRPr="00846E84" w14:paraId="459BDFBF" w14:textId="77777777" w:rsidTr="006E6535">
        <w:trPr>
          <w:trHeight w:val="1425"/>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14:paraId="1E743A7D" w14:textId="77777777" w:rsidR="00E23746" w:rsidRPr="00846E84" w:rsidRDefault="00E23746" w:rsidP="000B2F10">
            <w:pPr>
              <w:spacing w:after="0" w:line="240" w:lineRule="auto"/>
              <w:jc w:val="center"/>
              <w:rPr>
                <w:rFonts w:eastAsia="Times New Roman" w:cs="Arial"/>
                <w:b/>
                <w:bCs/>
                <w:sz w:val="20"/>
                <w:szCs w:val="20"/>
                <w:lang w:val="es-MX" w:eastAsia="es-MX"/>
              </w:rPr>
            </w:pPr>
            <w:r w:rsidRPr="00846E84">
              <w:rPr>
                <w:rFonts w:eastAsia="Times New Roman" w:cs="Arial"/>
                <w:b/>
                <w:bCs/>
                <w:sz w:val="20"/>
                <w:szCs w:val="20"/>
                <w:lang w:val="es-MX" w:eastAsia="es-MX"/>
              </w:rPr>
              <w:t>Componente</w:t>
            </w:r>
          </w:p>
        </w:tc>
        <w:tc>
          <w:tcPr>
            <w:tcW w:w="2551" w:type="dxa"/>
            <w:tcBorders>
              <w:top w:val="single" w:sz="4" w:space="0" w:color="auto"/>
              <w:left w:val="nil"/>
              <w:bottom w:val="single" w:sz="4" w:space="0" w:color="auto"/>
              <w:right w:val="single" w:sz="4" w:space="0" w:color="auto"/>
            </w:tcBorders>
            <w:shd w:val="clear" w:color="auto" w:fill="auto"/>
            <w:hideMark/>
          </w:tcPr>
          <w:p w14:paraId="2298C012" w14:textId="47DC4525" w:rsidR="00335CD8" w:rsidRPr="00846E84" w:rsidRDefault="00E23746" w:rsidP="009506EF">
            <w:pPr>
              <w:spacing w:after="0" w:line="240" w:lineRule="auto"/>
              <w:rPr>
                <w:rFonts w:ascii="Arial Narrow" w:eastAsia="Times New Roman" w:hAnsi="Arial Narrow" w:cs="Arial"/>
                <w:i/>
                <w:iCs/>
                <w:sz w:val="22"/>
                <w:szCs w:val="22"/>
                <w:lang w:val="es-MX" w:eastAsia="es-MX"/>
              </w:rPr>
            </w:pPr>
            <w:r w:rsidRPr="00846E84">
              <w:rPr>
                <w:rFonts w:eastAsia="Times New Roman" w:cs="Arial"/>
                <w:sz w:val="20"/>
                <w:szCs w:val="20"/>
                <w:lang w:val="es-MX" w:eastAsia="es-MX"/>
              </w:rPr>
              <w:t>Desarrollar una estrategia integral que permita ampliar la cobertura educativa de nivel medio superior en las instituciones públicas.</w:t>
            </w:r>
          </w:p>
        </w:tc>
        <w:tc>
          <w:tcPr>
            <w:tcW w:w="2977" w:type="dxa"/>
            <w:tcBorders>
              <w:top w:val="single" w:sz="4" w:space="0" w:color="auto"/>
              <w:left w:val="nil"/>
              <w:bottom w:val="single" w:sz="4" w:space="0" w:color="auto"/>
              <w:right w:val="single" w:sz="4" w:space="0" w:color="auto"/>
            </w:tcBorders>
            <w:shd w:val="clear" w:color="auto" w:fill="auto"/>
            <w:hideMark/>
          </w:tcPr>
          <w:p w14:paraId="590D481B" w14:textId="77777777" w:rsidR="00E23746" w:rsidRPr="00846E84" w:rsidRDefault="00E23746" w:rsidP="000B2F10">
            <w:pPr>
              <w:spacing w:after="0" w:line="240" w:lineRule="auto"/>
              <w:rPr>
                <w:rFonts w:eastAsia="Times New Roman" w:cs="Arial"/>
                <w:sz w:val="20"/>
                <w:szCs w:val="20"/>
                <w:lang w:val="es-MX" w:eastAsia="es-MX"/>
              </w:rPr>
            </w:pPr>
            <w:r w:rsidRPr="00846E84">
              <w:rPr>
                <w:rFonts w:eastAsia="Times New Roman" w:cs="Arial"/>
                <w:sz w:val="20"/>
                <w:szCs w:val="20"/>
                <w:lang w:val="es-MX" w:eastAsia="es-MX"/>
              </w:rPr>
              <w:t>C02 - Alumnos  en Educación Media Superior, inscritos.</w:t>
            </w:r>
          </w:p>
        </w:tc>
        <w:tc>
          <w:tcPr>
            <w:tcW w:w="2315" w:type="dxa"/>
            <w:tcBorders>
              <w:top w:val="single" w:sz="4" w:space="0" w:color="auto"/>
              <w:left w:val="nil"/>
              <w:bottom w:val="single" w:sz="4" w:space="0" w:color="auto"/>
              <w:right w:val="single" w:sz="4" w:space="0" w:color="auto"/>
            </w:tcBorders>
            <w:shd w:val="clear" w:color="auto" w:fill="auto"/>
            <w:hideMark/>
          </w:tcPr>
          <w:p w14:paraId="6D941E47" w14:textId="77777777" w:rsidR="00E23746" w:rsidRPr="00846E84" w:rsidRDefault="00E23746" w:rsidP="000B2F10">
            <w:pPr>
              <w:spacing w:after="0" w:line="240" w:lineRule="auto"/>
              <w:rPr>
                <w:rFonts w:eastAsia="Times New Roman" w:cs="Arial"/>
                <w:sz w:val="20"/>
                <w:szCs w:val="20"/>
                <w:lang w:val="es-MX" w:eastAsia="es-MX"/>
              </w:rPr>
            </w:pPr>
            <w:r w:rsidRPr="00846E84">
              <w:rPr>
                <w:rFonts w:eastAsia="Times New Roman" w:cs="Arial"/>
                <w:sz w:val="20"/>
                <w:szCs w:val="20"/>
                <w:lang w:val="es-MX" w:eastAsia="es-MX"/>
              </w:rPr>
              <w:t>C02I01 - Porcentaje de Absorción</w:t>
            </w:r>
            <w:r>
              <w:rPr>
                <w:rFonts w:eastAsia="Times New Roman" w:cs="Arial"/>
                <w:sz w:val="20"/>
                <w:szCs w:val="20"/>
                <w:lang w:val="es-MX" w:eastAsia="es-MX"/>
              </w:rPr>
              <w:t>.</w:t>
            </w:r>
          </w:p>
        </w:tc>
        <w:tc>
          <w:tcPr>
            <w:tcW w:w="2788" w:type="dxa"/>
            <w:tcBorders>
              <w:top w:val="single" w:sz="4" w:space="0" w:color="auto"/>
              <w:left w:val="nil"/>
              <w:bottom w:val="single" w:sz="4" w:space="0" w:color="auto"/>
              <w:right w:val="single" w:sz="4" w:space="0" w:color="auto"/>
            </w:tcBorders>
            <w:shd w:val="clear" w:color="auto" w:fill="auto"/>
            <w:hideMark/>
          </w:tcPr>
          <w:p w14:paraId="665A8E44" w14:textId="77777777" w:rsidR="00E23746" w:rsidRDefault="00E23746" w:rsidP="000B2F10">
            <w:pPr>
              <w:spacing w:after="0" w:line="240" w:lineRule="auto"/>
              <w:rPr>
                <w:rFonts w:eastAsia="Times New Roman" w:cs="Arial"/>
                <w:sz w:val="20"/>
                <w:szCs w:val="20"/>
                <w:lang w:val="es-MX" w:eastAsia="es-MX"/>
              </w:rPr>
            </w:pPr>
            <w:r w:rsidRPr="00846E84">
              <w:rPr>
                <w:rFonts w:eastAsia="Times New Roman" w:cs="Arial"/>
                <w:sz w:val="20"/>
                <w:szCs w:val="20"/>
                <w:lang w:val="es-MX" w:eastAsia="es-MX"/>
              </w:rPr>
              <w:t xml:space="preserve">Dirección Académica (Reporte generado del Sistema del Control Escolar) </w:t>
            </w:r>
            <w:hyperlink r:id="rId70" w:history="1">
              <w:r w:rsidRPr="003135B9">
                <w:rPr>
                  <w:rStyle w:val="Hipervnculo"/>
                  <w:rFonts w:eastAsia="Times New Roman" w:cs="Arial"/>
                  <w:sz w:val="20"/>
                  <w:szCs w:val="20"/>
                  <w:lang w:val="es-MX" w:eastAsia="es-MX"/>
                </w:rPr>
                <w:t>https://qroo.gob.mx/eva/actividades-academicas</w:t>
              </w:r>
            </w:hyperlink>
            <w:r>
              <w:rPr>
                <w:rFonts w:eastAsia="Times New Roman" w:cs="Arial"/>
                <w:sz w:val="20"/>
                <w:szCs w:val="20"/>
                <w:lang w:val="es-MX" w:eastAsia="es-MX"/>
              </w:rPr>
              <w:t>.</w:t>
            </w:r>
          </w:p>
          <w:p w14:paraId="7EEC0123" w14:textId="789F5ED2" w:rsidR="00E23746" w:rsidRPr="00846E84" w:rsidRDefault="00E23746" w:rsidP="000B2F10">
            <w:pPr>
              <w:spacing w:after="0" w:line="240" w:lineRule="auto"/>
              <w:rPr>
                <w:rFonts w:eastAsia="Times New Roman" w:cs="Arial"/>
                <w:sz w:val="20"/>
                <w:szCs w:val="20"/>
                <w:lang w:val="es-MX" w:eastAsia="es-MX"/>
              </w:rPr>
            </w:pPr>
          </w:p>
        </w:tc>
        <w:tc>
          <w:tcPr>
            <w:tcW w:w="1985" w:type="dxa"/>
            <w:tcBorders>
              <w:top w:val="single" w:sz="4" w:space="0" w:color="auto"/>
              <w:left w:val="nil"/>
              <w:bottom w:val="single" w:sz="4" w:space="0" w:color="auto"/>
              <w:right w:val="single" w:sz="4" w:space="0" w:color="auto"/>
            </w:tcBorders>
            <w:shd w:val="clear" w:color="auto" w:fill="auto"/>
            <w:hideMark/>
          </w:tcPr>
          <w:p w14:paraId="3EF484EA" w14:textId="77777777" w:rsidR="00E23746" w:rsidRPr="00846E84" w:rsidRDefault="00E23746" w:rsidP="000B2F10">
            <w:pPr>
              <w:spacing w:after="0" w:line="240" w:lineRule="auto"/>
              <w:rPr>
                <w:rFonts w:eastAsia="Times New Roman" w:cs="Arial"/>
                <w:sz w:val="20"/>
                <w:szCs w:val="20"/>
                <w:lang w:val="es-MX" w:eastAsia="es-MX"/>
              </w:rPr>
            </w:pPr>
            <w:r w:rsidRPr="00846E84">
              <w:rPr>
                <w:rFonts w:eastAsia="Times New Roman" w:cs="Arial"/>
                <w:sz w:val="20"/>
                <w:szCs w:val="20"/>
                <w:lang w:val="es-MX" w:eastAsia="es-MX"/>
              </w:rPr>
              <w:t>Los jóvenes egresados de secundaria continúan sus estudios a nivel medio superior.</w:t>
            </w:r>
          </w:p>
        </w:tc>
      </w:tr>
    </w:tbl>
    <w:p w14:paraId="6068D2F5" w14:textId="77777777" w:rsidR="00D36037" w:rsidRDefault="00D36037">
      <w:pPr>
        <w:spacing w:after="0" w:line="240" w:lineRule="auto"/>
        <w:jc w:val="left"/>
      </w:pPr>
      <w:r>
        <w:br w:type="page"/>
      </w:r>
    </w:p>
    <w:tbl>
      <w:tblPr>
        <w:tblW w:w="14029" w:type="dxa"/>
        <w:tblLayout w:type="fixed"/>
        <w:tblCellMar>
          <w:left w:w="70" w:type="dxa"/>
          <w:right w:w="70" w:type="dxa"/>
        </w:tblCellMar>
        <w:tblLook w:val="04A0" w:firstRow="1" w:lastRow="0" w:firstColumn="1" w:lastColumn="0" w:noHBand="0" w:noVBand="1"/>
      </w:tblPr>
      <w:tblGrid>
        <w:gridCol w:w="1413"/>
        <w:gridCol w:w="2551"/>
        <w:gridCol w:w="2977"/>
        <w:gridCol w:w="2315"/>
        <w:gridCol w:w="2788"/>
        <w:gridCol w:w="1985"/>
      </w:tblGrid>
      <w:tr w:rsidR="00E23746" w:rsidRPr="00846E84" w14:paraId="4A00F12D" w14:textId="77777777" w:rsidTr="006E6535">
        <w:trPr>
          <w:trHeight w:val="587"/>
        </w:trPr>
        <w:tc>
          <w:tcPr>
            <w:tcW w:w="1413"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07E37AF5" w14:textId="77777777" w:rsidR="00E23746" w:rsidRPr="00846E84" w:rsidRDefault="00E23746" w:rsidP="000B2F10">
            <w:pPr>
              <w:spacing w:after="0" w:line="240" w:lineRule="auto"/>
              <w:jc w:val="center"/>
              <w:rPr>
                <w:rFonts w:eastAsia="Times New Roman" w:cs="Arial"/>
                <w:b/>
                <w:bCs/>
                <w:sz w:val="20"/>
                <w:szCs w:val="20"/>
                <w:lang w:val="es-MX" w:eastAsia="es-MX"/>
              </w:rPr>
            </w:pPr>
            <w:r w:rsidRPr="00846E84">
              <w:rPr>
                <w:rFonts w:eastAsia="Times New Roman" w:cs="Arial"/>
                <w:b/>
                <w:bCs/>
                <w:sz w:val="20"/>
                <w:szCs w:val="20"/>
                <w:lang w:val="es-MX" w:eastAsia="es-MX"/>
              </w:rPr>
              <w:lastRenderedPageBreak/>
              <w:t>NIVEL</w:t>
            </w:r>
          </w:p>
        </w:tc>
        <w:tc>
          <w:tcPr>
            <w:tcW w:w="2551" w:type="dxa"/>
            <w:tcBorders>
              <w:top w:val="single" w:sz="4" w:space="0" w:color="auto"/>
              <w:left w:val="nil"/>
              <w:bottom w:val="single" w:sz="4" w:space="0" w:color="auto"/>
              <w:right w:val="single" w:sz="4" w:space="0" w:color="auto"/>
            </w:tcBorders>
            <w:shd w:val="clear" w:color="000000" w:fill="BFBFBF"/>
            <w:vAlign w:val="center"/>
            <w:hideMark/>
          </w:tcPr>
          <w:p w14:paraId="3CF0B0F1" w14:textId="77777777" w:rsidR="00E23746" w:rsidRPr="00846E84" w:rsidRDefault="00E23746" w:rsidP="000B2F10">
            <w:pPr>
              <w:spacing w:after="0" w:line="240" w:lineRule="auto"/>
              <w:jc w:val="center"/>
              <w:rPr>
                <w:rFonts w:eastAsia="Times New Roman" w:cs="Arial"/>
                <w:b/>
                <w:bCs/>
                <w:sz w:val="20"/>
                <w:szCs w:val="20"/>
                <w:lang w:val="es-MX" w:eastAsia="es-MX"/>
              </w:rPr>
            </w:pPr>
            <w:r w:rsidRPr="00846E84">
              <w:rPr>
                <w:rFonts w:eastAsia="Times New Roman" w:cs="Arial"/>
                <w:b/>
                <w:bCs/>
                <w:sz w:val="20"/>
                <w:szCs w:val="20"/>
                <w:lang w:val="es-MX" w:eastAsia="es-MX"/>
              </w:rPr>
              <w:t>ALINEACIÓN PED/PD</w:t>
            </w:r>
          </w:p>
        </w:tc>
        <w:tc>
          <w:tcPr>
            <w:tcW w:w="2977" w:type="dxa"/>
            <w:tcBorders>
              <w:top w:val="single" w:sz="4" w:space="0" w:color="auto"/>
              <w:left w:val="nil"/>
              <w:bottom w:val="single" w:sz="4" w:space="0" w:color="auto"/>
              <w:right w:val="single" w:sz="4" w:space="0" w:color="auto"/>
            </w:tcBorders>
            <w:shd w:val="clear" w:color="000000" w:fill="BFBFBF"/>
            <w:vAlign w:val="center"/>
            <w:hideMark/>
          </w:tcPr>
          <w:p w14:paraId="78C0E045" w14:textId="77777777" w:rsidR="00E23746" w:rsidRPr="00846E84" w:rsidRDefault="00E23746" w:rsidP="000B2F10">
            <w:pPr>
              <w:spacing w:after="0" w:line="240" w:lineRule="auto"/>
              <w:jc w:val="center"/>
              <w:rPr>
                <w:rFonts w:eastAsia="Times New Roman" w:cs="Arial"/>
                <w:b/>
                <w:bCs/>
                <w:sz w:val="20"/>
                <w:szCs w:val="20"/>
                <w:lang w:val="es-MX" w:eastAsia="es-MX"/>
              </w:rPr>
            </w:pPr>
            <w:r w:rsidRPr="00846E84">
              <w:rPr>
                <w:rFonts w:eastAsia="Times New Roman" w:cs="Arial"/>
                <w:b/>
                <w:bCs/>
                <w:sz w:val="20"/>
                <w:szCs w:val="20"/>
                <w:lang w:val="es-MX" w:eastAsia="es-MX"/>
              </w:rPr>
              <w:t>OBJETIVO</w:t>
            </w:r>
          </w:p>
        </w:tc>
        <w:tc>
          <w:tcPr>
            <w:tcW w:w="2315" w:type="dxa"/>
            <w:tcBorders>
              <w:top w:val="single" w:sz="4" w:space="0" w:color="auto"/>
              <w:left w:val="nil"/>
              <w:bottom w:val="single" w:sz="4" w:space="0" w:color="auto"/>
              <w:right w:val="single" w:sz="4" w:space="0" w:color="auto"/>
            </w:tcBorders>
            <w:shd w:val="clear" w:color="000000" w:fill="BFBFBF"/>
            <w:vAlign w:val="center"/>
            <w:hideMark/>
          </w:tcPr>
          <w:p w14:paraId="1A68A54A" w14:textId="77777777" w:rsidR="00E23746" w:rsidRPr="00846E84" w:rsidRDefault="00E23746" w:rsidP="000B2F10">
            <w:pPr>
              <w:spacing w:after="0" w:line="240" w:lineRule="auto"/>
              <w:jc w:val="center"/>
              <w:rPr>
                <w:rFonts w:eastAsia="Times New Roman" w:cs="Arial"/>
                <w:b/>
                <w:bCs/>
                <w:sz w:val="20"/>
                <w:szCs w:val="20"/>
                <w:lang w:val="es-MX" w:eastAsia="es-MX"/>
              </w:rPr>
            </w:pPr>
            <w:r w:rsidRPr="00846E84">
              <w:rPr>
                <w:rFonts w:eastAsia="Times New Roman" w:cs="Arial"/>
                <w:b/>
                <w:bCs/>
                <w:sz w:val="20"/>
                <w:szCs w:val="20"/>
                <w:lang w:val="es-MX" w:eastAsia="es-MX"/>
              </w:rPr>
              <w:t>INDICADOR</w:t>
            </w:r>
          </w:p>
        </w:tc>
        <w:tc>
          <w:tcPr>
            <w:tcW w:w="2788" w:type="dxa"/>
            <w:tcBorders>
              <w:top w:val="single" w:sz="4" w:space="0" w:color="auto"/>
              <w:left w:val="nil"/>
              <w:bottom w:val="single" w:sz="4" w:space="0" w:color="auto"/>
              <w:right w:val="single" w:sz="4" w:space="0" w:color="auto"/>
            </w:tcBorders>
            <w:shd w:val="clear" w:color="000000" w:fill="BFBFBF"/>
            <w:vAlign w:val="center"/>
            <w:hideMark/>
          </w:tcPr>
          <w:p w14:paraId="3B99C2DA" w14:textId="77777777" w:rsidR="00E23746" w:rsidRPr="00846E84" w:rsidRDefault="00E23746" w:rsidP="000B2F10">
            <w:pPr>
              <w:spacing w:after="0" w:line="240" w:lineRule="auto"/>
              <w:jc w:val="center"/>
              <w:rPr>
                <w:rFonts w:eastAsia="Times New Roman" w:cs="Arial"/>
                <w:b/>
                <w:bCs/>
                <w:sz w:val="20"/>
                <w:szCs w:val="20"/>
                <w:lang w:val="es-MX" w:eastAsia="es-MX"/>
              </w:rPr>
            </w:pPr>
            <w:r w:rsidRPr="00846E84">
              <w:rPr>
                <w:rFonts w:eastAsia="Times New Roman" w:cs="Arial"/>
                <w:b/>
                <w:bCs/>
                <w:sz w:val="20"/>
                <w:szCs w:val="20"/>
                <w:lang w:val="es-MX" w:eastAsia="es-MX"/>
              </w:rPr>
              <w:t>MEDIOS DE VERIFICACIÓN</w:t>
            </w:r>
          </w:p>
        </w:tc>
        <w:tc>
          <w:tcPr>
            <w:tcW w:w="1985" w:type="dxa"/>
            <w:tcBorders>
              <w:top w:val="single" w:sz="4" w:space="0" w:color="auto"/>
              <w:left w:val="nil"/>
              <w:bottom w:val="single" w:sz="4" w:space="0" w:color="auto"/>
              <w:right w:val="single" w:sz="4" w:space="0" w:color="auto"/>
            </w:tcBorders>
            <w:shd w:val="clear" w:color="000000" w:fill="BFBFBF"/>
            <w:vAlign w:val="center"/>
            <w:hideMark/>
          </w:tcPr>
          <w:p w14:paraId="14D4FD2A" w14:textId="77777777" w:rsidR="00E23746" w:rsidRPr="00846E84" w:rsidRDefault="00E23746" w:rsidP="000B2F10">
            <w:pPr>
              <w:spacing w:after="0" w:line="240" w:lineRule="auto"/>
              <w:jc w:val="center"/>
              <w:rPr>
                <w:rFonts w:eastAsia="Times New Roman" w:cs="Arial"/>
                <w:b/>
                <w:bCs/>
                <w:sz w:val="20"/>
                <w:szCs w:val="20"/>
                <w:lang w:val="es-MX" w:eastAsia="es-MX"/>
              </w:rPr>
            </w:pPr>
            <w:r>
              <w:rPr>
                <w:rFonts w:eastAsia="Times New Roman" w:cs="Arial"/>
                <w:b/>
                <w:bCs/>
                <w:sz w:val="20"/>
                <w:szCs w:val="20"/>
                <w:lang w:val="es-MX" w:eastAsia="es-MX"/>
              </w:rPr>
              <w:t>SUPUESTO</w:t>
            </w:r>
          </w:p>
        </w:tc>
      </w:tr>
      <w:tr w:rsidR="00E23746" w:rsidRPr="00846E84" w14:paraId="141C5A70" w14:textId="77777777" w:rsidTr="006E6535">
        <w:trPr>
          <w:trHeight w:val="1425"/>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14:paraId="213118AD" w14:textId="77777777" w:rsidR="00E23746" w:rsidRPr="00846E84" w:rsidRDefault="00E23746" w:rsidP="000B2F10">
            <w:pPr>
              <w:spacing w:after="0" w:line="240" w:lineRule="auto"/>
              <w:jc w:val="center"/>
              <w:rPr>
                <w:rFonts w:eastAsia="Times New Roman" w:cs="Arial"/>
                <w:b/>
                <w:bCs/>
                <w:sz w:val="20"/>
                <w:szCs w:val="20"/>
                <w:lang w:val="es-MX" w:eastAsia="es-MX"/>
              </w:rPr>
            </w:pPr>
            <w:r w:rsidRPr="00846E84">
              <w:rPr>
                <w:rFonts w:eastAsia="Times New Roman" w:cs="Arial"/>
                <w:b/>
                <w:bCs/>
                <w:sz w:val="20"/>
                <w:szCs w:val="20"/>
                <w:lang w:val="es-MX" w:eastAsia="es-MX"/>
              </w:rPr>
              <w:t>Actividad</w:t>
            </w:r>
          </w:p>
        </w:tc>
        <w:tc>
          <w:tcPr>
            <w:tcW w:w="2551" w:type="dxa"/>
            <w:tcBorders>
              <w:top w:val="single" w:sz="4" w:space="0" w:color="auto"/>
              <w:left w:val="nil"/>
              <w:bottom w:val="single" w:sz="4" w:space="0" w:color="auto"/>
              <w:right w:val="single" w:sz="4" w:space="0" w:color="auto"/>
            </w:tcBorders>
            <w:shd w:val="clear" w:color="auto" w:fill="auto"/>
            <w:hideMark/>
          </w:tcPr>
          <w:p w14:paraId="738C69B4" w14:textId="77777777" w:rsidR="00E23746" w:rsidRPr="00846E84" w:rsidRDefault="00E23746" w:rsidP="000B2F10">
            <w:pPr>
              <w:spacing w:after="0" w:line="240" w:lineRule="auto"/>
              <w:rPr>
                <w:rFonts w:eastAsia="Times New Roman" w:cs="Arial"/>
                <w:sz w:val="20"/>
                <w:szCs w:val="20"/>
                <w:lang w:val="es-MX" w:eastAsia="es-MX"/>
              </w:rPr>
            </w:pPr>
            <w:r w:rsidRPr="00846E84">
              <w:rPr>
                <w:rFonts w:eastAsia="Times New Roman" w:cs="Arial"/>
                <w:sz w:val="20"/>
                <w:szCs w:val="20"/>
                <w:lang w:val="es-MX" w:eastAsia="es-MX"/>
              </w:rPr>
              <w:t>Desarrollar una estrategia integral que permita ampliar la cobertura educativa de nivel medio superior en las instituciones públicas.</w:t>
            </w:r>
          </w:p>
        </w:tc>
        <w:tc>
          <w:tcPr>
            <w:tcW w:w="2977" w:type="dxa"/>
            <w:tcBorders>
              <w:top w:val="single" w:sz="4" w:space="0" w:color="auto"/>
              <w:left w:val="nil"/>
              <w:bottom w:val="single" w:sz="4" w:space="0" w:color="auto"/>
              <w:right w:val="single" w:sz="4" w:space="0" w:color="auto"/>
            </w:tcBorders>
            <w:shd w:val="clear" w:color="auto" w:fill="auto"/>
            <w:hideMark/>
          </w:tcPr>
          <w:p w14:paraId="6CC01BD1" w14:textId="77777777" w:rsidR="00E23746" w:rsidRPr="00846E84" w:rsidRDefault="00E23746" w:rsidP="000B2F10">
            <w:pPr>
              <w:spacing w:after="0" w:line="240" w:lineRule="auto"/>
              <w:rPr>
                <w:rFonts w:eastAsia="Times New Roman" w:cs="Arial"/>
                <w:sz w:val="20"/>
                <w:szCs w:val="20"/>
                <w:lang w:val="es-MX" w:eastAsia="es-MX"/>
              </w:rPr>
            </w:pPr>
            <w:r w:rsidRPr="00846E84">
              <w:rPr>
                <w:rFonts w:eastAsia="Times New Roman" w:cs="Arial"/>
                <w:sz w:val="20"/>
                <w:szCs w:val="20"/>
                <w:lang w:val="es-MX" w:eastAsia="es-MX"/>
              </w:rPr>
              <w:t>C02.A01 - Presentación de la Oferta Educativa del Centro de Estudios</w:t>
            </w:r>
            <w:r>
              <w:rPr>
                <w:rFonts w:eastAsia="Times New Roman" w:cs="Arial"/>
                <w:sz w:val="20"/>
                <w:szCs w:val="20"/>
                <w:lang w:val="es-MX" w:eastAsia="es-MX"/>
              </w:rPr>
              <w:t>.</w:t>
            </w:r>
          </w:p>
        </w:tc>
        <w:tc>
          <w:tcPr>
            <w:tcW w:w="2315" w:type="dxa"/>
            <w:tcBorders>
              <w:top w:val="single" w:sz="4" w:space="0" w:color="auto"/>
              <w:left w:val="nil"/>
              <w:bottom w:val="single" w:sz="4" w:space="0" w:color="auto"/>
              <w:right w:val="single" w:sz="4" w:space="0" w:color="auto"/>
            </w:tcBorders>
            <w:shd w:val="clear" w:color="auto" w:fill="auto"/>
            <w:hideMark/>
          </w:tcPr>
          <w:p w14:paraId="20F823D4" w14:textId="77777777" w:rsidR="00E23746" w:rsidRPr="00846E84" w:rsidRDefault="00E23746" w:rsidP="000B2F10">
            <w:pPr>
              <w:spacing w:after="0" w:line="240" w:lineRule="auto"/>
              <w:rPr>
                <w:rFonts w:eastAsia="Times New Roman" w:cs="Arial"/>
                <w:sz w:val="20"/>
                <w:szCs w:val="20"/>
                <w:lang w:val="es-MX" w:eastAsia="es-MX"/>
              </w:rPr>
            </w:pPr>
            <w:r w:rsidRPr="00846E84">
              <w:rPr>
                <w:rFonts w:eastAsia="Times New Roman" w:cs="Arial"/>
                <w:sz w:val="20"/>
                <w:szCs w:val="20"/>
                <w:lang w:val="es-MX" w:eastAsia="es-MX"/>
              </w:rPr>
              <w:t>C02A01 - Promedio de captación de matrícula</w:t>
            </w:r>
            <w:r>
              <w:rPr>
                <w:rFonts w:eastAsia="Times New Roman" w:cs="Arial"/>
                <w:sz w:val="20"/>
                <w:szCs w:val="20"/>
                <w:lang w:val="es-MX" w:eastAsia="es-MX"/>
              </w:rPr>
              <w:t>.</w:t>
            </w:r>
          </w:p>
        </w:tc>
        <w:tc>
          <w:tcPr>
            <w:tcW w:w="2788" w:type="dxa"/>
            <w:tcBorders>
              <w:top w:val="single" w:sz="4" w:space="0" w:color="auto"/>
              <w:left w:val="nil"/>
              <w:bottom w:val="single" w:sz="4" w:space="0" w:color="auto"/>
              <w:right w:val="single" w:sz="4" w:space="0" w:color="auto"/>
            </w:tcBorders>
            <w:shd w:val="clear" w:color="auto" w:fill="auto"/>
            <w:hideMark/>
          </w:tcPr>
          <w:p w14:paraId="6A833C14" w14:textId="77777777" w:rsidR="00E23746" w:rsidRPr="00846E84" w:rsidRDefault="00E23746" w:rsidP="000B2F10">
            <w:pPr>
              <w:spacing w:after="0" w:line="240" w:lineRule="auto"/>
              <w:rPr>
                <w:rFonts w:eastAsia="Times New Roman" w:cs="Arial"/>
                <w:sz w:val="20"/>
                <w:szCs w:val="20"/>
                <w:lang w:val="es-MX" w:eastAsia="es-MX"/>
              </w:rPr>
            </w:pPr>
            <w:r w:rsidRPr="00846E84">
              <w:rPr>
                <w:rFonts w:eastAsia="Times New Roman" w:cs="Arial"/>
                <w:sz w:val="20"/>
                <w:szCs w:val="20"/>
                <w:lang w:val="es-MX" w:eastAsia="es-MX"/>
              </w:rPr>
              <w:t>Dirección del Plantel (Reporte de Alumnos Inscritos) https://qroo.gob.mx/eva/actividades-academicas</w:t>
            </w:r>
            <w:r>
              <w:rPr>
                <w:rFonts w:eastAsia="Times New Roman" w:cs="Arial"/>
                <w:sz w:val="20"/>
                <w:szCs w:val="20"/>
                <w:lang w:val="es-MX" w:eastAsia="es-MX"/>
              </w:rPr>
              <w:t>.</w:t>
            </w:r>
          </w:p>
        </w:tc>
        <w:tc>
          <w:tcPr>
            <w:tcW w:w="1985" w:type="dxa"/>
            <w:tcBorders>
              <w:top w:val="single" w:sz="4" w:space="0" w:color="auto"/>
              <w:left w:val="nil"/>
              <w:bottom w:val="single" w:sz="4" w:space="0" w:color="auto"/>
              <w:right w:val="single" w:sz="4" w:space="0" w:color="auto"/>
            </w:tcBorders>
            <w:shd w:val="clear" w:color="auto" w:fill="auto"/>
            <w:hideMark/>
          </w:tcPr>
          <w:p w14:paraId="47A4B0B8" w14:textId="77777777" w:rsidR="00E23746" w:rsidRPr="00846E84" w:rsidRDefault="00E23746" w:rsidP="000B2F10">
            <w:pPr>
              <w:spacing w:after="0" w:line="240" w:lineRule="auto"/>
              <w:rPr>
                <w:rFonts w:eastAsia="Times New Roman" w:cs="Arial"/>
                <w:sz w:val="20"/>
                <w:szCs w:val="20"/>
                <w:lang w:val="es-MX" w:eastAsia="es-MX"/>
              </w:rPr>
            </w:pPr>
            <w:r w:rsidRPr="00846E84">
              <w:rPr>
                <w:rFonts w:eastAsia="Times New Roman" w:cs="Arial"/>
                <w:sz w:val="20"/>
                <w:szCs w:val="20"/>
                <w:lang w:val="es-MX" w:eastAsia="es-MX"/>
              </w:rPr>
              <w:t>Los aspirantes toman la oferta académica del Centro de Estudios</w:t>
            </w:r>
            <w:r>
              <w:rPr>
                <w:rFonts w:eastAsia="Times New Roman" w:cs="Arial"/>
                <w:sz w:val="20"/>
                <w:szCs w:val="20"/>
                <w:lang w:val="es-MX" w:eastAsia="es-MX"/>
              </w:rPr>
              <w:t>.</w:t>
            </w:r>
          </w:p>
        </w:tc>
      </w:tr>
      <w:tr w:rsidR="00E23746" w:rsidRPr="00846E84" w14:paraId="53879C12" w14:textId="77777777" w:rsidTr="006E6535">
        <w:trPr>
          <w:trHeight w:val="1086"/>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14:paraId="1EC63B21" w14:textId="77777777" w:rsidR="00E23746" w:rsidRPr="00846E84" w:rsidRDefault="00E23746" w:rsidP="000B2F10">
            <w:pPr>
              <w:spacing w:after="0" w:line="240" w:lineRule="auto"/>
              <w:jc w:val="center"/>
              <w:rPr>
                <w:rFonts w:eastAsia="Times New Roman" w:cs="Arial"/>
                <w:b/>
                <w:bCs/>
                <w:sz w:val="20"/>
                <w:szCs w:val="20"/>
                <w:lang w:val="es-MX" w:eastAsia="es-MX"/>
              </w:rPr>
            </w:pPr>
            <w:r w:rsidRPr="00846E84">
              <w:rPr>
                <w:rFonts w:eastAsia="Times New Roman" w:cs="Arial"/>
                <w:b/>
                <w:bCs/>
                <w:sz w:val="20"/>
                <w:szCs w:val="20"/>
                <w:lang w:val="es-MX" w:eastAsia="es-MX"/>
              </w:rPr>
              <w:t>Actividad</w:t>
            </w:r>
          </w:p>
        </w:tc>
        <w:tc>
          <w:tcPr>
            <w:tcW w:w="2551" w:type="dxa"/>
            <w:tcBorders>
              <w:top w:val="single" w:sz="4" w:space="0" w:color="auto"/>
              <w:left w:val="nil"/>
              <w:bottom w:val="single" w:sz="4" w:space="0" w:color="auto"/>
              <w:right w:val="single" w:sz="4" w:space="0" w:color="auto"/>
            </w:tcBorders>
            <w:shd w:val="clear" w:color="auto" w:fill="auto"/>
            <w:hideMark/>
          </w:tcPr>
          <w:p w14:paraId="35D71C8F" w14:textId="77777777" w:rsidR="00E23746" w:rsidRPr="00846E84" w:rsidRDefault="00E23746" w:rsidP="000B2F10">
            <w:pPr>
              <w:spacing w:after="0" w:line="240" w:lineRule="auto"/>
              <w:rPr>
                <w:rFonts w:eastAsia="Times New Roman" w:cs="Arial"/>
                <w:sz w:val="20"/>
                <w:szCs w:val="20"/>
                <w:lang w:val="es-MX" w:eastAsia="es-MX"/>
              </w:rPr>
            </w:pPr>
            <w:r w:rsidRPr="00846E84">
              <w:rPr>
                <w:rFonts w:eastAsia="Times New Roman" w:cs="Arial"/>
                <w:sz w:val="20"/>
                <w:szCs w:val="20"/>
                <w:lang w:val="es-MX" w:eastAsia="es-MX"/>
              </w:rPr>
              <w:t>Impulsar la participación de los padres de familia en la formación integral de los alumnos.</w:t>
            </w:r>
          </w:p>
        </w:tc>
        <w:tc>
          <w:tcPr>
            <w:tcW w:w="2977" w:type="dxa"/>
            <w:tcBorders>
              <w:top w:val="single" w:sz="4" w:space="0" w:color="auto"/>
              <w:left w:val="nil"/>
              <w:bottom w:val="single" w:sz="4" w:space="0" w:color="auto"/>
              <w:right w:val="single" w:sz="4" w:space="0" w:color="auto"/>
            </w:tcBorders>
            <w:shd w:val="clear" w:color="auto" w:fill="auto"/>
            <w:hideMark/>
          </w:tcPr>
          <w:p w14:paraId="186F5CF0" w14:textId="77777777" w:rsidR="00E23746" w:rsidRPr="00846E84" w:rsidRDefault="00E23746" w:rsidP="000B2F10">
            <w:pPr>
              <w:spacing w:after="0" w:line="240" w:lineRule="auto"/>
              <w:rPr>
                <w:rFonts w:eastAsia="Times New Roman" w:cs="Arial"/>
                <w:sz w:val="20"/>
                <w:szCs w:val="20"/>
                <w:lang w:val="es-MX" w:eastAsia="es-MX"/>
              </w:rPr>
            </w:pPr>
            <w:r w:rsidRPr="00846E84">
              <w:rPr>
                <w:rFonts w:eastAsia="Times New Roman" w:cs="Arial"/>
                <w:sz w:val="20"/>
                <w:szCs w:val="20"/>
                <w:lang w:val="es-MX" w:eastAsia="es-MX"/>
              </w:rPr>
              <w:t>C02.A02 - Participación de los padres de familia en la formación de los estudiantes</w:t>
            </w:r>
            <w:r>
              <w:rPr>
                <w:rFonts w:eastAsia="Times New Roman" w:cs="Arial"/>
                <w:sz w:val="20"/>
                <w:szCs w:val="20"/>
                <w:lang w:val="es-MX" w:eastAsia="es-MX"/>
              </w:rPr>
              <w:t>.</w:t>
            </w:r>
          </w:p>
        </w:tc>
        <w:tc>
          <w:tcPr>
            <w:tcW w:w="2315" w:type="dxa"/>
            <w:tcBorders>
              <w:top w:val="single" w:sz="4" w:space="0" w:color="auto"/>
              <w:left w:val="nil"/>
              <w:bottom w:val="single" w:sz="4" w:space="0" w:color="auto"/>
              <w:right w:val="single" w:sz="4" w:space="0" w:color="auto"/>
            </w:tcBorders>
            <w:shd w:val="clear" w:color="auto" w:fill="auto"/>
            <w:hideMark/>
          </w:tcPr>
          <w:p w14:paraId="034D2581" w14:textId="77777777" w:rsidR="00E23746" w:rsidRPr="00846E84" w:rsidRDefault="00E23746" w:rsidP="000B2F10">
            <w:pPr>
              <w:spacing w:after="0" w:line="240" w:lineRule="auto"/>
              <w:rPr>
                <w:rFonts w:eastAsia="Times New Roman" w:cs="Arial"/>
                <w:sz w:val="20"/>
                <w:szCs w:val="20"/>
                <w:lang w:val="es-MX" w:eastAsia="es-MX"/>
              </w:rPr>
            </w:pPr>
            <w:r w:rsidRPr="00846E84">
              <w:rPr>
                <w:rFonts w:eastAsia="Times New Roman" w:cs="Arial"/>
                <w:sz w:val="20"/>
                <w:szCs w:val="20"/>
                <w:lang w:val="es-MX" w:eastAsia="es-MX"/>
              </w:rPr>
              <w:t>C02A02 - Promedio de padres y madres de familia que asisten a las actividades programadas</w:t>
            </w:r>
            <w:r>
              <w:rPr>
                <w:rFonts w:eastAsia="Times New Roman" w:cs="Arial"/>
                <w:sz w:val="20"/>
                <w:szCs w:val="20"/>
                <w:lang w:val="es-MX" w:eastAsia="es-MX"/>
              </w:rPr>
              <w:t>.</w:t>
            </w:r>
          </w:p>
        </w:tc>
        <w:tc>
          <w:tcPr>
            <w:tcW w:w="2788" w:type="dxa"/>
            <w:tcBorders>
              <w:top w:val="single" w:sz="4" w:space="0" w:color="auto"/>
              <w:left w:val="nil"/>
              <w:bottom w:val="single" w:sz="4" w:space="0" w:color="auto"/>
              <w:right w:val="single" w:sz="4" w:space="0" w:color="auto"/>
            </w:tcBorders>
            <w:shd w:val="clear" w:color="auto" w:fill="auto"/>
            <w:hideMark/>
          </w:tcPr>
          <w:p w14:paraId="41A46FD3" w14:textId="77777777" w:rsidR="00E23746" w:rsidRPr="00846E84" w:rsidRDefault="00E23746" w:rsidP="000B2F10">
            <w:pPr>
              <w:spacing w:after="0" w:line="240" w:lineRule="auto"/>
              <w:rPr>
                <w:rFonts w:eastAsia="Times New Roman" w:cs="Arial"/>
                <w:sz w:val="20"/>
                <w:szCs w:val="20"/>
                <w:lang w:val="es-MX" w:eastAsia="es-MX"/>
              </w:rPr>
            </w:pPr>
            <w:r w:rsidRPr="00846E84">
              <w:rPr>
                <w:rFonts w:eastAsia="Times New Roman" w:cs="Arial"/>
                <w:sz w:val="20"/>
                <w:szCs w:val="20"/>
                <w:lang w:val="es-MX" w:eastAsia="es-MX"/>
              </w:rPr>
              <w:t>Dirección del Plantel (Reporte de Padres y Madres de familia) https://qroo.gob.mx/eva/actividades-academicas</w:t>
            </w:r>
            <w:r>
              <w:rPr>
                <w:rFonts w:eastAsia="Times New Roman" w:cs="Arial"/>
                <w:sz w:val="20"/>
                <w:szCs w:val="20"/>
                <w:lang w:val="es-MX" w:eastAsia="es-MX"/>
              </w:rPr>
              <w:t>.</w:t>
            </w:r>
          </w:p>
        </w:tc>
        <w:tc>
          <w:tcPr>
            <w:tcW w:w="1985" w:type="dxa"/>
            <w:tcBorders>
              <w:top w:val="single" w:sz="4" w:space="0" w:color="auto"/>
              <w:left w:val="nil"/>
              <w:bottom w:val="single" w:sz="4" w:space="0" w:color="auto"/>
              <w:right w:val="single" w:sz="4" w:space="0" w:color="auto"/>
            </w:tcBorders>
            <w:shd w:val="clear" w:color="auto" w:fill="auto"/>
            <w:hideMark/>
          </w:tcPr>
          <w:p w14:paraId="5C62C0B4" w14:textId="77777777" w:rsidR="00E23746" w:rsidRPr="00846E84" w:rsidRDefault="00E23746" w:rsidP="000B2F10">
            <w:pPr>
              <w:spacing w:after="0" w:line="240" w:lineRule="auto"/>
              <w:rPr>
                <w:rFonts w:eastAsia="Times New Roman" w:cs="Arial"/>
                <w:sz w:val="20"/>
                <w:szCs w:val="20"/>
                <w:lang w:val="es-MX" w:eastAsia="es-MX"/>
              </w:rPr>
            </w:pPr>
            <w:r w:rsidRPr="00846E84">
              <w:rPr>
                <w:rFonts w:eastAsia="Times New Roman" w:cs="Arial"/>
                <w:sz w:val="20"/>
                <w:szCs w:val="20"/>
                <w:lang w:val="es-MX" w:eastAsia="es-MX"/>
              </w:rPr>
              <w:t>Los padres de familia participan en las actividades de formación de sus hijos</w:t>
            </w:r>
            <w:r>
              <w:rPr>
                <w:rFonts w:eastAsia="Times New Roman" w:cs="Arial"/>
                <w:sz w:val="20"/>
                <w:szCs w:val="20"/>
                <w:lang w:val="es-MX" w:eastAsia="es-MX"/>
              </w:rPr>
              <w:t>.</w:t>
            </w:r>
          </w:p>
        </w:tc>
      </w:tr>
      <w:tr w:rsidR="00E23746" w:rsidRPr="00846E84" w14:paraId="34382B2C" w14:textId="77777777" w:rsidTr="006E6535">
        <w:trPr>
          <w:trHeight w:val="1130"/>
        </w:trPr>
        <w:tc>
          <w:tcPr>
            <w:tcW w:w="1413" w:type="dxa"/>
            <w:tcBorders>
              <w:top w:val="nil"/>
              <w:left w:val="single" w:sz="4" w:space="0" w:color="auto"/>
              <w:bottom w:val="single" w:sz="4" w:space="0" w:color="auto"/>
              <w:right w:val="single" w:sz="4" w:space="0" w:color="auto"/>
            </w:tcBorders>
            <w:shd w:val="clear" w:color="auto" w:fill="auto"/>
            <w:hideMark/>
          </w:tcPr>
          <w:p w14:paraId="147B40D9" w14:textId="77777777" w:rsidR="00E23746" w:rsidRPr="00846E84" w:rsidRDefault="00E23746" w:rsidP="000B2F10">
            <w:pPr>
              <w:spacing w:after="0" w:line="240" w:lineRule="auto"/>
              <w:jc w:val="center"/>
              <w:rPr>
                <w:rFonts w:eastAsia="Times New Roman" w:cs="Arial"/>
                <w:b/>
                <w:bCs/>
                <w:sz w:val="20"/>
                <w:szCs w:val="20"/>
                <w:lang w:val="es-MX" w:eastAsia="es-MX"/>
              </w:rPr>
            </w:pPr>
            <w:r w:rsidRPr="00846E84">
              <w:rPr>
                <w:rFonts w:eastAsia="Times New Roman" w:cs="Arial"/>
                <w:b/>
                <w:bCs/>
                <w:sz w:val="20"/>
                <w:szCs w:val="20"/>
                <w:lang w:val="es-MX" w:eastAsia="es-MX"/>
              </w:rPr>
              <w:t>Componente</w:t>
            </w:r>
          </w:p>
        </w:tc>
        <w:tc>
          <w:tcPr>
            <w:tcW w:w="2551" w:type="dxa"/>
            <w:tcBorders>
              <w:top w:val="nil"/>
              <w:left w:val="nil"/>
              <w:bottom w:val="single" w:sz="4" w:space="0" w:color="auto"/>
              <w:right w:val="single" w:sz="4" w:space="0" w:color="auto"/>
            </w:tcBorders>
            <w:shd w:val="clear" w:color="auto" w:fill="auto"/>
            <w:hideMark/>
          </w:tcPr>
          <w:p w14:paraId="5773844C" w14:textId="77777777" w:rsidR="00E23746" w:rsidRPr="00ED5AB4" w:rsidRDefault="00E23746" w:rsidP="000B2F10">
            <w:pPr>
              <w:spacing w:after="0" w:line="240" w:lineRule="auto"/>
              <w:rPr>
                <w:rFonts w:eastAsia="Times New Roman" w:cs="Arial"/>
                <w:sz w:val="18"/>
                <w:szCs w:val="20"/>
                <w:lang w:val="es-MX" w:eastAsia="es-MX"/>
              </w:rPr>
            </w:pPr>
            <w:r w:rsidRPr="00ED5AB4">
              <w:rPr>
                <w:rFonts w:eastAsia="Times New Roman" w:cs="Arial"/>
                <w:sz w:val="18"/>
                <w:szCs w:val="20"/>
                <w:lang w:val="es-MX" w:eastAsia="es-MX"/>
              </w:rPr>
              <w:t>Implementar un programa para elevar la eficiencia terminal en la educación media superior.</w:t>
            </w:r>
          </w:p>
        </w:tc>
        <w:tc>
          <w:tcPr>
            <w:tcW w:w="2977" w:type="dxa"/>
            <w:tcBorders>
              <w:top w:val="nil"/>
              <w:left w:val="nil"/>
              <w:bottom w:val="single" w:sz="4" w:space="0" w:color="auto"/>
              <w:right w:val="single" w:sz="4" w:space="0" w:color="auto"/>
            </w:tcBorders>
            <w:shd w:val="clear" w:color="auto" w:fill="auto"/>
            <w:hideMark/>
          </w:tcPr>
          <w:p w14:paraId="05A72BAF" w14:textId="77777777" w:rsidR="00E23746" w:rsidRPr="00ED5AB4" w:rsidRDefault="00E23746" w:rsidP="000B2F10">
            <w:pPr>
              <w:spacing w:after="0" w:line="240" w:lineRule="auto"/>
              <w:rPr>
                <w:rFonts w:eastAsia="Times New Roman" w:cs="Arial"/>
                <w:sz w:val="18"/>
                <w:szCs w:val="20"/>
                <w:lang w:val="es-MX" w:eastAsia="es-MX"/>
              </w:rPr>
            </w:pPr>
            <w:r w:rsidRPr="00ED5AB4">
              <w:rPr>
                <w:rFonts w:eastAsia="Times New Roman" w:cs="Arial"/>
                <w:sz w:val="18"/>
                <w:szCs w:val="20"/>
                <w:lang w:val="es-MX" w:eastAsia="es-MX"/>
              </w:rPr>
              <w:t>C03 - Alumnos con programas de formación para elevar la eficiencia terminal, atendidos.</w:t>
            </w:r>
          </w:p>
        </w:tc>
        <w:tc>
          <w:tcPr>
            <w:tcW w:w="2315" w:type="dxa"/>
            <w:tcBorders>
              <w:top w:val="nil"/>
              <w:left w:val="nil"/>
              <w:bottom w:val="single" w:sz="4" w:space="0" w:color="auto"/>
              <w:right w:val="single" w:sz="4" w:space="0" w:color="auto"/>
            </w:tcBorders>
            <w:shd w:val="clear" w:color="auto" w:fill="auto"/>
            <w:hideMark/>
          </w:tcPr>
          <w:p w14:paraId="79438467" w14:textId="77777777" w:rsidR="00E23746" w:rsidRPr="00ED5AB4" w:rsidRDefault="00E23746" w:rsidP="000B2F10">
            <w:pPr>
              <w:spacing w:after="0" w:line="240" w:lineRule="auto"/>
              <w:rPr>
                <w:rFonts w:eastAsia="Times New Roman" w:cs="Arial"/>
                <w:sz w:val="18"/>
                <w:szCs w:val="20"/>
                <w:lang w:val="es-MX" w:eastAsia="es-MX"/>
              </w:rPr>
            </w:pPr>
            <w:r w:rsidRPr="00ED5AB4">
              <w:rPr>
                <w:rFonts w:eastAsia="Times New Roman" w:cs="Arial"/>
                <w:sz w:val="18"/>
                <w:szCs w:val="20"/>
                <w:lang w:val="es-MX" w:eastAsia="es-MX"/>
              </w:rPr>
              <w:t>C03I01 - Porcentaje de Eficiencia Terminal.</w:t>
            </w:r>
          </w:p>
        </w:tc>
        <w:tc>
          <w:tcPr>
            <w:tcW w:w="2788" w:type="dxa"/>
            <w:tcBorders>
              <w:top w:val="nil"/>
              <w:left w:val="nil"/>
              <w:bottom w:val="single" w:sz="4" w:space="0" w:color="auto"/>
              <w:right w:val="single" w:sz="4" w:space="0" w:color="auto"/>
            </w:tcBorders>
            <w:shd w:val="clear" w:color="auto" w:fill="auto"/>
            <w:hideMark/>
          </w:tcPr>
          <w:p w14:paraId="2E3B6D96" w14:textId="77777777" w:rsidR="00E23746" w:rsidRPr="00ED5AB4" w:rsidRDefault="00E23746" w:rsidP="000B2F10">
            <w:pPr>
              <w:spacing w:after="0" w:line="240" w:lineRule="auto"/>
              <w:rPr>
                <w:rFonts w:eastAsia="Times New Roman" w:cs="Arial"/>
                <w:sz w:val="18"/>
                <w:szCs w:val="20"/>
                <w:lang w:val="es-MX" w:eastAsia="es-MX"/>
              </w:rPr>
            </w:pPr>
            <w:r w:rsidRPr="00ED5AB4">
              <w:rPr>
                <w:rFonts w:eastAsia="Times New Roman" w:cs="Arial"/>
                <w:sz w:val="18"/>
                <w:szCs w:val="20"/>
                <w:lang w:val="es-MX" w:eastAsia="es-MX"/>
              </w:rPr>
              <w:t>Dirección de Planeación (Estadística 911) https://qroo.gob.mx/eva/actividades-academicas.</w:t>
            </w:r>
          </w:p>
        </w:tc>
        <w:tc>
          <w:tcPr>
            <w:tcW w:w="1985" w:type="dxa"/>
            <w:tcBorders>
              <w:top w:val="nil"/>
              <w:left w:val="nil"/>
              <w:bottom w:val="single" w:sz="4" w:space="0" w:color="auto"/>
              <w:right w:val="single" w:sz="4" w:space="0" w:color="auto"/>
            </w:tcBorders>
            <w:shd w:val="clear" w:color="auto" w:fill="auto"/>
            <w:hideMark/>
          </w:tcPr>
          <w:p w14:paraId="38E7EB3C" w14:textId="77777777" w:rsidR="00E23746" w:rsidRPr="00ED5AB4" w:rsidRDefault="00E23746" w:rsidP="000B2F10">
            <w:pPr>
              <w:spacing w:after="0" w:line="240" w:lineRule="auto"/>
              <w:rPr>
                <w:rFonts w:eastAsia="Times New Roman" w:cs="Arial"/>
                <w:sz w:val="18"/>
                <w:szCs w:val="20"/>
                <w:lang w:val="es-MX" w:eastAsia="es-MX"/>
              </w:rPr>
            </w:pPr>
            <w:r w:rsidRPr="00ED5AB4">
              <w:rPr>
                <w:rFonts w:eastAsia="Times New Roman" w:cs="Arial"/>
                <w:sz w:val="18"/>
                <w:szCs w:val="20"/>
                <w:lang w:val="es-MX" w:eastAsia="es-MX"/>
              </w:rPr>
              <w:t>Los alumnos detectados en riesgo de abandono escolar , ingresan en los programas integrales.</w:t>
            </w:r>
          </w:p>
        </w:tc>
      </w:tr>
      <w:tr w:rsidR="00E23746" w:rsidRPr="00ED5AB4" w14:paraId="68177052" w14:textId="77777777" w:rsidTr="006E6535">
        <w:trPr>
          <w:trHeight w:val="1020"/>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14:paraId="69DD10AC" w14:textId="77777777" w:rsidR="00E23746" w:rsidRPr="00846E84" w:rsidRDefault="00E23746" w:rsidP="000B2F10">
            <w:pPr>
              <w:spacing w:after="0" w:line="240" w:lineRule="auto"/>
              <w:jc w:val="center"/>
              <w:rPr>
                <w:rFonts w:eastAsia="Times New Roman" w:cs="Arial"/>
                <w:b/>
                <w:bCs/>
                <w:sz w:val="20"/>
                <w:szCs w:val="20"/>
                <w:lang w:val="es-MX" w:eastAsia="es-MX"/>
              </w:rPr>
            </w:pPr>
            <w:r w:rsidRPr="00846E84">
              <w:rPr>
                <w:rFonts w:eastAsia="Times New Roman" w:cs="Arial"/>
                <w:b/>
                <w:bCs/>
                <w:sz w:val="20"/>
                <w:szCs w:val="20"/>
                <w:lang w:val="es-MX" w:eastAsia="es-MX"/>
              </w:rPr>
              <w:t>Actividad</w:t>
            </w:r>
          </w:p>
        </w:tc>
        <w:tc>
          <w:tcPr>
            <w:tcW w:w="2551" w:type="dxa"/>
            <w:tcBorders>
              <w:top w:val="single" w:sz="4" w:space="0" w:color="auto"/>
              <w:left w:val="nil"/>
              <w:bottom w:val="single" w:sz="4" w:space="0" w:color="auto"/>
              <w:right w:val="single" w:sz="4" w:space="0" w:color="auto"/>
            </w:tcBorders>
            <w:shd w:val="clear" w:color="auto" w:fill="auto"/>
            <w:hideMark/>
          </w:tcPr>
          <w:p w14:paraId="60D58095" w14:textId="77777777" w:rsidR="00E23746" w:rsidRPr="00ED5AB4" w:rsidRDefault="00E23746" w:rsidP="000B2F10">
            <w:pPr>
              <w:spacing w:after="0" w:line="240" w:lineRule="auto"/>
              <w:rPr>
                <w:rFonts w:eastAsia="Times New Roman" w:cs="Arial"/>
                <w:sz w:val="18"/>
                <w:szCs w:val="20"/>
                <w:lang w:val="es-MX" w:eastAsia="es-MX"/>
              </w:rPr>
            </w:pPr>
            <w:r w:rsidRPr="00ED5AB4">
              <w:rPr>
                <w:rFonts w:eastAsia="Times New Roman" w:cs="Arial"/>
                <w:sz w:val="18"/>
                <w:szCs w:val="20"/>
                <w:lang w:val="es-MX" w:eastAsia="es-MX"/>
              </w:rPr>
              <w:t>Impulsar acciones de atención para mejorar la formación continua y desarrollo profesional de los docentes.</w:t>
            </w:r>
          </w:p>
        </w:tc>
        <w:tc>
          <w:tcPr>
            <w:tcW w:w="2977" w:type="dxa"/>
            <w:tcBorders>
              <w:top w:val="single" w:sz="4" w:space="0" w:color="auto"/>
              <w:left w:val="nil"/>
              <w:bottom w:val="single" w:sz="4" w:space="0" w:color="auto"/>
              <w:right w:val="single" w:sz="4" w:space="0" w:color="auto"/>
            </w:tcBorders>
            <w:shd w:val="clear" w:color="auto" w:fill="auto"/>
            <w:hideMark/>
          </w:tcPr>
          <w:p w14:paraId="79B2B5C2" w14:textId="77777777" w:rsidR="00E23746" w:rsidRPr="00ED5AB4" w:rsidRDefault="00E23746" w:rsidP="000B2F10">
            <w:pPr>
              <w:spacing w:after="0" w:line="240" w:lineRule="auto"/>
              <w:rPr>
                <w:rFonts w:eastAsia="Times New Roman" w:cs="Arial"/>
                <w:sz w:val="18"/>
                <w:szCs w:val="20"/>
                <w:lang w:val="es-MX" w:eastAsia="es-MX"/>
              </w:rPr>
            </w:pPr>
            <w:r w:rsidRPr="00ED5AB4">
              <w:rPr>
                <w:rFonts w:eastAsia="Times New Roman" w:cs="Arial"/>
                <w:sz w:val="18"/>
                <w:szCs w:val="20"/>
                <w:lang w:val="es-MX" w:eastAsia="es-MX"/>
              </w:rPr>
              <w:t>C03.A01 - Participación del personal en la capacitación del Centro de Estudios.</w:t>
            </w:r>
          </w:p>
        </w:tc>
        <w:tc>
          <w:tcPr>
            <w:tcW w:w="2315" w:type="dxa"/>
            <w:tcBorders>
              <w:top w:val="single" w:sz="4" w:space="0" w:color="auto"/>
              <w:left w:val="nil"/>
              <w:bottom w:val="single" w:sz="4" w:space="0" w:color="auto"/>
              <w:right w:val="single" w:sz="4" w:space="0" w:color="auto"/>
            </w:tcBorders>
            <w:shd w:val="clear" w:color="auto" w:fill="auto"/>
            <w:hideMark/>
          </w:tcPr>
          <w:p w14:paraId="57F3C751" w14:textId="77777777" w:rsidR="00E23746" w:rsidRPr="00ED5AB4" w:rsidRDefault="00E23746" w:rsidP="000B2F10">
            <w:pPr>
              <w:spacing w:after="0" w:line="240" w:lineRule="auto"/>
              <w:rPr>
                <w:rFonts w:eastAsia="Times New Roman" w:cs="Arial"/>
                <w:sz w:val="18"/>
                <w:szCs w:val="20"/>
                <w:lang w:val="es-MX" w:eastAsia="es-MX"/>
              </w:rPr>
            </w:pPr>
            <w:r w:rsidRPr="00ED5AB4">
              <w:rPr>
                <w:rFonts w:eastAsia="Times New Roman" w:cs="Arial"/>
                <w:sz w:val="18"/>
                <w:szCs w:val="20"/>
                <w:lang w:val="es-MX" w:eastAsia="es-MX"/>
              </w:rPr>
              <w:t>C03A01 - Promedio del Personal capacitado.</w:t>
            </w:r>
          </w:p>
        </w:tc>
        <w:tc>
          <w:tcPr>
            <w:tcW w:w="2788" w:type="dxa"/>
            <w:tcBorders>
              <w:top w:val="single" w:sz="4" w:space="0" w:color="auto"/>
              <w:left w:val="nil"/>
              <w:bottom w:val="single" w:sz="4" w:space="0" w:color="auto"/>
              <w:right w:val="single" w:sz="4" w:space="0" w:color="auto"/>
            </w:tcBorders>
            <w:shd w:val="clear" w:color="auto" w:fill="auto"/>
            <w:hideMark/>
          </w:tcPr>
          <w:p w14:paraId="3E32415F" w14:textId="77777777" w:rsidR="00E23746" w:rsidRPr="00ED5AB4" w:rsidRDefault="00E23746" w:rsidP="000B2F10">
            <w:pPr>
              <w:spacing w:after="0" w:line="240" w:lineRule="auto"/>
              <w:rPr>
                <w:rFonts w:eastAsia="Times New Roman" w:cs="Arial"/>
                <w:sz w:val="18"/>
                <w:szCs w:val="20"/>
                <w:lang w:val="es-MX" w:eastAsia="es-MX"/>
              </w:rPr>
            </w:pPr>
            <w:r w:rsidRPr="00ED5AB4">
              <w:rPr>
                <w:rFonts w:eastAsia="Times New Roman" w:cs="Arial"/>
                <w:sz w:val="18"/>
                <w:szCs w:val="20"/>
                <w:lang w:val="es-MX" w:eastAsia="es-MX"/>
              </w:rPr>
              <w:t>Dirección Académica (Reporte de Capacitaciones) https://qroo.gob.mx/eva/actividades-academicas.</w:t>
            </w:r>
          </w:p>
        </w:tc>
        <w:tc>
          <w:tcPr>
            <w:tcW w:w="1985" w:type="dxa"/>
            <w:tcBorders>
              <w:top w:val="single" w:sz="4" w:space="0" w:color="auto"/>
              <w:left w:val="nil"/>
              <w:bottom w:val="single" w:sz="4" w:space="0" w:color="auto"/>
              <w:right w:val="single" w:sz="4" w:space="0" w:color="auto"/>
            </w:tcBorders>
            <w:shd w:val="clear" w:color="auto" w:fill="auto"/>
            <w:hideMark/>
          </w:tcPr>
          <w:p w14:paraId="2902B646" w14:textId="77777777" w:rsidR="00E23746" w:rsidRPr="00ED5AB4" w:rsidRDefault="00E23746" w:rsidP="000B2F10">
            <w:pPr>
              <w:spacing w:after="0" w:line="240" w:lineRule="auto"/>
              <w:rPr>
                <w:rFonts w:eastAsia="Times New Roman" w:cs="Arial"/>
                <w:sz w:val="18"/>
                <w:szCs w:val="20"/>
                <w:lang w:val="es-MX" w:eastAsia="es-MX"/>
              </w:rPr>
            </w:pPr>
            <w:r w:rsidRPr="00ED5AB4">
              <w:rPr>
                <w:rFonts w:eastAsia="Times New Roman" w:cs="Arial"/>
                <w:sz w:val="18"/>
                <w:szCs w:val="20"/>
                <w:lang w:val="es-MX" w:eastAsia="es-MX"/>
              </w:rPr>
              <w:t>El personal se capacita para mejorar su formación.</w:t>
            </w:r>
          </w:p>
        </w:tc>
      </w:tr>
      <w:tr w:rsidR="00E23746" w:rsidRPr="00846E84" w14:paraId="76828223" w14:textId="77777777" w:rsidTr="006E6535">
        <w:trPr>
          <w:trHeight w:val="1530"/>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14:paraId="663CF246" w14:textId="77777777" w:rsidR="00E23746" w:rsidRPr="00846E84" w:rsidRDefault="00E23746" w:rsidP="000B2F10">
            <w:pPr>
              <w:spacing w:after="0" w:line="240" w:lineRule="auto"/>
              <w:jc w:val="center"/>
              <w:rPr>
                <w:rFonts w:eastAsia="Times New Roman" w:cs="Arial"/>
                <w:b/>
                <w:bCs/>
                <w:sz w:val="20"/>
                <w:szCs w:val="20"/>
                <w:lang w:val="es-MX" w:eastAsia="es-MX"/>
              </w:rPr>
            </w:pPr>
            <w:r w:rsidRPr="00846E84">
              <w:rPr>
                <w:rFonts w:eastAsia="Times New Roman" w:cs="Arial"/>
                <w:b/>
                <w:bCs/>
                <w:sz w:val="20"/>
                <w:szCs w:val="20"/>
                <w:lang w:val="es-MX" w:eastAsia="es-MX"/>
              </w:rPr>
              <w:t>Actividad</w:t>
            </w:r>
          </w:p>
        </w:tc>
        <w:tc>
          <w:tcPr>
            <w:tcW w:w="2551" w:type="dxa"/>
            <w:tcBorders>
              <w:top w:val="single" w:sz="4" w:space="0" w:color="auto"/>
              <w:left w:val="nil"/>
              <w:bottom w:val="single" w:sz="4" w:space="0" w:color="auto"/>
              <w:right w:val="single" w:sz="4" w:space="0" w:color="auto"/>
            </w:tcBorders>
            <w:shd w:val="clear" w:color="auto" w:fill="auto"/>
            <w:hideMark/>
          </w:tcPr>
          <w:p w14:paraId="4B274444" w14:textId="77777777" w:rsidR="00E23746" w:rsidRPr="00ED5AB4" w:rsidRDefault="00E23746" w:rsidP="000B2F10">
            <w:pPr>
              <w:spacing w:after="0" w:line="240" w:lineRule="auto"/>
              <w:rPr>
                <w:rFonts w:eastAsia="Times New Roman" w:cs="Arial"/>
                <w:sz w:val="18"/>
                <w:szCs w:val="20"/>
                <w:lang w:val="es-MX" w:eastAsia="es-MX"/>
              </w:rPr>
            </w:pPr>
            <w:r w:rsidRPr="00ED5AB4">
              <w:rPr>
                <w:rFonts w:eastAsia="Times New Roman" w:cs="Arial"/>
                <w:sz w:val="18"/>
                <w:szCs w:val="20"/>
                <w:lang w:val="es-MX" w:eastAsia="es-MX"/>
              </w:rPr>
              <w:t>Implementar un Programa de Seguridad Escolar para el fortalecimiento de valores, la tolerancia y la promoción de la paz social en las escuelas de nivel medio superior.</w:t>
            </w:r>
          </w:p>
        </w:tc>
        <w:tc>
          <w:tcPr>
            <w:tcW w:w="2977" w:type="dxa"/>
            <w:tcBorders>
              <w:top w:val="single" w:sz="4" w:space="0" w:color="auto"/>
              <w:left w:val="nil"/>
              <w:bottom w:val="single" w:sz="4" w:space="0" w:color="auto"/>
              <w:right w:val="single" w:sz="4" w:space="0" w:color="auto"/>
            </w:tcBorders>
            <w:shd w:val="clear" w:color="auto" w:fill="auto"/>
            <w:hideMark/>
          </w:tcPr>
          <w:p w14:paraId="3C72C091" w14:textId="77777777" w:rsidR="00E23746" w:rsidRPr="00ED5AB4" w:rsidRDefault="00E23746" w:rsidP="000B2F10">
            <w:pPr>
              <w:spacing w:after="0" w:line="240" w:lineRule="auto"/>
              <w:rPr>
                <w:rFonts w:eastAsia="Times New Roman" w:cs="Arial"/>
                <w:sz w:val="18"/>
                <w:szCs w:val="20"/>
                <w:lang w:val="es-MX" w:eastAsia="es-MX"/>
              </w:rPr>
            </w:pPr>
            <w:r w:rsidRPr="00ED5AB4">
              <w:rPr>
                <w:rFonts w:eastAsia="Times New Roman" w:cs="Arial"/>
                <w:sz w:val="18"/>
                <w:szCs w:val="20"/>
                <w:lang w:val="es-MX" w:eastAsia="es-MX"/>
              </w:rPr>
              <w:t>C03.A02 - Captación de alumnos en actividades que previenen el riesgo de abandono escolar.</w:t>
            </w:r>
          </w:p>
        </w:tc>
        <w:tc>
          <w:tcPr>
            <w:tcW w:w="2315" w:type="dxa"/>
            <w:tcBorders>
              <w:top w:val="single" w:sz="4" w:space="0" w:color="auto"/>
              <w:left w:val="nil"/>
              <w:bottom w:val="single" w:sz="4" w:space="0" w:color="auto"/>
              <w:right w:val="single" w:sz="4" w:space="0" w:color="auto"/>
            </w:tcBorders>
            <w:shd w:val="clear" w:color="auto" w:fill="auto"/>
            <w:hideMark/>
          </w:tcPr>
          <w:p w14:paraId="195248AE" w14:textId="77777777" w:rsidR="00E23746" w:rsidRPr="00ED5AB4" w:rsidRDefault="00E23746" w:rsidP="000B2F10">
            <w:pPr>
              <w:spacing w:after="0" w:line="240" w:lineRule="auto"/>
              <w:rPr>
                <w:rFonts w:eastAsia="Times New Roman" w:cs="Arial"/>
                <w:sz w:val="18"/>
                <w:szCs w:val="20"/>
                <w:lang w:val="es-MX" w:eastAsia="es-MX"/>
              </w:rPr>
            </w:pPr>
            <w:r w:rsidRPr="00ED5AB4">
              <w:rPr>
                <w:rFonts w:eastAsia="Times New Roman" w:cs="Arial"/>
                <w:sz w:val="18"/>
                <w:szCs w:val="20"/>
                <w:lang w:val="es-MX" w:eastAsia="es-MX"/>
              </w:rPr>
              <w:t>C03A02 - Porcentaje de Alumnos que participan en Actividades Preventivas de Abandono Escolar.</w:t>
            </w:r>
          </w:p>
        </w:tc>
        <w:tc>
          <w:tcPr>
            <w:tcW w:w="2788" w:type="dxa"/>
            <w:tcBorders>
              <w:top w:val="single" w:sz="4" w:space="0" w:color="auto"/>
              <w:left w:val="nil"/>
              <w:bottom w:val="single" w:sz="4" w:space="0" w:color="auto"/>
              <w:right w:val="single" w:sz="4" w:space="0" w:color="auto"/>
            </w:tcBorders>
            <w:shd w:val="clear" w:color="auto" w:fill="auto"/>
            <w:hideMark/>
          </w:tcPr>
          <w:p w14:paraId="04BAF210" w14:textId="77777777" w:rsidR="00E23746" w:rsidRPr="00ED5AB4" w:rsidRDefault="00E23746" w:rsidP="000B2F10">
            <w:pPr>
              <w:spacing w:after="0" w:line="240" w:lineRule="auto"/>
              <w:rPr>
                <w:rFonts w:eastAsia="Times New Roman" w:cs="Arial"/>
                <w:sz w:val="18"/>
                <w:szCs w:val="20"/>
                <w:lang w:val="es-MX" w:eastAsia="es-MX"/>
              </w:rPr>
            </w:pPr>
            <w:r w:rsidRPr="00ED5AB4">
              <w:rPr>
                <w:rFonts w:eastAsia="Times New Roman" w:cs="Arial"/>
                <w:sz w:val="18"/>
                <w:szCs w:val="20"/>
                <w:lang w:val="es-MX" w:eastAsia="es-MX"/>
              </w:rPr>
              <w:t>Dirección Académica (Reporte de Actividades contra el abandono escolar emitido por el Plantel Eva Sámano) https://qroo.gob.mx/eva/actividades-academicas.</w:t>
            </w:r>
          </w:p>
        </w:tc>
        <w:tc>
          <w:tcPr>
            <w:tcW w:w="1985" w:type="dxa"/>
            <w:tcBorders>
              <w:top w:val="single" w:sz="4" w:space="0" w:color="auto"/>
              <w:left w:val="nil"/>
              <w:bottom w:val="single" w:sz="4" w:space="0" w:color="auto"/>
              <w:right w:val="single" w:sz="4" w:space="0" w:color="auto"/>
            </w:tcBorders>
            <w:shd w:val="clear" w:color="auto" w:fill="auto"/>
            <w:hideMark/>
          </w:tcPr>
          <w:p w14:paraId="12E501CB" w14:textId="77777777" w:rsidR="00E23746" w:rsidRPr="00ED5AB4" w:rsidRDefault="00E23746" w:rsidP="000B2F10">
            <w:pPr>
              <w:spacing w:after="0" w:line="240" w:lineRule="auto"/>
              <w:rPr>
                <w:rFonts w:eastAsia="Times New Roman" w:cs="Arial"/>
                <w:sz w:val="18"/>
                <w:szCs w:val="20"/>
                <w:lang w:val="es-MX" w:eastAsia="es-MX"/>
              </w:rPr>
            </w:pPr>
            <w:r w:rsidRPr="00ED5AB4">
              <w:rPr>
                <w:rFonts w:eastAsia="Times New Roman" w:cs="Arial"/>
                <w:sz w:val="18"/>
                <w:szCs w:val="20"/>
                <w:lang w:val="es-MX" w:eastAsia="es-MX"/>
              </w:rPr>
              <w:t>Los alumnos no quieren abandonar sus estudios.</w:t>
            </w:r>
          </w:p>
        </w:tc>
      </w:tr>
    </w:tbl>
    <w:p w14:paraId="07C77E2A" w14:textId="77777777" w:rsidR="00E23746" w:rsidRDefault="00E23746" w:rsidP="00E23746">
      <w:pPr>
        <w:rPr>
          <w:rFonts w:eastAsia="Calibri" w:cs="Arial"/>
          <w:bCs/>
          <w:color w:val="595959" w:themeColor="text1" w:themeTint="A6"/>
          <w:sz w:val="18"/>
          <w:szCs w:val="20"/>
        </w:rPr>
      </w:pPr>
      <w:r w:rsidRPr="0093279A">
        <w:rPr>
          <w:rFonts w:eastAsia="Calibri" w:cs="Arial"/>
          <w:bCs/>
          <w:color w:val="595959" w:themeColor="text1" w:themeTint="A6"/>
          <w:sz w:val="18"/>
          <w:szCs w:val="20"/>
        </w:rPr>
        <w:t>El anexo aquí presentado es perfectible, y se encuentra susceptible de modificaciones programáticas toda vez que así se le indique por observaciones de auditorías, evaluaciones al desempeño y revisiones de la Secretaría de Finanzas y Planeación antes y durante el ejercicio fiscal del que se trate, así como también, cuando las condiciones del Ente Público responsable de dicha información programática requiera hacer modificaciones a sus necesidades institucionales, atendiendo a lo establecido en los Lineamientos para la Creación, Modificación y Cancelación de Programas Presupuestarios y para la Modificación de Metas del Gobierno del Estado de Quintana Roo.</w:t>
      </w:r>
    </w:p>
    <w:p w14:paraId="0B3FD812" w14:textId="77777777" w:rsidR="00E23746" w:rsidRDefault="00E23746" w:rsidP="00E23746">
      <w:pPr>
        <w:rPr>
          <w:lang w:val="es-MX" w:eastAsia="en-US"/>
        </w:rPr>
      </w:pPr>
      <w:r>
        <w:rPr>
          <w:lang w:val="es-MX" w:eastAsia="en-US"/>
        </w:rPr>
        <w:br w:type="page"/>
      </w:r>
    </w:p>
    <w:tbl>
      <w:tblPr>
        <w:tblW w:w="14029" w:type="dxa"/>
        <w:tblLayout w:type="fixed"/>
        <w:tblCellMar>
          <w:left w:w="70" w:type="dxa"/>
          <w:right w:w="70" w:type="dxa"/>
        </w:tblCellMar>
        <w:tblLook w:val="04A0" w:firstRow="1" w:lastRow="0" w:firstColumn="1" w:lastColumn="0" w:noHBand="0" w:noVBand="1"/>
      </w:tblPr>
      <w:tblGrid>
        <w:gridCol w:w="1271"/>
        <w:gridCol w:w="2835"/>
        <w:gridCol w:w="2835"/>
        <w:gridCol w:w="2268"/>
        <w:gridCol w:w="2693"/>
        <w:gridCol w:w="2127"/>
      </w:tblGrid>
      <w:tr w:rsidR="00E23746" w:rsidRPr="00FD08F8" w14:paraId="29FBC796" w14:textId="77777777" w:rsidTr="000B2F10">
        <w:trPr>
          <w:trHeight w:val="720"/>
        </w:trPr>
        <w:tc>
          <w:tcPr>
            <w:tcW w:w="4106" w:type="dxa"/>
            <w:gridSpan w:val="2"/>
            <w:tcBorders>
              <w:top w:val="single" w:sz="4" w:space="0" w:color="auto"/>
              <w:left w:val="single" w:sz="4" w:space="0" w:color="auto"/>
              <w:bottom w:val="single" w:sz="4" w:space="0" w:color="auto"/>
              <w:right w:val="single" w:sz="4" w:space="0" w:color="000000"/>
            </w:tcBorders>
            <w:shd w:val="clear" w:color="000000" w:fill="BFBFBF"/>
            <w:vAlign w:val="center"/>
            <w:hideMark/>
          </w:tcPr>
          <w:p w14:paraId="2B50D09B"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lastRenderedPageBreak/>
              <w:t>PROGRAMA PRESUPUESTARIO:</w:t>
            </w:r>
          </w:p>
        </w:tc>
        <w:tc>
          <w:tcPr>
            <w:tcW w:w="9923" w:type="dxa"/>
            <w:gridSpan w:val="4"/>
            <w:tcBorders>
              <w:top w:val="single" w:sz="4" w:space="0" w:color="auto"/>
              <w:left w:val="nil"/>
              <w:bottom w:val="single" w:sz="4" w:space="0" w:color="auto"/>
              <w:right w:val="single" w:sz="4" w:space="0" w:color="auto"/>
            </w:tcBorders>
            <w:shd w:val="clear" w:color="auto" w:fill="auto"/>
            <w:vAlign w:val="center"/>
            <w:hideMark/>
          </w:tcPr>
          <w:p w14:paraId="565F8846" w14:textId="77777777" w:rsidR="00E23746" w:rsidRPr="00FD08F8" w:rsidRDefault="00E23746" w:rsidP="000B2F10">
            <w:pPr>
              <w:spacing w:after="0" w:line="240" w:lineRule="auto"/>
              <w:jc w:val="left"/>
              <w:rPr>
                <w:rFonts w:eastAsia="Times New Roman" w:cs="Arial"/>
                <w:sz w:val="20"/>
                <w:szCs w:val="20"/>
                <w:lang w:val="es-MX" w:eastAsia="es-MX"/>
              </w:rPr>
            </w:pPr>
            <w:r w:rsidRPr="00C4101B">
              <w:rPr>
                <w:rFonts w:eastAsia="Times New Roman" w:cs="Arial"/>
                <w:sz w:val="20"/>
                <w:szCs w:val="20"/>
                <w:lang w:val="es-MX" w:eastAsia="es-MX"/>
              </w:rPr>
              <w:t>Universidad Politécnica de Quintana Roo.</w:t>
            </w:r>
          </w:p>
        </w:tc>
      </w:tr>
      <w:tr w:rsidR="00E23746" w:rsidRPr="00FD08F8" w14:paraId="257BA675" w14:textId="77777777" w:rsidTr="000B2F10">
        <w:trPr>
          <w:trHeight w:val="552"/>
        </w:trPr>
        <w:tc>
          <w:tcPr>
            <w:tcW w:w="4106" w:type="dxa"/>
            <w:gridSpan w:val="2"/>
            <w:tcBorders>
              <w:top w:val="single" w:sz="4" w:space="0" w:color="auto"/>
              <w:left w:val="single" w:sz="4" w:space="0" w:color="auto"/>
              <w:bottom w:val="single" w:sz="4" w:space="0" w:color="auto"/>
              <w:right w:val="single" w:sz="4" w:space="0" w:color="000000"/>
            </w:tcBorders>
            <w:shd w:val="clear" w:color="000000" w:fill="BFBFBF"/>
            <w:vAlign w:val="center"/>
            <w:hideMark/>
          </w:tcPr>
          <w:p w14:paraId="3B249D62"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INSTITUCIÓN:</w:t>
            </w:r>
          </w:p>
        </w:tc>
        <w:tc>
          <w:tcPr>
            <w:tcW w:w="9923" w:type="dxa"/>
            <w:gridSpan w:val="4"/>
            <w:tcBorders>
              <w:top w:val="single" w:sz="4" w:space="0" w:color="auto"/>
              <w:left w:val="nil"/>
              <w:bottom w:val="single" w:sz="4" w:space="0" w:color="auto"/>
              <w:right w:val="single" w:sz="4" w:space="0" w:color="auto"/>
            </w:tcBorders>
            <w:shd w:val="clear" w:color="auto" w:fill="auto"/>
            <w:vAlign w:val="center"/>
            <w:hideMark/>
          </w:tcPr>
          <w:p w14:paraId="06B694EB" w14:textId="77777777" w:rsidR="00E23746" w:rsidRPr="00FD08F8" w:rsidRDefault="00E23746" w:rsidP="000B2F10">
            <w:pPr>
              <w:spacing w:after="0" w:line="240" w:lineRule="auto"/>
              <w:jc w:val="left"/>
              <w:rPr>
                <w:rFonts w:eastAsia="Times New Roman" w:cs="Arial"/>
                <w:sz w:val="20"/>
                <w:szCs w:val="20"/>
                <w:lang w:val="es-MX" w:eastAsia="es-MX"/>
              </w:rPr>
            </w:pPr>
            <w:r w:rsidRPr="00FD08F8">
              <w:rPr>
                <w:rFonts w:eastAsia="Times New Roman" w:cs="Arial"/>
                <w:sz w:val="20"/>
                <w:szCs w:val="20"/>
                <w:lang w:val="es-MX" w:eastAsia="es-MX"/>
              </w:rPr>
              <w:t>1109 Secretaría de Educación de Quintana Roo</w:t>
            </w:r>
            <w:r>
              <w:rPr>
                <w:rFonts w:eastAsia="Times New Roman" w:cs="Arial"/>
                <w:sz w:val="20"/>
                <w:szCs w:val="20"/>
                <w:lang w:val="es-MX" w:eastAsia="es-MX"/>
              </w:rPr>
              <w:t>.</w:t>
            </w:r>
          </w:p>
        </w:tc>
      </w:tr>
      <w:tr w:rsidR="00E23746" w:rsidRPr="00FD08F8" w14:paraId="6EAED4D1" w14:textId="77777777" w:rsidTr="000B2F10">
        <w:trPr>
          <w:trHeight w:val="282"/>
        </w:trPr>
        <w:tc>
          <w:tcPr>
            <w:tcW w:w="1271" w:type="dxa"/>
            <w:tcBorders>
              <w:top w:val="nil"/>
              <w:left w:val="nil"/>
              <w:bottom w:val="nil"/>
              <w:right w:val="nil"/>
            </w:tcBorders>
            <w:shd w:val="clear" w:color="auto" w:fill="auto"/>
            <w:hideMark/>
          </w:tcPr>
          <w:p w14:paraId="13AD9AFE" w14:textId="77777777" w:rsidR="00E23746" w:rsidRPr="00FD08F8" w:rsidRDefault="00E23746" w:rsidP="000B2F10">
            <w:pPr>
              <w:spacing w:after="0" w:line="240" w:lineRule="auto"/>
              <w:jc w:val="left"/>
              <w:rPr>
                <w:rFonts w:eastAsia="Times New Roman" w:cs="Arial"/>
                <w:sz w:val="20"/>
                <w:szCs w:val="20"/>
                <w:lang w:val="es-MX" w:eastAsia="es-MX"/>
              </w:rPr>
            </w:pPr>
          </w:p>
        </w:tc>
        <w:tc>
          <w:tcPr>
            <w:tcW w:w="2835" w:type="dxa"/>
            <w:tcBorders>
              <w:top w:val="nil"/>
              <w:left w:val="nil"/>
              <w:bottom w:val="nil"/>
              <w:right w:val="nil"/>
            </w:tcBorders>
            <w:shd w:val="clear" w:color="auto" w:fill="auto"/>
            <w:hideMark/>
          </w:tcPr>
          <w:p w14:paraId="061FB681" w14:textId="77777777" w:rsidR="00E23746" w:rsidRPr="00FD08F8" w:rsidRDefault="00E23746" w:rsidP="000B2F10">
            <w:pPr>
              <w:spacing w:after="0" w:line="240" w:lineRule="auto"/>
              <w:jc w:val="left"/>
              <w:rPr>
                <w:rFonts w:ascii="Times New Roman" w:eastAsia="Times New Roman" w:hAnsi="Times New Roman" w:cs="Times New Roman"/>
                <w:sz w:val="20"/>
                <w:szCs w:val="20"/>
                <w:lang w:val="es-MX" w:eastAsia="es-MX"/>
              </w:rPr>
            </w:pPr>
          </w:p>
        </w:tc>
        <w:tc>
          <w:tcPr>
            <w:tcW w:w="2835" w:type="dxa"/>
            <w:tcBorders>
              <w:top w:val="nil"/>
              <w:left w:val="nil"/>
              <w:bottom w:val="nil"/>
              <w:right w:val="nil"/>
            </w:tcBorders>
            <w:shd w:val="clear" w:color="auto" w:fill="auto"/>
            <w:hideMark/>
          </w:tcPr>
          <w:p w14:paraId="09A91722" w14:textId="77777777" w:rsidR="00E23746" w:rsidRPr="00FD08F8" w:rsidRDefault="00E23746" w:rsidP="000B2F10">
            <w:pPr>
              <w:spacing w:after="0" w:line="240" w:lineRule="auto"/>
              <w:jc w:val="left"/>
              <w:rPr>
                <w:rFonts w:ascii="Times New Roman" w:eastAsia="Times New Roman" w:hAnsi="Times New Roman" w:cs="Times New Roman"/>
                <w:sz w:val="20"/>
                <w:szCs w:val="20"/>
                <w:lang w:val="es-MX" w:eastAsia="es-MX"/>
              </w:rPr>
            </w:pPr>
          </w:p>
        </w:tc>
        <w:tc>
          <w:tcPr>
            <w:tcW w:w="2268" w:type="dxa"/>
            <w:tcBorders>
              <w:top w:val="nil"/>
              <w:left w:val="nil"/>
              <w:bottom w:val="nil"/>
              <w:right w:val="nil"/>
            </w:tcBorders>
            <w:shd w:val="clear" w:color="auto" w:fill="auto"/>
            <w:hideMark/>
          </w:tcPr>
          <w:p w14:paraId="36E92388" w14:textId="77777777" w:rsidR="00E23746" w:rsidRPr="00FD08F8" w:rsidRDefault="00E23746" w:rsidP="000B2F10">
            <w:pPr>
              <w:spacing w:after="0" w:line="240" w:lineRule="auto"/>
              <w:jc w:val="left"/>
              <w:rPr>
                <w:rFonts w:ascii="Times New Roman" w:eastAsia="Times New Roman" w:hAnsi="Times New Roman" w:cs="Times New Roman"/>
                <w:sz w:val="20"/>
                <w:szCs w:val="20"/>
                <w:lang w:val="es-MX" w:eastAsia="es-MX"/>
              </w:rPr>
            </w:pPr>
          </w:p>
        </w:tc>
        <w:tc>
          <w:tcPr>
            <w:tcW w:w="2693" w:type="dxa"/>
            <w:tcBorders>
              <w:top w:val="nil"/>
              <w:left w:val="nil"/>
              <w:bottom w:val="nil"/>
              <w:right w:val="nil"/>
            </w:tcBorders>
            <w:shd w:val="clear" w:color="auto" w:fill="auto"/>
            <w:hideMark/>
          </w:tcPr>
          <w:p w14:paraId="2904EA61" w14:textId="77777777" w:rsidR="00E23746" w:rsidRPr="00FD08F8" w:rsidRDefault="00E23746" w:rsidP="000B2F10">
            <w:pPr>
              <w:spacing w:after="0" w:line="240" w:lineRule="auto"/>
              <w:jc w:val="left"/>
              <w:rPr>
                <w:rFonts w:ascii="Times New Roman" w:eastAsia="Times New Roman" w:hAnsi="Times New Roman" w:cs="Times New Roman"/>
                <w:sz w:val="20"/>
                <w:szCs w:val="20"/>
                <w:lang w:val="es-MX" w:eastAsia="es-MX"/>
              </w:rPr>
            </w:pPr>
          </w:p>
        </w:tc>
        <w:tc>
          <w:tcPr>
            <w:tcW w:w="2127" w:type="dxa"/>
            <w:tcBorders>
              <w:top w:val="nil"/>
              <w:left w:val="nil"/>
              <w:bottom w:val="nil"/>
              <w:right w:val="nil"/>
            </w:tcBorders>
            <w:shd w:val="clear" w:color="auto" w:fill="auto"/>
            <w:hideMark/>
          </w:tcPr>
          <w:p w14:paraId="3CA05A23" w14:textId="77777777" w:rsidR="00E23746" w:rsidRPr="00FD08F8" w:rsidRDefault="00E23746" w:rsidP="000B2F10">
            <w:pPr>
              <w:spacing w:after="0" w:line="240" w:lineRule="auto"/>
              <w:jc w:val="left"/>
              <w:rPr>
                <w:rFonts w:ascii="Times New Roman" w:eastAsia="Times New Roman" w:hAnsi="Times New Roman" w:cs="Times New Roman"/>
                <w:sz w:val="20"/>
                <w:szCs w:val="20"/>
                <w:lang w:val="es-MX" w:eastAsia="es-MX"/>
              </w:rPr>
            </w:pPr>
          </w:p>
        </w:tc>
      </w:tr>
      <w:tr w:rsidR="00E23746" w:rsidRPr="00FD08F8" w14:paraId="323D1777" w14:textId="77777777" w:rsidTr="000B2F10">
        <w:trPr>
          <w:trHeight w:val="375"/>
        </w:trPr>
        <w:tc>
          <w:tcPr>
            <w:tcW w:w="14029" w:type="dxa"/>
            <w:gridSpan w:val="6"/>
            <w:tcBorders>
              <w:top w:val="single" w:sz="4" w:space="0" w:color="auto"/>
              <w:left w:val="single" w:sz="4" w:space="0" w:color="auto"/>
              <w:bottom w:val="single" w:sz="4" w:space="0" w:color="auto"/>
              <w:right w:val="single" w:sz="4" w:space="0" w:color="000000"/>
            </w:tcBorders>
            <w:shd w:val="clear" w:color="000000" w:fill="BFBFBF"/>
            <w:vAlign w:val="center"/>
            <w:hideMark/>
          </w:tcPr>
          <w:p w14:paraId="4427498A"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MATRIZ DE INDICADORES PARA RESULTADOS (MIR)</w:t>
            </w:r>
          </w:p>
        </w:tc>
      </w:tr>
      <w:tr w:rsidR="00E23746" w:rsidRPr="00FD08F8" w14:paraId="40A67D6F" w14:textId="77777777" w:rsidTr="006B434D">
        <w:trPr>
          <w:trHeight w:val="471"/>
        </w:trPr>
        <w:tc>
          <w:tcPr>
            <w:tcW w:w="1271" w:type="dxa"/>
            <w:tcBorders>
              <w:top w:val="nil"/>
              <w:left w:val="single" w:sz="4" w:space="0" w:color="auto"/>
              <w:bottom w:val="single" w:sz="4" w:space="0" w:color="auto"/>
              <w:right w:val="single" w:sz="4" w:space="0" w:color="auto"/>
            </w:tcBorders>
            <w:shd w:val="clear" w:color="000000" w:fill="BFBFBF"/>
            <w:vAlign w:val="center"/>
            <w:hideMark/>
          </w:tcPr>
          <w:p w14:paraId="6CB9EC05"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NIVEL</w:t>
            </w:r>
          </w:p>
        </w:tc>
        <w:tc>
          <w:tcPr>
            <w:tcW w:w="2835" w:type="dxa"/>
            <w:tcBorders>
              <w:top w:val="nil"/>
              <w:left w:val="nil"/>
              <w:bottom w:val="single" w:sz="4" w:space="0" w:color="auto"/>
              <w:right w:val="single" w:sz="4" w:space="0" w:color="auto"/>
            </w:tcBorders>
            <w:shd w:val="clear" w:color="000000" w:fill="BFBFBF"/>
            <w:vAlign w:val="center"/>
            <w:hideMark/>
          </w:tcPr>
          <w:p w14:paraId="33A07A12"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ALINEACIÓN PED/PD</w:t>
            </w:r>
          </w:p>
        </w:tc>
        <w:tc>
          <w:tcPr>
            <w:tcW w:w="2835" w:type="dxa"/>
            <w:tcBorders>
              <w:top w:val="nil"/>
              <w:left w:val="nil"/>
              <w:bottom w:val="single" w:sz="4" w:space="0" w:color="auto"/>
              <w:right w:val="single" w:sz="4" w:space="0" w:color="auto"/>
            </w:tcBorders>
            <w:shd w:val="clear" w:color="000000" w:fill="BFBFBF"/>
            <w:vAlign w:val="center"/>
            <w:hideMark/>
          </w:tcPr>
          <w:p w14:paraId="2E77E0ED"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OBJETIVO</w:t>
            </w:r>
          </w:p>
        </w:tc>
        <w:tc>
          <w:tcPr>
            <w:tcW w:w="2268" w:type="dxa"/>
            <w:tcBorders>
              <w:top w:val="nil"/>
              <w:left w:val="nil"/>
              <w:bottom w:val="single" w:sz="4" w:space="0" w:color="auto"/>
              <w:right w:val="single" w:sz="4" w:space="0" w:color="auto"/>
            </w:tcBorders>
            <w:shd w:val="clear" w:color="000000" w:fill="BFBFBF"/>
            <w:vAlign w:val="center"/>
            <w:hideMark/>
          </w:tcPr>
          <w:p w14:paraId="47FCBC83"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INDICADOR</w:t>
            </w:r>
          </w:p>
        </w:tc>
        <w:tc>
          <w:tcPr>
            <w:tcW w:w="2693" w:type="dxa"/>
            <w:tcBorders>
              <w:top w:val="nil"/>
              <w:left w:val="nil"/>
              <w:bottom w:val="single" w:sz="4" w:space="0" w:color="auto"/>
              <w:right w:val="single" w:sz="4" w:space="0" w:color="auto"/>
            </w:tcBorders>
            <w:shd w:val="clear" w:color="000000" w:fill="BFBFBF"/>
            <w:vAlign w:val="center"/>
            <w:hideMark/>
          </w:tcPr>
          <w:p w14:paraId="45D8D451"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MEDIOS DE VERIFICACIÓN</w:t>
            </w:r>
          </w:p>
        </w:tc>
        <w:tc>
          <w:tcPr>
            <w:tcW w:w="2127" w:type="dxa"/>
            <w:tcBorders>
              <w:top w:val="nil"/>
              <w:left w:val="nil"/>
              <w:bottom w:val="single" w:sz="4" w:space="0" w:color="auto"/>
              <w:right w:val="single" w:sz="4" w:space="0" w:color="auto"/>
            </w:tcBorders>
            <w:shd w:val="clear" w:color="000000" w:fill="BFBFBF"/>
            <w:vAlign w:val="center"/>
            <w:hideMark/>
          </w:tcPr>
          <w:p w14:paraId="2A560264"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SUPUESTO</w:t>
            </w:r>
          </w:p>
        </w:tc>
      </w:tr>
      <w:tr w:rsidR="00E23746" w:rsidRPr="00FD08F8" w14:paraId="39486728" w14:textId="77777777" w:rsidTr="006B434D">
        <w:trPr>
          <w:trHeight w:val="2639"/>
        </w:trPr>
        <w:tc>
          <w:tcPr>
            <w:tcW w:w="1271" w:type="dxa"/>
            <w:tcBorders>
              <w:top w:val="single" w:sz="4" w:space="0" w:color="auto"/>
              <w:left w:val="single" w:sz="4" w:space="0" w:color="auto"/>
              <w:bottom w:val="single" w:sz="4" w:space="0" w:color="auto"/>
              <w:right w:val="single" w:sz="4" w:space="0" w:color="auto"/>
            </w:tcBorders>
            <w:shd w:val="clear" w:color="auto" w:fill="auto"/>
            <w:hideMark/>
          </w:tcPr>
          <w:p w14:paraId="4E26F3A0"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Fin</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475D14F8" w14:textId="77777777" w:rsidR="00E23746" w:rsidRPr="00F5562C" w:rsidRDefault="00E23746" w:rsidP="000B2F10">
            <w:pPr>
              <w:rPr>
                <w:rFonts w:cs="Arial"/>
                <w:sz w:val="20"/>
                <w:szCs w:val="20"/>
              </w:rPr>
            </w:pPr>
            <w:r w:rsidRPr="00F5562C">
              <w:rPr>
                <w:rFonts w:cs="Arial"/>
                <w:sz w:val="20"/>
                <w:szCs w:val="20"/>
              </w:rPr>
              <w:t>Garantizar el acceso y permanencia a una educación inclusiva y de calidad en todos los niveles educativos que promueva en los educandos aprendizajes para la vida.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8FA51BF" w14:textId="77777777" w:rsidR="00E23746" w:rsidRPr="00F5562C" w:rsidRDefault="00E23746" w:rsidP="000B2F10">
            <w:pPr>
              <w:rPr>
                <w:rFonts w:cs="Arial"/>
                <w:sz w:val="20"/>
                <w:szCs w:val="20"/>
              </w:rPr>
            </w:pPr>
            <w:r w:rsidRPr="00F5562C">
              <w:rPr>
                <w:rFonts w:cs="Arial"/>
                <w:sz w:val="20"/>
                <w:szCs w:val="20"/>
              </w:rPr>
              <w:t xml:space="preserve">F - </w:t>
            </w:r>
            <w:r w:rsidRPr="001C646D">
              <w:rPr>
                <w:rFonts w:cs="Arial"/>
                <w:sz w:val="20"/>
                <w:szCs w:val="20"/>
              </w:rPr>
              <w:t>Contribuir a garantizar el acceso y permanencia a una educación inclusiva y de calidad en todos los niveles educativos que promueva en los educandos aprendizajes para la vida mediante estrategias de atención a la demanda y permanencia en todos los niveles educativos</w:t>
            </w:r>
            <w:r w:rsidRPr="00F5562C">
              <w:rPr>
                <w:rFonts w:cs="Arial"/>
                <w:sz w:val="20"/>
                <w:szCs w:val="20"/>
              </w:rPr>
              <w:t>.</w:t>
            </w:r>
          </w:p>
        </w:tc>
        <w:tc>
          <w:tcPr>
            <w:tcW w:w="2268" w:type="dxa"/>
            <w:tcBorders>
              <w:top w:val="single" w:sz="4" w:space="0" w:color="auto"/>
              <w:left w:val="single" w:sz="4" w:space="0" w:color="auto"/>
              <w:bottom w:val="single" w:sz="4" w:space="0" w:color="auto"/>
              <w:right w:val="single" w:sz="4" w:space="0" w:color="auto"/>
            </w:tcBorders>
            <w:shd w:val="clear" w:color="FFFFFF" w:fill="FFFFFF"/>
            <w:hideMark/>
          </w:tcPr>
          <w:p w14:paraId="161EFC8F" w14:textId="77777777" w:rsidR="00E23746" w:rsidRPr="00F5562C" w:rsidRDefault="00E23746" w:rsidP="000B2F10">
            <w:pPr>
              <w:rPr>
                <w:rFonts w:cs="Arial"/>
                <w:sz w:val="20"/>
                <w:szCs w:val="20"/>
              </w:rPr>
            </w:pPr>
            <w:r w:rsidRPr="00F5562C">
              <w:rPr>
                <w:rFonts w:cs="Arial"/>
                <w:sz w:val="20"/>
                <w:szCs w:val="20"/>
              </w:rPr>
              <w:t>Tasa de cobertura estatal de educación superior.</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3DCBAA34" w14:textId="77777777" w:rsidR="00E23746" w:rsidRPr="00F5562C" w:rsidRDefault="00E23746" w:rsidP="000B2F10">
            <w:pPr>
              <w:rPr>
                <w:rFonts w:cs="Arial"/>
                <w:sz w:val="20"/>
                <w:szCs w:val="20"/>
              </w:rPr>
            </w:pPr>
            <w:r w:rsidRPr="00846E84">
              <w:rPr>
                <w:rFonts w:eastAsia="Times New Roman" w:cs="Arial"/>
                <w:sz w:val="20"/>
                <w:szCs w:val="20"/>
                <w:lang w:val="es-MX" w:eastAsia="es-MX"/>
              </w:rPr>
              <w:t>Estadísticas continúas del formato 911, matrícula de inicio de ciclo escolar, SEQ. Proyecciones de población por edad desplegada, entidad federativa (Quintana Roo) 1970-2050</w:t>
            </w:r>
            <w:r w:rsidRPr="00895E73">
              <w:rPr>
                <w:rFonts w:eastAsia="Times New Roman" w:cs="Arial"/>
                <w:sz w:val="18"/>
                <w:szCs w:val="20"/>
                <w:lang w:val="es-MX" w:eastAsia="es-MX"/>
              </w:rPr>
              <w:t>, CONAPO, https://qroo.gob.mx/seq/medios-de-verificacion-de-la-planeacion-anual.</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14:paraId="494D65D5" w14:textId="77777777" w:rsidR="00E23746" w:rsidRPr="00F5562C" w:rsidRDefault="00E23746" w:rsidP="000B2F10">
            <w:pPr>
              <w:rPr>
                <w:rFonts w:cs="Arial"/>
                <w:sz w:val="20"/>
                <w:szCs w:val="20"/>
              </w:rPr>
            </w:pPr>
            <w:r w:rsidRPr="00F5562C">
              <w:rPr>
                <w:rFonts w:cs="Arial"/>
                <w:sz w:val="20"/>
                <w:szCs w:val="20"/>
              </w:rPr>
              <w:t>La población del Estado obtiene una educación integral de calidad que les permite progresar individual y colectivamente.</w:t>
            </w:r>
          </w:p>
        </w:tc>
      </w:tr>
      <w:tr w:rsidR="00E23746" w:rsidRPr="00C4101B" w14:paraId="0E114254" w14:textId="77777777" w:rsidTr="006B434D">
        <w:trPr>
          <w:trHeight w:val="550"/>
        </w:trPr>
        <w:tc>
          <w:tcPr>
            <w:tcW w:w="1271" w:type="dxa"/>
            <w:tcBorders>
              <w:top w:val="single" w:sz="4" w:space="0" w:color="auto"/>
              <w:left w:val="single" w:sz="4" w:space="0" w:color="auto"/>
              <w:bottom w:val="single" w:sz="4" w:space="0" w:color="auto"/>
              <w:right w:val="single" w:sz="4" w:space="0" w:color="auto"/>
            </w:tcBorders>
            <w:shd w:val="clear" w:color="auto" w:fill="auto"/>
            <w:hideMark/>
          </w:tcPr>
          <w:p w14:paraId="29AA4E03"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Propósito</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57F92D3" w14:textId="77777777" w:rsidR="00E23746" w:rsidRPr="00895E73" w:rsidRDefault="00E23746" w:rsidP="000B2F10">
            <w:pPr>
              <w:rPr>
                <w:rFonts w:cs="Arial"/>
                <w:sz w:val="18"/>
                <w:szCs w:val="20"/>
              </w:rPr>
            </w:pPr>
            <w:r w:rsidRPr="00895E73">
              <w:rPr>
                <w:rFonts w:cs="Arial"/>
                <w:sz w:val="18"/>
                <w:szCs w:val="20"/>
              </w:rPr>
              <w:t>Asegurar la calidad de la formación profesional a través de programas y proyectos que favorezcan la continuidad y conclusión de los estudiantes de educación superior, acorde a las necesidades que requiere el desarrollo social y económico del estado.</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A3051F1" w14:textId="77777777" w:rsidR="00E23746" w:rsidRPr="00F5562C" w:rsidRDefault="00E23746" w:rsidP="000B2F10">
            <w:pPr>
              <w:rPr>
                <w:rFonts w:cs="Arial"/>
                <w:sz w:val="20"/>
                <w:szCs w:val="20"/>
              </w:rPr>
            </w:pPr>
            <w:r w:rsidRPr="00F5562C">
              <w:rPr>
                <w:rFonts w:cs="Arial"/>
                <w:sz w:val="20"/>
                <w:szCs w:val="20"/>
              </w:rPr>
              <w:t>P - Los alumnos de educación superior aseguran la continuidad y conclusión de sus estudios a través de programas y proyectos que favorezcan la calidad de la formación profesional.</w:t>
            </w:r>
          </w:p>
        </w:tc>
        <w:tc>
          <w:tcPr>
            <w:tcW w:w="2268" w:type="dxa"/>
            <w:tcBorders>
              <w:top w:val="single" w:sz="4" w:space="0" w:color="auto"/>
              <w:left w:val="single" w:sz="4" w:space="0" w:color="auto"/>
              <w:bottom w:val="single" w:sz="4" w:space="0" w:color="auto"/>
              <w:right w:val="single" w:sz="4" w:space="0" w:color="auto"/>
            </w:tcBorders>
            <w:shd w:val="clear" w:color="FFFFFF" w:fill="FFFFFF"/>
            <w:hideMark/>
          </w:tcPr>
          <w:p w14:paraId="7AC4413F" w14:textId="77777777" w:rsidR="00E23746" w:rsidRPr="00F5562C" w:rsidRDefault="00E23746" w:rsidP="000B2F10">
            <w:pPr>
              <w:rPr>
                <w:rFonts w:cs="Arial"/>
                <w:sz w:val="20"/>
                <w:szCs w:val="20"/>
              </w:rPr>
            </w:pPr>
            <w:r w:rsidRPr="00F5562C">
              <w:rPr>
                <w:rFonts w:cs="Arial"/>
                <w:sz w:val="20"/>
                <w:szCs w:val="20"/>
              </w:rPr>
              <w:t>Tasa de eficiencia terminal de educación superior.</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5607FEA7" w14:textId="77777777" w:rsidR="00E23746" w:rsidRPr="00F5562C" w:rsidRDefault="00E23746" w:rsidP="000B2F10">
            <w:pPr>
              <w:rPr>
                <w:rFonts w:cs="Arial"/>
                <w:sz w:val="20"/>
                <w:szCs w:val="20"/>
              </w:rPr>
            </w:pPr>
            <w:r w:rsidRPr="00F5562C">
              <w:rPr>
                <w:rFonts w:cs="Arial"/>
                <w:sz w:val="20"/>
                <w:szCs w:val="20"/>
              </w:rPr>
              <w:t>Estadísticas continúas del formato 911 inicio de ciclo escolar, SEQ.Liga:qroo.gob.mx/seq/medios-de-verificacion-de-la-planeacion-anual.</w:t>
            </w:r>
          </w:p>
        </w:tc>
        <w:tc>
          <w:tcPr>
            <w:tcW w:w="2127" w:type="dxa"/>
            <w:tcBorders>
              <w:top w:val="single" w:sz="4" w:space="0" w:color="auto"/>
              <w:left w:val="single" w:sz="4" w:space="0" w:color="auto"/>
              <w:bottom w:val="single" w:sz="4" w:space="0" w:color="auto"/>
              <w:right w:val="single" w:sz="4" w:space="0" w:color="auto"/>
            </w:tcBorders>
            <w:shd w:val="clear" w:color="FFFFFF" w:fill="FFFFFF"/>
            <w:hideMark/>
          </w:tcPr>
          <w:p w14:paraId="0BC134BF" w14:textId="77777777" w:rsidR="00E23746" w:rsidRPr="00F5562C" w:rsidRDefault="00E23746" w:rsidP="000B2F10">
            <w:pPr>
              <w:rPr>
                <w:rFonts w:cs="Arial"/>
                <w:sz w:val="20"/>
                <w:szCs w:val="20"/>
              </w:rPr>
            </w:pPr>
            <w:r w:rsidRPr="00F5562C">
              <w:rPr>
                <w:rFonts w:cs="Arial"/>
                <w:sz w:val="20"/>
                <w:szCs w:val="20"/>
              </w:rPr>
              <w:t>Los alumnos de educación superior concluyen sus estudios.</w:t>
            </w:r>
          </w:p>
        </w:tc>
      </w:tr>
    </w:tbl>
    <w:p w14:paraId="66FCDE03" w14:textId="77777777" w:rsidR="00D36037" w:rsidRDefault="00D36037">
      <w:pPr>
        <w:spacing w:after="0" w:line="240" w:lineRule="auto"/>
        <w:jc w:val="left"/>
      </w:pPr>
      <w:r>
        <w:br w:type="page"/>
      </w:r>
    </w:p>
    <w:tbl>
      <w:tblPr>
        <w:tblW w:w="14029" w:type="dxa"/>
        <w:tblLayout w:type="fixed"/>
        <w:tblCellMar>
          <w:left w:w="70" w:type="dxa"/>
          <w:right w:w="70" w:type="dxa"/>
        </w:tblCellMar>
        <w:tblLook w:val="04A0" w:firstRow="1" w:lastRow="0" w:firstColumn="1" w:lastColumn="0" w:noHBand="0" w:noVBand="1"/>
      </w:tblPr>
      <w:tblGrid>
        <w:gridCol w:w="1413"/>
        <w:gridCol w:w="2693"/>
        <w:gridCol w:w="2835"/>
        <w:gridCol w:w="2268"/>
        <w:gridCol w:w="2693"/>
        <w:gridCol w:w="2127"/>
      </w:tblGrid>
      <w:tr w:rsidR="00E23746" w:rsidRPr="00FD08F8" w14:paraId="012650C7" w14:textId="77777777" w:rsidTr="006E6535">
        <w:trPr>
          <w:trHeight w:val="613"/>
        </w:trPr>
        <w:tc>
          <w:tcPr>
            <w:tcW w:w="1413"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472A5A2C"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lastRenderedPageBreak/>
              <w:t>NIVEL</w:t>
            </w:r>
          </w:p>
        </w:tc>
        <w:tc>
          <w:tcPr>
            <w:tcW w:w="2693" w:type="dxa"/>
            <w:tcBorders>
              <w:top w:val="single" w:sz="4" w:space="0" w:color="auto"/>
              <w:left w:val="nil"/>
              <w:bottom w:val="single" w:sz="4" w:space="0" w:color="auto"/>
              <w:right w:val="single" w:sz="4" w:space="0" w:color="auto"/>
            </w:tcBorders>
            <w:shd w:val="clear" w:color="000000" w:fill="BFBFBF"/>
            <w:vAlign w:val="center"/>
            <w:hideMark/>
          </w:tcPr>
          <w:p w14:paraId="3ED212AA"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ALINEACIÓN PED/PD</w:t>
            </w:r>
          </w:p>
        </w:tc>
        <w:tc>
          <w:tcPr>
            <w:tcW w:w="2835" w:type="dxa"/>
            <w:tcBorders>
              <w:top w:val="single" w:sz="4" w:space="0" w:color="auto"/>
              <w:left w:val="nil"/>
              <w:bottom w:val="single" w:sz="4" w:space="0" w:color="auto"/>
              <w:right w:val="single" w:sz="4" w:space="0" w:color="auto"/>
            </w:tcBorders>
            <w:shd w:val="clear" w:color="000000" w:fill="BFBFBF"/>
            <w:vAlign w:val="center"/>
            <w:hideMark/>
          </w:tcPr>
          <w:p w14:paraId="1C22E4F1"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OBJETIVO</w:t>
            </w:r>
          </w:p>
        </w:tc>
        <w:tc>
          <w:tcPr>
            <w:tcW w:w="2268" w:type="dxa"/>
            <w:tcBorders>
              <w:top w:val="single" w:sz="4" w:space="0" w:color="auto"/>
              <w:left w:val="nil"/>
              <w:bottom w:val="single" w:sz="4" w:space="0" w:color="auto"/>
              <w:right w:val="single" w:sz="4" w:space="0" w:color="auto"/>
            </w:tcBorders>
            <w:shd w:val="clear" w:color="000000" w:fill="BFBFBF"/>
            <w:vAlign w:val="center"/>
            <w:hideMark/>
          </w:tcPr>
          <w:p w14:paraId="01B5BB96"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INDICADOR</w:t>
            </w:r>
          </w:p>
        </w:tc>
        <w:tc>
          <w:tcPr>
            <w:tcW w:w="2693" w:type="dxa"/>
            <w:tcBorders>
              <w:top w:val="single" w:sz="4" w:space="0" w:color="auto"/>
              <w:left w:val="nil"/>
              <w:bottom w:val="single" w:sz="4" w:space="0" w:color="auto"/>
              <w:right w:val="single" w:sz="4" w:space="0" w:color="auto"/>
            </w:tcBorders>
            <w:shd w:val="clear" w:color="000000" w:fill="BFBFBF"/>
            <w:vAlign w:val="center"/>
            <w:hideMark/>
          </w:tcPr>
          <w:p w14:paraId="33EA084A"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MEDIOS DE VERIFICACIÓN</w:t>
            </w:r>
          </w:p>
        </w:tc>
        <w:tc>
          <w:tcPr>
            <w:tcW w:w="2127" w:type="dxa"/>
            <w:tcBorders>
              <w:top w:val="single" w:sz="4" w:space="0" w:color="auto"/>
              <w:left w:val="nil"/>
              <w:bottom w:val="single" w:sz="4" w:space="0" w:color="auto"/>
              <w:right w:val="single" w:sz="4" w:space="0" w:color="auto"/>
            </w:tcBorders>
            <w:shd w:val="clear" w:color="000000" w:fill="BFBFBF"/>
            <w:vAlign w:val="center"/>
            <w:hideMark/>
          </w:tcPr>
          <w:p w14:paraId="344CCB77"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SUPUESTO</w:t>
            </w:r>
          </w:p>
        </w:tc>
      </w:tr>
      <w:tr w:rsidR="00E23746" w:rsidRPr="00FD08F8" w14:paraId="0A3E5D69" w14:textId="77777777" w:rsidTr="006E6535">
        <w:trPr>
          <w:trHeight w:val="2057"/>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14:paraId="35F58CC7"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Componente</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282687C3" w14:textId="77777777" w:rsidR="00E23746" w:rsidRPr="00F5562C" w:rsidRDefault="00E23746" w:rsidP="000B2F10">
            <w:pPr>
              <w:rPr>
                <w:rFonts w:cs="Arial"/>
                <w:sz w:val="20"/>
                <w:szCs w:val="20"/>
              </w:rPr>
            </w:pPr>
            <w:r w:rsidRPr="00F5562C">
              <w:rPr>
                <w:rFonts w:cs="Arial"/>
                <w:sz w:val="20"/>
                <w:szCs w:val="20"/>
              </w:rPr>
              <w:t>Fortalecer la oferta educativa de las instituciones de educación superior para asegurar la pertinencia con base en las necesidades de la entidad.</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932FE22" w14:textId="77777777" w:rsidR="00E23746" w:rsidRPr="00F5562C" w:rsidRDefault="00E23746" w:rsidP="000B2F10">
            <w:pPr>
              <w:rPr>
                <w:rFonts w:cs="Arial"/>
                <w:sz w:val="20"/>
                <w:szCs w:val="20"/>
              </w:rPr>
            </w:pPr>
            <w:r w:rsidRPr="00574DAC">
              <w:rPr>
                <w:rFonts w:cs="Arial"/>
                <w:sz w:val="20"/>
                <w:szCs w:val="20"/>
              </w:rPr>
              <w:t>C01</w:t>
            </w:r>
            <w:r>
              <w:rPr>
                <w:rFonts w:cs="Arial"/>
                <w:sz w:val="20"/>
                <w:szCs w:val="20"/>
              </w:rPr>
              <w:t xml:space="preserve"> </w:t>
            </w:r>
            <w:r w:rsidRPr="00574DAC">
              <w:rPr>
                <w:rFonts w:cs="Arial"/>
                <w:sz w:val="20"/>
                <w:szCs w:val="20"/>
              </w:rPr>
              <w:t xml:space="preserve">- </w:t>
            </w:r>
            <w:r w:rsidRPr="00F5562C">
              <w:rPr>
                <w:rFonts w:cs="Arial"/>
                <w:sz w:val="20"/>
                <w:szCs w:val="20"/>
              </w:rPr>
              <w:t>Educación superior con calidad y pertinencia impartida.</w:t>
            </w:r>
          </w:p>
        </w:tc>
        <w:tc>
          <w:tcPr>
            <w:tcW w:w="2268" w:type="dxa"/>
            <w:tcBorders>
              <w:top w:val="single" w:sz="4" w:space="0" w:color="auto"/>
              <w:left w:val="single" w:sz="4" w:space="0" w:color="auto"/>
              <w:bottom w:val="single" w:sz="4" w:space="0" w:color="auto"/>
              <w:right w:val="single" w:sz="4" w:space="0" w:color="auto"/>
            </w:tcBorders>
            <w:shd w:val="clear" w:color="FFFFFF" w:fill="FFFFFF"/>
            <w:hideMark/>
          </w:tcPr>
          <w:p w14:paraId="644C4454" w14:textId="77777777" w:rsidR="00E23746" w:rsidRPr="00F5562C" w:rsidRDefault="00E23746" w:rsidP="000B2F10">
            <w:pPr>
              <w:rPr>
                <w:rFonts w:cs="Arial"/>
                <w:sz w:val="20"/>
                <w:szCs w:val="20"/>
              </w:rPr>
            </w:pPr>
            <w:r w:rsidRPr="00574DAC">
              <w:rPr>
                <w:rFonts w:cs="Arial"/>
                <w:sz w:val="20"/>
                <w:szCs w:val="20"/>
              </w:rPr>
              <w:t>C01</w:t>
            </w:r>
            <w:r>
              <w:rPr>
                <w:rFonts w:cs="Arial"/>
                <w:sz w:val="20"/>
                <w:szCs w:val="20"/>
              </w:rPr>
              <w:t xml:space="preserve"> </w:t>
            </w:r>
            <w:r w:rsidRPr="00574DAC">
              <w:rPr>
                <w:rFonts w:cs="Arial"/>
                <w:sz w:val="20"/>
                <w:szCs w:val="20"/>
              </w:rPr>
              <w:t xml:space="preserve">- </w:t>
            </w:r>
            <w:r w:rsidRPr="00F5562C">
              <w:rPr>
                <w:rFonts w:cs="Arial"/>
                <w:sz w:val="20"/>
                <w:szCs w:val="20"/>
              </w:rPr>
              <w:t>Matrícula atendida.</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5CE62C85" w14:textId="77777777" w:rsidR="00E23746" w:rsidRPr="00F5562C" w:rsidRDefault="00E23746" w:rsidP="000B2F10">
            <w:pPr>
              <w:rPr>
                <w:rFonts w:cs="Arial"/>
                <w:sz w:val="20"/>
                <w:szCs w:val="20"/>
              </w:rPr>
            </w:pPr>
            <w:r w:rsidRPr="00F5562C">
              <w:rPr>
                <w:rFonts w:cs="Arial"/>
                <w:sz w:val="20"/>
                <w:szCs w:val="20"/>
              </w:rPr>
              <w:t>Estadísticas actualizadas formato 911 inicio de ciclo escolar. Acceso en el portal web de la Institución para su consulta en línea.</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14:paraId="0546DAA3" w14:textId="77777777" w:rsidR="00E23746" w:rsidRPr="00F5562C" w:rsidRDefault="00E23746" w:rsidP="000B2F10">
            <w:pPr>
              <w:rPr>
                <w:rFonts w:cs="Arial"/>
                <w:sz w:val="20"/>
                <w:szCs w:val="20"/>
              </w:rPr>
            </w:pPr>
            <w:r w:rsidRPr="00F5562C">
              <w:rPr>
                <w:rFonts w:cs="Arial"/>
                <w:sz w:val="20"/>
                <w:szCs w:val="20"/>
              </w:rPr>
              <w:t>Los estudiantes que egresan del nivel educativo medio superior continúan sus estudios de tipo superior en la Entidad.</w:t>
            </w:r>
          </w:p>
        </w:tc>
      </w:tr>
      <w:tr w:rsidR="00E23746" w:rsidRPr="00FD08F8" w14:paraId="0BD32CEF" w14:textId="77777777" w:rsidTr="006E6535">
        <w:trPr>
          <w:trHeight w:val="1620"/>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14:paraId="15922F7B"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Actividad</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24344D37" w14:textId="77777777" w:rsidR="00E23746" w:rsidRPr="00F5562C" w:rsidRDefault="00E23746" w:rsidP="000B2F10">
            <w:pPr>
              <w:rPr>
                <w:rFonts w:cs="Arial"/>
                <w:sz w:val="20"/>
                <w:szCs w:val="20"/>
              </w:rPr>
            </w:pPr>
            <w:r w:rsidRPr="00F5562C">
              <w:rPr>
                <w:rFonts w:cs="Arial"/>
                <w:sz w:val="20"/>
                <w:szCs w:val="20"/>
              </w:rPr>
              <w:t>Desarrollar una estrategia integral que permita ampliar la cobertura educativa de nivel medio superior y superior en las instituciones públicas.</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582EE0F" w14:textId="77777777" w:rsidR="00E23746" w:rsidRPr="00F5562C" w:rsidRDefault="00E23746" w:rsidP="000B2F10">
            <w:pPr>
              <w:rPr>
                <w:rFonts w:cs="Arial"/>
                <w:sz w:val="20"/>
                <w:szCs w:val="20"/>
              </w:rPr>
            </w:pPr>
            <w:r w:rsidRPr="00574DAC">
              <w:rPr>
                <w:rFonts w:cs="Arial"/>
                <w:sz w:val="20"/>
                <w:szCs w:val="20"/>
              </w:rPr>
              <w:t xml:space="preserve">C01.A01 - </w:t>
            </w:r>
            <w:r w:rsidRPr="00F5562C">
              <w:rPr>
                <w:rFonts w:cs="Arial"/>
                <w:sz w:val="20"/>
                <w:szCs w:val="20"/>
              </w:rPr>
              <w:t>Promoción de la oferta educativa de la UPQROO para mejorar la captación, mediante ferias de orientación vocacional y medios de comunicación tradicionales y digitales.</w:t>
            </w:r>
          </w:p>
        </w:tc>
        <w:tc>
          <w:tcPr>
            <w:tcW w:w="2268" w:type="dxa"/>
            <w:tcBorders>
              <w:top w:val="single" w:sz="4" w:space="0" w:color="auto"/>
              <w:left w:val="single" w:sz="4" w:space="0" w:color="auto"/>
              <w:bottom w:val="single" w:sz="4" w:space="0" w:color="auto"/>
              <w:right w:val="single" w:sz="4" w:space="0" w:color="auto"/>
            </w:tcBorders>
            <w:shd w:val="clear" w:color="FFFFFF" w:fill="FFFFFF"/>
            <w:hideMark/>
          </w:tcPr>
          <w:p w14:paraId="0AF355F9" w14:textId="77777777" w:rsidR="00E23746" w:rsidRPr="00F5562C" w:rsidRDefault="00E23746" w:rsidP="000B2F10">
            <w:pPr>
              <w:rPr>
                <w:rFonts w:cs="Arial"/>
                <w:sz w:val="20"/>
                <w:szCs w:val="20"/>
              </w:rPr>
            </w:pPr>
            <w:r w:rsidRPr="00574DAC">
              <w:rPr>
                <w:rFonts w:cs="Arial"/>
                <w:sz w:val="20"/>
                <w:szCs w:val="20"/>
              </w:rPr>
              <w:t xml:space="preserve">C01A01 - </w:t>
            </w:r>
            <w:r w:rsidRPr="00F5562C">
              <w:rPr>
                <w:rFonts w:cs="Arial"/>
                <w:sz w:val="20"/>
                <w:szCs w:val="20"/>
              </w:rPr>
              <w:t>Tasa de variación de alumnos de nuevo ingreso.</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3435DE7D" w14:textId="77777777" w:rsidR="00E23746" w:rsidRPr="00F5562C" w:rsidRDefault="00E23746" w:rsidP="000B2F10">
            <w:pPr>
              <w:rPr>
                <w:rFonts w:cs="Arial"/>
                <w:sz w:val="20"/>
                <w:szCs w:val="20"/>
              </w:rPr>
            </w:pPr>
            <w:r w:rsidRPr="00F5562C">
              <w:rPr>
                <w:rFonts w:cs="Arial"/>
                <w:sz w:val="20"/>
                <w:szCs w:val="20"/>
              </w:rPr>
              <w:t>Listado de alumnos de nuevo ingreso inscritos. Acceso en el portal web de la Institución para su consulta en línea.</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14:paraId="11A5419F" w14:textId="77777777" w:rsidR="00E23746" w:rsidRPr="00F5562C" w:rsidRDefault="00E23746" w:rsidP="000B2F10">
            <w:pPr>
              <w:rPr>
                <w:rFonts w:cs="Arial"/>
                <w:sz w:val="20"/>
                <w:szCs w:val="20"/>
              </w:rPr>
            </w:pPr>
            <w:r w:rsidRPr="00F5562C">
              <w:rPr>
                <w:rFonts w:cs="Arial"/>
                <w:sz w:val="20"/>
                <w:szCs w:val="20"/>
              </w:rPr>
              <w:t>Los estudiantes de nivel medio superior quieren ingresar a la UPQROO.</w:t>
            </w:r>
          </w:p>
        </w:tc>
      </w:tr>
      <w:tr w:rsidR="00E23746" w:rsidRPr="00FD08F8" w14:paraId="610B547D" w14:textId="77777777" w:rsidTr="006E6535">
        <w:trPr>
          <w:trHeight w:val="1685"/>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14:paraId="3F6F7AD5"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Componente</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32C80516" w14:textId="77777777" w:rsidR="00E23746" w:rsidRPr="00F5562C" w:rsidRDefault="00E23746" w:rsidP="000B2F10">
            <w:pPr>
              <w:rPr>
                <w:rFonts w:cs="Arial"/>
                <w:sz w:val="20"/>
                <w:szCs w:val="20"/>
              </w:rPr>
            </w:pPr>
            <w:r w:rsidRPr="00F5562C">
              <w:rPr>
                <w:rFonts w:cs="Arial"/>
                <w:sz w:val="20"/>
                <w:szCs w:val="20"/>
              </w:rPr>
              <w:t>Impulsar la acreditación y evaluación de los planes y programas de estudio de educación superior por organismos externos reconocidos a nivel nacional e internacional.</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3E77F050" w14:textId="77777777" w:rsidR="00E23746" w:rsidRPr="00F5562C" w:rsidRDefault="00E23746" w:rsidP="000B2F10">
            <w:pPr>
              <w:rPr>
                <w:rFonts w:cs="Arial"/>
                <w:sz w:val="20"/>
                <w:szCs w:val="20"/>
              </w:rPr>
            </w:pPr>
            <w:r w:rsidRPr="00574DAC">
              <w:rPr>
                <w:rFonts w:cs="Arial"/>
                <w:sz w:val="20"/>
                <w:szCs w:val="20"/>
              </w:rPr>
              <w:t xml:space="preserve">C02 - </w:t>
            </w:r>
            <w:r w:rsidRPr="00F5562C">
              <w:rPr>
                <w:rFonts w:cs="Arial"/>
                <w:sz w:val="20"/>
                <w:szCs w:val="20"/>
              </w:rPr>
              <w:t>Programas Educativos Evaluables de calidad ofertados.</w:t>
            </w:r>
          </w:p>
        </w:tc>
        <w:tc>
          <w:tcPr>
            <w:tcW w:w="2268" w:type="dxa"/>
            <w:tcBorders>
              <w:top w:val="single" w:sz="4" w:space="0" w:color="auto"/>
              <w:left w:val="single" w:sz="4" w:space="0" w:color="auto"/>
              <w:bottom w:val="single" w:sz="4" w:space="0" w:color="auto"/>
              <w:right w:val="single" w:sz="4" w:space="0" w:color="auto"/>
            </w:tcBorders>
            <w:shd w:val="clear" w:color="FFFFFF" w:fill="FFFFFF"/>
            <w:hideMark/>
          </w:tcPr>
          <w:p w14:paraId="1A4B064E" w14:textId="77777777" w:rsidR="00E23746" w:rsidRPr="00F5562C" w:rsidRDefault="00E23746" w:rsidP="000B2F10">
            <w:pPr>
              <w:rPr>
                <w:rFonts w:cs="Arial"/>
                <w:sz w:val="20"/>
                <w:szCs w:val="20"/>
              </w:rPr>
            </w:pPr>
            <w:r w:rsidRPr="00574DAC">
              <w:rPr>
                <w:rFonts w:cs="Arial"/>
                <w:sz w:val="20"/>
                <w:szCs w:val="20"/>
              </w:rPr>
              <w:t xml:space="preserve">C02 - </w:t>
            </w:r>
            <w:r w:rsidRPr="00F5562C">
              <w:rPr>
                <w:rFonts w:cs="Arial"/>
                <w:sz w:val="20"/>
                <w:szCs w:val="20"/>
              </w:rPr>
              <w:t>Porcentaje de Programas Educativos de Calidad.</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4B3D9EA0" w14:textId="77777777" w:rsidR="00E23746" w:rsidRPr="00F5562C" w:rsidRDefault="00E23746" w:rsidP="000B2F10">
            <w:pPr>
              <w:rPr>
                <w:rFonts w:cs="Arial"/>
                <w:sz w:val="20"/>
                <w:szCs w:val="20"/>
              </w:rPr>
            </w:pPr>
            <w:r w:rsidRPr="00F5562C">
              <w:rPr>
                <w:rFonts w:cs="Arial"/>
                <w:sz w:val="20"/>
                <w:szCs w:val="20"/>
              </w:rPr>
              <w:t>Certificado o constancia de los organismos evaluadores y/o padrón emitido por la DGESU y/o Subsecretaría de Educación Superior.</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14:paraId="15FB341F" w14:textId="77777777" w:rsidR="00E23746" w:rsidRPr="00F5562C" w:rsidRDefault="00E23746" w:rsidP="000B2F10">
            <w:pPr>
              <w:rPr>
                <w:rFonts w:cs="Arial"/>
                <w:sz w:val="20"/>
                <w:szCs w:val="20"/>
              </w:rPr>
            </w:pPr>
            <w:r w:rsidRPr="00F5562C">
              <w:rPr>
                <w:rFonts w:cs="Arial"/>
                <w:sz w:val="20"/>
                <w:szCs w:val="20"/>
              </w:rPr>
              <w:t>La Calidad de la Educación Superior continúa siendo prioridad Nacional.</w:t>
            </w:r>
          </w:p>
        </w:tc>
      </w:tr>
      <w:tr w:rsidR="00E23746" w:rsidRPr="00FD08F8" w14:paraId="5D839C88" w14:textId="77777777" w:rsidTr="006E6535">
        <w:trPr>
          <w:trHeight w:val="1029"/>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14:paraId="0AB52757"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Actividad</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62B2E59B" w14:textId="77777777" w:rsidR="00E23746" w:rsidRPr="00AF5E6A" w:rsidRDefault="00E23746" w:rsidP="000B2F10">
            <w:pPr>
              <w:rPr>
                <w:rFonts w:cs="Arial"/>
                <w:sz w:val="18"/>
                <w:szCs w:val="20"/>
              </w:rPr>
            </w:pPr>
            <w:r w:rsidRPr="00AF5E6A">
              <w:rPr>
                <w:rFonts w:cs="Arial"/>
                <w:sz w:val="18"/>
                <w:szCs w:val="20"/>
              </w:rPr>
              <w:t>Acreditar los planes y programas de educación superior a fin de garantizar su calidad.</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41F6393" w14:textId="77777777" w:rsidR="00E23746" w:rsidRPr="00AF5E6A" w:rsidRDefault="00E23746" w:rsidP="000B2F10">
            <w:pPr>
              <w:rPr>
                <w:rFonts w:cs="Arial"/>
                <w:sz w:val="18"/>
                <w:szCs w:val="20"/>
              </w:rPr>
            </w:pPr>
            <w:r w:rsidRPr="00AF5E6A">
              <w:rPr>
                <w:rFonts w:cs="Arial"/>
                <w:sz w:val="18"/>
                <w:szCs w:val="20"/>
              </w:rPr>
              <w:t>C02.A01 - Capacitación docente para garantizar la calidad en la enseñanza.</w:t>
            </w:r>
          </w:p>
        </w:tc>
        <w:tc>
          <w:tcPr>
            <w:tcW w:w="2268" w:type="dxa"/>
            <w:tcBorders>
              <w:top w:val="single" w:sz="4" w:space="0" w:color="auto"/>
              <w:left w:val="single" w:sz="4" w:space="0" w:color="auto"/>
              <w:bottom w:val="single" w:sz="4" w:space="0" w:color="auto"/>
              <w:right w:val="single" w:sz="4" w:space="0" w:color="auto"/>
            </w:tcBorders>
            <w:shd w:val="clear" w:color="FFFFFF" w:fill="FFFFFF"/>
            <w:hideMark/>
          </w:tcPr>
          <w:p w14:paraId="433B9FF8" w14:textId="77777777" w:rsidR="00E23746" w:rsidRPr="00AF5E6A" w:rsidRDefault="00E23746" w:rsidP="000B2F10">
            <w:pPr>
              <w:rPr>
                <w:rFonts w:cs="Arial"/>
                <w:sz w:val="18"/>
                <w:szCs w:val="20"/>
              </w:rPr>
            </w:pPr>
            <w:r w:rsidRPr="00AF5E6A">
              <w:rPr>
                <w:rFonts w:cs="Arial"/>
                <w:sz w:val="18"/>
                <w:szCs w:val="20"/>
              </w:rPr>
              <w:t>C02A01 - Porcentaje de docentes capacitados.</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6174D551" w14:textId="77777777" w:rsidR="00E23746" w:rsidRPr="00AF5E6A" w:rsidRDefault="00E23746" w:rsidP="000B2F10">
            <w:pPr>
              <w:rPr>
                <w:rFonts w:cs="Arial"/>
                <w:sz w:val="18"/>
                <w:szCs w:val="20"/>
              </w:rPr>
            </w:pPr>
            <w:r w:rsidRPr="00AF5E6A">
              <w:rPr>
                <w:rFonts w:cs="Arial"/>
                <w:sz w:val="18"/>
                <w:szCs w:val="20"/>
              </w:rPr>
              <w:t>Constancias de capacitación. Acceso en el portal web de la Institución para su consulta en línea.</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14:paraId="5A2877AA" w14:textId="77777777" w:rsidR="00E23746" w:rsidRPr="00AF5E6A" w:rsidRDefault="00E23746" w:rsidP="000B2F10">
            <w:pPr>
              <w:rPr>
                <w:rFonts w:cs="Arial"/>
                <w:sz w:val="18"/>
                <w:szCs w:val="20"/>
              </w:rPr>
            </w:pPr>
            <w:r w:rsidRPr="00AF5E6A">
              <w:rPr>
                <w:rFonts w:cs="Arial"/>
                <w:sz w:val="18"/>
                <w:szCs w:val="20"/>
              </w:rPr>
              <w:t>Todo el personal docente capacitado y actualizado.</w:t>
            </w:r>
          </w:p>
        </w:tc>
      </w:tr>
    </w:tbl>
    <w:p w14:paraId="08762DB5" w14:textId="77777777" w:rsidR="00D36037" w:rsidRDefault="00D36037">
      <w:pPr>
        <w:spacing w:after="0" w:line="240" w:lineRule="auto"/>
        <w:jc w:val="left"/>
      </w:pPr>
      <w:r>
        <w:br w:type="page"/>
      </w:r>
    </w:p>
    <w:tbl>
      <w:tblPr>
        <w:tblW w:w="14029" w:type="dxa"/>
        <w:tblLayout w:type="fixed"/>
        <w:tblCellMar>
          <w:left w:w="70" w:type="dxa"/>
          <w:right w:w="70" w:type="dxa"/>
        </w:tblCellMar>
        <w:tblLook w:val="04A0" w:firstRow="1" w:lastRow="0" w:firstColumn="1" w:lastColumn="0" w:noHBand="0" w:noVBand="1"/>
      </w:tblPr>
      <w:tblGrid>
        <w:gridCol w:w="1271"/>
        <w:gridCol w:w="2835"/>
        <w:gridCol w:w="2835"/>
        <w:gridCol w:w="2268"/>
        <w:gridCol w:w="2693"/>
        <w:gridCol w:w="2127"/>
      </w:tblGrid>
      <w:tr w:rsidR="00E23746" w:rsidRPr="00FD08F8" w14:paraId="759FBABA" w14:textId="77777777" w:rsidTr="006B434D">
        <w:trPr>
          <w:trHeight w:val="613"/>
        </w:trPr>
        <w:tc>
          <w:tcPr>
            <w:tcW w:w="1271"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1D18FD34"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lastRenderedPageBreak/>
              <w:t>NIVEL</w:t>
            </w:r>
          </w:p>
        </w:tc>
        <w:tc>
          <w:tcPr>
            <w:tcW w:w="2835" w:type="dxa"/>
            <w:tcBorders>
              <w:top w:val="single" w:sz="4" w:space="0" w:color="auto"/>
              <w:left w:val="nil"/>
              <w:bottom w:val="single" w:sz="4" w:space="0" w:color="auto"/>
              <w:right w:val="single" w:sz="4" w:space="0" w:color="auto"/>
            </w:tcBorders>
            <w:shd w:val="clear" w:color="000000" w:fill="BFBFBF"/>
            <w:vAlign w:val="center"/>
            <w:hideMark/>
          </w:tcPr>
          <w:p w14:paraId="62B667AA"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ALINEACIÓN PED/PD</w:t>
            </w:r>
          </w:p>
        </w:tc>
        <w:tc>
          <w:tcPr>
            <w:tcW w:w="2835" w:type="dxa"/>
            <w:tcBorders>
              <w:top w:val="single" w:sz="4" w:space="0" w:color="auto"/>
              <w:left w:val="nil"/>
              <w:bottom w:val="single" w:sz="4" w:space="0" w:color="auto"/>
              <w:right w:val="single" w:sz="4" w:space="0" w:color="auto"/>
            </w:tcBorders>
            <w:shd w:val="clear" w:color="000000" w:fill="BFBFBF"/>
            <w:vAlign w:val="center"/>
            <w:hideMark/>
          </w:tcPr>
          <w:p w14:paraId="0AB3D24E"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OBJETIVO</w:t>
            </w:r>
          </w:p>
        </w:tc>
        <w:tc>
          <w:tcPr>
            <w:tcW w:w="2268" w:type="dxa"/>
            <w:tcBorders>
              <w:top w:val="single" w:sz="4" w:space="0" w:color="auto"/>
              <w:left w:val="nil"/>
              <w:bottom w:val="single" w:sz="4" w:space="0" w:color="auto"/>
              <w:right w:val="single" w:sz="4" w:space="0" w:color="auto"/>
            </w:tcBorders>
            <w:shd w:val="clear" w:color="000000" w:fill="BFBFBF"/>
            <w:vAlign w:val="center"/>
            <w:hideMark/>
          </w:tcPr>
          <w:p w14:paraId="2F97C33E"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INDICADOR</w:t>
            </w:r>
          </w:p>
        </w:tc>
        <w:tc>
          <w:tcPr>
            <w:tcW w:w="2693" w:type="dxa"/>
            <w:tcBorders>
              <w:top w:val="single" w:sz="4" w:space="0" w:color="auto"/>
              <w:left w:val="nil"/>
              <w:bottom w:val="single" w:sz="4" w:space="0" w:color="auto"/>
              <w:right w:val="single" w:sz="4" w:space="0" w:color="auto"/>
            </w:tcBorders>
            <w:shd w:val="clear" w:color="000000" w:fill="BFBFBF"/>
            <w:vAlign w:val="center"/>
            <w:hideMark/>
          </w:tcPr>
          <w:p w14:paraId="6C29F13F"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MEDIOS DE VERIFICACIÓN</w:t>
            </w:r>
          </w:p>
        </w:tc>
        <w:tc>
          <w:tcPr>
            <w:tcW w:w="2127" w:type="dxa"/>
            <w:tcBorders>
              <w:top w:val="single" w:sz="4" w:space="0" w:color="auto"/>
              <w:left w:val="nil"/>
              <w:bottom w:val="single" w:sz="4" w:space="0" w:color="auto"/>
              <w:right w:val="single" w:sz="4" w:space="0" w:color="auto"/>
            </w:tcBorders>
            <w:shd w:val="clear" w:color="000000" w:fill="BFBFBF"/>
            <w:vAlign w:val="center"/>
            <w:hideMark/>
          </w:tcPr>
          <w:p w14:paraId="2018E1EB"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SUPUESTO</w:t>
            </w:r>
          </w:p>
        </w:tc>
      </w:tr>
      <w:tr w:rsidR="00E23746" w:rsidRPr="00FD08F8" w14:paraId="30220121" w14:textId="77777777" w:rsidTr="006B434D">
        <w:trPr>
          <w:trHeight w:val="1330"/>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0BCB60EB"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Actividad</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451C7DA" w14:textId="77777777" w:rsidR="00E23746" w:rsidRPr="00F5562C" w:rsidRDefault="00E23746" w:rsidP="000B2F10">
            <w:pPr>
              <w:rPr>
                <w:rFonts w:cs="Arial"/>
                <w:sz w:val="20"/>
                <w:szCs w:val="20"/>
              </w:rPr>
            </w:pPr>
            <w:r w:rsidRPr="00F5562C">
              <w:rPr>
                <w:rFonts w:cs="Arial"/>
                <w:sz w:val="20"/>
                <w:szCs w:val="20"/>
              </w:rPr>
              <w:t>Acreditar los planes y programas de educación superior a fin de garantizar su calidad.</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06CBDAE" w14:textId="77777777" w:rsidR="00E23746" w:rsidRPr="00F5562C" w:rsidRDefault="00E23746" w:rsidP="000B2F10">
            <w:pPr>
              <w:rPr>
                <w:rFonts w:cs="Arial"/>
                <w:sz w:val="20"/>
                <w:szCs w:val="20"/>
              </w:rPr>
            </w:pPr>
            <w:r w:rsidRPr="00574DAC">
              <w:rPr>
                <w:rFonts w:cs="Arial"/>
                <w:sz w:val="20"/>
                <w:szCs w:val="20"/>
              </w:rPr>
              <w:t>C02.A0</w:t>
            </w:r>
            <w:r>
              <w:rPr>
                <w:rFonts w:cs="Arial"/>
                <w:sz w:val="20"/>
                <w:szCs w:val="20"/>
              </w:rPr>
              <w:t>2</w:t>
            </w:r>
            <w:r w:rsidRPr="00574DAC">
              <w:rPr>
                <w:rFonts w:cs="Arial"/>
                <w:sz w:val="20"/>
                <w:szCs w:val="20"/>
              </w:rPr>
              <w:t xml:space="preserve"> - </w:t>
            </w:r>
            <w:r w:rsidRPr="00F5562C">
              <w:rPr>
                <w:rFonts w:cs="Arial"/>
                <w:sz w:val="20"/>
                <w:szCs w:val="20"/>
              </w:rPr>
              <w:t>Acompañamiento para la evaluación por parte de organismo reconocidos por COPAES.</w:t>
            </w:r>
          </w:p>
        </w:tc>
        <w:tc>
          <w:tcPr>
            <w:tcW w:w="2268" w:type="dxa"/>
            <w:tcBorders>
              <w:top w:val="single" w:sz="4" w:space="0" w:color="auto"/>
              <w:left w:val="single" w:sz="4" w:space="0" w:color="auto"/>
              <w:bottom w:val="single" w:sz="4" w:space="0" w:color="auto"/>
              <w:right w:val="single" w:sz="4" w:space="0" w:color="auto"/>
            </w:tcBorders>
            <w:shd w:val="clear" w:color="FFFFFF" w:fill="FFFFFF"/>
          </w:tcPr>
          <w:p w14:paraId="06B57AA1" w14:textId="77777777" w:rsidR="00E23746" w:rsidRPr="00F5562C" w:rsidRDefault="00E23746" w:rsidP="000B2F10">
            <w:pPr>
              <w:rPr>
                <w:rFonts w:cs="Arial"/>
                <w:sz w:val="20"/>
                <w:szCs w:val="20"/>
              </w:rPr>
            </w:pPr>
            <w:r>
              <w:rPr>
                <w:rFonts w:cs="Arial"/>
                <w:sz w:val="20"/>
                <w:szCs w:val="20"/>
              </w:rPr>
              <w:t>C02A02</w:t>
            </w:r>
            <w:r w:rsidRPr="00574DAC">
              <w:rPr>
                <w:rFonts w:cs="Arial"/>
                <w:sz w:val="20"/>
                <w:szCs w:val="20"/>
              </w:rPr>
              <w:t xml:space="preserve"> - </w:t>
            </w:r>
            <w:r w:rsidRPr="00F5562C">
              <w:rPr>
                <w:rFonts w:cs="Arial"/>
                <w:sz w:val="20"/>
                <w:szCs w:val="20"/>
              </w:rPr>
              <w:t>Porcentaje de Programas acreditados.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B2E31B9" w14:textId="77777777" w:rsidR="00E23746" w:rsidRDefault="00E23746" w:rsidP="000B2F10">
            <w:pPr>
              <w:rPr>
                <w:rFonts w:cs="Arial"/>
                <w:sz w:val="20"/>
                <w:szCs w:val="20"/>
              </w:rPr>
            </w:pPr>
            <w:r w:rsidRPr="00F5562C">
              <w:rPr>
                <w:rFonts w:cs="Arial"/>
                <w:sz w:val="20"/>
                <w:szCs w:val="20"/>
              </w:rPr>
              <w:t>Documento de acreditación expedido por un organismo reconocido por COPAES. Acceso en el portal web de la Institución para su consulta en línea.</w:t>
            </w:r>
          </w:p>
          <w:p w14:paraId="36369219" w14:textId="77777777" w:rsidR="00E23746" w:rsidRPr="00F5562C" w:rsidRDefault="00E23746" w:rsidP="000B2F10">
            <w:pPr>
              <w:rPr>
                <w:rFonts w:cs="Arial"/>
                <w:sz w:val="20"/>
                <w:szCs w:val="20"/>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668FA7B7" w14:textId="77777777" w:rsidR="00E23746" w:rsidRPr="00F5562C" w:rsidRDefault="00E23746" w:rsidP="000B2F10">
            <w:pPr>
              <w:rPr>
                <w:rFonts w:cs="Arial"/>
                <w:sz w:val="20"/>
                <w:szCs w:val="20"/>
              </w:rPr>
            </w:pPr>
            <w:r w:rsidRPr="00F5562C">
              <w:rPr>
                <w:rFonts w:cs="Arial"/>
                <w:sz w:val="20"/>
                <w:szCs w:val="20"/>
              </w:rPr>
              <w:t>Los programas evaluables estén listos para acreditarse.</w:t>
            </w:r>
          </w:p>
        </w:tc>
      </w:tr>
      <w:tr w:rsidR="00E23746" w:rsidRPr="00FD08F8" w14:paraId="3F142056" w14:textId="77777777" w:rsidTr="006B434D">
        <w:trPr>
          <w:trHeight w:val="1259"/>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3922D2D"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Actividad</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9DBD730" w14:textId="77777777" w:rsidR="00E23746" w:rsidRPr="00F5562C" w:rsidRDefault="00E23746" w:rsidP="000B2F10">
            <w:pPr>
              <w:rPr>
                <w:rFonts w:cs="Arial"/>
                <w:sz w:val="20"/>
                <w:szCs w:val="20"/>
              </w:rPr>
            </w:pPr>
            <w:r w:rsidRPr="00F5562C">
              <w:rPr>
                <w:rFonts w:cs="Arial"/>
                <w:sz w:val="20"/>
                <w:szCs w:val="20"/>
              </w:rPr>
              <w:t>Acreditar los planes y programas de educación superior a fin de garantizar su calidad.</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1DB1CFC" w14:textId="77777777" w:rsidR="00E23746" w:rsidRPr="00F5562C" w:rsidRDefault="00E23746" w:rsidP="000B2F10">
            <w:pPr>
              <w:rPr>
                <w:rFonts w:cs="Arial"/>
                <w:sz w:val="20"/>
                <w:szCs w:val="20"/>
              </w:rPr>
            </w:pPr>
            <w:r w:rsidRPr="00574DAC">
              <w:rPr>
                <w:rFonts w:cs="Arial"/>
                <w:sz w:val="20"/>
                <w:szCs w:val="20"/>
              </w:rPr>
              <w:t>C02.A0</w:t>
            </w:r>
            <w:r>
              <w:rPr>
                <w:rFonts w:cs="Arial"/>
                <w:sz w:val="20"/>
                <w:szCs w:val="20"/>
              </w:rPr>
              <w:t>3</w:t>
            </w:r>
            <w:r w:rsidRPr="00574DAC">
              <w:rPr>
                <w:rFonts w:cs="Arial"/>
                <w:sz w:val="20"/>
                <w:szCs w:val="20"/>
              </w:rPr>
              <w:t xml:space="preserve"> - </w:t>
            </w:r>
            <w:r w:rsidRPr="00F5562C">
              <w:rPr>
                <w:rFonts w:cs="Arial"/>
                <w:sz w:val="20"/>
                <w:szCs w:val="20"/>
              </w:rPr>
              <w:t>Fortalecimiento de la inclusión y la calidad en el proceso de enseñanza-aprendizaje</w:t>
            </w:r>
            <w:r>
              <w:rPr>
                <w:rFonts w:cs="Arial"/>
                <w:sz w:val="20"/>
                <w:szCs w:val="20"/>
              </w:rPr>
              <w:t>.</w:t>
            </w:r>
          </w:p>
        </w:tc>
        <w:tc>
          <w:tcPr>
            <w:tcW w:w="2268" w:type="dxa"/>
            <w:tcBorders>
              <w:top w:val="single" w:sz="4" w:space="0" w:color="auto"/>
              <w:left w:val="single" w:sz="4" w:space="0" w:color="auto"/>
              <w:bottom w:val="single" w:sz="4" w:space="0" w:color="auto"/>
              <w:right w:val="single" w:sz="4" w:space="0" w:color="auto"/>
            </w:tcBorders>
            <w:shd w:val="clear" w:color="FFFFFF" w:fill="FFFFFF"/>
          </w:tcPr>
          <w:p w14:paraId="0DF3D381" w14:textId="77777777" w:rsidR="00E23746" w:rsidRPr="00F5562C" w:rsidRDefault="00E23746" w:rsidP="000B2F10">
            <w:pPr>
              <w:rPr>
                <w:rFonts w:cs="Arial"/>
                <w:sz w:val="20"/>
                <w:szCs w:val="20"/>
              </w:rPr>
            </w:pPr>
            <w:r>
              <w:rPr>
                <w:rFonts w:cs="Arial"/>
                <w:sz w:val="20"/>
                <w:szCs w:val="20"/>
              </w:rPr>
              <w:t>C02A03</w:t>
            </w:r>
            <w:r w:rsidRPr="00574DAC">
              <w:rPr>
                <w:rFonts w:cs="Arial"/>
                <w:sz w:val="20"/>
                <w:szCs w:val="20"/>
              </w:rPr>
              <w:t xml:space="preserve"> - </w:t>
            </w:r>
            <w:r w:rsidRPr="00F5562C">
              <w:rPr>
                <w:rFonts w:cs="Arial"/>
                <w:sz w:val="20"/>
                <w:szCs w:val="20"/>
              </w:rPr>
              <w:t>Porcentaje de alumnos en asesorías y tutorías</w:t>
            </w:r>
            <w:r>
              <w:rPr>
                <w:rFonts w:cs="Arial"/>
                <w:sz w:val="20"/>
                <w:szCs w:val="20"/>
              </w:rPr>
              <w:t>.</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E05BB2D" w14:textId="77777777" w:rsidR="00E23746" w:rsidRDefault="00E23746" w:rsidP="000B2F10">
            <w:pPr>
              <w:rPr>
                <w:rFonts w:cs="Arial"/>
                <w:sz w:val="20"/>
                <w:szCs w:val="20"/>
              </w:rPr>
            </w:pPr>
            <w:r w:rsidRPr="00F5562C">
              <w:rPr>
                <w:rFonts w:cs="Arial"/>
                <w:sz w:val="20"/>
                <w:szCs w:val="20"/>
              </w:rPr>
              <w:t>listas de asistencia a tutorías y asesorías. Acceso en el portal web de la Institución para su consulta en línea.</w:t>
            </w:r>
          </w:p>
          <w:p w14:paraId="1CEA99D9" w14:textId="77777777" w:rsidR="00E23746" w:rsidRPr="00F5562C" w:rsidRDefault="00E23746" w:rsidP="000B2F10">
            <w:pPr>
              <w:rPr>
                <w:rFonts w:cs="Arial"/>
                <w:sz w:val="20"/>
                <w:szCs w:val="20"/>
              </w:rPr>
            </w:pP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6F1CCDE8" w14:textId="77777777" w:rsidR="00E23746" w:rsidRPr="00F5562C" w:rsidRDefault="00E23746" w:rsidP="000B2F10">
            <w:pPr>
              <w:rPr>
                <w:rFonts w:cs="Arial"/>
                <w:sz w:val="20"/>
                <w:szCs w:val="20"/>
              </w:rPr>
            </w:pPr>
            <w:r w:rsidRPr="00F5562C">
              <w:rPr>
                <w:rFonts w:cs="Arial"/>
                <w:sz w:val="20"/>
                <w:szCs w:val="20"/>
              </w:rPr>
              <w:t>Alto índice de permanencia.</w:t>
            </w:r>
          </w:p>
        </w:tc>
      </w:tr>
      <w:tr w:rsidR="00E23746" w:rsidRPr="00FD08F8" w14:paraId="438CA70E" w14:textId="77777777" w:rsidTr="006B434D">
        <w:trPr>
          <w:trHeight w:val="2110"/>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0229622E"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Actividad</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8A83783" w14:textId="77777777" w:rsidR="00E23746" w:rsidRPr="00F5562C" w:rsidRDefault="00E23746" w:rsidP="000B2F10">
            <w:pPr>
              <w:rPr>
                <w:rFonts w:cs="Arial"/>
                <w:sz w:val="20"/>
                <w:szCs w:val="20"/>
              </w:rPr>
            </w:pPr>
            <w:r w:rsidRPr="00F5562C">
              <w:rPr>
                <w:rFonts w:cs="Arial"/>
                <w:sz w:val="20"/>
                <w:szCs w:val="20"/>
              </w:rPr>
              <w:t>Acreditar los planes y programas de educación superior a fin de garantizar su calidad.</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86643EE" w14:textId="77777777" w:rsidR="00E23746" w:rsidRPr="00F5562C" w:rsidRDefault="00E23746" w:rsidP="000B2F10">
            <w:pPr>
              <w:rPr>
                <w:rFonts w:cs="Arial"/>
                <w:sz w:val="20"/>
                <w:szCs w:val="20"/>
              </w:rPr>
            </w:pPr>
            <w:r w:rsidRPr="00574DAC">
              <w:rPr>
                <w:rFonts w:cs="Arial"/>
                <w:sz w:val="20"/>
                <w:szCs w:val="20"/>
              </w:rPr>
              <w:t>C02.A0</w:t>
            </w:r>
            <w:r>
              <w:rPr>
                <w:rFonts w:cs="Arial"/>
                <w:sz w:val="20"/>
                <w:szCs w:val="20"/>
              </w:rPr>
              <w:t>4</w:t>
            </w:r>
            <w:r w:rsidRPr="00574DAC">
              <w:rPr>
                <w:rFonts w:cs="Arial"/>
                <w:sz w:val="20"/>
                <w:szCs w:val="20"/>
              </w:rPr>
              <w:t xml:space="preserve"> - </w:t>
            </w:r>
            <w:r w:rsidRPr="00F5562C">
              <w:rPr>
                <w:rFonts w:cs="Arial"/>
                <w:sz w:val="20"/>
                <w:szCs w:val="20"/>
              </w:rPr>
              <w:t>Formación integral de los alumnos</w:t>
            </w:r>
            <w:r>
              <w:rPr>
                <w:rFonts w:cs="Arial"/>
                <w:sz w:val="20"/>
                <w:szCs w:val="20"/>
              </w:rPr>
              <w:t>.</w:t>
            </w:r>
          </w:p>
        </w:tc>
        <w:tc>
          <w:tcPr>
            <w:tcW w:w="2268" w:type="dxa"/>
            <w:tcBorders>
              <w:top w:val="single" w:sz="4" w:space="0" w:color="auto"/>
              <w:left w:val="single" w:sz="4" w:space="0" w:color="auto"/>
              <w:bottom w:val="single" w:sz="4" w:space="0" w:color="auto"/>
              <w:right w:val="single" w:sz="4" w:space="0" w:color="auto"/>
            </w:tcBorders>
            <w:shd w:val="clear" w:color="FFFFFF" w:fill="FFFFFF"/>
          </w:tcPr>
          <w:p w14:paraId="4648D9CB" w14:textId="77777777" w:rsidR="00E23746" w:rsidRPr="00F5562C" w:rsidRDefault="00E23746" w:rsidP="000B2F10">
            <w:pPr>
              <w:rPr>
                <w:rFonts w:cs="Arial"/>
                <w:sz w:val="20"/>
                <w:szCs w:val="20"/>
              </w:rPr>
            </w:pPr>
            <w:r>
              <w:rPr>
                <w:rFonts w:cs="Arial"/>
                <w:sz w:val="20"/>
                <w:szCs w:val="20"/>
              </w:rPr>
              <w:t>C02A04</w:t>
            </w:r>
            <w:r w:rsidRPr="00574DAC">
              <w:rPr>
                <w:rFonts w:cs="Arial"/>
                <w:sz w:val="20"/>
                <w:szCs w:val="20"/>
              </w:rPr>
              <w:t xml:space="preserve"> - </w:t>
            </w:r>
            <w:r w:rsidRPr="00F5562C">
              <w:rPr>
                <w:rFonts w:cs="Arial"/>
                <w:sz w:val="20"/>
                <w:szCs w:val="20"/>
              </w:rPr>
              <w:t>Porcentaje de alumnos en actividades culturales y deportivas.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3D81137" w14:textId="77777777" w:rsidR="00E23746" w:rsidRPr="00F5562C" w:rsidRDefault="00E23746" w:rsidP="000B2F10">
            <w:pPr>
              <w:rPr>
                <w:rFonts w:cs="Arial"/>
                <w:sz w:val="20"/>
                <w:szCs w:val="20"/>
              </w:rPr>
            </w:pPr>
            <w:r w:rsidRPr="00F5562C">
              <w:rPr>
                <w:rFonts w:cs="Arial"/>
                <w:sz w:val="20"/>
                <w:szCs w:val="20"/>
              </w:rPr>
              <w:t>Listas de asistencia. Acceso en el portal web de la Institución para su consulta en línea.</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3196E54" w14:textId="77777777" w:rsidR="00E23746" w:rsidRDefault="00E23746" w:rsidP="000B2F10">
            <w:pPr>
              <w:rPr>
                <w:rFonts w:cs="Arial"/>
                <w:sz w:val="20"/>
                <w:szCs w:val="20"/>
              </w:rPr>
            </w:pPr>
            <w:r w:rsidRPr="00F5562C">
              <w:rPr>
                <w:rFonts w:cs="Arial"/>
                <w:sz w:val="20"/>
                <w:szCs w:val="20"/>
              </w:rPr>
              <w:t>Los estudiantes participan en liga universitaria, nacional y regional de universidades politécnicas y participación en eventos culturales.</w:t>
            </w:r>
          </w:p>
          <w:p w14:paraId="41AA7664" w14:textId="77777777" w:rsidR="00E23746" w:rsidRPr="00F5562C" w:rsidRDefault="00E23746" w:rsidP="000B2F10">
            <w:pPr>
              <w:rPr>
                <w:rFonts w:cs="Arial"/>
                <w:sz w:val="20"/>
                <w:szCs w:val="20"/>
              </w:rPr>
            </w:pPr>
          </w:p>
        </w:tc>
      </w:tr>
    </w:tbl>
    <w:p w14:paraId="66B4E44E" w14:textId="77777777" w:rsidR="00D36037" w:rsidRDefault="00D36037">
      <w:pPr>
        <w:spacing w:after="0" w:line="240" w:lineRule="auto"/>
        <w:jc w:val="left"/>
      </w:pPr>
      <w:r>
        <w:br w:type="page"/>
      </w:r>
    </w:p>
    <w:tbl>
      <w:tblPr>
        <w:tblW w:w="14029" w:type="dxa"/>
        <w:tblLayout w:type="fixed"/>
        <w:tblCellMar>
          <w:left w:w="70" w:type="dxa"/>
          <w:right w:w="70" w:type="dxa"/>
        </w:tblCellMar>
        <w:tblLook w:val="04A0" w:firstRow="1" w:lastRow="0" w:firstColumn="1" w:lastColumn="0" w:noHBand="0" w:noVBand="1"/>
      </w:tblPr>
      <w:tblGrid>
        <w:gridCol w:w="1413"/>
        <w:gridCol w:w="2693"/>
        <w:gridCol w:w="2835"/>
        <w:gridCol w:w="2268"/>
        <w:gridCol w:w="2693"/>
        <w:gridCol w:w="2127"/>
      </w:tblGrid>
      <w:tr w:rsidR="00E23746" w:rsidRPr="00FD08F8" w14:paraId="78DFE442" w14:textId="77777777" w:rsidTr="006E6535">
        <w:trPr>
          <w:trHeight w:val="613"/>
        </w:trPr>
        <w:tc>
          <w:tcPr>
            <w:tcW w:w="1413"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05F19DEE"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lastRenderedPageBreak/>
              <w:t>NIVEL</w:t>
            </w:r>
          </w:p>
        </w:tc>
        <w:tc>
          <w:tcPr>
            <w:tcW w:w="2693" w:type="dxa"/>
            <w:tcBorders>
              <w:top w:val="single" w:sz="4" w:space="0" w:color="auto"/>
              <w:left w:val="nil"/>
              <w:bottom w:val="single" w:sz="4" w:space="0" w:color="auto"/>
              <w:right w:val="single" w:sz="4" w:space="0" w:color="auto"/>
            </w:tcBorders>
            <w:shd w:val="clear" w:color="000000" w:fill="BFBFBF"/>
            <w:vAlign w:val="center"/>
            <w:hideMark/>
          </w:tcPr>
          <w:p w14:paraId="21445EC6"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ALINEACIÓN PED/PD</w:t>
            </w:r>
          </w:p>
        </w:tc>
        <w:tc>
          <w:tcPr>
            <w:tcW w:w="2835" w:type="dxa"/>
            <w:tcBorders>
              <w:top w:val="single" w:sz="4" w:space="0" w:color="auto"/>
              <w:left w:val="nil"/>
              <w:bottom w:val="single" w:sz="4" w:space="0" w:color="auto"/>
              <w:right w:val="single" w:sz="4" w:space="0" w:color="auto"/>
            </w:tcBorders>
            <w:shd w:val="clear" w:color="000000" w:fill="BFBFBF"/>
            <w:vAlign w:val="center"/>
            <w:hideMark/>
          </w:tcPr>
          <w:p w14:paraId="56F484F4"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OBJETIVO</w:t>
            </w:r>
          </w:p>
        </w:tc>
        <w:tc>
          <w:tcPr>
            <w:tcW w:w="2268" w:type="dxa"/>
            <w:tcBorders>
              <w:top w:val="single" w:sz="4" w:space="0" w:color="auto"/>
              <w:left w:val="nil"/>
              <w:bottom w:val="single" w:sz="4" w:space="0" w:color="auto"/>
              <w:right w:val="single" w:sz="4" w:space="0" w:color="auto"/>
            </w:tcBorders>
            <w:shd w:val="clear" w:color="000000" w:fill="BFBFBF"/>
            <w:vAlign w:val="center"/>
            <w:hideMark/>
          </w:tcPr>
          <w:p w14:paraId="7D9D793A"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INDICADOR</w:t>
            </w:r>
          </w:p>
        </w:tc>
        <w:tc>
          <w:tcPr>
            <w:tcW w:w="2693" w:type="dxa"/>
            <w:tcBorders>
              <w:top w:val="single" w:sz="4" w:space="0" w:color="auto"/>
              <w:left w:val="nil"/>
              <w:bottom w:val="single" w:sz="4" w:space="0" w:color="auto"/>
              <w:right w:val="single" w:sz="4" w:space="0" w:color="auto"/>
            </w:tcBorders>
            <w:shd w:val="clear" w:color="000000" w:fill="BFBFBF"/>
            <w:vAlign w:val="center"/>
            <w:hideMark/>
          </w:tcPr>
          <w:p w14:paraId="1D409830"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MEDIOS DE VERIFICACIÓN</w:t>
            </w:r>
          </w:p>
        </w:tc>
        <w:tc>
          <w:tcPr>
            <w:tcW w:w="2127" w:type="dxa"/>
            <w:tcBorders>
              <w:top w:val="single" w:sz="4" w:space="0" w:color="auto"/>
              <w:left w:val="nil"/>
              <w:bottom w:val="single" w:sz="4" w:space="0" w:color="auto"/>
              <w:right w:val="single" w:sz="4" w:space="0" w:color="auto"/>
            </w:tcBorders>
            <w:shd w:val="clear" w:color="000000" w:fill="BFBFBF"/>
            <w:vAlign w:val="center"/>
            <w:hideMark/>
          </w:tcPr>
          <w:p w14:paraId="521B357D"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SUPUESTO</w:t>
            </w:r>
          </w:p>
        </w:tc>
      </w:tr>
      <w:tr w:rsidR="00E23746" w:rsidRPr="00FD08F8" w14:paraId="54441442" w14:textId="77777777" w:rsidTr="006E6535">
        <w:trPr>
          <w:trHeight w:val="2326"/>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14:paraId="4044AEBD"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Componente</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25F05EC1" w14:textId="77777777" w:rsidR="00E23746" w:rsidRPr="00F5562C" w:rsidRDefault="00E23746" w:rsidP="000B2F10">
            <w:pPr>
              <w:rPr>
                <w:rFonts w:cs="Arial"/>
                <w:sz w:val="20"/>
                <w:szCs w:val="20"/>
              </w:rPr>
            </w:pPr>
            <w:r w:rsidRPr="00F5562C">
              <w:rPr>
                <w:rFonts w:cs="Arial"/>
                <w:sz w:val="20"/>
                <w:szCs w:val="20"/>
              </w:rPr>
              <w:t>Impulsar la vinculación con instituciones públicas y privadas para la realización del servicio social, prácticas profesionales o su equivalente y modelo dual por parte de los estudiantes de educación superior.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16FE0A4" w14:textId="77777777" w:rsidR="00E23746" w:rsidRPr="00F5562C" w:rsidRDefault="00E23746" w:rsidP="000B2F10">
            <w:pPr>
              <w:rPr>
                <w:rFonts w:cs="Arial"/>
                <w:sz w:val="20"/>
                <w:szCs w:val="20"/>
              </w:rPr>
            </w:pPr>
            <w:r w:rsidRPr="00574DAC">
              <w:rPr>
                <w:rFonts w:cs="Arial"/>
                <w:sz w:val="20"/>
                <w:szCs w:val="20"/>
              </w:rPr>
              <w:t xml:space="preserve">C03 - </w:t>
            </w:r>
            <w:r w:rsidRPr="00F5562C">
              <w:rPr>
                <w:rFonts w:cs="Arial"/>
                <w:sz w:val="20"/>
                <w:szCs w:val="20"/>
              </w:rPr>
              <w:t>Vinculación interinstitucional realizada.</w:t>
            </w:r>
          </w:p>
        </w:tc>
        <w:tc>
          <w:tcPr>
            <w:tcW w:w="2268" w:type="dxa"/>
            <w:tcBorders>
              <w:top w:val="single" w:sz="4" w:space="0" w:color="auto"/>
              <w:left w:val="single" w:sz="4" w:space="0" w:color="auto"/>
              <w:bottom w:val="single" w:sz="4" w:space="0" w:color="auto"/>
              <w:right w:val="single" w:sz="4" w:space="0" w:color="auto"/>
            </w:tcBorders>
            <w:shd w:val="clear" w:color="FFFFFF" w:fill="FFFFFF"/>
            <w:hideMark/>
          </w:tcPr>
          <w:p w14:paraId="0C09B4D8" w14:textId="77777777" w:rsidR="00E23746" w:rsidRPr="00F5562C" w:rsidRDefault="00E23746" w:rsidP="000B2F10">
            <w:pPr>
              <w:rPr>
                <w:rFonts w:cs="Arial"/>
                <w:sz w:val="20"/>
                <w:szCs w:val="20"/>
              </w:rPr>
            </w:pPr>
            <w:r w:rsidRPr="00574DAC">
              <w:rPr>
                <w:rFonts w:cs="Arial"/>
                <w:sz w:val="20"/>
                <w:szCs w:val="20"/>
              </w:rPr>
              <w:t xml:space="preserve">C03 - </w:t>
            </w:r>
            <w:r w:rsidRPr="00F5562C">
              <w:rPr>
                <w:rFonts w:cs="Arial"/>
                <w:sz w:val="20"/>
                <w:szCs w:val="20"/>
              </w:rPr>
              <w:t>Porcentaje de estudiantes participando en proyectos y/o convenios.</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6B6B7DF6" w14:textId="77777777" w:rsidR="00E23746" w:rsidRPr="00F5562C" w:rsidRDefault="00E23746" w:rsidP="000B2F10">
            <w:pPr>
              <w:rPr>
                <w:rFonts w:cs="Arial"/>
                <w:sz w:val="20"/>
                <w:szCs w:val="20"/>
              </w:rPr>
            </w:pPr>
            <w:r w:rsidRPr="00F5562C">
              <w:rPr>
                <w:rFonts w:cs="Arial"/>
                <w:sz w:val="20"/>
                <w:szCs w:val="20"/>
              </w:rPr>
              <w:t>Memorias presentadas, Dirección de vinculación. Acceso en el portal web de la Institución para su consulta en línea.</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14:paraId="15CC28C0" w14:textId="77777777" w:rsidR="00E23746" w:rsidRPr="00F5562C" w:rsidRDefault="00E23746" w:rsidP="000B2F10">
            <w:pPr>
              <w:rPr>
                <w:rFonts w:cs="Arial"/>
                <w:sz w:val="20"/>
                <w:szCs w:val="20"/>
              </w:rPr>
            </w:pPr>
            <w:r w:rsidRPr="00F5562C">
              <w:rPr>
                <w:rFonts w:cs="Arial"/>
                <w:sz w:val="20"/>
                <w:szCs w:val="20"/>
              </w:rPr>
              <w:t>Los estudiantes participan en los proyectos de vinculación propuestos por las Instituciones de Educación Superior de la Entidad.</w:t>
            </w:r>
          </w:p>
        </w:tc>
      </w:tr>
      <w:tr w:rsidR="00E23746" w:rsidRPr="00FD08F8" w14:paraId="2072BFA2" w14:textId="77777777" w:rsidTr="006E6535">
        <w:trPr>
          <w:trHeight w:val="2412"/>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14:paraId="52C9FEE4"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Actividad</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2A4465A5" w14:textId="77777777" w:rsidR="00E23746" w:rsidRPr="006503C7" w:rsidRDefault="00E23746" w:rsidP="000B2F10">
            <w:pPr>
              <w:rPr>
                <w:rFonts w:cs="Arial"/>
                <w:sz w:val="18"/>
                <w:szCs w:val="20"/>
              </w:rPr>
            </w:pPr>
            <w:r w:rsidRPr="006503C7">
              <w:rPr>
                <w:rFonts w:cs="Arial"/>
                <w:sz w:val="18"/>
                <w:szCs w:val="20"/>
              </w:rPr>
              <w:t>Impulsar la vinculación con instituciones públicas y privadas para la realización del servicio social, prácticas profesionales o su equivalente y modelo dual por parte de los estudiantes de educación superior.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1CFC253D" w14:textId="77777777" w:rsidR="00E23746" w:rsidRPr="006503C7" w:rsidRDefault="00E23746" w:rsidP="000B2F10">
            <w:pPr>
              <w:rPr>
                <w:rFonts w:cs="Arial"/>
                <w:sz w:val="18"/>
                <w:szCs w:val="20"/>
              </w:rPr>
            </w:pPr>
            <w:r w:rsidRPr="006503C7">
              <w:rPr>
                <w:rFonts w:cs="Arial"/>
                <w:sz w:val="18"/>
                <w:szCs w:val="20"/>
              </w:rPr>
              <w:t>C03.A01 - Impulso a la movilidad mediante convenios y participación en convocatorias para fortalecimiento de la formación integral, estancias y estadías en instituciones públicas y privadas.</w:t>
            </w:r>
          </w:p>
        </w:tc>
        <w:tc>
          <w:tcPr>
            <w:tcW w:w="2268" w:type="dxa"/>
            <w:tcBorders>
              <w:top w:val="single" w:sz="4" w:space="0" w:color="auto"/>
              <w:left w:val="single" w:sz="4" w:space="0" w:color="auto"/>
              <w:bottom w:val="single" w:sz="4" w:space="0" w:color="auto"/>
              <w:right w:val="single" w:sz="4" w:space="0" w:color="auto"/>
            </w:tcBorders>
            <w:shd w:val="clear" w:color="FFFFFF" w:fill="FFFFFF"/>
            <w:hideMark/>
          </w:tcPr>
          <w:p w14:paraId="102D54C7" w14:textId="77777777" w:rsidR="00E23746" w:rsidRPr="006503C7" w:rsidRDefault="00E23746" w:rsidP="000B2F10">
            <w:pPr>
              <w:spacing w:after="0" w:line="240" w:lineRule="auto"/>
              <w:rPr>
                <w:rFonts w:cs="Arial"/>
                <w:sz w:val="18"/>
                <w:szCs w:val="20"/>
              </w:rPr>
            </w:pPr>
            <w:r w:rsidRPr="006503C7">
              <w:rPr>
                <w:rFonts w:cs="Arial"/>
                <w:sz w:val="18"/>
                <w:szCs w:val="20"/>
              </w:rPr>
              <w:t>C03A01 - Porcentaje de alumnos participando en movilidad, formación integral, estancias y estadías en instituciones públicas y privadas.</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361A11F0" w14:textId="77777777" w:rsidR="00E23746" w:rsidRPr="006503C7" w:rsidRDefault="00E23746" w:rsidP="000B2F10">
            <w:pPr>
              <w:spacing w:after="0" w:line="240" w:lineRule="auto"/>
              <w:rPr>
                <w:rFonts w:cs="Arial"/>
                <w:sz w:val="18"/>
                <w:szCs w:val="20"/>
              </w:rPr>
            </w:pPr>
            <w:r w:rsidRPr="006503C7">
              <w:rPr>
                <w:rFonts w:cs="Arial"/>
                <w:sz w:val="18"/>
                <w:szCs w:val="20"/>
              </w:rPr>
              <w:t xml:space="preserve">Carpeta con listado, cartas de liberación, cédulas y fichas de participación. Acceso en el portal web de la Institución para su consulta en línea. </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14:paraId="212EEE25" w14:textId="77777777" w:rsidR="00E23746" w:rsidRPr="006503C7" w:rsidRDefault="00E23746" w:rsidP="000B2F10">
            <w:pPr>
              <w:spacing w:after="0" w:line="240" w:lineRule="auto"/>
              <w:rPr>
                <w:rFonts w:cs="Arial"/>
                <w:sz w:val="18"/>
                <w:szCs w:val="20"/>
              </w:rPr>
            </w:pPr>
            <w:r w:rsidRPr="006503C7">
              <w:rPr>
                <w:rFonts w:cs="Arial"/>
                <w:sz w:val="18"/>
                <w:szCs w:val="20"/>
              </w:rPr>
              <w:t>Los organismos públicos y privados continúen promoviendo y convocando la participación en movilidad, formación integral, estancias y estadías.</w:t>
            </w:r>
          </w:p>
        </w:tc>
      </w:tr>
      <w:tr w:rsidR="00E23746" w:rsidRPr="00FD08F8" w14:paraId="6F6F21AF" w14:textId="77777777" w:rsidTr="006E6535">
        <w:trPr>
          <w:trHeight w:val="1826"/>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14:paraId="6D2E7A8C"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Actividad</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2B203EC1" w14:textId="77777777" w:rsidR="00E23746" w:rsidRPr="006503C7" w:rsidRDefault="00E23746" w:rsidP="000B2F10">
            <w:pPr>
              <w:rPr>
                <w:rFonts w:cs="Arial"/>
                <w:sz w:val="18"/>
                <w:szCs w:val="20"/>
              </w:rPr>
            </w:pPr>
            <w:r w:rsidRPr="006503C7">
              <w:rPr>
                <w:rFonts w:cs="Arial"/>
                <w:sz w:val="18"/>
                <w:szCs w:val="20"/>
              </w:rPr>
              <w:t>Impulsar la vinculación con instituciones públicas y privadas para la realización del servicio social, prácticas profesionales o su equivalente y modelo dual por parte de los estudiantes de educación superior.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F142930" w14:textId="77777777" w:rsidR="00E23746" w:rsidRPr="006503C7" w:rsidRDefault="00E23746" w:rsidP="000B2F10">
            <w:pPr>
              <w:rPr>
                <w:rFonts w:cs="Arial"/>
                <w:sz w:val="18"/>
                <w:szCs w:val="20"/>
              </w:rPr>
            </w:pPr>
            <w:r w:rsidRPr="006503C7">
              <w:rPr>
                <w:rFonts w:cs="Arial"/>
                <w:sz w:val="18"/>
                <w:szCs w:val="20"/>
              </w:rPr>
              <w:t>C03.A02 - Incrementar la participación de los estudiantes en proyectos de investigación y desarrollo tecnológico.</w:t>
            </w:r>
          </w:p>
        </w:tc>
        <w:tc>
          <w:tcPr>
            <w:tcW w:w="2268" w:type="dxa"/>
            <w:tcBorders>
              <w:top w:val="single" w:sz="4" w:space="0" w:color="auto"/>
              <w:left w:val="single" w:sz="4" w:space="0" w:color="auto"/>
              <w:bottom w:val="single" w:sz="4" w:space="0" w:color="auto"/>
              <w:right w:val="single" w:sz="4" w:space="0" w:color="auto"/>
            </w:tcBorders>
            <w:shd w:val="clear" w:color="FFFFFF" w:fill="FFFFFF"/>
            <w:hideMark/>
          </w:tcPr>
          <w:p w14:paraId="137CDD53" w14:textId="77777777" w:rsidR="00E23746" w:rsidRPr="006503C7" w:rsidRDefault="00E23746" w:rsidP="000B2F10">
            <w:pPr>
              <w:rPr>
                <w:rFonts w:cs="Arial"/>
                <w:sz w:val="18"/>
                <w:szCs w:val="20"/>
              </w:rPr>
            </w:pPr>
            <w:r w:rsidRPr="006503C7">
              <w:rPr>
                <w:rFonts w:cs="Arial"/>
                <w:sz w:val="18"/>
                <w:szCs w:val="20"/>
              </w:rPr>
              <w:t>C03A02 - Porcentaje de estudiantes participando en ferias o proyectos de investigación y desarrollo tecnológico.</w:t>
            </w:r>
          </w:p>
        </w:tc>
        <w:tc>
          <w:tcPr>
            <w:tcW w:w="2693" w:type="dxa"/>
            <w:tcBorders>
              <w:top w:val="single" w:sz="4" w:space="0" w:color="auto"/>
              <w:left w:val="single" w:sz="4" w:space="0" w:color="auto"/>
              <w:bottom w:val="single" w:sz="4" w:space="0" w:color="auto"/>
              <w:right w:val="single" w:sz="4" w:space="0" w:color="auto"/>
            </w:tcBorders>
            <w:shd w:val="clear" w:color="auto" w:fill="auto"/>
            <w:hideMark/>
          </w:tcPr>
          <w:p w14:paraId="3843662F" w14:textId="77777777" w:rsidR="00E23746" w:rsidRPr="006503C7" w:rsidRDefault="00E23746" w:rsidP="000B2F10">
            <w:pPr>
              <w:rPr>
                <w:rFonts w:cs="Arial"/>
                <w:sz w:val="18"/>
                <w:szCs w:val="20"/>
              </w:rPr>
            </w:pPr>
            <w:r w:rsidRPr="006503C7">
              <w:rPr>
                <w:rFonts w:cs="Arial"/>
                <w:sz w:val="18"/>
                <w:szCs w:val="20"/>
              </w:rPr>
              <w:t>Listado/registro de constancias de participación, premios obtenidos, publicaciones de investigación aplicada. Acceso en el portal web de la Institución para su consulta en línea.</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14:paraId="0CB3F949" w14:textId="77777777" w:rsidR="00E23746" w:rsidRPr="006503C7" w:rsidRDefault="00E23746" w:rsidP="000B2F10">
            <w:pPr>
              <w:rPr>
                <w:rFonts w:cs="Arial"/>
                <w:sz w:val="18"/>
                <w:szCs w:val="20"/>
              </w:rPr>
            </w:pPr>
            <w:r w:rsidRPr="006503C7">
              <w:rPr>
                <w:rFonts w:cs="Arial"/>
                <w:sz w:val="18"/>
                <w:szCs w:val="20"/>
              </w:rPr>
              <w:t>Los estudiantes participan en ferias o proyectos de investigación y desarrollo tecnológico.</w:t>
            </w:r>
          </w:p>
        </w:tc>
      </w:tr>
    </w:tbl>
    <w:p w14:paraId="156C314F" w14:textId="77777777" w:rsidR="00E23746" w:rsidRDefault="00E23746" w:rsidP="00E23746">
      <w:pPr>
        <w:rPr>
          <w:rFonts w:eastAsia="Calibri" w:cs="Arial"/>
          <w:bCs/>
          <w:color w:val="595959" w:themeColor="text1" w:themeTint="A6"/>
          <w:sz w:val="18"/>
          <w:szCs w:val="20"/>
        </w:rPr>
      </w:pPr>
      <w:r w:rsidRPr="0093279A">
        <w:rPr>
          <w:rFonts w:eastAsia="Calibri" w:cs="Arial"/>
          <w:bCs/>
          <w:color w:val="595959" w:themeColor="text1" w:themeTint="A6"/>
          <w:sz w:val="18"/>
          <w:szCs w:val="20"/>
        </w:rPr>
        <w:t>El anexo aquí presentado es perfectible, y se encuentra susceptible de modificaciones programáticas toda vez que así se le indique por observaciones de auditorías, evaluaciones al desempeño y revisiones de la Secretaría de Finanzas y Planeación antes y durante el ejercicio fiscal del que se trate, así como también, cuando las condiciones del Ente Público responsable de dicha información programática requiera hacer modificaciones a sus necesidades institucionales, atendiendo a lo establecido en los Lineamientos para la Creación, Modificación y Cancelación de Programas Presupuestarios y para la Modificación de Metas del Gobierno del Estado de Quintana Roo.</w:t>
      </w:r>
      <w:r>
        <w:rPr>
          <w:rFonts w:eastAsia="Calibri" w:cs="Arial"/>
          <w:bCs/>
          <w:color w:val="595959" w:themeColor="text1" w:themeTint="A6"/>
          <w:sz w:val="18"/>
          <w:szCs w:val="20"/>
        </w:rPr>
        <w:br w:type="page"/>
      </w:r>
    </w:p>
    <w:tbl>
      <w:tblPr>
        <w:tblW w:w="14180" w:type="dxa"/>
        <w:tblLayout w:type="fixed"/>
        <w:tblCellMar>
          <w:left w:w="70" w:type="dxa"/>
          <w:right w:w="70" w:type="dxa"/>
        </w:tblCellMar>
        <w:tblLook w:val="04A0" w:firstRow="1" w:lastRow="0" w:firstColumn="1" w:lastColumn="0" w:noHBand="0" w:noVBand="1"/>
      </w:tblPr>
      <w:tblGrid>
        <w:gridCol w:w="1269"/>
        <w:gridCol w:w="2834"/>
        <w:gridCol w:w="2836"/>
        <w:gridCol w:w="2269"/>
        <w:gridCol w:w="2835"/>
        <w:gridCol w:w="2127"/>
        <w:gridCol w:w="10"/>
      </w:tblGrid>
      <w:tr w:rsidR="00E23746" w:rsidRPr="00FD08F8" w14:paraId="31E4BA9E" w14:textId="77777777" w:rsidTr="000B2F10">
        <w:trPr>
          <w:trHeight w:val="720"/>
        </w:trPr>
        <w:tc>
          <w:tcPr>
            <w:tcW w:w="4103" w:type="dxa"/>
            <w:gridSpan w:val="2"/>
            <w:tcBorders>
              <w:top w:val="single" w:sz="4" w:space="0" w:color="auto"/>
              <w:left w:val="single" w:sz="4" w:space="0" w:color="auto"/>
              <w:bottom w:val="single" w:sz="4" w:space="0" w:color="auto"/>
              <w:right w:val="single" w:sz="4" w:space="0" w:color="000000"/>
            </w:tcBorders>
            <w:shd w:val="clear" w:color="000000" w:fill="BFBFBF"/>
            <w:vAlign w:val="center"/>
            <w:hideMark/>
          </w:tcPr>
          <w:p w14:paraId="72AC6B8D"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lastRenderedPageBreak/>
              <w:t>PROGRAMA PRESUPUESTARIO:</w:t>
            </w:r>
          </w:p>
        </w:tc>
        <w:tc>
          <w:tcPr>
            <w:tcW w:w="10077" w:type="dxa"/>
            <w:gridSpan w:val="5"/>
            <w:tcBorders>
              <w:top w:val="single" w:sz="4" w:space="0" w:color="auto"/>
              <w:left w:val="nil"/>
              <w:bottom w:val="single" w:sz="4" w:space="0" w:color="auto"/>
              <w:right w:val="single" w:sz="4" w:space="0" w:color="auto"/>
            </w:tcBorders>
            <w:shd w:val="clear" w:color="auto" w:fill="auto"/>
            <w:vAlign w:val="center"/>
            <w:hideMark/>
          </w:tcPr>
          <w:p w14:paraId="5BA707D7" w14:textId="77777777" w:rsidR="00E23746" w:rsidRPr="00FD08F8" w:rsidRDefault="00E23746" w:rsidP="000B2F10">
            <w:pPr>
              <w:spacing w:after="0" w:line="240" w:lineRule="auto"/>
              <w:jc w:val="left"/>
              <w:rPr>
                <w:rFonts w:eastAsia="Times New Roman" w:cs="Arial"/>
                <w:sz w:val="20"/>
                <w:szCs w:val="20"/>
                <w:lang w:val="es-MX" w:eastAsia="es-MX"/>
              </w:rPr>
            </w:pPr>
            <w:r>
              <w:rPr>
                <w:rFonts w:eastAsia="Times New Roman" w:cs="Arial"/>
                <w:sz w:val="20"/>
                <w:szCs w:val="20"/>
                <w:lang w:val="es-MX" w:eastAsia="es-MX"/>
              </w:rPr>
              <w:t>Universidad Tecnológica d</w:t>
            </w:r>
            <w:r w:rsidRPr="004A6696">
              <w:rPr>
                <w:rFonts w:eastAsia="Times New Roman" w:cs="Arial"/>
                <w:sz w:val="20"/>
                <w:szCs w:val="20"/>
                <w:lang w:val="es-MX" w:eastAsia="es-MX"/>
              </w:rPr>
              <w:t>e Cancún</w:t>
            </w:r>
            <w:r>
              <w:rPr>
                <w:rFonts w:eastAsia="Times New Roman" w:cs="Arial"/>
                <w:sz w:val="20"/>
                <w:szCs w:val="20"/>
                <w:lang w:val="es-MX" w:eastAsia="es-MX"/>
              </w:rPr>
              <w:t>.</w:t>
            </w:r>
          </w:p>
        </w:tc>
      </w:tr>
      <w:tr w:rsidR="00E23746" w:rsidRPr="00FD08F8" w14:paraId="37C36C9F" w14:textId="77777777" w:rsidTr="000B2F10">
        <w:trPr>
          <w:trHeight w:val="552"/>
        </w:trPr>
        <w:tc>
          <w:tcPr>
            <w:tcW w:w="4103" w:type="dxa"/>
            <w:gridSpan w:val="2"/>
            <w:tcBorders>
              <w:top w:val="single" w:sz="4" w:space="0" w:color="auto"/>
              <w:left w:val="single" w:sz="4" w:space="0" w:color="auto"/>
              <w:bottom w:val="single" w:sz="4" w:space="0" w:color="auto"/>
              <w:right w:val="single" w:sz="4" w:space="0" w:color="000000"/>
            </w:tcBorders>
            <w:shd w:val="clear" w:color="000000" w:fill="BFBFBF"/>
            <w:vAlign w:val="center"/>
            <w:hideMark/>
          </w:tcPr>
          <w:p w14:paraId="2ED80E60"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INSTITUCIÓN:</w:t>
            </w:r>
          </w:p>
        </w:tc>
        <w:tc>
          <w:tcPr>
            <w:tcW w:w="10077" w:type="dxa"/>
            <w:gridSpan w:val="5"/>
            <w:tcBorders>
              <w:top w:val="single" w:sz="4" w:space="0" w:color="auto"/>
              <w:left w:val="nil"/>
              <w:bottom w:val="single" w:sz="4" w:space="0" w:color="auto"/>
              <w:right w:val="single" w:sz="4" w:space="0" w:color="auto"/>
            </w:tcBorders>
            <w:shd w:val="clear" w:color="auto" w:fill="auto"/>
            <w:vAlign w:val="center"/>
            <w:hideMark/>
          </w:tcPr>
          <w:p w14:paraId="31AC3D96" w14:textId="77777777" w:rsidR="00E23746" w:rsidRPr="00FD08F8" w:rsidRDefault="00E23746" w:rsidP="000B2F10">
            <w:pPr>
              <w:spacing w:after="0" w:line="240" w:lineRule="auto"/>
              <w:jc w:val="left"/>
              <w:rPr>
                <w:rFonts w:eastAsia="Times New Roman" w:cs="Arial"/>
                <w:sz w:val="20"/>
                <w:szCs w:val="20"/>
                <w:lang w:val="es-MX" w:eastAsia="es-MX"/>
              </w:rPr>
            </w:pPr>
            <w:r w:rsidRPr="00FD08F8">
              <w:rPr>
                <w:rFonts w:eastAsia="Times New Roman" w:cs="Arial"/>
                <w:sz w:val="20"/>
                <w:szCs w:val="20"/>
                <w:lang w:val="es-MX" w:eastAsia="es-MX"/>
              </w:rPr>
              <w:t>1109 Secretaría de Educación de Quintana Roo</w:t>
            </w:r>
            <w:r>
              <w:rPr>
                <w:rFonts w:eastAsia="Times New Roman" w:cs="Arial"/>
                <w:sz w:val="20"/>
                <w:szCs w:val="20"/>
                <w:lang w:val="es-MX" w:eastAsia="es-MX"/>
              </w:rPr>
              <w:t>.</w:t>
            </w:r>
          </w:p>
        </w:tc>
      </w:tr>
      <w:tr w:rsidR="00E23746" w:rsidRPr="00FD08F8" w14:paraId="257F0E87" w14:textId="77777777" w:rsidTr="000B2F10">
        <w:trPr>
          <w:gridAfter w:val="1"/>
          <w:wAfter w:w="10" w:type="dxa"/>
          <w:trHeight w:val="282"/>
        </w:trPr>
        <w:tc>
          <w:tcPr>
            <w:tcW w:w="1269" w:type="dxa"/>
            <w:tcBorders>
              <w:top w:val="nil"/>
              <w:left w:val="nil"/>
              <w:bottom w:val="nil"/>
              <w:right w:val="nil"/>
            </w:tcBorders>
            <w:shd w:val="clear" w:color="auto" w:fill="auto"/>
            <w:hideMark/>
          </w:tcPr>
          <w:p w14:paraId="5F2AF464" w14:textId="77777777" w:rsidR="00E23746" w:rsidRPr="00FD08F8" w:rsidRDefault="00E23746" w:rsidP="000B2F10">
            <w:pPr>
              <w:spacing w:after="0" w:line="240" w:lineRule="auto"/>
              <w:jc w:val="left"/>
              <w:rPr>
                <w:rFonts w:eastAsia="Times New Roman" w:cs="Arial"/>
                <w:sz w:val="20"/>
                <w:szCs w:val="20"/>
                <w:lang w:val="es-MX" w:eastAsia="es-MX"/>
              </w:rPr>
            </w:pPr>
          </w:p>
        </w:tc>
        <w:tc>
          <w:tcPr>
            <w:tcW w:w="2834" w:type="dxa"/>
            <w:tcBorders>
              <w:top w:val="nil"/>
              <w:left w:val="nil"/>
              <w:bottom w:val="nil"/>
              <w:right w:val="nil"/>
            </w:tcBorders>
            <w:shd w:val="clear" w:color="auto" w:fill="auto"/>
            <w:hideMark/>
          </w:tcPr>
          <w:p w14:paraId="0DEE77FF" w14:textId="77777777" w:rsidR="00E23746" w:rsidRPr="00FD08F8" w:rsidRDefault="00E23746" w:rsidP="000B2F10">
            <w:pPr>
              <w:spacing w:after="0" w:line="240" w:lineRule="auto"/>
              <w:jc w:val="left"/>
              <w:rPr>
                <w:rFonts w:ascii="Times New Roman" w:eastAsia="Times New Roman" w:hAnsi="Times New Roman" w:cs="Times New Roman"/>
                <w:sz w:val="20"/>
                <w:szCs w:val="20"/>
                <w:lang w:val="es-MX" w:eastAsia="es-MX"/>
              </w:rPr>
            </w:pPr>
          </w:p>
        </w:tc>
        <w:tc>
          <w:tcPr>
            <w:tcW w:w="2836" w:type="dxa"/>
            <w:tcBorders>
              <w:top w:val="nil"/>
              <w:left w:val="nil"/>
              <w:bottom w:val="nil"/>
              <w:right w:val="nil"/>
            </w:tcBorders>
            <w:shd w:val="clear" w:color="auto" w:fill="auto"/>
            <w:hideMark/>
          </w:tcPr>
          <w:p w14:paraId="107E390C" w14:textId="77777777" w:rsidR="00E23746" w:rsidRPr="00FD08F8" w:rsidRDefault="00E23746" w:rsidP="000B2F10">
            <w:pPr>
              <w:spacing w:after="0" w:line="240" w:lineRule="auto"/>
              <w:jc w:val="left"/>
              <w:rPr>
                <w:rFonts w:ascii="Times New Roman" w:eastAsia="Times New Roman" w:hAnsi="Times New Roman" w:cs="Times New Roman"/>
                <w:sz w:val="20"/>
                <w:szCs w:val="20"/>
                <w:lang w:val="es-MX" w:eastAsia="es-MX"/>
              </w:rPr>
            </w:pPr>
          </w:p>
        </w:tc>
        <w:tc>
          <w:tcPr>
            <w:tcW w:w="2269" w:type="dxa"/>
            <w:tcBorders>
              <w:top w:val="nil"/>
              <w:left w:val="nil"/>
              <w:bottom w:val="nil"/>
              <w:right w:val="nil"/>
            </w:tcBorders>
            <w:shd w:val="clear" w:color="auto" w:fill="auto"/>
            <w:hideMark/>
          </w:tcPr>
          <w:p w14:paraId="555F38CE" w14:textId="77777777" w:rsidR="00E23746" w:rsidRPr="00FD08F8" w:rsidRDefault="00E23746" w:rsidP="000B2F10">
            <w:pPr>
              <w:spacing w:after="0" w:line="240" w:lineRule="auto"/>
              <w:jc w:val="left"/>
              <w:rPr>
                <w:rFonts w:ascii="Times New Roman" w:eastAsia="Times New Roman" w:hAnsi="Times New Roman" w:cs="Times New Roman"/>
                <w:sz w:val="20"/>
                <w:szCs w:val="20"/>
                <w:lang w:val="es-MX" w:eastAsia="es-MX"/>
              </w:rPr>
            </w:pPr>
          </w:p>
        </w:tc>
        <w:tc>
          <w:tcPr>
            <w:tcW w:w="2835" w:type="dxa"/>
            <w:tcBorders>
              <w:top w:val="nil"/>
              <w:left w:val="nil"/>
              <w:bottom w:val="nil"/>
              <w:right w:val="nil"/>
            </w:tcBorders>
            <w:shd w:val="clear" w:color="auto" w:fill="auto"/>
            <w:hideMark/>
          </w:tcPr>
          <w:p w14:paraId="4113208F" w14:textId="77777777" w:rsidR="00E23746" w:rsidRPr="00FD08F8" w:rsidRDefault="00E23746" w:rsidP="000B2F10">
            <w:pPr>
              <w:spacing w:after="0" w:line="240" w:lineRule="auto"/>
              <w:jc w:val="left"/>
              <w:rPr>
                <w:rFonts w:ascii="Times New Roman" w:eastAsia="Times New Roman" w:hAnsi="Times New Roman" w:cs="Times New Roman"/>
                <w:sz w:val="20"/>
                <w:szCs w:val="20"/>
                <w:lang w:val="es-MX" w:eastAsia="es-MX"/>
              </w:rPr>
            </w:pPr>
          </w:p>
        </w:tc>
        <w:tc>
          <w:tcPr>
            <w:tcW w:w="2127" w:type="dxa"/>
            <w:tcBorders>
              <w:top w:val="nil"/>
              <w:left w:val="nil"/>
              <w:bottom w:val="nil"/>
              <w:right w:val="nil"/>
            </w:tcBorders>
            <w:shd w:val="clear" w:color="auto" w:fill="auto"/>
            <w:hideMark/>
          </w:tcPr>
          <w:p w14:paraId="15D4F31B" w14:textId="77777777" w:rsidR="00E23746" w:rsidRPr="00FD08F8" w:rsidRDefault="00E23746" w:rsidP="000B2F10">
            <w:pPr>
              <w:spacing w:after="0" w:line="240" w:lineRule="auto"/>
              <w:jc w:val="left"/>
              <w:rPr>
                <w:rFonts w:ascii="Times New Roman" w:eastAsia="Times New Roman" w:hAnsi="Times New Roman" w:cs="Times New Roman"/>
                <w:sz w:val="20"/>
                <w:szCs w:val="20"/>
                <w:lang w:val="es-MX" w:eastAsia="es-MX"/>
              </w:rPr>
            </w:pPr>
          </w:p>
        </w:tc>
      </w:tr>
      <w:tr w:rsidR="00E23746" w:rsidRPr="00FD08F8" w14:paraId="0DECE12B" w14:textId="77777777" w:rsidTr="000B2F10">
        <w:trPr>
          <w:trHeight w:val="375"/>
        </w:trPr>
        <w:tc>
          <w:tcPr>
            <w:tcW w:w="14180" w:type="dxa"/>
            <w:gridSpan w:val="7"/>
            <w:tcBorders>
              <w:top w:val="single" w:sz="4" w:space="0" w:color="auto"/>
              <w:left w:val="single" w:sz="4" w:space="0" w:color="auto"/>
              <w:bottom w:val="single" w:sz="4" w:space="0" w:color="auto"/>
              <w:right w:val="single" w:sz="4" w:space="0" w:color="000000"/>
            </w:tcBorders>
            <w:shd w:val="clear" w:color="000000" w:fill="BFBFBF"/>
            <w:vAlign w:val="center"/>
            <w:hideMark/>
          </w:tcPr>
          <w:p w14:paraId="165D21F8"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MATRIZ DE INDICADORES PARA RESULTADOS (MIR)</w:t>
            </w:r>
          </w:p>
        </w:tc>
      </w:tr>
      <w:tr w:rsidR="00E23746" w:rsidRPr="00FD08F8" w14:paraId="0E349A9E" w14:textId="77777777" w:rsidTr="006B434D">
        <w:trPr>
          <w:gridAfter w:val="1"/>
          <w:wAfter w:w="10" w:type="dxa"/>
          <w:trHeight w:val="577"/>
        </w:trPr>
        <w:tc>
          <w:tcPr>
            <w:tcW w:w="1269" w:type="dxa"/>
            <w:tcBorders>
              <w:top w:val="nil"/>
              <w:left w:val="single" w:sz="4" w:space="0" w:color="auto"/>
              <w:bottom w:val="single" w:sz="4" w:space="0" w:color="auto"/>
              <w:right w:val="single" w:sz="4" w:space="0" w:color="auto"/>
            </w:tcBorders>
            <w:shd w:val="clear" w:color="000000" w:fill="BFBFBF"/>
            <w:vAlign w:val="center"/>
            <w:hideMark/>
          </w:tcPr>
          <w:p w14:paraId="5386D954"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NIVEL</w:t>
            </w:r>
          </w:p>
        </w:tc>
        <w:tc>
          <w:tcPr>
            <w:tcW w:w="2834" w:type="dxa"/>
            <w:tcBorders>
              <w:top w:val="nil"/>
              <w:left w:val="nil"/>
              <w:bottom w:val="single" w:sz="4" w:space="0" w:color="auto"/>
              <w:right w:val="single" w:sz="4" w:space="0" w:color="auto"/>
            </w:tcBorders>
            <w:shd w:val="clear" w:color="000000" w:fill="BFBFBF"/>
            <w:vAlign w:val="center"/>
            <w:hideMark/>
          </w:tcPr>
          <w:p w14:paraId="774C59E2"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ALINEACIÓN PED/PD</w:t>
            </w:r>
          </w:p>
        </w:tc>
        <w:tc>
          <w:tcPr>
            <w:tcW w:w="2836" w:type="dxa"/>
            <w:tcBorders>
              <w:top w:val="nil"/>
              <w:left w:val="nil"/>
              <w:bottom w:val="single" w:sz="4" w:space="0" w:color="auto"/>
              <w:right w:val="single" w:sz="4" w:space="0" w:color="auto"/>
            </w:tcBorders>
            <w:shd w:val="clear" w:color="000000" w:fill="BFBFBF"/>
            <w:vAlign w:val="center"/>
            <w:hideMark/>
          </w:tcPr>
          <w:p w14:paraId="4721224C"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OBJETIVO</w:t>
            </w:r>
          </w:p>
        </w:tc>
        <w:tc>
          <w:tcPr>
            <w:tcW w:w="2269" w:type="dxa"/>
            <w:tcBorders>
              <w:top w:val="nil"/>
              <w:left w:val="nil"/>
              <w:bottom w:val="single" w:sz="4" w:space="0" w:color="auto"/>
              <w:right w:val="single" w:sz="4" w:space="0" w:color="auto"/>
            </w:tcBorders>
            <w:shd w:val="clear" w:color="000000" w:fill="BFBFBF"/>
            <w:vAlign w:val="center"/>
            <w:hideMark/>
          </w:tcPr>
          <w:p w14:paraId="5D2D865D"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INDICADOR</w:t>
            </w:r>
          </w:p>
        </w:tc>
        <w:tc>
          <w:tcPr>
            <w:tcW w:w="2835" w:type="dxa"/>
            <w:tcBorders>
              <w:top w:val="nil"/>
              <w:left w:val="nil"/>
              <w:bottom w:val="single" w:sz="4" w:space="0" w:color="auto"/>
              <w:right w:val="single" w:sz="4" w:space="0" w:color="auto"/>
            </w:tcBorders>
            <w:shd w:val="clear" w:color="000000" w:fill="BFBFBF"/>
            <w:vAlign w:val="center"/>
            <w:hideMark/>
          </w:tcPr>
          <w:p w14:paraId="368885F0"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MEDIOS DE VERIFICACIÓN</w:t>
            </w:r>
          </w:p>
        </w:tc>
        <w:tc>
          <w:tcPr>
            <w:tcW w:w="2127" w:type="dxa"/>
            <w:tcBorders>
              <w:top w:val="nil"/>
              <w:left w:val="nil"/>
              <w:bottom w:val="single" w:sz="4" w:space="0" w:color="auto"/>
              <w:right w:val="single" w:sz="4" w:space="0" w:color="auto"/>
            </w:tcBorders>
            <w:shd w:val="clear" w:color="000000" w:fill="BFBFBF"/>
            <w:vAlign w:val="center"/>
            <w:hideMark/>
          </w:tcPr>
          <w:p w14:paraId="2E870E19"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SUPUESTO</w:t>
            </w:r>
          </w:p>
        </w:tc>
      </w:tr>
      <w:tr w:rsidR="00E23746" w:rsidRPr="00FD08F8" w14:paraId="12A54C9B" w14:textId="77777777" w:rsidTr="006B434D">
        <w:trPr>
          <w:gridAfter w:val="1"/>
          <w:wAfter w:w="10" w:type="dxa"/>
          <w:trHeight w:val="2136"/>
        </w:trPr>
        <w:tc>
          <w:tcPr>
            <w:tcW w:w="1269" w:type="dxa"/>
            <w:tcBorders>
              <w:top w:val="single" w:sz="4" w:space="0" w:color="auto"/>
              <w:left w:val="single" w:sz="4" w:space="0" w:color="auto"/>
              <w:bottom w:val="single" w:sz="4" w:space="0" w:color="auto"/>
              <w:right w:val="single" w:sz="4" w:space="0" w:color="auto"/>
            </w:tcBorders>
            <w:shd w:val="clear" w:color="auto" w:fill="auto"/>
            <w:hideMark/>
          </w:tcPr>
          <w:p w14:paraId="131C6875"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Fin</w:t>
            </w:r>
          </w:p>
        </w:tc>
        <w:tc>
          <w:tcPr>
            <w:tcW w:w="2834" w:type="dxa"/>
            <w:tcBorders>
              <w:top w:val="single" w:sz="4" w:space="0" w:color="auto"/>
              <w:left w:val="single" w:sz="4" w:space="0" w:color="auto"/>
              <w:bottom w:val="single" w:sz="4" w:space="0" w:color="auto"/>
              <w:right w:val="single" w:sz="4" w:space="0" w:color="auto"/>
            </w:tcBorders>
            <w:shd w:val="clear" w:color="auto" w:fill="auto"/>
            <w:hideMark/>
          </w:tcPr>
          <w:p w14:paraId="43E007CD" w14:textId="77777777" w:rsidR="00E23746" w:rsidRPr="00F5562C" w:rsidRDefault="00E23746" w:rsidP="000B2F10">
            <w:pPr>
              <w:rPr>
                <w:rFonts w:cs="Arial"/>
                <w:sz w:val="20"/>
                <w:szCs w:val="20"/>
              </w:rPr>
            </w:pPr>
            <w:r w:rsidRPr="00F5562C">
              <w:rPr>
                <w:rFonts w:cs="Arial"/>
                <w:sz w:val="20"/>
                <w:szCs w:val="20"/>
              </w:rPr>
              <w:t>Garantizar el acceso y permanencia a una educación inclusiva y de calidad en todos los niveles educativos que promueva en los educandos aprendizajes para la vida.</w:t>
            </w:r>
          </w:p>
        </w:tc>
        <w:tc>
          <w:tcPr>
            <w:tcW w:w="2836" w:type="dxa"/>
            <w:tcBorders>
              <w:top w:val="single" w:sz="4" w:space="0" w:color="auto"/>
              <w:left w:val="single" w:sz="4" w:space="0" w:color="auto"/>
              <w:bottom w:val="single" w:sz="4" w:space="0" w:color="auto"/>
              <w:right w:val="single" w:sz="4" w:space="0" w:color="auto"/>
            </w:tcBorders>
            <w:shd w:val="clear" w:color="auto" w:fill="auto"/>
            <w:hideMark/>
          </w:tcPr>
          <w:p w14:paraId="04981F44" w14:textId="77777777" w:rsidR="00E23746" w:rsidRPr="00F5562C" w:rsidRDefault="00E23746" w:rsidP="000B2F10">
            <w:pPr>
              <w:rPr>
                <w:rFonts w:cs="Arial"/>
                <w:sz w:val="20"/>
                <w:szCs w:val="20"/>
              </w:rPr>
            </w:pPr>
            <w:r w:rsidRPr="00F5562C">
              <w:rPr>
                <w:rFonts w:cs="Arial"/>
                <w:sz w:val="20"/>
                <w:szCs w:val="20"/>
              </w:rPr>
              <w:t xml:space="preserve">F - </w:t>
            </w:r>
            <w:r w:rsidRPr="001C646D">
              <w:rPr>
                <w:rFonts w:cs="Arial"/>
                <w:sz w:val="20"/>
                <w:szCs w:val="20"/>
              </w:rPr>
              <w:t>Contribuir a garantizar el acceso y permanencia a una educación inclusiva y de calidad en todos los niveles educativos que promueva en los educandos aprendizajes para la vida mediante estrategias de atención a la demanda y permanencia en todos los niveles educativos</w:t>
            </w:r>
            <w:r w:rsidRPr="00F5562C">
              <w:rPr>
                <w:rFonts w:cs="Arial"/>
                <w:sz w:val="20"/>
                <w:szCs w:val="20"/>
              </w:rPr>
              <w:t>.</w:t>
            </w:r>
          </w:p>
        </w:tc>
        <w:tc>
          <w:tcPr>
            <w:tcW w:w="2269" w:type="dxa"/>
            <w:tcBorders>
              <w:top w:val="single" w:sz="4" w:space="0" w:color="auto"/>
              <w:left w:val="single" w:sz="4" w:space="0" w:color="auto"/>
              <w:bottom w:val="single" w:sz="4" w:space="0" w:color="auto"/>
              <w:right w:val="single" w:sz="4" w:space="0" w:color="auto"/>
            </w:tcBorders>
            <w:shd w:val="clear" w:color="FFFFFF" w:fill="FFFFFF"/>
            <w:hideMark/>
          </w:tcPr>
          <w:p w14:paraId="5AF4145F" w14:textId="77777777" w:rsidR="00E23746" w:rsidRPr="00F5562C" w:rsidRDefault="00E23746" w:rsidP="000B2F10">
            <w:pPr>
              <w:rPr>
                <w:rFonts w:cs="Arial"/>
                <w:sz w:val="20"/>
                <w:szCs w:val="20"/>
              </w:rPr>
            </w:pPr>
            <w:r w:rsidRPr="00F5562C">
              <w:rPr>
                <w:rFonts w:cs="Arial"/>
                <w:sz w:val="20"/>
                <w:szCs w:val="20"/>
              </w:rPr>
              <w:t>Tasa de cobertura estatal de educación superior.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0BE61D8" w14:textId="77777777" w:rsidR="00E23746" w:rsidRPr="00F5562C" w:rsidRDefault="00E23746" w:rsidP="000B2F10">
            <w:pPr>
              <w:rPr>
                <w:rFonts w:cs="Arial"/>
                <w:sz w:val="20"/>
                <w:szCs w:val="20"/>
              </w:rPr>
            </w:pPr>
            <w:r w:rsidRPr="00846E84">
              <w:rPr>
                <w:rFonts w:eastAsia="Times New Roman" w:cs="Arial"/>
                <w:sz w:val="20"/>
                <w:szCs w:val="20"/>
                <w:lang w:val="es-MX" w:eastAsia="es-MX"/>
              </w:rPr>
              <w:t>Estadísticas continúas del formato 911, matrícula de inicio de ciclo escolar, SEQ. Proyecciones de población por edad desplegada, entidad federativa (Quintana Roo) 1970-2050, CONAPO, https://qroo.gob.mx/seq/medio</w:t>
            </w:r>
            <w:r>
              <w:rPr>
                <w:rFonts w:eastAsia="Times New Roman" w:cs="Arial"/>
                <w:sz w:val="20"/>
                <w:szCs w:val="20"/>
                <w:lang w:val="es-MX" w:eastAsia="es-MX"/>
              </w:rPr>
              <w:t>s</w:t>
            </w:r>
            <w:r w:rsidRPr="00846E84">
              <w:rPr>
                <w:rFonts w:eastAsia="Times New Roman" w:cs="Arial"/>
                <w:sz w:val="20"/>
                <w:szCs w:val="20"/>
                <w:lang w:val="es-MX" w:eastAsia="es-MX"/>
              </w:rPr>
              <w:t>-de-verificacion-de-la-planeacion-anual</w:t>
            </w:r>
            <w:r>
              <w:rPr>
                <w:rFonts w:eastAsia="Times New Roman" w:cs="Arial"/>
                <w:sz w:val="20"/>
                <w:szCs w:val="20"/>
                <w:lang w:val="es-MX" w:eastAsia="es-MX"/>
              </w:rPr>
              <w:t>.</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14:paraId="02BC7370" w14:textId="77777777" w:rsidR="00E23746" w:rsidRPr="00F5562C" w:rsidRDefault="00E23746" w:rsidP="000B2F10">
            <w:pPr>
              <w:rPr>
                <w:rFonts w:cs="Arial"/>
                <w:sz w:val="20"/>
                <w:szCs w:val="20"/>
              </w:rPr>
            </w:pPr>
            <w:r w:rsidRPr="00F5562C">
              <w:rPr>
                <w:rFonts w:cs="Arial"/>
                <w:sz w:val="20"/>
                <w:szCs w:val="20"/>
              </w:rPr>
              <w:t>La población del Estado obtiene una educación integral de calidad que les permite progresar individual y colectivamente.</w:t>
            </w:r>
          </w:p>
        </w:tc>
      </w:tr>
      <w:tr w:rsidR="00E23746" w:rsidRPr="00C4101B" w14:paraId="7491FE70" w14:textId="77777777" w:rsidTr="006B434D">
        <w:trPr>
          <w:gridAfter w:val="1"/>
          <w:wAfter w:w="10" w:type="dxa"/>
          <w:trHeight w:val="550"/>
        </w:trPr>
        <w:tc>
          <w:tcPr>
            <w:tcW w:w="1269" w:type="dxa"/>
            <w:tcBorders>
              <w:top w:val="single" w:sz="4" w:space="0" w:color="auto"/>
              <w:left w:val="single" w:sz="4" w:space="0" w:color="auto"/>
              <w:bottom w:val="single" w:sz="4" w:space="0" w:color="auto"/>
              <w:right w:val="single" w:sz="4" w:space="0" w:color="auto"/>
            </w:tcBorders>
            <w:shd w:val="clear" w:color="auto" w:fill="auto"/>
            <w:hideMark/>
          </w:tcPr>
          <w:p w14:paraId="6A78A3A2"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Propósito</w:t>
            </w:r>
          </w:p>
        </w:tc>
        <w:tc>
          <w:tcPr>
            <w:tcW w:w="2834" w:type="dxa"/>
            <w:tcBorders>
              <w:top w:val="single" w:sz="4" w:space="0" w:color="auto"/>
              <w:left w:val="single" w:sz="4" w:space="0" w:color="auto"/>
              <w:bottom w:val="single" w:sz="4" w:space="0" w:color="auto"/>
              <w:right w:val="single" w:sz="4" w:space="0" w:color="auto"/>
            </w:tcBorders>
            <w:shd w:val="clear" w:color="auto" w:fill="auto"/>
            <w:hideMark/>
          </w:tcPr>
          <w:p w14:paraId="312A8014" w14:textId="77777777" w:rsidR="00E23746" w:rsidRPr="00EF61A9" w:rsidRDefault="00E23746" w:rsidP="000B2F10">
            <w:pPr>
              <w:rPr>
                <w:rFonts w:cs="Arial"/>
                <w:sz w:val="18"/>
                <w:szCs w:val="20"/>
              </w:rPr>
            </w:pPr>
            <w:r w:rsidRPr="00EF61A9">
              <w:rPr>
                <w:rFonts w:cs="Arial"/>
                <w:sz w:val="18"/>
                <w:szCs w:val="20"/>
              </w:rPr>
              <w:t>Asegurar la calidad de la formación profesional a través de programas y proyectos que favorezcan la continuidad y conclusión de los estudiantes de educación superior, acorde a las necesidades que requiere el desarrollo social y económico del estado.</w:t>
            </w:r>
          </w:p>
        </w:tc>
        <w:tc>
          <w:tcPr>
            <w:tcW w:w="2836" w:type="dxa"/>
            <w:tcBorders>
              <w:top w:val="single" w:sz="4" w:space="0" w:color="auto"/>
              <w:left w:val="single" w:sz="4" w:space="0" w:color="auto"/>
              <w:bottom w:val="single" w:sz="4" w:space="0" w:color="auto"/>
              <w:right w:val="single" w:sz="4" w:space="0" w:color="auto"/>
            </w:tcBorders>
            <w:shd w:val="clear" w:color="auto" w:fill="auto"/>
            <w:hideMark/>
          </w:tcPr>
          <w:p w14:paraId="46804D44" w14:textId="77777777" w:rsidR="00E23746" w:rsidRPr="00EF61A9" w:rsidRDefault="00E23746" w:rsidP="000B2F10">
            <w:pPr>
              <w:rPr>
                <w:rFonts w:cs="Arial"/>
                <w:sz w:val="18"/>
                <w:szCs w:val="20"/>
              </w:rPr>
            </w:pPr>
            <w:r w:rsidRPr="00EF61A9">
              <w:rPr>
                <w:rFonts w:cs="Arial"/>
                <w:sz w:val="18"/>
                <w:szCs w:val="20"/>
              </w:rPr>
              <w:t>P - Los alumnos de educación superior aseguran la continuidad y conclusión de sus estudios a través de programas y proyectos que favorezcan la calidad de la formación profesional.</w:t>
            </w:r>
          </w:p>
        </w:tc>
        <w:tc>
          <w:tcPr>
            <w:tcW w:w="2269" w:type="dxa"/>
            <w:tcBorders>
              <w:top w:val="single" w:sz="4" w:space="0" w:color="auto"/>
              <w:left w:val="single" w:sz="4" w:space="0" w:color="auto"/>
              <w:bottom w:val="single" w:sz="4" w:space="0" w:color="auto"/>
              <w:right w:val="single" w:sz="4" w:space="0" w:color="auto"/>
            </w:tcBorders>
            <w:shd w:val="clear" w:color="FFFFFF" w:fill="FFFFFF"/>
            <w:hideMark/>
          </w:tcPr>
          <w:p w14:paraId="432106EA" w14:textId="77777777" w:rsidR="00E23746" w:rsidRPr="00EF61A9" w:rsidRDefault="00E23746" w:rsidP="000B2F10">
            <w:pPr>
              <w:rPr>
                <w:rFonts w:cs="Arial"/>
                <w:sz w:val="18"/>
                <w:szCs w:val="20"/>
              </w:rPr>
            </w:pPr>
            <w:r w:rsidRPr="00EF61A9">
              <w:rPr>
                <w:rFonts w:cs="Arial"/>
                <w:sz w:val="18"/>
                <w:szCs w:val="20"/>
              </w:rPr>
              <w:t>Tasa de eficiencia terminal de educación superior.</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5131759" w14:textId="77777777" w:rsidR="00E23746" w:rsidRPr="00EF61A9" w:rsidRDefault="00E23746" w:rsidP="000B2F10">
            <w:pPr>
              <w:rPr>
                <w:rFonts w:cs="Arial"/>
                <w:sz w:val="18"/>
                <w:szCs w:val="20"/>
              </w:rPr>
            </w:pPr>
            <w:r w:rsidRPr="00EF61A9">
              <w:rPr>
                <w:rFonts w:cs="Arial"/>
                <w:sz w:val="18"/>
                <w:szCs w:val="20"/>
              </w:rPr>
              <w:t>Estadísticas continúas del formato 911 inicio de ciclo escolar, SEQ.Liga:qroo.gob.mx/seq/medios-de-verificacion-de-la-planeacion-anual.</w:t>
            </w:r>
          </w:p>
        </w:tc>
        <w:tc>
          <w:tcPr>
            <w:tcW w:w="2127" w:type="dxa"/>
            <w:tcBorders>
              <w:top w:val="single" w:sz="4" w:space="0" w:color="auto"/>
              <w:left w:val="single" w:sz="4" w:space="0" w:color="auto"/>
              <w:bottom w:val="single" w:sz="4" w:space="0" w:color="auto"/>
              <w:right w:val="single" w:sz="4" w:space="0" w:color="auto"/>
            </w:tcBorders>
            <w:shd w:val="clear" w:color="FFFFFF" w:fill="FFFFFF"/>
            <w:hideMark/>
          </w:tcPr>
          <w:p w14:paraId="28739118" w14:textId="77777777" w:rsidR="00E23746" w:rsidRPr="00EF61A9" w:rsidRDefault="00E23746" w:rsidP="000B2F10">
            <w:pPr>
              <w:rPr>
                <w:rFonts w:cs="Arial"/>
                <w:sz w:val="18"/>
                <w:szCs w:val="20"/>
              </w:rPr>
            </w:pPr>
            <w:r w:rsidRPr="00EF61A9">
              <w:rPr>
                <w:rFonts w:cs="Arial"/>
                <w:sz w:val="18"/>
                <w:szCs w:val="20"/>
              </w:rPr>
              <w:t>Los alumnos de educación superior concluyen sus estudios.</w:t>
            </w:r>
          </w:p>
        </w:tc>
      </w:tr>
    </w:tbl>
    <w:p w14:paraId="1C82A42C" w14:textId="77777777" w:rsidR="00D36037" w:rsidRDefault="00D36037">
      <w:pPr>
        <w:spacing w:after="0" w:line="240" w:lineRule="auto"/>
        <w:jc w:val="left"/>
      </w:pPr>
      <w:r>
        <w:br w:type="page"/>
      </w:r>
    </w:p>
    <w:tbl>
      <w:tblPr>
        <w:tblW w:w="14170" w:type="dxa"/>
        <w:tblLayout w:type="fixed"/>
        <w:tblCellMar>
          <w:left w:w="70" w:type="dxa"/>
          <w:right w:w="70" w:type="dxa"/>
        </w:tblCellMar>
        <w:tblLook w:val="04A0" w:firstRow="1" w:lastRow="0" w:firstColumn="1" w:lastColumn="0" w:noHBand="0" w:noVBand="1"/>
      </w:tblPr>
      <w:tblGrid>
        <w:gridCol w:w="1413"/>
        <w:gridCol w:w="2690"/>
        <w:gridCol w:w="2836"/>
        <w:gridCol w:w="2269"/>
        <w:gridCol w:w="2835"/>
        <w:gridCol w:w="2127"/>
      </w:tblGrid>
      <w:tr w:rsidR="00E23746" w:rsidRPr="00FD08F8" w14:paraId="17195521" w14:textId="77777777" w:rsidTr="00A366B6">
        <w:trPr>
          <w:trHeight w:val="577"/>
        </w:trPr>
        <w:tc>
          <w:tcPr>
            <w:tcW w:w="1413"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1FDAFBC9"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lastRenderedPageBreak/>
              <w:t>NIVEL</w:t>
            </w:r>
          </w:p>
        </w:tc>
        <w:tc>
          <w:tcPr>
            <w:tcW w:w="2690" w:type="dxa"/>
            <w:tcBorders>
              <w:top w:val="single" w:sz="4" w:space="0" w:color="auto"/>
              <w:left w:val="nil"/>
              <w:bottom w:val="single" w:sz="4" w:space="0" w:color="auto"/>
              <w:right w:val="single" w:sz="4" w:space="0" w:color="auto"/>
            </w:tcBorders>
            <w:shd w:val="clear" w:color="000000" w:fill="BFBFBF"/>
            <w:vAlign w:val="center"/>
            <w:hideMark/>
          </w:tcPr>
          <w:p w14:paraId="2EFA137B"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ALINEACIÓN PED/PD</w:t>
            </w:r>
          </w:p>
        </w:tc>
        <w:tc>
          <w:tcPr>
            <w:tcW w:w="2836" w:type="dxa"/>
            <w:tcBorders>
              <w:top w:val="single" w:sz="4" w:space="0" w:color="auto"/>
              <w:left w:val="nil"/>
              <w:bottom w:val="single" w:sz="4" w:space="0" w:color="auto"/>
              <w:right w:val="single" w:sz="4" w:space="0" w:color="auto"/>
            </w:tcBorders>
            <w:shd w:val="clear" w:color="000000" w:fill="BFBFBF"/>
            <w:vAlign w:val="center"/>
            <w:hideMark/>
          </w:tcPr>
          <w:p w14:paraId="4ACA17C5"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OBJETIVO</w:t>
            </w:r>
          </w:p>
        </w:tc>
        <w:tc>
          <w:tcPr>
            <w:tcW w:w="2269" w:type="dxa"/>
            <w:tcBorders>
              <w:top w:val="single" w:sz="4" w:space="0" w:color="auto"/>
              <w:left w:val="nil"/>
              <w:bottom w:val="single" w:sz="4" w:space="0" w:color="auto"/>
              <w:right w:val="single" w:sz="4" w:space="0" w:color="auto"/>
            </w:tcBorders>
            <w:shd w:val="clear" w:color="000000" w:fill="BFBFBF"/>
            <w:vAlign w:val="center"/>
            <w:hideMark/>
          </w:tcPr>
          <w:p w14:paraId="45FEC259"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INDICADOR</w:t>
            </w:r>
          </w:p>
        </w:tc>
        <w:tc>
          <w:tcPr>
            <w:tcW w:w="2835" w:type="dxa"/>
            <w:tcBorders>
              <w:top w:val="single" w:sz="4" w:space="0" w:color="auto"/>
              <w:left w:val="nil"/>
              <w:bottom w:val="single" w:sz="4" w:space="0" w:color="auto"/>
              <w:right w:val="single" w:sz="4" w:space="0" w:color="auto"/>
            </w:tcBorders>
            <w:shd w:val="clear" w:color="000000" w:fill="BFBFBF"/>
            <w:vAlign w:val="center"/>
            <w:hideMark/>
          </w:tcPr>
          <w:p w14:paraId="5972ABBE"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MEDIOS DE VERIFICACIÓN</w:t>
            </w:r>
          </w:p>
        </w:tc>
        <w:tc>
          <w:tcPr>
            <w:tcW w:w="2127" w:type="dxa"/>
            <w:tcBorders>
              <w:top w:val="single" w:sz="4" w:space="0" w:color="auto"/>
              <w:left w:val="nil"/>
              <w:bottom w:val="single" w:sz="4" w:space="0" w:color="auto"/>
              <w:right w:val="single" w:sz="4" w:space="0" w:color="auto"/>
            </w:tcBorders>
            <w:shd w:val="clear" w:color="000000" w:fill="BFBFBF"/>
            <w:vAlign w:val="center"/>
            <w:hideMark/>
          </w:tcPr>
          <w:p w14:paraId="1F3388F1"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SUPUESTO</w:t>
            </w:r>
          </w:p>
        </w:tc>
      </w:tr>
      <w:tr w:rsidR="00E23746" w:rsidRPr="00FD08F8" w14:paraId="1E115225" w14:textId="77777777" w:rsidTr="00A366B6">
        <w:trPr>
          <w:trHeight w:val="1791"/>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14:paraId="41E382B8"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Componente</w:t>
            </w:r>
          </w:p>
        </w:tc>
        <w:tc>
          <w:tcPr>
            <w:tcW w:w="2690" w:type="dxa"/>
            <w:tcBorders>
              <w:top w:val="single" w:sz="4" w:space="0" w:color="auto"/>
              <w:left w:val="single" w:sz="4" w:space="0" w:color="auto"/>
              <w:bottom w:val="single" w:sz="4" w:space="0" w:color="auto"/>
              <w:right w:val="single" w:sz="4" w:space="0" w:color="auto"/>
            </w:tcBorders>
            <w:shd w:val="clear" w:color="auto" w:fill="auto"/>
            <w:hideMark/>
          </w:tcPr>
          <w:p w14:paraId="501A9B5E" w14:textId="77777777" w:rsidR="00E23746" w:rsidRPr="00F5562C" w:rsidRDefault="00E23746" w:rsidP="000B2F10">
            <w:pPr>
              <w:rPr>
                <w:rFonts w:cs="Arial"/>
                <w:sz w:val="20"/>
                <w:szCs w:val="20"/>
              </w:rPr>
            </w:pPr>
            <w:r w:rsidRPr="00F5562C">
              <w:rPr>
                <w:rFonts w:cs="Arial"/>
                <w:sz w:val="20"/>
                <w:szCs w:val="20"/>
              </w:rPr>
              <w:t>Fortalecer la oferta educativa de las instituciones de educación superior para asegurar la pertinencia con base en las necesidades de la entidad.</w:t>
            </w:r>
          </w:p>
        </w:tc>
        <w:tc>
          <w:tcPr>
            <w:tcW w:w="2836" w:type="dxa"/>
            <w:tcBorders>
              <w:top w:val="single" w:sz="4" w:space="0" w:color="auto"/>
              <w:left w:val="single" w:sz="4" w:space="0" w:color="auto"/>
              <w:bottom w:val="single" w:sz="4" w:space="0" w:color="auto"/>
              <w:right w:val="single" w:sz="4" w:space="0" w:color="auto"/>
            </w:tcBorders>
            <w:shd w:val="clear" w:color="auto" w:fill="auto"/>
            <w:hideMark/>
          </w:tcPr>
          <w:p w14:paraId="27C74CC7" w14:textId="77777777" w:rsidR="00E23746" w:rsidRPr="00F5562C" w:rsidRDefault="00E23746" w:rsidP="000B2F10">
            <w:pPr>
              <w:rPr>
                <w:rFonts w:cs="Arial"/>
                <w:sz w:val="20"/>
                <w:szCs w:val="20"/>
              </w:rPr>
            </w:pPr>
            <w:r w:rsidRPr="00574DAC">
              <w:rPr>
                <w:rFonts w:cs="Arial"/>
                <w:sz w:val="20"/>
                <w:szCs w:val="20"/>
              </w:rPr>
              <w:t>C01</w:t>
            </w:r>
            <w:r>
              <w:rPr>
                <w:rFonts w:cs="Arial"/>
                <w:sz w:val="20"/>
                <w:szCs w:val="20"/>
              </w:rPr>
              <w:t xml:space="preserve"> </w:t>
            </w:r>
            <w:r w:rsidRPr="00574DAC">
              <w:rPr>
                <w:rFonts w:cs="Arial"/>
                <w:sz w:val="20"/>
                <w:szCs w:val="20"/>
              </w:rPr>
              <w:t xml:space="preserve">- </w:t>
            </w:r>
            <w:r w:rsidRPr="00F5562C">
              <w:rPr>
                <w:rFonts w:cs="Arial"/>
                <w:sz w:val="20"/>
                <w:szCs w:val="20"/>
              </w:rPr>
              <w:t>Educación superior con calidad y pertinencia impartida</w:t>
            </w:r>
            <w:r>
              <w:rPr>
                <w:rFonts w:cs="Arial"/>
                <w:sz w:val="20"/>
                <w:szCs w:val="20"/>
              </w:rPr>
              <w:t>.</w:t>
            </w:r>
          </w:p>
        </w:tc>
        <w:tc>
          <w:tcPr>
            <w:tcW w:w="2269" w:type="dxa"/>
            <w:tcBorders>
              <w:top w:val="single" w:sz="4" w:space="0" w:color="auto"/>
              <w:left w:val="single" w:sz="4" w:space="0" w:color="auto"/>
              <w:bottom w:val="single" w:sz="4" w:space="0" w:color="auto"/>
              <w:right w:val="single" w:sz="4" w:space="0" w:color="auto"/>
            </w:tcBorders>
            <w:shd w:val="clear" w:color="FFFFFF" w:fill="FFFFFF"/>
            <w:hideMark/>
          </w:tcPr>
          <w:p w14:paraId="23D929CA" w14:textId="77777777" w:rsidR="00E23746" w:rsidRPr="00F5562C" w:rsidRDefault="00E23746" w:rsidP="000B2F10">
            <w:pPr>
              <w:rPr>
                <w:rFonts w:cs="Arial"/>
                <w:sz w:val="20"/>
                <w:szCs w:val="20"/>
              </w:rPr>
            </w:pPr>
            <w:r w:rsidRPr="00574DAC">
              <w:rPr>
                <w:rFonts w:cs="Arial"/>
                <w:sz w:val="20"/>
                <w:szCs w:val="20"/>
              </w:rPr>
              <w:t>C01</w:t>
            </w:r>
            <w:r>
              <w:rPr>
                <w:rFonts w:cs="Arial"/>
                <w:sz w:val="20"/>
                <w:szCs w:val="20"/>
              </w:rPr>
              <w:t xml:space="preserve"> </w:t>
            </w:r>
            <w:r w:rsidRPr="00574DAC">
              <w:rPr>
                <w:rFonts w:cs="Arial"/>
                <w:sz w:val="20"/>
                <w:szCs w:val="20"/>
              </w:rPr>
              <w:t xml:space="preserve">- </w:t>
            </w:r>
            <w:r w:rsidRPr="00F5562C">
              <w:rPr>
                <w:rFonts w:cs="Arial"/>
                <w:sz w:val="20"/>
                <w:szCs w:val="20"/>
              </w:rPr>
              <w:t>Matrícula atendida.</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5D24E666" w14:textId="77777777" w:rsidR="00E23746" w:rsidRPr="00F5562C" w:rsidRDefault="00E23746" w:rsidP="000B2F10">
            <w:pPr>
              <w:rPr>
                <w:rFonts w:cs="Arial"/>
                <w:sz w:val="20"/>
                <w:szCs w:val="20"/>
              </w:rPr>
            </w:pPr>
            <w:r w:rsidRPr="00F5562C">
              <w:rPr>
                <w:rFonts w:cs="Arial"/>
                <w:sz w:val="20"/>
                <w:szCs w:val="20"/>
              </w:rPr>
              <w:t>Estadísticas continúas del formato 911 inicio de ciclo escolar, SEQ. http://sige.seq.gob.mx/sistemas/estadistica/formas/inicio.php.</w:t>
            </w:r>
          </w:p>
        </w:tc>
        <w:tc>
          <w:tcPr>
            <w:tcW w:w="2127" w:type="dxa"/>
            <w:tcBorders>
              <w:top w:val="single" w:sz="4" w:space="0" w:color="auto"/>
              <w:left w:val="single" w:sz="4" w:space="0" w:color="auto"/>
              <w:bottom w:val="single" w:sz="4" w:space="0" w:color="auto"/>
              <w:right w:val="single" w:sz="4" w:space="0" w:color="auto"/>
            </w:tcBorders>
            <w:shd w:val="clear" w:color="auto" w:fill="auto"/>
            <w:hideMark/>
          </w:tcPr>
          <w:p w14:paraId="6BA7C3D9" w14:textId="77777777" w:rsidR="00E23746" w:rsidRPr="00F5562C" w:rsidRDefault="00E23746" w:rsidP="000B2F10">
            <w:pPr>
              <w:rPr>
                <w:rFonts w:cs="Arial"/>
                <w:sz w:val="20"/>
                <w:szCs w:val="20"/>
              </w:rPr>
            </w:pPr>
            <w:r w:rsidRPr="00F5562C">
              <w:rPr>
                <w:rFonts w:cs="Arial"/>
                <w:sz w:val="20"/>
                <w:szCs w:val="20"/>
              </w:rPr>
              <w:t>La Universidad cuenta con la capacidad instalada para atender a toda la matrícula de nuevo ingreso.</w:t>
            </w:r>
          </w:p>
        </w:tc>
      </w:tr>
      <w:tr w:rsidR="00E23746" w:rsidRPr="00FD08F8" w14:paraId="4DED2D6F" w14:textId="77777777" w:rsidTr="00A366B6">
        <w:trPr>
          <w:trHeight w:val="1707"/>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14:paraId="19892817"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Actividad</w:t>
            </w:r>
          </w:p>
        </w:tc>
        <w:tc>
          <w:tcPr>
            <w:tcW w:w="2690" w:type="dxa"/>
            <w:tcBorders>
              <w:top w:val="single" w:sz="4" w:space="0" w:color="auto"/>
              <w:left w:val="single" w:sz="4" w:space="0" w:color="auto"/>
              <w:bottom w:val="single" w:sz="4" w:space="0" w:color="auto"/>
              <w:right w:val="single" w:sz="4" w:space="0" w:color="auto"/>
            </w:tcBorders>
            <w:shd w:val="clear" w:color="auto" w:fill="auto"/>
            <w:hideMark/>
          </w:tcPr>
          <w:p w14:paraId="3DD3BB3E" w14:textId="77777777" w:rsidR="00E23746" w:rsidRPr="00F5562C" w:rsidRDefault="00E23746" w:rsidP="000B2F10">
            <w:pPr>
              <w:rPr>
                <w:rFonts w:cs="Arial"/>
                <w:sz w:val="20"/>
                <w:szCs w:val="20"/>
              </w:rPr>
            </w:pPr>
            <w:r w:rsidRPr="00F5562C">
              <w:rPr>
                <w:rFonts w:cs="Arial"/>
                <w:sz w:val="20"/>
                <w:szCs w:val="20"/>
              </w:rPr>
              <w:t>Implementar programas de formación y actualización docente al interior de las instituciones de educación superior.</w:t>
            </w:r>
          </w:p>
        </w:tc>
        <w:tc>
          <w:tcPr>
            <w:tcW w:w="2836" w:type="dxa"/>
            <w:tcBorders>
              <w:top w:val="single" w:sz="4" w:space="0" w:color="auto"/>
              <w:left w:val="single" w:sz="4" w:space="0" w:color="auto"/>
              <w:bottom w:val="single" w:sz="4" w:space="0" w:color="auto"/>
              <w:right w:val="single" w:sz="4" w:space="0" w:color="auto"/>
            </w:tcBorders>
            <w:shd w:val="clear" w:color="auto" w:fill="auto"/>
            <w:hideMark/>
          </w:tcPr>
          <w:p w14:paraId="7EC31EE6" w14:textId="77777777" w:rsidR="00E23746" w:rsidRDefault="00E23746" w:rsidP="000B2F10">
            <w:pPr>
              <w:rPr>
                <w:rFonts w:cs="Arial"/>
                <w:sz w:val="20"/>
                <w:szCs w:val="20"/>
              </w:rPr>
            </w:pPr>
            <w:r w:rsidRPr="00574DAC">
              <w:rPr>
                <w:rFonts w:cs="Arial"/>
                <w:sz w:val="20"/>
                <w:szCs w:val="20"/>
              </w:rPr>
              <w:t xml:space="preserve">C01.A01 - </w:t>
            </w:r>
            <w:r w:rsidRPr="00F5562C">
              <w:rPr>
                <w:rFonts w:cs="Arial"/>
                <w:sz w:val="20"/>
                <w:szCs w:val="20"/>
              </w:rPr>
              <w:t xml:space="preserve">Implementación de un programa permanente de formación y actualización docente para que realicen sus funciones con eficiencia, eficacia y efectividad. </w:t>
            </w:r>
          </w:p>
          <w:p w14:paraId="1E85548B" w14:textId="77777777" w:rsidR="00E23746" w:rsidRPr="00F5562C" w:rsidRDefault="00E23746" w:rsidP="000B2F10">
            <w:pPr>
              <w:rPr>
                <w:rFonts w:cs="Arial"/>
                <w:sz w:val="20"/>
                <w:szCs w:val="20"/>
              </w:rPr>
            </w:pPr>
          </w:p>
        </w:tc>
        <w:tc>
          <w:tcPr>
            <w:tcW w:w="2269" w:type="dxa"/>
            <w:tcBorders>
              <w:top w:val="single" w:sz="4" w:space="0" w:color="auto"/>
              <w:left w:val="single" w:sz="4" w:space="0" w:color="auto"/>
              <w:bottom w:val="single" w:sz="4" w:space="0" w:color="auto"/>
              <w:right w:val="single" w:sz="4" w:space="0" w:color="auto"/>
            </w:tcBorders>
            <w:shd w:val="clear" w:color="FFFFFF" w:fill="FFFFFF"/>
            <w:hideMark/>
          </w:tcPr>
          <w:p w14:paraId="7C091D0D" w14:textId="77777777" w:rsidR="00E23746" w:rsidRPr="00F5562C" w:rsidRDefault="00E23746" w:rsidP="000B2F10">
            <w:pPr>
              <w:rPr>
                <w:rFonts w:cs="Arial"/>
                <w:sz w:val="20"/>
                <w:szCs w:val="20"/>
              </w:rPr>
            </w:pPr>
            <w:r w:rsidRPr="00574DAC">
              <w:rPr>
                <w:rFonts w:cs="Arial"/>
                <w:sz w:val="20"/>
                <w:szCs w:val="20"/>
              </w:rPr>
              <w:t xml:space="preserve">C01A01 - </w:t>
            </w:r>
            <w:r w:rsidRPr="00F5562C">
              <w:rPr>
                <w:rFonts w:cs="Arial"/>
                <w:sz w:val="20"/>
                <w:szCs w:val="20"/>
              </w:rPr>
              <w:t>Porcentaje de docentes  con desempeño competente y destacado</w:t>
            </w:r>
            <w:r>
              <w:rPr>
                <w:rFonts w:cs="Arial"/>
                <w:sz w:val="20"/>
                <w:szCs w:val="20"/>
              </w:rPr>
              <w:t>.</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04AC83A6" w14:textId="77777777" w:rsidR="00E23746" w:rsidRPr="00F5562C" w:rsidRDefault="00E23746" w:rsidP="000B2F10">
            <w:pPr>
              <w:rPr>
                <w:rFonts w:cs="Arial"/>
                <w:sz w:val="20"/>
                <w:szCs w:val="20"/>
              </w:rPr>
            </w:pPr>
            <w:r w:rsidRPr="00F5562C">
              <w:rPr>
                <w:rFonts w:cs="Arial"/>
                <w:sz w:val="20"/>
                <w:szCs w:val="20"/>
              </w:rPr>
              <w:t>Reporte ejecutivo del desempeño</w:t>
            </w:r>
            <w:r>
              <w:rPr>
                <w:rFonts w:cs="Arial"/>
                <w:sz w:val="20"/>
                <w:szCs w:val="20"/>
              </w:rPr>
              <w:t xml:space="preserve"> </w:t>
            </w:r>
            <w:hyperlink r:id="rId71" w:history="1">
              <w:r w:rsidRPr="00F5562C">
                <w:rPr>
                  <w:rFonts w:cs="Arial"/>
                  <w:sz w:val="20"/>
                  <w:szCs w:val="20"/>
                </w:rPr>
                <w:t>http://utcancun.edu.mx/desempeno-institucional/</w:t>
              </w:r>
            </w:hyperlink>
            <w:r>
              <w:rPr>
                <w:rFonts w:cs="Arial"/>
                <w:sz w:val="20"/>
                <w:szCs w:val="20"/>
              </w:rPr>
              <w:t>.</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69431799" w14:textId="77777777" w:rsidR="00E23746" w:rsidRPr="00F5562C" w:rsidRDefault="00E23746" w:rsidP="000B2F10">
            <w:pPr>
              <w:rPr>
                <w:rFonts w:cs="Arial"/>
                <w:sz w:val="20"/>
                <w:szCs w:val="20"/>
              </w:rPr>
            </w:pPr>
            <w:r w:rsidRPr="00F5562C">
              <w:rPr>
                <w:rFonts w:cs="Arial"/>
                <w:sz w:val="20"/>
                <w:szCs w:val="20"/>
              </w:rPr>
              <w:t>Los docentes se mantienen actualizados para realizar sus funciones académicas.</w:t>
            </w:r>
          </w:p>
        </w:tc>
      </w:tr>
      <w:tr w:rsidR="00E23746" w:rsidRPr="00FD08F8" w14:paraId="03745C0A" w14:textId="77777777" w:rsidTr="00A366B6">
        <w:trPr>
          <w:trHeight w:val="1920"/>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14:paraId="1EF4E7E6"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Actividad</w:t>
            </w:r>
          </w:p>
        </w:tc>
        <w:tc>
          <w:tcPr>
            <w:tcW w:w="2690" w:type="dxa"/>
            <w:tcBorders>
              <w:top w:val="single" w:sz="4" w:space="0" w:color="auto"/>
              <w:left w:val="single" w:sz="4" w:space="0" w:color="auto"/>
              <w:bottom w:val="single" w:sz="4" w:space="0" w:color="auto"/>
              <w:right w:val="single" w:sz="4" w:space="0" w:color="auto"/>
            </w:tcBorders>
            <w:shd w:val="clear" w:color="auto" w:fill="auto"/>
            <w:hideMark/>
          </w:tcPr>
          <w:p w14:paraId="34711D99" w14:textId="77777777" w:rsidR="00E23746" w:rsidRDefault="00E23746" w:rsidP="000B2F10">
            <w:pPr>
              <w:rPr>
                <w:rFonts w:cs="Arial"/>
                <w:sz w:val="20"/>
                <w:szCs w:val="20"/>
              </w:rPr>
            </w:pPr>
            <w:r w:rsidRPr="00F5562C">
              <w:rPr>
                <w:rFonts w:cs="Arial"/>
                <w:sz w:val="20"/>
                <w:szCs w:val="20"/>
              </w:rPr>
              <w:t>Fortalecer los programas de</w:t>
            </w:r>
            <w:r>
              <w:rPr>
                <w:rFonts w:cs="Arial"/>
                <w:sz w:val="20"/>
                <w:szCs w:val="20"/>
              </w:rPr>
              <w:t xml:space="preserve"> </w:t>
            </w:r>
            <w:r w:rsidRPr="00F5562C">
              <w:rPr>
                <w:rFonts w:cs="Arial"/>
                <w:sz w:val="20"/>
                <w:szCs w:val="20"/>
              </w:rPr>
              <w:t>asesoría, tutoría y de acompañamiento académico de los estudiantes de educación superior a fin de elevar el desempeño escolar y la eficiencia terminal.</w:t>
            </w:r>
          </w:p>
          <w:p w14:paraId="72895583" w14:textId="77777777" w:rsidR="00E23746" w:rsidRDefault="00E23746" w:rsidP="000B2F10">
            <w:pPr>
              <w:rPr>
                <w:rFonts w:cs="Arial"/>
                <w:sz w:val="20"/>
                <w:szCs w:val="20"/>
              </w:rPr>
            </w:pPr>
          </w:p>
          <w:p w14:paraId="19A2881D" w14:textId="77777777" w:rsidR="00E23746" w:rsidRPr="00F5562C" w:rsidRDefault="00E23746" w:rsidP="000B2F10">
            <w:pPr>
              <w:rPr>
                <w:rFonts w:cs="Arial"/>
                <w:sz w:val="20"/>
                <w:szCs w:val="20"/>
              </w:rPr>
            </w:pPr>
          </w:p>
        </w:tc>
        <w:tc>
          <w:tcPr>
            <w:tcW w:w="2836" w:type="dxa"/>
            <w:tcBorders>
              <w:top w:val="single" w:sz="4" w:space="0" w:color="auto"/>
              <w:left w:val="single" w:sz="4" w:space="0" w:color="auto"/>
              <w:bottom w:val="single" w:sz="4" w:space="0" w:color="auto"/>
              <w:right w:val="single" w:sz="4" w:space="0" w:color="auto"/>
            </w:tcBorders>
            <w:shd w:val="clear" w:color="auto" w:fill="auto"/>
            <w:hideMark/>
          </w:tcPr>
          <w:p w14:paraId="0B4C8E64" w14:textId="77777777" w:rsidR="00E23746" w:rsidRPr="00F5562C" w:rsidRDefault="00E23746" w:rsidP="000B2F10">
            <w:pPr>
              <w:rPr>
                <w:rFonts w:cs="Arial"/>
                <w:sz w:val="20"/>
                <w:szCs w:val="20"/>
              </w:rPr>
            </w:pPr>
            <w:r w:rsidRPr="00574DAC">
              <w:rPr>
                <w:rFonts w:cs="Arial"/>
                <w:sz w:val="20"/>
                <w:szCs w:val="20"/>
              </w:rPr>
              <w:t xml:space="preserve">C01.A02 - </w:t>
            </w:r>
            <w:r w:rsidRPr="00F5562C">
              <w:rPr>
                <w:rFonts w:cs="Arial"/>
                <w:sz w:val="20"/>
                <w:szCs w:val="20"/>
              </w:rPr>
              <w:t>Realización de tutorías y asesorías psicopedagógicas que contribuyan en la formación integral y regularización de estudiantes.</w:t>
            </w:r>
          </w:p>
        </w:tc>
        <w:tc>
          <w:tcPr>
            <w:tcW w:w="2269" w:type="dxa"/>
            <w:tcBorders>
              <w:top w:val="single" w:sz="4" w:space="0" w:color="auto"/>
              <w:left w:val="single" w:sz="4" w:space="0" w:color="auto"/>
              <w:bottom w:val="single" w:sz="4" w:space="0" w:color="auto"/>
              <w:right w:val="single" w:sz="4" w:space="0" w:color="auto"/>
            </w:tcBorders>
            <w:shd w:val="clear" w:color="FFFFFF" w:fill="FFFFFF"/>
            <w:hideMark/>
          </w:tcPr>
          <w:p w14:paraId="12FF3B3E" w14:textId="77777777" w:rsidR="00E23746" w:rsidRPr="00F5562C" w:rsidRDefault="00E23746" w:rsidP="000B2F10">
            <w:pPr>
              <w:rPr>
                <w:rFonts w:cs="Arial"/>
                <w:sz w:val="20"/>
                <w:szCs w:val="20"/>
              </w:rPr>
            </w:pPr>
            <w:r w:rsidRPr="00574DAC">
              <w:rPr>
                <w:rFonts w:cs="Arial"/>
                <w:sz w:val="20"/>
                <w:szCs w:val="20"/>
              </w:rPr>
              <w:t xml:space="preserve">C01A02 - </w:t>
            </w:r>
            <w:r w:rsidRPr="00F5562C">
              <w:rPr>
                <w:rFonts w:cs="Arial"/>
                <w:sz w:val="20"/>
                <w:szCs w:val="20"/>
              </w:rPr>
              <w:t>Porcentaje de retención de estudiantes por cuatrimestre.</w:t>
            </w:r>
          </w:p>
        </w:tc>
        <w:tc>
          <w:tcPr>
            <w:tcW w:w="2835" w:type="dxa"/>
            <w:tcBorders>
              <w:top w:val="single" w:sz="4" w:space="0" w:color="auto"/>
              <w:left w:val="single" w:sz="4" w:space="0" w:color="auto"/>
              <w:bottom w:val="single" w:sz="4" w:space="0" w:color="auto"/>
              <w:right w:val="single" w:sz="4" w:space="0" w:color="auto"/>
            </w:tcBorders>
            <w:shd w:val="clear" w:color="auto" w:fill="auto"/>
            <w:hideMark/>
          </w:tcPr>
          <w:p w14:paraId="649073BE" w14:textId="77777777" w:rsidR="00E23746" w:rsidRPr="00F5562C" w:rsidRDefault="00E23746" w:rsidP="000B2F10">
            <w:pPr>
              <w:rPr>
                <w:rFonts w:cs="Arial"/>
                <w:sz w:val="20"/>
                <w:szCs w:val="20"/>
              </w:rPr>
            </w:pPr>
            <w:r w:rsidRPr="00F5562C">
              <w:rPr>
                <w:rFonts w:cs="Arial"/>
                <w:sz w:val="20"/>
                <w:szCs w:val="20"/>
              </w:rPr>
              <w:t xml:space="preserve">Estadísticas continúas del formato 911 inicio de ciclo escolar, SEQ. </w:t>
            </w:r>
            <w:hyperlink r:id="rId72" w:history="1">
              <w:r w:rsidRPr="00F5562C">
                <w:rPr>
                  <w:rFonts w:cs="Arial"/>
                  <w:sz w:val="20"/>
                  <w:szCs w:val="20"/>
                </w:rPr>
                <w:t>Http://sige.seq.gob.mx/portal/</w:t>
              </w:r>
            </w:hyperlink>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14B51F09" w14:textId="77777777" w:rsidR="00E23746" w:rsidRPr="00F5562C" w:rsidRDefault="00E23746" w:rsidP="000B2F10">
            <w:pPr>
              <w:rPr>
                <w:rFonts w:cs="Arial"/>
                <w:sz w:val="20"/>
                <w:szCs w:val="20"/>
              </w:rPr>
            </w:pPr>
            <w:r w:rsidRPr="00F5562C">
              <w:rPr>
                <w:rFonts w:cs="Arial"/>
                <w:sz w:val="20"/>
                <w:szCs w:val="20"/>
              </w:rPr>
              <w:t>Los estudiantes mejoran su desempeño escolar asistiendo a las tutorías y asesorías.</w:t>
            </w:r>
          </w:p>
        </w:tc>
      </w:tr>
    </w:tbl>
    <w:p w14:paraId="7BD19C95" w14:textId="77777777" w:rsidR="00D36037" w:rsidRDefault="00D36037">
      <w:pPr>
        <w:spacing w:after="0" w:line="240" w:lineRule="auto"/>
        <w:jc w:val="left"/>
      </w:pPr>
      <w:r>
        <w:br w:type="page"/>
      </w:r>
    </w:p>
    <w:tbl>
      <w:tblPr>
        <w:tblW w:w="14170" w:type="dxa"/>
        <w:tblLayout w:type="fixed"/>
        <w:tblCellMar>
          <w:left w:w="70" w:type="dxa"/>
          <w:right w:w="70" w:type="dxa"/>
        </w:tblCellMar>
        <w:tblLook w:val="04A0" w:firstRow="1" w:lastRow="0" w:firstColumn="1" w:lastColumn="0" w:noHBand="0" w:noVBand="1"/>
      </w:tblPr>
      <w:tblGrid>
        <w:gridCol w:w="1269"/>
        <w:gridCol w:w="2834"/>
        <w:gridCol w:w="2836"/>
        <w:gridCol w:w="2269"/>
        <w:gridCol w:w="2835"/>
        <w:gridCol w:w="2127"/>
      </w:tblGrid>
      <w:tr w:rsidR="00E23746" w:rsidRPr="00FD08F8" w14:paraId="13A17077" w14:textId="77777777" w:rsidTr="006B434D">
        <w:trPr>
          <w:trHeight w:val="577"/>
        </w:trPr>
        <w:tc>
          <w:tcPr>
            <w:tcW w:w="1269"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21FB8EDA"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lastRenderedPageBreak/>
              <w:t>NIVEL</w:t>
            </w:r>
          </w:p>
        </w:tc>
        <w:tc>
          <w:tcPr>
            <w:tcW w:w="2834" w:type="dxa"/>
            <w:tcBorders>
              <w:top w:val="single" w:sz="4" w:space="0" w:color="auto"/>
              <w:left w:val="nil"/>
              <w:bottom w:val="single" w:sz="4" w:space="0" w:color="auto"/>
              <w:right w:val="single" w:sz="4" w:space="0" w:color="auto"/>
            </w:tcBorders>
            <w:shd w:val="clear" w:color="000000" w:fill="BFBFBF"/>
            <w:vAlign w:val="center"/>
            <w:hideMark/>
          </w:tcPr>
          <w:p w14:paraId="4AA402E8"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ALINEACIÓN PED/PD</w:t>
            </w:r>
          </w:p>
        </w:tc>
        <w:tc>
          <w:tcPr>
            <w:tcW w:w="2836" w:type="dxa"/>
            <w:tcBorders>
              <w:top w:val="single" w:sz="4" w:space="0" w:color="auto"/>
              <w:left w:val="nil"/>
              <w:bottom w:val="single" w:sz="4" w:space="0" w:color="auto"/>
              <w:right w:val="single" w:sz="4" w:space="0" w:color="auto"/>
            </w:tcBorders>
            <w:shd w:val="clear" w:color="000000" w:fill="BFBFBF"/>
            <w:vAlign w:val="center"/>
            <w:hideMark/>
          </w:tcPr>
          <w:p w14:paraId="11106396"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OBJETIVO</w:t>
            </w:r>
          </w:p>
        </w:tc>
        <w:tc>
          <w:tcPr>
            <w:tcW w:w="2269" w:type="dxa"/>
            <w:tcBorders>
              <w:top w:val="single" w:sz="4" w:space="0" w:color="auto"/>
              <w:left w:val="nil"/>
              <w:bottom w:val="single" w:sz="4" w:space="0" w:color="auto"/>
              <w:right w:val="single" w:sz="4" w:space="0" w:color="auto"/>
            </w:tcBorders>
            <w:shd w:val="clear" w:color="000000" w:fill="BFBFBF"/>
            <w:vAlign w:val="center"/>
            <w:hideMark/>
          </w:tcPr>
          <w:p w14:paraId="3CC93B26"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INDICADOR</w:t>
            </w:r>
          </w:p>
        </w:tc>
        <w:tc>
          <w:tcPr>
            <w:tcW w:w="2835" w:type="dxa"/>
            <w:tcBorders>
              <w:top w:val="single" w:sz="4" w:space="0" w:color="auto"/>
              <w:left w:val="nil"/>
              <w:bottom w:val="single" w:sz="4" w:space="0" w:color="auto"/>
              <w:right w:val="single" w:sz="4" w:space="0" w:color="auto"/>
            </w:tcBorders>
            <w:shd w:val="clear" w:color="000000" w:fill="BFBFBF"/>
            <w:vAlign w:val="center"/>
            <w:hideMark/>
          </w:tcPr>
          <w:p w14:paraId="0EEEE97D"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MEDIOS DE VERIFICACIÓN</w:t>
            </w:r>
          </w:p>
        </w:tc>
        <w:tc>
          <w:tcPr>
            <w:tcW w:w="2127" w:type="dxa"/>
            <w:tcBorders>
              <w:top w:val="single" w:sz="4" w:space="0" w:color="auto"/>
              <w:left w:val="nil"/>
              <w:bottom w:val="single" w:sz="4" w:space="0" w:color="auto"/>
              <w:right w:val="single" w:sz="4" w:space="0" w:color="auto"/>
            </w:tcBorders>
            <w:shd w:val="clear" w:color="000000" w:fill="BFBFBF"/>
            <w:vAlign w:val="center"/>
            <w:hideMark/>
          </w:tcPr>
          <w:p w14:paraId="7E801B3A"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SUPUESTO</w:t>
            </w:r>
          </w:p>
        </w:tc>
      </w:tr>
      <w:tr w:rsidR="00E23746" w:rsidRPr="00FD08F8" w14:paraId="47D9C686" w14:textId="77777777" w:rsidTr="006B434D">
        <w:trPr>
          <w:trHeight w:val="1707"/>
        </w:trPr>
        <w:tc>
          <w:tcPr>
            <w:tcW w:w="1269" w:type="dxa"/>
            <w:tcBorders>
              <w:top w:val="single" w:sz="4" w:space="0" w:color="auto"/>
              <w:left w:val="single" w:sz="4" w:space="0" w:color="auto"/>
              <w:bottom w:val="single" w:sz="4" w:space="0" w:color="auto"/>
              <w:right w:val="single" w:sz="4" w:space="0" w:color="auto"/>
            </w:tcBorders>
            <w:shd w:val="clear" w:color="auto" w:fill="auto"/>
          </w:tcPr>
          <w:p w14:paraId="33644A64"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Actividad</w:t>
            </w:r>
          </w:p>
        </w:tc>
        <w:tc>
          <w:tcPr>
            <w:tcW w:w="2834" w:type="dxa"/>
            <w:tcBorders>
              <w:top w:val="single" w:sz="4" w:space="0" w:color="auto"/>
              <w:left w:val="single" w:sz="4" w:space="0" w:color="auto"/>
              <w:bottom w:val="single" w:sz="4" w:space="0" w:color="auto"/>
              <w:right w:val="single" w:sz="4" w:space="0" w:color="auto"/>
            </w:tcBorders>
            <w:shd w:val="clear" w:color="auto" w:fill="auto"/>
          </w:tcPr>
          <w:p w14:paraId="2986AAE8" w14:textId="77777777" w:rsidR="00E23746" w:rsidRPr="00F5562C" w:rsidRDefault="00E23746" w:rsidP="000B2F10">
            <w:pPr>
              <w:rPr>
                <w:rFonts w:cs="Arial"/>
                <w:sz w:val="20"/>
                <w:szCs w:val="20"/>
              </w:rPr>
            </w:pPr>
            <w:r w:rsidRPr="00F5562C">
              <w:rPr>
                <w:rFonts w:cs="Arial"/>
                <w:sz w:val="20"/>
                <w:szCs w:val="20"/>
              </w:rPr>
              <w:t>Fortalecer la investigación básica y aplicada con la participación de los estudiantes de educación superior.</w:t>
            </w:r>
          </w:p>
        </w:tc>
        <w:tc>
          <w:tcPr>
            <w:tcW w:w="2836" w:type="dxa"/>
            <w:tcBorders>
              <w:top w:val="single" w:sz="4" w:space="0" w:color="auto"/>
              <w:left w:val="single" w:sz="4" w:space="0" w:color="auto"/>
              <w:bottom w:val="single" w:sz="4" w:space="0" w:color="auto"/>
              <w:right w:val="single" w:sz="4" w:space="0" w:color="auto"/>
            </w:tcBorders>
            <w:shd w:val="clear" w:color="auto" w:fill="auto"/>
          </w:tcPr>
          <w:p w14:paraId="2E57522F" w14:textId="77777777" w:rsidR="00E23746" w:rsidRPr="00F5562C" w:rsidRDefault="00E23746" w:rsidP="000B2F10">
            <w:pPr>
              <w:rPr>
                <w:rFonts w:cs="Arial"/>
                <w:sz w:val="20"/>
                <w:szCs w:val="20"/>
              </w:rPr>
            </w:pPr>
            <w:r w:rsidRPr="00574DAC">
              <w:rPr>
                <w:rFonts w:cs="Arial"/>
                <w:sz w:val="20"/>
                <w:szCs w:val="20"/>
              </w:rPr>
              <w:t xml:space="preserve">C01.A03 - </w:t>
            </w:r>
            <w:r w:rsidRPr="00F5562C">
              <w:rPr>
                <w:rFonts w:cs="Arial"/>
                <w:sz w:val="20"/>
                <w:szCs w:val="20"/>
              </w:rPr>
              <w:t>Investigación aplicada y desarrollo tecnológico, mediante capacitación y asesoría permanente.</w:t>
            </w:r>
          </w:p>
        </w:tc>
        <w:tc>
          <w:tcPr>
            <w:tcW w:w="2269" w:type="dxa"/>
            <w:tcBorders>
              <w:top w:val="single" w:sz="4" w:space="0" w:color="auto"/>
              <w:left w:val="single" w:sz="4" w:space="0" w:color="auto"/>
              <w:bottom w:val="single" w:sz="4" w:space="0" w:color="auto"/>
              <w:right w:val="single" w:sz="4" w:space="0" w:color="auto"/>
            </w:tcBorders>
            <w:shd w:val="clear" w:color="FFFFFF" w:fill="FFFFFF"/>
          </w:tcPr>
          <w:p w14:paraId="66F8AEFC" w14:textId="77777777" w:rsidR="00E23746" w:rsidRPr="00F5562C" w:rsidRDefault="00E23746" w:rsidP="000B2F10">
            <w:pPr>
              <w:rPr>
                <w:rFonts w:cs="Arial"/>
                <w:sz w:val="20"/>
                <w:szCs w:val="20"/>
              </w:rPr>
            </w:pPr>
            <w:r>
              <w:rPr>
                <w:rFonts w:cs="Arial"/>
                <w:sz w:val="20"/>
                <w:szCs w:val="20"/>
              </w:rPr>
              <w:t>C01A03</w:t>
            </w:r>
            <w:r w:rsidRPr="00574DAC">
              <w:rPr>
                <w:rFonts w:cs="Arial"/>
                <w:sz w:val="20"/>
                <w:szCs w:val="20"/>
              </w:rPr>
              <w:t xml:space="preserve"> - </w:t>
            </w:r>
            <w:r w:rsidRPr="00F5562C">
              <w:rPr>
                <w:rFonts w:cs="Arial"/>
                <w:sz w:val="20"/>
                <w:szCs w:val="20"/>
              </w:rPr>
              <w:t>Porcentaje de docentes con perfil deseable.</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D5DF88C" w14:textId="77777777" w:rsidR="00E23746" w:rsidRPr="00F5562C" w:rsidRDefault="00E23746" w:rsidP="000B2F10">
            <w:pPr>
              <w:rPr>
                <w:rFonts w:cs="Arial"/>
                <w:sz w:val="20"/>
                <w:szCs w:val="20"/>
              </w:rPr>
            </w:pPr>
            <w:r w:rsidRPr="00F5562C">
              <w:rPr>
                <w:rFonts w:cs="Arial"/>
                <w:sz w:val="20"/>
                <w:szCs w:val="20"/>
              </w:rPr>
              <w:t xml:space="preserve">Acreditación de perfil deseable. Consultar en: </w:t>
            </w:r>
            <w:hyperlink r:id="rId73" w:history="1">
              <w:r w:rsidRPr="00F5562C">
                <w:rPr>
                  <w:rFonts w:cs="Arial"/>
                  <w:sz w:val="20"/>
                  <w:szCs w:val="20"/>
                </w:rPr>
                <w:t>http://utcancun.edu.mx/prodep/</w:t>
              </w:r>
            </w:hyperlink>
            <w:r w:rsidRPr="00F5562C">
              <w:rPr>
                <w:rFonts w:cs="Arial"/>
                <w:sz w:val="20"/>
                <w:szCs w:val="20"/>
              </w:rPr>
              <w:t>.</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9150E7E" w14:textId="77777777" w:rsidR="00E23746" w:rsidRPr="00F5562C" w:rsidRDefault="00E23746" w:rsidP="000B2F10">
            <w:pPr>
              <w:rPr>
                <w:rFonts w:cs="Arial"/>
                <w:sz w:val="20"/>
                <w:szCs w:val="20"/>
              </w:rPr>
            </w:pPr>
            <w:r w:rsidRPr="00F5562C">
              <w:rPr>
                <w:rFonts w:cs="Arial"/>
                <w:sz w:val="20"/>
                <w:szCs w:val="20"/>
              </w:rPr>
              <w:t>Los docentes cumplen con las funciones sustantivas y obtienen el perfil deseable.</w:t>
            </w:r>
          </w:p>
        </w:tc>
      </w:tr>
      <w:tr w:rsidR="00E23746" w:rsidRPr="00FD08F8" w14:paraId="095BAFFB" w14:textId="77777777" w:rsidTr="006B434D">
        <w:trPr>
          <w:trHeight w:val="1410"/>
        </w:trPr>
        <w:tc>
          <w:tcPr>
            <w:tcW w:w="1269" w:type="dxa"/>
            <w:tcBorders>
              <w:top w:val="single" w:sz="4" w:space="0" w:color="auto"/>
              <w:left w:val="single" w:sz="4" w:space="0" w:color="auto"/>
              <w:bottom w:val="single" w:sz="4" w:space="0" w:color="auto"/>
              <w:right w:val="single" w:sz="4" w:space="0" w:color="auto"/>
            </w:tcBorders>
            <w:shd w:val="clear" w:color="auto" w:fill="auto"/>
          </w:tcPr>
          <w:p w14:paraId="08A1D8DA"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Actividad</w:t>
            </w:r>
          </w:p>
        </w:tc>
        <w:tc>
          <w:tcPr>
            <w:tcW w:w="2834" w:type="dxa"/>
            <w:tcBorders>
              <w:top w:val="single" w:sz="4" w:space="0" w:color="auto"/>
              <w:left w:val="single" w:sz="4" w:space="0" w:color="auto"/>
              <w:bottom w:val="single" w:sz="4" w:space="0" w:color="auto"/>
              <w:right w:val="single" w:sz="4" w:space="0" w:color="auto"/>
            </w:tcBorders>
            <w:shd w:val="clear" w:color="auto" w:fill="auto"/>
          </w:tcPr>
          <w:p w14:paraId="4408D253" w14:textId="77777777" w:rsidR="00E23746" w:rsidRPr="00F5562C" w:rsidRDefault="00E23746" w:rsidP="000B2F10">
            <w:pPr>
              <w:rPr>
                <w:rFonts w:cs="Arial"/>
                <w:sz w:val="20"/>
                <w:szCs w:val="20"/>
              </w:rPr>
            </w:pPr>
            <w:r w:rsidRPr="00F5562C">
              <w:rPr>
                <w:rFonts w:cs="Arial"/>
                <w:sz w:val="20"/>
                <w:szCs w:val="20"/>
              </w:rPr>
              <w:t>Fortalecer la investigación básica y aplicada con la participación de los estudiantes de educación superior.</w:t>
            </w:r>
          </w:p>
        </w:tc>
        <w:tc>
          <w:tcPr>
            <w:tcW w:w="2836" w:type="dxa"/>
            <w:tcBorders>
              <w:top w:val="single" w:sz="4" w:space="0" w:color="auto"/>
              <w:left w:val="single" w:sz="4" w:space="0" w:color="auto"/>
              <w:bottom w:val="single" w:sz="4" w:space="0" w:color="auto"/>
              <w:right w:val="single" w:sz="4" w:space="0" w:color="auto"/>
            </w:tcBorders>
            <w:shd w:val="clear" w:color="auto" w:fill="auto"/>
          </w:tcPr>
          <w:p w14:paraId="21799DA9" w14:textId="77777777" w:rsidR="00E23746" w:rsidRDefault="00E23746" w:rsidP="000B2F10">
            <w:pPr>
              <w:rPr>
                <w:rFonts w:cs="Arial"/>
                <w:sz w:val="20"/>
                <w:szCs w:val="20"/>
              </w:rPr>
            </w:pPr>
            <w:r>
              <w:rPr>
                <w:rFonts w:cs="Arial"/>
                <w:sz w:val="20"/>
                <w:szCs w:val="20"/>
              </w:rPr>
              <w:t>C01.A04</w:t>
            </w:r>
            <w:r w:rsidRPr="00574DAC">
              <w:rPr>
                <w:rFonts w:cs="Arial"/>
                <w:sz w:val="20"/>
                <w:szCs w:val="20"/>
              </w:rPr>
              <w:t xml:space="preserve"> - </w:t>
            </w:r>
            <w:r w:rsidRPr="00F5562C">
              <w:rPr>
                <w:rFonts w:cs="Arial"/>
                <w:sz w:val="20"/>
                <w:szCs w:val="20"/>
              </w:rPr>
              <w:t>Consolidación de los Cuerpos Académicos, atendiendo las recomendaciones del Organismo Evaluador  de forma permanente.</w:t>
            </w:r>
          </w:p>
          <w:p w14:paraId="51A21843" w14:textId="77777777" w:rsidR="00E23746" w:rsidRDefault="00E23746" w:rsidP="000B2F10">
            <w:pPr>
              <w:rPr>
                <w:rFonts w:cs="Arial"/>
                <w:sz w:val="20"/>
                <w:szCs w:val="20"/>
              </w:rPr>
            </w:pPr>
          </w:p>
          <w:p w14:paraId="5289A133" w14:textId="77777777" w:rsidR="00E23746" w:rsidRPr="00F5562C" w:rsidRDefault="00E23746" w:rsidP="000B2F10">
            <w:pPr>
              <w:rPr>
                <w:rFonts w:cs="Arial"/>
                <w:sz w:val="20"/>
                <w:szCs w:val="20"/>
              </w:rPr>
            </w:pPr>
          </w:p>
        </w:tc>
        <w:tc>
          <w:tcPr>
            <w:tcW w:w="2269" w:type="dxa"/>
            <w:tcBorders>
              <w:top w:val="single" w:sz="4" w:space="0" w:color="auto"/>
              <w:left w:val="single" w:sz="4" w:space="0" w:color="auto"/>
              <w:bottom w:val="single" w:sz="4" w:space="0" w:color="auto"/>
              <w:right w:val="single" w:sz="4" w:space="0" w:color="auto"/>
            </w:tcBorders>
            <w:shd w:val="clear" w:color="FFFFFF" w:fill="FFFFFF"/>
          </w:tcPr>
          <w:p w14:paraId="04F9F9B9" w14:textId="77777777" w:rsidR="00E23746" w:rsidRPr="00F5562C" w:rsidRDefault="00E23746" w:rsidP="000B2F10">
            <w:pPr>
              <w:rPr>
                <w:rFonts w:cs="Arial"/>
                <w:sz w:val="20"/>
                <w:szCs w:val="20"/>
              </w:rPr>
            </w:pPr>
            <w:r w:rsidRPr="00574DAC">
              <w:rPr>
                <w:rFonts w:cs="Arial"/>
                <w:sz w:val="20"/>
                <w:szCs w:val="20"/>
              </w:rPr>
              <w:t>C01A0</w:t>
            </w:r>
            <w:r>
              <w:rPr>
                <w:rFonts w:cs="Arial"/>
                <w:sz w:val="20"/>
                <w:szCs w:val="20"/>
              </w:rPr>
              <w:t>4</w:t>
            </w:r>
            <w:r w:rsidRPr="00574DAC">
              <w:rPr>
                <w:rFonts w:cs="Arial"/>
                <w:sz w:val="20"/>
                <w:szCs w:val="20"/>
              </w:rPr>
              <w:t xml:space="preserve"> - </w:t>
            </w:r>
            <w:r w:rsidRPr="00F5562C">
              <w:rPr>
                <w:rFonts w:cs="Arial"/>
                <w:sz w:val="20"/>
                <w:szCs w:val="20"/>
              </w:rPr>
              <w:t>Porcentaje de docentes en cuerpos académicos.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4EDD9AB" w14:textId="77777777" w:rsidR="00E23746" w:rsidRPr="00F5562C" w:rsidRDefault="00E23746" w:rsidP="000B2F10">
            <w:pPr>
              <w:rPr>
                <w:rFonts w:cs="Arial"/>
                <w:sz w:val="20"/>
                <w:szCs w:val="20"/>
              </w:rPr>
            </w:pPr>
            <w:r w:rsidRPr="00F5562C">
              <w:rPr>
                <w:rFonts w:cs="Arial"/>
                <w:sz w:val="20"/>
                <w:szCs w:val="20"/>
              </w:rPr>
              <w:t xml:space="preserve">Registro de docentes en CA y productividad. </w:t>
            </w:r>
            <w:hyperlink r:id="rId74" w:history="1">
              <w:r w:rsidRPr="00F5562C">
                <w:rPr>
                  <w:rFonts w:cs="Arial"/>
                  <w:sz w:val="20"/>
                  <w:szCs w:val="20"/>
                </w:rPr>
                <w:t>http://utcancun.edu.mx/prodep/</w:t>
              </w:r>
            </w:hyperlink>
            <w:r>
              <w:rPr>
                <w:rFonts w:cs="Arial"/>
                <w:sz w:val="20"/>
                <w:szCs w:val="20"/>
              </w:rPr>
              <w:t>.</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3C43616" w14:textId="77777777" w:rsidR="00E23746" w:rsidRPr="00F5562C" w:rsidRDefault="00E23746" w:rsidP="000B2F10">
            <w:pPr>
              <w:rPr>
                <w:rFonts w:cs="Arial"/>
                <w:sz w:val="20"/>
                <w:szCs w:val="20"/>
              </w:rPr>
            </w:pPr>
            <w:r w:rsidRPr="00F5562C">
              <w:rPr>
                <w:rFonts w:cs="Arial"/>
                <w:sz w:val="20"/>
                <w:szCs w:val="20"/>
              </w:rPr>
              <w:t>Los cuerpos académicos tienen productividad científica y mejoran su nivel.</w:t>
            </w:r>
          </w:p>
        </w:tc>
      </w:tr>
      <w:tr w:rsidR="00E23746" w:rsidRPr="00FD08F8" w14:paraId="65DFC4F4" w14:textId="77777777" w:rsidTr="006B434D">
        <w:trPr>
          <w:trHeight w:val="1968"/>
        </w:trPr>
        <w:tc>
          <w:tcPr>
            <w:tcW w:w="1269" w:type="dxa"/>
            <w:tcBorders>
              <w:top w:val="single" w:sz="4" w:space="0" w:color="auto"/>
              <w:left w:val="single" w:sz="4" w:space="0" w:color="auto"/>
              <w:bottom w:val="single" w:sz="4" w:space="0" w:color="auto"/>
              <w:right w:val="single" w:sz="4" w:space="0" w:color="auto"/>
            </w:tcBorders>
            <w:shd w:val="clear" w:color="auto" w:fill="auto"/>
          </w:tcPr>
          <w:p w14:paraId="1D7AD653"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Actividad</w:t>
            </w:r>
          </w:p>
        </w:tc>
        <w:tc>
          <w:tcPr>
            <w:tcW w:w="2834" w:type="dxa"/>
            <w:tcBorders>
              <w:top w:val="single" w:sz="4" w:space="0" w:color="auto"/>
              <w:left w:val="single" w:sz="4" w:space="0" w:color="auto"/>
              <w:bottom w:val="single" w:sz="4" w:space="0" w:color="auto"/>
              <w:right w:val="single" w:sz="4" w:space="0" w:color="auto"/>
            </w:tcBorders>
            <w:shd w:val="clear" w:color="auto" w:fill="auto"/>
          </w:tcPr>
          <w:p w14:paraId="0C7CF317" w14:textId="77777777" w:rsidR="00E23746" w:rsidRPr="00F5562C" w:rsidRDefault="00E23746" w:rsidP="000B2F10">
            <w:pPr>
              <w:rPr>
                <w:rFonts w:cs="Arial"/>
                <w:sz w:val="20"/>
                <w:szCs w:val="20"/>
              </w:rPr>
            </w:pPr>
            <w:r w:rsidRPr="0017072A">
              <w:rPr>
                <w:rFonts w:cs="Arial"/>
                <w:sz w:val="20"/>
                <w:szCs w:val="20"/>
              </w:rPr>
              <w:t>Fortalecer la oferta educativa de las instituciones de educación superior para asegurar la pertinencia con base en las necesidades de la entidad.</w:t>
            </w:r>
          </w:p>
        </w:tc>
        <w:tc>
          <w:tcPr>
            <w:tcW w:w="2836" w:type="dxa"/>
            <w:tcBorders>
              <w:top w:val="single" w:sz="4" w:space="0" w:color="auto"/>
              <w:left w:val="single" w:sz="4" w:space="0" w:color="auto"/>
              <w:bottom w:val="single" w:sz="4" w:space="0" w:color="auto"/>
              <w:right w:val="single" w:sz="4" w:space="0" w:color="auto"/>
            </w:tcBorders>
            <w:shd w:val="clear" w:color="auto" w:fill="auto"/>
          </w:tcPr>
          <w:p w14:paraId="30867107" w14:textId="77777777" w:rsidR="00E23746" w:rsidRDefault="00E23746" w:rsidP="000B2F10">
            <w:pPr>
              <w:rPr>
                <w:rFonts w:cs="Arial"/>
                <w:sz w:val="20"/>
                <w:szCs w:val="20"/>
              </w:rPr>
            </w:pPr>
            <w:r>
              <w:rPr>
                <w:rFonts w:cs="Arial"/>
                <w:sz w:val="20"/>
                <w:szCs w:val="20"/>
              </w:rPr>
              <w:t>C01.A05</w:t>
            </w:r>
            <w:r w:rsidRPr="00574DAC">
              <w:rPr>
                <w:rFonts w:cs="Arial"/>
                <w:sz w:val="20"/>
                <w:szCs w:val="20"/>
              </w:rPr>
              <w:t xml:space="preserve"> - </w:t>
            </w:r>
            <w:r w:rsidRPr="0017072A">
              <w:rPr>
                <w:rFonts w:cs="Arial"/>
                <w:sz w:val="20"/>
                <w:szCs w:val="20"/>
              </w:rPr>
              <w:t>Desarrollo de planes y programas Bilingüe, Internacional y Sustentable con docentes certificados.</w:t>
            </w:r>
          </w:p>
        </w:tc>
        <w:tc>
          <w:tcPr>
            <w:tcW w:w="2269" w:type="dxa"/>
            <w:tcBorders>
              <w:top w:val="single" w:sz="4" w:space="0" w:color="auto"/>
              <w:left w:val="single" w:sz="4" w:space="0" w:color="auto"/>
              <w:bottom w:val="single" w:sz="4" w:space="0" w:color="auto"/>
              <w:right w:val="single" w:sz="4" w:space="0" w:color="auto"/>
            </w:tcBorders>
            <w:shd w:val="clear" w:color="FFFFFF" w:fill="FFFFFF"/>
          </w:tcPr>
          <w:p w14:paraId="30AAF1CF" w14:textId="77777777" w:rsidR="00E23746" w:rsidRDefault="00E23746" w:rsidP="000B2F10">
            <w:pPr>
              <w:rPr>
                <w:rFonts w:cs="Arial"/>
                <w:sz w:val="20"/>
                <w:szCs w:val="20"/>
              </w:rPr>
            </w:pPr>
            <w:r w:rsidRPr="00574DAC">
              <w:rPr>
                <w:rFonts w:cs="Arial"/>
                <w:sz w:val="20"/>
                <w:szCs w:val="20"/>
              </w:rPr>
              <w:t>C01A0</w:t>
            </w:r>
            <w:r>
              <w:rPr>
                <w:rFonts w:cs="Arial"/>
                <w:sz w:val="20"/>
                <w:szCs w:val="20"/>
              </w:rPr>
              <w:t>5</w:t>
            </w:r>
            <w:r w:rsidRPr="00574DAC">
              <w:rPr>
                <w:rFonts w:cs="Arial"/>
                <w:sz w:val="20"/>
                <w:szCs w:val="20"/>
              </w:rPr>
              <w:t xml:space="preserve"> -</w:t>
            </w:r>
            <w:r>
              <w:t xml:space="preserve"> </w:t>
            </w:r>
            <w:r w:rsidRPr="0017072A">
              <w:rPr>
                <w:rFonts w:cs="Arial"/>
                <w:sz w:val="20"/>
                <w:szCs w:val="20"/>
              </w:rPr>
              <w:t>Porcentaje de docentes de tiempo completo que cuentan con certificación B2 en el idioma inglés.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90B6AFE" w14:textId="77777777" w:rsidR="00E23746" w:rsidRPr="00F5562C" w:rsidRDefault="00E23746" w:rsidP="000B2F10">
            <w:pPr>
              <w:rPr>
                <w:rFonts w:cs="Arial"/>
                <w:sz w:val="20"/>
                <w:szCs w:val="20"/>
              </w:rPr>
            </w:pPr>
            <w:r w:rsidRPr="0017072A">
              <w:rPr>
                <w:rFonts w:cs="Arial"/>
                <w:sz w:val="20"/>
                <w:szCs w:val="20"/>
              </w:rPr>
              <w:t>Reporte ejecutivo del desempeño http://utcancun.edu.mx/desempeno-institucional/.</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6144F1E" w14:textId="77777777" w:rsidR="00E23746" w:rsidRDefault="00E23746" w:rsidP="000B2F10">
            <w:pPr>
              <w:rPr>
                <w:rFonts w:cs="Arial"/>
                <w:sz w:val="20"/>
                <w:szCs w:val="20"/>
              </w:rPr>
            </w:pPr>
            <w:r w:rsidRPr="0017072A">
              <w:rPr>
                <w:rFonts w:cs="Arial"/>
                <w:sz w:val="20"/>
                <w:szCs w:val="20"/>
              </w:rPr>
              <w:t>Los docentes de tiempo completo están certificados con el nivel B2 del marco común europeo, para impartir clases en la modalidad BIS</w:t>
            </w:r>
            <w:r>
              <w:rPr>
                <w:rFonts w:cs="Arial"/>
                <w:sz w:val="20"/>
                <w:szCs w:val="20"/>
              </w:rPr>
              <w:t>.</w:t>
            </w:r>
          </w:p>
          <w:p w14:paraId="442BF842" w14:textId="77777777" w:rsidR="00E23746" w:rsidRPr="00F5562C" w:rsidRDefault="00E23746" w:rsidP="000B2F10">
            <w:pPr>
              <w:rPr>
                <w:rFonts w:cs="Arial"/>
                <w:sz w:val="20"/>
                <w:szCs w:val="20"/>
              </w:rPr>
            </w:pPr>
          </w:p>
        </w:tc>
      </w:tr>
    </w:tbl>
    <w:p w14:paraId="6F6E753C" w14:textId="77777777" w:rsidR="00D36037" w:rsidRDefault="00D36037">
      <w:pPr>
        <w:spacing w:after="0" w:line="240" w:lineRule="auto"/>
        <w:jc w:val="left"/>
      </w:pPr>
      <w:r>
        <w:br w:type="page"/>
      </w:r>
    </w:p>
    <w:tbl>
      <w:tblPr>
        <w:tblW w:w="14170" w:type="dxa"/>
        <w:tblLayout w:type="fixed"/>
        <w:tblCellMar>
          <w:left w:w="70" w:type="dxa"/>
          <w:right w:w="70" w:type="dxa"/>
        </w:tblCellMar>
        <w:tblLook w:val="04A0" w:firstRow="1" w:lastRow="0" w:firstColumn="1" w:lastColumn="0" w:noHBand="0" w:noVBand="1"/>
      </w:tblPr>
      <w:tblGrid>
        <w:gridCol w:w="1413"/>
        <w:gridCol w:w="2690"/>
        <w:gridCol w:w="2836"/>
        <w:gridCol w:w="2269"/>
        <w:gridCol w:w="2835"/>
        <w:gridCol w:w="2127"/>
      </w:tblGrid>
      <w:tr w:rsidR="00E23746" w:rsidRPr="00FD08F8" w14:paraId="31013ADA" w14:textId="77777777" w:rsidTr="00A366B6">
        <w:trPr>
          <w:trHeight w:val="577"/>
        </w:trPr>
        <w:tc>
          <w:tcPr>
            <w:tcW w:w="1413"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5493C1B2"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lastRenderedPageBreak/>
              <w:t>NIVEL</w:t>
            </w:r>
          </w:p>
        </w:tc>
        <w:tc>
          <w:tcPr>
            <w:tcW w:w="2690" w:type="dxa"/>
            <w:tcBorders>
              <w:top w:val="single" w:sz="4" w:space="0" w:color="auto"/>
              <w:left w:val="nil"/>
              <w:bottom w:val="single" w:sz="4" w:space="0" w:color="auto"/>
              <w:right w:val="single" w:sz="4" w:space="0" w:color="auto"/>
            </w:tcBorders>
            <w:shd w:val="clear" w:color="000000" w:fill="BFBFBF"/>
            <w:vAlign w:val="center"/>
            <w:hideMark/>
          </w:tcPr>
          <w:p w14:paraId="437AA993"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ALINEACIÓN PED/PD</w:t>
            </w:r>
          </w:p>
        </w:tc>
        <w:tc>
          <w:tcPr>
            <w:tcW w:w="2836" w:type="dxa"/>
            <w:tcBorders>
              <w:top w:val="single" w:sz="4" w:space="0" w:color="auto"/>
              <w:left w:val="nil"/>
              <w:bottom w:val="single" w:sz="4" w:space="0" w:color="auto"/>
              <w:right w:val="single" w:sz="4" w:space="0" w:color="auto"/>
            </w:tcBorders>
            <w:shd w:val="clear" w:color="000000" w:fill="BFBFBF"/>
            <w:vAlign w:val="center"/>
            <w:hideMark/>
          </w:tcPr>
          <w:p w14:paraId="53C8330F"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OBJETIVO</w:t>
            </w:r>
          </w:p>
        </w:tc>
        <w:tc>
          <w:tcPr>
            <w:tcW w:w="2269" w:type="dxa"/>
            <w:tcBorders>
              <w:top w:val="single" w:sz="4" w:space="0" w:color="auto"/>
              <w:left w:val="nil"/>
              <w:bottom w:val="single" w:sz="4" w:space="0" w:color="auto"/>
              <w:right w:val="single" w:sz="4" w:space="0" w:color="auto"/>
            </w:tcBorders>
            <w:shd w:val="clear" w:color="000000" w:fill="BFBFBF"/>
            <w:vAlign w:val="center"/>
            <w:hideMark/>
          </w:tcPr>
          <w:p w14:paraId="425BAB4E"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INDICADOR</w:t>
            </w:r>
          </w:p>
        </w:tc>
        <w:tc>
          <w:tcPr>
            <w:tcW w:w="2835" w:type="dxa"/>
            <w:tcBorders>
              <w:top w:val="single" w:sz="4" w:space="0" w:color="auto"/>
              <w:left w:val="nil"/>
              <w:bottom w:val="single" w:sz="4" w:space="0" w:color="auto"/>
              <w:right w:val="single" w:sz="4" w:space="0" w:color="auto"/>
            </w:tcBorders>
            <w:shd w:val="clear" w:color="000000" w:fill="BFBFBF"/>
            <w:vAlign w:val="center"/>
            <w:hideMark/>
          </w:tcPr>
          <w:p w14:paraId="51C7958B"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MEDIOS DE VERIFICACIÓN</w:t>
            </w:r>
          </w:p>
        </w:tc>
        <w:tc>
          <w:tcPr>
            <w:tcW w:w="2127" w:type="dxa"/>
            <w:tcBorders>
              <w:top w:val="single" w:sz="4" w:space="0" w:color="auto"/>
              <w:left w:val="nil"/>
              <w:bottom w:val="single" w:sz="4" w:space="0" w:color="auto"/>
              <w:right w:val="single" w:sz="4" w:space="0" w:color="auto"/>
            </w:tcBorders>
            <w:shd w:val="clear" w:color="000000" w:fill="BFBFBF"/>
            <w:vAlign w:val="center"/>
            <w:hideMark/>
          </w:tcPr>
          <w:p w14:paraId="70C0D6E6"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SUPUESTO</w:t>
            </w:r>
          </w:p>
        </w:tc>
      </w:tr>
      <w:tr w:rsidR="00E23746" w:rsidRPr="00FD08F8" w14:paraId="1CDF233F" w14:textId="77777777" w:rsidTr="00A366B6">
        <w:trPr>
          <w:trHeight w:val="1959"/>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73B9C6F"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Actividad</w:t>
            </w:r>
          </w:p>
        </w:tc>
        <w:tc>
          <w:tcPr>
            <w:tcW w:w="2690" w:type="dxa"/>
            <w:tcBorders>
              <w:top w:val="single" w:sz="4" w:space="0" w:color="auto"/>
              <w:left w:val="single" w:sz="4" w:space="0" w:color="auto"/>
              <w:bottom w:val="single" w:sz="4" w:space="0" w:color="auto"/>
              <w:right w:val="single" w:sz="4" w:space="0" w:color="auto"/>
            </w:tcBorders>
            <w:shd w:val="clear" w:color="auto" w:fill="auto"/>
          </w:tcPr>
          <w:p w14:paraId="64ECFCA1" w14:textId="77777777" w:rsidR="00E23746" w:rsidRPr="00EF61A9" w:rsidRDefault="00E23746" w:rsidP="000B2F10">
            <w:pPr>
              <w:rPr>
                <w:rFonts w:cs="Arial"/>
                <w:sz w:val="18"/>
                <w:szCs w:val="20"/>
              </w:rPr>
            </w:pPr>
            <w:r w:rsidRPr="00EF61A9">
              <w:rPr>
                <w:rFonts w:cs="Arial"/>
                <w:sz w:val="18"/>
                <w:szCs w:val="20"/>
              </w:rPr>
              <w:t>Fortalecer los programas de asesoría, tutoría y acompañamiento académico, programas de becas y apoyos a fin de mejorar el desempeño académico, permanencia escolar, y la eficiencia terminal.</w:t>
            </w:r>
          </w:p>
        </w:tc>
        <w:tc>
          <w:tcPr>
            <w:tcW w:w="2836" w:type="dxa"/>
            <w:tcBorders>
              <w:top w:val="single" w:sz="4" w:space="0" w:color="auto"/>
              <w:left w:val="single" w:sz="4" w:space="0" w:color="auto"/>
              <w:bottom w:val="single" w:sz="4" w:space="0" w:color="auto"/>
              <w:right w:val="single" w:sz="4" w:space="0" w:color="auto"/>
            </w:tcBorders>
            <w:shd w:val="clear" w:color="auto" w:fill="auto"/>
          </w:tcPr>
          <w:p w14:paraId="72A49011" w14:textId="77777777" w:rsidR="00E23746" w:rsidRPr="00EF61A9" w:rsidRDefault="00E23746" w:rsidP="000B2F10">
            <w:pPr>
              <w:rPr>
                <w:rFonts w:cs="Arial"/>
                <w:sz w:val="18"/>
                <w:szCs w:val="20"/>
              </w:rPr>
            </w:pPr>
            <w:r w:rsidRPr="00EF61A9">
              <w:rPr>
                <w:rFonts w:cs="Arial"/>
                <w:sz w:val="18"/>
                <w:szCs w:val="20"/>
              </w:rPr>
              <w:t>C01.A06 - Participación de estudiantes en los servicios de apoyo para el aprendizaje.</w:t>
            </w:r>
          </w:p>
        </w:tc>
        <w:tc>
          <w:tcPr>
            <w:tcW w:w="2269" w:type="dxa"/>
            <w:tcBorders>
              <w:top w:val="single" w:sz="4" w:space="0" w:color="auto"/>
              <w:left w:val="single" w:sz="4" w:space="0" w:color="auto"/>
              <w:bottom w:val="single" w:sz="4" w:space="0" w:color="auto"/>
              <w:right w:val="single" w:sz="4" w:space="0" w:color="auto"/>
            </w:tcBorders>
            <w:shd w:val="clear" w:color="FFFFFF" w:fill="FFFFFF"/>
          </w:tcPr>
          <w:p w14:paraId="2E37C560" w14:textId="77777777" w:rsidR="00E23746" w:rsidRPr="00EF61A9" w:rsidRDefault="00E23746" w:rsidP="000B2F10">
            <w:pPr>
              <w:rPr>
                <w:rFonts w:cs="Arial"/>
                <w:sz w:val="18"/>
                <w:szCs w:val="20"/>
              </w:rPr>
            </w:pPr>
            <w:r w:rsidRPr="00EF61A9">
              <w:rPr>
                <w:rFonts w:cs="Arial"/>
                <w:sz w:val="18"/>
                <w:szCs w:val="20"/>
              </w:rPr>
              <w:t>C01A06 - Porcentaje de estudiantes atendidos.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C9BCE9D" w14:textId="77777777" w:rsidR="00E23746" w:rsidRPr="00EF61A9" w:rsidRDefault="00E23746" w:rsidP="000B2F10">
            <w:pPr>
              <w:rPr>
                <w:rFonts w:cs="Arial"/>
                <w:sz w:val="18"/>
                <w:szCs w:val="20"/>
              </w:rPr>
            </w:pPr>
            <w:r w:rsidRPr="00EF61A9">
              <w:rPr>
                <w:rFonts w:cs="Arial"/>
                <w:sz w:val="18"/>
                <w:szCs w:val="20"/>
              </w:rPr>
              <w:t>Estadística de uso del Departamento de Servicios Bibliotecarios   http://192.168.1.251/biblioteca/index.php.</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0523599" w14:textId="77777777" w:rsidR="00E23746" w:rsidRPr="00EF61A9" w:rsidRDefault="00E23746" w:rsidP="000B2F10">
            <w:pPr>
              <w:rPr>
                <w:rFonts w:cs="Arial"/>
                <w:sz w:val="18"/>
                <w:szCs w:val="20"/>
              </w:rPr>
            </w:pPr>
            <w:r w:rsidRPr="00EF61A9">
              <w:rPr>
                <w:rFonts w:cs="Arial"/>
                <w:sz w:val="18"/>
                <w:szCs w:val="20"/>
              </w:rPr>
              <w:t>Los estudiantes hacen uso de los diferentes servicios.</w:t>
            </w:r>
          </w:p>
        </w:tc>
      </w:tr>
      <w:tr w:rsidR="00E23746" w:rsidRPr="00FD08F8" w14:paraId="00D5C4E5" w14:textId="77777777" w:rsidTr="00A366B6">
        <w:trPr>
          <w:trHeight w:val="1900"/>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3757FAAF"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Actividad</w:t>
            </w:r>
          </w:p>
        </w:tc>
        <w:tc>
          <w:tcPr>
            <w:tcW w:w="2690" w:type="dxa"/>
            <w:tcBorders>
              <w:top w:val="single" w:sz="4" w:space="0" w:color="auto"/>
              <w:left w:val="single" w:sz="4" w:space="0" w:color="auto"/>
              <w:bottom w:val="single" w:sz="4" w:space="0" w:color="auto"/>
              <w:right w:val="single" w:sz="4" w:space="0" w:color="auto"/>
            </w:tcBorders>
            <w:shd w:val="clear" w:color="auto" w:fill="auto"/>
          </w:tcPr>
          <w:p w14:paraId="4538DA66" w14:textId="77777777" w:rsidR="00E23746" w:rsidRPr="00EF61A9" w:rsidRDefault="00E23746" w:rsidP="000B2F10">
            <w:pPr>
              <w:rPr>
                <w:rFonts w:cs="Arial"/>
                <w:sz w:val="18"/>
                <w:szCs w:val="18"/>
              </w:rPr>
            </w:pPr>
            <w:r w:rsidRPr="00EF61A9">
              <w:rPr>
                <w:rFonts w:cs="Arial"/>
                <w:sz w:val="18"/>
                <w:szCs w:val="18"/>
              </w:rPr>
              <w:t>Fortalecer los programas de asesoría, tutoría y acompañamiento académico, programas de becas y apoyos a fin de mejorar el desempeño académico, permanencia escolar, y la eficiencia terminal.</w:t>
            </w:r>
          </w:p>
        </w:tc>
        <w:tc>
          <w:tcPr>
            <w:tcW w:w="2836" w:type="dxa"/>
            <w:tcBorders>
              <w:top w:val="single" w:sz="4" w:space="0" w:color="auto"/>
              <w:left w:val="single" w:sz="4" w:space="0" w:color="auto"/>
              <w:bottom w:val="single" w:sz="4" w:space="0" w:color="auto"/>
              <w:right w:val="single" w:sz="4" w:space="0" w:color="auto"/>
            </w:tcBorders>
            <w:shd w:val="clear" w:color="auto" w:fill="auto"/>
          </w:tcPr>
          <w:p w14:paraId="311F5831" w14:textId="77777777" w:rsidR="00E23746" w:rsidRPr="00EF61A9" w:rsidRDefault="00E23746" w:rsidP="000B2F10">
            <w:pPr>
              <w:rPr>
                <w:rFonts w:cs="Arial"/>
                <w:sz w:val="18"/>
                <w:szCs w:val="18"/>
              </w:rPr>
            </w:pPr>
            <w:r w:rsidRPr="00EF61A9">
              <w:rPr>
                <w:rFonts w:cs="Arial"/>
                <w:sz w:val="18"/>
                <w:szCs w:val="18"/>
              </w:rPr>
              <w:t>C01.A07 - Participación de estudiantes en actividades relacionadas con vida saludable.</w:t>
            </w:r>
          </w:p>
        </w:tc>
        <w:tc>
          <w:tcPr>
            <w:tcW w:w="2269" w:type="dxa"/>
            <w:tcBorders>
              <w:top w:val="single" w:sz="4" w:space="0" w:color="auto"/>
              <w:left w:val="single" w:sz="4" w:space="0" w:color="auto"/>
              <w:bottom w:val="single" w:sz="4" w:space="0" w:color="auto"/>
              <w:right w:val="single" w:sz="4" w:space="0" w:color="auto"/>
            </w:tcBorders>
            <w:shd w:val="clear" w:color="FFFFFF" w:fill="FFFFFF"/>
          </w:tcPr>
          <w:p w14:paraId="1A87212D" w14:textId="77777777" w:rsidR="00E23746" w:rsidRPr="00EF61A9" w:rsidRDefault="00E23746" w:rsidP="000B2F10">
            <w:pPr>
              <w:rPr>
                <w:rFonts w:cs="Arial"/>
                <w:sz w:val="18"/>
                <w:szCs w:val="18"/>
              </w:rPr>
            </w:pPr>
            <w:r w:rsidRPr="00EF61A9">
              <w:rPr>
                <w:rFonts w:cs="Arial"/>
                <w:sz w:val="18"/>
                <w:szCs w:val="18"/>
              </w:rPr>
              <w:t>C01A07 - Porcentaje de estudiantes atendidos.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D1078DD" w14:textId="77777777" w:rsidR="00E23746" w:rsidRPr="00EF61A9" w:rsidRDefault="00E23746" w:rsidP="000B2F10">
            <w:pPr>
              <w:rPr>
                <w:rFonts w:cs="Arial"/>
                <w:sz w:val="18"/>
                <w:szCs w:val="18"/>
              </w:rPr>
            </w:pPr>
            <w:r w:rsidRPr="00EF61A9">
              <w:rPr>
                <w:rFonts w:cs="Arial"/>
                <w:sz w:val="18"/>
                <w:szCs w:val="18"/>
              </w:rPr>
              <w:t>Bitácora de atenciones del Departamento de Servicios Psicológicos y Enfermería https://drive.google.com/drive/folders/1S-_7hrmjZX-Zvh9eUQh3fiu71W2pyG-_?usp=sharing.</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BF994FF" w14:textId="77777777" w:rsidR="00E23746" w:rsidRPr="00EF61A9" w:rsidRDefault="00E23746" w:rsidP="000B2F10">
            <w:pPr>
              <w:rPr>
                <w:rFonts w:cs="Arial"/>
                <w:sz w:val="18"/>
                <w:szCs w:val="18"/>
              </w:rPr>
            </w:pPr>
            <w:r w:rsidRPr="00EF61A9">
              <w:rPr>
                <w:rFonts w:cs="Arial"/>
                <w:sz w:val="18"/>
                <w:szCs w:val="18"/>
              </w:rPr>
              <w:t>Los estudiantes acuden al servicio y no tienen la cultura de autocuidado de la salud.</w:t>
            </w:r>
          </w:p>
        </w:tc>
      </w:tr>
      <w:tr w:rsidR="00E23746" w:rsidRPr="00FD08F8" w14:paraId="2BC0E497" w14:textId="77777777" w:rsidTr="00A366B6">
        <w:trPr>
          <w:trHeight w:val="1117"/>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23EF38E5"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Actividad</w:t>
            </w:r>
          </w:p>
        </w:tc>
        <w:tc>
          <w:tcPr>
            <w:tcW w:w="2690" w:type="dxa"/>
            <w:tcBorders>
              <w:top w:val="single" w:sz="4" w:space="0" w:color="auto"/>
              <w:left w:val="single" w:sz="4" w:space="0" w:color="auto"/>
              <w:bottom w:val="single" w:sz="4" w:space="0" w:color="auto"/>
              <w:right w:val="single" w:sz="4" w:space="0" w:color="auto"/>
            </w:tcBorders>
            <w:shd w:val="clear" w:color="auto" w:fill="auto"/>
          </w:tcPr>
          <w:p w14:paraId="2B666968" w14:textId="77777777" w:rsidR="00E23746" w:rsidRPr="00EF61A9" w:rsidRDefault="00E23746" w:rsidP="000B2F10">
            <w:pPr>
              <w:rPr>
                <w:rFonts w:cs="Arial"/>
                <w:sz w:val="18"/>
                <w:szCs w:val="18"/>
              </w:rPr>
            </w:pPr>
            <w:r w:rsidRPr="00EF61A9">
              <w:rPr>
                <w:rFonts w:cs="Arial"/>
                <w:sz w:val="18"/>
                <w:szCs w:val="18"/>
              </w:rPr>
              <w:t>Desarrollar una estrategia integral que permita ampliar la cobertura educativa de nivel superior en las instituciones públicas.</w:t>
            </w:r>
          </w:p>
        </w:tc>
        <w:tc>
          <w:tcPr>
            <w:tcW w:w="2836" w:type="dxa"/>
            <w:tcBorders>
              <w:top w:val="single" w:sz="4" w:space="0" w:color="auto"/>
              <w:left w:val="single" w:sz="4" w:space="0" w:color="auto"/>
              <w:bottom w:val="single" w:sz="4" w:space="0" w:color="auto"/>
              <w:right w:val="single" w:sz="4" w:space="0" w:color="auto"/>
            </w:tcBorders>
            <w:shd w:val="clear" w:color="auto" w:fill="auto"/>
          </w:tcPr>
          <w:p w14:paraId="12E69350" w14:textId="77777777" w:rsidR="00E23746" w:rsidRPr="00EF61A9" w:rsidRDefault="00E23746" w:rsidP="000B2F10">
            <w:pPr>
              <w:rPr>
                <w:rFonts w:cs="Arial"/>
                <w:sz w:val="18"/>
                <w:szCs w:val="18"/>
              </w:rPr>
            </w:pPr>
            <w:r w:rsidRPr="00EF61A9">
              <w:rPr>
                <w:rFonts w:cs="Arial"/>
                <w:sz w:val="18"/>
                <w:szCs w:val="18"/>
              </w:rPr>
              <w:t>C01.A08 - Inscripción de aspirantes egresados de educación media superior a la universidad.</w:t>
            </w:r>
          </w:p>
        </w:tc>
        <w:tc>
          <w:tcPr>
            <w:tcW w:w="2269" w:type="dxa"/>
            <w:tcBorders>
              <w:top w:val="single" w:sz="4" w:space="0" w:color="auto"/>
              <w:left w:val="single" w:sz="4" w:space="0" w:color="auto"/>
              <w:bottom w:val="single" w:sz="4" w:space="0" w:color="auto"/>
              <w:right w:val="single" w:sz="4" w:space="0" w:color="auto"/>
            </w:tcBorders>
            <w:shd w:val="clear" w:color="FFFFFF" w:fill="FFFFFF"/>
          </w:tcPr>
          <w:p w14:paraId="32AE1BB3" w14:textId="77777777" w:rsidR="00E23746" w:rsidRPr="00EF61A9" w:rsidRDefault="00E23746" w:rsidP="000B2F10">
            <w:pPr>
              <w:rPr>
                <w:rFonts w:cs="Arial"/>
                <w:sz w:val="18"/>
                <w:szCs w:val="18"/>
              </w:rPr>
            </w:pPr>
            <w:r w:rsidRPr="00EF61A9">
              <w:rPr>
                <w:rFonts w:cs="Arial"/>
                <w:sz w:val="18"/>
                <w:szCs w:val="18"/>
              </w:rPr>
              <w:t>C01A08 -</w:t>
            </w:r>
            <w:r w:rsidRPr="00EF61A9">
              <w:rPr>
                <w:sz w:val="18"/>
                <w:szCs w:val="18"/>
              </w:rPr>
              <w:t xml:space="preserve"> </w:t>
            </w:r>
            <w:r w:rsidRPr="00EF61A9">
              <w:rPr>
                <w:rFonts w:cs="Arial"/>
                <w:sz w:val="18"/>
                <w:szCs w:val="18"/>
              </w:rPr>
              <w:t>Porcentaje de estudiantes de nuevo ingreso inscritos.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C6963A0" w14:textId="77777777" w:rsidR="00E23746" w:rsidRPr="00EF61A9" w:rsidRDefault="00E23746" w:rsidP="000B2F10">
            <w:pPr>
              <w:rPr>
                <w:rFonts w:cs="Arial"/>
                <w:sz w:val="18"/>
                <w:szCs w:val="18"/>
              </w:rPr>
            </w:pPr>
            <w:r w:rsidRPr="00EF61A9">
              <w:rPr>
                <w:rFonts w:cs="Arial"/>
                <w:sz w:val="18"/>
                <w:szCs w:val="18"/>
              </w:rPr>
              <w:t xml:space="preserve">Reporte de aspirantes de nuevo ingreso inscritos a la universidad, emitido por el departamento de servicios escolares. </w:t>
            </w:r>
            <w:hyperlink r:id="rId75" w:history="1">
              <w:r w:rsidRPr="00EF61A9">
                <w:rPr>
                  <w:rFonts w:cs="Arial"/>
                  <w:sz w:val="18"/>
                  <w:szCs w:val="18"/>
                </w:rPr>
                <w:t>http://utcancun.edu.mx/estudiantes-matricula-inscrita-2021/</w:t>
              </w:r>
            </w:hyperlink>
            <w:r w:rsidRPr="00EF61A9">
              <w:rPr>
                <w:rFonts w:cs="Arial"/>
                <w:sz w:val="18"/>
                <w:szCs w:val="18"/>
              </w:rPr>
              <w:t>.</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21FDF28" w14:textId="77777777" w:rsidR="00E23746" w:rsidRPr="00EF61A9" w:rsidRDefault="00E23746" w:rsidP="000B2F10">
            <w:pPr>
              <w:rPr>
                <w:rFonts w:cs="Arial"/>
                <w:sz w:val="18"/>
                <w:szCs w:val="18"/>
              </w:rPr>
            </w:pPr>
            <w:r w:rsidRPr="00EF61A9">
              <w:rPr>
                <w:rFonts w:cs="Arial"/>
                <w:sz w:val="18"/>
                <w:szCs w:val="18"/>
              </w:rPr>
              <w:t>Los programas educativos que ofrece la universidad son del interés de los egresados de las IEMS.</w:t>
            </w:r>
          </w:p>
        </w:tc>
      </w:tr>
      <w:tr w:rsidR="00E23746" w:rsidRPr="00FD08F8" w14:paraId="6B7C92BE" w14:textId="77777777" w:rsidTr="00A366B6">
        <w:trPr>
          <w:trHeight w:val="1117"/>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220E2D47" w14:textId="77777777" w:rsidR="00E23746" w:rsidRPr="00FD08F8" w:rsidRDefault="00E23746" w:rsidP="000B2F10">
            <w:pPr>
              <w:spacing w:after="0" w:line="240" w:lineRule="auto"/>
              <w:rPr>
                <w:rFonts w:eastAsia="Times New Roman" w:cs="Arial"/>
                <w:b/>
                <w:bCs/>
                <w:sz w:val="20"/>
                <w:szCs w:val="20"/>
                <w:lang w:val="es-MX" w:eastAsia="es-MX"/>
              </w:rPr>
            </w:pPr>
            <w:r>
              <w:rPr>
                <w:rFonts w:eastAsia="Times New Roman" w:cs="Arial"/>
                <w:b/>
                <w:bCs/>
                <w:sz w:val="20"/>
                <w:szCs w:val="20"/>
                <w:lang w:val="es-MX" w:eastAsia="es-MX"/>
              </w:rPr>
              <w:t>Componente</w:t>
            </w:r>
          </w:p>
        </w:tc>
        <w:tc>
          <w:tcPr>
            <w:tcW w:w="2690" w:type="dxa"/>
            <w:tcBorders>
              <w:top w:val="single" w:sz="4" w:space="0" w:color="auto"/>
              <w:left w:val="single" w:sz="4" w:space="0" w:color="auto"/>
              <w:bottom w:val="single" w:sz="4" w:space="0" w:color="auto"/>
              <w:right w:val="single" w:sz="4" w:space="0" w:color="auto"/>
            </w:tcBorders>
            <w:shd w:val="clear" w:color="auto" w:fill="auto"/>
          </w:tcPr>
          <w:p w14:paraId="14EBCE05" w14:textId="77777777" w:rsidR="00E23746" w:rsidRPr="00EF61A9" w:rsidRDefault="00E23746" w:rsidP="000B2F10">
            <w:pPr>
              <w:rPr>
                <w:rFonts w:cs="Arial"/>
                <w:sz w:val="18"/>
                <w:szCs w:val="18"/>
              </w:rPr>
            </w:pPr>
            <w:r w:rsidRPr="00EF61A9">
              <w:rPr>
                <w:rFonts w:cs="Arial"/>
                <w:sz w:val="18"/>
                <w:szCs w:val="18"/>
              </w:rPr>
              <w:t>Impulsar la acreditación y evaluación de los planes y programas de estudio de educación superior por organismos externos reconocidos a nivel nacional e internacional.</w:t>
            </w:r>
          </w:p>
        </w:tc>
        <w:tc>
          <w:tcPr>
            <w:tcW w:w="2836" w:type="dxa"/>
            <w:tcBorders>
              <w:top w:val="single" w:sz="4" w:space="0" w:color="auto"/>
              <w:left w:val="single" w:sz="4" w:space="0" w:color="auto"/>
              <w:bottom w:val="single" w:sz="4" w:space="0" w:color="auto"/>
              <w:right w:val="single" w:sz="4" w:space="0" w:color="auto"/>
            </w:tcBorders>
            <w:shd w:val="clear" w:color="auto" w:fill="auto"/>
          </w:tcPr>
          <w:p w14:paraId="354B4566" w14:textId="77777777" w:rsidR="00E23746" w:rsidRPr="00EF61A9" w:rsidRDefault="00E23746" w:rsidP="000B2F10">
            <w:pPr>
              <w:rPr>
                <w:rFonts w:cs="Arial"/>
                <w:sz w:val="18"/>
                <w:szCs w:val="18"/>
              </w:rPr>
            </w:pPr>
            <w:r w:rsidRPr="00EF61A9">
              <w:rPr>
                <w:rFonts w:cs="Arial"/>
                <w:sz w:val="18"/>
                <w:szCs w:val="18"/>
              </w:rPr>
              <w:t>C02 - Programas Educativos Evaluables de calidad ofertados.</w:t>
            </w:r>
          </w:p>
        </w:tc>
        <w:tc>
          <w:tcPr>
            <w:tcW w:w="2269" w:type="dxa"/>
            <w:tcBorders>
              <w:top w:val="single" w:sz="4" w:space="0" w:color="auto"/>
              <w:left w:val="single" w:sz="4" w:space="0" w:color="auto"/>
              <w:bottom w:val="single" w:sz="4" w:space="0" w:color="auto"/>
              <w:right w:val="single" w:sz="4" w:space="0" w:color="auto"/>
            </w:tcBorders>
            <w:shd w:val="clear" w:color="FFFFFF" w:fill="FFFFFF"/>
          </w:tcPr>
          <w:p w14:paraId="23B21AA5" w14:textId="77777777" w:rsidR="00E23746" w:rsidRPr="00EF61A9" w:rsidRDefault="00E23746" w:rsidP="000B2F10">
            <w:pPr>
              <w:rPr>
                <w:rFonts w:cs="Arial"/>
                <w:sz w:val="18"/>
                <w:szCs w:val="18"/>
              </w:rPr>
            </w:pPr>
            <w:r w:rsidRPr="00EF61A9">
              <w:rPr>
                <w:rFonts w:cs="Arial"/>
                <w:sz w:val="18"/>
                <w:szCs w:val="18"/>
              </w:rPr>
              <w:t>C02 - Programas Educativos Evaluables de Calidad Ofertados.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2B4F573" w14:textId="77777777" w:rsidR="00E23746" w:rsidRPr="00EF61A9" w:rsidRDefault="00E23746" w:rsidP="000B2F10">
            <w:pPr>
              <w:rPr>
                <w:rFonts w:cs="Arial"/>
                <w:sz w:val="18"/>
                <w:szCs w:val="18"/>
              </w:rPr>
            </w:pPr>
            <w:r w:rsidRPr="00EF61A9">
              <w:rPr>
                <w:rFonts w:cs="Arial"/>
                <w:sz w:val="18"/>
                <w:szCs w:val="18"/>
              </w:rPr>
              <w:t>Dictamen de acreditación y oficio de actualización de Programas Educativos.</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338F785" w14:textId="77777777" w:rsidR="00E23746" w:rsidRPr="00EF61A9" w:rsidRDefault="00E23746" w:rsidP="000B2F10">
            <w:pPr>
              <w:rPr>
                <w:rFonts w:cs="Arial"/>
                <w:sz w:val="18"/>
                <w:szCs w:val="18"/>
              </w:rPr>
            </w:pPr>
            <w:r w:rsidRPr="00EF61A9">
              <w:rPr>
                <w:rFonts w:cs="Arial"/>
                <w:sz w:val="18"/>
                <w:szCs w:val="18"/>
              </w:rPr>
              <w:t>La Calidad de la Educación Superior continúa siendo prioridad Nacional.</w:t>
            </w:r>
          </w:p>
        </w:tc>
      </w:tr>
    </w:tbl>
    <w:p w14:paraId="61FB6ECD" w14:textId="77777777" w:rsidR="00D36037" w:rsidRDefault="00D36037">
      <w:pPr>
        <w:spacing w:after="0" w:line="240" w:lineRule="auto"/>
        <w:jc w:val="left"/>
      </w:pPr>
      <w:r>
        <w:br w:type="page"/>
      </w:r>
    </w:p>
    <w:tbl>
      <w:tblPr>
        <w:tblW w:w="14170" w:type="dxa"/>
        <w:tblLayout w:type="fixed"/>
        <w:tblCellMar>
          <w:left w:w="70" w:type="dxa"/>
          <w:right w:w="70" w:type="dxa"/>
        </w:tblCellMar>
        <w:tblLook w:val="04A0" w:firstRow="1" w:lastRow="0" w:firstColumn="1" w:lastColumn="0" w:noHBand="0" w:noVBand="1"/>
      </w:tblPr>
      <w:tblGrid>
        <w:gridCol w:w="1269"/>
        <w:gridCol w:w="2834"/>
        <w:gridCol w:w="2836"/>
        <w:gridCol w:w="2269"/>
        <w:gridCol w:w="2835"/>
        <w:gridCol w:w="2127"/>
      </w:tblGrid>
      <w:tr w:rsidR="00E23746" w:rsidRPr="00FD08F8" w14:paraId="72AB39C2" w14:textId="77777777" w:rsidTr="006B434D">
        <w:trPr>
          <w:trHeight w:val="577"/>
        </w:trPr>
        <w:tc>
          <w:tcPr>
            <w:tcW w:w="1269"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2516634F"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lastRenderedPageBreak/>
              <w:t>NIVEL</w:t>
            </w:r>
          </w:p>
        </w:tc>
        <w:tc>
          <w:tcPr>
            <w:tcW w:w="2834" w:type="dxa"/>
            <w:tcBorders>
              <w:top w:val="single" w:sz="4" w:space="0" w:color="auto"/>
              <w:left w:val="nil"/>
              <w:bottom w:val="single" w:sz="4" w:space="0" w:color="auto"/>
              <w:right w:val="single" w:sz="4" w:space="0" w:color="auto"/>
            </w:tcBorders>
            <w:shd w:val="clear" w:color="000000" w:fill="BFBFBF"/>
            <w:vAlign w:val="center"/>
            <w:hideMark/>
          </w:tcPr>
          <w:p w14:paraId="66EC90E8"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ALINEACIÓN PED/PD</w:t>
            </w:r>
          </w:p>
        </w:tc>
        <w:tc>
          <w:tcPr>
            <w:tcW w:w="2836" w:type="dxa"/>
            <w:tcBorders>
              <w:top w:val="single" w:sz="4" w:space="0" w:color="auto"/>
              <w:left w:val="nil"/>
              <w:bottom w:val="single" w:sz="4" w:space="0" w:color="auto"/>
              <w:right w:val="single" w:sz="4" w:space="0" w:color="auto"/>
            </w:tcBorders>
            <w:shd w:val="clear" w:color="000000" w:fill="BFBFBF"/>
            <w:vAlign w:val="center"/>
            <w:hideMark/>
          </w:tcPr>
          <w:p w14:paraId="1C8011DD"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OBJETIVO</w:t>
            </w:r>
          </w:p>
        </w:tc>
        <w:tc>
          <w:tcPr>
            <w:tcW w:w="2269" w:type="dxa"/>
            <w:tcBorders>
              <w:top w:val="single" w:sz="4" w:space="0" w:color="auto"/>
              <w:left w:val="nil"/>
              <w:bottom w:val="single" w:sz="4" w:space="0" w:color="auto"/>
              <w:right w:val="single" w:sz="4" w:space="0" w:color="auto"/>
            </w:tcBorders>
            <w:shd w:val="clear" w:color="000000" w:fill="BFBFBF"/>
            <w:vAlign w:val="center"/>
            <w:hideMark/>
          </w:tcPr>
          <w:p w14:paraId="783A0F3E"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INDICADOR</w:t>
            </w:r>
          </w:p>
        </w:tc>
        <w:tc>
          <w:tcPr>
            <w:tcW w:w="2835" w:type="dxa"/>
            <w:tcBorders>
              <w:top w:val="single" w:sz="4" w:space="0" w:color="auto"/>
              <w:left w:val="nil"/>
              <w:bottom w:val="single" w:sz="4" w:space="0" w:color="auto"/>
              <w:right w:val="single" w:sz="4" w:space="0" w:color="auto"/>
            </w:tcBorders>
            <w:shd w:val="clear" w:color="000000" w:fill="BFBFBF"/>
            <w:vAlign w:val="center"/>
            <w:hideMark/>
          </w:tcPr>
          <w:p w14:paraId="6667B40F"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MEDIOS DE VERIFICACIÓN</w:t>
            </w:r>
          </w:p>
        </w:tc>
        <w:tc>
          <w:tcPr>
            <w:tcW w:w="2127" w:type="dxa"/>
            <w:tcBorders>
              <w:top w:val="single" w:sz="4" w:space="0" w:color="auto"/>
              <w:left w:val="nil"/>
              <w:bottom w:val="single" w:sz="4" w:space="0" w:color="auto"/>
              <w:right w:val="single" w:sz="4" w:space="0" w:color="auto"/>
            </w:tcBorders>
            <w:shd w:val="clear" w:color="000000" w:fill="BFBFBF"/>
            <w:vAlign w:val="center"/>
            <w:hideMark/>
          </w:tcPr>
          <w:p w14:paraId="33738B13"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SUPUESTO</w:t>
            </w:r>
          </w:p>
        </w:tc>
      </w:tr>
      <w:tr w:rsidR="00E23746" w:rsidRPr="00FD08F8" w14:paraId="0B486DAC" w14:textId="77777777" w:rsidTr="006B434D">
        <w:trPr>
          <w:trHeight w:val="1117"/>
        </w:trPr>
        <w:tc>
          <w:tcPr>
            <w:tcW w:w="1269" w:type="dxa"/>
            <w:tcBorders>
              <w:top w:val="single" w:sz="4" w:space="0" w:color="auto"/>
              <w:left w:val="single" w:sz="4" w:space="0" w:color="auto"/>
              <w:bottom w:val="single" w:sz="4" w:space="0" w:color="auto"/>
              <w:right w:val="single" w:sz="4" w:space="0" w:color="auto"/>
            </w:tcBorders>
            <w:shd w:val="clear" w:color="auto" w:fill="auto"/>
          </w:tcPr>
          <w:p w14:paraId="2DD3A9DC" w14:textId="77777777" w:rsidR="00E23746" w:rsidRDefault="00E23746" w:rsidP="000B2F10">
            <w:pPr>
              <w:spacing w:after="0" w:line="240" w:lineRule="auto"/>
              <w:rPr>
                <w:rFonts w:eastAsia="Times New Roman" w:cs="Arial"/>
                <w:b/>
                <w:bCs/>
                <w:sz w:val="20"/>
                <w:szCs w:val="20"/>
                <w:lang w:val="es-MX" w:eastAsia="es-MX"/>
              </w:rPr>
            </w:pPr>
            <w:r>
              <w:rPr>
                <w:rFonts w:eastAsia="Times New Roman" w:cs="Arial"/>
                <w:b/>
                <w:bCs/>
                <w:sz w:val="20"/>
                <w:szCs w:val="20"/>
                <w:lang w:val="es-MX" w:eastAsia="es-MX"/>
              </w:rPr>
              <w:t>Actividad</w:t>
            </w:r>
          </w:p>
        </w:tc>
        <w:tc>
          <w:tcPr>
            <w:tcW w:w="2834" w:type="dxa"/>
            <w:tcBorders>
              <w:top w:val="single" w:sz="4" w:space="0" w:color="auto"/>
              <w:left w:val="single" w:sz="4" w:space="0" w:color="auto"/>
              <w:bottom w:val="single" w:sz="4" w:space="0" w:color="auto"/>
              <w:right w:val="single" w:sz="4" w:space="0" w:color="auto"/>
            </w:tcBorders>
            <w:shd w:val="clear" w:color="auto" w:fill="auto"/>
          </w:tcPr>
          <w:p w14:paraId="2C28236E" w14:textId="77777777" w:rsidR="00E23746" w:rsidRPr="00E34375" w:rsidRDefault="00E23746" w:rsidP="000B2F10">
            <w:pPr>
              <w:rPr>
                <w:rFonts w:cs="Arial"/>
                <w:sz w:val="20"/>
                <w:szCs w:val="20"/>
              </w:rPr>
            </w:pPr>
            <w:r w:rsidRPr="00721144">
              <w:rPr>
                <w:rFonts w:cs="Arial"/>
                <w:sz w:val="20"/>
                <w:szCs w:val="20"/>
              </w:rPr>
              <w:t>Impulsar la acreditación y evaluación de los planes y programas de estudio de educación superior por organismos externos reconocidos a nivel nacional e internacional.</w:t>
            </w:r>
          </w:p>
        </w:tc>
        <w:tc>
          <w:tcPr>
            <w:tcW w:w="2836" w:type="dxa"/>
            <w:tcBorders>
              <w:top w:val="single" w:sz="4" w:space="0" w:color="auto"/>
              <w:left w:val="single" w:sz="4" w:space="0" w:color="auto"/>
              <w:bottom w:val="single" w:sz="4" w:space="0" w:color="auto"/>
              <w:right w:val="single" w:sz="4" w:space="0" w:color="auto"/>
            </w:tcBorders>
            <w:shd w:val="clear" w:color="auto" w:fill="auto"/>
          </w:tcPr>
          <w:p w14:paraId="1AE409E1" w14:textId="77777777" w:rsidR="00E23746" w:rsidRPr="00574DAC" w:rsidRDefault="00E23746" w:rsidP="000B2F10">
            <w:pPr>
              <w:rPr>
                <w:rFonts w:cs="Arial"/>
                <w:sz w:val="20"/>
                <w:szCs w:val="20"/>
              </w:rPr>
            </w:pPr>
            <w:r>
              <w:rPr>
                <w:rFonts w:cs="Arial"/>
                <w:sz w:val="20"/>
                <w:szCs w:val="20"/>
              </w:rPr>
              <w:t>C02.A01</w:t>
            </w:r>
            <w:r w:rsidRPr="00574DAC">
              <w:rPr>
                <w:rFonts w:cs="Arial"/>
                <w:sz w:val="20"/>
                <w:szCs w:val="20"/>
              </w:rPr>
              <w:t xml:space="preserve"> -</w:t>
            </w:r>
            <w:r w:rsidRPr="00DB13F3">
              <w:rPr>
                <w:rFonts w:cs="Arial"/>
                <w:sz w:val="20"/>
                <w:szCs w:val="20"/>
              </w:rPr>
              <w:t xml:space="preserve"> </w:t>
            </w:r>
            <w:r w:rsidRPr="00530B09">
              <w:rPr>
                <w:rFonts w:cs="Arial"/>
                <w:sz w:val="20"/>
                <w:szCs w:val="20"/>
              </w:rPr>
              <w:t>Acreditación de Programas Educativos evaluables en el año.</w:t>
            </w:r>
          </w:p>
        </w:tc>
        <w:tc>
          <w:tcPr>
            <w:tcW w:w="2269" w:type="dxa"/>
            <w:tcBorders>
              <w:top w:val="single" w:sz="4" w:space="0" w:color="auto"/>
              <w:left w:val="single" w:sz="4" w:space="0" w:color="auto"/>
              <w:bottom w:val="single" w:sz="4" w:space="0" w:color="auto"/>
              <w:right w:val="single" w:sz="4" w:space="0" w:color="auto"/>
            </w:tcBorders>
            <w:shd w:val="clear" w:color="FFFFFF" w:fill="FFFFFF"/>
          </w:tcPr>
          <w:p w14:paraId="395BCB30" w14:textId="77777777" w:rsidR="00E23746" w:rsidRDefault="00E23746" w:rsidP="000B2F10">
            <w:pPr>
              <w:rPr>
                <w:rFonts w:cs="Arial"/>
                <w:sz w:val="20"/>
                <w:szCs w:val="20"/>
              </w:rPr>
            </w:pPr>
            <w:r>
              <w:rPr>
                <w:rFonts w:cs="Arial"/>
                <w:sz w:val="20"/>
                <w:szCs w:val="20"/>
              </w:rPr>
              <w:t>C02A01</w:t>
            </w:r>
            <w:r w:rsidRPr="00574DAC">
              <w:rPr>
                <w:rFonts w:cs="Arial"/>
                <w:sz w:val="20"/>
                <w:szCs w:val="20"/>
              </w:rPr>
              <w:t xml:space="preserve"> -</w:t>
            </w:r>
            <w:r w:rsidRPr="00DB13F3">
              <w:rPr>
                <w:rFonts w:cs="Arial"/>
                <w:sz w:val="20"/>
                <w:szCs w:val="20"/>
              </w:rPr>
              <w:t xml:space="preserve"> </w:t>
            </w:r>
            <w:r w:rsidRPr="00530B09">
              <w:rPr>
                <w:rFonts w:cs="Arial"/>
                <w:sz w:val="20"/>
                <w:szCs w:val="20"/>
              </w:rPr>
              <w:t>Porcentaje  de evaluaciones realizadas en el año.</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18ED119" w14:textId="77777777" w:rsidR="00E23746" w:rsidRPr="00044681" w:rsidRDefault="00E23746" w:rsidP="000B2F10">
            <w:pPr>
              <w:rPr>
                <w:rFonts w:cs="Arial"/>
                <w:sz w:val="20"/>
                <w:szCs w:val="20"/>
              </w:rPr>
            </w:pPr>
            <w:r w:rsidRPr="00750B91">
              <w:rPr>
                <w:rFonts w:cs="Arial"/>
                <w:sz w:val="20"/>
                <w:szCs w:val="20"/>
              </w:rPr>
              <w:t>Dictamen de acreditación y oficio de actualización de Programas Educativos. Consultar en:</w:t>
            </w:r>
            <w:r>
              <w:rPr>
                <w:rFonts w:cs="Arial"/>
                <w:sz w:val="20"/>
                <w:szCs w:val="20"/>
              </w:rPr>
              <w:t xml:space="preserve"> </w:t>
            </w:r>
            <w:r w:rsidRPr="00750B91">
              <w:rPr>
                <w:rFonts w:cs="Arial"/>
                <w:sz w:val="20"/>
                <w:szCs w:val="20"/>
              </w:rPr>
              <w:t>http://utcancun.edu.mx/carreras/</w:t>
            </w:r>
            <w:r>
              <w:rPr>
                <w:rFonts w:cs="Arial"/>
                <w:sz w:val="20"/>
                <w:szCs w:val="20"/>
              </w:rPr>
              <w:t>.</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EF86BB3" w14:textId="77777777" w:rsidR="00E23746" w:rsidRPr="00F5562C" w:rsidRDefault="00E23746" w:rsidP="000B2F10">
            <w:pPr>
              <w:rPr>
                <w:rFonts w:cs="Arial"/>
                <w:sz w:val="20"/>
                <w:szCs w:val="20"/>
              </w:rPr>
            </w:pPr>
            <w:r w:rsidRPr="00A114C2">
              <w:rPr>
                <w:rFonts w:cs="Arial"/>
                <w:sz w:val="20"/>
                <w:szCs w:val="20"/>
              </w:rPr>
              <w:t>Los  Programas Educativos  cubren los requisitos mínimos necesarios para ser acreditados y reacreditados.</w:t>
            </w:r>
          </w:p>
        </w:tc>
      </w:tr>
      <w:tr w:rsidR="00E23746" w:rsidRPr="00FD08F8" w14:paraId="0AA19F59" w14:textId="77777777" w:rsidTr="006B434D">
        <w:trPr>
          <w:trHeight w:val="1117"/>
        </w:trPr>
        <w:tc>
          <w:tcPr>
            <w:tcW w:w="1269" w:type="dxa"/>
            <w:tcBorders>
              <w:top w:val="single" w:sz="4" w:space="0" w:color="auto"/>
              <w:left w:val="single" w:sz="4" w:space="0" w:color="auto"/>
              <w:bottom w:val="single" w:sz="4" w:space="0" w:color="auto"/>
              <w:right w:val="single" w:sz="4" w:space="0" w:color="auto"/>
            </w:tcBorders>
            <w:shd w:val="clear" w:color="auto" w:fill="auto"/>
          </w:tcPr>
          <w:p w14:paraId="74A42970" w14:textId="77777777" w:rsidR="00E23746" w:rsidRDefault="00E23746" w:rsidP="000B2F10">
            <w:pPr>
              <w:spacing w:after="0" w:line="240" w:lineRule="auto"/>
              <w:rPr>
                <w:rFonts w:eastAsia="Times New Roman" w:cs="Arial"/>
                <w:b/>
                <w:bCs/>
                <w:sz w:val="20"/>
                <w:szCs w:val="20"/>
                <w:lang w:val="es-MX" w:eastAsia="es-MX"/>
              </w:rPr>
            </w:pPr>
            <w:r>
              <w:rPr>
                <w:rFonts w:eastAsia="Times New Roman" w:cs="Arial"/>
                <w:b/>
                <w:bCs/>
                <w:sz w:val="20"/>
                <w:szCs w:val="20"/>
                <w:lang w:val="es-MX" w:eastAsia="es-MX"/>
              </w:rPr>
              <w:t>Actividad</w:t>
            </w:r>
          </w:p>
        </w:tc>
        <w:tc>
          <w:tcPr>
            <w:tcW w:w="2834" w:type="dxa"/>
            <w:tcBorders>
              <w:top w:val="single" w:sz="4" w:space="0" w:color="auto"/>
              <w:left w:val="single" w:sz="4" w:space="0" w:color="auto"/>
              <w:bottom w:val="single" w:sz="4" w:space="0" w:color="auto"/>
              <w:right w:val="single" w:sz="4" w:space="0" w:color="auto"/>
            </w:tcBorders>
            <w:shd w:val="clear" w:color="auto" w:fill="auto"/>
          </w:tcPr>
          <w:p w14:paraId="58D6923D" w14:textId="03E17FB6" w:rsidR="00A53D97" w:rsidRPr="00721144" w:rsidRDefault="00E23746" w:rsidP="00A366B6">
            <w:pPr>
              <w:rPr>
                <w:rFonts w:cs="Arial"/>
                <w:sz w:val="20"/>
                <w:szCs w:val="20"/>
              </w:rPr>
            </w:pPr>
            <w:r w:rsidRPr="00CE3998">
              <w:rPr>
                <w:rFonts w:cs="Arial"/>
                <w:sz w:val="20"/>
                <w:szCs w:val="20"/>
              </w:rPr>
              <w:t>Emprender programas de intervención de escuelas públicas, en los diferentes niveles educativos mediante el equipamiento y rehabilitación de las mismas para beneficio de la comunidad estudiantil de nuestro estado.</w:t>
            </w:r>
          </w:p>
        </w:tc>
        <w:tc>
          <w:tcPr>
            <w:tcW w:w="2836" w:type="dxa"/>
            <w:tcBorders>
              <w:top w:val="single" w:sz="4" w:space="0" w:color="auto"/>
              <w:left w:val="single" w:sz="4" w:space="0" w:color="auto"/>
              <w:bottom w:val="single" w:sz="4" w:space="0" w:color="auto"/>
              <w:right w:val="single" w:sz="4" w:space="0" w:color="auto"/>
            </w:tcBorders>
            <w:shd w:val="clear" w:color="auto" w:fill="auto"/>
          </w:tcPr>
          <w:p w14:paraId="3AB5255F" w14:textId="77777777" w:rsidR="00E23746" w:rsidRDefault="00E23746" w:rsidP="000B2F10">
            <w:pPr>
              <w:rPr>
                <w:rFonts w:cs="Arial"/>
                <w:sz w:val="20"/>
                <w:szCs w:val="20"/>
              </w:rPr>
            </w:pPr>
            <w:r>
              <w:rPr>
                <w:rFonts w:cs="Arial"/>
                <w:sz w:val="20"/>
                <w:szCs w:val="20"/>
              </w:rPr>
              <w:t>C02.A02</w:t>
            </w:r>
            <w:r w:rsidRPr="00574DAC">
              <w:rPr>
                <w:rFonts w:cs="Arial"/>
                <w:sz w:val="20"/>
                <w:szCs w:val="20"/>
              </w:rPr>
              <w:t xml:space="preserve"> -</w:t>
            </w:r>
            <w:r w:rsidRPr="00DB13F3">
              <w:rPr>
                <w:rFonts w:cs="Arial"/>
                <w:sz w:val="20"/>
                <w:szCs w:val="20"/>
              </w:rPr>
              <w:t xml:space="preserve"> </w:t>
            </w:r>
            <w:r w:rsidRPr="00CE3998">
              <w:rPr>
                <w:rFonts w:cs="Arial"/>
                <w:sz w:val="20"/>
                <w:szCs w:val="20"/>
              </w:rPr>
              <w:t>Realización de prácticas en laboratorios y talleres con óptimas condiciones empleando equipamiento tecnológico actualizado y los insumos necesarios.</w:t>
            </w:r>
          </w:p>
        </w:tc>
        <w:tc>
          <w:tcPr>
            <w:tcW w:w="2269" w:type="dxa"/>
            <w:tcBorders>
              <w:top w:val="single" w:sz="4" w:space="0" w:color="auto"/>
              <w:left w:val="single" w:sz="4" w:space="0" w:color="auto"/>
              <w:bottom w:val="single" w:sz="4" w:space="0" w:color="auto"/>
              <w:right w:val="single" w:sz="4" w:space="0" w:color="auto"/>
            </w:tcBorders>
            <w:shd w:val="clear" w:color="FFFFFF" w:fill="FFFFFF"/>
          </w:tcPr>
          <w:p w14:paraId="526786FA" w14:textId="77777777" w:rsidR="00E23746" w:rsidRDefault="00E23746" w:rsidP="000B2F10">
            <w:pPr>
              <w:rPr>
                <w:rFonts w:cs="Arial"/>
                <w:sz w:val="20"/>
                <w:szCs w:val="20"/>
              </w:rPr>
            </w:pPr>
            <w:r>
              <w:rPr>
                <w:rFonts w:cs="Arial"/>
                <w:sz w:val="20"/>
                <w:szCs w:val="20"/>
              </w:rPr>
              <w:t>C02A02</w:t>
            </w:r>
            <w:r w:rsidRPr="00574DAC">
              <w:rPr>
                <w:rFonts w:cs="Arial"/>
                <w:sz w:val="20"/>
                <w:szCs w:val="20"/>
              </w:rPr>
              <w:t xml:space="preserve"> -</w:t>
            </w:r>
            <w:r w:rsidRPr="00DB13F3">
              <w:rPr>
                <w:rFonts w:cs="Arial"/>
                <w:sz w:val="20"/>
                <w:szCs w:val="20"/>
              </w:rPr>
              <w:t xml:space="preserve"> </w:t>
            </w:r>
            <w:r w:rsidRPr="00CE3998">
              <w:rPr>
                <w:rFonts w:cs="Arial"/>
                <w:sz w:val="20"/>
                <w:szCs w:val="20"/>
              </w:rPr>
              <w:t>Porcentaje de laboratorios y talleres con equipamiento actualizado y en óptimas condiciones.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8B1FA03" w14:textId="77777777" w:rsidR="00E23746" w:rsidRPr="00750B91" w:rsidRDefault="00E23746" w:rsidP="000B2F10">
            <w:pPr>
              <w:rPr>
                <w:rFonts w:cs="Arial"/>
                <w:sz w:val="20"/>
                <w:szCs w:val="20"/>
              </w:rPr>
            </w:pPr>
            <w:r w:rsidRPr="00A7436B">
              <w:rPr>
                <w:rFonts w:cs="Arial"/>
                <w:sz w:val="20"/>
                <w:szCs w:val="20"/>
              </w:rPr>
              <w:t xml:space="preserve">Reporte de condiciones de laboratorios y talleres. Consultar en: </w:t>
            </w:r>
            <w:hyperlink r:id="rId76" w:history="1">
              <w:r w:rsidRPr="00A7436B">
                <w:rPr>
                  <w:rFonts w:cs="Arial"/>
                  <w:sz w:val="20"/>
                  <w:szCs w:val="20"/>
                </w:rPr>
                <w:t>http://utcancun.edu.mx/galeria-de-instalaciones/</w:t>
              </w:r>
            </w:hyperlink>
            <w:r>
              <w:rPr>
                <w:rFonts w:cs="Arial"/>
                <w:sz w:val="20"/>
                <w:szCs w:val="20"/>
              </w:rPr>
              <w:t>.</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ED13317" w14:textId="77777777" w:rsidR="00E23746" w:rsidRPr="00A114C2" w:rsidRDefault="00E23746" w:rsidP="000B2F10">
            <w:pPr>
              <w:rPr>
                <w:rFonts w:cs="Arial"/>
                <w:sz w:val="20"/>
                <w:szCs w:val="20"/>
              </w:rPr>
            </w:pPr>
            <w:r w:rsidRPr="00A7436B">
              <w:rPr>
                <w:rFonts w:cs="Arial"/>
                <w:sz w:val="20"/>
                <w:szCs w:val="20"/>
              </w:rPr>
              <w:t>Los laboratorios y talleres se encuentran en óptimas condiciones para llevar a cabo las prácticas.</w:t>
            </w:r>
          </w:p>
        </w:tc>
      </w:tr>
      <w:tr w:rsidR="00E23746" w:rsidRPr="00FD08F8" w14:paraId="0FADDDAF" w14:textId="77777777" w:rsidTr="006B434D">
        <w:trPr>
          <w:trHeight w:val="2522"/>
        </w:trPr>
        <w:tc>
          <w:tcPr>
            <w:tcW w:w="1269" w:type="dxa"/>
            <w:tcBorders>
              <w:top w:val="single" w:sz="4" w:space="0" w:color="auto"/>
              <w:left w:val="single" w:sz="4" w:space="0" w:color="auto"/>
              <w:bottom w:val="single" w:sz="4" w:space="0" w:color="auto"/>
              <w:right w:val="single" w:sz="4" w:space="0" w:color="auto"/>
            </w:tcBorders>
            <w:shd w:val="clear" w:color="auto" w:fill="auto"/>
          </w:tcPr>
          <w:p w14:paraId="756AD054" w14:textId="77777777" w:rsidR="00E23746" w:rsidRDefault="00E23746" w:rsidP="000B2F10">
            <w:pPr>
              <w:spacing w:after="0" w:line="240" w:lineRule="auto"/>
              <w:rPr>
                <w:rFonts w:eastAsia="Times New Roman" w:cs="Arial"/>
                <w:b/>
                <w:bCs/>
                <w:sz w:val="20"/>
                <w:szCs w:val="20"/>
                <w:lang w:val="es-MX" w:eastAsia="es-MX"/>
              </w:rPr>
            </w:pPr>
            <w:r>
              <w:rPr>
                <w:rFonts w:eastAsia="Times New Roman" w:cs="Arial"/>
                <w:b/>
                <w:bCs/>
                <w:sz w:val="20"/>
                <w:szCs w:val="20"/>
                <w:lang w:val="es-MX" w:eastAsia="es-MX"/>
              </w:rPr>
              <w:t>Actividad</w:t>
            </w:r>
          </w:p>
        </w:tc>
        <w:tc>
          <w:tcPr>
            <w:tcW w:w="2834" w:type="dxa"/>
            <w:tcBorders>
              <w:top w:val="single" w:sz="4" w:space="0" w:color="auto"/>
              <w:left w:val="single" w:sz="4" w:space="0" w:color="auto"/>
              <w:bottom w:val="single" w:sz="4" w:space="0" w:color="auto"/>
              <w:right w:val="single" w:sz="4" w:space="0" w:color="auto"/>
            </w:tcBorders>
            <w:shd w:val="clear" w:color="auto" w:fill="auto"/>
          </w:tcPr>
          <w:p w14:paraId="1DC70CCC" w14:textId="77777777" w:rsidR="00E23746" w:rsidRPr="00EF61A9" w:rsidRDefault="00E23746" w:rsidP="000B2F10">
            <w:pPr>
              <w:rPr>
                <w:rFonts w:cs="Arial"/>
                <w:sz w:val="18"/>
                <w:szCs w:val="20"/>
              </w:rPr>
            </w:pPr>
            <w:r w:rsidRPr="00EF61A9">
              <w:rPr>
                <w:rFonts w:cs="Arial"/>
                <w:sz w:val="18"/>
                <w:szCs w:val="20"/>
              </w:rPr>
              <w:t>Impulsar la acreditación y evaluación de los planes y programas de estudio de educación superior por organismos externos reconocidos a nivel nacional e internacional.</w:t>
            </w:r>
          </w:p>
        </w:tc>
        <w:tc>
          <w:tcPr>
            <w:tcW w:w="2836" w:type="dxa"/>
            <w:tcBorders>
              <w:top w:val="single" w:sz="4" w:space="0" w:color="auto"/>
              <w:left w:val="single" w:sz="4" w:space="0" w:color="auto"/>
              <w:bottom w:val="single" w:sz="4" w:space="0" w:color="auto"/>
              <w:right w:val="single" w:sz="4" w:space="0" w:color="auto"/>
            </w:tcBorders>
            <w:shd w:val="clear" w:color="auto" w:fill="auto"/>
          </w:tcPr>
          <w:p w14:paraId="78429F56" w14:textId="77777777" w:rsidR="00E23746" w:rsidRPr="00EF61A9" w:rsidRDefault="00E23746" w:rsidP="000B2F10">
            <w:pPr>
              <w:rPr>
                <w:rFonts w:cs="Arial"/>
                <w:sz w:val="18"/>
                <w:szCs w:val="20"/>
              </w:rPr>
            </w:pPr>
            <w:r w:rsidRPr="00EF61A9">
              <w:rPr>
                <w:rFonts w:cs="Arial"/>
                <w:sz w:val="18"/>
                <w:szCs w:val="20"/>
              </w:rPr>
              <w:t>C02.A03 - Integración con asociaciones y colegios de profesionistas, a través de membresías y afiliaciones, para fortalecer la pertinencia y actualización constante de los Programas Educativos.</w:t>
            </w:r>
          </w:p>
        </w:tc>
        <w:tc>
          <w:tcPr>
            <w:tcW w:w="2269" w:type="dxa"/>
            <w:tcBorders>
              <w:top w:val="single" w:sz="4" w:space="0" w:color="auto"/>
              <w:left w:val="single" w:sz="4" w:space="0" w:color="auto"/>
              <w:bottom w:val="single" w:sz="4" w:space="0" w:color="auto"/>
              <w:right w:val="single" w:sz="4" w:space="0" w:color="auto"/>
            </w:tcBorders>
            <w:shd w:val="clear" w:color="FFFFFF" w:fill="FFFFFF"/>
          </w:tcPr>
          <w:p w14:paraId="2EE78D0C" w14:textId="77777777" w:rsidR="00E23746" w:rsidRPr="00EF61A9" w:rsidRDefault="00E23746" w:rsidP="000B2F10">
            <w:pPr>
              <w:rPr>
                <w:rFonts w:cs="Arial"/>
                <w:sz w:val="18"/>
                <w:szCs w:val="20"/>
              </w:rPr>
            </w:pPr>
            <w:r w:rsidRPr="00EF61A9">
              <w:rPr>
                <w:rFonts w:cs="Arial"/>
                <w:sz w:val="18"/>
                <w:szCs w:val="20"/>
              </w:rPr>
              <w:t>C02A03 - Porcentaje de Programas Educativos que cuentan con una membresía o afiliación con asociaciones o colegios de profesionistas relacionados con su área disciplinar.</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41AC0EE" w14:textId="77777777" w:rsidR="00E23746" w:rsidRPr="00EF61A9" w:rsidRDefault="00E23746" w:rsidP="000B2F10">
            <w:pPr>
              <w:rPr>
                <w:rFonts w:cs="Arial"/>
                <w:sz w:val="18"/>
                <w:szCs w:val="20"/>
              </w:rPr>
            </w:pPr>
            <w:r w:rsidRPr="00EF61A9">
              <w:rPr>
                <w:rFonts w:cs="Arial"/>
                <w:sz w:val="18"/>
                <w:szCs w:val="20"/>
              </w:rPr>
              <w:t>Membresía y afiliación. Consultar en: http://utcancun.edu.mx/acreditaciones.</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64A45716" w14:textId="5D43A01B" w:rsidR="00E23746" w:rsidRPr="00EF61A9" w:rsidRDefault="00E23746" w:rsidP="000B2F10">
            <w:pPr>
              <w:rPr>
                <w:rFonts w:cs="Arial"/>
                <w:sz w:val="18"/>
                <w:szCs w:val="20"/>
              </w:rPr>
            </w:pPr>
            <w:r w:rsidRPr="00EF61A9">
              <w:rPr>
                <w:rFonts w:cs="Arial"/>
                <w:sz w:val="18"/>
                <w:szCs w:val="20"/>
              </w:rPr>
              <w:t>Los docentes participan en  asociaciones o colegios de profesionistas que permiten  la actualización permanente y la participación activa en eventos de divulgación científica y tecnológica.</w:t>
            </w:r>
          </w:p>
        </w:tc>
      </w:tr>
    </w:tbl>
    <w:p w14:paraId="06DDD808" w14:textId="77777777" w:rsidR="00D36037" w:rsidRDefault="00D36037">
      <w:pPr>
        <w:spacing w:after="0" w:line="240" w:lineRule="auto"/>
        <w:jc w:val="left"/>
      </w:pPr>
      <w:r>
        <w:br w:type="page"/>
      </w:r>
    </w:p>
    <w:tbl>
      <w:tblPr>
        <w:tblW w:w="14170" w:type="dxa"/>
        <w:tblLayout w:type="fixed"/>
        <w:tblCellMar>
          <w:left w:w="70" w:type="dxa"/>
          <w:right w:w="70" w:type="dxa"/>
        </w:tblCellMar>
        <w:tblLook w:val="04A0" w:firstRow="1" w:lastRow="0" w:firstColumn="1" w:lastColumn="0" w:noHBand="0" w:noVBand="1"/>
      </w:tblPr>
      <w:tblGrid>
        <w:gridCol w:w="1413"/>
        <w:gridCol w:w="2690"/>
        <w:gridCol w:w="2836"/>
        <w:gridCol w:w="2269"/>
        <w:gridCol w:w="2835"/>
        <w:gridCol w:w="2127"/>
      </w:tblGrid>
      <w:tr w:rsidR="00E23746" w:rsidRPr="00FD08F8" w14:paraId="2BC5C947" w14:textId="77777777" w:rsidTr="00A366B6">
        <w:trPr>
          <w:trHeight w:val="577"/>
        </w:trPr>
        <w:tc>
          <w:tcPr>
            <w:tcW w:w="1413"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1C1E2B43"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lastRenderedPageBreak/>
              <w:t>NIVEL</w:t>
            </w:r>
          </w:p>
        </w:tc>
        <w:tc>
          <w:tcPr>
            <w:tcW w:w="2690" w:type="dxa"/>
            <w:tcBorders>
              <w:top w:val="single" w:sz="4" w:space="0" w:color="auto"/>
              <w:left w:val="nil"/>
              <w:bottom w:val="single" w:sz="4" w:space="0" w:color="auto"/>
              <w:right w:val="single" w:sz="4" w:space="0" w:color="auto"/>
            </w:tcBorders>
            <w:shd w:val="clear" w:color="000000" w:fill="BFBFBF"/>
            <w:vAlign w:val="center"/>
            <w:hideMark/>
          </w:tcPr>
          <w:p w14:paraId="4C6E7504"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ALINEACIÓN PED/PD</w:t>
            </w:r>
          </w:p>
        </w:tc>
        <w:tc>
          <w:tcPr>
            <w:tcW w:w="2836" w:type="dxa"/>
            <w:tcBorders>
              <w:top w:val="single" w:sz="4" w:space="0" w:color="auto"/>
              <w:left w:val="nil"/>
              <w:bottom w:val="single" w:sz="4" w:space="0" w:color="auto"/>
              <w:right w:val="single" w:sz="4" w:space="0" w:color="auto"/>
            </w:tcBorders>
            <w:shd w:val="clear" w:color="000000" w:fill="BFBFBF"/>
            <w:vAlign w:val="center"/>
            <w:hideMark/>
          </w:tcPr>
          <w:p w14:paraId="448C05D3"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OBJETIVO</w:t>
            </w:r>
          </w:p>
        </w:tc>
        <w:tc>
          <w:tcPr>
            <w:tcW w:w="2269" w:type="dxa"/>
            <w:tcBorders>
              <w:top w:val="single" w:sz="4" w:space="0" w:color="auto"/>
              <w:left w:val="nil"/>
              <w:bottom w:val="single" w:sz="4" w:space="0" w:color="auto"/>
              <w:right w:val="single" w:sz="4" w:space="0" w:color="auto"/>
            </w:tcBorders>
            <w:shd w:val="clear" w:color="000000" w:fill="BFBFBF"/>
            <w:vAlign w:val="center"/>
            <w:hideMark/>
          </w:tcPr>
          <w:p w14:paraId="4AC854A8"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INDICADOR</w:t>
            </w:r>
          </w:p>
        </w:tc>
        <w:tc>
          <w:tcPr>
            <w:tcW w:w="2835" w:type="dxa"/>
            <w:tcBorders>
              <w:top w:val="single" w:sz="4" w:space="0" w:color="auto"/>
              <w:left w:val="nil"/>
              <w:bottom w:val="single" w:sz="4" w:space="0" w:color="auto"/>
              <w:right w:val="single" w:sz="4" w:space="0" w:color="auto"/>
            </w:tcBorders>
            <w:shd w:val="clear" w:color="000000" w:fill="BFBFBF"/>
            <w:vAlign w:val="center"/>
            <w:hideMark/>
          </w:tcPr>
          <w:p w14:paraId="0264852E"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MEDIOS DE VERIFICACIÓN</w:t>
            </w:r>
          </w:p>
        </w:tc>
        <w:tc>
          <w:tcPr>
            <w:tcW w:w="2127" w:type="dxa"/>
            <w:tcBorders>
              <w:top w:val="single" w:sz="4" w:space="0" w:color="auto"/>
              <w:left w:val="nil"/>
              <w:bottom w:val="single" w:sz="4" w:space="0" w:color="auto"/>
              <w:right w:val="single" w:sz="4" w:space="0" w:color="auto"/>
            </w:tcBorders>
            <w:shd w:val="clear" w:color="000000" w:fill="BFBFBF"/>
            <w:vAlign w:val="center"/>
            <w:hideMark/>
          </w:tcPr>
          <w:p w14:paraId="6555E883"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SUPUESTO</w:t>
            </w:r>
          </w:p>
        </w:tc>
      </w:tr>
      <w:tr w:rsidR="00E23746" w:rsidRPr="00FD08F8" w14:paraId="28EC5FE2" w14:textId="77777777" w:rsidTr="00A366B6">
        <w:trPr>
          <w:trHeight w:val="1296"/>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5DC7718C" w14:textId="77777777" w:rsidR="00E23746" w:rsidRDefault="00E23746" w:rsidP="000B2F10">
            <w:pPr>
              <w:spacing w:after="0" w:line="240" w:lineRule="auto"/>
              <w:rPr>
                <w:rFonts w:eastAsia="Times New Roman" w:cs="Arial"/>
                <w:b/>
                <w:bCs/>
                <w:sz w:val="20"/>
                <w:szCs w:val="20"/>
                <w:lang w:val="es-MX" w:eastAsia="es-MX"/>
              </w:rPr>
            </w:pPr>
            <w:r>
              <w:rPr>
                <w:rFonts w:eastAsia="Times New Roman" w:cs="Arial"/>
                <w:b/>
                <w:bCs/>
                <w:sz w:val="20"/>
                <w:szCs w:val="20"/>
                <w:lang w:val="es-MX" w:eastAsia="es-MX"/>
              </w:rPr>
              <w:t>Actividad</w:t>
            </w:r>
          </w:p>
        </w:tc>
        <w:tc>
          <w:tcPr>
            <w:tcW w:w="2690" w:type="dxa"/>
            <w:tcBorders>
              <w:top w:val="single" w:sz="4" w:space="0" w:color="auto"/>
              <w:left w:val="single" w:sz="4" w:space="0" w:color="auto"/>
              <w:bottom w:val="single" w:sz="4" w:space="0" w:color="auto"/>
              <w:right w:val="single" w:sz="4" w:space="0" w:color="auto"/>
            </w:tcBorders>
            <w:shd w:val="clear" w:color="auto" w:fill="auto"/>
          </w:tcPr>
          <w:p w14:paraId="24074651" w14:textId="0836617A" w:rsidR="00E23746" w:rsidRPr="004B35D0" w:rsidRDefault="00E23746" w:rsidP="00A366B6">
            <w:pPr>
              <w:rPr>
                <w:rFonts w:cs="Arial"/>
                <w:sz w:val="20"/>
                <w:szCs w:val="20"/>
              </w:rPr>
            </w:pPr>
            <w:r w:rsidRPr="002A56C9">
              <w:rPr>
                <w:rFonts w:cs="Arial"/>
                <w:sz w:val="20"/>
                <w:szCs w:val="20"/>
              </w:rPr>
              <w:t>Fortalecer la oferta educativa de las instituciones de educación superior para asegurar la pertinencia con base en las necesidades de la entidad.</w:t>
            </w:r>
          </w:p>
        </w:tc>
        <w:tc>
          <w:tcPr>
            <w:tcW w:w="2836" w:type="dxa"/>
            <w:tcBorders>
              <w:top w:val="single" w:sz="4" w:space="0" w:color="auto"/>
              <w:left w:val="single" w:sz="4" w:space="0" w:color="auto"/>
              <w:bottom w:val="single" w:sz="4" w:space="0" w:color="auto"/>
              <w:right w:val="single" w:sz="4" w:space="0" w:color="auto"/>
            </w:tcBorders>
            <w:shd w:val="clear" w:color="auto" w:fill="auto"/>
          </w:tcPr>
          <w:p w14:paraId="462146D9" w14:textId="77777777" w:rsidR="00E23746" w:rsidRDefault="00E23746" w:rsidP="000B2F10">
            <w:pPr>
              <w:rPr>
                <w:rFonts w:cs="Arial"/>
                <w:sz w:val="20"/>
                <w:szCs w:val="20"/>
              </w:rPr>
            </w:pPr>
            <w:r>
              <w:rPr>
                <w:rFonts w:cs="Arial"/>
                <w:sz w:val="20"/>
                <w:szCs w:val="20"/>
              </w:rPr>
              <w:t>C02.A04</w:t>
            </w:r>
            <w:r w:rsidRPr="00574DAC">
              <w:rPr>
                <w:rFonts w:cs="Arial"/>
                <w:sz w:val="20"/>
                <w:szCs w:val="20"/>
              </w:rPr>
              <w:t xml:space="preserve"> -</w:t>
            </w:r>
            <w:r w:rsidRPr="00DB13F3">
              <w:rPr>
                <w:rFonts w:cs="Arial"/>
                <w:sz w:val="20"/>
                <w:szCs w:val="20"/>
              </w:rPr>
              <w:t xml:space="preserve"> </w:t>
            </w:r>
            <w:r w:rsidRPr="002A56C9">
              <w:rPr>
                <w:rFonts w:cs="Arial"/>
                <w:sz w:val="20"/>
                <w:szCs w:val="20"/>
              </w:rPr>
              <w:t>Ampliación de la oferta, con programas educativos de posgrado pertinentes.</w:t>
            </w:r>
          </w:p>
        </w:tc>
        <w:tc>
          <w:tcPr>
            <w:tcW w:w="2269" w:type="dxa"/>
            <w:tcBorders>
              <w:top w:val="single" w:sz="4" w:space="0" w:color="auto"/>
              <w:left w:val="single" w:sz="4" w:space="0" w:color="auto"/>
              <w:bottom w:val="single" w:sz="4" w:space="0" w:color="auto"/>
              <w:right w:val="single" w:sz="4" w:space="0" w:color="auto"/>
            </w:tcBorders>
            <w:shd w:val="clear" w:color="FFFFFF" w:fill="FFFFFF"/>
          </w:tcPr>
          <w:p w14:paraId="05A7E03B" w14:textId="77777777" w:rsidR="00E23746" w:rsidRDefault="00E23746" w:rsidP="000B2F10">
            <w:pPr>
              <w:rPr>
                <w:rFonts w:cs="Arial"/>
                <w:sz w:val="20"/>
                <w:szCs w:val="20"/>
              </w:rPr>
            </w:pPr>
            <w:r>
              <w:rPr>
                <w:rFonts w:cs="Arial"/>
                <w:sz w:val="20"/>
                <w:szCs w:val="20"/>
              </w:rPr>
              <w:t>C02A04</w:t>
            </w:r>
            <w:r w:rsidRPr="00574DAC">
              <w:rPr>
                <w:rFonts w:cs="Arial"/>
                <w:sz w:val="20"/>
                <w:szCs w:val="20"/>
              </w:rPr>
              <w:t xml:space="preserve"> -</w:t>
            </w:r>
            <w:r w:rsidRPr="00DB13F3">
              <w:rPr>
                <w:rFonts w:cs="Arial"/>
                <w:sz w:val="20"/>
                <w:szCs w:val="20"/>
              </w:rPr>
              <w:t xml:space="preserve"> </w:t>
            </w:r>
            <w:r w:rsidRPr="002A56C9">
              <w:rPr>
                <w:rFonts w:cs="Arial"/>
                <w:sz w:val="20"/>
                <w:szCs w:val="20"/>
              </w:rPr>
              <w:t>Programas Educativos de posgrado ofertados.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451F268" w14:textId="77777777" w:rsidR="00E23746" w:rsidRPr="004B35D0" w:rsidRDefault="00E23746" w:rsidP="000B2F10">
            <w:pPr>
              <w:rPr>
                <w:rFonts w:cs="Arial"/>
                <w:sz w:val="20"/>
                <w:szCs w:val="20"/>
              </w:rPr>
            </w:pPr>
            <w:r w:rsidRPr="002A56C9">
              <w:rPr>
                <w:rFonts w:cs="Arial"/>
                <w:sz w:val="20"/>
                <w:szCs w:val="20"/>
              </w:rPr>
              <w:t>Autorización de apertura del Programa Educativo. CGUTyP</w:t>
            </w:r>
            <w:r>
              <w:rPr>
                <w:rFonts w:cs="Arial"/>
                <w:sz w:val="20"/>
                <w:szCs w:val="20"/>
              </w:rPr>
              <w:t>.</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6CD3163" w14:textId="77777777" w:rsidR="00E23746" w:rsidRPr="004B35D0" w:rsidRDefault="00E23746" w:rsidP="000B2F10">
            <w:pPr>
              <w:rPr>
                <w:rFonts w:cs="Arial"/>
                <w:sz w:val="20"/>
                <w:szCs w:val="20"/>
              </w:rPr>
            </w:pPr>
            <w:r w:rsidRPr="002A56C9">
              <w:rPr>
                <w:rFonts w:cs="Arial"/>
                <w:sz w:val="20"/>
                <w:szCs w:val="20"/>
              </w:rPr>
              <w:t>Los programas educativos de posgrado ofertados son pertinentes.</w:t>
            </w:r>
          </w:p>
        </w:tc>
      </w:tr>
      <w:tr w:rsidR="00E23746" w:rsidRPr="00FD08F8" w14:paraId="085C8AF2" w14:textId="77777777" w:rsidTr="00A366B6">
        <w:trPr>
          <w:trHeight w:val="1117"/>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0F272E6E" w14:textId="77777777" w:rsidR="00E23746" w:rsidRDefault="00E23746" w:rsidP="000B2F10">
            <w:pPr>
              <w:spacing w:after="0" w:line="240" w:lineRule="auto"/>
              <w:rPr>
                <w:rFonts w:eastAsia="Times New Roman" w:cs="Arial"/>
                <w:b/>
                <w:bCs/>
                <w:sz w:val="20"/>
                <w:szCs w:val="20"/>
                <w:lang w:val="es-MX" w:eastAsia="es-MX"/>
              </w:rPr>
            </w:pPr>
            <w:r>
              <w:rPr>
                <w:rFonts w:eastAsia="Times New Roman" w:cs="Arial"/>
                <w:b/>
                <w:bCs/>
                <w:sz w:val="20"/>
                <w:szCs w:val="20"/>
                <w:lang w:val="es-MX" w:eastAsia="es-MX"/>
              </w:rPr>
              <w:t>Componente</w:t>
            </w:r>
          </w:p>
        </w:tc>
        <w:tc>
          <w:tcPr>
            <w:tcW w:w="2690" w:type="dxa"/>
            <w:tcBorders>
              <w:top w:val="single" w:sz="4" w:space="0" w:color="auto"/>
              <w:left w:val="single" w:sz="4" w:space="0" w:color="auto"/>
              <w:bottom w:val="single" w:sz="4" w:space="0" w:color="auto"/>
              <w:right w:val="single" w:sz="4" w:space="0" w:color="auto"/>
            </w:tcBorders>
            <w:shd w:val="clear" w:color="auto" w:fill="auto"/>
          </w:tcPr>
          <w:p w14:paraId="6D2CF6D1" w14:textId="77777777" w:rsidR="00E23746" w:rsidRDefault="00E23746" w:rsidP="000B2F10">
            <w:pPr>
              <w:rPr>
                <w:rFonts w:cs="Arial"/>
                <w:sz w:val="20"/>
                <w:szCs w:val="20"/>
              </w:rPr>
            </w:pPr>
            <w:r w:rsidRPr="00353B07">
              <w:rPr>
                <w:rFonts w:cs="Arial"/>
                <w:sz w:val="20"/>
                <w:szCs w:val="20"/>
              </w:rPr>
              <w:t>Impulsar la vinculación con instituciones públicas y privadas para la realización del servicio social, prácticas profesionales o su equivalente y modelo dual por parte de los estudiantes de educación superior.</w:t>
            </w:r>
          </w:p>
          <w:p w14:paraId="63CBA5A5" w14:textId="77777777" w:rsidR="00E23746" w:rsidRPr="002A56C9" w:rsidRDefault="00E23746" w:rsidP="000B2F10">
            <w:pPr>
              <w:rPr>
                <w:rFonts w:cs="Arial"/>
                <w:sz w:val="20"/>
                <w:szCs w:val="20"/>
              </w:rPr>
            </w:pPr>
          </w:p>
        </w:tc>
        <w:tc>
          <w:tcPr>
            <w:tcW w:w="2836" w:type="dxa"/>
            <w:tcBorders>
              <w:top w:val="single" w:sz="4" w:space="0" w:color="auto"/>
              <w:left w:val="single" w:sz="4" w:space="0" w:color="auto"/>
              <w:bottom w:val="single" w:sz="4" w:space="0" w:color="auto"/>
              <w:right w:val="single" w:sz="4" w:space="0" w:color="auto"/>
            </w:tcBorders>
            <w:shd w:val="clear" w:color="auto" w:fill="auto"/>
          </w:tcPr>
          <w:p w14:paraId="169E9066" w14:textId="77777777" w:rsidR="00E23746" w:rsidRDefault="00E23746" w:rsidP="000B2F10">
            <w:pPr>
              <w:rPr>
                <w:rFonts w:cs="Arial"/>
                <w:sz w:val="20"/>
                <w:szCs w:val="20"/>
              </w:rPr>
            </w:pPr>
            <w:r w:rsidRPr="00574DAC">
              <w:rPr>
                <w:rFonts w:cs="Arial"/>
                <w:sz w:val="20"/>
                <w:szCs w:val="20"/>
              </w:rPr>
              <w:t>C0</w:t>
            </w:r>
            <w:r>
              <w:rPr>
                <w:rFonts w:cs="Arial"/>
                <w:sz w:val="20"/>
                <w:szCs w:val="20"/>
              </w:rPr>
              <w:t xml:space="preserve">3 </w:t>
            </w:r>
            <w:r w:rsidRPr="00574DAC">
              <w:rPr>
                <w:rFonts w:cs="Arial"/>
                <w:sz w:val="20"/>
                <w:szCs w:val="20"/>
              </w:rPr>
              <w:t xml:space="preserve">- </w:t>
            </w:r>
            <w:r w:rsidRPr="00353B07">
              <w:rPr>
                <w:rFonts w:cs="Arial"/>
                <w:sz w:val="20"/>
                <w:szCs w:val="20"/>
              </w:rPr>
              <w:t>Vinculación Interinstitucional realizada</w:t>
            </w:r>
            <w:r>
              <w:rPr>
                <w:rFonts w:cs="Arial"/>
                <w:sz w:val="20"/>
                <w:szCs w:val="20"/>
              </w:rPr>
              <w:t>.</w:t>
            </w:r>
          </w:p>
        </w:tc>
        <w:tc>
          <w:tcPr>
            <w:tcW w:w="2269" w:type="dxa"/>
            <w:tcBorders>
              <w:top w:val="single" w:sz="4" w:space="0" w:color="auto"/>
              <w:left w:val="single" w:sz="4" w:space="0" w:color="auto"/>
              <w:bottom w:val="single" w:sz="4" w:space="0" w:color="auto"/>
              <w:right w:val="single" w:sz="4" w:space="0" w:color="auto"/>
            </w:tcBorders>
            <w:shd w:val="clear" w:color="FFFFFF" w:fill="FFFFFF"/>
          </w:tcPr>
          <w:p w14:paraId="5C166149" w14:textId="77777777" w:rsidR="00E23746" w:rsidRDefault="00E23746" w:rsidP="000B2F10">
            <w:pPr>
              <w:rPr>
                <w:rFonts w:cs="Arial"/>
                <w:sz w:val="20"/>
                <w:szCs w:val="20"/>
              </w:rPr>
            </w:pPr>
            <w:r w:rsidRPr="00574DAC">
              <w:rPr>
                <w:rFonts w:cs="Arial"/>
                <w:sz w:val="20"/>
                <w:szCs w:val="20"/>
              </w:rPr>
              <w:t>C0</w:t>
            </w:r>
            <w:r>
              <w:rPr>
                <w:rFonts w:cs="Arial"/>
                <w:sz w:val="20"/>
                <w:szCs w:val="20"/>
              </w:rPr>
              <w:t xml:space="preserve">3 </w:t>
            </w:r>
            <w:r w:rsidRPr="00574DAC">
              <w:rPr>
                <w:rFonts w:cs="Arial"/>
                <w:sz w:val="20"/>
                <w:szCs w:val="20"/>
              </w:rPr>
              <w:t xml:space="preserve">- </w:t>
            </w:r>
            <w:r w:rsidRPr="00353B07">
              <w:rPr>
                <w:rFonts w:cs="Arial"/>
                <w:sz w:val="20"/>
                <w:szCs w:val="20"/>
              </w:rPr>
              <w:t xml:space="preserve">Porcentaje de estudiantes en programas de movilidad internacional.       </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19F0B41" w14:textId="77777777" w:rsidR="00E23746" w:rsidRPr="002A56C9" w:rsidRDefault="00E23746" w:rsidP="000B2F10">
            <w:pPr>
              <w:rPr>
                <w:rFonts w:cs="Arial"/>
                <w:sz w:val="20"/>
                <w:szCs w:val="20"/>
              </w:rPr>
            </w:pPr>
            <w:r w:rsidRPr="00353B07">
              <w:rPr>
                <w:rFonts w:cs="Arial"/>
                <w:sz w:val="20"/>
                <w:szCs w:val="20"/>
              </w:rPr>
              <w:t>Estadísticas internas de las IES: Reporte de estudiantes en movilidad de la Subdirección de Proyectos de Vinculación e Internacionalización / Reporte por parte de DEUSE sobre Número de estudiantes matriculados</w:t>
            </w:r>
            <w:r>
              <w:rPr>
                <w:rFonts w:cs="Arial"/>
                <w:sz w:val="20"/>
                <w:szCs w:val="20"/>
              </w:rPr>
              <w:t>.</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D7F9F5F" w14:textId="77777777" w:rsidR="00E23746" w:rsidRDefault="00E23746" w:rsidP="000B2F10">
            <w:pPr>
              <w:rPr>
                <w:rFonts w:cs="Arial"/>
                <w:sz w:val="20"/>
                <w:szCs w:val="20"/>
              </w:rPr>
            </w:pPr>
            <w:r w:rsidRPr="00353B07">
              <w:rPr>
                <w:rFonts w:cs="Arial"/>
                <w:sz w:val="20"/>
                <w:szCs w:val="20"/>
              </w:rPr>
              <w:t xml:space="preserve">Los estudiantes solicitan y cumplen con los requisitos de la beca, realizan la solicitud correspondiente y a su vez son admitidos por las Universidades extranjeras.       </w:t>
            </w:r>
          </w:p>
          <w:p w14:paraId="1411C26D" w14:textId="77777777" w:rsidR="00E23746" w:rsidRPr="002A56C9" w:rsidRDefault="00E23746" w:rsidP="000B2F10">
            <w:pPr>
              <w:rPr>
                <w:rFonts w:cs="Arial"/>
                <w:sz w:val="20"/>
                <w:szCs w:val="20"/>
              </w:rPr>
            </w:pPr>
          </w:p>
        </w:tc>
      </w:tr>
    </w:tbl>
    <w:p w14:paraId="34EBAAA9" w14:textId="77777777" w:rsidR="00D36037" w:rsidRDefault="00D36037">
      <w:pPr>
        <w:spacing w:after="0" w:line="240" w:lineRule="auto"/>
        <w:jc w:val="left"/>
      </w:pPr>
      <w:r>
        <w:br w:type="page"/>
      </w:r>
    </w:p>
    <w:tbl>
      <w:tblPr>
        <w:tblW w:w="14170" w:type="dxa"/>
        <w:tblLayout w:type="fixed"/>
        <w:tblCellMar>
          <w:left w:w="70" w:type="dxa"/>
          <w:right w:w="70" w:type="dxa"/>
        </w:tblCellMar>
        <w:tblLook w:val="04A0" w:firstRow="1" w:lastRow="0" w:firstColumn="1" w:lastColumn="0" w:noHBand="0" w:noVBand="1"/>
      </w:tblPr>
      <w:tblGrid>
        <w:gridCol w:w="1269"/>
        <w:gridCol w:w="2834"/>
        <w:gridCol w:w="2836"/>
        <w:gridCol w:w="2269"/>
        <w:gridCol w:w="2835"/>
        <w:gridCol w:w="2127"/>
      </w:tblGrid>
      <w:tr w:rsidR="00E23746" w:rsidRPr="00FD08F8" w14:paraId="73E7B7E3" w14:textId="77777777" w:rsidTr="006B434D">
        <w:trPr>
          <w:trHeight w:val="577"/>
        </w:trPr>
        <w:tc>
          <w:tcPr>
            <w:tcW w:w="1269"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614B13FE"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lastRenderedPageBreak/>
              <w:t>NIVEL</w:t>
            </w:r>
          </w:p>
        </w:tc>
        <w:tc>
          <w:tcPr>
            <w:tcW w:w="2834" w:type="dxa"/>
            <w:tcBorders>
              <w:top w:val="single" w:sz="4" w:space="0" w:color="auto"/>
              <w:left w:val="nil"/>
              <w:bottom w:val="single" w:sz="4" w:space="0" w:color="auto"/>
              <w:right w:val="single" w:sz="4" w:space="0" w:color="auto"/>
            </w:tcBorders>
            <w:shd w:val="clear" w:color="000000" w:fill="BFBFBF"/>
            <w:vAlign w:val="center"/>
            <w:hideMark/>
          </w:tcPr>
          <w:p w14:paraId="184AEC50"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ALINEACIÓN PED/PD</w:t>
            </w:r>
          </w:p>
        </w:tc>
        <w:tc>
          <w:tcPr>
            <w:tcW w:w="2836" w:type="dxa"/>
            <w:tcBorders>
              <w:top w:val="single" w:sz="4" w:space="0" w:color="auto"/>
              <w:left w:val="nil"/>
              <w:bottom w:val="single" w:sz="4" w:space="0" w:color="auto"/>
              <w:right w:val="single" w:sz="4" w:space="0" w:color="auto"/>
            </w:tcBorders>
            <w:shd w:val="clear" w:color="000000" w:fill="BFBFBF"/>
            <w:vAlign w:val="center"/>
            <w:hideMark/>
          </w:tcPr>
          <w:p w14:paraId="0D588844"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OBJETIVO</w:t>
            </w:r>
          </w:p>
        </w:tc>
        <w:tc>
          <w:tcPr>
            <w:tcW w:w="2269" w:type="dxa"/>
            <w:tcBorders>
              <w:top w:val="single" w:sz="4" w:space="0" w:color="auto"/>
              <w:left w:val="nil"/>
              <w:bottom w:val="single" w:sz="4" w:space="0" w:color="auto"/>
              <w:right w:val="single" w:sz="4" w:space="0" w:color="auto"/>
            </w:tcBorders>
            <w:shd w:val="clear" w:color="000000" w:fill="BFBFBF"/>
            <w:vAlign w:val="center"/>
            <w:hideMark/>
          </w:tcPr>
          <w:p w14:paraId="18704BF5"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INDICADOR</w:t>
            </w:r>
          </w:p>
        </w:tc>
        <w:tc>
          <w:tcPr>
            <w:tcW w:w="2835" w:type="dxa"/>
            <w:tcBorders>
              <w:top w:val="single" w:sz="4" w:space="0" w:color="auto"/>
              <w:left w:val="nil"/>
              <w:bottom w:val="single" w:sz="4" w:space="0" w:color="auto"/>
              <w:right w:val="single" w:sz="4" w:space="0" w:color="auto"/>
            </w:tcBorders>
            <w:shd w:val="clear" w:color="000000" w:fill="BFBFBF"/>
            <w:vAlign w:val="center"/>
            <w:hideMark/>
          </w:tcPr>
          <w:p w14:paraId="271EB2C6"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MEDIOS DE VERIFICACIÓN</w:t>
            </w:r>
          </w:p>
        </w:tc>
        <w:tc>
          <w:tcPr>
            <w:tcW w:w="2127" w:type="dxa"/>
            <w:tcBorders>
              <w:top w:val="single" w:sz="4" w:space="0" w:color="auto"/>
              <w:left w:val="nil"/>
              <w:bottom w:val="single" w:sz="4" w:space="0" w:color="auto"/>
              <w:right w:val="single" w:sz="4" w:space="0" w:color="auto"/>
            </w:tcBorders>
            <w:shd w:val="clear" w:color="000000" w:fill="BFBFBF"/>
            <w:vAlign w:val="center"/>
            <w:hideMark/>
          </w:tcPr>
          <w:p w14:paraId="5FBD1551"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SUPUESTO</w:t>
            </w:r>
          </w:p>
        </w:tc>
      </w:tr>
      <w:tr w:rsidR="00E23746" w:rsidRPr="00FD08F8" w14:paraId="22B828B0" w14:textId="77777777" w:rsidTr="006B434D">
        <w:trPr>
          <w:trHeight w:val="3969"/>
        </w:trPr>
        <w:tc>
          <w:tcPr>
            <w:tcW w:w="1269" w:type="dxa"/>
            <w:tcBorders>
              <w:top w:val="single" w:sz="4" w:space="0" w:color="auto"/>
              <w:left w:val="single" w:sz="4" w:space="0" w:color="auto"/>
              <w:bottom w:val="single" w:sz="4" w:space="0" w:color="auto"/>
              <w:right w:val="single" w:sz="4" w:space="0" w:color="auto"/>
            </w:tcBorders>
            <w:shd w:val="clear" w:color="auto" w:fill="auto"/>
          </w:tcPr>
          <w:p w14:paraId="1B867C26" w14:textId="77777777" w:rsidR="00E23746" w:rsidRDefault="00E23746" w:rsidP="000B2F10">
            <w:pPr>
              <w:spacing w:after="0" w:line="240" w:lineRule="auto"/>
              <w:rPr>
                <w:rFonts w:eastAsia="Times New Roman" w:cs="Arial"/>
                <w:b/>
                <w:bCs/>
                <w:sz w:val="20"/>
                <w:szCs w:val="20"/>
                <w:lang w:val="es-MX" w:eastAsia="es-MX"/>
              </w:rPr>
            </w:pPr>
            <w:r>
              <w:rPr>
                <w:rFonts w:eastAsia="Times New Roman" w:cs="Arial"/>
                <w:b/>
                <w:bCs/>
                <w:sz w:val="20"/>
                <w:szCs w:val="20"/>
                <w:lang w:val="es-MX" w:eastAsia="es-MX"/>
              </w:rPr>
              <w:t>Actividad</w:t>
            </w:r>
          </w:p>
        </w:tc>
        <w:tc>
          <w:tcPr>
            <w:tcW w:w="2834" w:type="dxa"/>
            <w:tcBorders>
              <w:top w:val="single" w:sz="4" w:space="0" w:color="auto"/>
              <w:left w:val="single" w:sz="4" w:space="0" w:color="auto"/>
              <w:bottom w:val="single" w:sz="4" w:space="0" w:color="auto"/>
              <w:right w:val="single" w:sz="4" w:space="0" w:color="auto"/>
            </w:tcBorders>
            <w:shd w:val="clear" w:color="auto" w:fill="auto"/>
          </w:tcPr>
          <w:p w14:paraId="11557AE0" w14:textId="77777777" w:rsidR="00E23746" w:rsidRPr="00353B07" w:rsidRDefault="00E23746" w:rsidP="000B2F10">
            <w:pPr>
              <w:rPr>
                <w:rFonts w:cs="Arial"/>
                <w:sz w:val="20"/>
                <w:szCs w:val="20"/>
              </w:rPr>
            </w:pPr>
            <w:r w:rsidRPr="00B7491E">
              <w:rPr>
                <w:rFonts w:cs="Arial"/>
                <w:sz w:val="20"/>
                <w:szCs w:val="20"/>
              </w:rPr>
              <w:t>Impulsar la vinculación con instituciones públicas y privadas para la realización del servicio social, prácticas profesionales o su equivalente y modelo dual por parte de los estudiantes de educación superior.</w:t>
            </w:r>
          </w:p>
        </w:tc>
        <w:tc>
          <w:tcPr>
            <w:tcW w:w="2836" w:type="dxa"/>
            <w:tcBorders>
              <w:top w:val="single" w:sz="4" w:space="0" w:color="auto"/>
              <w:left w:val="single" w:sz="4" w:space="0" w:color="auto"/>
              <w:bottom w:val="single" w:sz="4" w:space="0" w:color="auto"/>
              <w:right w:val="single" w:sz="4" w:space="0" w:color="auto"/>
            </w:tcBorders>
            <w:shd w:val="clear" w:color="auto" w:fill="auto"/>
          </w:tcPr>
          <w:p w14:paraId="17579847" w14:textId="77777777" w:rsidR="00E23746" w:rsidRPr="00353B07" w:rsidRDefault="00E23746" w:rsidP="000B2F10">
            <w:pPr>
              <w:rPr>
                <w:rFonts w:cs="Arial"/>
                <w:sz w:val="20"/>
                <w:szCs w:val="20"/>
              </w:rPr>
            </w:pPr>
            <w:r>
              <w:rPr>
                <w:rFonts w:cs="Arial"/>
                <w:sz w:val="20"/>
                <w:szCs w:val="20"/>
              </w:rPr>
              <w:t>C03.A01</w:t>
            </w:r>
            <w:r w:rsidRPr="00574DAC">
              <w:rPr>
                <w:rFonts w:cs="Arial"/>
                <w:sz w:val="20"/>
                <w:szCs w:val="20"/>
              </w:rPr>
              <w:t xml:space="preserve"> -</w:t>
            </w:r>
            <w:r w:rsidRPr="00DB13F3">
              <w:rPr>
                <w:rFonts w:cs="Arial"/>
                <w:sz w:val="20"/>
                <w:szCs w:val="20"/>
              </w:rPr>
              <w:t xml:space="preserve"> </w:t>
            </w:r>
            <w:r w:rsidRPr="00B7491E">
              <w:rPr>
                <w:rFonts w:cs="Arial"/>
                <w:sz w:val="20"/>
                <w:szCs w:val="20"/>
              </w:rPr>
              <w:t>Educación Continua</w:t>
            </w:r>
            <w:r>
              <w:rPr>
                <w:rFonts w:cs="Arial"/>
                <w:sz w:val="20"/>
                <w:szCs w:val="20"/>
              </w:rPr>
              <w:t>.</w:t>
            </w:r>
            <w:r w:rsidRPr="00B7491E">
              <w:rPr>
                <w:rFonts w:cs="Arial"/>
                <w:sz w:val="20"/>
                <w:szCs w:val="20"/>
              </w:rPr>
              <w:t xml:space="preserve">    </w:t>
            </w:r>
          </w:p>
        </w:tc>
        <w:tc>
          <w:tcPr>
            <w:tcW w:w="2269" w:type="dxa"/>
            <w:tcBorders>
              <w:top w:val="single" w:sz="4" w:space="0" w:color="auto"/>
              <w:left w:val="single" w:sz="4" w:space="0" w:color="auto"/>
              <w:bottom w:val="single" w:sz="4" w:space="0" w:color="auto"/>
              <w:right w:val="single" w:sz="4" w:space="0" w:color="auto"/>
            </w:tcBorders>
            <w:shd w:val="clear" w:color="FFFFFF" w:fill="FFFFFF"/>
          </w:tcPr>
          <w:p w14:paraId="1679986A" w14:textId="77777777" w:rsidR="00E23746" w:rsidRPr="00353B07" w:rsidRDefault="00E23746" w:rsidP="000B2F10">
            <w:pPr>
              <w:rPr>
                <w:rFonts w:cs="Arial"/>
                <w:sz w:val="20"/>
                <w:szCs w:val="20"/>
              </w:rPr>
            </w:pPr>
            <w:r>
              <w:rPr>
                <w:rFonts w:cs="Arial"/>
                <w:sz w:val="20"/>
                <w:szCs w:val="20"/>
              </w:rPr>
              <w:t>C03A01</w:t>
            </w:r>
            <w:r w:rsidRPr="00574DAC">
              <w:rPr>
                <w:rFonts w:cs="Arial"/>
                <w:sz w:val="20"/>
                <w:szCs w:val="20"/>
              </w:rPr>
              <w:t xml:space="preserve"> -</w:t>
            </w:r>
            <w:r w:rsidRPr="00DB13F3">
              <w:rPr>
                <w:rFonts w:cs="Arial"/>
                <w:sz w:val="20"/>
                <w:szCs w:val="20"/>
              </w:rPr>
              <w:t xml:space="preserve"> </w:t>
            </w:r>
            <w:r w:rsidRPr="00B7491E">
              <w:rPr>
                <w:rFonts w:cs="Arial"/>
                <w:sz w:val="20"/>
                <w:szCs w:val="20"/>
              </w:rPr>
              <w:t>Porcentaje de estudiantes y egresados inscritos en cursos ofertados en educación continua</w:t>
            </w:r>
            <w:r>
              <w:rPr>
                <w:rFonts w:cs="Arial"/>
                <w:sz w:val="20"/>
                <w:szCs w:val="20"/>
              </w:rPr>
              <w:t>.</w:t>
            </w:r>
            <w:r w:rsidRPr="00B7491E">
              <w:rPr>
                <w:rFonts w:cs="Arial"/>
                <w:sz w:val="20"/>
                <w:szCs w:val="20"/>
              </w:rPr>
              <w:t xml:space="preserve">             </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1D8CBF6" w14:textId="77777777" w:rsidR="00E23746" w:rsidRPr="00353B07" w:rsidRDefault="00E23746" w:rsidP="000B2F10">
            <w:pPr>
              <w:rPr>
                <w:rFonts w:cs="Arial"/>
                <w:sz w:val="20"/>
                <w:szCs w:val="20"/>
              </w:rPr>
            </w:pPr>
            <w:r w:rsidRPr="00DB13F3">
              <w:rPr>
                <w:rFonts w:cs="Arial"/>
                <w:sz w:val="20"/>
                <w:szCs w:val="20"/>
              </w:rPr>
              <w:t>Estadísticas internas de las IES: Listas de asistencia a cursos, lista de entrega de constancias de finalización del curso correspondiente. Información relativa al servicio de educación continua puede encontrarse en: http://retys.qroo.gob.mx, seleccionando UT</w:t>
            </w:r>
            <w:r>
              <w:rPr>
                <w:rFonts w:cs="Arial"/>
                <w:sz w:val="20"/>
                <w:szCs w:val="20"/>
              </w:rPr>
              <w:t xml:space="preserve"> </w:t>
            </w:r>
            <w:r w:rsidRPr="00DB13F3">
              <w:rPr>
                <w:rFonts w:cs="Arial"/>
                <w:sz w:val="20"/>
                <w:szCs w:val="20"/>
              </w:rPr>
              <w:t xml:space="preserve">Cancún, y posteriormente CURSOS DE EDUCACIÓN CONTINUA. La oferta de cursos y fotos de los eventos de inicio y  cierre de grupos pueden verse en: </w:t>
            </w:r>
            <w:hyperlink r:id="rId77" w:history="1">
              <w:r w:rsidRPr="00DB13F3">
                <w:rPr>
                  <w:rFonts w:cs="Arial"/>
                  <w:sz w:val="20"/>
                  <w:szCs w:val="20"/>
                </w:rPr>
                <w:t>https://www.facebook.com/UTplus/</w:t>
              </w:r>
            </w:hyperlink>
            <w:r>
              <w:rPr>
                <w:rFonts w:cs="Arial"/>
                <w:sz w:val="20"/>
                <w:szCs w:val="20"/>
              </w:rPr>
              <w:t>.</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51571B7" w14:textId="77777777" w:rsidR="00E23746" w:rsidRPr="00353B07" w:rsidRDefault="00E23746" w:rsidP="000B2F10">
            <w:pPr>
              <w:rPr>
                <w:rFonts w:cs="Arial"/>
                <w:sz w:val="20"/>
                <w:szCs w:val="20"/>
              </w:rPr>
            </w:pPr>
            <w:r w:rsidRPr="00DB13F3">
              <w:rPr>
                <w:rFonts w:cs="Arial"/>
                <w:sz w:val="20"/>
                <w:szCs w:val="20"/>
              </w:rPr>
              <w:t>Los estudiantes y/o egresados asisten a  los cursos de capacitación ofrecidos por parte del Departamento de Educación Continua de la Universidad.</w:t>
            </w:r>
          </w:p>
        </w:tc>
      </w:tr>
      <w:tr w:rsidR="00E23746" w:rsidRPr="00FD08F8" w14:paraId="09EDF7E4" w14:textId="77777777" w:rsidTr="006B434D">
        <w:trPr>
          <w:trHeight w:val="1968"/>
        </w:trPr>
        <w:tc>
          <w:tcPr>
            <w:tcW w:w="1269" w:type="dxa"/>
            <w:tcBorders>
              <w:top w:val="single" w:sz="4" w:space="0" w:color="auto"/>
              <w:left w:val="single" w:sz="4" w:space="0" w:color="auto"/>
              <w:bottom w:val="single" w:sz="4" w:space="0" w:color="auto"/>
              <w:right w:val="single" w:sz="4" w:space="0" w:color="auto"/>
            </w:tcBorders>
            <w:shd w:val="clear" w:color="auto" w:fill="auto"/>
          </w:tcPr>
          <w:p w14:paraId="0DFDAC0D" w14:textId="77777777" w:rsidR="00E23746" w:rsidRDefault="00E23746" w:rsidP="000B2F10">
            <w:pPr>
              <w:spacing w:after="0" w:line="240" w:lineRule="auto"/>
              <w:rPr>
                <w:rFonts w:eastAsia="Times New Roman" w:cs="Arial"/>
                <w:b/>
                <w:bCs/>
                <w:sz w:val="20"/>
                <w:szCs w:val="20"/>
                <w:lang w:val="es-MX" w:eastAsia="es-MX"/>
              </w:rPr>
            </w:pPr>
            <w:r>
              <w:rPr>
                <w:rFonts w:eastAsia="Times New Roman" w:cs="Arial"/>
                <w:b/>
                <w:bCs/>
                <w:sz w:val="20"/>
                <w:szCs w:val="20"/>
                <w:lang w:val="es-MX" w:eastAsia="es-MX"/>
              </w:rPr>
              <w:t>Actividad</w:t>
            </w:r>
          </w:p>
        </w:tc>
        <w:tc>
          <w:tcPr>
            <w:tcW w:w="2834" w:type="dxa"/>
            <w:tcBorders>
              <w:top w:val="single" w:sz="4" w:space="0" w:color="auto"/>
              <w:left w:val="single" w:sz="4" w:space="0" w:color="auto"/>
              <w:bottom w:val="single" w:sz="4" w:space="0" w:color="auto"/>
              <w:right w:val="single" w:sz="4" w:space="0" w:color="auto"/>
            </w:tcBorders>
            <w:shd w:val="clear" w:color="auto" w:fill="auto"/>
          </w:tcPr>
          <w:p w14:paraId="57BE2678" w14:textId="685576E1" w:rsidR="00A53D97" w:rsidRPr="00353B07" w:rsidRDefault="00E23746" w:rsidP="009506EF">
            <w:pPr>
              <w:rPr>
                <w:rFonts w:cs="Arial"/>
                <w:sz w:val="20"/>
                <w:szCs w:val="20"/>
              </w:rPr>
            </w:pPr>
            <w:r w:rsidRPr="00172CFA">
              <w:rPr>
                <w:rFonts w:cs="Arial"/>
                <w:sz w:val="20"/>
                <w:szCs w:val="20"/>
              </w:rPr>
              <w:t>Impulsar la vinculación con instituciones públicas y privadas para la realización del servicio social, prácticas profesionales o su equivalente y modelo dual por parte de los estudiantes de educación superior.</w:t>
            </w:r>
          </w:p>
        </w:tc>
        <w:tc>
          <w:tcPr>
            <w:tcW w:w="2836" w:type="dxa"/>
            <w:tcBorders>
              <w:top w:val="single" w:sz="4" w:space="0" w:color="auto"/>
              <w:left w:val="single" w:sz="4" w:space="0" w:color="auto"/>
              <w:bottom w:val="single" w:sz="4" w:space="0" w:color="auto"/>
              <w:right w:val="single" w:sz="4" w:space="0" w:color="auto"/>
            </w:tcBorders>
            <w:shd w:val="clear" w:color="auto" w:fill="auto"/>
          </w:tcPr>
          <w:p w14:paraId="34D6A8D4" w14:textId="77777777" w:rsidR="00E23746" w:rsidRPr="00353B07" w:rsidRDefault="00E23746" w:rsidP="000B2F10">
            <w:pPr>
              <w:rPr>
                <w:rFonts w:cs="Arial"/>
                <w:sz w:val="20"/>
                <w:szCs w:val="20"/>
              </w:rPr>
            </w:pPr>
            <w:r>
              <w:rPr>
                <w:rFonts w:cs="Arial"/>
                <w:sz w:val="20"/>
                <w:szCs w:val="20"/>
              </w:rPr>
              <w:t>C03.A02</w:t>
            </w:r>
            <w:r w:rsidRPr="00574DAC">
              <w:rPr>
                <w:rFonts w:cs="Arial"/>
                <w:sz w:val="20"/>
                <w:szCs w:val="20"/>
              </w:rPr>
              <w:t xml:space="preserve"> -</w:t>
            </w:r>
            <w:r>
              <w:t xml:space="preserve"> </w:t>
            </w:r>
            <w:r w:rsidRPr="00172CFA">
              <w:rPr>
                <w:rFonts w:cs="Arial"/>
                <w:sz w:val="20"/>
                <w:szCs w:val="20"/>
              </w:rPr>
              <w:t>Conclusión de Estadía Profesional.</w:t>
            </w:r>
          </w:p>
        </w:tc>
        <w:tc>
          <w:tcPr>
            <w:tcW w:w="2269" w:type="dxa"/>
            <w:tcBorders>
              <w:top w:val="single" w:sz="4" w:space="0" w:color="auto"/>
              <w:left w:val="single" w:sz="4" w:space="0" w:color="auto"/>
              <w:bottom w:val="single" w:sz="4" w:space="0" w:color="auto"/>
              <w:right w:val="single" w:sz="4" w:space="0" w:color="auto"/>
            </w:tcBorders>
            <w:shd w:val="clear" w:color="FFFFFF" w:fill="FFFFFF"/>
          </w:tcPr>
          <w:p w14:paraId="2A17A1B0" w14:textId="77777777" w:rsidR="00E23746" w:rsidRPr="00353B07" w:rsidRDefault="00E23746" w:rsidP="000B2F10">
            <w:pPr>
              <w:rPr>
                <w:rFonts w:cs="Arial"/>
                <w:sz w:val="20"/>
                <w:szCs w:val="20"/>
              </w:rPr>
            </w:pPr>
            <w:r>
              <w:rPr>
                <w:rFonts w:cs="Arial"/>
                <w:sz w:val="20"/>
                <w:szCs w:val="20"/>
              </w:rPr>
              <w:t>C03A02</w:t>
            </w:r>
            <w:r w:rsidRPr="00574DAC">
              <w:rPr>
                <w:rFonts w:cs="Arial"/>
                <w:sz w:val="20"/>
                <w:szCs w:val="20"/>
              </w:rPr>
              <w:t xml:space="preserve"> -</w:t>
            </w:r>
            <w:r>
              <w:t xml:space="preserve"> </w:t>
            </w:r>
            <w:r>
              <w:rPr>
                <w:rFonts w:cs="Arial"/>
                <w:sz w:val="20"/>
                <w:szCs w:val="20"/>
              </w:rPr>
              <w:t>Es</w:t>
            </w:r>
            <w:r w:rsidRPr="00172CFA">
              <w:rPr>
                <w:rFonts w:cs="Arial"/>
                <w:sz w:val="20"/>
                <w:szCs w:val="20"/>
              </w:rPr>
              <w:t>tudiantes con estadía profesional concluida.</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7A29A27" w14:textId="77777777" w:rsidR="00E23746" w:rsidRPr="00353B07" w:rsidRDefault="00E23746" w:rsidP="000B2F10">
            <w:pPr>
              <w:rPr>
                <w:rFonts w:cs="Arial"/>
                <w:sz w:val="20"/>
                <w:szCs w:val="20"/>
              </w:rPr>
            </w:pPr>
            <w:r w:rsidRPr="005A74D8">
              <w:rPr>
                <w:rFonts w:cs="Arial"/>
                <w:sz w:val="20"/>
                <w:szCs w:val="20"/>
              </w:rPr>
              <w:t>Listas de estudiantes liberados de la estadía profesional generados por Gestión empresarial. Sistema de registro de estadía profesional: http://13.1.23.rie.utcancun.edu.mx/index.php/221695?lang=es-MX</w:t>
            </w:r>
            <w:r>
              <w:rPr>
                <w:rFonts w:cs="Arial"/>
                <w:sz w:val="20"/>
                <w:szCs w:val="20"/>
              </w:rPr>
              <w:t>.</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6400B35E" w14:textId="77777777" w:rsidR="00E23746" w:rsidRPr="00353B07" w:rsidRDefault="00E23746" w:rsidP="000B2F10">
            <w:pPr>
              <w:rPr>
                <w:rFonts w:cs="Arial"/>
                <w:sz w:val="20"/>
                <w:szCs w:val="20"/>
              </w:rPr>
            </w:pPr>
            <w:r w:rsidRPr="005A74D8">
              <w:rPr>
                <w:rFonts w:cs="Arial"/>
                <w:sz w:val="20"/>
                <w:szCs w:val="20"/>
              </w:rPr>
              <w:t>Los estudiantes que cursan estadía profesional cumplen con los requerimientos académicos y empresariales.</w:t>
            </w:r>
          </w:p>
        </w:tc>
      </w:tr>
    </w:tbl>
    <w:p w14:paraId="544AE127" w14:textId="77777777" w:rsidR="00D36037" w:rsidRDefault="00D36037">
      <w:pPr>
        <w:spacing w:after="0" w:line="240" w:lineRule="auto"/>
        <w:jc w:val="left"/>
      </w:pPr>
      <w:r>
        <w:br w:type="page"/>
      </w:r>
    </w:p>
    <w:tbl>
      <w:tblPr>
        <w:tblW w:w="14170" w:type="dxa"/>
        <w:tblLayout w:type="fixed"/>
        <w:tblCellMar>
          <w:left w:w="70" w:type="dxa"/>
          <w:right w:w="70" w:type="dxa"/>
        </w:tblCellMar>
        <w:tblLook w:val="04A0" w:firstRow="1" w:lastRow="0" w:firstColumn="1" w:lastColumn="0" w:noHBand="0" w:noVBand="1"/>
      </w:tblPr>
      <w:tblGrid>
        <w:gridCol w:w="1269"/>
        <w:gridCol w:w="2834"/>
        <w:gridCol w:w="2836"/>
        <w:gridCol w:w="2269"/>
        <w:gridCol w:w="2835"/>
        <w:gridCol w:w="2127"/>
      </w:tblGrid>
      <w:tr w:rsidR="00A53D97" w:rsidRPr="00FD08F8" w14:paraId="5D9C46CB" w14:textId="77777777" w:rsidTr="006B434D">
        <w:trPr>
          <w:trHeight w:val="577"/>
        </w:trPr>
        <w:tc>
          <w:tcPr>
            <w:tcW w:w="1269"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50C8548C" w14:textId="77777777" w:rsidR="00A53D97" w:rsidRPr="00FD08F8" w:rsidRDefault="00A53D97" w:rsidP="00364E7E">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lastRenderedPageBreak/>
              <w:t>NIVEL</w:t>
            </w:r>
          </w:p>
        </w:tc>
        <w:tc>
          <w:tcPr>
            <w:tcW w:w="2834" w:type="dxa"/>
            <w:tcBorders>
              <w:top w:val="single" w:sz="4" w:space="0" w:color="auto"/>
              <w:left w:val="nil"/>
              <w:bottom w:val="single" w:sz="4" w:space="0" w:color="auto"/>
              <w:right w:val="single" w:sz="4" w:space="0" w:color="auto"/>
            </w:tcBorders>
            <w:shd w:val="clear" w:color="000000" w:fill="BFBFBF"/>
            <w:vAlign w:val="center"/>
            <w:hideMark/>
          </w:tcPr>
          <w:p w14:paraId="306052EE" w14:textId="77777777" w:rsidR="00A53D97" w:rsidRPr="00FD08F8" w:rsidRDefault="00A53D97" w:rsidP="00364E7E">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ALINEACIÓN PED/PD</w:t>
            </w:r>
          </w:p>
        </w:tc>
        <w:tc>
          <w:tcPr>
            <w:tcW w:w="2836" w:type="dxa"/>
            <w:tcBorders>
              <w:top w:val="single" w:sz="4" w:space="0" w:color="auto"/>
              <w:left w:val="nil"/>
              <w:bottom w:val="single" w:sz="4" w:space="0" w:color="auto"/>
              <w:right w:val="single" w:sz="4" w:space="0" w:color="auto"/>
            </w:tcBorders>
            <w:shd w:val="clear" w:color="000000" w:fill="BFBFBF"/>
            <w:vAlign w:val="center"/>
            <w:hideMark/>
          </w:tcPr>
          <w:p w14:paraId="7A5A46A7" w14:textId="77777777" w:rsidR="00A53D97" w:rsidRPr="00FD08F8" w:rsidRDefault="00A53D97" w:rsidP="00364E7E">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OBJETIVO</w:t>
            </w:r>
          </w:p>
        </w:tc>
        <w:tc>
          <w:tcPr>
            <w:tcW w:w="2269" w:type="dxa"/>
            <w:tcBorders>
              <w:top w:val="single" w:sz="4" w:space="0" w:color="auto"/>
              <w:left w:val="nil"/>
              <w:bottom w:val="single" w:sz="4" w:space="0" w:color="auto"/>
              <w:right w:val="single" w:sz="4" w:space="0" w:color="auto"/>
            </w:tcBorders>
            <w:shd w:val="clear" w:color="000000" w:fill="BFBFBF"/>
            <w:vAlign w:val="center"/>
            <w:hideMark/>
          </w:tcPr>
          <w:p w14:paraId="74557ED5" w14:textId="77777777" w:rsidR="00A53D97" w:rsidRPr="00FD08F8" w:rsidRDefault="00A53D97" w:rsidP="00364E7E">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INDICADOR</w:t>
            </w:r>
          </w:p>
        </w:tc>
        <w:tc>
          <w:tcPr>
            <w:tcW w:w="2835" w:type="dxa"/>
            <w:tcBorders>
              <w:top w:val="single" w:sz="4" w:space="0" w:color="auto"/>
              <w:left w:val="nil"/>
              <w:bottom w:val="single" w:sz="4" w:space="0" w:color="auto"/>
              <w:right w:val="single" w:sz="4" w:space="0" w:color="auto"/>
            </w:tcBorders>
            <w:shd w:val="clear" w:color="000000" w:fill="BFBFBF"/>
            <w:vAlign w:val="center"/>
            <w:hideMark/>
          </w:tcPr>
          <w:p w14:paraId="0EEFAF7D" w14:textId="77777777" w:rsidR="00A53D97" w:rsidRPr="00FD08F8" w:rsidRDefault="00A53D97" w:rsidP="00364E7E">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MEDIOS DE VERIFICACIÓN</w:t>
            </w:r>
          </w:p>
        </w:tc>
        <w:tc>
          <w:tcPr>
            <w:tcW w:w="2127" w:type="dxa"/>
            <w:tcBorders>
              <w:top w:val="single" w:sz="4" w:space="0" w:color="auto"/>
              <w:left w:val="nil"/>
              <w:bottom w:val="single" w:sz="4" w:space="0" w:color="auto"/>
              <w:right w:val="single" w:sz="4" w:space="0" w:color="auto"/>
            </w:tcBorders>
            <w:shd w:val="clear" w:color="000000" w:fill="BFBFBF"/>
            <w:vAlign w:val="center"/>
            <w:hideMark/>
          </w:tcPr>
          <w:p w14:paraId="1C2BF680" w14:textId="77777777" w:rsidR="00A53D97" w:rsidRPr="00FD08F8" w:rsidRDefault="00A53D97" w:rsidP="00364E7E">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SUPUESTO</w:t>
            </w:r>
          </w:p>
        </w:tc>
      </w:tr>
      <w:tr w:rsidR="00E23746" w:rsidRPr="00FD08F8" w14:paraId="21E99E3D" w14:textId="77777777" w:rsidTr="006B434D">
        <w:trPr>
          <w:trHeight w:val="1955"/>
        </w:trPr>
        <w:tc>
          <w:tcPr>
            <w:tcW w:w="1269" w:type="dxa"/>
            <w:tcBorders>
              <w:top w:val="single" w:sz="4" w:space="0" w:color="auto"/>
              <w:left w:val="single" w:sz="4" w:space="0" w:color="auto"/>
              <w:bottom w:val="single" w:sz="4" w:space="0" w:color="auto"/>
              <w:right w:val="single" w:sz="4" w:space="0" w:color="auto"/>
            </w:tcBorders>
            <w:shd w:val="clear" w:color="auto" w:fill="auto"/>
          </w:tcPr>
          <w:p w14:paraId="094B9809" w14:textId="77777777" w:rsidR="00E23746" w:rsidRDefault="00E23746" w:rsidP="000B2F10">
            <w:pPr>
              <w:spacing w:after="0" w:line="240" w:lineRule="auto"/>
              <w:rPr>
                <w:rFonts w:eastAsia="Times New Roman" w:cs="Arial"/>
                <w:b/>
                <w:bCs/>
                <w:sz w:val="20"/>
                <w:szCs w:val="20"/>
                <w:lang w:val="es-MX" w:eastAsia="es-MX"/>
              </w:rPr>
            </w:pPr>
            <w:r>
              <w:rPr>
                <w:rFonts w:eastAsia="Times New Roman" w:cs="Arial"/>
                <w:b/>
                <w:bCs/>
                <w:sz w:val="20"/>
                <w:szCs w:val="20"/>
                <w:lang w:val="es-MX" w:eastAsia="es-MX"/>
              </w:rPr>
              <w:t>Actividad</w:t>
            </w:r>
          </w:p>
        </w:tc>
        <w:tc>
          <w:tcPr>
            <w:tcW w:w="2834" w:type="dxa"/>
            <w:tcBorders>
              <w:top w:val="single" w:sz="4" w:space="0" w:color="auto"/>
              <w:left w:val="single" w:sz="4" w:space="0" w:color="auto"/>
              <w:bottom w:val="single" w:sz="4" w:space="0" w:color="auto"/>
              <w:right w:val="single" w:sz="4" w:space="0" w:color="auto"/>
            </w:tcBorders>
            <w:shd w:val="clear" w:color="auto" w:fill="auto"/>
          </w:tcPr>
          <w:p w14:paraId="34143935" w14:textId="77777777" w:rsidR="00E23746" w:rsidRPr="00353B07" w:rsidRDefault="00E23746" w:rsidP="000B2F10">
            <w:pPr>
              <w:rPr>
                <w:rFonts w:cs="Arial"/>
                <w:sz w:val="20"/>
                <w:szCs w:val="20"/>
              </w:rPr>
            </w:pPr>
            <w:r w:rsidRPr="006303AC">
              <w:rPr>
                <w:rFonts w:cs="Arial"/>
                <w:sz w:val="20"/>
                <w:szCs w:val="20"/>
              </w:rPr>
              <w:t>Impulsar la vinculación con instituciones públicas y privadas para la realización del servicio social, prácticas profesionales o su equivalente y modelo dual por parte de los estudiantes de educación superior.</w:t>
            </w:r>
          </w:p>
        </w:tc>
        <w:tc>
          <w:tcPr>
            <w:tcW w:w="2836" w:type="dxa"/>
            <w:tcBorders>
              <w:top w:val="single" w:sz="4" w:space="0" w:color="auto"/>
              <w:left w:val="single" w:sz="4" w:space="0" w:color="auto"/>
              <w:bottom w:val="single" w:sz="4" w:space="0" w:color="auto"/>
              <w:right w:val="single" w:sz="4" w:space="0" w:color="auto"/>
            </w:tcBorders>
            <w:shd w:val="clear" w:color="auto" w:fill="auto"/>
          </w:tcPr>
          <w:p w14:paraId="06E378FB" w14:textId="77777777" w:rsidR="00E23746" w:rsidRPr="00353B07" w:rsidRDefault="00E23746" w:rsidP="000B2F10">
            <w:pPr>
              <w:rPr>
                <w:rFonts w:cs="Arial"/>
                <w:sz w:val="20"/>
                <w:szCs w:val="20"/>
              </w:rPr>
            </w:pPr>
            <w:r>
              <w:rPr>
                <w:rFonts w:cs="Arial"/>
                <w:sz w:val="20"/>
                <w:szCs w:val="20"/>
              </w:rPr>
              <w:t>C03.A03</w:t>
            </w:r>
            <w:r w:rsidRPr="00574DAC">
              <w:rPr>
                <w:rFonts w:cs="Arial"/>
                <w:sz w:val="20"/>
                <w:szCs w:val="20"/>
              </w:rPr>
              <w:t xml:space="preserve"> -</w:t>
            </w:r>
            <w:r w:rsidRPr="006303AC">
              <w:rPr>
                <w:rFonts w:cs="Arial"/>
                <w:sz w:val="20"/>
                <w:szCs w:val="20"/>
              </w:rPr>
              <w:t xml:space="preserve"> Participación en visitas académicas.</w:t>
            </w:r>
          </w:p>
        </w:tc>
        <w:tc>
          <w:tcPr>
            <w:tcW w:w="2269" w:type="dxa"/>
            <w:tcBorders>
              <w:top w:val="single" w:sz="4" w:space="0" w:color="auto"/>
              <w:left w:val="single" w:sz="4" w:space="0" w:color="auto"/>
              <w:bottom w:val="single" w:sz="4" w:space="0" w:color="auto"/>
              <w:right w:val="single" w:sz="4" w:space="0" w:color="auto"/>
            </w:tcBorders>
            <w:shd w:val="clear" w:color="FFFFFF" w:fill="FFFFFF"/>
          </w:tcPr>
          <w:p w14:paraId="5FA4D6AD" w14:textId="77777777" w:rsidR="00E23746" w:rsidRPr="00353B07" w:rsidRDefault="00E23746" w:rsidP="000B2F10">
            <w:pPr>
              <w:rPr>
                <w:rFonts w:cs="Arial"/>
                <w:sz w:val="20"/>
                <w:szCs w:val="20"/>
              </w:rPr>
            </w:pPr>
            <w:r>
              <w:rPr>
                <w:rFonts w:cs="Arial"/>
                <w:sz w:val="20"/>
                <w:szCs w:val="20"/>
              </w:rPr>
              <w:t>C03A03</w:t>
            </w:r>
            <w:r w:rsidRPr="00574DAC">
              <w:rPr>
                <w:rFonts w:cs="Arial"/>
                <w:sz w:val="20"/>
                <w:szCs w:val="20"/>
              </w:rPr>
              <w:t xml:space="preserve"> -</w:t>
            </w:r>
            <w:r>
              <w:t xml:space="preserve"> </w:t>
            </w:r>
            <w:r w:rsidRPr="006303AC">
              <w:rPr>
                <w:rFonts w:cs="Arial"/>
                <w:sz w:val="20"/>
                <w:szCs w:val="20"/>
              </w:rPr>
              <w:t>Estudiantes que participan en visitas académicas.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1CC8C1B" w14:textId="77777777" w:rsidR="00E23746" w:rsidRPr="00353B07" w:rsidRDefault="00E23746" w:rsidP="000B2F10">
            <w:pPr>
              <w:rPr>
                <w:rFonts w:cs="Arial"/>
                <w:sz w:val="20"/>
                <w:szCs w:val="20"/>
              </w:rPr>
            </w:pPr>
            <w:r w:rsidRPr="006303AC">
              <w:rPr>
                <w:rFonts w:cs="Arial"/>
                <w:sz w:val="20"/>
                <w:szCs w:val="20"/>
              </w:rPr>
              <w:t>Listas de asistencia de estudiantes que participan en visitas académicas.</w:t>
            </w:r>
            <w:r>
              <w:rPr>
                <w:rFonts w:cs="Arial"/>
                <w:sz w:val="20"/>
                <w:szCs w:val="20"/>
              </w:rPr>
              <w:t xml:space="preserve"> </w:t>
            </w:r>
            <w:hyperlink r:id="rId78" w:history="1">
              <w:r w:rsidRPr="006303AC">
                <w:rPr>
                  <w:rFonts w:cs="Arial"/>
                  <w:sz w:val="20"/>
                  <w:szCs w:val="20"/>
                </w:rPr>
                <w:t>http://utcancun.edu.mx/visitas-a-empresas/</w:t>
              </w:r>
            </w:hyperlink>
            <w:r>
              <w:rPr>
                <w:rFonts w:cs="Arial"/>
                <w:sz w:val="20"/>
                <w:szCs w:val="20"/>
              </w:rPr>
              <w:t>.</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F27B8CF" w14:textId="77777777" w:rsidR="00E23746" w:rsidRPr="00353B07" w:rsidRDefault="00E23746" w:rsidP="000B2F10">
            <w:pPr>
              <w:rPr>
                <w:rFonts w:cs="Arial"/>
                <w:sz w:val="20"/>
                <w:szCs w:val="20"/>
              </w:rPr>
            </w:pPr>
            <w:r w:rsidRPr="006303AC">
              <w:rPr>
                <w:rFonts w:cs="Arial"/>
                <w:sz w:val="20"/>
                <w:szCs w:val="20"/>
              </w:rPr>
              <w:t>Las empresas vinculadas con la Universidad tienen la disponibilidad para la atención de visitas académicas solicitadas.</w:t>
            </w:r>
          </w:p>
        </w:tc>
      </w:tr>
      <w:tr w:rsidR="00E23746" w:rsidRPr="00FD08F8" w14:paraId="03A74334" w14:textId="77777777" w:rsidTr="006B434D">
        <w:trPr>
          <w:trHeight w:val="1117"/>
        </w:trPr>
        <w:tc>
          <w:tcPr>
            <w:tcW w:w="1269" w:type="dxa"/>
            <w:tcBorders>
              <w:top w:val="single" w:sz="4" w:space="0" w:color="auto"/>
              <w:left w:val="single" w:sz="4" w:space="0" w:color="auto"/>
              <w:bottom w:val="single" w:sz="4" w:space="0" w:color="auto"/>
              <w:right w:val="single" w:sz="4" w:space="0" w:color="auto"/>
            </w:tcBorders>
            <w:shd w:val="clear" w:color="auto" w:fill="auto"/>
          </w:tcPr>
          <w:p w14:paraId="1A68571D" w14:textId="77777777" w:rsidR="00E23746" w:rsidRDefault="00E23746" w:rsidP="000B2F10">
            <w:pPr>
              <w:spacing w:after="0" w:line="240" w:lineRule="auto"/>
              <w:rPr>
                <w:rFonts w:eastAsia="Times New Roman" w:cs="Arial"/>
                <w:b/>
                <w:bCs/>
                <w:sz w:val="20"/>
                <w:szCs w:val="20"/>
                <w:lang w:val="es-MX" w:eastAsia="es-MX"/>
              </w:rPr>
            </w:pPr>
            <w:r>
              <w:rPr>
                <w:rFonts w:eastAsia="Times New Roman" w:cs="Arial"/>
                <w:b/>
                <w:bCs/>
                <w:sz w:val="20"/>
                <w:szCs w:val="20"/>
                <w:lang w:val="es-MX" w:eastAsia="es-MX"/>
              </w:rPr>
              <w:t>Actividad</w:t>
            </w:r>
          </w:p>
        </w:tc>
        <w:tc>
          <w:tcPr>
            <w:tcW w:w="2834" w:type="dxa"/>
            <w:tcBorders>
              <w:top w:val="single" w:sz="4" w:space="0" w:color="auto"/>
              <w:left w:val="single" w:sz="4" w:space="0" w:color="auto"/>
              <w:bottom w:val="single" w:sz="4" w:space="0" w:color="auto"/>
              <w:right w:val="single" w:sz="4" w:space="0" w:color="auto"/>
            </w:tcBorders>
            <w:shd w:val="clear" w:color="auto" w:fill="auto"/>
          </w:tcPr>
          <w:p w14:paraId="1D114CBA" w14:textId="732CE287" w:rsidR="00E23746" w:rsidRPr="00353B07" w:rsidRDefault="00E23746" w:rsidP="009506EF">
            <w:pPr>
              <w:rPr>
                <w:rFonts w:cs="Arial"/>
                <w:sz w:val="20"/>
                <w:szCs w:val="20"/>
              </w:rPr>
            </w:pPr>
            <w:r w:rsidRPr="00E36A21">
              <w:rPr>
                <w:rFonts w:cs="Arial"/>
                <w:sz w:val="20"/>
                <w:szCs w:val="20"/>
              </w:rPr>
              <w:t>Impulsar la vinculación con instituciones públicas y privadas para la realización del servicio social, prácticas profesionales o su equivalente y modelo dual por parte de los estudiantes de educación superior.</w:t>
            </w:r>
          </w:p>
        </w:tc>
        <w:tc>
          <w:tcPr>
            <w:tcW w:w="2836" w:type="dxa"/>
            <w:tcBorders>
              <w:top w:val="single" w:sz="4" w:space="0" w:color="auto"/>
              <w:left w:val="single" w:sz="4" w:space="0" w:color="auto"/>
              <w:bottom w:val="single" w:sz="4" w:space="0" w:color="auto"/>
              <w:right w:val="single" w:sz="4" w:space="0" w:color="auto"/>
            </w:tcBorders>
            <w:shd w:val="clear" w:color="auto" w:fill="auto"/>
          </w:tcPr>
          <w:p w14:paraId="3BB93F3B" w14:textId="77777777" w:rsidR="00E23746" w:rsidRPr="00353B07" w:rsidRDefault="00E23746" w:rsidP="000B2F10">
            <w:pPr>
              <w:rPr>
                <w:rFonts w:cs="Arial"/>
                <w:sz w:val="20"/>
                <w:szCs w:val="20"/>
              </w:rPr>
            </w:pPr>
            <w:r>
              <w:rPr>
                <w:rFonts w:cs="Arial"/>
                <w:sz w:val="20"/>
                <w:szCs w:val="20"/>
              </w:rPr>
              <w:t>C03.A04</w:t>
            </w:r>
            <w:r w:rsidRPr="00574DAC">
              <w:rPr>
                <w:rFonts w:cs="Arial"/>
                <w:sz w:val="20"/>
                <w:szCs w:val="20"/>
              </w:rPr>
              <w:t xml:space="preserve"> -</w:t>
            </w:r>
            <w:r w:rsidRPr="00E36A21">
              <w:rPr>
                <w:rFonts w:cs="Arial"/>
                <w:sz w:val="20"/>
                <w:szCs w:val="20"/>
              </w:rPr>
              <w:t xml:space="preserve"> Inserción laboral de egresados.</w:t>
            </w:r>
          </w:p>
        </w:tc>
        <w:tc>
          <w:tcPr>
            <w:tcW w:w="2269" w:type="dxa"/>
            <w:tcBorders>
              <w:top w:val="single" w:sz="4" w:space="0" w:color="auto"/>
              <w:left w:val="single" w:sz="4" w:space="0" w:color="auto"/>
              <w:bottom w:val="single" w:sz="4" w:space="0" w:color="auto"/>
              <w:right w:val="single" w:sz="4" w:space="0" w:color="auto"/>
            </w:tcBorders>
            <w:shd w:val="clear" w:color="FFFFFF" w:fill="FFFFFF"/>
          </w:tcPr>
          <w:p w14:paraId="4CBB9519" w14:textId="77777777" w:rsidR="00E23746" w:rsidRPr="00353B07" w:rsidRDefault="00E23746" w:rsidP="000B2F10">
            <w:pPr>
              <w:rPr>
                <w:rFonts w:cs="Arial"/>
                <w:sz w:val="20"/>
                <w:szCs w:val="20"/>
              </w:rPr>
            </w:pPr>
            <w:r>
              <w:rPr>
                <w:rFonts w:cs="Arial"/>
                <w:sz w:val="20"/>
                <w:szCs w:val="20"/>
              </w:rPr>
              <w:t>C03A04</w:t>
            </w:r>
            <w:r w:rsidRPr="00574DAC">
              <w:rPr>
                <w:rFonts w:cs="Arial"/>
                <w:sz w:val="20"/>
                <w:szCs w:val="20"/>
              </w:rPr>
              <w:t xml:space="preserve"> -</w:t>
            </w:r>
            <w:r>
              <w:t xml:space="preserve"> </w:t>
            </w:r>
            <w:r w:rsidRPr="00E36A21">
              <w:rPr>
                <w:rFonts w:cs="Arial"/>
                <w:sz w:val="20"/>
                <w:szCs w:val="20"/>
              </w:rPr>
              <w:t>Egresados colocados en el sector empresarial.</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353B1AE" w14:textId="77777777" w:rsidR="00E23746" w:rsidRPr="00353B07" w:rsidRDefault="00E23746" w:rsidP="000B2F10">
            <w:pPr>
              <w:rPr>
                <w:rFonts w:cs="Arial"/>
                <w:sz w:val="20"/>
                <w:szCs w:val="20"/>
              </w:rPr>
            </w:pPr>
            <w:r w:rsidRPr="00E36A21">
              <w:rPr>
                <w:rFonts w:cs="Arial"/>
                <w:sz w:val="20"/>
                <w:szCs w:val="20"/>
              </w:rPr>
              <w:t xml:space="preserve">Lista de egresados localizados y colocados. </w:t>
            </w:r>
            <w:hyperlink r:id="rId79" w:history="1">
              <w:r w:rsidRPr="00E36A21">
                <w:rPr>
                  <w:rFonts w:cs="Arial"/>
                  <w:sz w:val="20"/>
                  <w:szCs w:val="20"/>
                </w:rPr>
                <w:t>http://13.1.23.rie.utcancun.edu.mx/index.php/911994?lang=es-MX</w:t>
              </w:r>
            </w:hyperlink>
            <w:r>
              <w:rPr>
                <w:rFonts w:cs="Arial"/>
                <w:sz w:val="20"/>
                <w:szCs w:val="20"/>
              </w:rPr>
              <w:t>.</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CD432A2" w14:textId="77777777" w:rsidR="00E23746" w:rsidRPr="00353B07" w:rsidRDefault="00E23746" w:rsidP="000B2F10">
            <w:pPr>
              <w:rPr>
                <w:rFonts w:cs="Arial"/>
                <w:sz w:val="20"/>
                <w:szCs w:val="20"/>
              </w:rPr>
            </w:pPr>
            <w:r w:rsidRPr="00E36A21">
              <w:rPr>
                <w:rFonts w:cs="Arial"/>
                <w:sz w:val="20"/>
                <w:szCs w:val="20"/>
              </w:rPr>
              <w:t>Los egresados cumplen los requerimientos de los empleadores y son aceptados por las empresas.</w:t>
            </w:r>
          </w:p>
        </w:tc>
      </w:tr>
      <w:tr w:rsidR="00E23746" w:rsidRPr="00FD08F8" w14:paraId="438551F5" w14:textId="77777777" w:rsidTr="006B434D">
        <w:trPr>
          <w:trHeight w:val="1117"/>
        </w:trPr>
        <w:tc>
          <w:tcPr>
            <w:tcW w:w="1269" w:type="dxa"/>
            <w:tcBorders>
              <w:top w:val="single" w:sz="4" w:space="0" w:color="auto"/>
              <w:left w:val="single" w:sz="4" w:space="0" w:color="auto"/>
              <w:bottom w:val="single" w:sz="4" w:space="0" w:color="auto"/>
              <w:right w:val="single" w:sz="4" w:space="0" w:color="auto"/>
            </w:tcBorders>
            <w:shd w:val="clear" w:color="auto" w:fill="auto"/>
          </w:tcPr>
          <w:p w14:paraId="42C9C6E8" w14:textId="77777777" w:rsidR="00E23746" w:rsidRDefault="00E23746" w:rsidP="000B2F10">
            <w:pPr>
              <w:spacing w:after="0" w:line="240" w:lineRule="auto"/>
              <w:rPr>
                <w:rFonts w:eastAsia="Times New Roman" w:cs="Arial"/>
                <w:b/>
                <w:bCs/>
                <w:sz w:val="20"/>
                <w:szCs w:val="20"/>
                <w:lang w:val="es-MX" w:eastAsia="es-MX"/>
              </w:rPr>
            </w:pPr>
            <w:r>
              <w:rPr>
                <w:rFonts w:eastAsia="Times New Roman" w:cs="Arial"/>
                <w:b/>
                <w:bCs/>
                <w:sz w:val="20"/>
                <w:szCs w:val="20"/>
                <w:lang w:val="es-MX" w:eastAsia="es-MX"/>
              </w:rPr>
              <w:t>Actividad</w:t>
            </w:r>
          </w:p>
        </w:tc>
        <w:tc>
          <w:tcPr>
            <w:tcW w:w="2834" w:type="dxa"/>
            <w:tcBorders>
              <w:top w:val="single" w:sz="4" w:space="0" w:color="auto"/>
              <w:left w:val="single" w:sz="4" w:space="0" w:color="auto"/>
              <w:bottom w:val="single" w:sz="4" w:space="0" w:color="auto"/>
              <w:right w:val="single" w:sz="4" w:space="0" w:color="auto"/>
            </w:tcBorders>
            <w:shd w:val="clear" w:color="auto" w:fill="auto"/>
          </w:tcPr>
          <w:p w14:paraId="2CDFA4C8" w14:textId="67C2175C" w:rsidR="00E23746" w:rsidRPr="00353B07" w:rsidRDefault="00E23746" w:rsidP="000B2F10">
            <w:pPr>
              <w:rPr>
                <w:rFonts w:cs="Arial"/>
                <w:sz w:val="20"/>
                <w:szCs w:val="20"/>
              </w:rPr>
            </w:pPr>
            <w:r w:rsidRPr="00441989">
              <w:rPr>
                <w:rFonts w:cs="Arial"/>
                <w:sz w:val="20"/>
                <w:szCs w:val="20"/>
              </w:rPr>
              <w:t>Impulsar la vinculación con instituciones públicas y privadas para la realización del servicio social, prácticas profesionales o su equivalente y modelo dual por parte de los estudiantes de educación superior.</w:t>
            </w:r>
          </w:p>
        </w:tc>
        <w:tc>
          <w:tcPr>
            <w:tcW w:w="2836" w:type="dxa"/>
            <w:tcBorders>
              <w:top w:val="single" w:sz="4" w:space="0" w:color="auto"/>
              <w:left w:val="single" w:sz="4" w:space="0" w:color="auto"/>
              <w:bottom w:val="single" w:sz="4" w:space="0" w:color="auto"/>
              <w:right w:val="single" w:sz="4" w:space="0" w:color="auto"/>
            </w:tcBorders>
            <w:shd w:val="clear" w:color="auto" w:fill="auto"/>
          </w:tcPr>
          <w:p w14:paraId="1AC15F4E" w14:textId="77777777" w:rsidR="00E23746" w:rsidRPr="00353B07" w:rsidRDefault="00E23746" w:rsidP="000B2F10">
            <w:pPr>
              <w:rPr>
                <w:rFonts w:cs="Arial"/>
                <w:sz w:val="20"/>
                <w:szCs w:val="20"/>
              </w:rPr>
            </w:pPr>
            <w:r>
              <w:rPr>
                <w:rFonts w:cs="Arial"/>
                <w:sz w:val="20"/>
                <w:szCs w:val="20"/>
              </w:rPr>
              <w:t>C03.A05</w:t>
            </w:r>
            <w:r w:rsidRPr="00574DAC">
              <w:rPr>
                <w:rFonts w:cs="Arial"/>
                <w:sz w:val="20"/>
                <w:szCs w:val="20"/>
              </w:rPr>
              <w:t xml:space="preserve"> -</w:t>
            </w:r>
            <w:r w:rsidRPr="00E36A21">
              <w:rPr>
                <w:rFonts w:cs="Arial"/>
                <w:sz w:val="20"/>
                <w:szCs w:val="20"/>
              </w:rPr>
              <w:t xml:space="preserve"> </w:t>
            </w:r>
            <w:r w:rsidRPr="00441989">
              <w:rPr>
                <w:rFonts w:cs="Arial"/>
                <w:sz w:val="20"/>
                <w:szCs w:val="20"/>
              </w:rPr>
              <w:t>Participación en movilidad nacional.</w:t>
            </w:r>
          </w:p>
        </w:tc>
        <w:tc>
          <w:tcPr>
            <w:tcW w:w="2269" w:type="dxa"/>
            <w:tcBorders>
              <w:top w:val="single" w:sz="4" w:space="0" w:color="auto"/>
              <w:left w:val="single" w:sz="4" w:space="0" w:color="auto"/>
              <w:bottom w:val="single" w:sz="4" w:space="0" w:color="auto"/>
              <w:right w:val="single" w:sz="4" w:space="0" w:color="auto"/>
            </w:tcBorders>
            <w:shd w:val="clear" w:color="FFFFFF" w:fill="FFFFFF"/>
          </w:tcPr>
          <w:p w14:paraId="0771F43A" w14:textId="77777777" w:rsidR="00E23746" w:rsidRPr="00353B07" w:rsidRDefault="00E23746" w:rsidP="000B2F10">
            <w:pPr>
              <w:rPr>
                <w:rFonts w:cs="Arial"/>
                <w:sz w:val="20"/>
                <w:szCs w:val="20"/>
              </w:rPr>
            </w:pPr>
            <w:r>
              <w:rPr>
                <w:rFonts w:cs="Arial"/>
                <w:sz w:val="20"/>
                <w:szCs w:val="20"/>
              </w:rPr>
              <w:t>C03A05</w:t>
            </w:r>
            <w:r w:rsidRPr="00574DAC">
              <w:rPr>
                <w:rFonts w:cs="Arial"/>
                <w:sz w:val="20"/>
                <w:szCs w:val="20"/>
              </w:rPr>
              <w:t xml:space="preserve"> -</w:t>
            </w:r>
            <w:r>
              <w:t xml:space="preserve"> </w:t>
            </w:r>
            <w:r w:rsidRPr="00441989">
              <w:rPr>
                <w:rFonts w:cs="Arial"/>
                <w:sz w:val="20"/>
                <w:szCs w:val="20"/>
              </w:rPr>
              <w:t>Estudiantes en el programa movilidad nacional.</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9B31416" w14:textId="77777777" w:rsidR="00E23746" w:rsidRPr="00A53D97" w:rsidRDefault="00E23746" w:rsidP="000B2F10">
            <w:pPr>
              <w:rPr>
                <w:rFonts w:cs="Arial"/>
                <w:sz w:val="18"/>
                <w:szCs w:val="20"/>
              </w:rPr>
            </w:pPr>
            <w:r w:rsidRPr="00A53D97">
              <w:rPr>
                <w:rFonts w:cs="Arial"/>
                <w:sz w:val="18"/>
                <w:szCs w:val="20"/>
              </w:rPr>
              <w:t xml:space="preserve">Lista de estudiantes inscritos en el programa de movilidad nacional generado por Gestión empresarial. Sistema de registro de estadía profesional: </w:t>
            </w:r>
            <w:hyperlink r:id="rId80" w:history="1">
              <w:r w:rsidRPr="00A53D97">
                <w:rPr>
                  <w:rFonts w:cs="Arial"/>
                  <w:sz w:val="18"/>
                  <w:szCs w:val="20"/>
                </w:rPr>
                <w:t>http://13.1.23.rie.utcancun.edu.mx/index.php/221695?lang=es-MX</w:t>
              </w:r>
            </w:hyperlink>
            <w:r w:rsidRPr="00A53D97">
              <w:rPr>
                <w:rFonts w:cs="Arial"/>
                <w:sz w:val="18"/>
                <w:szCs w:val="20"/>
              </w:rPr>
              <w:t>.</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616609E" w14:textId="77777777" w:rsidR="00E23746" w:rsidRPr="00353B07" w:rsidRDefault="00E23746" w:rsidP="000B2F10">
            <w:pPr>
              <w:rPr>
                <w:rFonts w:cs="Arial"/>
                <w:sz w:val="20"/>
                <w:szCs w:val="20"/>
              </w:rPr>
            </w:pPr>
            <w:r w:rsidRPr="00441989">
              <w:rPr>
                <w:rFonts w:cs="Arial"/>
                <w:sz w:val="20"/>
                <w:szCs w:val="20"/>
              </w:rPr>
              <w:t>Los estudiantes de la UT Cancún participan en las convocatorias de programas de movilidad nacional para estadía profesional.</w:t>
            </w:r>
          </w:p>
        </w:tc>
      </w:tr>
    </w:tbl>
    <w:p w14:paraId="0F314BBF" w14:textId="77777777" w:rsidR="00D36037" w:rsidRDefault="00D36037">
      <w:pPr>
        <w:spacing w:after="0" w:line="240" w:lineRule="auto"/>
        <w:jc w:val="left"/>
      </w:pPr>
      <w:r>
        <w:br w:type="page"/>
      </w:r>
    </w:p>
    <w:tbl>
      <w:tblPr>
        <w:tblW w:w="14170" w:type="dxa"/>
        <w:tblLayout w:type="fixed"/>
        <w:tblCellMar>
          <w:left w:w="70" w:type="dxa"/>
          <w:right w:w="70" w:type="dxa"/>
        </w:tblCellMar>
        <w:tblLook w:val="04A0" w:firstRow="1" w:lastRow="0" w:firstColumn="1" w:lastColumn="0" w:noHBand="0" w:noVBand="1"/>
      </w:tblPr>
      <w:tblGrid>
        <w:gridCol w:w="1269"/>
        <w:gridCol w:w="2834"/>
        <w:gridCol w:w="2836"/>
        <w:gridCol w:w="2269"/>
        <w:gridCol w:w="2835"/>
        <w:gridCol w:w="2127"/>
      </w:tblGrid>
      <w:tr w:rsidR="00E23746" w:rsidRPr="00FD08F8" w14:paraId="337A799E" w14:textId="77777777" w:rsidTr="006B434D">
        <w:trPr>
          <w:trHeight w:val="577"/>
        </w:trPr>
        <w:tc>
          <w:tcPr>
            <w:tcW w:w="1269"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6CA6058F"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lastRenderedPageBreak/>
              <w:t>NIVEL</w:t>
            </w:r>
          </w:p>
        </w:tc>
        <w:tc>
          <w:tcPr>
            <w:tcW w:w="2834" w:type="dxa"/>
            <w:tcBorders>
              <w:top w:val="single" w:sz="4" w:space="0" w:color="auto"/>
              <w:left w:val="nil"/>
              <w:bottom w:val="single" w:sz="4" w:space="0" w:color="auto"/>
              <w:right w:val="single" w:sz="4" w:space="0" w:color="auto"/>
            </w:tcBorders>
            <w:shd w:val="clear" w:color="000000" w:fill="BFBFBF"/>
            <w:vAlign w:val="center"/>
            <w:hideMark/>
          </w:tcPr>
          <w:p w14:paraId="38302BD2"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ALINEACIÓN PED/PD</w:t>
            </w:r>
          </w:p>
        </w:tc>
        <w:tc>
          <w:tcPr>
            <w:tcW w:w="2836" w:type="dxa"/>
            <w:tcBorders>
              <w:top w:val="single" w:sz="4" w:space="0" w:color="auto"/>
              <w:left w:val="nil"/>
              <w:bottom w:val="single" w:sz="4" w:space="0" w:color="auto"/>
              <w:right w:val="single" w:sz="4" w:space="0" w:color="auto"/>
            </w:tcBorders>
            <w:shd w:val="clear" w:color="000000" w:fill="BFBFBF"/>
            <w:vAlign w:val="center"/>
            <w:hideMark/>
          </w:tcPr>
          <w:p w14:paraId="2B0DEE48"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OBJETIVO</w:t>
            </w:r>
          </w:p>
        </w:tc>
        <w:tc>
          <w:tcPr>
            <w:tcW w:w="2269" w:type="dxa"/>
            <w:tcBorders>
              <w:top w:val="single" w:sz="4" w:space="0" w:color="auto"/>
              <w:left w:val="nil"/>
              <w:bottom w:val="single" w:sz="4" w:space="0" w:color="auto"/>
              <w:right w:val="single" w:sz="4" w:space="0" w:color="auto"/>
            </w:tcBorders>
            <w:shd w:val="clear" w:color="000000" w:fill="BFBFBF"/>
            <w:vAlign w:val="center"/>
            <w:hideMark/>
          </w:tcPr>
          <w:p w14:paraId="507B1593"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INDICADOR</w:t>
            </w:r>
          </w:p>
        </w:tc>
        <w:tc>
          <w:tcPr>
            <w:tcW w:w="2835" w:type="dxa"/>
            <w:tcBorders>
              <w:top w:val="single" w:sz="4" w:space="0" w:color="auto"/>
              <w:left w:val="nil"/>
              <w:bottom w:val="single" w:sz="4" w:space="0" w:color="auto"/>
              <w:right w:val="single" w:sz="4" w:space="0" w:color="auto"/>
            </w:tcBorders>
            <w:shd w:val="clear" w:color="000000" w:fill="BFBFBF"/>
            <w:vAlign w:val="center"/>
            <w:hideMark/>
          </w:tcPr>
          <w:p w14:paraId="1CF784F1"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MEDIOS DE VERIFICACIÓN</w:t>
            </w:r>
          </w:p>
        </w:tc>
        <w:tc>
          <w:tcPr>
            <w:tcW w:w="2127" w:type="dxa"/>
            <w:tcBorders>
              <w:top w:val="single" w:sz="4" w:space="0" w:color="auto"/>
              <w:left w:val="nil"/>
              <w:bottom w:val="single" w:sz="4" w:space="0" w:color="auto"/>
              <w:right w:val="single" w:sz="4" w:space="0" w:color="auto"/>
            </w:tcBorders>
            <w:shd w:val="clear" w:color="000000" w:fill="BFBFBF"/>
            <w:vAlign w:val="center"/>
            <w:hideMark/>
          </w:tcPr>
          <w:p w14:paraId="5EB3D18A"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SUPUESTO</w:t>
            </w:r>
          </w:p>
        </w:tc>
      </w:tr>
      <w:tr w:rsidR="00E23746" w:rsidRPr="00FD08F8" w14:paraId="571C5E72" w14:textId="77777777" w:rsidTr="006B434D">
        <w:trPr>
          <w:trHeight w:val="2960"/>
        </w:trPr>
        <w:tc>
          <w:tcPr>
            <w:tcW w:w="1269" w:type="dxa"/>
            <w:tcBorders>
              <w:top w:val="single" w:sz="4" w:space="0" w:color="auto"/>
              <w:left w:val="single" w:sz="4" w:space="0" w:color="auto"/>
              <w:bottom w:val="single" w:sz="4" w:space="0" w:color="auto"/>
              <w:right w:val="single" w:sz="4" w:space="0" w:color="auto"/>
            </w:tcBorders>
            <w:shd w:val="clear" w:color="auto" w:fill="auto"/>
          </w:tcPr>
          <w:p w14:paraId="7C987E1B" w14:textId="77777777" w:rsidR="00E23746" w:rsidRDefault="00E23746" w:rsidP="000B2F10">
            <w:pPr>
              <w:spacing w:after="0" w:line="240" w:lineRule="auto"/>
              <w:rPr>
                <w:rFonts w:eastAsia="Times New Roman" w:cs="Arial"/>
                <w:b/>
                <w:bCs/>
                <w:sz w:val="20"/>
                <w:szCs w:val="20"/>
                <w:lang w:val="es-MX" w:eastAsia="es-MX"/>
              </w:rPr>
            </w:pPr>
            <w:r>
              <w:rPr>
                <w:rFonts w:eastAsia="Times New Roman" w:cs="Arial"/>
                <w:b/>
                <w:bCs/>
                <w:sz w:val="20"/>
                <w:szCs w:val="20"/>
                <w:lang w:val="es-MX" w:eastAsia="es-MX"/>
              </w:rPr>
              <w:t>Actividad</w:t>
            </w:r>
          </w:p>
        </w:tc>
        <w:tc>
          <w:tcPr>
            <w:tcW w:w="2834" w:type="dxa"/>
            <w:tcBorders>
              <w:top w:val="single" w:sz="4" w:space="0" w:color="auto"/>
              <w:left w:val="single" w:sz="4" w:space="0" w:color="auto"/>
              <w:bottom w:val="single" w:sz="4" w:space="0" w:color="auto"/>
              <w:right w:val="single" w:sz="4" w:space="0" w:color="auto"/>
            </w:tcBorders>
            <w:shd w:val="clear" w:color="auto" w:fill="auto"/>
          </w:tcPr>
          <w:p w14:paraId="012ADE9A" w14:textId="77777777" w:rsidR="00E23746" w:rsidRPr="00353B07" w:rsidRDefault="00E23746" w:rsidP="000B2F10">
            <w:pPr>
              <w:rPr>
                <w:rFonts w:cs="Arial"/>
                <w:sz w:val="20"/>
                <w:szCs w:val="20"/>
              </w:rPr>
            </w:pPr>
            <w:r w:rsidRPr="008068DA">
              <w:rPr>
                <w:rFonts w:cs="Arial"/>
                <w:sz w:val="20"/>
                <w:szCs w:val="20"/>
              </w:rPr>
              <w:t>Impulsar la vinculación con instituciones públicas y privadas para la realización del servicio social, prácticas profesionales o su equivalente y modelo dual por parte de los estudiantes de educación superior.</w:t>
            </w:r>
          </w:p>
        </w:tc>
        <w:tc>
          <w:tcPr>
            <w:tcW w:w="2836" w:type="dxa"/>
            <w:tcBorders>
              <w:top w:val="single" w:sz="4" w:space="0" w:color="auto"/>
              <w:left w:val="single" w:sz="4" w:space="0" w:color="auto"/>
              <w:bottom w:val="single" w:sz="4" w:space="0" w:color="auto"/>
              <w:right w:val="single" w:sz="4" w:space="0" w:color="auto"/>
            </w:tcBorders>
            <w:shd w:val="clear" w:color="auto" w:fill="auto"/>
          </w:tcPr>
          <w:p w14:paraId="64AA791C" w14:textId="77777777" w:rsidR="00E23746" w:rsidRPr="00353B07" w:rsidRDefault="00E23746" w:rsidP="000B2F10">
            <w:pPr>
              <w:rPr>
                <w:rFonts w:cs="Arial"/>
                <w:sz w:val="20"/>
                <w:szCs w:val="20"/>
              </w:rPr>
            </w:pPr>
            <w:r>
              <w:rPr>
                <w:rFonts w:cs="Arial"/>
                <w:sz w:val="20"/>
                <w:szCs w:val="20"/>
              </w:rPr>
              <w:t>C03.A06</w:t>
            </w:r>
            <w:r w:rsidRPr="00574DAC">
              <w:rPr>
                <w:rFonts w:cs="Arial"/>
                <w:sz w:val="20"/>
                <w:szCs w:val="20"/>
              </w:rPr>
              <w:t xml:space="preserve"> -</w:t>
            </w:r>
            <w:r w:rsidRPr="00E36A21">
              <w:rPr>
                <w:rFonts w:cs="Arial"/>
                <w:sz w:val="20"/>
                <w:szCs w:val="20"/>
              </w:rPr>
              <w:t xml:space="preserve"> </w:t>
            </w:r>
            <w:r w:rsidRPr="008068DA">
              <w:rPr>
                <w:rFonts w:cs="Arial"/>
                <w:sz w:val="20"/>
                <w:szCs w:val="20"/>
              </w:rPr>
              <w:t>Fomento al Emprendimiento y la Innovación.</w:t>
            </w:r>
          </w:p>
        </w:tc>
        <w:tc>
          <w:tcPr>
            <w:tcW w:w="2269" w:type="dxa"/>
            <w:tcBorders>
              <w:top w:val="single" w:sz="4" w:space="0" w:color="auto"/>
              <w:left w:val="single" w:sz="4" w:space="0" w:color="auto"/>
              <w:bottom w:val="single" w:sz="4" w:space="0" w:color="auto"/>
              <w:right w:val="single" w:sz="4" w:space="0" w:color="auto"/>
            </w:tcBorders>
            <w:shd w:val="clear" w:color="FFFFFF" w:fill="FFFFFF"/>
          </w:tcPr>
          <w:p w14:paraId="7AF505BB" w14:textId="77777777" w:rsidR="00E23746" w:rsidRPr="00353B07" w:rsidRDefault="00E23746" w:rsidP="000B2F10">
            <w:pPr>
              <w:rPr>
                <w:rFonts w:cs="Arial"/>
                <w:sz w:val="20"/>
                <w:szCs w:val="20"/>
              </w:rPr>
            </w:pPr>
            <w:r>
              <w:rPr>
                <w:rFonts w:cs="Arial"/>
                <w:sz w:val="20"/>
                <w:szCs w:val="20"/>
              </w:rPr>
              <w:t>C03A06</w:t>
            </w:r>
            <w:r w:rsidRPr="00574DAC">
              <w:rPr>
                <w:rFonts w:cs="Arial"/>
                <w:sz w:val="20"/>
                <w:szCs w:val="20"/>
              </w:rPr>
              <w:t xml:space="preserve"> -</w:t>
            </w:r>
            <w:r>
              <w:t xml:space="preserve"> </w:t>
            </w:r>
            <w:r w:rsidRPr="008068DA">
              <w:rPr>
                <w:rFonts w:cs="Arial"/>
                <w:sz w:val="20"/>
                <w:szCs w:val="20"/>
              </w:rPr>
              <w:t>Emprendedores y MIPymES apoyadas.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4E9C515" w14:textId="77777777" w:rsidR="00E23746" w:rsidRPr="00353B07" w:rsidRDefault="00E23746" w:rsidP="000B2F10">
            <w:pPr>
              <w:rPr>
                <w:rFonts w:cs="Arial"/>
                <w:sz w:val="20"/>
                <w:szCs w:val="20"/>
              </w:rPr>
            </w:pPr>
            <w:r w:rsidRPr="008068DA">
              <w:rPr>
                <w:rFonts w:cs="Arial"/>
                <w:sz w:val="20"/>
                <w:szCs w:val="20"/>
              </w:rPr>
              <w:t>Listas de emprendedores y/o MIPyMES asesoradas apoyadas en resguardo de la Dirección de Innovación. http://utcancun.edu.mx/vinculacion/ y https://1drv.ms/b/s!AmnQUeaofdaDhWL-IzXaBvGec557?e=NhhCbz</w:t>
            </w:r>
            <w:r>
              <w:rPr>
                <w:rFonts w:cs="Arial"/>
                <w:sz w:val="20"/>
                <w:szCs w:val="20"/>
              </w:rPr>
              <w:t>.</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73A6AB4" w14:textId="77777777" w:rsidR="00E23746" w:rsidRPr="00353B07" w:rsidRDefault="00E23746" w:rsidP="000B2F10">
            <w:pPr>
              <w:rPr>
                <w:rFonts w:cs="Arial"/>
                <w:sz w:val="20"/>
                <w:szCs w:val="20"/>
              </w:rPr>
            </w:pPr>
            <w:r w:rsidRPr="008068DA">
              <w:rPr>
                <w:rFonts w:cs="Arial"/>
                <w:sz w:val="20"/>
                <w:szCs w:val="20"/>
              </w:rPr>
              <w:t>Los estudiantes y egresados se involucran en temas de emprendimiento y de esta manera se impulsa la cultura emprendedora contribuyendo a la diversificación del sector productivo.</w:t>
            </w:r>
          </w:p>
        </w:tc>
      </w:tr>
      <w:tr w:rsidR="00E23746" w:rsidRPr="00FD08F8" w14:paraId="5E9875C9" w14:textId="77777777" w:rsidTr="006B434D">
        <w:trPr>
          <w:trHeight w:val="1117"/>
        </w:trPr>
        <w:tc>
          <w:tcPr>
            <w:tcW w:w="1269" w:type="dxa"/>
            <w:tcBorders>
              <w:top w:val="single" w:sz="4" w:space="0" w:color="auto"/>
              <w:left w:val="single" w:sz="4" w:space="0" w:color="auto"/>
              <w:bottom w:val="single" w:sz="4" w:space="0" w:color="auto"/>
              <w:right w:val="single" w:sz="4" w:space="0" w:color="auto"/>
            </w:tcBorders>
            <w:shd w:val="clear" w:color="auto" w:fill="auto"/>
          </w:tcPr>
          <w:p w14:paraId="76601A32" w14:textId="77777777" w:rsidR="00E23746" w:rsidRDefault="00E23746" w:rsidP="000B2F10">
            <w:pPr>
              <w:spacing w:after="0" w:line="240" w:lineRule="auto"/>
              <w:rPr>
                <w:rFonts w:eastAsia="Times New Roman" w:cs="Arial"/>
                <w:b/>
                <w:bCs/>
                <w:sz w:val="20"/>
                <w:szCs w:val="20"/>
                <w:lang w:val="es-MX" w:eastAsia="es-MX"/>
              </w:rPr>
            </w:pPr>
            <w:r>
              <w:rPr>
                <w:rFonts w:eastAsia="Times New Roman" w:cs="Arial"/>
                <w:b/>
                <w:bCs/>
                <w:sz w:val="20"/>
                <w:szCs w:val="20"/>
                <w:lang w:val="es-MX" w:eastAsia="es-MX"/>
              </w:rPr>
              <w:t>Actividad</w:t>
            </w:r>
          </w:p>
        </w:tc>
        <w:tc>
          <w:tcPr>
            <w:tcW w:w="2834" w:type="dxa"/>
            <w:tcBorders>
              <w:top w:val="single" w:sz="4" w:space="0" w:color="auto"/>
              <w:left w:val="single" w:sz="4" w:space="0" w:color="auto"/>
              <w:bottom w:val="single" w:sz="4" w:space="0" w:color="auto"/>
              <w:right w:val="single" w:sz="4" w:space="0" w:color="auto"/>
            </w:tcBorders>
            <w:shd w:val="clear" w:color="auto" w:fill="auto"/>
          </w:tcPr>
          <w:p w14:paraId="5FD9E7BF" w14:textId="77777777" w:rsidR="00E23746" w:rsidRPr="00353B07" w:rsidRDefault="00E23746" w:rsidP="000B2F10">
            <w:pPr>
              <w:rPr>
                <w:rFonts w:cs="Arial"/>
                <w:sz w:val="20"/>
                <w:szCs w:val="20"/>
              </w:rPr>
            </w:pPr>
            <w:r w:rsidRPr="001F0E82">
              <w:rPr>
                <w:rFonts w:cs="Arial"/>
                <w:sz w:val="20"/>
                <w:szCs w:val="20"/>
              </w:rPr>
              <w:t>Reorientar el programa de becas e incentivos para otorgarlas a alumnos(as) de escasos recursos a fin de que concluyan sus estudios.</w:t>
            </w:r>
          </w:p>
        </w:tc>
        <w:tc>
          <w:tcPr>
            <w:tcW w:w="2836" w:type="dxa"/>
            <w:tcBorders>
              <w:top w:val="single" w:sz="4" w:space="0" w:color="auto"/>
              <w:left w:val="single" w:sz="4" w:space="0" w:color="auto"/>
              <w:bottom w:val="single" w:sz="4" w:space="0" w:color="auto"/>
              <w:right w:val="single" w:sz="4" w:space="0" w:color="auto"/>
            </w:tcBorders>
            <w:shd w:val="clear" w:color="auto" w:fill="auto"/>
          </w:tcPr>
          <w:p w14:paraId="459C86B1" w14:textId="77777777" w:rsidR="00E23746" w:rsidRPr="00353B07" w:rsidRDefault="00E23746" w:rsidP="000B2F10">
            <w:pPr>
              <w:rPr>
                <w:rFonts w:cs="Arial"/>
                <w:sz w:val="20"/>
                <w:szCs w:val="20"/>
              </w:rPr>
            </w:pPr>
            <w:r>
              <w:rPr>
                <w:rFonts w:cs="Arial"/>
                <w:sz w:val="20"/>
                <w:szCs w:val="20"/>
              </w:rPr>
              <w:t>C03.A07</w:t>
            </w:r>
            <w:r w:rsidRPr="00574DAC">
              <w:rPr>
                <w:rFonts w:cs="Arial"/>
                <w:sz w:val="20"/>
                <w:szCs w:val="20"/>
              </w:rPr>
              <w:t xml:space="preserve"> -</w:t>
            </w:r>
            <w:r>
              <w:t xml:space="preserve"> </w:t>
            </w:r>
            <w:r w:rsidRPr="001F0E82">
              <w:rPr>
                <w:rFonts w:cs="Arial"/>
                <w:sz w:val="20"/>
                <w:szCs w:val="20"/>
              </w:rPr>
              <w:t>Participación de estudiantes en los diferentes programas de Becas ofertados.</w:t>
            </w:r>
          </w:p>
        </w:tc>
        <w:tc>
          <w:tcPr>
            <w:tcW w:w="2269" w:type="dxa"/>
            <w:tcBorders>
              <w:top w:val="single" w:sz="4" w:space="0" w:color="auto"/>
              <w:left w:val="single" w:sz="4" w:space="0" w:color="auto"/>
              <w:bottom w:val="single" w:sz="4" w:space="0" w:color="auto"/>
              <w:right w:val="single" w:sz="4" w:space="0" w:color="auto"/>
            </w:tcBorders>
            <w:shd w:val="clear" w:color="FFFFFF" w:fill="FFFFFF"/>
          </w:tcPr>
          <w:p w14:paraId="20E81B41" w14:textId="77777777" w:rsidR="00E23746" w:rsidRPr="00353B07" w:rsidRDefault="00E23746" w:rsidP="000B2F10">
            <w:pPr>
              <w:rPr>
                <w:rFonts w:cs="Arial"/>
                <w:sz w:val="20"/>
                <w:szCs w:val="20"/>
              </w:rPr>
            </w:pPr>
            <w:r>
              <w:rPr>
                <w:rFonts w:cs="Arial"/>
                <w:sz w:val="20"/>
                <w:szCs w:val="20"/>
              </w:rPr>
              <w:t>C03A07</w:t>
            </w:r>
            <w:r w:rsidRPr="00574DAC">
              <w:rPr>
                <w:rFonts w:cs="Arial"/>
                <w:sz w:val="20"/>
                <w:szCs w:val="20"/>
              </w:rPr>
              <w:t xml:space="preserve"> -</w:t>
            </w:r>
            <w:r>
              <w:t xml:space="preserve"> </w:t>
            </w:r>
            <w:r w:rsidRPr="001F0E82">
              <w:rPr>
                <w:rFonts w:cs="Arial"/>
                <w:sz w:val="20"/>
                <w:szCs w:val="20"/>
              </w:rPr>
              <w:t>Porcentaje de estudiantes beneficiados(as) con una beca y que se titularon en su programa educativo.</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36A561F" w14:textId="77777777" w:rsidR="00E23746" w:rsidRPr="00353B07" w:rsidRDefault="00E23746" w:rsidP="000B2F10">
            <w:pPr>
              <w:rPr>
                <w:rFonts w:cs="Arial"/>
                <w:sz w:val="20"/>
                <w:szCs w:val="20"/>
              </w:rPr>
            </w:pPr>
            <w:r w:rsidRPr="001F0E82">
              <w:rPr>
                <w:rFonts w:cs="Arial"/>
                <w:sz w:val="20"/>
                <w:szCs w:val="20"/>
              </w:rPr>
              <w:t>Reporte de Egresados(as) con Becas asignadas (emitido por Coordinación de Becas). Link: http://utcancun.edu.mx/catalogo-de-becas/</w:t>
            </w:r>
            <w:r>
              <w:rPr>
                <w:rFonts w:cs="Arial"/>
                <w:sz w:val="20"/>
                <w:szCs w:val="20"/>
              </w:rPr>
              <w:t>.</w:t>
            </w:r>
            <w:r w:rsidRPr="001F0E82">
              <w:rPr>
                <w:rFonts w:cs="Arial"/>
                <w:sz w:val="20"/>
                <w:szCs w:val="20"/>
              </w:rPr>
              <w:t xml:space="preserve">                             </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1769E02" w14:textId="77777777" w:rsidR="00E23746" w:rsidRPr="00353B07" w:rsidRDefault="00E23746" w:rsidP="000B2F10">
            <w:pPr>
              <w:rPr>
                <w:rFonts w:cs="Arial"/>
                <w:sz w:val="20"/>
                <w:szCs w:val="20"/>
              </w:rPr>
            </w:pPr>
            <w:r w:rsidRPr="001F0E82">
              <w:rPr>
                <w:rFonts w:cs="Arial"/>
                <w:sz w:val="20"/>
                <w:szCs w:val="20"/>
              </w:rPr>
              <w:t>Los estudiantes mantienen un promedio aprobatorio y utilizan de forma eficiente el apoyo de beca recibido.</w:t>
            </w:r>
          </w:p>
        </w:tc>
      </w:tr>
    </w:tbl>
    <w:p w14:paraId="7CF338F5" w14:textId="044B41DC" w:rsidR="00E23746" w:rsidRPr="00E34375" w:rsidRDefault="00E23746" w:rsidP="00FF0F09">
      <w:r w:rsidRPr="0093279A">
        <w:rPr>
          <w:rFonts w:eastAsia="Calibri" w:cs="Arial"/>
          <w:bCs/>
          <w:color w:val="595959" w:themeColor="text1" w:themeTint="A6"/>
          <w:sz w:val="18"/>
          <w:szCs w:val="20"/>
        </w:rPr>
        <w:t>El anexo aquí presentado es perfectible, y se encuentra susceptible de modificaciones programáticas toda vez que así se le indique por observaciones de auditorías, evaluaciones al desempeño y revisiones de la Secretaría de Finanzas y Planeación antes y durante el ejercicio fiscal del que se trate, así como también, cuando las condiciones del Ente Público responsable de dicha información programática requiera hacer modificaciones a sus necesidades institucionales, atendiendo a lo establecido en los Lineamientos para la Creación, Modificación y Cancelación de Programas Presupuestarios y para la Modificación de Metas del Gobierno del Estado de Quintana Roo.</w:t>
      </w:r>
    </w:p>
    <w:p w14:paraId="4F0DA7E7" w14:textId="77777777" w:rsidR="00E23746" w:rsidRDefault="00E23746" w:rsidP="00E23746">
      <w:pPr>
        <w:rPr>
          <w:lang w:val="es-MX" w:eastAsia="en-US"/>
        </w:rPr>
      </w:pPr>
      <w:r>
        <w:rPr>
          <w:lang w:val="es-MX" w:eastAsia="en-US"/>
        </w:rPr>
        <w:br w:type="page"/>
      </w:r>
    </w:p>
    <w:tbl>
      <w:tblPr>
        <w:tblW w:w="14029" w:type="dxa"/>
        <w:tblLayout w:type="fixed"/>
        <w:tblCellMar>
          <w:left w:w="70" w:type="dxa"/>
          <w:right w:w="70" w:type="dxa"/>
        </w:tblCellMar>
        <w:tblLook w:val="04A0" w:firstRow="1" w:lastRow="0" w:firstColumn="1" w:lastColumn="0" w:noHBand="0" w:noVBand="1"/>
      </w:tblPr>
      <w:tblGrid>
        <w:gridCol w:w="1271"/>
        <w:gridCol w:w="2835"/>
        <w:gridCol w:w="2835"/>
        <w:gridCol w:w="2268"/>
        <w:gridCol w:w="2693"/>
        <w:gridCol w:w="2127"/>
      </w:tblGrid>
      <w:tr w:rsidR="00E23746" w:rsidRPr="00FD08F8" w14:paraId="0EB71BAE" w14:textId="77777777" w:rsidTr="000B2F10">
        <w:trPr>
          <w:trHeight w:val="720"/>
        </w:trPr>
        <w:tc>
          <w:tcPr>
            <w:tcW w:w="4106" w:type="dxa"/>
            <w:gridSpan w:val="2"/>
            <w:tcBorders>
              <w:top w:val="single" w:sz="4" w:space="0" w:color="auto"/>
              <w:left w:val="single" w:sz="4" w:space="0" w:color="auto"/>
              <w:bottom w:val="single" w:sz="4" w:space="0" w:color="auto"/>
              <w:right w:val="single" w:sz="4" w:space="0" w:color="000000"/>
            </w:tcBorders>
            <w:shd w:val="clear" w:color="000000" w:fill="BFBFBF"/>
            <w:vAlign w:val="center"/>
            <w:hideMark/>
          </w:tcPr>
          <w:p w14:paraId="59EF1FAF"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lastRenderedPageBreak/>
              <w:t>PROGRAMA PRESUPUESTARIO:</w:t>
            </w:r>
          </w:p>
        </w:tc>
        <w:tc>
          <w:tcPr>
            <w:tcW w:w="9923" w:type="dxa"/>
            <w:gridSpan w:val="4"/>
            <w:tcBorders>
              <w:top w:val="single" w:sz="4" w:space="0" w:color="auto"/>
              <w:left w:val="nil"/>
              <w:bottom w:val="single" w:sz="4" w:space="0" w:color="auto"/>
              <w:right w:val="single" w:sz="4" w:space="0" w:color="auto"/>
            </w:tcBorders>
            <w:shd w:val="clear" w:color="auto" w:fill="auto"/>
            <w:vAlign w:val="center"/>
            <w:hideMark/>
          </w:tcPr>
          <w:p w14:paraId="459F6373" w14:textId="77777777" w:rsidR="00E23746" w:rsidRPr="00FD08F8" w:rsidRDefault="00E23746" w:rsidP="000B2F10">
            <w:pPr>
              <w:spacing w:after="0" w:line="240" w:lineRule="auto"/>
              <w:jc w:val="left"/>
              <w:rPr>
                <w:rFonts w:eastAsia="Times New Roman" w:cs="Arial"/>
                <w:sz w:val="20"/>
                <w:szCs w:val="20"/>
                <w:lang w:val="es-MX" w:eastAsia="es-MX"/>
              </w:rPr>
            </w:pPr>
            <w:r w:rsidRPr="00F7074D">
              <w:rPr>
                <w:rFonts w:eastAsia="Times New Roman" w:cs="Arial"/>
                <w:sz w:val="20"/>
                <w:szCs w:val="20"/>
                <w:lang w:val="es-MX" w:eastAsia="es-MX"/>
              </w:rPr>
              <w:t>Instituto Tecnológico Superior de Felipe Carrillo Puerto</w:t>
            </w:r>
            <w:r>
              <w:rPr>
                <w:rFonts w:eastAsia="Times New Roman" w:cs="Arial"/>
                <w:sz w:val="20"/>
                <w:szCs w:val="20"/>
                <w:lang w:val="es-MX" w:eastAsia="es-MX"/>
              </w:rPr>
              <w:t>.</w:t>
            </w:r>
          </w:p>
        </w:tc>
      </w:tr>
      <w:tr w:rsidR="00E23746" w:rsidRPr="00FD08F8" w14:paraId="06C0E372" w14:textId="77777777" w:rsidTr="000B2F10">
        <w:trPr>
          <w:trHeight w:val="552"/>
        </w:trPr>
        <w:tc>
          <w:tcPr>
            <w:tcW w:w="4106" w:type="dxa"/>
            <w:gridSpan w:val="2"/>
            <w:tcBorders>
              <w:top w:val="single" w:sz="4" w:space="0" w:color="auto"/>
              <w:left w:val="single" w:sz="4" w:space="0" w:color="auto"/>
              <w:bottom w:val="single" w:sz="4" w:space="0" w:color="auto"/>
              <w:right w:val="single" w:sz="4" w:space="0" w:color="000000"/>
            </w:tcBorders>
            <w:shd w:val="clear" w:color="000000" w:fill="BFBFBF"/>
            <w:vAlign w:val="center"/>
            <w:hideMark/>
          </w:tcPr>
          <w:p w14:paraId="21ADA114"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INSTITUCIÓN:</w:t>
            </w:r>
          </w:p>
        </w:tc>
        <w:tc>
          <w:tcPr>
            <w:tcW w:w="9923" w:type="dxa"/>
            <w:gridSpan w:val="4"/>
            <w:tcBorders>
              <w:top w:val="single" w:sz="4" w:space="0" w:color="auto"/>
              <w:left w:val="nil"/>
              <w:bottom w:val="single" w:sz="4" w:space="0" w:color="auto"/>
              <w:right w:val="single" w:sz="4" w:space="0" w:color="auto"/>
            </w:tcBorders>
            <w:shd w:val="clear" w:color="auto" w:fill="auto"/>
            <w:vAlign w:val="center"/>
            <w:hideMark/>
          </w:tcPr>
          <w:p w14:paraId="1D093EF4" w14:textId="77777777" w:rsidR="00E23746" w:rsidRPr="00FD08F8" w:rsidRDefault="00E23746" w:rsidP="000B2F10">
            <w:pPr>
              <w:spacing w:after="0" w:line="240" w:lineRule="auto"/>
              <w:jc w:val="left"/>
              <w:rPr>
                <w:rFonts w:eastAsia="Times New Roman" w:cs="Arial"/>
                <w:sz w:val="20"/>
                <w:szCs w:val="20"/>
                <w:lang w:val="es-MX" w:eastAsia="es-MX"/>
              </w:rPr>
            </w:pPr>
            <w:r w:rsidRPr="00FD08F8">
              <w:rPr>
                <w:rFonts w:eastAsia="Times New Roman" w:cs="Arial"/>
                <w:sz w:val="20"/>
                <w:szCs w:val="20"/>
                <w:lang w:val="es-MX" w:eastAsia="es-MX"/>
              </w:rPr>
              <w:t>1109 Secretaría de Educación de Quintana Roo</w:t>
            </w:r>
            <w:r>
              <w:rPr>
                <w:rFonts w:eastAsia="Times New Roman" w:cs="Arial"/>
                <w:sz w:val="20"/>
                <w:szCs w:val="20"/>
                <w:lang w:val="es-MX" w:eastAsia="es-MX"/>
              </w:rPr>
              <w:t>.</w:t>
            </w:r>
          </w:p>
        </w:tc>
      </w:tr>
      <w:tr w:rsidR="00E23746" w:rsidRPr="00FD08F8" w14:paraId="52B15E2C" w14:textId="77777777" w:rsidTr="000B2F10">
        <w:trPr>
          <w:trHeight w:val="282"/>
        </w:trPr>
        <w:tc>
          <w:tcPr>
            <w:tcW w:w="1271" w:type="dxa"/>
            <w:tcBorders>
              <w:top w:val="nil"/>
              <w:left w:val="nil"/>
              <w:bottom w:val="nil"/>
              <w:right w:val="nil"/>
            </w:tcBorders>
            <w:shd w:val="clear" w:color="auto" w:fill="auto"/>
            <w:hideMark/>
          </w:tcPr>
          <w:p w14:paraId="30E246DC" w14:textId="77777777" w:rsidR="00E23746" w:rsidRPr="00FD08F8" w:rsidRDefault="00E23746" w:rsidP="000B2F10">
            <w:pPr>
              <w:spacing w:after="0" w:line="240" w:lineRule="auto"/>
              <w:jc w:val="left"/>
              <w:rPr>
                <w:rFonts w:eastAsia="Times New Roman" w:cs="Arial"/>
                <w:sz w:val="20"/>
                <w:szCs w:val="20"/>
                <w:lang w:val="es-MX" w:eastAsia="es-MX"/>
              </w:rPr>
            </w:pPr>
          </w:p>
        </w:tc>
        <w:tc>
          <w:tcPr>
            <w:tcW w:w="2835" w:type="dxa"/>
            <w:tcBorders>
              <w:top w:val="nil"/>
              <w:left w:val="nil"/>
              <w:bottom w:val="nil"/>
              <w:right w:val="nil"/>
            </w:tcBorders>
            <w:shd w:val="clear" w:color="auto" w:fill="auto"/>
            <w:hideMark/>
          </w:tcPr>
          <w:p w14:paraId="73C53378" w14:textId="77777777" w:rsidR="00E23746" w:rsidRPr="00FD08F8" w:rsidRDefault="00E23746" w:rsidP="000B2F10">
            <w:pPr>
              <w:spacing w:after="0" w:line="240" w:lineRule="auto"/>
              <w:jc w:val="left"/>
              <w:rPr>
                <w:rFonts w:ascii="Times New Roman" w:eastAsia="Times New Roman" w:hAnsi="Times New Roman" w:cs="Times New Roman"/>
                <w:sz w:val="20"/>
                <w:szCs w:val="20"/>
                <w:lang w:val="es-MX" w:eastAsia="es-MX"/>
              </w:rPr>
            </w:pPr>
          </w:p>
        </w:tc>
        <w:tc>
          <w:tcPr>
            <w:tcW w:w="2835" w:type="dxa"/>
            <w:tcBorders>
              <w:top w:val="nil"/>
              <w:left w:val="nil"/>
              <w:bottom w:val="nil"/>
              <w:right w:val="nil"/>
            </w:tcBorders>
            <w:shd w:val="clear" w:color="auto" w:fill="auto"/>
            <w:hideMark/>
          </w:tcPr>
          <w:p w14:paraId="6F5482B8" w14:textId="77777777" w:rsidR="00E23746" w:rsidRPr="00FD08F8" w:rsidRDefault="00E23746" w:rsidP="000B2F10">
            <w:pPr>
              <w:spacing w:after="0" w:line="240" w:lineRule="auto"/>
              <w:jc w:val="left"/>
              <w:rPr>
                <w:rFonts w:ascii="Times New Roman" w:eastAsia="Times New Roman" w:hAnsi="Times New Roman" w:cs="Times New Roman"/>
                <w:sz w:val="20"/>
                <w:szCs w:val="20"/>
                <w:lang w:val="es-MX" w:eastAsia="es-MX"/>
              </w:rPr>
            </w:pPr>
          </w:p>
        </w:tc>
        <w:tc>
          <w:tcPr>
            <w:tcW w:w="2268" w:type="dxa"/>
            <w:tcBorders>
              <w:top w:val="nil"/>
              <w:left w:val="nil"/>
              <w:bottom w:val="nil"/>
              <w:right w:val="nil"/>
            </w:tcBorders>
            <w:shd w:val="clear" w:color="auto" w:fill="auto"/>
            <w:hideMark/>
          </w:tcPr>
          <w:p w14:paraId="1827BE10" w14:textId="77777777" w:rsidR="00E23746" w:rsidRPr="00FD08F8" w:rsidRDefault="00E23746" w:rsidP="000B2F10">
            <w:pPr>
              <w:spacing w:after="0" w:line="240" w:lineRule="auto"/>
              <w:jc w:val="left"/>
              <w:rPr>
                <w:rFonts w:ascii="Times New Roman" w:eastAsia="Times New Roman" w:hAnsi="Times New Roman" w:cs="Times New Roman"/>
                <w:sz w:val="20"/>
                <w:szCs w:val="20"/>
                <w:lang w:val="es-MX" w:eastAsia="es-MX"/>
              </w:rPr>
            </w:pPr>
          </w:p>
        </w:tc>
        <w:tc>
          <w:tcPr>
            <w:tcW w:w="2693" w:type="dxa"/>
            <w:tcBorders>
              <w:top w:val="nil"/>
              <w:left w:val="nil"/>
              <w:bottom w:val="nil"/>
              <w:right w:val="nil"/>
            </w:tcBorders>
            <w:shd w:val="clear" w:color="auto" w:fill="auto"/>
            <w:hideMark/>
          </w:tcPr>
          <w:p w14:paraId="47B330F9" w14:textId="77777777" w:rsidR="00E23746" w:rsidRPr="00FD08F8" w:rsidRDefault="00E23746" w:rsidP="000B2F10">
            <w:pPr>
              <w:spacing w:after="0" w:line="240" w:lineRule="auto"/>
              <w:jc w:val="left"/>
              <w:rPr>
                <w:rFonts w:ascii="Times New Roman" w:eastAsia="Times New Roman" w:hAnsi="Times New Roman" w:cs="Times New Roman"/>
                <w:sz w:val="20"/>
                <w:szCs w:val="20"/>
                <w:lang w:val="es-MX" w:eastAsia="es-MX"/>
              </w:rPr>
            </w:pPr>
          </w:p>
        </w:tc>
        <w:tc>
          <w:tcPr>
            <w:tcW w:w="2127" w:type="dxa"/>
            <w:tcBorders>
              <w:top w:val="nil"/>
              <w:left w:val="nil"/>
              <w:bottom w:val="nil"/>
              <w:right w:val="nil"/>
            </w:tcBorders>
            <w:shd w:val="clear" w:color="auto" w:fill="auto"/>
            <w:hideMark/>
          </w:tcPr>
          <w:p w14:paraId="406A8D09" w14:textId="77777777" w:rsidR="00E23746" w:rsidRPr="00FD08F8" w:rsidRDefault="00E23746" w:rsidP="000B2F10">
            <w:pPr>
              <w:spacing w:after="0" w:line="240" w:lineRule="auto"/>
              <w:jc w:val="left"/>
              <w:rPr>
                <w:rFonts w:ascii="Times New Roman" w:eastAsia="Times New Roman" w:hAnsi="Times New Roman" w:cs="Times New Roman"/>
                <w:sz w:val="20"/>
                <w:szCs w:val="20"/>
                <w:lang w:val="es-MX" w:eastAsia="es-MX"/>
              </w:rPr>
            </w:pPr>
          </w:p>
        </w:tc>
      </w:tr>
      <w:tr w:rsidR="00E23746" w:rsidRPr="00FD08F8" w14:paraId="55AE2B32" w14:textId="77777777" w:rsidTr="000B2F10">
        <w:trPr>
          <w:trHeight w:val="375"/>
        </w:trPr>
        <w:tc>
          <w:tcPr>
            <w:tcW w:w="14029" w:type="dxa"/>
            <w:gridSpan w:val="6"/>
            <w:tcBorders>
              <w:top w:val="single" w:sz="4" w:space="0" w:color="auto"/>
              <w:left w:val="single" w:sz="4" w:space="0" w:color="auto"/>
              <w:bottom w:val="single" w:sz="4" w:space="0" w:color="auto"/>
              <w:right w:val="single" w:sz="4" w:space="0" w:color="000000"/>
            </w:tcBorders>
            <w:shd w:val="clear" w:color="000000" w:fill="BFBFBF"/>
            <w:vAlign w:val="center"/>
            <w:hideMark/>
          </w:tcPr>
          <w:p w14:paraId="797697E5"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MATRIZ DE INDICADORES PARA RESULTADOS (MIR)</w:t>
            </w:r>
          </w:p>
        </w:tc>
      </w:tr>
      <w:tr w:rsidR="00E23746" w:rsidRPr="00FD08F8" w14:paraId="4A89CDF2" w14:textId="77777777" w:rsidTr="006B434D">
        <w:trPr>
          <w:trHeight w:val="577"/>
        </w:trPr>
        <w:tc>
          <w:tcPr>
            <w:tcW w:w="1271" w:type="dxa"/>
            <w:tcBorders>
              <w:top w:val="nil"/>
              <w:left w:val="single" w:sz="4" w:space="0" w:color="auto"/>
              <w:bottom w:val="single" w:sz="4" w:space="0" w:color="auto"/>
              <w:right w:val="single" w:sz="4" w:space="0" w:color="auto"/>
            </w:tcBorders>
            <w:shd w:val="clear" w:color="000000" w:fill="BFBFBF"/>
            <w:vAlign w:val="center"/>
            <w:hideMark/>
          </w:tcPr>
          <w:p w14:paraId="15BBF283"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NIVEL</w:t>
            </w:r>
          </w:p>
        </w:tc>
        <w:tc>
          <w:tcPr>
            <w:tcW w:w="2835" w:type="dxa"/>
            <w:tcBorders>
              <w:top w:val="nil"/>
              <w:left w:val="nil"/>
              <w:bottom w:val="single" w:sz="4" w:space="0" w:color="auto"/>
              <w:right w:val="single" w:sz="4" w:space="0" w:color="auto"/>
            </w:tcBorders>
            <w:shd w:val="clear" w:color="000000" w:fill="BFBFBF"/>
            <w:vAlign w:val="center"/>
            <w:hideMark/>
          </w:tcPr>
          <w:p w14:paraId="66533ACB"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ALINEACIÓN PED/PD</w:t>
            </w:r>
          </w:p>
        </w:tc>
        <w:tc>
          <w:tcPr>
            <w:tcW w:w="2835" w:type="dxa"/>
            <w:tcBorders>
              <w:top w:val="nil"/>
              <w:left w:val="nil"/>
              <w:bottom w:val="single" w:sz="4" w:space="0" w:color="auto"/>
              <w:right w:val="single" w:sz="4" w:space="0" w:color="auto"/>
            </w:tcBorders>
            <w:shd w:val="clear" w:color="000000" w:fill="BFBFBF"/>
            <w:vAlign w:val="center"/>
            <w:hideMark/>
          </w:tcPr>
          <w:p w14:paraId="22036839"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OBJETIVO</w:t>
            </w:r>
          </w:p>
        </w:tc>
        <w:tc>
          <w:tcPr>
            <w:tcW w:w="2268" w:type="dxa"/>
            <w:tcBorders>
              <w:top w:val="nil"/>
              <w:left w:val="nil"/>
              <w:bottom w:val="single" w:sz="4" w:space="0" w:color="auto"/>
              <w:right w:val="single" w:sz="4" w:space="0" w:color="auto"/>
            </w:tcBorders>
            <w:shd w:val="clear" w:color="000000" w:fill="BFBFBF"/>
            <w:vAlign w:val="center"/>
            <w:hideMark/>
          </w:tcPr>
          <w:p w14:paraId="77C20A73"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INDICADOR</w:t>
            </w:r>
          </w:p>
        </w:tc>
        <w:tc>
          <w:tcPr>
            <w:tcW w:w="2693" w:type="dxa"/>
            <w:tcBorders>
              <w:top w:val="nil"/>
              <w:left w:val="nil"/>
              <w:bottom w:val="single" w:sz="4" w:space="0" w:color="auto"/>
              <w:right w:val="single" w:sz="4" w:space="0" w:color="auto"/>
            </w:tcBorders>
            <w:shd w:val="clear" w:color="000000" w:fill="BFBFBF"/>
            <w:vAlign w:val="center"/>
            <w:hideMark/>
          </w:tcPr>
          <w:p w14:paraId="6A17E35F"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MEDIOS DE VERIFICACIÓN</w:t>
            </w:r>
          </w:p>
        </w:tc>
        <w:tc>
          <w:tcPr>
            <w:tcW w:w="2127" w:type="dxa"/>
            <w:tcBorders>
              <w:top w:val="nil"/>
              <w:left w:val="nil"/>
              <w:bottom w:val="single" w:sz="4" w:space="0" w:color="auto"/>
              <w:right w:val="single" w:sz="4" w:space="0" w:color="auto"/>
            </w:tcBorders>
            <w:shd w:val="clear" w:color="000000" w:fill="BFBFBF"/>
            <w:vAlign w:val="center"/>
            <w:hideMark/>
          </w:tcPr>
          <w:p w14:paraId="317AAE9F"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SUPUESTO</w:t>
            </w:r>
          </w:p>
        </w:tc>
      </w:tr>
      <w:tr w:rsidR="00E23746" w:rsidRPr="00FD08F8" w14:paraId="42167877" w14:textId="77777777" w:rsidTr="006B434D">
        <w:trPr>
          <w:trHeight w:val="2136"/>
        </w:trPr>
        <w:tc>
          <w:tcPr>
            <w:tcW w:w="1271" w:type="dxa"/>
            <w:tcBorders>
              <w:top w:val="single" w:sz="4" w:space="0" w:color="auto"/>
              <w:left w:val="single" w:sz="4" w:space="0" w:color="auto"/>
              <w:bottom w:val="single" w:sz="4" w:space="0" w:color="auto"/>
              <w:right w:val="single" w:sz="4" w:space="0" w:color="auto"/>
            </w:tcBorders>
            <w:shd w:val="clear" w:color="auto" w:fill="auto"/>
            <w:hideMark/>
          </w:tcPr>
          <w:p w14:paraId="23AEA1FF"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Fin</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D896862" w14:textId="77777777" w:rsidR="00E23746" w:rsidRPr="00F5562C" w:rsidRDefault="00E23746" w:rsidP="000B2F10">
            <w:pPr>
              <w:rPr>
                <w:rFonts w:cs="Arial"/>
                <w:sz w:val="20"/>
                <w:szCs w:val="20"/>
              </w:rPr>
            </w:pPr>
            <w:r w:rsidRPr="00F5562C">
              <w:rPr>
                <w:rFonts w:cs="Arial"/>
                <w:sz w:val="20"/>
                <w:szCs w:val="20"/>
              </w:rPr>
              <w:t>Garantizar el acceso y permanencia a una educación inclusiva y de calidad en todos los niveles educativos que promueva en los educandos aprendizajes para la vida.</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B767303" w14:textId="77777777" w:rsidR="00E23746" w:rsidRPr="00F5562C" w:rsidRDefault="00E23746" w:rsidP="000B2F10">
            <w:pPr>
              <w:rPr>
                <w:rFonts w:cs="Arial"/>
                <w:sz w:val="20"/>
                <w:szCs w:val="20"/>
              </w:rPr>
            </w:pPr>
            <w:r w:rsidRPr="00F5562C">
              <w:rPr>
                <w:rFonts w:cs="Arial"/>
                <w:sz w:val="20"/>
                <w:szCs w:val="20"/>
              </w:rPr>
              <w:t>F - Contribuir a garantizar el acceso y permanencia a una educación inclusiva y de calidad en todos los niveles educativos que promueva en los educandos aprendizajes para la vida mediante estrategias de atención a la demanda y permanencia en todos los niveles educativos.</w:t>
            </w:r>
          </w:p>
        </w:tc>
        <w:tc>
          <w:tcPr>
            <w:tcW w:w="2268" w:type="dxa"/>
            <w:tcBorders>
              <w:top w:val="single" w:sz="4" w:space="0" w:color="auto"/>
              <w:left w:val="single" w:sz="4" w:space="0" w:color="auto"/>
              <w:bottom w:val="single" w:sz="4" w:space="0" w:color="auto"/>
              <w:right w:val="single" w:sz="4" w:space="0" w:color="auto"/>
            </w:tcBorders>
            <w:shd w:val="clear" w:color="FFFFFF" w:fill="FFFFFF"/>
          </w:tcPr>
          <w:p w14:paraId="2A26F3DC" w14:textId="77777777" w:rsidR="00E23746" w:rsidRPr="00F5562C" w:rsidRDefault="00E23746" w:rsidP="000B2F10">
            <w:pPr>
              <w:rPr>
                <w:rFonts w:cs="Arial"/>
                <w:sz w:val="20"/>
                <w:szCs w:val="20"/>
              </w:rPr>
            </w:pPr>
            <w:r w:rsidRPr="00F5562C">
              <w:rPr>
                <w:rFonts w:cs="Arial"/>
                <w:sz w:val="20"/>
                <w:szCs w:val="20"/>
              </w:rPr>
              <w:t>Tasa de cobertura estatal de educación  superior.</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3661A7C" w14:textId="77777777" w:rsidR="00E23746" w:rsidRPr="00895E73" w:rsidRDefault="00E23746" w:rsidP="000B2F10">
            <w:pPr>
              <w:rPr>
                <w:rFonts w:cs="Arial"/>
                <w:sz w:val="18"/>
                <w:szCs w:val="20"/>
              </w:rPr>
            </w:pPr>
            <w:r w:rsidRPr="00895E73">
              <w:rPr>
                <w:rFonts w:eastAsia="Times New Roman" w:cs="Arial"/>
                <w:sz w:val="18"/>
                <w:szCs w:val="20"/>
                <w:lang w:val="es-MX" w:eastAsia="es-MX"/>
              </w:rPr>
              <w:t>Estadísticas continúas del formato 911, matrícula de inicio de ciclo escolar, SEQ. Proyecciones de población por edad desplegada, entidad federativa (Quintana Roo) 1970-2050, CONAPO, https://qroo.gob.mx/seq/medios-de-verificacion-de-la-planeacion-anual.</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6F12DF89" w14:textId="77777777" w:rsidR="00E23746" w:rsidRPr="00F5562C" w:rsidRDefault="00E23746" w:rsidP="000B2F10">
            <w:pPr>
              <w:rPr>
                <w:rFonts w:cs="Arial"/>
                <w:sz w:val="20"/>
                <w:szCs w:val="20"/>
              </w:rPr>
            </w:pPr>
            <w:r w:rsidRPr="00F5562C">
              <w:rPr>
                <w:rFonts w:cs="Arial"/>
                <w:sz w:val="20"/>
                <w:szCs w:val="20"/>
              </w:rPr>
              <w:t>La población del Estado obtiene una educación integral de calidad que les permite progresar individual y colectivamente.</w:t>
            </w:r>
          </w:p>
        </w:tc>
      </w:tr>
    </w:tbl>
    <w:p w14:paraId="53D46931" w14:textId="298306D0" w:rsidR="00A366B6" w:rsidRDefault="00A366B6">
      <w:pPr>
        <w:spacing w:after="0" w:line="240" w:lineRule="auto"/>
        <w:jc w:val="left"/>
      </w:pPr>
    </w:p>
    <w:p w14:paraId="22A92B76" w14:textId="77777777" w:rsidR="00A366B6" w:rsidRDefault="00A366B6">
      <w:pPr>
        <w:spacing w:after="0" w:line="240" w:lineRule="auto"/>
        <w:jc w:val="left"/>
      </w:pPr>
      <w:r>
        <w:br w:type="page"/>
      </w:r>
    </w:p>
    <w:tbl>
      <w:tblPr>
        <w:tblW w:w="14029" w:type="dxa"/>
        <w:tblLayout w:type="fixed"/>
        <w:tblCellMar>
          <w:left w:w="70" w:type="dxa"/>
          <w:right w:w="70" w:type="dxa"/>
        </w:tblCellMar>
        <w:tblLook w:val="04A0" w:firstRow="1" w:lastRow="0" w:firstColumn="1" w:lastColumn="0" w:noHBand="0" w:noVBand="1"/>
      </w:tblPr>
      <w:tblGrid>
        <w:gridCol w:w="1413"/>
        <w:gridCol w:w="2693"/>
        <w:gridCol w:w="2835"/>
        <w:gridCol w:w="2268"/>
        <w:gridCol w:w="2693"/>
        <w:gridCol w:w="2127"/>
      </w:tblGrid>
      <w:tr w:rsidR="00E23746" w:rsidRPr="00FD08F8" w14:paraId="281FAF2D" w14:textId="77777777" w:rsidTr="00A366B6">
        <w:trPr>
          <w:trHeight w:val="577"/>
        </w:trPr>
        <w:tc>
          <w:tcPr>
            <w:tcW w:w="1413"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787C7AA9"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lastRenderedPageBreak/>
              <w:t>NIVEL</w:t>
            </w:r>
          </w:p>
        </w:tc>
        <w:tc>
          <w:tcPr>
            <w:tcW w:w="2693" w:type="dxa"/>
            <w:tcBorders>
              <w:top w:val="single" w:sz="4" w:space="0" w:color="auto"/>
              <w:left w:val="nil"/>
              <w:bottom w:val="single" w:sz="4" w:space="0" w:color="auto"/>
              <w:right w:val="single" w:sz="4" w:space="0" w:color="auto"/>
            </w:tcBorders>
            <w:shd w:val="clear" w:color="000000" w:fill="BFBFBF"/>
            <w:vAlign w:val="center"/>
            <w:hideMark/>
          </w:tcPr>
          <w:p w14:paraId="5A7A8F58"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ALINEACIÓN PED/PD</w:t>
            </w:r>
          </w:p>
        </w:tc>
        <w:tc>
          <w:tcPr>
            <w:tcW w:w="2835" w:type="dxa"/>
            <w:tcBorders>
              <w:top w:val="single" w:sz="4" w:space="0" w:color="auto"/>
              <w:left w:val="nil"/>
              <w:bottom w:val="single" w:sz="4" w:space="0" w:color="auto"/>
              <w:right w:val="single" w:sz="4" w:space="0" w:color="auto"/>
            </w:tcBorders>
            <w:shd w:val="clear" w:color="000000" w:fill="BFBFBF"/>
            <w:vAlign w:val="center"/>
            <w:hideMark/>
          </w:tcPr>
          <w:p w14:paraId="2AD9F6D1"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OBJETIVO</w:t>
            </w:r>
          </w:p>
        </w:tc>
        <w:tc>
          <w:tcPr>
            <w:tcW w:w="2268" w:type="dxa"/>
            <w:tcBorders>
              <w:top w:val="single" w:sz="4" w:space="0" w:color="auto"/>
              <w:left w:val="nil"/>
              <w:bottom w:val="single" w:sz="4" w:space="0" w:color="auto"/>
              <w:right w:val="single" w:sz="4" w:space="0" w:color="auto"/>
            </w:tcBorders>
            <w:shd w:val="clear" w:color="000000" w:fill="BFBFBF"/>
            <w:vAlign w:val="center"/>
            <w:hideMark/>
          </w:tcPr>
          <w:p w14:paraId="06DE6D39"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INDICADOR</w:t>
            </w:r>
          </w:p>
        </w:tc>
        <w:tc>
          <w:tcPr>
            <w:tcW w:w="2693" w:type="dxa"/>
            <w:tcBorders>
              <w:top w:val="single" w:sz="4" w:space="0" w:color="auto"/>
              <w:left w:val="nil"/>
              <w:bottom w:val="single" w:sz="4" w:space="0" w:color="auto"/>
              <w:right w:val="single" w:sz="4" w:space="0" w:color="auto"/>
            </w:tcBorders>
            <w:shd w:val="clear" w:color="000000" w:fill="BFBFBF"/>
            <w:vAlign w:val="center"/>
            <w:hideMark/>
          </w:tcPr>
          <w:p w14:paraId="1E10C727"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MEDIOS DE VERIFICACIÓN</w:t>
            </w:r>
          </w:p>
        </w:tc>
        <w:tc>
          <w:tcPr>
            <w:tcW w:w="2127" w:type="dxa"/>
            <w:tcBorders>
              <w:top w:val="single" w:sz="4" w:space="0" w:color="auto"/>
              <w:left w:val="nil"/>
              <w:bottom w:val="single" w:sz="4" w:space="0" w:color="auto"/>
              <w:right w:val="single" w:sz="4" w:space="0" w:color="auto"/>
            </w:tcBorders>
            <w:shd w:val="clear" w:color="000000" w:fill="BFBFBF"/>
            <w:vAlign w:val="center"/>
            <w:hideMark/>
          </w:tcPr>
          <w:p w14:paraId="04B4D36D"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SUPUESTO</w:t>
            </w:r>
          </w:p>
        </w:tc>
      </w:tr>
      <w:tr w:rsidR="00A366B6" w:rsidRPr="00FD08F8" w14:paraId="1672505B" w14:textId="77777777" w:rsidTr="00A366B6">
        <w:trPr>
          <w:trHeight w:val="2412"/>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77A8AEBB" w14:textId="7388A512" w:rsidR="00A366B6" w:rsidRPr="00FD08F8" w:rsidRDefault="00A366B6" w:rsidP="00A366B6">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Propósito</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D442942" w14:textId="5C31A982" w:rsidR="00A366B6" w:rsidRPr="00EB7664" w:rsidRDefault="00A366B6" w:rsidP="00A366B6">
            <w:pPr>
              <w:rPr>
                <w:rFonts w:cs="Arial"/>
                <w:sz w:val="20"/>
                <w:szCs w:val="20"/>
              </w:rPr>
            </w:pPr>
            <w:r w:rsidRPr="00F5562C">
              <w:rPr>
                <w:rFonts w:cs="Arial"/>
                <w:sz w:val="20"/>
                <w:szCs w:val="20"/>
              </w:rPr>
              <w:t>Asegurar la calidad de la formación profesional a través de programas y proyectos que favorezcan la continuidad y conclusión de los estudiantes de educación superior, acorde a las necesidades que requiere el desarrollo social y económico del estado.</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AEF7D0D" w14:textId="7840D7BC" w:rsidR="00A366B6" w:rsidRPr="00574DAC" w:rsidRDefault="00A366B6" w:rsidP="00A366B6">
            <w:pPr>
              <w:rPr>
                <w:rFonts w:cs="Arial"/>
                <w:sz w:val="20"/>
                <w:szCs w:val="20"/>
              </w:rPr>
            </w:pPr>
            <w:r w:rsidRPr="00F5562C">
              <w:rPr>
                <w:rFonts w:cs="Arial"/>
                <w:sz w:val="20"/>
                <w:szCs w:val="20"/>
              </w:rPr>
              <w:t>P - Los alumnos de educación superior aseguran la continuidad y conclusión de sus estudios a través de programas y proyectos que favorezcan la calidad de la formación profesional.</w:t>
            </w:r>
          </w:p>
        </w:tc>
        <w:tc>
          <w:tcPr>
            <w:tcW w:w="2268" w:type="dxa"/>
            <w:tcBorders>
              <w:top w:val="single" w:sz="4" w:space="0" w:color="auto"/>
              <w:left w:val="single" w:sz="4" w:space="0" w:color="auto"/>
              <w:bottom w:val="single" w:sz="4" w:space="0" w:color="auto"/>
              <w:right w:val="single" w:sz="4" w:space="0" w:color="auto"/>
            </w:tcBorders>
            <w:shd w:val="clear" w:color="FFFFFF" w:fill="FFFFFF"/>
          </w:tcPr>
          <w:p w14:paraId="309D3EC7" w14:textId="6AA13CA2" w:rsidR="00A366B6" w:rsidRPr="00574DAC" w:rsidRDefault="00A366B6" w:rsidP="00A366B6">
            <w:pPr>
              <w:rPr>
                <w:rFonts w:cs="Arial"/>
                <w:sz w:val="20"/>
                <w:szCs w:val="20"/>
              </w:rPr>
            </w:pPr>
            <w:r w:rsidRPr="00F5562C">
              <w:rPr>
                <w:rFonts w:cs="Arial"/>
                <w:sz w:val="20"/>
                <w:szCs w:val="20"/>
              </w:rPr>
              <w:t>Tasa de eficiencia terminal de educación superior.</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B7E3714" w14:textId="469FFE13" w:rsidR="00A366B6" w:rsidRPr="00EB7664" w:rsidRDefault="00A366B6" w:rsidP="00A366B6">
            <w:pPr>
              <w:rPr>
                <w:rFonts w:cs="Arial"/>
                <w:sz w:val="20"/>
                <w:szCs w:val="20"/>
              </w:rPr>
            </w:pPr>
            <w:r w:rsidRPr="00F5562C">
              <w:rPr>
                <w:rFonts w:cs="Arial"/>
                <w:sz w:val="20"/>
                <w:szCs w:val="20"/>
              </w:rPr>
              <w:t>Estadísticas continúas del formato 911 inicio de ciclo escolar, SEQ.Liga:qroo.gob.mx/seq/medios-de-verificacion-de-la-planeacion-anual.</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413CB7D" w14:textId="02E2F5F9" w:rsidR="00A366B6" w:rsidRPr="00EB7664" w:rsidRDefault="00A366B6" w:rsidP="00A366B6">
            <w:pPr>
              <w:rPr>
                <w:rFonts w:cs="Arial"/>
                <w:sz w:val="20"/>
                <w:szCs w:val="20"/>
              </w:rPr>
            </w:pPr>
            <w:r w:rsidRPr="00EB7664">
              <w:rPr>
                <w:rFonts w:cs="Arial"/>
                <w:sz w:val="20"/>
                <w:szCs w:val="20"/>
              </w:rPr>
              <w:t>Los alumnos de educación superior concluyen sus estudios</w:t>
            </w:r>
            <w:r>
              <w:rPr>
                <w:rFonts w:cs="Arial"/>
                <w:sz w:val="20"/>
                <w:szCs w:val="20"/>
              </w:rPr>
              <w:t>.</w:t>
            </w:r>
          </w:p>
        </w:tc>
      </w:tr>
      <w:tr w:rsidR="00E23746" w:rsidRPr="00FD08F8" w14:paraId="7BA360E2" w14:textId="77777777" w:rsidTr="00A366B6">
        <w:trPr>
          <w:trHeight w:val="2412"/>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14:paraId="62901C20"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Componente</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D93DC1A" w14:textId="77777777" w:rsidR="00E23746" w:rsidRPr="00EB7664" w:rsidRDefault="00E23746" w:rsidP="000B2F10">
            <w:pPr>
              <w:rPr>
                <w:rFonts w:cs="Arial"/>
                <w:sz w:val="20"/>
                <w:szCs w:val="20"/>
              </w:rPr>
            </w:pPr>
            <w:r w:rsidRPr="00EB7664">
              <w:rPr>
                <w:rFonts w:cs="Arial"/>
                <w:sz w:val="20"/>
                <w:szCs w:val="20"/>
              </w:rPr>
              <w:t>Fortalecer la oferta educativa de las instituciones de educación superior para asegurar la pertinencia con base en las necesidades de la entidad.</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C6FC18A" w14:textId="77777777" w:rsidR="00E23746" w:rsidRPr="00EB7664" w:rsidRDefault="00E23746" w:rsidP="000B2F10">
            <w:pPr>
              <w:rPr>
                <w:rFonts w:cs="Arial"/>
                <w:sz w:val="20"/>
                <w:szCs w:val="20"/>
              </w:rPr>
            </w:pPr>
            <w:r w:rsidRPr="00574DAC">
              <w:rPr>
                <w:rFonts w:cs="Arial"/>
                <w:sz w:val="20"/>
                <w:szCs w:val="20"/>
              </w:rPr>
              <w:t>C01</w:t>
            </w:r>
            <w:r>
              <w:rPr>
                <w:rFonts w:cs="Arial"/>
                <w:sz w:val="20"/>
                <w:szCs w:val="20"/>
              </w:rPr>
              <w:t xml:space="preserve"> </w:t>
            </w:r>
            <w:r w:rsidRPr="00574DAC">
              <w:rPr>
                <w:rFonts w:cs="Arial"/>
                <w:sz w:val="20"/>
                <w:szCs w:val="20"/>
              </w:rPr>
              <w:t xml:space="preserve">- </w:t>
            </w:r>
            <w:r w:rsidRPr="00EB7664">
              <w:rPr>
                <w:rFonts w:cs="Arial"/>
                <w:sz w:val="20"/>
                <w:szCs w:val="20"/>
              </w:rPr>
              <w:t>Educación superior con calidad y pertinencia impartida.</w:t>
            </w:r>
          </w:p>
        </w:tc>
        <w:tc>
          <w:tcPr>
            <w:tcW w:w="2268" w:type="dxa"/>
            <w:tcBorders>
              <w:top w:val="single" w:sz="4" w:space="0" w:color="auto"/>
              <w:left w:val="single" w:sz="4" w:space="0" w:color="auto"/>
              <w:bottom w:val="single" w:sz="4" w:space="0" w:color="auto"/>
              <w:right w:val="single" w:sz="4" w:space="0" w:color="auto"/>
            </w:tcBorders>
            <w:shd w:val="clear" w:color="FFFFFF" w:fill="FFFFFF"/>
          </w:tcPr>
          <w:p w14:paraId="26609AC9" w14:textId="77777777" w:rsidR="00E23746" w:rsidRPr="00EB7664" w:rsidRDefault="00E23746" w:rsidP="000B2F10">
            <w:pPr>
              <w:rPr>
                <w:rFonts w:cs="Arial"/>
                <w:sz w:val="20"/>
                <w:szCs w:val="20"/>
              </w:rPr>
            </w:pPr>
            <w:r w:rsidRPr="00574DAC">
              <w:rPr>
                <w:rFonts w:cs="Arial"/>
                <w:sz w:val="20"/>
                <w:szCs w:val="20"/>
              </w:rPr>
              <w:t>C01</w:t>
            </w:r>
            <w:r>
              <w:rPr>
                <w:rFonts w:cs="Arial"/>
                <w:sz w:val="20"/>
                <w:szCs w:val="20"/>
              </w:rPr>
              <w:t xml:space="preserve"> </w:t>
            </w:r>
            <w:r w:rsidRPr="00574DAC">
              <w:rPr>
                <w:rFonts w:cs="Arial"/>
                <w:sz w:val="20"/>
                <w:szCs w:val="20"/>
              </w:rPr>
              <w:t xml:space="preserve">- </w:t>
            </w:r>
            <w:r w:rsidRPr="00EB7664">
              <w:rPr>
                <w:rFonts w:cs="Arial"/>
                <w:sz w:val="20"/>
                <w:szCs w:val="20"/>
              </w:rPr>
              <w:t>Matrícula atendida</w:t>
            </w:r>
            <w:r>
              <w:rPr>
                <w:rFonts w:cs="Arial"/>
                <w:sz w:val="20"/>
                <w:szCs w:val="20"/>
              </w:rPr>
              <w:t>.</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31EC7B7" w14:textId="77777777" w:rsidR="00E23746" w:rsidRPr="00EB7664" w:rsidRDefault="00E23746" w:rsidP="000B2F10">
            <w:pPr>
              <w:rPr>
                <w:rFonts w:cs="Arial"/>
                <w:sz w:val="20"/>
                <w:szCs w:val="20"/>
              </w:rPr>
            </w:pPr>
            <w:r w:rsidRPr="00EB7664">
              <w:rPr>
                <w:rFonts w:cs="Arial"/>
                <w:sz w:val="20"/>
                <w:szCs w:val="20"/>
              </w:rPr>
              <w:t>Informe de la Honorable Junta Directiva, Dirección General, ITSFCP. http://itscarrillopuerto.edu.mx/v4.0/</w:t>
            </w:r>
            <w:r>
              <w:rPr>
                <w:rFonts w:cs="Arial"/>
                <w:sz w:val="20"/>
                <w:szCs w:val="20"/>
              </w:rPr>
              <w:t>.</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EE0A840" w14:textId="77777777" w:rsidR="00E23746" w:rsidRPr="00EB7664" w:rsidRDefault="00E23746" w:rsidP="000B2F10">
            <w:pPr>
              <w:rPr>
                <w:rFonts w:cs="Arial"/>
                <w:sz w:val="20"/>
                <w:szCs w:val="20"/>
              </w:rPr>
            </w:pPr>
            <w:r w:rsidRPr="00EB7664">
              <w:rPr>
                <w:rFonts w:cs="Arial"/>
                <w:sz w:val="20"/>
                <w:szCs w:val="20"/>
              </w:rPr>
              <w:t>Los estudiantes que egresan del nivel educativo medio superior continúan sus estudios</w:t>
            </w:r>
            <w:r>
              <w:rPr>
                <w:rFonts w:cs="Arial"/>
                <w:sz w:val="20"/>
                <w:szCs w:val="20"/>
              </w:rPr>
              <w:t xml:space="preserve"> de tipo superior en la Entidad.</w:t>
            </w:r>
          </w:p>
        </w:tc>
      </w:tr>
    </w:tbl>
    <w:p w14:paraId="7375F60F" w14:textId="77777777" w:rsidR="00D36037" w:rsidRDefault="00D36037">
      <w:pPr>
        <w:spacing w:after="0" w:line="240" w:lineRule="auto"/>
        <w:jc w:val="left"/>
      </w:pPr>
      <w:r>
        <w:br w:type="page"/>
      </w:r>
    </w:p>
    <w:tbl>
      <w:tblPr>
        <w:tblW w:w="14029" w:type="dxa"/>
        <w:tblLayout w:type="fixed"/>
        <w:tblCellMar>
          <w:left w:w="70" w:type="dxa"/>
          <w:right w:w="70" w:type="dxa"/>
        </w:tblCellMar>
        <w:tblLook w:val="04A0" w:firstRow="1" w:lastRow="0" w:firstColumn="1" w:lastColumn="0" w:noHBand="0" w:noVBand="1"/>
      </w:tblPr>
      <w:tblGrid>
        <w:gridCol w:w="1271"/>
        <w:gridCol w:w="2835"/>
        <w:gridCol w:w="2835"/>
        <w:gridCol w:w="2268"/>
        <w:gridCol w:w="2693"/>
        <w:gridCol w:w="2127"/>
      </w:tblGrid>
      <w:tr w:rsidR="00E23746" w:rsidRPr="00FD08F8" w14:paraId="70BE6E88" w14:textId="77777777" w:rsidTr="006B434D">
        <w:trPr>
          <w:trHeight w:val="577"/>
        </w:trPr>
        <w:tc>
          <w:tcPr>
            <w:tcW w:w="1271"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40B6E418"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lastRenderedPageBreak/>
              <w:t>NIVEL</w:t>
            </w:r>
          </w:p>
        </w:tc>
        <w:tc>
          <w:tcPr>
            <w:tcW w:w="2835" w:type="dxa"/>
            <w:tcBorders>
              <w:top w:val="single" w:sz="4" w:space="0" w:color="auto"/>
              <w:left w:val="nil"/>
              <w:bottom w:val="single" w:sz="4" w:space="0" w:color="auto"/>
              <w:right w:val="single" w:sz="4" w:space="0" w:color="auto"/>
            </w:tcBorders>
            <w:shd w:val="clear" w:color="000000" w:fill="BFBFBF"/>
            <w:vAlign w:val="center"/>
            <w:hideMark/>
          </w:tcPr>
          <w:p w14:paraId="4359389F"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ALINEACIÓN PED/PD</w:t>
            </w:r>
          </w:p>
        </w:tc>
        <w:tc>
          <w:tcPr>
            <w:tcW w:w="2835" w:type="dxa"/>
            <w:tcBorders>
              <w:top w:val="single" w:sz="4" w:space="0" w:color="auto"/>
              <w:left w:val="nil"/>
              <w:bottom w:val="single" w:sz="4" w:space="0" w:color="auto"/>
              <w:right w:val="single" w:sz="4" w:space="0" w:color="auto"/>
            </w:tcBorders>
            <w:shd w:val="clear" w:color="000000" w:fill="BFBFBF"/>
            <w:vAlign w:val="center"/>
            <w:hideMark/>
          </w:tcPr>
          <w:p w14:paraId="50DE05AD"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OBJETIVO</w:t>
            </w:r>
          </w:p>
        </w:tc>
        <w:tc>
          <w:tcPr>
            <w:tcW w:w="2268" w:type="dxa"/>
            <w:tcBorders>
              <w:top w:val="single" w:sz="4" w:space="0" w:color="auto"/>
              <w:left w:val="nil"/>
              <w:bottom w:val="single" w:sz="4" w:space="0" w:color="auto"/>
              <w:right w:val="single" w:sz="4" w:space="0" w:color="auto"/>
            </w:tcBorders>
            <w:shd w:val="clear" w:color="000000" w:fill="BFBFBF"/>
            <w:vAlign w:val="center"/>
            <w:hideMark/>
          </w:tcPr>
          <w:p w14:paraId="708C967C"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INDICADOR</w:t>
            </w:r>
          </w:p>
        </w:tc>
        <w:tc>
          <w:tcPr>
            <w:tcW w:w="2693" w:type="dxa"/>
            <w:tcBorders>
              <w:top w:val="single" w:sz="4" w:space="0" w:color="auto"/>
              <w:left w:val="nil"/>
              <w:bottom w:val="single" w:sz="4" w:space="0" w:color="auto"/>
              <w:right w:val="single" w:sz="4" w:space="0" w:color="auto"/>
            </w:tcBorders>
            <w:shd w:val="clear" w:color="000000" w:fill="BFBFBF"/>
            <w:vAlign w:val="center"/>
            <w:hideMark/>
          </w:tcPr>
          <w:p w14:paraId="5C760EAD"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MEDIOS DE VERIFICACIÓN</w:t>
            </w:r>
          </w:p>
        </w:tc>
        <w:tc>
          <w:tcPr>
            <w:tcW w:w="2127" w:type="dxa"/>
            <w:tcBorders>
              <w:top w:val="single" w:sz="4" w:space="0" w:color="auto"/>
              <w:left w:val="nil"/>
              <w:bottom w:val="single" w:sz="4" w:space="0" w:color="auto"/>
              <w:right w:val="single" w:sz="4" w:space="0" w:color="auto"/>
            </w:tcBorders>
            <w:shd w:val="clear" w:color="000000" w:fill="BFBFBF"/>
            <w:vAlign w:val="center"/>
            <w:hideMark/>
          </w:tcPr>
          <w:p w14:paraId="381DF7F6"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SUPUESTO</w:t>
            </w:r>
          </w:p>
        </w:tc>
      </w:tr>
      <w:tr w:rsidR="00EF09EC" w:rsidRPr="00FD08F8" w14:paraId="03935D91" w14:textId="77777777" w:rsidTr="006B434D">
        <w:trPr>
          <w:trHeight w:val="2412"/>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497F930A" w14:textId="612D68BE" w:rsidR="00EF09EC" w:rsidRPr="00FD08F8" w:rsidRDefault="00EF09EC" w:rsidP="00EF09EC">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Actividad</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E38D00F" w14:textId="261821E8" w:rsidR="00EF09EC" w:rsidRPr="003D7AB5" w:rsidRDefault="00EF09EC" w:rsidP="00EF09EC">
            <w:pPr>
              <w:rPr>
                <w:rFonts w:cs="Arial"/>
                <w:sz w:val="20"/>
                <w:szCs w:val="20"/>
              </w:rPr>
            </w:pPr>
            <w:r w:rsidRPr="00F7074D">
              <w:rPr>
                <w:rFonts w:eastAsia="Times New Roman" w:cs="Arial"/>
                <w:sz w:val="20"/>
                <w:szCs w:val="20"/>
                <w:lang w:val="es-MX" w:eastAsia="es-MX"/>
              </w:rPr>
              <w:t>Fortalecer la oferta educativa de las instituciones de educación superior para asegurar la pertinencia con base en las necesidades de la entidad.</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49298BB" w14:textId="06D995CE" w:rsidR="00EF09EC" w:rsidRPr="00574DAC" w:rsidRDefault="00EF09EC" w:rsidP="00EF09EC">
            <w:pPr>
              <w:rPr>
                <w:rFonts w:cs="Arial"/>
                <w:sz w:val="20"/>
                <w:szCs w:val="20"/>
              </w:rPr>
            </w:pPr>
            <w:r w:rsidRPr="00574DAC">
              <w:rPr>
                <w:rFonts w:cs="Arial"/>
                <w:sz w:val="20"/>
                <w:szCs w:val="20"/>
              </w:rPr>
              <w:t xml:space="preserve">C01.A01 - </w:t>
            </w:r>
            <w:r w:rsidRPr="00F7074D">
              <w:rPr>
                <w:rFonts w:eastAsia="Times New Roman" w:cs="Arial"/>
                <w:sz w:val="20"/>
                <w:szCs w:val="20"/>
                <w:lang w:val="es-MX" w:eastAsia="es-MX"/>
              </w:rPr>
              <w:t>Captación de alumnos de nuevo ingreso</w:t>
            </w:r>
            <w:r>
              <w:rPr>
                <w:rFonts w:eastAsia="Times New Roman" w:cs="Arial"/>
                <w:sz w:val="20"/>
                <w:szCs w:val="20"/>
                <w:lang w:val="es-MX" w:eastAsia="es-MX"/>
              </w:rPr>
              <w:t>.</w:t>
            </w:r>
          </w:p>
        </w:tc>
        <w:tc>
          <w:tcPr>
            <w:tcW w:w="2268" w:type="dxa"/>
            <w:tcBorders>
              <w:top w:val="single" w:sz="4" w:space="0" w:color="auto"/>
              <w:left w:val="single" w:sz="4" w:space="0" w:color="auto"/>
              <w:bottom w:val="single" w:sz="4" w:space="0" w:color="auto"/>
              <w:right w:val="single" w:sz="4" w:space="0" w:color="auto"/>
            </w:tcBorders>
            <w:shd w:val="clear" w:color="FFFFFF" w:fill="FFFFFF"/>
          </w:tcPr>
          <w:p w14:paraId="26FA0A23" w14:textId="6454AF1D" w:rsidR="00EF09EC" w:rsidRPr="00574DAC" w:rsidRDefault="00EF09EC" w:rsidP="00EF09EC">
            <w:pPr>
              <w:rPr>
                <w:rFonts w:cs="Arial"/>
                <w:sz w:val="20"/>
                <w:szCs w:val="20"/>
              </w:rPr>
            </w:pPr>
            <w:r>
              <w:rPr>
                <w:rFonts w:cs="Arial"/>
                <w:sz w:val="20"/>
                <w:szCs w:val="20"/>
              </w:rPr>
              <w:t>C01A01</w:t>
            </w:r>
            <w:r w:rsidRPr="00574DAC">
              <w:rPr>
                <w:rFonts w:cs="Arial"/>
                <w:sz w:val="20"/>
                <w:szCs w:val="20"/>
              </w:rPr>
              <w:t xml:space="preserve"> - </w:t>
            </w:r>
            <w:r w:rsidRPr="00F7074D">
              <w:rPr>
                <w:rFonts w:eastAsia="Times New Roman" w:cs="Arial"/>
                <w:sz w:val="20"/>
                <w:szCs w:val="20"/>
                <w:lang w:val="es-MX" w:eastAsia="es-MX"/>
              </w:rPr>
              <w:t>Porcentaje de alumnos de nuevo ingreso inscritos en Programas Educativos ofertados de calidad y pertinencia impartida</w:t>
            </w:r>
            <w:r>
              <w:rPr>
                <w:rFonts w:eastAsia="Times New Roman" w:cs="Arial"/>
                <w:sz w:val="20"/>
                <w:szCs w:val="20"/>
                <w:lang w:val="es-MX" w:eastAsia="es-MX"/>
              </w:rPr>
              <w:t>.</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163B023" w14:textId="1FCEDCFB" w:rsidR="00EF09EC" w:rsidRPr="003D7AB5" w:rsidRDefault="00EF09EC" w:rsidP="00EF09EC">
            <w:pPr>
              <w:rPr>
                <w:rFonts w:cs="Arial"/>
                <w:sz w:val="20"/>
                <w:szCs w:val="20"/>
              </w:rPr>
            </w:pPr>
            <w:r w:rsidRPr="00EB7664">
              <w:rPr>
                <w:rFonts w:cs="Arial"/>
                <w:sz w:val="20"/>
                <w:szCs w:val="20"/>
              </w:rPr>
              <w:t xml:space="preserve">Informe de la Honorable Junta Directiva, Dirección General, ITSFCP. </w:t>
            </w:r>
            <w:hyperlink r:id="rId81" w:history="1">
              <w:r w:rsidRPr="00EB7664">
                <w:rPr>
                  <w:rFonts w:cs="Arial"/>
                  <w:sz w:val="20"/>
                  <w:szCs w:val="20"/>
                </w:rPr>
                <w:t>http://itscarrillopuerto.edu.mx/v4.0/</w:t>
              </w:r>
            </w:hyperlink>
            <w:r>
              <w:rPr>
                <w:rFonts w:cs="Arial"/>
                <w:sz w:val="20"/>
                <w:szCs w:val="20"/>
              </w:rPr>
              <w:t>.</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8691D3C" w14:textId="5E003CCF" w:rsidR="00EF09EC" w:rsidRPr="003D7AB5" w:rsidRDefault="00EF09EC" w:rsidP="00EF09EC">
            <w:pPr>
              <w:rPr>
                <w:rFonts w:cs="Arial"/>
                <w:sz w:val="20"/>
                <w:szCs w:val="20"/>
              </w:rPr>
            </w:pPr>
            <w:r w:rsidRPr="00F7074D">
              <w:rPr>
                <w:rFonts w:eastAsia="Times New Roman" w:cs="Arial"/>
                <w:sz w:val="20"/>
                <w:szCs w:val="20"/>
                <w:lang w:val="es-MX" w:eastAsia="es-MX"/>
              </w:rPr>
              <w:t>Los alumnos se inscriben en Programas Educativos ofertados reconocidos por su calidad y pertinencia impartida</w:t>
            </w:r>
            <w:r>
              <w:rPr>
                <w:rFonts w:eastAsia="Times New Roman" w:cs="Arial"/>
                <w:sz w:val="20"/>
                <w:szCs w:val="20"/>
                <w:lang w:val="es-MX" w:eastAsia="es-MX"/>
              </w:rPr>
              <w:t>.</w:t>
            </w:r>
            <w:r w:rsidRPr="00F7074D">
              <w:rPr>
                <w:rFonts w:eastAsia="Times New Roman" w:cs="Arial"/>
                <w:sz w:val="20"/>
                <w:szCs w:val="20"/>
                <w:lang w:val="es-MX" w:eastAsia="es-MX"/>
              </w:rPr>
              <w:t xml:space="preserve">  </w:t>
            </w:r>
          </w:p>
        </w:tc>
      </w:tr>
      <w:tr w:rsidR="00EF09EC" w:rsidRPr="00FD08F8" w14:paraId="234F31C7" w14:textId="77777777" w:rsidTr="006B434D">
        <w:trPr>
          <w:trHeight w:val="2412"/>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51694A9B" w14:textId="0A0F9906" w:rsidR="00EF09EC" w:rsidRPr="00FD08F8" w:rsidRDefault="00EF09EC" w:rsidP="00EF09EC">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Actividad</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F6004AF" w14:textId="136E2824" w:rsidR="00EF09EC" w:rsidRPr="003D7AB5" w:rsidRDefault="00EF09EC" w:rsidP="00EF09EC">
            <w:pPr>
              <w:rPr>
                <w:rFonts w:cs="Arial"/>
                <w:sz w:val="20"/>
                <w:szCs w:val="20"/>
              </w:rPr>
            </w:pPr>
            <w:r w:rsidRPr="003D7AB5">
              <w:rPr>
                <w:rFonts w:cs="Arial"/>
                <w:sz w:val="20"/>
                <w:szCs w:val="20"/>
              </w:rPr>
              <w:t>Fortalecer los programas de asesoría, tutoría y de acompañamiento académico, programas de becas y apoyos,  a fin de elevar el desempeño académico, permanencia escolar y la eficiencia terminal.</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1A08863" w14:textId="04069FF5" w:rsidR="00EF09EC" w:rsidRPr="00574DAC" w:rsidRDefault="00EF09EC" w:rsidP="00EF09EC">
            <w:pPr>
              <w:rPr>
                <w:rFonts w:cs="Arial"/>
                <w:sz w:val="20"/>
                <w:szCs w:val="20"/>
              </w:rPr>
            </w:pPr>
            <w:r w:rsidRPr="00574DAC">
              <w:rPr>
                <w:rFonts w:cs="Arial"/>
                <w:sz w:val="20"/>
                <w:szCs w:val="20"/>
              </w:rPr>
              <w:t xml:space="preserve">C01.A02 - </w:t>
            </w:r>
            <w:r w:rsidRPr="003D7AB5">
              <w:rPr>
                <w:rFonts w:cs="Arial"/>
                <w:sz w:val="20"/>
                <w:szCs w:val="20"/>
              </w:rPr>
              <w:t>Fortalecimiento de programas institucionales de  asesoría, tutoría y de acompañamiento académico.</w:t>
            </w:r>
          </w:p>
        </w:tc>
        <w:tc>
          <w:tcPr>
            <w:tcW w:w="2268" w:type="dxa"/>
            <w:tcBorders>
              <w:top w:val="single" w:sz="4" w:space="0" w:color="auto"/>
              <w:left w:val="single" w:sz="4" w:space="0" w:color="auto"/>
              <w:bottom w:val="single" w:sz="4" w:space="0" w:color="auto"/>
              <w:right w:val="single" w:sz="4" w:space="0" w:color="auto"/>
            </w:tcBorders>
            <w:shd w:val="clear" w:color="FFFFFF" w:fill="FFFFFF"/>
          </w:tcPr>
          <w:p w14:paraId="769D1D7F" w14:textId="0D333A4C" w:rsidR="00EF09EC" w:rsidRPr="00574DAC" w:rsidRDefault="00EF09EC" w:rsidP="00EF09EC">
            <w:pPr>
              <w:rPr>
                <w:rFonts w:cs="Arial"/>
                <w:sz w:val="20"/>
                <w:szCs w:val="20"/>
              </w:rPr>
            </w:pPr>
            <w:r w:rsidRPr="00574DAC">
              <w:rPr>
                <w:rFonts w:cs="Arial"/>
                <w:sz w:val="20"/>
                <w:szCs w:val="20"/>
              </w:rPr>
              <w:t xml:space="preserve">C01A02 - </w:t>
            </w:r>
            <w:r w:rsidRPr="003D7AB5">
              <w:rPr>
                <w:rFonts w:cs="Arial"/>
                <w:sz w:val="20"/>
                <w:szCs w:val="20"/>
              </w:rPr>
              <w:t>Porcentaje de eficiencia terminal</w:t>
            </w:r>
            <w:r>
              <w:rPr>
                <w:rFonts w:cs="Arial"/>
                <w:sz w:val="20"/>
                <w:szCs w:val="20"/>
              </w:rPr>
              <w:t>.</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48181AF" w14:textId="0150233F" w:rsidR="00EF09EC" w:rsidRPr="003D7AB5" w:rsidRDefault="00EF09EC" w:rsidP="00EF09EC">
            <w:pPr>
              <w:rPr>
                <w:rFonts w:cs="Arial"/>
                <w:sz w:val="20"/>
                <w:szCs w:val="20"/>
              </w:rPr>
            </w:pPr>
            <w:r w:rsidRPr="003D7AB5">
              <w:rPr>
                <w:rFonts w:cs="Arial"/>
                <w:sz w:val="20"/>
                <w:szCs w:val="20"/>
              </w:rPr>
              <w:t xml:space="preserve">Informe de la Honorable Junta Directiva, Dirección General, ITSFCP. </w:t>
            </w:r>
            <w:hyperlink r:id="rId82" w:history="1">
              <w:r w:rsidRPr="003D7AB5">
                <w:rPr>
                  <w:rFonts w:cs="Arial"/>
                  <w:sz w:val="20"/>
                  <w:szCs w:val="20"/>
                </w:rPr>
                <w:t>http://itscarrillopuerto.edu.mx/v4.0/</w:t>
              </w:r>
            </w:hyperlink>
            <w:r>
              <w:rPr>
                <w:rFonts w:cs="Arial"/>
                <w:sz w:val="20"/>
                <w:szCs w:val="20"/>
              </w:rPr>
              <w:t>.</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758C374" w14:textId="7A64CCC0" w:rsidR="00EF09EC" w:rsidRPr="003D7AB5" w:rsidRDefault="00EF09EC" w:rsidP="00EF09EC">
            <w:pPr>
              <w:rPr>
                <w:rFonts w:cs="Arial"/>
                <w:sz w:val="20"/>
                <w:szCs w:val="20"/>
              </w:rPr>
            </w:pPr>
            <w:r w:rsidRPr="003D7AB5">
              <w:rPr>
                <w:rFonts w:cs="Arial"/>
                <w:sz w:val="20"/>
                <w:szCs w:val="20"/>
              </w:rPr>
              <w:t>Los alumnos concluyen sus estudios</w:t>
            </w:r>
            <w:r>
              <w:rPr>
                <w:rFonts w:cs="Arial"/>
                <w:sz w:val="20"/>
                <w:szCs w:val="20"/>
              </w:rPr>
              <w:t>.</w:t>
            </w:r>
          </w:p>
        </w:tc>
      </w:tr>
      <w:tr w:rsidR="00E23746" w:rsidRPr="00FD08F8" w14:paraId="60B4106D" w14:textId="77777777" w:rsidTr="006B434D">
        <w:trPr>
          <w:trHeight w:val="2412"/>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54A35343"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Actividad</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8BE14EC" w14:textId="77777777" w:rsidR="00E23746" w:rsidRPr="003D7AB5" w:rsidRDefault="00E23746" w:rsidP="000B2F10">
            <w:pPr>
              <w:rPr>
                <w:rFonts w:cs="Arial"/>
                <w:sz w:val="20"/>
                <w:szCs w:val="20"/>
              </w:rPr>
            </w:pPr>
            <w:r w:rsidRPr="003D7AB5">
              <w:rPr>
                <w:rFonts w:cs="Arial"/>
                <w:sz w:val="20"/>
                <w:szCs w:val="20"/>
              </w:rPr>
              <w:t>Reorientar el programa de becas e incentivos para otorgarlas a alumnos de escasos recursos  a fin de que concluyan sus estudios.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F356492" w14:textId="77777777" w:rsidR="00E23746" w:rsidRPr="003D7AB5" w:rsidRDefault="00E23746" w:rsidP="000B2F10">
            <w:pPr>
              <w:rPr>
                <w:rFonts w:cs="Arial"/>
                <w:sz w:val="20"/>
                <w:szCs w:val="20"/>
              </w:rPr>
            </w:pPr>
            <w:r w:rsidRPr="00574DAC">
              <w:rPr>
                <w:rFonts w:cs="Arial"/>
                <w:sz w:val="20"/>
                <w:szCs w:val="20"/>
              </w:rPr>
              <w:t xml:space="preserve">C01.A03 - </w:t>
            </w:r>
            <w:r w:rsidRPr="003D7AB5">
              <w:rPr>
                <w:rFonts w:cs="Arial"/>
                <w:sz w:val="20"/>
                <w:szCs w:val="20"/>
              </w:rPr>
              <w:t>Consolidación del programa de becas y apoyos a fin de elevar el desempeño académico, permanencia escolar y la eficiencia terminal.</w:t>
            </w:r>
          </w:p>
        </w:tc>
        <w:tc>
          <w:tcPr>
            <w:tcW w:w="2268" w:type="dxa"/>
            <w:tcBorders>
              <w:top w:val="single" w:sz="4" w:space="0" w:color="auto"/>
              <w:left w:val="single" w:sz="4" w:space="0" w:color="auto"/>
              <w:bottom w:val="single" w:sz="4" w:space="0" w:color="auto"/>
              <w:right w:val="single" w:sz="4" w:space="0" w:color="auto"/>
            </w:tcBorders>
            <w:shd w:val="clear" w:color="FFFFFF" w:fill="FFFFFF"/>
          </w:tcPr>
          <w:p w14:paraId="4E600FC7" w14:textId="77777777" w:rsidR="00E23746" w:rsidRPr="003D7AB5" w:rsidRDefault="00E23746" w:rsidP="000B2F10">
            <w:pPr>
              <w:rPr>
                <w:rFonts w:cs="Arial"/>
                <w:sz w:val="20"/>
                <w:szCs w:val="20"/>
              </w:rPr>
            </w:pPr>
            <w:r w:rsidRPr="00574DAC">
              <w:rPr>
                <w:rFonts w:cs="Arial"/>
                <w:sz w:val="20"/>
                <w:szCs w:val="20"/>
              </w:rPr>
              <w:t>C01A0</w:t>
            </w:r>
            <w:r>
              <w:rPr>
                <w:rFonts w:cs="Arial"/>
                <w:sz w:val="20"/>
                <w:szCs w:val="20"/>
              </w:rPr>
              <w:t>3</w:t>
            </w:r>
            <w:r w:rsidRPr="00574DAC">
              <w:rPr>
                <w:rFonts w:cs="Arial"/>
                <w:sz w:val="20"/>
                <w:szCs w:val="20"/>
              </w:rPr>
              <w:t xml:space="preserve"> - </w:t>
            </w:r>
            <w:r w:rsidRPr="003D7AB5">
              <w:rPr>
                <w:rFonts w:cs="Arial"/>
                <w:sz w:val="20"/>
                <w:szCs w:val="20"/>
              </w:rPr>
              <w:t>Porcentaje de alumnos con becas o apoyos</w:t>
            </w:r>
            <w:r>
              <w:rPr>
                <w:rFonts w:cs="Arial"/>
                <w:sz w:val="20"/>
                <w:szCs w:val="20"/>
              </w:rPr>
              <w:t>.</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64A1DDB" w14:textId="77777777" w:rsidR="00E23746" w:rsidRPr="003D7AB5" w:rsidRDefault="00E23746" w:rsidP="000B2F10">
            <w:pPr>
              <w:rPr>
                <w:rFonts w:cs="Arial"/>
                <w:sz w:val="20"/>
                <w:szCs w:val="20"/>
              </w:rPr>
            </w:pPr>
            <w:r w:rsidRPr="003D7AB5">
              <w:rPr>
                <w:rFonts w:cs="Arial"/>
                <w:sz w:val="20"/>
                <w:szCs w:val="20"/>
              </w:rPr>
              <w:t xml:space="preserve">Informe de la Honorable Junta Directiva, Dirección General, ITSFCP. </w:t>
            </w:r>
            <w:hyperlink r:id="rId83" w:history="1">
              <w:r w:rsidRPr="003D7AB5">
                <w:rPr>
                  <w:rFonts w:cs="Arial"/>
                  <w:sz w:val="20"/>
                  <w:szCs w:val="20"/>
                </w:rPr>
                <w:t>http://itscarrillopuerto.edu.mx/v4.0/</w:t>
              </w:r>
            </w:hyperlink>
            <w:r>
              <w:rPr>
                <w:rFonts w:cs="Arial"/>
                <w:sz w:val="20"/>
                <w:szCs w:val="20"/>
              </w:rPr>
              <w:t>.</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4684F38" w14:textId="77777777" w:rsidR="00E23746" w:rsidRPr="003D7AB5" w:rsidRDefault="00E23746" w:rsidP="000B2F10">
            <w:pPr>
              <w:rPr>
                <w:rFonts w:cs="Arial"/>
                <w:sz w:val="20"/>
                <w:szCs w:val="20"/>
              </w:rPr>
            </w:pPr>
            <w:r w:rsidRPr="003D7AB5">
              <w:rPr>
                <w:rFonts w:cs="Arial"/>
                <w:sz w:val="20"/>
                <w:szCs w:val="20"/>
              </w:rPr>
              <w:t>El alumno cumple con los requisitos para el trámite de beca o apoyo.</w:t>
            </w:r>
          </w:p>
        </w:tc>
      </w:tr>
    </w:tbl>
    <w:p w14:paraId="14699C77" w14:textId="77777777" w:rsidR="00364E7E" w:rsidRDefault="00364E7E">
      <w:pPr>
        <w:spacing w:after="0" w:line="240" w:lineRule="auto"/>
        <w:jc w:val="left"/>
        <w:rPr>
          <w:lang w:eastAsia="en-US"/>
        </w:rPr>
      </w:pPr>
      <w:r>
        <w:rPr>
          <w:lang w:eastAsia="en-US"/>
        </w:rPr>
        <w:br w:type="page"/>
      </w:r>
    </w:p>
    <w:tbl>
      <w:tblPr>
        <w:tblW w:w="14029" w:type="dxa"/>
        <w:tblLayout w:type="fixed"/>
        <w:tblCellMar>
          <w:left w:w="70" w:type="dxa"/>
          <w:right w:w="70" w:type="dxa"/>
        </w:tblCellMar>
        <w:tblLook w:val="04A0" w:firstRow="1" w:lastRow="0" w:firstColumn="1" w:lastColumn="0" w:noHBand="0" w:noVBand="1"/>
      </w:tblPr>
      <w:tblGrid>
        <w:gridCol w:w="1413"/>
        <w:gridCol w:w="2693"/>
        <w:gridCol w:w="2835"/>
        <w:gridCol w:w="2268"/>
        <w:gridCol w:w="2693"/>
        <w:gridCol w:w="2127"/>
      </w:tblGrid>
      <w:tr w:rsidR="00E23746" w:rsidRPr="00FD08F8" w14:paraId="4B03139A" w14:textId="77777777" w:rsidTr="00EF09EC">
        <w:trPr>
          <w:trHeight w:val="577"/>
        </w:trPr>
        <w:tc>
          <w:tcPr>
            <w:tcW w:w="1413"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12DE0DCA"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lastRenderedPageBreak/>
              <w:t>NIVEL</w:t>
            </w:r>
          </w:p>
        </w:tc>
        <w:tc>
          <w:tcPr>
            <w:tcW w:w="2693" w:type="dxa"/>
            <w:tcBorders>
              <w:top w:val="single" w:sz="4" w:space="0" w:color="auto"/>
              <w:left w:val="nil"/>
              <w:bottom w:val="single" w:sz="4" w:space="0" w:color="auto"/>
              <w:right w:val="single" w:sz="4" w:space="0" w:color="auto"/>
            </w:tcBorders>
            <w:shd w:val="clear" w:color="000000" w:fill="BFBFBF"/>
            <w:vAlign w:val="center"/>
            <w:hideMark/>
          </w:tcPr>
          <w:p w14:paraId="6BC3BA40"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ALINEACIÓN PED/PD</w:t>
            </w:r>
          </w:p>
        </w:tc>
        <w:tc>
          <w:tcPr>
            <w:tcW w:w="2835" w:type="dxa"/>
            <w:tcBorders>
              <w:top w:val="single" w:sz="4" w:space="0" w:color="auto"/>
              <w:left w:val="nil"/>
              <w:bottom w:val="single" w:sz="4" w:space="0" w:color="auto"/>
              <w:right w:val="single" w:sz="4" w:space="0" w:color="auto"/>
            </w:tcBorders>
            <w:shd w:val="clear" w:color="000000" w:fill="BFBFBF"/>
            <w:vAlign w:val="center"/>
            <w:hideMark/>
          </w:tcPr>
          <w:p w14:paraId="4ECD081C"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OBJETIVO</w:t>
            </w:r>
          </w:p>
        </w:tc>
        <w:tc>
          <w:tcPr>
            <w:tcW w:w="2268" w:type="dxa"/>
            <w:tcBorders>
              <w:top w:val="single" w:sz="4" w:space="0" w:color="auto"/>
              <w:left w:val="nil"/>
              <w:bottom w:val="single" w:sz="4" w:space="0" w:color="auto"/>
              <w:right w:val="single" w:sz="4" w:space="0" w:color="auto"/>
            </w:tcBorders>
            <w:shd w:val="clear" w:color="000000" w:fill="BFBFBF"/>
            <w:vAlign w:val="center"/>
            <w:hideMark/>
          </w:tcPr>
          <w:p w14:paraId="2ABCF284"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INDICADOR</w:t>
            </w:r>
          </w:p>
        </w:tc>
        <w:tc>
          <w:tcPr>
            <w:tcW w:w="2693" w:type="dxa"/>
            <w:tcBorders>
              <w:top w:val="single" w:sz="4" w:space="0" w:color="auto"/>
              <w:left w:val="nil"/>
              <w:bottom w:val="single" w:sz="4" w:space="0" w:color="auto"/>
              <w:right w:val="single" w:sz="4" w:space="0" w:color="auto"/>
            </w:tcBorders>
            <w:shd w:val="clear" w:color="000000" w:fill="BFBFBF"/>
            <w:vAlign w:val="center"/>
            <w:hideMark/>
          </w:tcPr>
          <w:p w14:paraId="2DB06B5A"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MEDIOS DE VERIFICACIÓN</w:t>
            </w:r>
          </w:p>
        </w:tc>
        <w:tc>
          <w:tcPr>
            <w:tcW w:w="2127" w:type="dxa"/>
            <w:tcBorders>
              <w:top w:val="single" w:sz="4" w:space="0" w:color="auto"/>
              <w:left w:val="nil"/>
              <w:bottom w:val="single" w:sz="4" w:space="0" w:color="auto"/>
              <w:right w:val="single" w:sz="4" w:space="0" w:color="auto"/>
            </w:tcBorders>
            <w:shd w:val="clear" w:color="000000" w:fill="BFBFBF"/>
            <w:vAlign w:val="center"/>
            <w:hideMark/>
          </w:tcPr>
          <w:p w14:paraId="6413146A"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SUPUESTO</w:t>
            </w:r>
          </w:p>
        </w:tc>
      </w:tr>
      <w:tr w:rsidR="00EF09EC" w:rsidRPr="00FD08F8" w14:paraId="6AC404FE" w14:textId="77777777" w:rsidTr="00EF09EC">
        <w:trPr>
          <w:trHeight w:val="2412"/>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E4CA81E" w14:textId="7322A6E3" w:rsidR="00EF09EC" w:rsidRPr="00FD08F8" w:rsidRDefault="00EF09EC" w:rsidP="00EF09EC">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Actividad</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DDA4E4D" w14:textId="1369408A" w:rsidR="00EF09EC" w:rsidRPr="00BB2A73" w:rsidRDefault="00EF09EC" w:rsidP="00EF09EC">
            <w:pPr>
              <w:rPr>
                <w:rFonts w:cs="Arial"/>
                <w:sz w:val="20"/>
                <w:szCs w:val="20"/>
              </w:rPr>
            </w:pPr>
            <w:r w:rsidRPr="00691E3F">
              <w:rPr>
                <w:rFonts w:cs="Arial"/>
                <w:sz w:val="20"/>
                <w:szCs w:val="20"/>
              </w:rPr>
              <w:t>Implementar el Programa de Seguridad Escolar para el fortalecimiento de valores, la tolerancia y la promoción de la paz social en las escuelas</w:t>
            </w:r>
            <w:r>
              <w:rPr>
                <w:rFonts w:cs="Arial"/>
                <w:sz w:val="20"/>
                <w:szCs w:val="20"/>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AFAE426" w14:textId="47DD9B2A" w:rsidR="00EF09EC" w:rsidRPr="00574DAC" w:rsidRDefault="00EF09EC" w:rsidP="00EF09EC">
            <w:pPr>
              <w:rPr>
                <w:rFonts w:cs="Arial"/>
                <w:sz w:val="20"/>
                <w:szCs w:val="20"/>
              </w:rPr>
            </w:pPr>
            <w:r w:rsidRPr="00574DAC">
              <w:rPr>
                <w:rFonts w:cs="Arial"/>
                <w:sz w:val="20"/>
                <w:szCs w:val="20"/>
              </w:rPr>
              <w:t>C01.A0</w:t>
            </w:r>
            <w:r>
              <w:rPr>
                <w:rFonts w:cs="Arial"/>
                <w:sz w:val="20"/>
                <w:szCs w:val="20"/>
              </w:rPr>
              <w:t>4</w:t>
            </w:r>
            <w:r w:rsidRPr="00574DAC">
              <w:rPr>
                <w:rFonts w:cs="Arial"/>
                <w:sz w:val="20"/>
                <w:szCs w:val="20"/>
              </w:rPr>
              <w:t xml:space="preserve"> - </w:t>
            </w:r>
            <w:r w:rsidRPr="00691E3F">
              <w:rPr>
                <w:rFonts w:cs="Arial"/>
                <w:sz w:val="20"/>
                <w:szCs w:val="20"/>
              </w:rPr>
              <w:t>Fortalecimiento de valores, tolerancia y  promoción de la paz social a través de actividades deportivas, artísticas y culturales.</w:t>
            </w:r>
          </w:p>
        </w:tc>
        <w:tc>
          <w:tcPr>
            <w:tcW w:w="2268" w:type="dxa"/>
            <w:tcBorders>
              <w:top w:val="single" w:sz="4" w:space="0" w:color="auto"/>
              <w:left w:val="single" w:sz="4" w:space="0" w:color="auto"/>
              <w:bottom w:val="single" w:sz="4" w:space="0" w:color="auto"/>
              <w:right w:val="single" w:sz="4" w:space="0" w:color="auto"/>
            </w:tcBorders>
            <w:shd w:val="clear" w:color="FFFFFF" w:fill="FFFFFF"/>
          </w:tcPr>
          <w:p w14:paraId="460F492A" w14:textId="1B967A78" w:rsidR="00EF09EC" w:rsidRPr="00574DAC" w:rsidRDefault="00EF09EC" w:rsidP="00EF09EC">
            <w:pPr>
              <w:rPr>
                <w:rFonts w:cs="Arial"/>
                <w:sz w:val="20"/>
                <w:szCs w:val="20"/>
              </w:rPr>
            </w:pPr>
            <w:r>
              <w:rPr>
                <w:rFonts w:cs="Arial"/>
                <w:sz w:val="20"/>
                <w:szCs w:val="20"/>
              </w:rPr>
              <w:t>C01</w:t>
            </w:r>
            <w:r w:rsidRPr="00574DAC">
              <w:rPr>
                <w:rFonts w:cs="Arial"/>
                <w:sz w:val="20"/>
                <w:szCs w:val="20"/>
              </w:rPr>
              <w:t>A0</w:t>
            </w:r>
            <w:r>
              <w:rPr>
                <w:rFonts w:cs="Arial"/>
                <w:sz w:val="20"/>
                <w:szCs w:val="20"/>
              </w:rPr>
              <w:t>4</w:t>
            </w:r>
            <w:r w:rsidRPr="00574DAC">
              <w:rPr>
                <w:rFonts w:cs="Arial"/>
                <w:sz w:val="20"/>
                <w:szCs w:val="20"/>
              </w:rPr>
              <w:t xml:space="preserve"> - </w:t>
            </w:r>
            <w:r w:rsidRPr="00691E3F">
              <w:rPr>
                <w:rFonts w:cs="Arial"/>
                <w:sz w:val="20"/>
                <w:szCs w:val="20"/>
              </w:rPr>
              <w:t>Porcentaje de alumnos que participan en actividades artísticas, culturales, cívicas y deportivas.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376B569" w14:textId="76E509C2" w:rsidR="00EF09EC" w:rsidRPr="00BB2A73" w:rsidRDefault="00EF09EC" w:rsidP="00EF09EC">
            <w:pPr>
              <w:rPr>
                <w:rFonts w:cs="Arial"/>
                <w:sz w:val="20"/>
                <w:szCs w:val="20"/>
              </w:rPr>
            </w:pPr>
            <w:r w:rsidRPr="00691E3F">
              <w:rPr>
                <w:rFonts w:cs="Arial"/>
                <w:sz w:val="20"/>
                <w:szCs w:val="20"/>
              </w:rPr>
              <w:t xml:space="preserve">Informe de la Honorable Junta Directiva, Dirección General, ITSFCP. </w:t>
            </w:r>
            <w:hyperlink r:id="rId84" w:history="1">
              <w:r w:rsidRPr="00691E3F">
                <w:rPr>
                  <w:rFonts w:cs="Arial"/>
                  <w:sz w:val="20"/>
                  <w:szCs w:val="20"/>
                </w:rPr>
                <w:t>http://itscarrillopuerto.edu.mx/v4.0/</w:t>
              </w:r>
            </w:hyperlink>
            <w:r>
              <w:rPr>
                <w:rFonts w:cs="Arial"/>
                <w:sz w:val="20"/>
                <w:szCs w:val="20"/>
              </w:rPr>
              <w:t>.</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C1A5F3B" w14:textId="4BB45235" w:rsidR="00EF09EC" w:rsidRPr="00BB2A73" w:rsidRDefault="00EF09EC" w:rsidP="00EF09EC">
            <w:pPr>
              <w:rPr>
                <w:rFonts w:cs="Arial"/>
                <w:sz w:val="20"/>
                <w:szCs w:val="20"/>
              </w:rPr>
            </w:pPr>
            <w:r w:rsidRPr="00691E3F">
              <w:rPr>
                <w:rFonts w:cs="Arial"/>
                <w:sz w:val="20"/>
                <w:szCs w:val="20"/>
              </w:rPr>
              <w:t>Los alumnos participan en actividades artístico-culturales-deportivos-cívicos.</w:t>
            </w:r>
          </w:p>
        </w:tc>
      </w:tr>
      <w:tr w:rsidR="00E23746" w:rsidRPr="00FD08F8" w14:paraId="368744F2" w14:textId="77777777" w:rsidTr="00EF09EC">
        <w:trPr>
          <w:trHeight w:val="2412"/>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14:paraId="5013E6C4"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Componente</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688D5A8" w14:textId="77777777" w:rsidR="00E23746" w:rsidRPr="00BB2A73" w:rsidRDefault="00E23746" w:rsidP="000B2F10">
            <w:pPr>
              <w:rPr>
                <w:rFonts w:cs="Arial"/>
                <w:sz w:val="20"/>
                <w:szCs w:val="20"/>
              </w:rPr>
            </w:pPr>
            <w:r w:rsidRPr="00BB2A73">
              <w:rPr>
                <w:rFonts w:cs="Arial"/>
                <w:sz w:val="20"/>
                <w:szCs w:val="20"/>
              </w:rPr>
              <w:t>Impulsar la acreditación y evaluación de los planes y programas de estudio de educación superior por organismos externos reconocidos a nivel nacional e internacional.</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A794972" w14:textId="77777777" w:rsidR="00E23746" w:rsidRPr="00BB2A73" w:rsidRDefault="00E23746" w:rsidP="000B2F10">
            <w:pPr>
              <w:rPr>
                <w:rFonts w:cs="Arial"/>
                <w:sz w:val="20"/>
                <w:szCs w:val="20"/>
              </w:rPr>
            </w:pPr>
            <w:r w:rsidRPr="00574DAC">
              <w:rPr>
                <w:rFonts w:cs="Arial"/>
                <w:sz w:val="20"/>
                <w:szCs w:val="20"/>
              </w:rPr>
              <w:t xml:space="preserve">C02.A01 - </w:t>
            </w:r>
            <w:r w:rsidRPr="00BB2A73">
              <w:rPr>
                <w:rFonts w:cs="Arial"/>
                <w:sz w:val="20"/>
                <w:szCs w:val="20"/>
              </w:rPr>
              <w:t>Programas Educativos Evaluables de calidad ofertados</w:t>
            </w:r>
            <w:r>
              <w:rPr>
                <w:rFonts w:cs="Arial"/>
                <w:sz w:val="20"/>
                <w:szCs w:val="20"/>
              </w:rPr>
              <w:t>.</w:t>
            </w:r>
          </w:p>
        </w:tc>
        <w:tc>
          <w:tcPr>
            <w:tcW w:w="2268" w:type="dxa"/>
            <w:tcBorders>
              <w:top w:val="single" w:sz="4" w:space="0" w:color="auto"/>
              <w:left w:val="single" w:sz="4" w:space="0" w:color="auto"/>
              <w:bottom w:val="single" w:sz="4" w:space="0" w:color="auto"/>
              <w:right w:val="single" w:sz="4" w:space="0" w:color="auto"/>
            </w:tcBorders>
            <w:shd w:val="clear" w:color="FFFFFF" w:fill="FFFFFF"/>
          </w:tcPr>
          <w:p w14:paraId="4A039C31" w14:textId="77777777" w:rsidR="00E23746" w:rsidRPr="00BB2A73" w:rsidRDefault="00E23746" w:rsidP="000B2F10">
            <w:pPr>
              <w:rPr>
                <w:rFonts w:cs="Arial"/>
                <w:sz w:val="20"/>
                <w:szCs w:val="20"/>
              </w:rPr>
            </w:pPr>
            <w:r w:rsidRPr="00574DAC">
              <w:rPr>
                <w:rFonts w:cs="Arial"/>
                <w:sz w:val="20"/>
                <w:szCs w:val="20"/>
              </w:rPr>
              <w:t xml:space="preserve">C02 - </w:t>
            </w:r>
            <w:r w:rsidRPr="00BB2A73">
              <w:rPr>
                <w:rFonts w:cs="Arial"/>
                <w:sz w:val="20"/>
                <w:szCs w:val="20"/>
              </w:rPr>
              <w:t>Porcentaje de Programas Educativos de Calidad</w:t>
            </w:r>
            <w:r>
              <w:rPr>
                <w:rFonts w:cs="Arial"/>
                <w:sz w:val="20"/>
                <w:szCs w:val="20"/>
              </w:rPr>
              <w:t>.</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78BCE5C" w14:textId="77777777" w:rsidR="00E23746" w:rsidRPr="00BB2A73" w:rsidRDefault="00E23746" w:rsidP="000B2F10">
            <w:pPr>
              <w:rPr>
                <w:rFonts w:cs="Arial"/>
                <w:sz w:val="20"/>
                <w:szCs w:val="20"/>
              </w:rPr>
            </w:pPr>
            <w:r w:rsidRPr="00BB2A73">
              <w:rPr>
                <w:rFonts w:cs="Arial"/>
                <w:sz w:val="20"/>
                <w:szCs w:val="20"/>
              </w:rPr>
              <w:t xml:space="preserve">Informe de la Honorable Junta Directiva, Dirección General, ITSFCP. </w:t>
            </w:r>
            <w:hyperlink r:id="rId85" w:history="1">
              <w:r w:rsidRPr="00BB2A73">
                <w:rPr>
                  <w:rFonts w:cs="Arial"/>
                  <w:sz w:val="20"/>
                  <w:szCs w:val="20"/>
                </w:rPr>
                <w:t>http://itscarrillopuerto.edu.mx/v4.0/</w:t>
              </w:r>
            </w:hyperlink>
            <w:r>
              <w:rPr>
                <w:rFonts w:cs="Arial"/>
                <w:sz w:val="20"/>
                <w:szCs w:val="20"/>
              </w:rPr>
              <w:t>.</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197848A3" w14:textId="77777777" w:rsidR="00E23746" w:rsidRPr="00BB2A73" w:rsidRDefault="00E23746" w:rsidP="000B2F10">
            <w:pPr>
              <w:rPr>
                <w:rFonts w:cs="Arial"/>
                <w:sz w:val="20"/>
                <w:szCs w:val="20"/>
              </w:rPr>
            </w:pPr>
            <w:r w:rsidRPr="00BB2A73">
              <w:rPr>
                <w:rFonts w:cs="Arial"/>
                <w:sz w:val="20"/>
                <w:szCs w:val="20"/>
              </w:rPr>
              <w:t>La Calidad de la Educación Superior continúa siendo prioridad Nacion</w:t>
            </w:r>
            <w:r>
              <w:rPr>
                <w:rFonts w:cs="Arial"/>
                <w:sz w:val="20"/>
                <w:szCs w:val="20"/>
              </w:rPr>
              <w:t>al.</w:t>
            </w:r>
          </w:p>
        </w:tc>
      </w:tr>
      <w:tr w:rsidR="00E23746" w:rsidRPr="00FD08F8" w14:paraId="2188D424" w14:textId="77777777" w:rsidTr="00EF09EC">
        <w:trPr>
          <w:trHeight w:val="2412"/>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7E6CC66F"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Actividad</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E059E51" w14:textId="77777777" w:rsidR="00E23746" w:rsidRPr="00BB2A73" w:rsidRDefault="00E23746" w:rsidP="000B2F10">
            <w:pPr>
              <w:rPr>
                <w:rFonts w:cs="Arial"/>
                <w:sz w:val="20"/>
                <w:szCs w:val="20"/>
              </w:rPr>
            </w:pPr>
            <w:r w:rsidRPr="00BB2A73">
              <w:rPr>
                <w:rFonts w:cs="Arial"/>
                <w:sz w:val="20"/>
                <w:szCs w:val="20"/>
              </w:rPr>
              <w:t>Impulsar la acreditación y evaluación de los planes y programas de estudio de educación superior por organismos externos reconocidos a nivel nacional e internacional.</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89744FF" w14:textId="77777777" w:rsidR="00E23746" w:rsidRPr="00BB2A73" w:rsidRDefault="00E23746" w:rsidP="000B2F10">
            <w:pPr>
              <w:rPr>
                <w:rFonts w:cs="Arial"/>
                <w:sz w:val="20"/>
                <w:szCs w:val="20"/>
              </w:rPr>
            </w:pPr>
            <w:r>
              <w:rPr>
                <w:rFonts w:cs="Arial"/>
                <w:sz w:val="20"/>
                <w:szCs w:val="20"/>
              </w:rPr>
              <w:t>C</w:t>
            </w:r>
            <w:r w:rsidRPr="00574DAC">
              <w:rPr>
                <w:rFonts w:cs="Arial"/>
                <w:sz w:val="20"/>
                <w:szCs w:val="20"/>
              </w:rPr>
              <w:t xml:space="preserve">02.A01 - </w:t>
            </w:r>
            <w:r w:rsidRPr="00BB2A73">
              <w:rPr>
                <w:rFonts w:cs="Arial"/>
                <w:sz w:val="20"/>
                <w:szCs w:val="20"/>
              </w:rPr>
              <w:t>Alumnos inscritos en Programas Educativos Acreditados o Reconocidos por su calidad</w:t>
            </w:r>
            <w:r>
              <w:rPr>
                <w:rFonts w:cs="Arial"/>
                <w:sz w:val="20"/>
                <w:szCs w:val="20"/>
              </w:rPr>
              <w:t>.</w:t>
            </w:r>
          </w:p>
        </w:tc>
        <w:tc>
          <w:tcPr>
            <w:tcW w:w="2268" w:type="dxa"/>
            <w:tcBorders>
              <w:top w:val="single" w:sz="4" w:space="0" w:color="auto"/>
              <w:left w:val="single" w:sz="4" w:space="0" w:color="auto"/>
              <w:bottom w:val="single" w:sz="4" w:space="0" w:color="auto"/>
              <w:right w:val="single" w:sz="4" w:space="0" w:color="auto"/>
            </w:tcBorders>
            <w:shd w:val="clear" w:color="FFFFFF" w:fill="FFFFFF"/>
          </w:tcPr>
          <w:p w14:paraId="4E3EAD9F" w14:textId="77777777" w:rsidR="00E23746" w:rsidRPr="00BB2A73" w:rsidRDefault="00E23746" w:rsidP="000B2F10">
            <w:pPr>
              <w:spacing w:after="0" w:line="240" w:lineRule="auto"/>
              <w:jc w:val="left"/>
              <w:rPr>
                <w:rFonts w:cs="Arial"/>
                <w:sz w:val="20"/>
                <w:szCs w:val="20"/>
              </w:rPr>
            </w:pPr>
            <w:r w:rsidRPr="00574DAC">
              <w:rPr>
                <w:rFonts w:cs="Arial"/>
                <w:sz w:val="20"/>
                <w:szCs w:val="20"/>
              </w:rPr>
              <w:t xml:space="preserve">C02A01 - </w:t>
            </w:r>
            <w:r w:rsidRPr="00BB2A73">
              <w:rPr>
                <w:rFonts w:cs="Arial"/>
                <w:sz w:val="20"/>
                <w:szCs w:val="20"/>
              </w:rPr>
              <w:t>Porcentaje de estudiantes de licenciatura inscritos en Programas Educativos Acreditados o Reconocidos por su calidad</w:t>
            </w:r>
            <w:r>
              <w:rPr>
                <w:rFonts w:cs="Arial"/>
                <w:sz w:val="20"/>
                <w:szCs w:val="20"/>
              </w:rPr>
              <w:t>.</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5979570" w14:textId="77777777" w:rsidR="00E23746" w:rsidRPr="00BB2A73" w:rsidRDefault="00E23746" w:rsidP="000B2F10">
            <w:pPr>
              <w:spacing w:after="0" w:line="240" w:lineRule="auto"/>
              <w:jc w:val="left"/>
              <w:rPr>
                <w:rFonts w:cs="Arial"/>
                <w:sz w:val="20"/>
                <w:szCs w:val="20"/>
              </w:rPr>
            </w:pPr>
            <w:r w:rsidRPr="00BB2A73">
              <w:rPr>
                <w:rFonts w:cs="Arial"/>
                <w:sz w:val="20"/>
                <w:szCs w:val="20"/>
              </w:rPr>
              <w:t xml:space="preserve">Informe de la Honorable Junta Directiva, Dirección General, ITSFCP. </w:t>
            </w:r>
            <w:hyperlink r:id="rId86" w:history="1">
              <w:r w:rsidRPr="00BB2A73">
                <w:rPr>
                  <w:rFonts w:cs="Arial"/>
                  <w:sz w:val="20"/>
                  <w:szCs w:val="20"/>
                </w:rPr>
                <w:t>http://itscarrillopuerto.edu.mx/v4.0/</w:t>
              </w:r>
            </w:hyperlink>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34CBA03" w14:textId="77777777" w:rsidR="00E23746" w:rsidRPr="00BB2A73" w:rsidRDefault="00E23746" w:rsidP="000B2F10">
            <w:pPr>
              <w:spacing w:after="0" w:line="240" w:lineRule="auto"/>
              <w:jc w:val="left"/>
              <w:rPr>
                <w:rFonts w:cs="Arial"/>
                <w:sz w:val="20"/>
                <w:szCs w:val="20"/>
              </w:rPr>
            </w:pPr>
            <w:r w:rsidRPr="00BB2A73">
              <w:rPr>
                <w:rFonts w:cs="Arial"/>
                <w:sz w:val="20"/>
                <w:szCs w:val="20"/>
              </w:rPr>
              <w:t>Los alumnos cursan su carrera profesional en Programas Educativos acreditados o reconocidos por su calidad</w:t>
            </w:r>
            <w:r>
              <w:rPr>
                <w:rFonts w:cs="Arial"/>
                <w:sz w:val="20"/>
                <w:szCs w:val="20"/>
              </w:rPr>
              <w:t>.</w:t>
            </w:r>
          </w:p>
        </w:tc>
      </w:tr>
    </w:tbl>
    <w:p w14:paraId="393FD20A" w14:textId="77777777" w:rsidR="00D36037" w:rsidRDefault="00D36037">
      <w:pPr>
        <w:spacing w:after="0" w:line="240" w:lineRule="auto"/>
        <w:jc w:val="left"/>
        <w:rPr>
          <w:lang w:eastAsia="en-US"/>
        </w:rPr>
      </w:pPr>
      <w:r>
        <w:rPr>
          <w:lang w:eastAsia="en-US"/>
        </w:rPr>
        <w:br w:type="page"/>
      </w:r>
    </w:p>
    <w:tbl>
      <w:tblPr>
        <w:tblW w:w="14029" w:type="dxa"/>
        <w:tblLayout w:type="fixed"/>
        <w:tblCellMar>
          <w:left w:w="70" w:type="dxa"/>
          <w:right w:w="70" w:type="dxa"/>
        </w:tblCellMar>
        <w:tblLook w:val="04A0" w:firstRow="1" w:lastRow="0" w:firstColumn="1" w:lastColumn="0" w:noHBand="0" w:noVBand="1"/>
      </w:tblPr>
      <w:tblGrid>
        <w:gridCol w:w="1413"/>
        <w:gridCol w:w="2693"/>
        <w:gridCol w:w="2835"/>
        <w:gridCol w:w="2268"/>
        <w:gridCol w:w="2693"/>
        <w:gridCol w:w="2127"/>
      </w:tblGrid>
      <w:tr w:rsidR="00E23746" w:rsidRPr="00FD08F8" w14:paraId="519F7ECB" w14:textId="77777777" w:rsidTr="00EF09EC">
        <w:trPr>
          <w:trHeight w:val="577"/>
        </w:trPr>
        <w:tc>
          <w:tcPr>
            <w:tcW w:w="1413"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4AD7ADD8"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lastRenderedPageBreak/>
              <w:t>NIVEL</w:t>
            </w:r>
          </w:p>
        </w:tc>
        <w:tc>
          <w:tcPr>
            <w:tcW w:w="2693" w:type="dxa"/>
            <w:tcBorders>
              <w:top w:val="single" w:sz="4" w:space="0" w:color="auto"/>
              <w:left w:val="nil"/>
              <w:bottom w:val="single" w:sz="4" w:space="0" w:color="auto"/>
              <w:right w:val="single" w:sz="4" w:space="0" w:color="auto"/>
            </w:tcBorders>
            <w:shd w:val="clear" w:color="000000" w:fill="BFBFBF"/>
            <w:vAlign w:val="center"/>
            <w:hideMark/>
          </w:tcPr>
          <w:p w14:paraId="4F351B33"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ALINEACIÓN PED/PD</w:t>
            </w:r>
          </w:p>
        </w:tc>
        <w:tc>
          <w:tcPr>
            <w:tcW w:w="2835" w:type="dxa"/>
            <w:tcBorders>
              <w:top w:val="single" w:sz="4" w:space="0" w:color="auto"/>
              <w:left w:val="nil"/>
              <w:bottom w:val="single" w:sz="4" w:space="0" w:color="auto"/>
              <w:right w:val="single" w:sz="4" w:space="0" w:color="auto"/>
            </w:tcBorders>
            <w:shd w:val="clear" w:color="000000" w:fill="BFBFBF"/>
            <w:vAlign w:val="center"/>
            <w:hideMark/>
          </w:tcPr>
          <w:p w14:paraId="4361444D"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OBJETIVO</w:t>
            </w:r>
          </w:p>
        </w:tc>
        <w:tc>
          <w:tcPr>
            <w:tcW w:w="2268" w:type="dxa"/>
            <w:tcBorders>
              <w:top w:val="single" w:sz="4" w:space="0" w:color="auto"/>
              <w:left w:val="nil"/>
              <w:bottom w:val="single" w:sz="4" w:space="0" w:color="auto"/>
              <w:right w:val="single" w:sz="4" w:space="0" w:color="auto"/>
            </w:tcBorders>
            <w:shd w:val="clear" w:color="000000" w:fill="BFBFBF"/>
            <w:vAlign w:val="center"/>
            <w:hideMark/>
          </w:tcPr>
          <w:p w14:paraId="05861079"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INDICADOR</w:t>
            </w:r>
          </w:p>
        </w:tc>
        <w:tc>
          <w:tcPr>
            <w:tcW w:w="2693" w:type="dxa"/>
            <w:tcBorders>
              <w:top w:val="single" w:sz="4" w:space="0" w:color="auto"/>
              <w:left w:val="nil"/>
              <w:bottom w:val="single" w:sz="4" w:space="0" w:color="auto"/>
              <w:right w:val="single" w:sz="4" w:space="0" w:color="auto"/>
            </w:tcBorders>
            <w:shd w:val="clear" w:color="000000" w:fill="BFBFBF"/>
            <w:vAlign w:val="center"/>
            <w:hideMark/>
          </w:tcPr>
          <w:p w14:paraId="0332A4EA"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MEDIOS DE VERIFICACIÓN</w:t>
            </w:r>
          </w:p>
        </w:tc>
        <w:tc>
          <w:tcPr>
            <w:tcW w:w="2127" w:type="dxa"/>
            <w:tcBorders>
              <w:top w:val="single" w:sz="4" w:space="0" w:color="auto"/>
              <w:left w:val="nil"/>
              <w:bottom w:val="single" w:sz="4" w:space="0" w:color="auto"/>
              <w:right w:val="single" w:sz="4" w:space="0" w:color="auto"/>
            </w:tcBorders>
            <w:shd w:val="clear" w:color="000000" w:fill="BFBFBF"/>
            <w:vAlign w:val="center"/>
            <w:hideMark/>
          </w:tcPr>
          <w:p w14:paraId="48ED45E7"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SUPUESTO</w:t>
            </w:r>
          </w:p>
        </w:tc>
      </w:tr>
      <w:tr w:rsidR="00EF09EC" w:rsidRPr="00FD08F8" w14:paraId="1F602169" w14:textId="77777777" w:rsidTr="00EF09EC">
        <w:trPr>
          <w:trHeight w:val="2412"/>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2BC6CB81" w14:textId="099DAF00" w:rsidR="00EF09EC" w:rsidRPr="00FD08F8" w:rsidRDefault="00EF09EC" w:rsidP="00EF09EC">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Actividad</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479CDDD" w14:textId="014F4222" w:rsidR="00EF09EC" w:rsidRPr="00172F9E" w:rsidRDefault="00EF09EC" w:rsidP="00EF09EC">
            <w:pPr>
              <w:rPr>
                <w:rFonts w:cs="Arial"/>
                <w:sz w:val="20"/>
                <w:szCs w:val="20"/>
              </w:rPr>
            </w:pPr>
            <w:r w:rsidRPr="00BB2A73">
              <w:rPr>
                <w:rFonts w:cs="Arial"/>
                <w:sz w:val="20"/>
                <w:szCs w:val="20"/>
              </w:rPr>
              <w:t xml:space="preserve"> Fortalecer la investigación básica y aplicada con la participación de los estudiantes de educación superior.</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FDB3B06" w14:textId="58A8CF7E" w:rsidR="00EF09EC" w:rsidRPr="00574DAC" w:rsidRDefault="00EF09EC" w:rsidP="00EF09EC">
            <w:pPr>
              <w:rPr>
                <w:rFonts w:cs="Arial"/>
                <w:sz w:val="20"/>
                <w:szCs w:val="20"/>
              </w:rPr>
            </w:pPr>
            <w:r>
              <w:rPr>
                <w:rFonts w:cs="Arial"/>
                <w:sz w:val="20"/>
                <w:szCs w:val="20"/>
              </w:rPr>
              <w:t>C02.A02</w:t>
            </w:r>
            <w:r w:rsidRPr="00574DAC">
              <w:rPr>
                <w:rFonts w:cs="Arial"/>
                <w:sz w:val="20"/>
                <w:szCs w:val="20"/>
              </w:rPr>
              <w:t xml:space="preserve"> - </w:t>
            </w:r>
            <w:r w:rsidRPr="00BB2A73">
              <w:rPr>
                <w:rFonts w:cs="Arial"/>
                <w:sz w:val="20"/>
                <w:szCs w:val="20"/>
              </w:rPr>
              <w:t>Participación de alumnos en actividades de  investigación básica y aplicada</w:t>
            </w:r>
            <w:r>
              <w:rPr>
                <w:rFonts w:cs="Arial"/>
                <w:sz w:val="20"/>
                <w:szCs w:val="20"/>
              </w:rPr>
              <w:t>.</w:t>
            </w:r>
          </w:p>
        </w:tc>
        <w:tc>
          <w:tcPr>
            <w:tcW w:w="2268" w:type="dxa"/>
            <w:tcBorders>
              <w:top w:val="single" w:sz="4" w:space="0" w:color="auto"/>
              <w:left w:val="single" w:sz="4" w:space="0" w:color="auto"/>
              <w:bottom w:val="single" w:sz="4" w:space="0" w:color="auto"/>
              <w:right w:val="single" w:sz="4" w:space="0" w:color="auto"/>
            </w:tcBorders>
            <w:shd w:val="clear" w:color="FFFFFF" w:fill="FFFFFF"/>
          </w:tcPr>
          <w:p w14:paraId="287447AC" w14:textId="5F2CF701" w:rsidR="00EF09EC" w:rsidRPr="00574DAC" w:rsidRDefault="00EF09EC" w:rsidP="00EF09EC">
            <w:pPr>
              <w:rPr>
                <w:rFonts w:cs="Arial"/>
                <w:sz w:val="20"/>
                <w:szCs w:val="20"/>
              </w:rPr>
            </w:pPr>
            <w:r w:rsidRPr="00574DAC">
              <w:rPr>
                <w:rFonts w:cs="Arial"/>
                <w:sz w:val="20"/>
                <w:szCs w:val="20"/>
              </w:rPr>
              <w:t>C02A0</w:t>
            </w:r>
            <w:r>
              <w:rPr>
                <w:rFonts w:cs="Arial"/>
                <w:sz w:val="20"/>
                <w:szCs w:val="20"/>
              </w:rPr>
              <w:t>2</w:t>
            </w:r>
            <w:r w:rsidRPr="00574DAC">
              <w:rPr>
                <w:rFonts w:cs="Arial"/>
                <w:sz w:val="20"/>
                <w:szCs w:val="20"/>
              </w:rPr>
              <w:t xml:space="preserve"> - </w:t>
            </w:r>
            <w:r w:rsidRPr="00BB2A73">
              <w:rPr>
                <w:rFonts w:cs="Arial"/>
                <w:sz w:val="20"/>
                <w:szCs w:val="20"/>
              </w:rPr>
              <w:t>Porcentaje de alumnos participantes en actividades académicas, científicas, tecnológicas y  de innovación</w:t>
            </w:r>
            <w:r>
              <w:rPr>
                <w:rFonts w:cs="Arial"/>
                <w:sz w:val="20"/>
                <w:szCs w:val="20"/>
              </w:rPr>
              <w:t>.</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FEE59F1" w14:textId="5B0CCBAF" w:rsidR="00EF09EC" w:rsidRPr="00172F9E" w:rsidRDefault="00EF09EC" w:rsidP="00EF09EC">
            <w:pPr>
              <w:rPr>
                <w:rFonts w:cs="Arial"/>
                <w:sz w:val="20"/>
                <w:szCs w:val="20"/>
              </w:rPr>
            </w:pPr>
            <w:r w:rsidRPr="00BB2A73">
              <w:rPr>
                <w:rFonts w:cs="Arial"/>
                <w:sz w:val="20"/>
                <w:szCs w:val="20"/>
              </w:rPr>
              <w:t xml:space="preserve">Informe de la Honorable Junta Directiva, Dirección General, ITSFCP. </w:t>
            </w:r>
            <w:hyperlink r:id="rId87" w:history="1">
              <w:r w:rsidRPr="00BB2A73">
                <w:rPr>
                  <w:rFonts w:cs="Arial"/>
                  <w:sz w:val="20"/>
                  <w:szCs w:val="20"/>
                </w:rPr>
                <w:t>http://itscarrillopuerto.edu.mx/v4.0/</w:t>
              </w:r>
            </w:hyperlink>
            <w:r>
              <w:rPr>
                <w:rFonts w:cs="Arial"/>
                <w:sz w:val="20"/>
                <w:szCs w:val="20"/>
              </w:rPr>
              <w:t>.</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5FD3ED4" w14:textId="14EEEF1D" w:rsidR="00EF09EC" w:rsidRPr="00172F9E" w:rsidRDefault="00EF09EC" w:rsidP="00EF09EC">
            <w:pPr>
              <w:rPr>
                <w:rFonts w:cs="Arial"/>
                <w:sz w:val="20"/>
                <w:szCs w:val="20"/>
              </w:rPr>
            </w:pPr>
            <w:r w:rsidRPr="00BB2A73">
              <w:rPr>
                <w:rFonts w:cs="Arial"/>
                <w:sz w:val="20"/>
                <w:szCs w:val="20"/>
              </w:rPr>
              <w:t>Los alumnos participan en los eventos.</w:t>
            </w:r>
          </w:p>
        </w:tc>
      </w:tr>
      <w:tr w:rsidR="00E23746" w:rsidRPr="00FD08F8" w14:paraId="150B2D78" w14:textId="77777777" w:rsidTr="00EF09EC">
        <w:trPr>
          <w:trHeight w:val="2412"/>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6ED01459"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Actividad</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FA99C09" w14:textId="77777777" w:rsidR="00E23746" w:rsidRPr="00172F9E" w:rsidRDefault="00E23746" w:rsidP="000B2F10">
            <w:pPr>
              <w:rPr>
                <w:rFonts w:cs="Arial"/>
                <w:sz w:val="20"/>
                <w:szCs w:val="20"/>
              </w:rPr>
            </w:pPr>
            <w:r w:rsidRPr="00172F9E">
              <w:rPr>
                <w:rFonts w:cs="Arial"/>
                <w:sz w:val="20"/>
                <w:szCs w:val="20"/>
              </w:rPr>
              <w:t>Implementar programas de formación y actualización docente al interior de las Instituciones de educación superior.</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8D3C8ED" w14:textId="77777777" w:rsidR="00E23746" w:rsidRPr="00172F9E" w:rsidRDefault="00E23746" w:rsidP="000B2F10">
            <w:pPr>
              <w:rPr>
                <w:rFonts w:cs="Arial"/>
                <w:sz w:val="20"/>
                <w:szCs w:val="20"/>
              </w:rPr>
            </w:pPr>
            <w:r w:rsidRPr="00574DAC">
              <w:rPr>
                <w:rFonts w:cs="Arial"/>
                <w:sz w:val="20"/>
                <w:szCs w:val="20"/>
              </w:rPr>
              <w:t xml:space="preserve">C02.A03 - </w:t>
            </w:r>
            <w:r w:rsidRPr="00172F9E">
              <w:rPr>
                <w:rFonts w:cs="Arial"/>
                <w:sz w:val="20"/>
                <w:szCs w:val="20"/>
              </w:rPr>
              <w:t>Habilitación del profesorado del instituto a través de programas de actualización docente y formación profesional</w:t>
            </w:r>
            <w:r>
              <w:rPr>
                <w:rFonts w:cs="Arial"/>
                <w:sz w:val="20"/>
                <w:szCs w:val="20"/>
              </w:rPr>
              <w:t>.</w:t>
            </w:r>
          </w:p>
        </w:tc>
        <w:tc>
          <w:tcPr>
            <w:tcW w:w="2268" w:type="dxa"/>
            <w:tcBorders>
              <w:top w:val="single" w:sz="4" w:space="0" w:color="auto"/>
              <w:left w:val="single" w:sz="4" w:space="0" w:color="auto"/>
              <w:bottom w:val="single" w:sz="4" w:space="0" w:color="auto"/>
              <w:right w:val="single" w:sz="4" w:space="0" w:color="auto"/>
            </w:tcBorders>
            <w:shd w:val="clear" w:color="FFFFFF" w:fill="FFFFFF"/>
          </w:tcPr>
          <w:p w14:paraId="1FD02D20" w14:textId="77777777" w:rsidR="00E23746" w:rsidRPr="00172F9E" w:rsidRDefault="00E23746" w:rsidP="000B2F10">
            <w:pPr>
              <w:rPr>
                <w:rFonts w:cs="Arial"/>
                <w:sz w:val="20"/>
                <w:szCs w:val="20"/>
              </w:rPr>
            </w:pPr>
            <w:r w:rsidRPr="00574DAC">
              <w:rPr>
                <w:rFonts w:cs="Arial"/>
                <w:sz w:val="20"/>
                <w:szCs w:val="20"/>
              </w:rPr>
              <w:t xml:space="preserve">C02A03 - </w:t>
            </w:r>
            <w:r w:rsidRPr="00172F9E">
              <w:rPr>
                <w:rFonts w:cs="Arial"/>
                <w:sz w:val="20"/>
                <w:szCs w:val="20"/>
              </w:rPr>
              <w:t>Porcentaje de profesores de tiempo completo  con reconocimiento de perfil deseable.</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05FF63A" w14:textId="77777777" w:rsidR="00E23746" w:rsidRPr="00172F9E" w:rsidRDefault="00E23746" w:rsidP="000B2F10">
            <w:pPr>
              <w:rPr>
                <w:rFonts w:cs="Arial"/>
                <w:sz w:val="20"/>
                <w:szCs w:val="20"/>
              </w:rPr>
            </w:pPr>
            <w:r w:rsidRPr="00172F9E">
              <w:rPr>
                <w:rFonts w:cs="Arial"/>
                <w:sz w:val="20"/>
                <w:szCs w:val="20"/>
              </w:rPr>
              <w:t xml:space="preserve">Informe de la Honorable Junta Directiva, Dirección General, ITSFCP. </w:t>
            </w:r>
            <w:hyperlink r:id="rId88" w:history="1">
              <w:r w:rsidRPr="00172F9E">
                <w:rPr>
                  <w:rFonts w:cs="Arial"/>
                  <w:sz w:val="20"/>
                  <w:szCs w:val="20"/>
                </w:rPr>
                <w:t>http://itscarrillopuerto.edu.mx/v4.0/</w:t>
              </w:r>
            </w:hyperlink>
            <w:r>
              <w:rPr>
                <w:rFonts w:cs="Arial"/>
                <w:sz w:val="20"/>
                <w:szCs w:val="20"/>
              </w:rPr>
              <w:t>.</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C24B5A0" w14:textId="211E703A" w:rsidR="00E23746" w:rsidRDefault="00E23746" w:rsidP="000B2F10">
            <w:pPr>
              <w:rPr>
                <w:rFonts w:cs="Arial"/>
                <w:sz w:val="20"/>
                <w:szCs w:val="20"/>
              </w:rPr>
            </w:pPr>
            <w:r w:rsidRPr="00172F9E">
              <w:rPr>
                <w:rFonts w:cs="Arial"/>
                <w:sz w:val="20"/>
                <w:szCs w:val="20"/>
              </w:rPr>
              <w:t>Los docentes realizan  de manera equilibrada las funciones sustantivas de docencia, investigación, tutorías, gestión y vinculación.</w:t>
            </w:r>
          </w:p>
          <w:p w14:paraId="77586442" w14:textId="77777777" w:rsidR="00E23746" w:rsidRPr="00172F9E" w:rsidRDefault="00E23746" w:rsidP="000B2F10">
            <w:pPr>
              <w:rPr>
                <w:rFonts w:cs="Arial"/>
                <w:sz w:val="20"/>
                <w:szCs w:val="20"/>
              </w:rPr>
            </w:pPr>
          </w:p>
        </w:tc>
      </w:tr>
      <w:tr w:rsidR="00E23746" w:rsidRPr="00FD08F8" w14:paraId="64195373" w14:textId="77777777" w:rsidTr="00EF09EC">
        <w:trPr>
          <w:trHeight w:val="2412"/>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68DC00E0"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Componente</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B1A78A0" w14:textId="77777777" w:rsidR="00E23746" w:rsidRPr="00172F9E" w:rsidRDefault="00E23746" w:rsidP="000B2F10">
            <w:pPr>
              <w:rPr>
                <w:rFonts w:cs="Arial"/>
                <w:sz w:val="20"/>
                <w:szCs w:val="20"/>
              </w:rPr>
            </w:pPr>
            <w:r w:rsidRPr="00172F9E">
              <w:rPr>
                <w:rFonts w:cs="Arial"/>
                <w:sz w:val="20"/>
                <w:szCs w:val="20"/>
              </w:rPr>
              <w:t>Impulsar la vinculación con instituciones públicas y privadas para la realización del servicio social, prácticas profesionales o su equivalente y modelo dual por parte de los estudiantes de educación superior.</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1927781" w14:textId="77777777" w:rsidR="00E23746" w:rsidRPr="00172F9E" w:rsidRDefault="00E23746" w:rsidP="000B2F10">
            <w:pPr>
              <w:rPr>
                <w:rFonts w:cs="Arial"/>
                <w:sz w:val="20"/>
                <w:szCs w:val="20"/>
              </w:rPr>
            </w:pPr>
            <w:r w:rsidRPr="00574DAC">
              <w:rPr>
                <w:rFonts w:cs="Arial"/>
                <w:sz w:val="20"/>
                <w:szCs w:val="20"/>
              </w:rPr>
              <w:t xml:space="preserve">C03 - </w:t>
            </w:r>
            <w:r w:rsidRPr="00172F9E">
              <w:rPr>
                <w:rFonts w:cs="Arial"/>
                <w:sz w:val="20"/>
                <w:szCs w:val="20"/>
              </w:rPr>
              <w:t>Vinculación Interinstitucional realizada</w:t>
            </w:r>
            <w:r>
              <w:rPr>
                <w:rFonts w:cs="Arial"/>
                <w:sz w:val="20"/>
                <w:szCs w:val="20"/>
              </w:rPr>
              <w:t>.</w:t>
            </w:r>
          </w:p>
        </w:tc>
        <w:tc>
          <w:tcPr>
            <w:tcW w:w="2268" w:type="dxa"/>
            <w:tcBorders>
              <w:top w:val="single" w:sz="4" w:space="0" w:color="auto"/>
              <w:left w:val="single" w:sz="4" w:space="0" w:color="auto"/>
              <w:bottom w:val="single" w:sz="4" w:space="0" w:color="auto"/>
              <w:right w:val="single" w:sz="4" w:space="0" w:color="auto"/>
            </w:tcBorders>
            <w:shd w:val="clear" w:color="FFFFFF" w:fill="FFFFFF"/>
          </w:tcPr>
          <w:p w14:paraId="0AFF607D" w14:textId="77777777" w:rsidR="00E23746" w:rsidRPr="00172F9E" w:rsidRDefault="00E23746" w:rsidP="000B2F10">
            <w:pPr>
              <w:rPr>
                <w:rFonts w:cs="Arial"/>
                <w:sz w:val="20"/>
                <w:szCs w:val="20"/>
              </w:rPr>
            </w:pPr>
            <w:r w:rsidRPr="00574DAC">
              <w:rPr>
                <w:rFonts w:cs="Arial"/>
                <w:sz w:val="20"/>
                <w:szCs w:val="20"/>
              </w:rPr>
              <w:t xml:space="preserve">C03 - </w:t>
            </w:r>
            <w:r w:rsidRPr="00172F9E">
              <w:rPr>
                <w:rFonts w:cs="Arial"/>
                <w:sz w:val="20"/>
                <w:szCs w:val="20"/>
              </w:rPr>
              <w:t>Porcentaje de estudiantes participando en proyectos y/o convenios</w:t>
            </w:r>
            <w:r>
              <w:rPr>
                <w:rFonts w:cs="Arial"/>
                <w:sz w:val="20"/>
                <w:szCs w:val="20"/>
              </w:rPr>
              <w:t>.</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2255FF9" w14:textId="77777777" w:rsidR="00E23746" w:rsidRPr="00172F9E" w:rsidRDefault="00E23746" w:rsidP="000B2F10">
            <w:pPr>
              <w:rPr>
                <w:rFonts w:cs="Arial"/>
                <w:sz w:val="20"/>
                <w:szCs w:val="20"/>
              </w:rPr>
            </w:pPr>
            <w:r w:rsidRPr="00172F9E">
              <w:rPr>
                <w:rFonts w:cs="Arial"/>
                <w:sz w:val="20"/>
                <w:szCs w:val="20"/>
              </w:rPr>
              <w:t xml:space="preserve">Informe de la Honorable Junta Directiva, Dirección General, ITSFCP. </w:t>
            </w:r>
            <w:hyperlink r:id="rId89" w:history="1">
              <w:r w:rsidRPr="00172F9E">
                <w:rPr>
                  <w:rFonts w:cs="Arial"/>
                  <w:sz w:val="20"/>
                  <w:szCs w:val="20"/>
                </w:rPr>
                <w:t>http://itscarrillopuerto.edu.mx/v4.0/</w:t>
              </w:r>
            </w:hyperlink>
            <w:r>
              <w:rPr>
                <w:rFonts w:cs="Arial"/>
                <w:sz w:val="20"/>
                <w:szCs w:val="20"/>
              </w:rPr>
              <w:t>.</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1F99A345" w14:textId="2B23BC4D" w:rsidR="00E23746" w:rsidRPr="00172F9E" w:rsidRDefault="00E23746" w:rsidP="00EF09EC">
            <w:pPr>
              <w:rPr>
                <w:rFonts w:cs="Arial"/>
                <w:sz w:val="20"/>
                <w:szCs w:val="20"/>
              </w:rPr>
            </w:pPr>
            <w:r w:rsidRPr="00172F9E">
              <w:rPr>
                <w:rFonts w:cs="Arial"/>
                <w:sz w:val="20"/>
                <w:szCs w:val="20"/>
              </w:rPr>
              <w:t>Los estudiantes se interesan en participar en los proyectos de vinculación propuestos por las Instituciones de Educación Superior de la Entidad.</w:t>
            </w:r>
          </w:p>
        </w:tc>
      </w:tr>
    </w:tbl>
    <w:p w14:paraId="02105C8C" w14:textId="77777777" w:rsidR="00D36037" w:rsidRDefault="00D36037">
      <w:pPr>
        <w:spacing w:after="0" w:line="240" w:lineRule="auto"/>
        <w:jc w:val="left"/>
      </w:pPr>
      <w:r>
        <w:br w:type="page"/>
      </w:r>
    </w:p>
    <w:tbl>
      <w:tblPr>
        <w:tblW w:w="14029" w:type="dxa"/>
        <w:tblLayout w:type="fixed"/>
        <w:tblCellMar>
          <w:left w:w="70" w:type="dxa"/>
          <w:right w:w="70" w:type="dxa"/>
        </w:tblCellMar>
        <w:tblLook w:val="04A0" w:firstRow="1" w:lastRow="0" w:firstColumn="1" w:lastColumn="0" w:noHBand="0" w:noVBand="1"/>
      </w:tblPr>
      <w:tblGrid>
        <w:gridCol w:w="1271"/>
        <w:gridCol w:w="2835"/>
        <w:gridCol w:w="2835"/>
        <w:gridCol w:w="2268"/>
        <w:gridCol w:w="2693"/>
        <w:gridCol w:w="2127"/>
      </w:tblGrid>
      <w:tr w:rsidR="00E23746" w:rsidRPr="00FD08F8" w14:paraId="775EE36D" w14:textId="77777777" w:rsidTr="003D04F9">
        <w:trPr>
          <w:trHeight w:val="577"/>
        </w:trPr>
        <w:tc>
          <w:tcPr>
            <w:tcW w:w="1271"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3AA34442"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lastRenderedPageBreak/>
              <w:t>NIVEL</w:t>
            </w:r>
          </w:p>
        </w:tc>
        <w:tc>
          <w:tcPr>
            <w:tcW w:w="2835" w:type="dxa"/>
            <w:tcBorders>
              <w:top w:val="single" w:sz="4" w:space="0" w:color="auto"/>
              <w:left w:val="nil"/>
              <w:bottom w:val="single" w:sz="4" w:space="0" w:color="auto"/>
              <w:right w:val="single" w:sz="4" w:space="0" w:color="auto"/>
            </w:tcBorders>
            <w:shd w:val="clear" w:color="000000" w:fill="BFBFBF"/>
            <w:vAlign w:val="center"/>
            <w:hideMark/>
          </w:tcPr>
          <w:p w14:paraId="247E7DE2"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ALINEACIÓN PED/PD</w:t>
            </w:r>
          </w:p>
        </w:tc>
        <w:tc>
          <w:tcPr>
            <w:tcW w:w="2835" w:type="dxa"/>
            <w:tcBorders>
              <w:top w:val="single" w:sz="4" w:space="0" w:color="auto"/>
              <w:left w:val="nil"/>
              <w:bottom w:val="single" w:sz="4" w:space="0" w:color="auto"/>
              <w:right w:val="single" w:sz="4" w:space="0" w:color="auto"/>
            </w:tcBorders>
            <w:shd w:val="clear" w:color="000000" w:fill="BFBFBF"/>
            <w:vAlign w:val="center"/>
            <w:hideMark/>
          </w:tcPr>
          <w:p w14:paraId="23AFFBC7"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OBJETIVO</w:t>
            </w:r>
          </w:p>
        </w:tc>
        <w:tc>
          <w:tcPr>
            <w:tcW w:w="2268" w:type="dxa"/>
            <w:tcBorders>
              <w:top w:val="single" w:sz="4" w:space="0" w:color="auto"/>
              <w:left w:val="nil"/>
              <w:bottom w:val="single" w:sz="4" w:space="0" w:color="auto"/>
              <w:right w:val="single" w:sz="4" w:space="0" w:color="auto"/>
            </w:tcBorders>
            <w:shd w:val="clear" w:color="000000" w:fill="BFBFBF"/>
            <w:vAlign w:val="center"/>
            <w:hideMark/>
          </w:tcPr>
          <w:p w14:paraId="315ACF5F"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INDICADOR</w:t>
            </w:r>
          </w:p>
        </w:tc>
        <w:tc>
          <w:tcPr>
            <w:tcW w:w="2693" w:type="dxa"/>
            <w:tcBorders>
              <w:top w:val="single" w:sz="4" w:space="0" w:color="auto"/>
              <w:left w:val="nil"/>
              <w:bottom w:val="single" w:sz="4" w:space="0" w:color="auto"/>
              <w:right w:val="single" w:sz="4" w:space="0" w:color="auto"/>
            </w:tcBorders>
            <w:shd w:val="clear" w:color="000000" w:fill="BFBFBF"/>
            <w:vAlign w:val="center"/>
            <w:hideMark/>
          </w:tcPr>
          <w:p w14:paraId="03D22D55"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MEDIOS DE VERIFICACIÓN</w:t>
            </w:r>
          </w:p>
        </w:tc>
        <w:tc>
          <w:tcPr>
            <w:tcW w:w="2127" w:type="dxa"/>
            <w:tcBorders>
              <w:top w:val="single" w:sz="4" w:space="0" w:color="auto"/>
              <w:left w:val="nil"/>
              <w:bottom w:val="single" w:sz="4" w:space="0" w:color="auto"/>
              <w:right w:val="single" w:sz="4" w:space="0" w:color="auto"/>
            </w:tcBorders>
            <w:shd w:val="clear" w:color="000000" w:fill="BFBFBF"/>
            <w:vAlign w:val="center"/>
            <w:hideMark/>
          </w:tcPr>
          <w:p w14:paraId="3121C3BC"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SUPUESTO</w:t>
            </w:r>
          </w:p>
        </w:tc>
      </w:tr>
      <w:tr w:rsidR="00E23746" w:rsidRPr="00FD08F8" w14:paraId="50000209" w14:textId="77777777" w:rsidTr="003D04F9">
        <w:trPr>
          <w:trHeight w:val="2412"/>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0E47CE87"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Actividad</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3CAC351" w14:textId="77777777" w:rsidR="00E23746" w:rsidRPr="00EC3323" w:rsidRDefault="00E23746" w:rsidP="000B2F10">
            <w:pPr>
              <w:rPr>
                <w:rFonts w:cs="Arial"/>
                <w:sz w:val="20"/>
                <w:szCs w:val="20"/>
              </w:rPr>
            </w:pPr>
            <w:r w:rsidRPr="00EC3323">
              <w:rPr>
                <w:rFonts w:cs="Arial"/>
                <w:sz w:val="20"/>
                <w:szCs w:val="20"/>
              </w:rPr>
              <w:t>Impulsar la vinculación con instituciones públicas y privadas para la realización del servicio social, prácticas profesionales o su equivalente y modelo dual por parte de los estudiantes de educación superior.</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4B3F60F" w14:textId="77777777" w:rsidR="00E23746" w:rsidRPr="00EC3323" w:rsidRDefault="00E23746" w:rsidP="000B2F10">
            <w:pPr>
              <w:rPr>
                <w:rFonts w:cs="Arial"/>
                <w:sz w:val="20"/>
                <w:szCs w:val="20"/>
              </w:rPr>
            </w:pPr>
            <w:r w:rsidRPr="00574DAC">
              <w:rPr>
                <w:rFonts w:cs="Arial"/>
                <w:sz w:val="20"/>
                <w:szCs w:val="20"/>
              </w:rPr>
              <w:t>C03.A0</w:t>
            </w:r>
            <w:r>
              <w:rPr>
                <w:rFonts w:cs="Arial"/>
                <w:sz w:val="20"/>
                <w:szCs w:val="20"/>
              </w:rPr>
              <w:t>1</w:t>
            </w:r>
            <w:r w:rsidRPr="00574DAC">
              <w:rPr>
                <w:rFonts w:cs="Arial"/>
                <w:sz w:val="20"/>
                <w:szCs w:val="20"/>
              </w:rPr>
              <w:t xml:space="preserve"> - </w:t>
            </w:r>
            <w:r w:rsidRPr="00EC3323">
              <w:rPr>
                <w:rFonts w:cs="Arial"/>
                <w:sz w:val="20"/>
                <w:szCs w:val="20"/>
              </w:rPr>
              <w:t>Vinculación con instituciones públicas, sociales y privadas</w:t>
            </w:r>
            <w:r>
              <w:rPr>
                <w:rFonts w:cs="Arial"/>
                <w:sz w:val="20"/>
                <w:szCs w:val="20"/>
              </w:rPr>
              <w:t>.</w:t>
            </w:r>
          </w:p>
        </w:tc>
        <w:tc>
          <w:tcPr>
            <w:tcW w:w="2268" w:type="dxa"/>
            <w:tcBorders>
              <w:top w:val="single" w:sz="4" w:space="0" w:color="auto"/>
              <w:left w:val="single" w:sz="4" w:space="0" w:color="auto"/>
              <w:bottom w:val="single" w:sz="4" w:space="0" w:color="auto"/>
              <w:right w:val="single" w:sz="4" w:space="0" w:color="auto"/>
            </w:tcBorders>
            <w:shd w:val="clear" w:color="FFFFFF" w:fill="FFFFFF"/>
          </w:tcPr>
          <w:p w14:paraId="46F36C33" w14:textId="77777777" w:rsidR="00E23746" w:rsidRPr="00EC3323" w:rsidRDefault="00E23746" w:rsidP="000B2F10">
            <w:pPr>
              <w:rPr>
                <w:rFonts w:cs="Arial"/>
                <w:sz w:val="20"/>
                <w:szCs w:val="20"/>
              </w:rPr>
            </w:pPr>
            <w:r>
              <w:rPr>
                <w:rFonts w:cs="Arial"/>
                <w:sz w:val="20"/>
                <w:szCs w:val="20"/>
              </w:rPr>
              <w:t>C03A01</w:t>
            </w:r>
            <w:r w:rsidRPr="00574DAC">
              <w:rPr>
                <w:rFonts w:cs="Arial"/>
                <w:sz w:val="20"/>
                <w:szCs w:val="20"/>
              </w:rPr>
              <w:t xml:space="preserve"> - </w:t>
            </w:r>
            <w:r w:rsidRPr="00EC3323">
              <w:rPr>
                <w:rFonts w:cs="Arial"/>
                <w:sz w:val="20"/>
                <w:szCs w:val="20"/>
              </w:rPr>
              <w:t>Número de Convenios vigentes</w:t>
            </w:r>
            <w:r>
              <w:rPr>
                <w:rFonts w:cs="Arial"/>
                <w:sz w:val="20"/>
                <w:szCs w:val="20"/>
              </w:rPr>
              <w:t>.</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38AB6B3" w14:textId="77777777" w:rsidR="00E23746" w:rsidRPr="00EC3323" w:rsidRDefault="00E23746" w:rsidP="000B2F10">
            <w:pPr>
              <w:rPr>
                <w:rFonts w:cs="Arial"/>
                <w:sz w:val="20"/>
                <w:szCs w:val="20"/>
              </w:rPr>
            </w:pPr>
            <w:r w:rsidRPr="00EC3323">
              <w:rPr>
                <w:rFonts w:cs="Arial"/>
                <w:sz w:val="20"/>
                <w:szCs w:val="20"/>
              </w:rPr>
              <w:t xml:space="preserve">Informe de la Honorable Junta Directiva, Dirección General, ITSFCP. </w:t>
            </w:r>
            <w:hyperlink r:id="rId90" w:history="1">
              <w:r w:rsidRPr="00EC3323">
                <w:rPr>
                  <w:rFonts w:cs="Arial"/>
                  <w:sz w:val="20"/>
                  <w:szCs w:val="20"/>
                </w:rPr>
                <w:t>http://itscarrillopuerto.edu.mx/v4.0/</w:t>
              </w:r>
            </w:hyperlink>
            <w:r>
              <w:rPr>
                <w:rFonts w:cs="Arial"/>
                <w:sz w:val="20"/>
                <w:szCs w:val="20"/>
              </w:rPr>
              <w:t>.</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B8FA027" w14:textId="77777777" w:rsidR="00E23746" w:rsidRPr="00EC3323" w:rsidRDefault="00E23746" w:rsidP="000B2F10">
            <w:pPr>
              <w:rPr>
                <w:rFonts w:cs="Arial"/>
                <w:sz w:val="20"/>
                <w:szCs w:val="20"/>
              </w:rPr>
            </w:pPr>
            <w:r w:rsidRPr="00EC3323">
              <w:rPr>
                <w:rFonts w:cs="Arial"/>
                <w:sz w:val="20"/>
                <w:szCs w:val="20"/>
              </w:rPr>
              <w:t>La empresas  e instituciones del sector público y privado cuenta con espacios para la realización del servicio social,  residencias profesionales y proyectos vinculados con el ITSFCP.</w:t>
            </w:r>
          </w:p>
        </w:tc>
      </w:tr>
      <w:tr w:rsidR="00E23746" w:rsidRPr="00FD08F8" w14:paraId="20FB0148" w14:textId="77777777" w:rsidTr="003D04F9">
        <w:trPr>
          <w:trHeight w:val="2412"/>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2B5AF581"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Actividad</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B890E5C" w14:textId="77777777" w:rsidR="00E23746" w:rsidRPr="00EC3323" w:rsidRDefault="00E23746" w:rsidP="000B2F10">
            <w:pPr>
              <w:rPr>
                <w:rFonts w:cs="Arial"/>
                <w:sz w:val="20"/>
                <w:szCs w:val="20"/>
              </w:rPr>
            </w:pPr>
            <w:r w:rsidRPr="00EC3323">
              <w:rPr>
                <w:rFonts w:cs="Arial"/>
                <w:sz w:val="20"/>
                <w:szCs w:val="20"/>
              </w:rPr>
              <w:t>Fortalecer la oferta educativa de las instituciones de educación superior para asegurar la pertinencia con base en las necesidades de la entidad.</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3F8B79D" w14:textId="77777777" w:rsidR="00E23746" w:rsidRPr="00EC3323" w:rsidRDefault="00E23746" w:rsidP="000B2F10">
            <w:pPr>
              <w:rPr>
                <w:rFonts w:cs="Arial"/>
                <w:sz w:val="20"/>
                <w:szCs w:val="20"/>
              </w:rPr>
            </w:pPr>
            <w:r w:rsidRPr="00574DAC">
              <w:rPr>
                <w:rFonts w:cs="Arial"/>
                <w:sz w:val="20"/>
                <w:szCs w:val="20"/>
              </w:rPr>
              <w:t>C03.A0</w:t>
            </w:r>
            <w:r>
              <w:rPr>
                <w:rFonts w:cs="Arial"/>
                <w:sz w:val="20"/>
                <w:szCs w:val="20"/>
              </w:rPr>
              <w:t>2</w:t>
            </w:r>
            <w:r w:rsidRPr="00574DAC">
              <w:rPr>
                <w:rFonts w:cs="Arial"/>
                <w:sz w:val="20"/>
                <w:szCs w:val="20"/>
              </w:rPr>
              <w:t xml:space="preserve"> - </w:t>
            </w:r>
            <w:r w:rsidRPr="00EC3323">
              <w:rPr>
                <w:rFonts w:cs="Arial"/>
                <w:sz w:val="20"/>
                <w:szCs w:val="20"/>
              </w:rPr>
              <w:t>Evaluación de resultados del estudio de seguimiento de egresados .</w:t>
            </w:r>
          </w:p>
        </w:tc>
        <w:tc>
          <w:tcPr>
            <w:tcW w:w="2268" w:type="dxa"/>
            <w:tcBorders>
              <w:top w:val="single" w:sz="4" w:space="0" w:color="auto"/>
              <w:left w:val="single" w:sz="4" w:space="0" w:color="auto"/>
              <w:bottom w:val="single" w:sz="4" w:space="0" w:color="auto"/>
              <w:right w:val="single" w:sz="4" w:space="0" w:color="auto"/>
            </w:tcBorders>
            <w:shd w:val="clear" w:color="FFFFFF" w:fill="FFFFFF"/>
          </w:tcPr>
          <w:p w14:paraId="67A8D3DB" w14:textId="77777777" w:rsidR="00E23746" w:rsidRPr="00EC3323" w:rsidRDefault="00E23746" w:rsidP="000B2F10">
            <w:pPr>
              <w:rPr>
                <w:rFonts w:cs="Arial"/>
                <w:sz w:val="20"/>
                <w:szCs w:val="20"/>
              </w:rPr>
            </w:pPr>
            <w:r w:rsidRPr="00574DAC">
              <w:rPr>
                <w:rFonts w:cs="Arial"/>
                <w:sz w:val="20"/>
                <w:szCs w:val="20"/>
              </w:rPr>
              <w:t>C03A0</w:t>
            </w:r>
            <w:r>
              <w:rPr>
                <w:rFonts w:cs="Arial"/>
                <w:sz w:val="20"/>
                <w:szCs w:val="20"/>
              </w:rPr>
              <w:t>1</w:t>
            </w:r>
            <w:r w:rsidRPr="00574DAC">
              <w:rPr>
                <w:rFonts w:cs="Arial"/>
                <w:sz w:val="20"/>
                <w:szCs w:val="20"/>
              </w:rPr>
              <w:t xml:space="preserve"> - </w:t>
            </w:r>
            <w:r w:rsidRPr="00EC3323">
              <w:rPr>
                <w:rFonts w:cs="Arial"/>
                <w:sz w:val="20"/>
                <w:szCs w:val="20"/>
              </w:rPr>
              <w:t>Porcentaje de egresados incorporados al mercado laboral.</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2D45FE2" w14:textId="77777777" w:rsidR="00E23746" w:rsidRPr="00EC3323" w:rsidRDefault="00E23746" w:rsidP="000B2F10">
            <w:pPr>
              <w:rPr>
                <w:rFonts w:cs="Arial"/>
                <w:sz w:val="20"/>
                <w:szCs w:val="20"/>
              </w:rPr>
            </w:pPr>
            <w:r w:rsidRPr="00EC3323">
              <w:rPr>
                <w:rFonts w:cs="Arial"/>
                <w:sz w:val="20"/>
                <w:szCs w:val="20"/>
              </w:rPr>
              <w:t xml:space="preserve">Informe de la Honorable Junta Directiva, Dirección General, ITSFCP. </w:t>
            </w:r>
            <w:hyperlink r:id="rId91" w:history="1">
              <w:r w:rsidRPr="00EC3323">
                <w:rPr>
                  <w:rFonts w:cs="Arial"/>
                  <w:sz w:val="20"/>
                  <w:szCs w:val="20"/>
                </w:rPr>
                <w:t>http://itscarrillopuerto.edu.mx/v4.0/</w:t>
              </w:r>
            </w:hyperlink>
            <w:r>
              <w:rPr>
                <w:rFonts w:cs="Arial"/>
                <w:sz w:val="20"/>
                <w:szCs w:val="20"/>
              </w:rPr>
              <w:t>.</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86F4D73" w14:textId="77777777" w:rsidR="00E23746" w:rsidRPr="00EC3323" w:rsidRDefault="00E23746" w:rsidP="000B2F10">
            <w:pPr>
              <w:rPr>
                <w:rFonts w:cs="Arial"/>
                <w:sz w:val="20"/>
                <w:szCs w:val="20"/>
              </w:rPr>
            </w:pPr>
            <w:r w:rsidRPr="00EC3323">
              <w:rPr>
                <w:rFonts w:cs="Arial"/>
                <w:sz w:val="20"/>
                <w:szCs w:val="20"/>
              </w:rPr>
              <w:t>Los alumnos egresados encuentran un trabajo acorde a su perfil de egreso.</w:t>
            </w:r>
          </w:p>
        </w:tc>
      </w:tr>
    </w:tbl>
    <w:p w14:paraId="586CEC17" w14:textId="77777777" w:rsidR="00E23746" w:rsidRDefault="00E23746" w:rsidP="00E23746">
      <w:pPr>
        <w:rPr>
          <w:rFonts w:eastAsia="Calibri" w:cs="Arial"/>
          <w:bCs/>
          <w:color w:val="595959" w:themeColor="text1" w:themeTint="A6"/>
          <w:sz w:val="18"/>
          <w:szCs w:val="20"/>
        </w:rPr>
      </w:pPr>
      <w:r w:rsidRPr="0093279A">
        <w:rPr>
          <w:rFonts w:eastAsia="Calibri" w:cs="Arial"/>
          <w:bCs/>
          <w:color w:val="595959" w:themeColor="text1" w:themeTint="A6"/>
          <w:sz w:val="18"/>
          <w:szCs w:val="20"/>
        </w:rPr>
        <w:t>El anexo aquí presentado es perfectible, y se encuentra susceptible de modificaciones programáticas toda vez que así se le indique por observaciones de auditorías, evaluaciones al desempeño y revisiones de la Secretaría de Finanzas y Planeación antes y durante el ejercicio fiscal del que se trate, así como también, cuando las condiciones del Ente Público responsable de dicha información programática requiera hacer modificaciones a sus necesidades institucionales, atendiendo a lo establecido en los Lineamientos para la Creación, Modificación y Cancelación de Programas Presupuestarios y para la Modificación de Metas del Gobierno del Estado de Quintana Roo.</w:t>
      </w:r>
    </w:p>
    <w:p w14:paraId="47AA3098" w14:textId="77777777" w:rsidR="00E23746" w:rsidRDefault="00E23746" w:rsidP="00E23746">
      <w:pPr>
        <w:rPr>
          <w:lang w:val="es-MX" w:eastAsia="en-US"/>
        </w:rPr>
      </w:pPr>
      <w:r>
        <w:rPr>
          <w:lang w:val="es-MX" w:eastAsia="en-US"/>
        </w:rPr>
        <w:br w:type="page"/>
      </w:r>
    </w:p>
    <w:tbl>
      <w:tblPr>
        <w:tblW w:w="14029" w:type="dxa"/>
        <w:tblLayout w:type="fixed"/>
        <w:tblCellMar>
          <w:left w:w="70" w:type="dxa"/>
          <w:right w:w="70" w:type="dxa"/>
        </w:tblCellMar>
        <w:tblLook w:val="04A0" w:firstRow="1" w:lastRow="0" w:firstColumn="1" w:lastColumn="0" w:noHBand="0" w:noVBand="1"/>
      </w:tblPr>
      <w:tblGrid>
        <w:gridCol w:w="1271"/>
        <w:gridCol w:w="2835"/>
        <w:gridCol w:w="2552"/>
        <w:gridCol w:w="2409"/>
        <w:gridCol w:w="2552"/>
        <w:gridCol w:w="2410"/>
      </w:tblGrid>
      <w:tr w:rsidR="00E23746" w:rsidRPr="00FD08F8" w14:paraId="4BE03A2E" w14:textId="77777777" w:rsidTr="000B2F10">
        <w:trPr>
          <w:trHeight w:val="720"/>
        </w:trPr>
        <w:tc>
          <w:tcPr>
            <w:tcW w:w="4106" w:type="dxa"/>
            <w:gridSpan w:val="2"/>
            <w:tcBorders>
              <w:top w:val="single" w:sz="4" w:space="0" w:color="auto"/>
              <w:left w:val="single" w:sz="4" w:space="0" w:color="auto"/>
              <w:bottom w:val="single" w:sz="4" w:space="0" w:color="auto"/>
              <w:right w:val="single" w:sz="4" w:space="0" w:color="000000"/>
            </w:tcBorders>
            <w:shd w:val="clear" w:color="000000" w:fill="BFBFBF"/>
            <w:vAlign w:val="center"/>
            <w:hideMark/>
          </w:tcPr>
          <w:p w14:paraId="67171002"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lastRenderedPageBreak/>
              <w:t>PROGRAMA PRESUPUESTARIO:</w:t>
            </w:r>
          </w:p>
        </w:tc>
        <w:tc>
          <w:tcPr>
            <w:tcW w:w="9923" w:type="dxa"/>
            <w:gridSpan w:val="4"/>
            <w:tcBorders>
              <w:top w:val="single" w:sz="4" w:space="0" w:color="auto"/>
              <w:left w:val="nil"/>
              <w:bottom w:val="single" w:sz="4" w:space="0" w:color="auto"/>
              <w:right w:val="single" w:sz="4" w:space="0" w:color="auto"/>
            </w:tcBorders>
            <w:shd w:val="clear" w:color="auto" w:fill="auto"/>
            <w:vAlign w:val="center"/>
            <w:hideMark/>
          </w:tcPr>
          <w:p w14:paraId="7ACDFFEE" w14:textId="77777777" w:rsidR="00E23746" w:rsidRPr="00FD08F8" w:rsidRDefault="00E23746" w:rsidP="000B2F10">
            <w:pPr>
              <w:spacing w:after="0" w:line="240" w:lineRule="auto"/>
              <w:jc w:val="left"/>
              <w:rPr>
                <w:rFonts w:eastAsia="Times New Roman" w:cs="Arial"/>
                <w:sz w:val="20"/>
                <w:szCs w:val="20"/>
                <w:lang w:val="es-MX" w:eastAsia="es-MX"/>
              </w:rPr>
            </w:pPr>
            <w:r w:rsidRPr="00B10F4A">
              <w:rPr>
                <w:rFonts w:eastAsia="Times New Roman" w:cs="Arial"/>
                <w:sz w:val="20"/>
                <w:szCs w:val="20"/>
                <w:lang w:val="es-MX" w:eastAsia="es-MX"/>
              </w:rPr>
              <w:t>Universidad de Quintana Roo</w:t>
            </w:r>
            <w:r>
              <w:rPr>
                <w:rFonts w:eastAsia="Times New Roman" w:cs="Arial"/>
                <w:sz w:val="20"/>
                <w:szCs w:val="20"/>
                <w:lang w:val="es-MX" w:eastAsia="es-MX"/>
              </w:rPr>
              <w:t>.</w:t>
            </w:r>
          </w:p>
        </w:tc>
      </w:tr>
      <w:tr w:rsidR="00E23746" w:rsidRPr="00FD08F8" w14:paraId="1E1E853E" w14:textId="77777777" w:rsidTr="000B2F10">
        <w:trPr>
          <w:trHeight w:val="552"/>
        </w:trPr>
        <w:tc>
          <w:tcPr>
            <w:tcW w:w="4106" w:type="dxa"/>
            <w:gridSpan w:val="2"/>
            <w:tcBorders>
              <w:top w:val="single" w:sz="4" w:space="0" w:color="auto"/>
              <w:left w:val="single" w:sz="4" w:space="0" w:color="auto"/>
              <w:bottom w:val="single" w:sz="4" w:space="0" w:color="auto"/>
              <w:right w:val="single" w:sz="4" w:space="0" w:color="000000"/>
            </w:tcBorders>
            <w:shd w:val="clear" w:color="000000" w:fill="BFBFBF"/>
            <w:vAlign w:val="center"/>
            <w:hideMark/>
          </w:tcPr>
          <w:p w14:paraId="7424E620"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INSTITUCIÓN:</w:t>
            </w:r>
          </w:p>
        </w:tc>
        <w:tc>
          <w:tcPr>
            <w:tcW w:w="9923" w:type="dxa"/>
            <w:gridSpan w:val="4"/>
            <w:tcBorders>
              <w:top w:val="single" w:sz="4" w:space="0" w:color="auto"/>
              <w:left w:val="nil"/>
              <w:bottom w:val="single" w:sz="4" w:space="0" w:color="auto"/>
              <w:right w:val="single" w:sz="4" w:space="0" w:color="auto"/>
            </w:tcBorders>
            <w:shd w:val="clear" w:color="auto" w:fill="auto"/>
            <w:vAlign w:val="center"/>
            <w:hideMark/>
          </w:tcPr>
          <w:p w14:paraId="469D5DA6" w14:textId="77777777" w:rsidR="00E23746" w:rsidRPr="00FD08F8" w:rsidRDefault="00E23746" w:rsidP="000B2F10">
            <w:pPr>
              <w:spacing w:after="0" w:line="240" w:lineRule="auto"/>
              <w:jc w:val="left"/>
              <w:rPr>
                <w:rFonts w:eastAsia="Times New Roman" w:cs="Arial"/>
                <w:sz w:val="20"/>
                <w:szCs w:val="20"/>
                <w:lang w:val="es-MX" w:eastAsia="es-MX"/>
              </w:rPr>
            </w:pPr>
            <w:r w:rsidRPr="00FD08F8">
              <w:rPr>
                <w:rFonts w:eastAsia="Times New Roman" w:cs="Arial"/>
                <w:sz w:val="20"/>
                <w:szCs w:val="20"/>
                <w:lang w:val="es-MX" w:eastAsia="es-MX"/>
              </w:rPr>
              <w:t>1109 Secretaría de Educación de Quintana Roo</w:t>
            </w:r>
            <w:r>
              <w:rPr>
                <w:rFonts w:eastAsia="Times New Roman" w:cs="Arial"/>
                <w:sz w:val="20"/>
                <w:szCs w:val="20"/>
                <w:lang w:val="es-MX" w:eastAsia="es-MX"/>
              </w:rPr>
              <w:t>.</w:t>
            </w:r>
          </w:p>
        </w:tc>
      </w:tr>
      <w:tr w:rsidR="00E23746" w:rsidRPr="00FD08F8" w14:paraId="6066AE2D" w14:textId="77777777" w:rsidTr="000B2F10">
        <w:trPr>
          <w:trHeight w:val="282"/>
        </w:trPr>
        <w:tc>
          <w:tcPr>
            <w:tcW w:w="1271" w:type="dxa"/>
            <w:tcBorders>
              <w:top w:val="nil"/>
              <w:left w:val="nil"/>
              <w:bottom w:val="nil"/>
              <w:right w:val="nil"/>
            </w:tcBorders>
            <w:shd w:val="clear" w:color="auto" w:fill="auto"/>
            <w:hideMark/>
          </w:tcPr>
          <w:p w14:paraId="13EA707F" w14:textId="77777777" w:rsidR="00E23746" w:rsidRPr="00FD08F8" w:rsidRDefault="00E23746" w:rsidP="000B2F10">
            <w:pPr>
              <w:spacing w:after="0" w:line="240" w:lineRule="auto"/>
              <w:jc w:val="left"/>
              <w:rPr>
                <w:rFonts w:eastAsia="Times New Roman" w:cs="Arial"/>
                <w:sz w:val="20"/>
                <w:szCs w:val="20"/>
                <w:lang w:val="es-MX" w:eastAsia="es-MX"/>
              </w:rPr>
            </w:pPr>
          </w:p>
        </w:tc>
        <w:tc>
          <w:tcPr>
            <w:tcW w:w="2835" w:type="dxa"/>
            <w:tcBorders>
              <w:top w:val="nil"/>
              <w:left w:val="nil"/>
              <w:bottom w:val="nil"/>
              <w:right w:val="nil"/>
            </w:tcBorders>
            <w:shd w:val="clear" w:color="auto" w:fill="auto"/>
            <w:hideMark/>
          </w:tcPr>
          <w:p w14:paraId="23EA6ADD" w14:textId="77777777" w:rsidR="00E23746" w:rsidRPr="00FD08F8" w:rsidRDefault="00E23746" w:rsidP="000B2F10">
            <w:pPr>
              <w:spacing w:after="0" w:line="240" w:lineRule="auto"/>
              <w:jc w:val="left"/>
              <w:rPr>
                <w:rFonts w:ascii="Times New Roman" w:eastAsia="Times New Roman" w:hAnsi="Times New Roman" w:cs="Times New Roman"/>
                <w:sz w:val="20"/>
                <w:szCs w:val="20"/>
                <w:lang w:val="es-MX" w:eastAsia="es-MX"/>
              </w:rPr>
            </w:pPr>
          </w:p>
        </w:tc>
        <w:tc>
          <w:tcPr>
            <w:tcW w:w="2552" w:type="dxa"/>
            <w:tcBorders>
              <w:top w:val="nil"/>
              <w:left w:val="nil"/>
              <w:bottom w:val="nil"/>
              <w:right w:val="nil"/>
            </w:tcBorders>
            <w:shd w:val="clear" w:color="auto" w:fill="auto"/>
            <w:hideMark/>
          </w:tcPr>
          <w:p w14:paraId="731278FF" w14:textId="77777777" w:rsidR="00E23746" w:rsidRPr="00FD08F8" w:rsidRDefault="00E23746" w:rsidP="000B2F10">
            <w:pPr>
              <w:spacing w:after="0" w:line="240" w:lineRule="auto"/>
              <w:jc w:val="left"/>
              <w:rPr>
                <w:rFonts w:ascii="Times New Roman" w:eastAsia="Times New Roman" w:hAnsi="Times New Roman" w:cs="Times New Roman"/>
                <w:sz w:val="20"/>
                <w:szCs w:val="20"/>
                <w:lang w:val="es-MX" w:eastAsia="es-MX"/>
              </w:rPr>
            </w:pPr>
          </w:p>
        </w:tc>
        <w:tc>
          <w:tcPr>
            <w:tcW w:w="2409" w:type="dxa"/>
            <w:tcBorders>
              <w:top w:val="nil"/>
              <w:left w:val="nil"/>
              <w:bottom w:val="nil"/>
              <w:right w:val="nil"/>
            </w:tcBorders>
            <w:shd w:val="clear" w:color="auto" w:fill="auto"/>
            <w:hideMark/>
          </w:tcPr>
          <w:p w14:paraId="26B8D13D" w14:textId="77777777" w:rsidR="00E23746" w:rsidRPr="00FD08F8" w:rsidRDefault="00E23746" w:rsidP="000B2F10">
            <w:pPr>
              <w:spacing w:after="0" w:line="240" w:lineRule="auto"/>
              <w:jc w:val="left"/>
              <w:rPr>
                <w:rFonts w:ascii="Times New Roman" w:eastAsia="Times New Roman" w:hAnsi="Times New Roman" w:cs="Times New Roman"/>
                <w:sz w:val="20"/>
                <w:szCs w:val="20"/>
                <w:lang w:val="es-MX" w:eastAsia="es-MX"/>
              </w:rPr>
            </w:pPr>
          </w:p>
        </w:tc>
        <w:tc>
          <w:tcPr>
            <w:tcW w:w="2552" w:type="dxa"/>
            <w:tcBorders>
              <w:top w:val="nil"/>
              <w:left w:val="nil"/>
              <w:bottom w:val="nil"/>
              <w:right w:val="nil"/>
            </w:tcBorders>
            <w:shd w:val="clear" w:color="auto" w:fill="auto"/>
            <w:hideMark/>
          </w:tcPr>
          <w:p w14:paraId="1B3FDBB7" w14:textId="77777777" w:rsidR="00E23746" w:rsidRPr="00FD08F8" w:rsidRDefault="00E23746" w:rsidP="000B2F10">
            <w:pPr>
              <w:spacing w:after="0" w:line="240" w:lineRule="auto"/>
              <w:jc w:val="left"/>
              <w:rPr>
                <w:rFonts w:ascii="Times New Roman" w:eastAsia="Times New Roman" w:hAnsi="Times New Roman" w:cs="Times New Roman"/>
                <w:sz w:val="20"/>
                <w:szCs w:val="20"/>
                <w:lang w:val="es-MX" w:eastAsia="es-MX"/>
              </w:rPr>
            </w:pPr>
          </w:p>
        </w:tc>
        <w:tc>
          <w:tcPr>
            <w:tcW w:w="2410" w:type="dxa"/>
            <w:tcBorders>
              <w:top w:val="nil"/>
              <w:left w:val="nil"/>
              <w:bottom w:val="nil"/>
              <w:right w:val="nil"/>
            </w:tcBorders>
            <w:shd w:val="clear" w:color="auto" w:fill="auto"/>
            <w:hideMark/>
          </w:tcPr>
          <w:p w14:paraId="7BDCCB0D" w14:textId="77777777" w:rsidR="00E23746" w:rsidRPr="00FD08F8" w:rsidRDefault="00E23746" w:rsidP="000B2F10">
            <w:pPr>
              <w:spacing w:after="0" w:line="240" w:lineRule="auto"/>
              <w:jc w:val="left"/>
              <w:rPr>
                <w:rFonts w:ascii="Times New Roman" w:eastAsia="Times New Roman" w:hAnsi="Times New Roman" w:cs="Times New Roman"/>
                <w:sz w:val="20"/>
                <w:szCs w:val="20"/>
                <w:lang w:val="es-MX" w:eastAsia="es-MX"/>
              </w:rPr>
            </w:pPr>
          </w:p>
        </w:tc>
      </w:tr>
      <w:tr w:rsidR="00E23746" w:rsidRPr="00FD08F8" w14:paraId="2EE76A4B" w14:textId="77777777" w:rsidTr="000B2F10">
        <w:trPr>
          <w:trHeight w:val="375"/>
        </w:trPr>
        <w:tc>
          <w:tcPr>
            <w:tcW w:w="14029" w:type="dxa"/>
            <w:gridSpan w:val="6"/>
            <w:tcBorders>
              <w:top w:val="single" w:sz="4" w:space="0" w:color="auto"/>
              <w:left w:val="single" w:sz="4" w:space="0" w:color="auto"/>
              <w:bottom w:val="single" w:sz="4" w:space="0" w:color="auto"/>
              <w:right w:val="single" w:sz="4" w:space="0" w:color="000000"/>
            </w:tcBorders>
            <w:shd w:val="clear" w:color="000000" w:fill="BFBFBF"/>
            <w:vAlign w:val="center"/>
            <w:hideMark/>
          </w:tcPr>
          <w:p w14:paraId="5E34E94F"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MATRIZ DE INDICADORES PARA RESULTADOS (MIR)</w:t>
            </w:r>
          </w:p>
        </w:tc>
      </w:tr>
      <w:tr w:rsidR="00E23746" w:rsidRPr="00FD08F8" w14:paraId="3A87922A" w14:textId="77777777" w:rsidTr="003D04F9">
        <w:trPr>
          <w:trHeight w:val="577"/>
        </w:trPr>
        <w:tc>
          <w:tcPr>
            <w:tcW w:w="1271" w:type="dxa"/>
            <w:tcBorders>
              <w:top w:val="nil"/>
              <w:left w:val="single" w:sz="4" w:space="0" w:color="auto"/>
              <w:bottom w:val="single" w:sz="4" w:space="0" w:color="auto"/>
              <w:right w:val="single" w:sz="4" w:space="0" w:color="auto"/>
            </w:tcBorders>
            <w:shd w:val="clear" w:color="000000" w:fill="BFBFBF"/>
            <w:vAlign w:val="center"/>
            <w:hideMark/>
          </w:tcPr>
          <w:p w14:paraId="7EE59CFA"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NIVEL</w:t>
            </w:r>
          </w:p>
        </w:tc>
        <w:tc>
          <w:tcPr>
            <w:tcW w:w="2835" w:type="dxa"/>
            <w:tcBorders>
              <w:top w:val="nil"/>
              <w:left w:val="nil"/>
              <w:bottom w:val="single" w:sz="4" w:space="0" w:color="auto"/>
              <w:right w:val="single" w:sz="4" w:space="0" w:color="auto"/>
            </w:tcBorders>
            <w:shd w:val="clear" w:color="000000" w:fill="BFBFBF"/>
            <w:vAlign w:val="center"/>
            <w:hideMark/>
          </w:tcPr>
          <w:p w14:paraId="49C42BF0"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ALINEACIÓN PED/PD</w:t>
            </w:r>
          </w:p>
        </w:tc>
        <w:tc>
          <w:tcPr>
            <w:tcW w:w="2552" w:type="dxa"/>
            <w:tcBorders>
              <w:top w:val="nil"/>
              <w:left w:val="nil"/>
              <w:bottom w:val="single" w:sz="4" w:space="0" w:color="auto"/>
              <w:right w:val="single" w:sz="4" w:space="0" w:color="auto"/>
            </w:tcBorders>
            <w:shd w:val="clear" w:color="000000" w:fill="BFBFBF"/>
            <w:vAlign w:val="center"/>
            <w:hideMark/>
          </w:tcPr>
          <w:p w14:paraId="05D67F9E"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OBJETIVO</w:t>
            </w:r>
          </w:p>
        </w:tc>
        <w:tc>
          <w:tcPr>
            <w:tcW w:w="2409" w:type="dxa"/>
            <w:tcBorders>
              <w:top w:val="nil"/>
              <w:left w:val="nil"/>
              <w:bottom w:val="single" w:sz="4" w:space="0" w:color="auto"/>
              <w:right w:val="single" w:sz="4" w:space="0" w:color="auto"/>
            </w:tcBorders>
            <w:shd w:val="clear" w:color="000000" w:fill="BFBFBF"/>
            <w:vAlign w:val="center"/>
            <w:hideMark/>
          </w:tcPr>
          <w:p w14:paraId="10EA7351"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INDICADOR</w:t>
            </w:r>
          </w:p>
        </w:tc>
        <w:tc>
          <w:tcPr>
            <w:tcW w:w="2552" w:type="dxa"/>
            <w:tcBorders>
              <w:top w:val="nil"/>
              <w:left w:val="nil"/>
              <w:bottom w:val="single" w:sz="4" w:space="0" w:color="auto"/>
              <w:right w:val="single" w:sz="4" w:space="0" w:color="auto"/>
            </w:tcBorders>
            <w:shd w:val="clear" w:color="000000" w:fill="BFBFBF"/>
            <w:vAlign w:val="center"/>
            <w:hideMark/>
          </w:tcPr>
          <w:p w14:paraId="0D56B6A2"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MEDIOS DE VERIFICACIÓN</w:t>
            </w:r>
          </w:p>
        </w:tc>
        <w:tc>
          <w:tcPr>
            <w:tcW w:w="2410" w:type="dxa"/>
            <w:tcBorders>
              <w:top w:val="nil"/>
              <w:left w:val="nil"/>
              <w:bottom w:val="single" w:sz="4" w:space="0" w:color="auto"/>
              <w:right w:val="single" w:sz="4" w:space="0" w:color="auto"/>
            </w:tcBorders>
            <w:shd w:val="clear" w:color="000000" w:fill="BFBFBF"/>
            <w:vAlign w:val="center"/>
            <w:hideMark/>
          </w:tcPr>
          <w:p w14:paraId="52A90DE9"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SUPUESTO</w:t>
            </w:r>
          </w:p>
        </w:tc>
      </w:tr>
      <w:tr w:rsidR="00E23746" w:rsidRPr="00FD08F8" w14:paraId="044E02BA" w14:textId="77777777" w:rsidTr="003D04F9">
        <w:trPr>
          <w:trHeight w:val="2136"/>
        </w:trPr>
        <w:tc>
          <w:tcPr>
            <w:tcW w:w="1271" w:type="dxa"/>
            <w:tcBorders>
              <w:top w:val="single" w:sz="4" w:space="0" w:color="auto"/>
              <w:left w:val="single" w:sz="4" w:space="0" w:color="auto"/>
              <w:bottom w:val="single" w:sz="4" w:space="0" w:color="auto"/>
              <w:right w:val="single" w:sz="4" w:space="0" w:color="auto"/>
            </w:tcBorders>
            <w:shd w:val="clear" w:color="auto" w:fill="auto"/>
            <w:hideMark/>
          </w:tcPr>
          <w:p w14:paraId="7DFF2C05"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Fin</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148C90E" w14:textId="77777777" w:rsidR="00E23746" w:rsidRPr="00572B26" w:rsidRDefault="00E23746" w:rsidP="000B2F10">
            <w:pPr>
              <w:rPr>
                <w:rFonts w:cs="Arial"/>
                <w:sz w:val="20"/>
                <w:szCs w:val="20"/>
              </w:rPr>
            </w:pPr>
            <w:r w:rsidRPr="00572B26">
              <w:rPr>
                <w:rFonts w:cs="Arial"/>
                <w:sz w:val="20"/>
                <w:szCs w:val="20"/>
              </w:rPr>
              <w:t>Garantizar el acceso y permanencia a una educación inclusiva y de calidad en todos los niveles educativos que promueva en los educandos aprendizajes para la vida.</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0560710" w14:textId="77777777" w:rsidR="00E23746" w:rsidRPr="00572B26" w:rsidRDefault="00E23746" w:rsidP="000B2F10">
            <w:pPr>
              <w:rPr>
                <w:rFonts w:cs="Arial"/>
                <w:sz w:val="20"/>
                <w:szCs w:val="20"/>
              </w:rPr>
            </w:pPr>
            <w:r w:rsidRPr="00572B26">
              <w:rPr>
                <w:rFonts w:cs="Arial"/>
                <w:sz w:val="20"/>
                <w:szCs w:val="20"/>
              </w:rPr>
              <w:t>F - Contribuir a garantizar el acceso y permanencia a una educación inclusiva y de calidad en todos los niveles educativos que promueva en los educandos aprendizajes para la vida mediante estrategias de atención a la demanda y permanencia en todos los niveles educativos.</w:t>
            </w:r>
          </w:p>
        </w:tc>
        <w:tc>
          <w:tcPr>
            <w:tcW w:w="2409" w:type="dxa"/>
            <w:tcBorders>
              <w:top w:val="single" w:sz="4" w:space="0" w:color="auto"/>
              <w:left w:val="single" w:sz="4" w:space="0" w:color="auto"/>
              <w:bottom w:val="single" w:sz="4" w:space="0" w:color="auto"/>
              <w:right w:val="single" w:sz="4" w:space="0" w:color="auto"/>
            </w:tcBorders>
            <w:shd w:val="clear" w:color="FFFFFF" w:fill="FFFFFF"/>
          </w:tcPr>
          <w:p w14:paraId="1F59B6A6" w14:textId="77777777" w:rsidR="00E23746" w:rsidRPr="00572B26" w:rsidRDefault="00E23746" w:rsidP="000B2F10">
            <w:pPr>
              <w:rPr>
                <w:rFonts w:cs="Arial"/>
                <w:sz w:val="20"/>
                <w:szCs w:val="20"/>
              </w:rPr>
            </w:pPr>
            <w:r w:rsidRPr="00572B26">
              <w:rPr>
                <w:rFonts w:cs="Arial"/>
                <w:sz w:val="20"/>
                <w:szCs w:val="20"/>
              </w:rPr>
              <w:t>Tasa de cobertura estatal de educación  superior.</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FC0BCDF" w14:textId="77777777" w:rsidR="00E23746" w:rsidRPr="00572B26" w:rsidRDefault="00E23746" w:rsidP="000B2F10">
            <w:pPr>
              <w:rPr>
                <w:rFonts w:cs="Arial"/>
                <w:sz w:val="20"/>
                <w:szCs w:val="20"/>
              </w:rPr>
            </w:pPr>
            <w:r w:rsidRPr="00572B26">
              <w:rPr>
                <w:rFonts w:cs="Arial"/>
                <w:sz w:val="20"/>
                <w:szCs w:val="20"/>
              </w:rPr>
              <w:t>Estadísticas continúas del formato 911, matrícula de inicio de ciclo escolar, SEQ. Proyecciones de población por edad desplegada, entidad federativa (Quintana Roo) 1970-2050, CONAPO. Liga:qroo.gob.mx/seq/medios-de-verificacion-de-la-planeacion-anual</w:t>
            </w:r>
            <w:r>
              <w:rPr>
                <w:rFonts w:cs="Arial"/>
                <w:sz w:val="20"/>
                <w:szCs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01A8430" w14:textId="77777777" w:rsidR="00E23746" w:rsidRPr="00572B26" w:rsidRDefault="00E23746" w:rsidP="000B2F10">
            <w:pPr>
              <w:rPr>
                <w:rFonts w:cs="Arial"/>
                <w:sz w:val="20"/>
                <w:szCs w:val="20"/>
              </w:rPr>
            </w:pPr>
            <w:r w:rsidRPr="00572B26">
              <w:rPr>
                <w:rFonts w:cs="Arial"/>
                <w:sz w:val="20"/>
                <w:szCs w:val="20"/>
              </w:rPr>
              <w:t>La población del Estado obtiene una educación integral de calidad que les permite progresar individual y colectivamente.</w:t>
            </w:r>
          </w:p>
        </w:tc>
      </w:tr>
    </w:tbl>
    <w:p w14:paraId="68BCA185" w14:textId="77777777" w:rsidR="00D36037" w:rsidRDefault="00D36037">
      <w:pPr>
        <w:spacing w:after="0" w:line="240" w:lineRule="auto"/>
        <w:jc w:val="left"/>
      </w:pPr>
      <w:r>
        <w:br w:type="page"/>
      </w:r>
    </w:p>
    <w:tbl>
      <w:tblPr>
        <w:tblW w:w="14029" w:type="dxa"/>
        <w:tblLayout w:type="fixed"/>
        <w:tblCellMar>
          <w:left w:w="70" w:type="dxa"/>
          <w:right w:w="70" w:type="dxa"/>
        </w:tblCellMar>
        <w:tblLook w:val="04A0" w:firstRow="1" w:lastRow="0" w:firstColumn="1" w:lastColumn="0" w:noHBand="0" w:noVBand="1"/>
      </w:tblPr>
      <w:tblGrid>
        <w:gridCol w:w="1413"/>
        <w:gridCol w:w="2693"/>
        <w:gridCol w:w="2552"/>
        <w:gridCol w:w="2409"/>
        <w:gridCol w:w="2552"/>
        <w:gridCol w:w="2410"/>
      </w:tblGrid>
      <w:tr w:rsidR="00E23746" w:rsidRPr="00FD08F8" w14:paraId="1F1CD27C" w14:textId="77777777" w:rsidTr="00EF09EC">
        <w:trPr>
          <w:trHeight w:val="577"/>
        </w:trPr>
        <w:tc>
          <w:tcPr>
            <w:tcW w:w="1413"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15AB054D"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lastRenderedPageBreak/>
              <w:t>NIVEL</w:t>
            </w:r>
          </w:p>
        </w:tc>
        <w:tc>
          <w:tcPr>
            <w:tcW w:w="2693" w:type="dxa"/>
            <w:tcBorders>
              <w:top w:val="single" w:sz="4" w:space="0" w:color="auto"/>
              <w:left w:val="nil"/>
              <w:bottom w:val="single" w:sz="4" w:space="0" w:color="auto"/>
              <w:right w:val="single" w:sz="4" w:space="0" w:color="auto"/>
            </w:tcBorders>
            <w:shd w:val="clear" w:color="000000" w:fill="BFBFBF"/>
            <w:vAlign w:val="center"/>
            <w:hideMark/>
          </w:tcPr>
          <w:p w14:paraId="5CF7066E"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ALINEACIÓN PED/PD</w:t>
            </w:r>
          </w:p>
        </w:tc>
        <w:tc>
          <w:tcPr>
            <w:tcW w:w="2552" w:type="dxa"/>
            <w:tcBorders>
              <w:top w:val="single" w:sz="4" w:space="0" w:color="auto"/>
              <w:left w:val="nil"/>
              <w:bottom w:val="single" w:sz="4" w:space="0" w:color="auto"/>
              <w:right w:val="single" w:sz="4" w:space="0" w:color="auto"/>
            </w:tcBorders>
            <w:shd w:val="clear" w:color="000000" w:fill="BFBFBF"/>
            <w:vAlign w:val="center"/>
            <w:hideMark/>
          </w:tcPr>
          <w:p w14:paraId="0BBE914A"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OBJETIVO</w:t>
            </w:r>
          </w:p>
        </w:tc>
        <w:tc>
          <w:tcPr>
            <w:tcW w:w="2409" w:type="dxa"/>
            <w:tcBorders>
              <w:top w:val="single" w:sz="4" w:space="0" w:color="auto"/>
              <w:left w:val="nil"/>
              <w:bottom w:val="single" w:sz="4" w:space="0" w:color="auto"/>
              <w:right w:val="single" w:sz="4" w:space="0" w:color="auto"/>
            </w:tcBorders>
            <w:shd w:val="clear" w:color="000000" w:fill="BFBFBF"/>
            <w:vAlign w:val="center"/>
            <w:hideMark/>
          </w:tcPr>
          <w:p w14:paraId="28D889DE"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INDICADOR</w:t>
            </w:r>
          </w:p>
        </w:tc>
        <w:tc>
          <w:tcPr>
            <w:tcW w:w="2552" w:type="dxa"/>
            <w:tcBorders>
              <w:top w:val="single" w:sz="4" w:space="0" w:color="auto"/>
              <w:left w:val="nil"/>
              <w:bottom w:val="single" w:sz="4" w:space="0" w:color="auto"/>
              <w:right w:val="single" w:sz="4" w:space="0" w:color="auto"/>
            </w:tcBorders>
            <w:shd w:val="clear" w:color="000000" w:fill="BFBFBF"/>
            <w:vAlign w:val="center"/>
            <w:hideMark/>
          </w:tcPr>
          <w:p w14:paraId="162DD627"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MEDIOS DE VERIFICACIÓN</w:t>
            </w:r>
          </w:p>
        </w:tc>
        <w:tc>
          <w:tcPr>
            <w:tcW w:w="2410" w:type="dxa"/>
            <w:tcBorders>
              <w:top w:val="single" w:sz="4" w:space="0" w:color="auto"/>
              <w:left w:val="nil"/>
              <w:bottom w:val="single" w:sz="4" w:space="0" w:color="auto"/>
              <w:right w:val="single" w:sz="4" w:space="0" w:color="auto"/>
            </w:tcBorders>
            <w:shd w:val="clear" w:color="000000" w:fill="BFBFBF"/>
            <w:vAlign w:val="center"/>
            <w:hideMark/>
          </w:tcPr>
          <w:p w14:paraId="777D5B19"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SUPUESTO</w:t>
            </w:r>
          </w:p>
        </w:tc>
      </w:tr>
      <w:tr w:rsidR="007E4932" w:rsidRPr="00FD08F8" w14:paraId="715DB646" w14:textId="77777777" w:rsidTr="00EF09EC">
        <w:trPr>
          <w:trHeight w:val="2412"/>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7276253D" w14:textId="27A0F8F1" w:rsidR="007E4932" w:rsidRPr="00FD08F8" w:rsidRDefault="007E4932" w:rsidP="007E4932">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Propósito</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97F8F72" w14:textId="657B06FF" w:rsidR="007E4932" w:rsidRPr="00572B26" w:rsidRDefault="007E4932" w:rsidP="007E4932">
            <w:pPr>
              <w:rPr>
                <w:rFonts w:cs="Arial"/>
                <w:sz w:val="20"/>
                <w:szCs w:val="20"/>
              </w:rPr>
            </w:pPr>
            <w:r w:rsidRPr="00895E73">
              <w:rPr>
                <w:rFonts w:cs="Arial"/>
                <w:sz w:val="18"/>
                <w:szCs w:val="20"/>
              </w:rPr>
              <w:t>Asegurar la calidad de la formación profesional a través de programas y proyectos que favorezcan la continuidad y conclusión de los estudiantes de educación superior, acorde a las necesidades que requiere el desarrollo social y económico del estado.</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DAECCAC" w14:textId="3BC84F7C" w:rsidR="007E4932" w:rsidRPr="00574DAC" w:rsidRDefault="007E4932" w:rsidP="007E4932">
            <w:pPr>
              <w:rPr>
                <w:rFonts w:cs="Arial"/>
                <w:sz w:val="20"/>
                <w:szCs w:val="20"/>
              </w:rPr>
            </w:pPr>
            <w:r w:rsidRPr="00572B26">
              <w:rPr>
                <w:rFonts w:cs="Arial"/>
                <w:sz w:val="20"/>
                <w:szCs w:val="20"/>
              </w:rPr>
              <w:t>P - Los alumnos de educación superior aseguran la continuidad y conclusión de sus estudios a través de programas y proyectos que favorezcan la calidad de la formación profesional.</w:t>
            </w:r>
          </w:p>
        </w:tc>
        <w:tc>
          <w:tcPr>
            <w:tcW w:w="2409" w:type="dxa"/>
            <w:tcBorders>
              <w:top w:val="single" w:sz="4" w:space="0" w:color="auto"/>
              <w:left w:val="single" w:sz="4" w:space="0" w:color="auto"/>
              <w:bottom w:val="single" w:sz="4" w:space="0" w:color="auto"/>
              <w:right w:val="single" w:sz="4" w:space="0" w:color="auto"/>
            </w:tcBorders>
            <w:shd w:val="clear" w:color="FFFFFF" w:fill="FFFFFF"/>
          </w:tcPr>
          <w:p w14:paraId="65EECE87" w14:textId="0E9E22A3" w:rsidR="007E4932" w:rsidRPr="00574DAC" w:rsidRDefault="007E4932" w:rsidP="007E4932">
            <w:pPr>
              <w:rPr>
                <w:rFonts w:cs="Arial"/>
                <w:sz w:val="20"/>
                <w:szCs w:val="20"/>
              </w:rPr>
            </w:pPr>
            <w:r w:rsidRPr="00572B26">
              <w:rPr>
                <w:rFonts w:cs="Arial"/>
                <w:sz w:val="20"/>
                <w:szCs w:val="20"/>
              </w:rPr>
              <w:t>Tasa de eficiencia terminal de educación superior</w:t>
            </w:r>
            <w:r>
              <w:rPr>
                <w:rFonts w:cs="Arial"/>
                <w:sz w:val="20"/>
                <w:szCs w:val="20"/>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5760E8D" w14:textId="63A391D7" w:rsidR="007E4932" w:rsidRPr="00572B26" w:rsidRDefault="007E4932" w:rsidP="007E4932">
            <w:pPr>
              <w:rPr>
                <w:rFonts w:cs="Arial"/>
                <w:sz w:val="20"/>
                <w:szCs w:val="20"/>
              </w:rPr>
            </w:pPr>
            <w:r w:rsidRPr="00572B26">
              <w:rPr>
                <w:rFonts w:cs="Arial"/>
                <w:sz w:val="20"/>
                <w:szCs w:val="20"/>
              </w:rPr>
              <w:t>Estadísticas continúas del formato 911 inicio de ciclo escolar, SEQ.Liga:qroo.gob.mx/seq/medios-de-verificacion-de-la-planeacion-anual</w:t>
            </w:r>
            <w:r>
              <w:rPr>
                <w:rFonts w:cs="Arial"/>
                <w:sz w:val="20"/>
                <w:szCs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D18F436" w14:textId="151EE204" w:rsidR="007E4932" w:rsidRPr="00572B26" w:rsidRDefault="007E4932" w:rsidP="007E4932">
            <w:pPr>
              <w:rPr>
                <w:rFonts w:cs="Arial"/>
                <w:sz w:val="20"/>
                <w:szCs w:val="20"/>
              </w:rPr>
            </w:pPr>
            <w:r w:rsidRPr="00572B26">
              <w:rPr>
                <w:rFonts w:cs="Arial"/>
                <w:sz w:val="20"/>
                <w:szCs w:val="20"/>
              </w:rPr>
              <w:t>Los alumnos de educación superior concluyen sus estudios</w:t>
            </w:r>
            <w:r>
              <w:rPr>
                <w:rFonts w:cs="Arial"/>
                <w:sz w:val="20"/>
                <w:szCs w:val="20"/>
              </w:rPr>
              <w:t>.</w:t>
            </w:r>
          </w:p>
        </w:tc>
      </w:tr>
      <w:tr w:rsidR="00E23746" w:rsidRPr="00FD08F8" w14:paraId="0A448486" w14:textId="77777777" w:rsidTr="00EF09EC">
        <w:trPr>
          <w:trHeight w:val="2412"/>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14:paraId="2FC39106"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Componente</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C9F72EF" w14:textId="77777777" w:rsidR="00E23746" w:rsidRPr="00572B26" w:rsidRDefault="00E23746" w:rsidP="000B2F10">
            <w:pPr>
              <w:rPr>
                <w:rFonts w:cs="Arial"/>
                <w:sz w:val="20"/>
                <w:szCs w:val="20"/>
              </w:rPr>
            </w:pPr>
            <w:r w:rsidRPr="00572B26">
              <w:rPr>
                <w:rFonts w:cs="Arial"/>
                <w:sz w:val="20"/>
                <w:szCs w:val="20"/>
              </w:rPr>
              <w:t>Fortalecer la oferta educativa de las instituciones de educación superior para asegurar la pertinencia con base en las necesidades de la entidad.</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C094046" w14:textId="77777777" w:rsidR="00E23746" w:rsidRPr="00572B26" w:rsidRDefault="00E23746" w:rsidP="000B2F10">
            <w:pPr>
              <w:rPr>
                <w:rFonts w:cs="Arial"/>
                <w:sz w:val="20"/>
                <w:szCs w:val="20"/>
              </w:rPr>
            </w:pPr>
            <w:r w:rsidRPr="00574DAC">
              <w:rPr>
                <w:rFonts w:cs="Arial"/>
                <w:sz w:val="20"/>
                <w:szCs w:val="20"/>
              </w:rPr>
              <w:t>C01</w:t>
            </w:r>
            <w:r>
              <w:rPr>
                <w:rFonts w:cs="Arial"/>
                <w:sz w:val="20"/>
                <w:szCs w:val="20"/>
              </w:rPr>
              <w:t xml:space="preserve"> </w:t>
            </w:r>
            <w:r w:rsidRPr="00574DAC">
              <w:rPr>
                <w:rFonts w:cs="Arial"/>
                <w:sz w:val="20"/>
                <w:szCs w:val="20"/>
              </w:rPr>
              <w:t xml:space="preserve">- </w:t>
            </w:r>
            <w:r w:rsidRPr="00572B26">
              <w:rPr>
                <w:rFonts w:cs="Arial"/>
                <w:sz w:val="20"/>
                <w:szCs w:val="20"/>
              </w:rPr>
              <w:t>Educación superior con calidad y pertinencia impartida.</w:t>
            </w:r>
          </w:p>
        </w:tc>
        <w:tc>
          <w:tcPr>
            <w:tcW w:w="2409" w:type="dxa"/>
            <w:tcBorders>
              <w:top w:val="single" w:sz="4" w:space="0" w:color="auto"/>
              <w:left w:val="single" w:sz="4" w:space="0" w:color="auto"/>
              <w:bottom w:val="single" w:sz="4" w:space="0" w:color="auto"/>
              <w:right w:val="single" w:sz="4" w:space="0" w:color="auto"/>
            </w:tcBorders>
            <w:shd w:val="clear" w:color="FFFFFF" w:fill="FFFFFF"/>
          </w:tcPr>
          <w:p w14:paraId="59F3843C" w14:textId="77777777" w:rsidR="00E23746" w:rsidRPr="00572B26" w:rsidRDefault="00E23746" w:rsidP="000B2F10">
            <w:pPr>
              <w:rPr>
                <w:rFonts w:cs="Arial"/>
                <w:sz w:val="20"/>
                <w:szCs w:val="20"/>
              </w:rPr>
            </w:pPr>
            <w:r w:rsidRPr="00574DAC">
              <w:rPr>
                <w:rFonts w:cs="Arial"/>
                <w:sz w:val="20"/>
                <w:szCs w:val="20"/>
              </w:rPr>
              <w:t>C01</w:t>
            </w:r>
            <w:r>
              <w:rPr>
                <w:rFonts w:cs="Arial"/>
                <w:sz w:val="20"/>
                <w:szCs w:val="20"/>
              </w:rPr>
              <w:t xml:space="preserve"> </w:t>
            </w:r>
            <w:r w:rsidRPr="00574DAC">
              <w:rPr>
                <w:rFonts w:cs="Arial"/>
                <w:sz w:val="20"/>
                <w:szCs w:val="20"/>
              </w:rPr>
              <w:t xml:space="preserve">- </w:t>
            </w:r>
            <w:r w:rsidRPr="00572B26">
              <w:rPr>
                <w:rFonts w:cs="Arial"/>
                <w:sz w:val="20"/>
                <w:szCs w:val="20"/>
              </w:rPr>
              <w:t>Matrícula atendida</w:t>
            </w:r>
            <w:r>
              <w:rPr>
                <w:rFonts w:cs="Arial"/>
                <w:sz w:val="20"/>
                <w:szCs w:val="20"/>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6E24E496" w14:textId="77777777" w:rsidR="00E23746" w:rsidRPr="00572B26" w:rsidRDefault="00E23746" w:rsidP="000B2F10">
            <w:pPr>
              <w:rPr>
                <w:rFonts w:cs="Arial"/>
                <w:sz w:val="20"/>
                <w:szCs w:val="20"/>
              </w:rPr>
            </w:pPr>
            <w:r w:rsidRPr="00572B26">
              <w:rPr>
                <w:rFonts w:cs="Arial"/>
                <w:sz w:val="20"/>
                <w:szCs w:val="20"/>
              </w:rPr>
              <w:t>Estadísticas continuas de formato 911 inicio de ciclo escolar Dirección General de Planeación.  http://sigc.uqr</w:t>
            </w:r>
            <w:r>
              <w:rPr>
                <w:rFonts w:cs="Arial"/>
                <w:sz w:val="20"/>
                <w:szCs w:val="20"/>
              </w:rPr>
              <w:t>oo.mx/indexp.php?id=12.</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86232D3" w14:textId="77777777" w:rsidR="00E23746" w:rsidRPr="00572B26" w:rsidRDefault="00E23746" w:rsidP="000B2F10">
            <w:pPr>
              <w:rPr>
                <w:rFonts w:cs="Arial"/>
                <w:sz w:val="20"/>
                <w:szCs w:val="20"/>
              </w:rPr>
            </w:pPr>
            <w:r w:rsidRPr="00572B26">
              <w:rPr>
                <w:rFonts w:cs="Arial"/>
                <w:sz w:val="20"/>
                <w:szCs w:val="20"/>
              </w:rPr>
              <w:t>Los estudiantes que egresan del nivel educativo medio superior continúan sus estudios de tipo superior en la Entidad.</w:t>
            </w:r>
          </w:p>
        </w:tc>
      </w:tr>
      <w:tr w:rsidR="00E23746" w:rsidRPr="00FD08F8" w14:paraId="002071BB" w14:textId="77777777" w:rsidTr="00EF09EC">
        <w:trPr>
          <w:trHeight w:val="2412"/>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14:paraId="019CC12E"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Actividad</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5ABB389" w14:textId="77777777" w:rsidR="00E23746" w:rsidRPr="00572B26" w:rsidRDefault="00E23746" w:rsidP="000B2F10">
            <w:pPr>
              <w:rPr>
                <w:rFonts w:cs="Arial"/>
                <w:sz w:val="20"/>
                <w:szCs w:val="20"/>
              </w:rPr>
            </w:pPr>
            <w:r w:rsidRPr="00572B26">
              <w:rPr>
                <w:rFonts w:cs="Arial"/>
                <w:sz w:val="20"/>
                <w:szCs w:val="20"/>
              </w:rPr>
              <w:t>Fortalecer la oferta educativa de las instituciones de educación superior para asegurar la pertinencia con base en las necesidades de la entidad.</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71386F4" w14:textId="77777777" w:rsidR="00E23746" w:rsidRPr="00572B26" w:rsidRDefault="00E23746" w:rsidP="000B2F10">
            <w:pPr>
              <w:rPr>
                <w:rFonts w:cs="Arial"/>
                <w:sz w:val="20"/>
                <w:szCs w:val="20"/>
              </w:rPr>
            </w:pPr>
            <w:r w:rsidRPr="00574DAC">
              <w:rPr>
                <w:rFonts w:cs="Arial"/>
                <w:sz w:val="20"/>
                <w:szCs w:val="20"/>
              </w:rPr>
              <w:t xml:space="preserve">C01.A01 - </w:t>
            </w:r>
            <w:r w:rsidRPr="00572B26">
              <w:rPr>
                <w:rFonts w:cs="Arial"/>
                <w:sz w:val="20"/>
                <w:szCs w:val="20"/>
              </w:rPr>
              <w:t>Promoción y posicionamiento de la oferta educativa</w:t>
            </w:r>
            <w:r>
              <w:rPr>
                <w:rFonts w:cs="Arial"/>
                <w:sz w:val="20"/>
                <w:szCs w:val="20"/>
              </w:rPr>
              <w:t>.</w:t>
            </w:r>
          </w:p>
        </w:tc>
        <w:tc>
          <w:tcPr>
            <w:tcW w:w="2409" w:type="dxa"/>
            <w:tcBorders>
              <w:top w:val="single" w:sz="4" w:space="0" w:color="auto"/>
              <w:left w:val="single" w:sz="4" w:space="0" w:color="auto"/>
              <w:bottom w:val="single" w:sz="4" w:space="0" w:color="auto"/>
              <w:right w:val="single" w:sz="4" w:space="0" w:color="auto"/>
            </w:tcBorders>
            <w:shd w:val="clear" w:color="FFFFFF" w:fill="FFFFFF"/>
          </w:tcPr>
          <w:p w14:paraId="232D3182" w14:textId="77777777" w:rsidR="00E23746" w:rsidRPr="00572B26" w:rsidRDefault="00E23746" w:rsidP="000B2F10">
            <w:pPr>
              <w:rPr>
                <w:rFonts w:cs="Arial"/>
                <w:sz w:val="20"/>
                <w:szCs w:val="20"/>
              </w:rPr>
            </w:pPr>
            <w:r w:rsidRPr="00110B7A">
              <w:rPr>
                <w:rFonts w:cs="Arial"/>
                <w:color w:val="595959" w:themeColor="text1" w:themeTint="A6"/>
                <w:sz w:val="20"/>
                <w:szCs w:val="20"/>
              </w:rPr>
              <w:t>C01A01I01</w:t>
            </w:r>
            <w:r w:rsidRPr="00574DAC">
              <w:rPr>
                <w:rFonts w:cs="Arial"/>
                <w:sz w:val="20"/>
                <w:szCs w:val="20"/>
              </w:rPr>
              <w:t xml:space="preserve"> - </w:t>
            </w:r>
            <w:r w:rsidRPr="00572B26">
              <w:rPr>
                <w:rFonts w:cs="Arial"/>
                <w:sz w:val="20"/>
                <w:szCs w:val="20"/>
              </w:rPr>
              <w:t>Porcentaje de absorción de egresados de educación media superior en el Estado de Quintana Roo</w:t>
            </w:r>
            <w:r>
              <w:rPr>
                <w:rFonts w:cs="Arial"/>
                <w:sz w:val="20"/>
                <w:szCs w:val="20"/>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7D10D2A" w14:textId="77777777" w:rsidR="00E23746" w:rsidRPr="00572B26" w:rsidRDefault="00E23746" w:rsidP="000B2F10">
            <w:pPr>
              <w:rPr>
                <w:rFonts w:cs="Arial"/>
                <w:sz w:val="20"/>
                <w:szCs w:val="20"/>
              </w:rPr>
            </w:pPr>
            <w:r w:rsidRPr="00572B26">
              <w:rPr>
                <w:rFonts w:cs="Arial"/>
                <w:sz w:val="20"/>
                <w:szCs w:val="20"/>
              </w:rPr>
              <w:t>Tasa de absorción de egresados de educación media superior elaborado por la Dirección General de Planeación.  http://sigc.uqroo.mx/indexp.php?id=12</w:t>
            </w:r>
            <w:r>
              <w:rPr>
                <w:rFonts w:cs="Arial"/>
                <w:sz w:val="20"/>
                <w:szCs w:val="20"/>
              </w:rPr>
              <w:t>.</w:t>
            </w:r>
            <w:r w:rsidRPr="00572B26">
              <w:rPr>
                <w:rFonts w:cs="Arial"/>
                <w:sz w:val="20"/>
                <w:szCs w:val="20"/>
              </w:rPr>
              <w:t xml:space="preserve">      </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49F2BBEE" w14:textId="77777777" w:rsidR="00E23746" w:rsidRPr="00572B26" w:rsidRDefault="00E23746" w:rsidP="000B2F10">
            <w:pPr>
              <w:rPr>
                <w:rFonts w:cs="Arial"/>
                <w:sz w:val="20"/>
                <w:szCs w:val="20"/>
              </w:rPr>
            </w:pPr>
            <w:r w:rsidRPr="00572B26">
              <w:rPr>
                <w:rFonts w:cs="Arial"/>
                <w:sz w:val="20"/>
                <w:szCs w:val="20"/>
              </w:rPr>
              <w:t>Los egresados de educación media superior y superior eligen a la Universidad de Quintana Roo para cursar estudios de licenciatura y posgrado.</w:t>
            </w:r>
          </w:p>
        </w:tc>
      </w:tr>
    </w:tbl>
    <w:p w14:paraId="1AF14610" w14:textId="77777777" w:rsidR="00D36037" w:rsidRDefault="00D36037">
      <w:pPr>
        <w:spacing w:after="0" w:line="240" w:lineRule="auto"/>
        <w:jc w:val="left"/>
      </w:pPr>
      <w:r>
        <w:br w:type="page"/>
      </w:r>
    </w:p>
    <w:tbl>
      <w:tblPr>
        <w:tblW w:w="14029" w:type="dxa"/>
        <w:tblLayout w:type="fixed"/>
        <w:tblCellMar>
          <w:left w:w="70" w:type="dxa"/>
          <w:right w:w="70" w:type="dxa"/>
        </w:tblCellMar>
        <w:tblLook w:val="04A0" w:firstRow="1" w:lastRow="0" w:firstColumn="1" w:lastColumn="0" w:noHBand="0" w:noVBand="1"/>
      </w:tblPr>
      <w:tblGrid>
        <w:gridCol w:w="1413"/>
        <w:gridCol w:w="2693"/>
        <w:gridCol w:w="2552"/>
        <w:gridCol w:w="2409"/>
        <w:gridCol w:w="2552"/>
        <w:gridCol w:w="2410"/>
      </w:tblGrid>
      <w:tr w:rsidR="00E23746" w:rsidRPr="00FD08F8" w14:paraId="78EF50EA" w14:textId="77777777" w:rsidTr="00B11722">
        <w:trPr>
          <w:trHeight w:val="577"/>
        </w:trPr>
        <w:tc>
          <w:tcPr>
            <w:tcW w:w="1413"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19949423"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lastRenderedPageBreak/>
              <w:t>NIVEL</w:t>
            </w:r>
          </w:p>
        </w:tc>
        <w:tc>
          <w:tcPr>
            <w:tcW w:w="2693" w:type="dxa"/>
            <w:tcBorders>
              <w:top w:val="single" w:sz="4" w:space="0" w:color="auto"/>
              <w:left w:val="nil"/>
              <w:bottom w:val="single" w:sz="4" w:space="0" w:color="auto"/>
              <w:right w:val="single" w:sz="4" w:space="0" w:color="auto"/>
            </w:tcBorders>
            <w:shd w:val="clear" w:color="000000" w:fill="BFBFBF"/>
            <w:vAlign w:val="center"/>
            <w:hideMark/>
          </w:tcPr>
          <w:p w14:paraId="7403B0F1"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ALINEACIÓN PED/PD</w:t>
            </w:r>
          </w:p>
        </w:tc>
        <w:tc>
          <w:tcPr>
            <w:tcW w:w="2552" w:type="dxa"/>
            <w:tcBorders>
              <w:top w:val="single" w:sz="4" w:space="0" w:color="auto"/>
              <w:left w:val="nil"/>
              <w:bottom w:val="single" w:sz="4" w:space="0" w:color="auto"/>
              <w:right w:val="single" w:sz="4" w:space="0" w:color="auto"/>
            </w:tcBorders>
            <w:shd w:val="clear" w:color="000000" w:fill="BFBFBF"/>
            <w:vAlign w:val="center"/>
            <w:hideMark/>
          </w:tcPr>
          <w:p w14:paraId="4CA81086"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OBJETIVO</w:t>
            </w:r>
          </w:p>
        </w:tc>
        <w:tc>
          <w:tcPr>
            <w:tcW w:w="2409" w:type="dxa"/>
            <w:tcBorders>
              <w:top w:val="single" w:sz="4" w:space="0" w:color="auto"/>
              <w:left w:val="nil"/>
              <w:bottom w:val="single" w:sz="4" w:space="0" w:color="auto"/>
              <w:right w:val="single" w:sz="4" w:space="0" w:color="auto"/>
            </w:tcBorders>
            <w:shd w:val="clear" w:color="000000" w:fill="BFBFBF"/>
            <w:vAlign w:val="center"/>
            <w:hideMark/>
          </w:tcPr>
          <w:p w14:paraId="668ED1FF"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INDICADOR</w:t>
            </w:r>
          </w:p>
        </w:tc>
        <w:tc>
          <w:tcPr>
            <w:tcW w:w="2552" w:type="dxa"/>
            <w:tcBorders>
              <w:top w:val="single" w:sz="4" w:space="0" w:color="auto"/>
              <w:left w:val="nil"/>
              <w:bottom w:val="single" w:sz="4" w:space="0" w:color="auto"/>
              <w:right w:val="single" w:sz="4" w:space="0" w:color="auto"/>
            </w:tcBorders>
            <w:shd w:val="clear" w:color="000000" w:fill="BFBFBF"/>
            <w:vAlign w:val="center"/>
            <w:hideMark/>
          </w:tcPr>
          <w:p w14:paraId="101B245E"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MEDIOS DE VERIFICACIÓN</w:t>
            </w:r>
          </w:p>
        </w:tc>
        <w:tc>
          <w:tcPr>
            <w:tcW w:w="2410" w:type="dxa"/>
            <w:tcBorders>
              <w:top w:val="single" w:sz="4" w:space="0" w:color="auto"/>
              <w:left w:val="nil"/>
              <w:bottom w:val="single" w:sz="4" w:space="0" w:color="auto"/>
              <w:right w:val="single" w:sz="4" w:space="0" w:color="auto"/>
            </w:tcBorders>
            <w:shd w:val="clear" w:color="000000" w:fill="BFBFBF"/>
            <w:vAlign w:val="center"/>
            <w:hideMark/>
          </w:tcPr>
          <w:p w14:paraId="7C4EDFDE"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SUPUESTO</w:t>
            </w:r>
          </w:p>
        </w:tc>
      </w:tr>
      <w:tr w:rsidR="007E4932" w:rsidRPr="00FD08F8" w14:paraId="106CA6BD" w14:textId="77777777" w:rsidTr="00B11722">
        <w:trPr>
          <w:trHeight w:val="2412"/>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7E67373E" w14:textId="55B7939A" w:rsidR="007E4932" w:rsidRPr="00FD08F8" w:rsidRDefault="007E4932" w:rsidP="007E4932">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Actividad</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8BF334B" w14:textId="7EA656CE" w:rsidR="007E4932" w:rsidRPr="00572B26" w:rsidRDefault="007E4932" w:rsidP="007E4932">
            <w:pPr>
              <w:rPr>
                <w:rFonts w:cs="Arial"/>
                <w:sz w:val="20"/>
                <w:szCs w:val="20"/>
              </w:rPr>
            </w:pPr>
            <w:r w:rsidRPr="00572B26">
              <w:rPr>
                <w:rFonts w:cs="Arial"/>
                <w:sz w:val="20"/>
                <w:szCs w:val="20"/>
              </w:rPr>
              <w:t>Fortalecer la oferta educativa de las instituciones de educación superior para asegurar la pertinencia con base en las necesidades de la entidad.</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A1FA222" w14:textId="77777777" w:rsidR="007E4932" w:rsidRPr="00574DAC" w:rsidRDefault="007E4932" w:rsidP="007E4932">
            <w:pPr>
              <w:rPr>
                <w:rFonts w:cs="Arial"/>
                <w:sz w:val="20"/>
                <w:szCs w:val="20"/>
              </w:rPr>
            </w:pPr>
          </w:p>
        </w:tc>
        <w:tc>
          <w:tcPr>
            <w:tcW w:w="2409" w:type="dxa"/>
            <w:tcBorders>
              <w:top w:val="single" w:sz="4" w:space="0" w:color="auto"/>
              <w:left w:val="single" w:sz="4" w:space="0" w:color="auto"/>
              <w:bottom w:val="single" w:sz="4" w:space="0" w:color="auto"/>
              <w:right w:val="single" w:sz="4" w:space="0" w:color="auto"/>
            </w:tcBorders>
            <w:shd w:val="clear" w:color="FFFFFF" w:fill="FFFFFF"/>
          </w:tcPr>
          <w:p w14:paraId="6A9BBCAE" w14:textId="4E5D1133" w:rsidR="007E4932" w:rsidRDefault="007E4932" w:rsidP="007E4932">
            <w:pPr>
              <w:rPr>
                <w:rFonts w:cs="Arial"/>
                <w:color w:val="595959" w:themeColor="text1" w:themeTint="A6"/>
                <w:sz w:val="20"/>
                <w:szCs w:val="20"/>
              </w:rPr>
            </w:pPr>
            <w:r w:rsidRPr="00110B7A">
              <w:rPr>
                <w:rFonts w:cs="Arial"/>
                <w:color w:val="595959" w:themeColor="text1" w:themeTint="A6"/>
                <w:sz w:val="20"/>
                <w:szCs w:val="20"/>
              </w:rPr>
              <w:t>C01A01I02</w:t>
            </w:r>
            <w:r w:rsidRPr="00574DAC">
              <w:rPr>
                <w:rFonts w:cs="Arial"/>
                <w:sz w:val="20"/>
                <w:szCs w:val="20"/>
              </w:rPr>
              <w:t xml:space="preserve"> - </w:t>
            </w:r>
            <w:r w:rsidRPr="000772DE">
              <w:rPr>
                <w:rFonts w:cs="Arial"/>
                <w:sz w:val="20"/>
                <w:szCs w:val="20"/>
              </w:rPr>
              <w:t>Porcentaje de alumnos de nuevo ingreso con relación al cupo autorizado por el H.C.U.</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3A2403E" w14:textId="6369AED0" w:rsidR="007E4932" w:rsidRPr="000772DE" w:rsidRDefault="007E4932" w:rsidP="007E4932">
            <w:pPr>
              <w:rPr>
                <w:rFonts w:cs="Arial"/>
                <w:sz w:val="20"/>
                <w:szCs w:val="20"/>
              </w:rPr>
            </w:pPr>
            <w:r w:rsidRPr="000772DE">
              <w:rPr>
                <w:rFonts w:cs="Arial"/>
                <w:sz w:val="20"/>
                <w:szCs w:val="20"/>
              </w:rPr>
              <w:t>Reporte elaborado por la Dirección General de Planeación.  http://sigc.uqroo.mx/indexp.php?id=12</w:t>
            </w:r>
            <w:r>
              <w:rPr>
                <w:rFonts w:cs="Arial"/>
                <w:sz w:val="20"/>
                <w:szCs w:val="20"/>
              </w:rPr>
              <w:t>.</w:t>
            </w:r>
            <w:r w:rsidRPr="000772DE">
              <w:rPr>
                <w:rFonts w:cs="Arial"/>
                <w:sz w:val="20"/>
                <w:szCs w:val="20"/>
              </w:rPr>
              <w:t xml:space="preserve">    </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2876CFB" w14:textId="686440DF" w:rsidR="007E4932" w:rsidRPr="000772DE" w:rsidRDefault="007E4932" w:rsidP="007E4932">
            <w:pPr>
              <w:rPr>
                <w:rFonts w:cs="Arial"/>
                <w:sz w:val="20"/>
                <w:szCs w:val="20"/>
              </w:rPr>
            </w:pPr>
            <w:r w:rsidRPr="000772DE">
              <w:rPr>
                <w:rFonts w:cs="Arial"/>
                <w:sz w:val="20"/>
                <w:szCs w:val="20"/>
              </w:rPr>
              <w:t>Los egresados de educación media superior y superior eligen a la Universidad de Quintana Roo para cursar estudios de licenciatura y posgrado.</w:t>
            </w:r>
          </w:p>
        </w:tc>
      </w:tr>
      <w:tr w:rsidR="00E23746" w:rsidRPr="00FD08F8" w14:paraId="3D24F75F" w14:textId="77777777" w:rsidTr="00B11722">
        <w:trPr>
          <w:trHeight w:val="2412"/>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0001839"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Actividad</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EADF5E1" w14:textId="77777777" w:rsidR="00E23746" w:rsidRPr="000772DE" w:rsidRDefault="00E23746" w:rsidP="000B2F10">
            <w:pPr>
              <w:rPr>
                <w:rFonts w:cs="Arial"/>
                <w:sz w:val="20"/>
                <w:szCs w:val="20"/>
              </w:rPr>
            </w:pPr>
            <w:r w:rsidRPr="00572B26">
              <w:rPr>
                <w:rFonts w:cs="Arial"/>
                <w:sz w:val="20"/>
                <w:szCs w:val="20"/>
              </w:rPr>
              <w:t>Fortalecer la oferta educativa de las instituciones de educación superior para asegurar la pertinencia con base en las necesidades de la entidad.</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2BEBB44" w14:textId="77777777" w:rsidR="00E23746" w:rsidRPr="000772DE" w:rsidRDefault="00E23746" w:rsidP="000B2F10">
            <w:pPr>
              <w:rPr>
                <w:rFonts w:cs="Arial"/>
                <w:sz w:val="20"/>
                <w:szCs w:val="20"/>
              </w:rPr>
            </w:pPr>
            <w:r w:rsidRPr="00574DAC">
              <w:rPr>
                <w:rFonts w:cs="Arial"/>
                <w:sz w:val="20"/>
                <w:szCs w:val="20"/>
              </w:rPr>
              <w:t xml:space="preserve">C01.A02 - </w:t>
            </w:r>
            <w:r w:rsidRPr="000772DE">
              <w:rPr>
                <w:rFonts w:cs="Arial"/>
                <w:sz w:val="20"/>
                <w:szCs w:val="20"/>
              </w:rPr>
              <w:t>Aseguramiento de la permanencia del estudiante</w:t>
            </w:r>
            <w:r>
              <w:rPr>
                <w:rFonts w:cs="Arial"/>
                <w:sz w:val="20"/>
                <w:szCs w:val="20"/>
              </w:rPr>
              <w:t>.</w:t>
            </w:r>
          </w:p>
        </w:tc>
        <w:tc>
          <w:tcPr>
            <w:tcW w:w="2409" w:type="dxa"/>
            <w:tcBorders>
              <w:top w:val="single" w:sz="4" w:space="0" w:color="auto"/>
              <w:left w:val="single" w:sz="4" w:space="0" w:color="auto"/>
              <w:bottom w:val="single" w:sz="4" w:space="0" w:color="auto"/>
              <w:right w:val="single" w:sz="4" w:space="0" w:color="auto"/>
            </w:tcBorders>
            <w:shd w:val="clear" w:color="FFFFFF" w:fill="FFFFFF"/>
          </w:tcPr>
          <w:p w14:paraId="0A22E35E" w14:textId="77777777" w:rsidR="00E23746" w:rsidRPr="000772DE" w:rsidRDefault="00E23746" w:rsidP="000B2F10">
            <w:pPr>
              <w:rPr>
                <w:rFonts w:cs="Arial"/>
                <w:sz w:val="20"/>
                <w:szCs w:val="20"/>
              </w:rPr>
            </w:pPr>
            <w:r>
              <w:rPr>
                <w:rFonts w:cs="Arial"/>
                <w:color w:val="595959" w:themeColor="text1" w:themeTint="A6"/>
                <w:sz w:val="20"/>
                <w:szCs w:val="20"/>
              </w:rPr>
              <w:t>C01A02-</w:t>
            </w:r>
            <w:r w:rsidRPr="000772DE">
              <w:rPr>
                <w:rFonts w:cs="Arial"/>
                <w:sz w:val="20"/>
                <w:szCs w:val="20"/>
              </w:rPr>
              <w:t xml:space="preserve"> Porcentaje de programas educativos con tasa de retención de primero a segundo año igual o superior a 75%.</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7794172" w14:textId="77777777" w:rsidR="00E23746" w:rsidRPr="000772DE" w:rsidRDefault="00E23746" w:rsidP="000B2F10">
            <w:pPr>
              <w:rPr>
                <w:rFonts w:cs="Arial"/>
                <w:sz w:val="20"/>
                <w:szCs w:val="20"/>
              </w:rPr>
            </w:pPr>
            <w:r w:rsidRPr="000772DE">
              <w:rPr>
                <w:rFonts w:cs="Arial"/>
                <w:sz w:val="20"/>
                <w:szCs w:val="20"/>
              </w:rPr>
              <w:t>Reportes de retención de la matrícula de la Dirección General de Planeación http://sigc.uqroo.mx/indexp.php?id=12</w:t>
            </w:r>
            <w:r>
              <w:rPr>
                <w:rFonts w:cs="Arial"/>
                <w:sz w:val="20"/>
                <w:szCs w:val="20"/>
              </w:rPr>
              <w:t>.</w:t>
            </w:r>
            <w:r w:rsidRPr="000772DE">
              <w:rPr>
                <w:rFonts w:cs="Arial"/>
                <w:sz w:val="20"/>
                <w:szCs w:val="20"/>
              </w:rPr>
              <w:t xml:space="preserve">      </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1D0AA61" w14:textId="77777777" w:rsidR="00E23746" w:rsidRPr="000772DE" w:rsidRDefault="00E23746" w:rsidP="000B2F10">
            <w:pPr>
              <w:rPr>
                <w:rFonts w:cs="Arial"/>
                <w:sz w:val="20"/>
                <w:szCs w:val="20"/>
              </w:rPr>
            </w:pPr>
            <w:r w:rsidRPr="000772DE">
              <w:rPr>
                <w:rFonts w:cs="Arial"/>
                <w:sz w:val="20"/>
                <w:szCs w:val="20"/>
              </w:rPr>
              <w:t>Los alumnos continúan sus estudios.</w:t>
            </w:r>
          </w:p>
        </w:tc>
      </w:tr>
      <w:tr w:rsidR="00E23746" w:rsidRPr="00FD08F8" w14:paraId="09B8752E" w14:textId="77777777" w:rsidTr="00B11722">
        <w:trPr>
          <w:trHeight w:val="2412"/>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4E32D0D4"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Componente</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E823347" w14:textId="77777777" w:rsidR="00E23746" w:rsidRPr="000772DE" w:rsidRDefault="00E23746" w:rsidP="000B2F10">
            <w:pPr>
              <w:rPr>
                <w:rFonts w:cs="Arial"/>
                <w:sz w:val="20"/>
                <w:szCs w:val="20"/>
              </w:rPr>
            </w:pPr>
            <w:r w:rsidRPr="000772DE">
              <w:rPr>
                <w:rFonts w:cs="Arial"/>
                <w:sz w:val="20"/>
                <w:szCs w:val="20"/>
              </w:rPr>
              <w:t>Impulsar la acreditación y evaluación de los planes y programas de estudio de educación superior por organismos externos reconocidos a nivel nacional e internacional.</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3F5F19A" w14:textId="77777777" w:rsidR="00E23746" w:rsidRPr="000772DE" w:rsidRDefault="00E23746" w:rsidP="000B2F10">
            <w:pPr>
              <w:rPr>
                <w:rFonts w:cs="Arial"/>
                <w:sz w:val="20"/>
                <w:szCs w:val="20"/>
              </w:rPr>
            </w:pPr>
            <w:r w:rsidRPr="00574DAC">
              <w:rPr>
                <w:rFonts w:cs="Arial"/>
                <w:sz w:val="20"/>
                <w:szCs w:val="20"/>
              </w:rPr>
              <w:t xml:space="preserve">C02 - </w:t>
            </w:r>
            <w:r w:rsidRPr="000772DE">
              <w:rPr>
                <w:rFonts w:cs="Arial"/>
                <w:sz w:val="20"/>
                <w:szCs w:val="20"/>
              </w:rPr>
              <w:t>Programas Educativos Evaluables de calidad ofertados</w:t>
            </w:r>
            <w:r>
              <w:rPr>
                <w:rFonts w:cs="Arial"/>
                <w:sz w:val="20"/>
                <w:szCs w:val="20"/>
              </w:rPr>
              <w:t>.</w:t>
            </w:r>
          </w:p>
        </w:tc>
        <w:tc>
          <w:tcPr>
            <w:tcW w:w="2409" w:type="dxa"/>
            <w:tcBorders>
              <w:top w:val="single" w:sz="4" w:space="0" w:color="auto"/>
              <w:left w:val="single" w:sz="4" w:space="0" w:color="auto"/>
              <w:bottom w:val="single" w:sz="4" w:space="0" w:color="auto"/>
              <w:right w:val="single" w:sz="4" w:space="0" w:color="auto"/>
            </w:tcBorders>
            <w:shd w:val="clear" w:color="FFFFFF" w:fill="FFFFFF"/>
          </w:tcPr>
          <w:p w14:paraId="7D426D5E" w14:textId="77777777" w:rsidR="00E23746" w:rsidRPr="000772DE" w:rsidRDefault="00E23746" w:rsidP="000B2F10">
            <w:pPr>
              <w:rPr>
                <w:rFonts w:cs="Arial"/>
                <w:sz w:val="20"/>
                <w:szCs w:val="20"/>
              </w:rPr>
            </w:pPr>
            <w:r>
              <w:rPr>
                <w:rFonts w:cs="Arial"/>
                <w:color w:val="595959" w:themeColor="text1" w:themeTint="A6"/>
                <w:sz w:val="20"/>
                <w:szCs w:val="20"/>
              </w:rPr>
              <w:t>C02</w:t>
            </w:r>
            <w:r w:rsidRPr="00110B7A">
              <w:rPr>
                <w:rFonts w:cs="Arial"/>
                <w:color w:val="595959" w:themeColor="text1" w:themeTint="A6"/>
                <w:sz w:val="20"/>
                <w:szCs w:val="20"/>
              </w:rPr>
              <w:t xml:space="preserve"> - </w:t>
            </w:r>
            <w:r w:rsidRPr="000772DE">
              <w:rPr>
                <w:rFonts w:cs="Arial"/>
                <w:color w:val="FF0000"/>
                <w:sz w:val="20"/>
                <w:szCs w:val="20"/>
              </w:rPr>
              <w:t xml:space="preserve"> </w:t>
            </w:r>
            <w:r w:rsidRPr="000772DE">
              <w:rPr>
                <w:rFonts w:cs="Arial"/>
                <w:sz w:val="20"/>
                <w:szCs w:val="20"/>
              </w:rPr>
              <w:t>Porcentaje de Programas Educativos de Calidad</w:t>
            </w:r>
            <w:r>
              <w:rPr>
                <w:rFonts w:cs="Arial"/>
                <w:sz w:val="20"/>
                <w:szCs w:val="20"/>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86AB9D6" w14:textId="77777777" w:rsidR="00E23746" w:rsidRPr="000772DE" w:rsidRDefault="00E23746" w:rsidP="000B2F10">
            <w:pPr>
              <w:rPr>
                <w:rFonts w:cs="Arial"/>
                <w:sz w:val="20"/>
                <w:szCs w:val="20"/>
              </w:rPr>
            </w:pPr>
            <w:r w:rsidRPr="000772DE">
              <w:rPr>
                <w:rFonts w:cs="Arial"/>
                <w:sz w:val="20"/>
                <w:szCs w:val="20"/>
              </w:rPr>
              <w:t>Certificado o constancias de los organismos evaluadores y/o Padrón emitido por la DGESU, reporte de la Dirección General de Planeación http://sigc.uqroo.mx/indexp.php?id=12</w:t>
            </w:r>
            <w:r>
              <w:rPr>
                <w:rFonts w:cs="Arial"/>
                <w:sz w:val="20"/>
                <w:szCs w:val="20"/>
              </w:rPr>
              <w:t>.</w:t>
            </w:r>
            <w:r w:rsidRPr="000772DE">
              <w:rPr>
                <w:rFonts w:cs="Arial"/>
                <w:sz w:val="20"/>
                <w:szCs w:val="20"/>
              </w:rPr>
              <w:t xml:space="preserve">   </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684F56" w14:textId="77777777" w:rsidR="00E23746" w:rsidRPr="000772DE" w:rsidRDefault="00E23746" w:rsidP="000B2F10">
            <w:pPr>
              <w:rPr>
                <w:rFonts w:cs="Arial"/>
                <w:sz w:val="20"/>
                <w:szCs w:val="20"/>
              </w:rPr>
            </w:pPr>
            <w:r w:rsidRPr="000772DE">
              <w:rPr>
                <w:rFonts w:cs="Arial"/>
                <w:sz w:val="20"/>
                <w:szCs w:val="20"/>
              </w:rPr>
              <w:t>La Calidad de la Educación Superior cont</w:t>
            </w:r>
            <w:r>
              <w:rPr>
                <w:rFonts w:cs="Arial"/>
                <w:sz w:val="20"/>
                <w:szCs w:val="20"/>
              </w:rPr>
              <w:t>inúa siendo prioridad Nacional.</w:t>
            </w:r>
          </w:p>
        </w:tc>
      </w:tr>
    </w:tbl>
    <w:p w14:paraId="211A51E1" w14:textId="77777777" w:rsidR="00D36037" w:rsidRDefault="00D36037">
      <w:pPr>
        <w:spacing w:after="0" w:line="240" w:lineRule="auto"/>
        <w:jc w:val="left"/>
      </w:pPr>
      <w:r>
        <w:br w:type="page"/>
      </w:r>
    </w:p>
    <w:tbl>
      <w:tblPr>
        <w:tblW w:w="14029" w:type="dxa"/>
        <w:tblLayout w:type="fixed"/>
        <w:tblCellMar>
          <w:left w:w="70" w:type="dxa"/>
          <w:right w:w="70" w:type="dxa"/>
        </w:tblCellMar>
        <w:tblLook w:val="04A0" w:firstRow="1" w:lastRow="0" w:firstColumn="1" w:lastColumn="0" w:noHBand="0" w:noVBand="1"/>
      </w:tblPr>
      <w:tblGrid>
        <w:gridCol w:w="1413"/>
        <w:gridCol w:w="2693"/>
        <w:gridCol w:w="2552"/>
        <w:gridCol w:w="2409"/>
        <w:gridCol w:w="2552"/>
        <w:gridCol w:w="2410"/>
      </w:tblGrid>
      <w:tr w:rsidR="00E23746" w:rsidRPr="00FD08F8" w14:paraId="25D388BC" w14:textId="77777777" w:rsidTr="00B11722">
        <w:trPr>
          <w:trHeight w:val="577"/>
        </w:trPr>
        <w:tc>
          <w:tcPr>
            <w:tcW w:w="1413"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249503E3"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lastRenderedPageBreak/>
              <w:t>NIVEL</w:t>
            </w:r>
          </w:p>
        </w:tc>
        <w:tc>
          <w:tcPr>
            <w:tcW w:w="2693" w:type="dxa"/>
            <w:tcBorders>
              <w:top w:val="single" w:sz="4" w:space="0" w:color="auto"/>
              <w:left w:val="nil"/>
              <w:bottom w:val="single" w:sz="4" w:space="0" w:color="auto"/>
              <w:right w:val="single" w:sz="4" w:space="0" w:color="auto"/>
            </w:tcBorders>
            <w:shd w:val="clear" w:color="000000" w:fill="BFBFBF"/>
            <w:vAlign w:val="center"/>
            <w:hideMark/>
          </w:tcPr>
          <w:p w14:paraId="03C2D743"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ALINEACIÓN PED/PD</w:t>
            </w:r>
          </w:p>
        </w:tc>
        <w:tc>
          <w:tcPr>
            <w:tcW w:w="2552" w:type="dxa"/>
            <w:tcBorders>
              <w:top w:val="single" w:sz="4" w:space="0" w:color="auto"/>
              <w:left w:val="nil"/>
              <w:bottom w:val="single" w:sz="4" w:space="0" w:color="auto"/>
              <w:right w:val="single" w:sz="4" w:space="0" w:color="auto"/>
            </w:tcBorders>
            <w:shd w:val="clear" w:color="000000" w:fill="BFBFBF"/>
            <w:vAlign w:val="center"/>
            <w:hideMark/>
          </w:tcPr>
          <w:p w14:paraId="64C8D6DE"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OBJETIVO</w:t>
            </w:r>
          </w:p>
        </w:tc>
        <w:tc>
          <w:tcPr>
            <w:tcW w:w="2409" w:type="dxa"/>
            <w:tcBorders>
              <w:top w:val="single" w:sz="4" w:space="0" w:color="auto"/>
              <w:left w:val="nil"/>
              <w:bottom w:val="single" w:sz="4" w:space="0" w:color="auto"/>
              <w:right w:val="single" w:sz="4" w:space="0" w:color="auto"/>
            </w:tcBorders>
            <w:shd w:val="clear" w:color="000000" w:fill="BFBFBF"/>
            <w:vAlign w:val="center"/>
            <w:hideMark/>
          </w:tcPr>
          <w:p w14:paraId="07E7DEF7"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INDICADOR</w:t>
            </w:r>
          </w:p>
        </w:tc>
        <w:tc>
          <w:tcPr>
            <w:tcW w:w="2552" w:type="dxa"/>
            <w:tcBorders>
              <w:top w:val="single" w:sz="4" w:space="0" w:color="auto"/>
              <w:left w:val="nil"/>
              <w:bottom w:val="single" w:sz="4" w:space="0" w:color="auto"/>
              <w:right w:val="single" w:sz="4" w:space="0" w:color="auto"/>
            </w:tcBorders>
            <w:shd w:val="clear" w:color="000000" w:fill="BFBFBF"/>
            <w:vAlign w:val="center"/>
            <w:hideMark/>
          </w:tcPr>
          <w:p w14:paraId="656154D0"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MEDIOS DE VERIFICACIÓN</w:t>
            </w:r>
          </w:p>
        </w:tc>
        <w:tc>
          <w:tcPr>
            <w:tcW w:w="2410" w:type="dxa"/>
            <w:tcBorders>
              <w:top w:val="single" w:sz="4" w:space="0" w:color="auto"/>
              <w:left w:val="nil"/>
              <w:bottom w:val="single" w:sz="4" w:space="0" w:color="auto"/>
              <w:right w:val="single" w:sz="4" w:space="0" w:color="auto"/>
            </w:tcBorders>
            <w:shd w:val="clear" w:color="000000" w:fill="BFBFBF"/>
            <w:vAlign w:val="center"/>
            <w:hideMark/>
          </w:tcPr>
          <w:p w14:paraId="61FF9A69"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SUPUESTO</w:t>
            </w:r>
          </w:p>
        </w:tc>
      </w:tr>
      <w:tr w:rsidR="007E4932" w:rsidRPr="00FD08F8" w14:paraId="315240CF" w14:textId="77777777" w:rsidTr="00B11722">
        <w:trPr>
          <w:trHeight w:val="1725"/>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54FB51B9" w14:textId="6CE04608" w:rsidR="007E4932" w:rsidRPr="00FD08F8" w:rsidRDefault="007E4932" w:rsidP="007E4932">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Actividad</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87B0DE8" w14:textId="72EB94D1" w:rsidR="007E4932" w:rsidRPr="000772DE" w:rsidRDefault="007E4932" w:rsidP="007E4932">
            <w:pPr>
              <w:rPr>
                <w:rFonts w:cs="Arial"/>
                <w:sz w:val="20"/>
                <w:szCs w:val="20"/>
              </w:rPr>
            </w:pPr>
            <w:r w:rsidRPr="000772DE">
              <w:rPr>
                <w:rFonts w:cs="Arial"/>
                <w:sz w:val="20"/>
                <w:szCs w:val="20"/>
              </w:rPr>
              <w:t>Impulsar la acreditación y evaluación de los planes y programas de estudio de educación superior por organismos externos reconocidos a nivel nacional e internacional.</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33D1661B" w14:textId="52B91621" w:rsidR="007E4932" w:rsidRPr="00DE0CBC" w:rsidRDefault="007E4932" w:rsidP="007E4932">
            <w:pPr>
              <w:rPr>
                <w:rFonts w:cs="Arial"/>
                <w:sz w:val="20"/>
                <w:szCs w:val="20"/>
              </w:rPr>
            </w:pPr>
            <w:r w:rsidRPr="00574DAC">
              <w:rPr>
                <w:rFonts w:cs="Arial"/>
                <w:sz w:val="20"/>
                <w:szCs w:val="20"/>
              </w:rPr>
              <w:t xml:space="preserve">C02.A01 - </w:t>
            </w:r>
            <w:r w:rsidRPr="0059339E">
              <w:rPr>
                <w:rFonts w:cs="Arial"/>
                <w:sz w:val="20"/>
                <w:szCs w:val="20"/>
              </w:rPr>
              <w:t>Fortalecimiento de la calidad educativa tanto en licenciatura como en los posgrados</w:t>
            </w:r>
            <w:r>
              <w:rPr>
                <w:rFonts w:cs="Arial"/>
                <w:sz w:val="20"/>
                <w:szCs w:val="20"/>
              </w:rPr>
              <w:t>.</w:t>
            </w:r>
          </w:p>
        </w:tc>
        <w:tc>
          <w:tcPr>
            <w:tcW w:w="2409" w:type="dxa"/>
            <w:tcBorders>
              <w:top w:val="single" w:sz="4" w:space="0" w:color="auto"/>
              <w:left w:val="single" w:sz="4" w:space="0" w:color="auto"/>
              <w:bottom w:val="single" w:sz="4" w:space="0" w:color="auto"/>
              <w:right w:val="single" w:sz="4" w:space="0" w:color="auto"/>
            </w:tcBorders>
            <w:shd w:val="clear" w:color="FFFFFF" w:fill="FFFFFF"/>
          </w:tcPr>
          <w:p w14:paraId="0346F813" w14:textId="2192C1BD" w:rsidR="007E4932" w:rsidRPr="00110B7A" w:rsidRDefault="007E4932" w:rsidP="007E4932">
            <w:pPr>
              <w:rPr>
                <w:rFonts w:cs="Arial"/>
                <w:color w:val="595959" w:themeColor="text1" w:themeTint="A6"/>
                <w:sz w:val="20"/>
                <w:szCs w:val="20"/>
              </w:rPr>
            </w:pPr>
            <w:r w:rsidRPr="00110B7A">
              <w:rPr>
                <w:rFonts w:cs="Arial"/>
                <w:color w:val="595959" w:themeColor="text1" w:themeTint="A6"/>
                <w:sz w:val="20"/>
                <w:szCs w:val="20"/>
              </w:rPr>
              <w:t xml:space="preserve">C02A01I01 - </w:t>
            </w:r>
            <w:r w:rsidRPr="0059339E">
              <w:rPr>
                <w:rFonts w:cs="Arial"/>
                <w:sz w:val="20"/>
                <w:szCs w:val="20"/>
              </w:rPr>
              <w:t>Porcentaje de matrícula de nivel licenciatura inscrita en programas educativos evaluables y reconocidos por su calidad</w:t>
            </w:r>
            <w:r>
              <w:rPr>
                <w:rFonts w:cs="Arial"/>
                <w:sz w:val="20"/>
                <w:szCs w:val="20"/>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4A79158" w14:textId="161F29A8" w:rsidR="007E4932" w:rsidRPr="00DE0CBC" w:rsidRDefault="007E4932" w:rsidP="007E4932">
            <w:pPr>
              <w:rPr>
                <w:rFonts w:cs="Arial"/>
                <w:sz w:val="20"/>
                <w:szCs w:val="20"/>
              </w:rPr>
            </w:pPr>
            <w:r w:rsidRPr="00895E73">
              <w:rPr>
                <w:rFonts w:cs="Arial"/>
                <w:sz w:val="18"/>
                <w:szCs w:val="20"/>
              </w:rPr>
              <w:t xml:space="preserve">Reportes de porcentaje de matrícula de nivel licenciatura inscrita en programas educativos evaluables y reconocidos por su calidad de la Dirección General de Planeación.  </w:t>
            </w:r>
            <w:hyperlink r:id="rId92" w:history="1">
              <w:r w:rsidRPr="00895E73">
                <w:rPr>
                  <w:rFonts w:cs="Arial"/>
                  <w:sz w:val="18"/>
                  <w:szCs w:val="20"/>
                </w:rPr>
                <w:t>http://sigc.uqroo.mx/indexp.php?id=12</w:t>
              </w:r>
            </w:hyperlink>
            <w:r w:rsidRPr="00895E73">
              <w:rPr>
                <w:rFonts w:cs="Arial"/>
                <w:sz w:val="18"/>
                <w:szCs w:val="20"/>
              </w:rPr>
              <w:t xml:space="preserve">.    </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B7FCFC3" w14:textId="448DDC23" w:rsidR="007E4932" w:rsidRPr="00DE0CBC" w:rsidRDefault="007E4932" w:rsidP="007E4932">
            <w:pPr>
              <w:rPr>
                <w:rFonts w:cs="Arial"/>
                <w:sz w:val="20"/>
                <w:szCs w:val="20"/>
              </w:rPr>
            </w:pPr>
            <w:r w:rsidRPr="0059339E">
              <w:rPr>
                <w:rFonts w:cs="Arial"/>
                <w:sz w:val="20"/>
                <w:szCs w:val="20"/>
              </w:rPr>
              <w:t>Mantenimiento del sistema nacional para la evaluación de la educación superior</w:t>
            </w:r>
          </w:p>
        </w:tc>
      </w:tr>
      <w:tr w:rsidR="00E23746" w:rsidRPr="00FD08F8" w14:paraId="03DDDA63" w14:textId="77777777" w:rsidTr="00B11722">
        <w:trPr>
          <w:trHeight w:val="1725"/>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3F315EED"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Actividad</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41380A3" w14:textId="77777777" w:rsidR="00E23746" w:rsidRPr="00DE0CBC" w:rsidRDefault="00E23746" w:rsidP="000B2F10">
            <w:pPr>
              <w:rPr>
                <w:rFonts w:cs="Arial"/>
                <w:sz w:val="20"/>
                <w:szCs w:val="20"/>
              </w:rPr>
            </w:pPr>
            <w:r w:rsidRPr="000772DE">
              <w:rPr>
                <w:rFonts w:cs="Arial"/>
                <w:sz w:val="20"/>
                <w:szCs w:val="20"/>
              </w:rPr>
              <w:t>Impulsar la acreditación y evaluación de los planes y programas de estudio de educación superior por organismos externos reconocidos a nivel nacional e internacional.</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B3AE58C" w14:textId="77777777" w:rsidR="00E23746" w:rsidRPr="00DE0CBC" w:rsidRDefault="00E23746" w:rsidP="000B2F10">
            <w:pPr>
              <w:rPr>
                <w:rFonts w:cs="Arial"/>
                <w:sz w:val="20"/>
                <w:szCs w:val="20"/>
              </w:rPr>
            </w:pPr>
          </w:p>
        </w:tc>
        <w:tc>
          <w:tcPr>
            <w:tcW w:w="2409" w:type="dxa"/>
            <w:tcBorders>
              <w:top w:val="single" w:sz="4" w:space="0" w:color="auto"/>
              <w:left w:val="single" w:sz="4" w:space="0" w:color="auto"/>
              <w:bottom w:val="single" w:sz="4" w:space="0" w:color="auto"/>
              <w:right w:val="single" w:sz="4" w:space="0" w:color="auto"/>
            </w:tcBorders>
            <w:shd w:val="clear" w:color="FFFFFF" w:fill="FFFFFF"/>
          </w:tcPr>
          <w:p w14:paraId="7D85211E" w14:textId="77777777" w:rsidR="00E23746" w:rsidRPr="00DE0CBC" w:rsidRDefault="00E23746" w:rsidP="000B2F10">
            <w:pPr>
              <w:rPr>
                <w:rFonts w:cs="Arial"/>
                <w:sz w:val="20"/>
                <w:szCs w:val="20"/>
              </w:rPr>
            </w:pPr>
            <w:r w:rsidRPr="00110B7A">
              <w:rPr>
                <w:rFonts w:cs="Arial"/>
                <w:color w:val="595959" w:themeColor="text1" w:themeTint="A6"/>
                <w:sz w:val="20"/>
                <w:szCs w:val="20"/>
              </w:rPr>
              <w:t xml:space="preserve">C02A01I02 - </w:t>
            </w:r>
            <w:r w:rsidRPr="00DE0CBC">
              <w:rPr>
                <w:rFonts w:cs="Arial"/>
                <w:sz w:val="20"/>
                <w:szCs w:val="20"/>
              </w:rPr>
              <w:t>Porcentaje de programas educativos de posgrados en el Padrón del Programa Nacional de Posgrados de Calidad (PNPC)</w:t>
            </w:r>
            <w:r>
              <w:rPr>
                <w:rFonts w:cs="Arial"/>
                <w:sz w:val="20"/>
                <w:szCs w:val="20"/>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754865D" w14:textId="77777777" w:rsidR="00E23746" w:rsidRPr="00DE0CBC" w:rsidRDefault="00E23746" w:rsidP="000B2F10">
            <w:pPr>
              <w:rPr>
                <w:rFonts w:cs="Arial"/>
                <w:sz w:val="20"/>
                <w:szCs w:val="20"/>
              </w:rPr>
            </w:pPr>
            <w:r w:rsidRPr="00DE0CBC">
              <w:rPr>
                <w:rFonts w:cs="Arial"/>
                <w:sz w:val="20"/>
                <w:szCs w:val="20"/>
              </w:rPr>
              <w:t>Constancias del Consejo Nacional de Ciencia y Tecnología en el marco del PNPC y reporte de la Dirección General de Planeación http://sigc.uqroo.mx/indexp.php?id=12</w:t>
            </w:r>
            <w:r>
              <w:rPr>
                <w:rFonts w:cs="Arial"/>
                <w:sz w:val="20"/>
                <w:szCs w:val="20"/>
              </w:rPr>
              <w:t>.</w:t>
            </w:r>
            <w:r w:rsidRPr="00DE0CBC">
              <w:rPr>
                <w:rFonts w:cs="Arial"/>
                <w:sz w:val="20"/>
                <w:szCs w:val="20"/>
              </w:rPr>
              <w:t xml:space="preserve">    </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0B39167" w14:textId="77777777" w:rsidR="00E23746" w:rsidRPr="00DE0CBC" w:rsidRDefault="00E23746" w:rsidP="000B2F10">
            <w:pPr>
              <w:rPr>
                <w:rFonts w:cs="Arial"/>
                <w:sz w:val="20"/>
                <w:szCs w:val="20"/>
              </w:rPr>
            </w:pPr>
            <w:r w:rsidRPr="00DE0CBC">
              <w:rPr>
                <w:rFonts w:cs="Arial"/>
                <w:sz w:val="20"/>
                <w:szCs w:val="20"/>
              </w:rPr>
              <w:t>Que el Conacyt mantenga vigente el Programa Nacional de Posgrados de Calidad (PNPC)</w:t>
            </w:r>
            <w:r>
              <w:rPr>
                <w:rFonts w:cs="Arial"/>
                <w:sz w:val="20"/>
                <w:szCs w:val="20"/>
              </w:rPr>
              <w:t>.</w:t>
            </w:r>
          </w:p>
        </w:tc>
      </w:tr>
      <w:tr w:rsidR="00E23746" w:rsidRPr="00FD08F8" w14:paraId="57DA4C0E" w14:textId="77777777" w:rsidTr="00B11722">
        <w:trPr>
          <w:trHeight w:val="2412"/>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710FC3C2"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Componente</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4D5CCDE" w14:textId="77777777" w:rsidR="00E23746" w:rsidRPr="008D0BD0" w:rsidRDefault="00E23746" w:rsidP="000B2F10">
            <w:pPr>
              <w:rPr>
                <w:rFonts w:cs="Arial"/>
                <w:sz w:val="20"/>
                <w:szCs w:val="20"/>
              </w:rPr>
            </w:pPr>
            <w:r w:rsidRPr="008D0BD0">
              <w:rPr>
                <w:rFonts w:cs="Arial"/>
                <w:sz w:val="20"/>
                <w:szCs w:val="20"/>
              </w:rPr>
              <w:t>Impulsar la vinculación con instituciones públicas y privadas para la realización del servicio social, prácticas profesionales o su equivalente y modelo dual por parte de los estudiantes de educación superior.</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9211DB8" w14:textId="77777777" w:rsidR="00E23746" w:rsidRPr="008D0BD0" w:rsidRDefault="00E23746" w:rsidP="000B2F10">
            <w:pPr>
              <w:rPr>
                <w:rFonts w:cs="Arial"/>
                <w:sz w:val="20"/>
                <w:szCs w:val="20"/>
              </w:rPr>
            </w:pPr>
            <w:r w:rsidRPr="00574DAC">
              <w:rPr>
                <w:rFonts w:cs="Arial"/>
                <w:sz w:val="20"/>
                <w:szCs w:val="20"/>
              </w:rPr>
              <w:t xml:space="preserve">C03 - </w:t>
            </w:r>
            <w:r w:rsidRPr="008D0BD0">
              <w:rPr>
                <w:rFonts w:cs="Arial"/>
                <w:sz w:val="20"/>
                <w:szCs w:val="20"/>
              </w:rPr>
              <w:t>Vinculación Interinstitucional realizada</w:t>
            </w:r>
            <w:r>
              <w:rPr>
                <w:rFonts w:cs="Arial"/>
                <w:sz w:val="20"/>
                <w:szCs w:val="20"/>
              </w:rPr>
              <w:t>.</w:t>
            </w:r>
          </w:p>
        </w:tc>
        <w:tc>
          <w:tcPr>
            <w:tcW w:w="2409" w:type="dxa"/>
            <w:tcBorders>
              <w:top w:val="single" w:sz="4" w:space="0" w:color="auto"/>
              <w:left w:val="single" w:sz="4" w:space="0" w:color="auto"/>
              <w:bottom w:val="single" w:sz="4" w:space="0" w:color="auto"/>
              <w:right w:val="single" w:sz="4" w:space="0" w:color="auto"/>
            </w:tcBorders>
            <w:shd w:val="clear" w:color="FFFFFF" w:fill="FFFFFF"/>
          </w:tcPr>
          <w:p w14:paraId="267DD0BF" w14:textId="77777777" w:rsidR="00E23746" w:rsidRPr="008D0BD0" w:rsidRDefault="00E23746" w:rsidP="000B2F10">
            <w:pPr>
              <w:rPr>
                <w:rFonts w:cs="Arial"/>
                <w:sz w:val="20"/>
                <w:szCs w:val="20"/>
              </w:rPr>
            </w:pPr>
            <w:r w:rsidRPr="00574DAC">
              <w:rPr>
                <w:rFonts w:cs="Arial"/>
                <w:sz w:val="20"/>
                <w:szCs w:val="20"/>
              </w:rPr>
              <w:t xml:space="preserve">C03 - </w:t>
            </w:r>
            <w:r w:rsidRPr="008D0BD0">
              <w:rPr>
                <w:rFonts w:cs="Arial"/>
                <w:sz w:val="20"/>
                <w:szCs w:val="20"/>
              </w:rPr>
              <w:t>Porcentaje de estudiantes participando en proyectos y/o convenios</w:t>
            </w:r>
            <w:r>
              <w:rPr>
                <w:rFonts w:cs="Arial"/>
                <w:sz w:val="20"/>
                <w:szCs w:val="20"/>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43BDEC01" w14:textId="77777777" w:rsidR="00E23746" w:rsidRPr="008D0BD0" w:rsidRDefault="00E23746" w:rsidP="000B2F10">
            <w:pPr>
              <w:rPr>
                <w:rFonts w:cs="Arial"/>
                <w:sz w:val="20"/>
                <w:szCs w:val="20"/>
              </w:rPr>
            </w:pPr>
            <w:r w:rsidRPr="008D0BD0">
              <w:rPr>
                <w:rFonts w:cs="Arial"/>
                <w:sz w:val="20"/>
                <w:szCs w:val="20"/>
              </w:rPr>
              <w:t>Reportes de la Dirección General de Planeación http://sigc.uqroo.mx/indexp.php?id=12</w:t>
            </w:r>
            <w:r>
              <w:rPr>
                <w:rFonts w:cs="Arial"/>
                <w:sz w:val="20"/>
                <w:szCs w:val="20"/>
              </w:rPr>
              <w:t>.</w:t>
            </w:r>
            <w:r w:rsidRPr="008D0BD0">
              <w:rPr>
                <w:rFonts w:cs="Arial"/>
                <w:sz w:val="20"/>
                <w:szCs w:val="20"/>
              </w:rPr>
              <w:t xml:space="preserve">   </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813BA2D" w14:textId="77777777" w:rsidR="00E23746" w:rsidRPr="008D0BD0" w:rsidRDefault="00E23746" w:rsidP="000B2F10">
            <w:pPr>
              <w:rPr>
                <w:rFonts w:cs="Arial"/>
                <w:sz w:val="20"/>
                <w:szCs w:val="20"/>
              </w:rPr>
            </w:pPr>
            <w:r w:rsidRPr="008D0BD0">
              <w:rPr>
                <w:rFonts w:cs="Arial"/>
                <w:sz w:val="20"/>
                <w:szCs w:val="20"/>
              </w:rPr>
              <w:t>Los estudiantes se interesan en participar en los proyectos de vinculación propuestos por las Instituciones de Educación Superior de la Entidad.</w:t>
            </w:r>
          </w:p>
        </w:tc>
      </w:tr>
    </w:tbl>
    <w:p w14:paraId="579DCFF8" w14:textId="77777777" w:rsidR="00D36037" w:rsidRDefault="00D36037">
      <w:pPr>
        <w:spacing w:after="0" w:line="240" w:lineRule="auto"/>
        <w:jc w:val="left"/>
      </w:pPr>
      <w:r>
        <w:br w:type="page"/>
      </w:r>
    </w:p>
    <w:tbl>
      <w:tblPr>
        <w:tblW w:w="14029" w:type="dxa"/>
        <w:tblLayout w:type="fixed"/>
        <w:tblCellMar>
          <w:left w:w="70" w:type="dxa"/>
          <w:right w:w="70" w:type="dxa"/>
        </w:tblCellMar>
        <w:tblLook w:val="04A0" w:firstRow="1" w:lastRow="0" w:firstColumn="1" w:lastColumn="0" w:noHBand="0" w:noVBand="1"/>
      </w:tblPr>
      <w:tblGrid>
        <w:gridCol w:w="1413"/>
        <w:gridCol w:w="2693"/>
        <w:gridCol w:w="2552"/>
        <w:gridCol w:w="2409"/>
        <w:gridCol w:w="2552"/>
        <w:gridCol w:w="2410"/>
      </w:tblGrid>
      <w:tr w:rsidR="00E23746" w:rsidRPr="00FD08F8" w14:paraId="31E77683" w14:textId="77777777" w:rsidTr="00B11722">
        <w:trPr>
          <w:trHeight w:val="577"/>
        </w:trPr>
        <w:tc>
          <w:tcPr>
            <w:tcW w:w="1413"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545737CD"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lastRenderedPageBreak/>
              <w:t>NIVEL</w:t>
            </w:r>
          </w:p>
        </w:tc>
        <w:tc>
          <w:tcPr>
            <w:tcW w:w="2693" w:type="dxa"/>
            <w:tcBorders>
              <w:top w:val="single" w:sz="4" w:space="0" w:color="auto"/>
              <w:left w:val="nil"/>
              <w:bottom w:val="single" w:sz="4" w:space="0" w:color="auto"/>
              <w:right w:val="single" w:sz="4" w:space="0" w:color="auto"/>
            </w:tcBorders>
            <w:shd w:val="clear" w:color="000000" w:fill="BFBFBF"/>
            <w:vAlign w:val="center"/>
            <w:hideMark/>
          </w:tcPr>
          <w:p w14:paraId="31049029"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ALINEACIÓN PED/PD</w:t>
            </w:r>
          </w:p>
        </w:tc>
        <w:tc>
          <w:tcPr>
            <w:tcW w:w="2552" w:type="dxa"/>
            <w:tcBorders>
              <w:top w:val="single" w:sz="4" w:space="0" w:color="auto"/>
              <w:left w:val="nil"/>
              <w:bottom w:val="single" w:sz="4" w:space="0" w:color="auto"/>
              <w:right w:val="single" w:sz="4" w:space="0" w:color="auto"/>
            </w:tcBorders>
            <w:shd w:val="clear" w:color="000000" w:fill="BFBFBF"/>
            <w:vAlign w:val="center"/>
            <w:hideMark/>
          </w:tcPr>
          <w:p w14:paraId="171B42D3"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OBJETIVO</w:t>
            </w:r>
          </w:p>
        </w:tc>
        <w:tc>
          <w:tcPr>
            <w:tcW w:w="2409" w:type="dxa"/>
            <w:tcBorders>
              <w:top w:val="single" w:sz="4" w:space="0" w:color="auto"/>
              <w:left w:val="nil"/>
              <w:bottom w:val="single" w:sz="4" w:space="0" w:color="auto"/>
              <w:right w:val="single" w:sz="4" w:space="0" w:color="auto"/>
            </w:tcBorders>
            <w:shd w:val="clear" w:color="000000" w:fill="BFBFBF"/>
            <w:vAlign w:val="center"/>
            <w:hideMark/>
          </w:tcPr>
          <w:p w14:paraId="0BDF4889"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INDICADOR</w:t>
            </w:r>
          </w:p>
        </w:tc>
        <w:tc>
          <w:tcPr>
            <w:tcW w:w="2552" w:type="dxa"/>
            <w:tcBorders>
              <w:top w:val="single" w:sz="4" w:space="0" w:color="auto"/>
              <w:left w:val="nil"/>
              <w:bottom w:val="single" w:sz="4" w:space="0" w:color="auto"/>
              <w:right w:val="single" w:sz="4" w:space="0" w:color="auto"/>
            </w:tcBorders>
            <w:shd w:val="clear" w:color="000000" w:fill="BFBFBF"/>
            <w:vAlign w:val="center"/>
            <w:hideMark/>
          </w:tcPr>
          <w:p w14:paraId="0FEE65DF"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MEDIOS DE VERIFICACIÓN</w:t>
            </w:r>
          </w:p>
        </w:tc>
        <w:tc>
          <w:tcPr>
            <w:tcW w:w="2410" w:type="dxa"/>
            <w:tcBorders>
              <w:top w:val="single" w:sz="4" w:space="0" w:color="auto"/>
              <w:left w:val="nil"/>
              <w:bottom w:val="single" w:sz="4" w:space="0" w:color="auto"/>
              <w:right w:val="single" w:sz="4" w:space="0" w:color="auto"/>
            </w:tcBorders>
            <w:shd w:val="clear" w:color="000000" w:fill="BFBFBF"/>
            <w:vAlign w:val="center"/>
            <w:hideMark/>
          </w:tcPr>
          <w:p w14:paraId="47C6D508"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SUPUESTO</w:t>
            </w:r>
          </w:p>
        </w:tc>
      </w:tr>
      <w:tr w:rsidR="007E4932" w:rsidRPr="00FD08F8" w14:paraId="658A458A" w14:textId="77777777" w:rsidTr="007E4932">
        <w:trPr>
          <w:trHeight w:val="210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44C425F8" w14:textId="2A448666" w:rsidR="007E4932" w:rsidRPr="00FD08F8" w:rsidRDefault="007E4932" w:rsidP="007E4932">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Actividad</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3F17F20" w14:textId="21E4CF3F" w:rsidR="007E4932" w:rsidRPr="00E414C9" w:rsidRDefault="007E4932" w:rsidP="007E4932">
            <w:pPr>
              <w:rPr>
                <w:rFonts w:cs="Arial"/>
                <w:sz w:val="20"/>
                <w:szCs w:val="20"/>
              </w:rPr>
            </w:pPr>
            <w:r w:rsidRPr="008D0BD0">
              <w:rPr>
                <w:rFonts w:cs="Arial"/>
                <w:sz w:val="20"/>
                <w:szCs w:val="20"/>
              </w:rPr>
              <w:t>Impulsar la vinculación con instituciones públicas y privadas para la realización del servicio social, prácticas profesionales o su equivalente y modelo dual por parte de los estudiantes de educación superior.</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2A6B4E8" w14:textId="61EF75B5" w:rsidR="007E4932" w:rsidRPr="00574DAC" w:rsidRDefault="007E4932" w:rsidP="007E4932">
            <w:pPr>
              <w:rPr>
                <w:rFonts w:cs="Arial"/>
                <w:sz w:val="20"/>
                <w:szCs w:val="20"/>
              </w:rPr>
            </w:pPr>
            <w:r>
              <w:rPr>
                <w:rFonts w:cs="Arial"/>
                <w:sz w:val="20"/>
                <w:szCs w:val="20"/>
              </w:rPr>
              <w:t>C03.A01</w:t>
            </w:r>
            <w:r w:rsidRPr="00574DAC">
              <w:rPr>
                <w:rFonts w:cs="Arial"/>
                <w:sz w:val="20"/>
                <w:szCs w:val="20"/>
              </w:rPr>
              <w:t xml:space="preserve"> - </w:t>
            </w:r>
            <w:r w:rsidRPr="004352EB">
              <w:rPr>
                <w:rFonts w:cs="Arial"/>
                <w:sz w:val="20"/>
                <w:szCs w:val="20"/>
              </w:rPr>
              <w:t>Movilidad académica realizada</w:t>
            </w:r>
            <w:r>
              <w:rPr>
                <w:rFonts w:cs="Arial"/>
                <w:sz w:val="20"/>
                <w:szCs w:val="20"/>
              </w:rPr>
              <w:t>.</w:t>
            </w:r>
          </w:p>
        </w:tc>
        <w:tc>
          <w:tcPr>
            <w:tcW w:w="2409" w:type="dxa"/>
            <w:tcBorders>
              <w:top w:val="single" w:sz="4" w:space="0" w:color="auto"/>
              <w:left w:val="single" w:sz="4" w:space="0" w:color="auto"/>
              <w:bottom w:val="single" w:sz="4" w:space="0" w:color="auto"/>
              <w:right w:val="single" w:sz="4" w:space="0" w:color="auto"/>
            </w:tcBorders>
            <w:shd w:val="clear" w:color="FFFFFF" w:fill="FFFFFF"/>
          </w:tcPr>
          <w:p w14:paraId="607710A8" w14:textId="3A838815" w:rsidR="007E4932" w:rsidRDefault="007E4932" w:rsidP="007E4932">
            <w:pPr>
              <w:rPr>
                <w:rFonts w:cs="Arial"/>
                <w:color w:val="595959" w:themeColor="text1" w:themeTint="A6"/>
                <w:sz w:val="20"/>
                <w:szCs w:val="20"/>
              </w:rPr>
            </w:pPr>
            <w:r w:rsidRPr="004D5E18">
              <w:rPr>
                <w:rFonts w:cs="Arial"/>
                <w:color w:val="595959" w:themeColor="text1" w:themeTint="A6"/>
                <w:sz w:val="20"/>
                <w:szCs w:val="20"/>
              </w:rPr>
              <w:t xml:space="preserve">C03A01I02 - </w:t>
            </w:r>
            <w:r w:rsidRPr="004352EB">
              <w:rPr>
                <w:rFonts w:cs="Arial"/>
                <w:sz w:val="20"/>
                <w:szCs w:val="20"/>
              </w:rPr>
              <w:t>Porcentaje de alumnos de la Universidad de Quintana Roo que realizaron movilidad nacional o internacional</w:t>
            </w:r>
            <w:r>
              <w:rPr>
                <w:rFonts w:cs="Arial"/>
                <w:sz w:val="20"/>
                <w:szCs w:val="20"/>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2C6D7D8" w14:textId="6308539C" w:rsidR="007E4932" w:rsidRPr="00E414C9" w:rsidRDefault="007E4932" w:rsidP="007E4932">
            <w:pPr>
              <w:rPr>
                <w:rFonts w:cs="Arial"/>
                <w:sz w:val="20"/>
                <w:szCs w:val="20"/>
              </w:rPr>
            </w:pPr>
            <w:r w:rsidRPr="004352EB">
              <w:rPr>
                <w:rFonts w:cs="Arial"/>
                <w:sz w:val="20"/>
                <w:szCs w:val="20"/>
              </w:rPr>
              <w:t>Reportes de movilidad nacional e internacional de la Dirección General de Servicios Estudiantiles. http://sigc.uqroo.mx/indexp.php?id=12</w:t>
            </w:r>
            <w:r>
              <w:rPr>
                <w:rFonts w:cs="Arial"/>
                <w:sz w:val="20"/>
                <w:szCs w:val="20"/>
              </w:rPr>
              <w:t>.</w:t>
            </w:r>
            <w:r w:rsidRPr="004352EB">
              <w:rPr>
                <w:rFonts w:cs="Arial"/>
                <w:sz w:val="20"/>
                <w:szCs w:val="20"/>
              </w:rPr>
              <w:t xml:space="preserve">     </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535901" w14:textId="517C7A89" w:rsidR="007E4932" w:rsidRPr="00E414C9" w:rsidRDefault="007E4932" w:rsidP="007E4932">
            <w:pPr>
              <w:rPr>
                <w:rFonts w:cs="Arial"/>
                <w:sz w:val="20"/>
                <w:szCs w:val="20"/>
              </w:rPr>
            </w:pPr>
            <w:r w:rsidRPr="004352EB">
              <w:rPr>
                <w:rFonts w:cs="Arial"/>
                <w:sz w:val="20"/>
                <w:szCs w:val="20"/>
              </w:rPr>
              <w:t>Las instituciones nacionales e internacionales mantienen su interés en colaborar con la UQROO, bajo el contexto de la nueva realidad</w:t>
            </w:r>
            <w:r>
              <w:rPr>
                <w:rFonts w:cs="Arial"/>
                <w:sz w:val="20"/>
                <w:szCs w:val="20"/>
              </w:rPr>
              <w:t>.</w:t>
            </w:r>
          </w:p>
        </w:tc>
      </w:tr>
      <w:tr w:rsidR="00E23746" w:rsidRPr="00FD08F8" w14:paraId="037E7031" w14:textId="77777777" w:rsidTr="00B11722">
        <w:trPr>
          <w:trHeight w:val="2412"/>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7BA5AEE"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Componente</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33F200B" w14:textId="77777777" w:rsidR="00E23746" w:rsidRPr="00E414C9" w:rsidRDefault="00E23746" w:rsidP="000B2F10">
            <w:pPr>
              <w:rPr>
                <w:rFonts w:cs="Arial"/>
                <w:sz w:val="20"/>
                <w:szCs w:val="20"/>
              </w:rPr>
            </w:pPr>
            <w:r w:rsidRPr="00E414C9">
              <w:rPr>
                <w:rFonts w:cs="Arial"/>
                <w:sz w:val="20"/>
                <w:szCs w:val="20"/>
              </w:rPr>
              <w:t>Fortalecer la investigación básica y aplicada con la participación de los estudiantes de educación superior</w:t>
            </w:r>
            <w:r>
              <w:rPr>
                <w:rFonts w:cs="Arial"/>
                <w:sz w:val="20"/>
                <w:szCs w:val="20"/>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7BD400F" w14:textId="77777777" w:rsidR="00E23746" w:rsidRPr="00E414C9" w:rsidRDefault="00E23746" w:rsidP="000B2F10">
            <w:pPr>
              <w:rPr>
                <w:rFonts w:cs="Arial"/>
                <w:sz w:val="20"/>
                <w:szCs w:val="20"/>
              </w:rPr>
            </w:pPr>
            <w:r w:rsidRPr="00574DAC">
              <w:rPr>
                <w:rFonts w:cs="Arial"/>
                <w:sz w:val="20"/>
                <w:szCs w:val="20"/>
              </w:rPr>
              <w:t xml:space="preserve">C04 - </w:t>
            </w:r>
            <w:r w:rsidRPr="00E414C9">
              <w:rPr>
                <w:rFonts w:cs="Arial"/>
                <w:sz w:val="20"/>
                <w:szCs w:val="20"/>
              </w:rPr>
              <w:t>Investigación pert</w:t>
            </w:r>
            <w:r>
              <w:rPr>
                <w:rFonts w:cs="Arial"/>
                <w:sz w:val="20"/>
                <w:szCs w:val="20"/>
              </w:rPr>
              <w:t>inente y de calidad, reconocida.</w:t>
            </w:r>
          </w:p>
        </w:tc>
        <w:tc>
          <w:tcPr>
            <w:tcW w:w="2409" w:type="dxa"/>
            <w:tcBorders>
              <w:top w:val="single" w:sz="4" w:space="0" w:color="auto"/>
              <w:left w:val="single" w:sz="4" w:space="0" w:color="auto"/>
              <w:bottom w:val="single" w:sz="4" w:space="0" w:color="auto"/>
              <w:right w:val="single" w:sz="4" w:space="0" w:color="auto"/>
            </w:tcBorders>
            <w:shd w:val="clear" w:color="FFFFFF" w:fill="FFFFFF"/>
          </w:tcPr>
          <w:p w14:paraId="024F2ECF" w14:textId="77777777" w:rsidR="00E23746" w:rsidRPr="00E414C9" w:rsidRDefault="00E23746" w:rsidP="000B2F10">
            <w:pPr>
              <w:rPr>
                <w:rFonts w:cs="Arial"/>
                <w:sz w:val="20"/>
                <w:szCs w:val="20"/>
              </w:rPr>
            </w:pPr>
            <w:r>
              <w:rPr>
                <w:rFonts w:cs="Arial"/>
                <w:color w:val="595959" w:themeColor="text1" w:themeTint="A6"/>
                <w:sz w:val="20"/>
                <w:szCs w:val="20"/>
              </w:rPr>
              <w:t>C04</w:t>
            </w:r>
            <w:r w:rsidRPr="004D5E18">
              <w:rPr>
                <w:rFonts w:cs="Arial"/>
                <w:color w:val="595959" w:themeColor="text1" w:themeTint="A6"/>
                <w:sz w:val="20"/>
                <w:szCs w:val="20"/>
              </w:rPr>
              <w:t xml:space="preserve"> - </w:t>
            </w:r>
            <w:r w:rsidRPr="00E414C9">
              <w:rPr>
                <w:rFonts w:cs="Arial"/>
                <w:sz w:val="20"/>
                <w:szCs w:val="20"/>
              </w:rPr>
              <w:t>Porcentaje de cuerpos académicos consolidados</w:t>
            </w:r>
            <w:r>
              <w:rPr>
                <w:rFonts w:cs="Arial"/>
                <w:sz w:val="20"/>
                <w:szCs w:val="20"/>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0D4EC1FA" w14:textId="2F75C511" w:rsidR="00E23746" w:rsidRPr="00E414C9" w:rsidRDefault="00E23746" w:rsidP="007E4932">
            <w:pPr>
              <w:rPr>
                <w:rFonts w:cs="Arial"/>
                <w:sz w:val="20"/>
                <w:szCs w:val="20"/>
              </w:rPr>
            </w:pPr>
            <w:r w:rsidRPr="00E414C9">
              <w:rPr>
                <w:rFonts w:cs="Arial"/>
                <w:sz w:val="20"/>
                <w:szCs w:val="20"/>
              </w:rPr>
              <w:t>Reporte de la Dirección General de Planeación con base en el Padrón del Programa para el Desarrollo Profesional Docente (PRODEP) de la Subsecretaría de Educación Superior de la SEP.http://sigc.uqroo.mx/indexp.php?id=12</w:t>
            </w:r>
            <w:r>
              <w:rPr>
                <w:rFonts w:cs="Arial"/>
                <w:sz w:val="20"/>
                <w:szCs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1743E15" w14:textId="77777777" w:rsidR="00E23746" w:rsidRPr="00E414C9" w:rsidRDefault="00E23746" w:rsidP="000B2F10">
            <w:pPr>
              <w:rPr>
                <w:rFonts w:cs="Arial"/>
                <w:sz w:val="20"/>
                <w:szCs w:val="20"/>
              </w:rPr>
            </w:pPr>
            <w:r w:rsidRPr="00E414C9">
              <w:rPr>
                <w:rFonts w:cs="Arial"/>
                <w:sz w:val="20"/>
                <w:szCs w:val="20"/>
              </w:rPr>
              <w:t>La Subsecretaría de Educación Superior mantiene activo el Programa para el Desarrollo  del Profesorado (PRODEP)</w:t>
            </w:r>
            <w:r>
              <w:rPr>
                <w:rFonts w:cs="Arial"/>
                <w:sz w:val="20"/>
                <w:szCs w:val="20"/>
              </w:rPr>
              <w:t>.</w:t>
            </w:r>
          </w:p>
        </w:tc>
      </w:tr>
    </w:tbl>
    <w:p w14:paraId="5D74336B" w14:textId="77777777" w:rsidR="00D36037" w:rsidRDefault="00D36037">
      <w:pPr>
        <w:spacing w:after="0" w:line="240" w:lineRule="auto"/>
        <w:jc w:val="left"/>
      </w:pPr>
      <w:r>
        <w:br w:type="page"/>
      </w:r>
    </w:p>
    <w:tbl>
      <w:tblPr>
        <w:tblW w:w="14029" w:type="dxa"/>
        <w:tblLayout w:type="fixed"/>
        <w:tblCellMar>
          <w:left w:w="70" w:type="dxa"/>
          <w:right w:w="70" w:type="dxa"/>
        </w:tblCellMar>
        <w:tblLook w:val="04A0" w:firstRow="1" w:lastRow="0" w:firstColumn="1" w:lastColumn="0" w:noHBand="0" w:noVBand="1"/>
      </w:tblPr>
      <w:tblGrid>
        <w:gridCol w:w="1271"/>
        <w:gridCol w:w="2835"/>
        <w:gridCol w:w="2552"/>
        <w:gridCol w:w="2409"/>
        <w:gridCol w:w="2552"/>
        <w:gridCol w:w="2410"/>
      </w:tblGrid>
      <w:tr w:rsidR="00E23746" w:rsidRPr="00FD08F8" w14:paraId="780C7C99" w14:textId="77777777" w:rsidTr="003D04F9">
        <w:trPr>
          <w:trHeight w:val="577"/>
        </w:trPr>
        <w:tc>
          <w:tcPr>
            <w:tcW w:w="1271"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6E82334F" w14:textId="77777777" w:rsidR="00E23746" w:rsidRPr="00FD08F8" w:rsidRDefault="00E23746" w:rsidP="000B2F10">
            <w:pPr>
              <w:spacing w:after="0" w:line="240" w:lineRule="auto"/>
              <w:jc w:val="center"/>
              <w:rPr>
                <w:rFonts w:eastAsia="Times New Roman" w:cs="Arial"/>
                <w:b/>
                <w:bCs/>
                <w:sz w:val="20"/>
                <w:szCs w:val="20"/>
                <w:lang w:val="es-MX" w:eastAsia="es-MX"/>
              </w:rPr>
            </w:pPr>
            <w:bookmarkStart w:id="93" w:name="_Hlk53424750"/>
            <w:r w:rsidRPr="00FD08F8">
              <w:rPr>
                <w:rFonts w:eastAsia="Times New Roman" w:cs="Arial"/>
                <w:b/>
                <w:bCs/>
                <w:sz w:val="20"/>
                <w:szCs w:val="20"/>
                <w:lang w:val="es-MX" w:eastAsia="es-MX"/>
              </w:rPr>
              <w:lastRenderedPageBreak/>
              <w:t>NIVEL</w:t>
            </w:r>
          </w:p>
        </w:tc>
        <w:tc>
          <w:tcPr>
            <w:tcW w:w="2835" w:type="dxa"/>
            <w:tcBorders>
              <w:top w:val="single" w:sz="4" w:space="0" w:color="auto"/>
              <w:left w:val="nil"/>
              <w:bottom w:val="single" w:sz="4" w:space="0" w:color="auto"/>
              <w:right w:val="single" w:sz="4" w:space="0" w:color="auto"/>
            </w:tcBorders>
            <w:shd w:val="clear" w:color="000000" w:fill="BFBFBF"/>
            <w:vAlign w:val="center"/>
            <w:hideMark/>
          </w:tcPr>
          <w:p w14:paraId="13F74F98"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ALINEACIÓN PED/PD</w:t>
            </w:r>
          </w:p>
        </w:tc>
        <w:tc>
          <w:tcPr>
            <w:tcW w:w="2552" w:type="dxa"/>
            <w:tcBorders>
              <w:top w:val="single" w:sz="4" w:space="0" w:color="auto"/>
              <w:left w:val="nil"/>
              <w:bottom w:val="single" w:sz="4" w:space="0" w:color="auto"/>
              <w:right w:val="single" w:sz="4" w:space="0" w:color="auto"/>
            </w:tcBorders>
            <w:shd w:val="clear" w:color="000000" w:fill="BFBFBF"/>
            <w:vAlign w:val="center"/>
            <w:hideMark/>
          </w:tcPr>
          <w:p w14:paraId="11B5314B"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OBJETIVO</w:t>
            </w:r>
          </w:p>
        </w:tc>
        <w:tc>
          <w:tcPr>
            <w:tcW w:w="2409" w:type="dxa"/>
            <w:tcBorders>
              <w:top w:val="single" w:sz="4" w:space="0" w:color="auto"/>
              <w:left w:val="nil"/>
              <w:bottom w:val="single" w:sz="4" w:space="0" w:color="auto"/>
              <w:right w:val="single" w:sz="4" w:space="0" w:color="auto"/>
            </w:tcBorders>
            <w:shd w:val="clear" w:color="000000" w:fill="BFBFBF"/>
            <w:vAlign w:val="center"/>
            <w:hideMark/>
          </w:tcPr>
          <w:p w14:paraId="6F30D120"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INDICADOR</w:t>
            </w:r>
          </w:p>
        </w:tc>
        <w:tc>
          <w:tcPr>
            <w:tcW w:w="2552" w:type="dxa"/>
            <w:tcBorders>
              <w:top w:val="single" w:sz="4" w:space="0" w:color="auto"/>
              <w:left w:val="nil"/>
              <w:bottom w:val="single" w:sz="4" w:space="0" w:color="auto"/>
              <w:right w:val="single" w:sz="4" w:space="0" w:color="auto"/>
            </w:tcBorders>
            <w:shd w:val="clear" w:color="000000" w:fill="BFBFBF"/>
            <w:vAlign w:val="center"/>
            <w:hideMark/>
          </w:tcPr>
          <w:p w14:paraId="3ED3B262"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MEDIOS DE VERIFICACIÓN</w:t>
            </w:r>
          </w:p>
        </w:tc>
        <w:tc>
          <w:tcPr>
            <w:tcW w:w="2410" w:type="dxa"/>
            <w:tcBorders>
              <w:top w:val="single" w:sz="4" w:space="0" w:color="auto"/>
              <w:left w:val="nil"/>
              <w:bottom w:val="single" w:sz="4" w:space="0" w:color="auto"/>
              <w:right w:val="single" w:sz="4" w:space="0" w:color="auto"/>
            </w:tcBorders>
            <w:shd w:val="clear" w:color="000000" w:fill="BFBFBF"/>
            <w:vAlign w:val="center"/>
            <w:hideMark/>
          </w:tcPr>
          <w:p w14:paraId="5A6F39E2"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SUPUESTO</w:t>
            </w:r>
          </w:p>
        </w:tc>
      </w:tr>
      <w:bookmarkEnd w:id="93"/>
      <w:tr w:rsidR="005B7C5F" w:rsidRPr="00FD08F8" w14:paraId="00B80A2C" w14:textId="77777777" w:rsidTr="003D04F9">
        <w:trPr>
          <w:trHeight w:val="2412"/>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060AA546" w14:textId="501159E1" w:rsidR="005B7C5F" w:rsidRPr="004D5E18" w:rsidRDefault="005B7C5F" w:rsidP="005B7C5F">
            <w:pPr>
              <w:spacing w:after="0" w:line="240" w:lineRule="auto"/>
              <w:jc w:val="center"/>
              <w:rPr>
                <w:rFonts w:eastAsia="Times New Roman" w:cs="Arial"/>
                <w:b/>
                <w:bCs/>
                <w:sz w:val="18"/>
                <w:szCs w:val="20"/>
                <w:lang w:val="es-MX" w:eastAsia="es-MX"/>
              </w:rPr>
            </w:pPr>
            <w:r w:rsidRPr="004D5E18">
              <w:rPr>
                <w:rFonts w:eastAsia="Times New Roman" w:cs="Arial"/>
                <w:b/>
                <w:bCs/>
                <w:sz w:val="18"/>
                <w:szCs w:val="20"/>
                <w:lang w:val="es-MX" w:eastAsia="es-MX"/>
              </w:rPr>
              <w:t>Actividad</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1732400" w14:textId="44B1F69D" w:rsidR="005B7C5F" w:rsidRPr="004D5E18" w:rsidRDefault="005B7C5F" w:rsidP="005B7C5F">
            <w:pPr>
              <w:rPr>
                <w:rFonts w:cs="Arial"/>
                <w:sz w:val="18"/>
                <w:szCs w:val="20"/>
              </w:rPr>
            </w:pPr>
            <w:r w:rsidRPr="004D5E18">
              <w:rPr>
                <w:rFonts w:cs="Arial"/>
                <w:sz w:val="18"/>
                <w:szCs w:val="20"/>
              </w:rPr>
              <w:t>Fortalecer la investigación básica y aplicada con la participación de los estudiantes de educación superior.</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9390F56" w14:textId="7A4EB1C2" w:rsidR="005B7C5F" w:rsidRPr="004D5E18" w:rsidRDefault="005B7C5F" w:rsidP="005B7C5F">
            <w:pPr>
              <w:rPr>
                <w:rFonts w:cs="Arial"/>
                <w:sz w:val="18"/>
                <w:szCs w:val="20"/>
              </w:rPr>
            </w:pPr>
            <w:r w:rsidRPr="004D5E18">
              <w:rPr>
                <w:rFonts w:cs="Arial"/>
                <w:sz w:val="18"/>
                <w:szCs w:val="20"/>
              </w:rPr>
              <w:t>C04.A01 - Consolidación de la capacidad académica para la investigación.</w:t>
            </w:r>
          </w:p>
        </w:tc>
        <w:tc>
          <w:tcPr>
            <w:tcW w:w="2409" w:type="dxa"/>
            <w:tcBorders>
              <w:top w:val="single" w:sz="4" w:space="0" w:color="auto"/>
              <w:left w:val="single" w:sz="4" w:space="0" w:color="auto"/>
              <w:bottom w:val="single" w:sz="4" w:space="0" w:color="auto"/>
              <w:right w:val="single" w:sz="4" w:space="0" w:color="auto"/>
            </w:tcBorders>
            <w:shd w:val="clear" w:color="FFFFFF" w:fill="FFFFFF"/>
          </w:tcPr>
          <w:p w14:paraId="3D0E08F8" w14:textId="38065FAE" w:rsidR="005B7C5F" w:rsidRPr="004D5E18" w:rsidRDefault="005B7C5F" w:rsidP="005B7C5F">
            <w:pPr>
              <w:rPr>
                <w:rFonts w:cs="Arial"/>
                <w:color w:val="595959" w:themeColor="text1" w:themeTint="A6"/>
                <w:sz w:val="18"/>
                <w:szCs w:val="20"/>
              </w:rPr>
            </w:pPr>
            <w:r w:rsidRPr="004D5E18">
              <w:rPr>
                <w:rFonts w:cs="Arial"/>
                <w:color w:val="595959" w:themeColor="text1" w:themeTint="A6"/>
                <w:sz w:val="18"/>
                <w:szCs w:val="20"/>
              </w:rPr>
              <w:t xml:space="preserve">C04A01I01 - </w:t>
            </w:r>
            <w:r w:rsidRPr="004D5E18">
              <w:rPr>
                <w:rFonts w:cs="Arial"/>
                <w:sz w:val="18"/>
                <w:szCs w:val="20"/>
              </w:rPr>
              <w:t xml:space="preserve">Porcentaje de profesores de tiempo completo de carrera con doctorado.       </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5E7AEACF" w14:textId="679167F5" w:rsidR="005B7C5F" w:rsidRPr="004D5E18" w:rsidRDefault="005B7C5F" w:rsidP="005B7C5F">
            <w:pPr>
              <w:rPr>
                <w:rFonts w:cs="Arial"/>
                <w:sz w:val="18"/>
                <w:szCs w:val="20"/>
              </w:rPr>
            </w:pPr>
            <w:r w:rsidRPr="004D5E18">
              <w:rPr>
                <w:rFonts w:cs="Arial"/>
                <w:sz w:val="18"/>
                <w:szCs w:val="20"/>
              </w:rPr>
              <w:t xml:space="preserve">Universidad de Quintana Roo, http://sigc.uqroo.mx/indexp.php?id=12.    </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C8EE370" w14:textId="504E025C" w:rsidR="005B7C5F" w:rsidRPr="004D5E18" w:rsidRDefault="005B7C5F" w:rsidP="005B7C5F">
            <w:pPr>
              <w:rPr>
                <w:rFonts w:cs="Arial"/>
                <w:sz w:val="18"/>
                <w:szCs w:val="20"/>
              </w:rPr>
            </w:pPr>
            <w:r w:rsidRPr="004D5E18">
              <w:rPr>
                <w:rFonts w:cs="Arial"/>
                <w:sz w:val="18"/>
                <w:szCs w:val="20"/>
              </w:rPr>
              <w:t>El Programa para el Desarrollo del Profesorado (PRODEP) emite las convocatorias para estudios de posgrado y para reconocimiento a perfil; el CONACYT emite la convocatoria para incorporación/permanencia de profesores en el Sistema Nacional de Investigadores (SNI).</w:t>
            </w:r>
          </w:p>
        </w:tc>
      </w:tr>
      <w:tr w:rsidR="00E23746" w:rsidRPr="00FD08F8" w14:paraId="2A45EC16" w14:textId="77777777" w:rsidTr="003D04F9">
        <w:trPr>
          <w:trHeight w:val="2412"/>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1214F032" w14:textId="77777777" w:rsidR="00E23746" w:rsidRPr="004D5E18" w:rsidRDefault="00E23746" w:rsidP="000B2F10">
            <w:pPr>
              <w:spacing w:after="0" w:line="240" w:lineRule="auto"/>
              <w:jc w:val="center"/>
              <w:rPr>
                <w:rFonts w:eastAsia="Times New Roman" w:cs="Arial"/>
                <w:b/>
                <w:bCs/>
                <w:sz w:val="18"/>
                <w:szCs w:val="20"/>
                <w:lang w:val="es-MX" w:eastAsia="es-MX"/>
              </w:rPr>
            </w:pPr>
            <w:r w:rsidRPr="004D5E18">
              <w:rPr>
                <w:rFonts w:eastAsia="Times New Roman" w:cs="Arial"/>
                <w:b/>
                <w:bCs/>
                <w:sz w:val="18"/>
                <w:szCs w:val="20"/>
                <w:lang w:val="es-MX" w:eastAsia="es-MX"/>
              </w:rPr>
              <w:t>Actividad</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84F7652" w14:textId="77777777" w:rsidR="00E23746" w:rsidRPr="004D5E18" w:rsidRDefault="00E23746" w:rsidP="000B2F10">
            <w:pPr>
              <w:rPr>
                <w:rFonts w:cs="Arial"/>
                <w:sz w:val="18"/>
                <w:szCs w:val="20"/>
              </w:rPr>
            </w:pPr>
            <w:r w:rsidRPr="004D5E18">
              <w:rPr>
                <w:rFonts w:cs="Arial"/>
                <w:sz w:val="18"/>
                <w:szCs w:val="20"/>
              </w:rPr>
              <w:t>Fortalecer la investigación básica y aplicada con la participación de los estudiantes de educación superior.</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B7AFE8F" w14:textId="77777777" w:rsidR="00E23746" w:rsidRPr="004D5E18" w:rsidRDefault="00E23746" w:rsidP="000B2F10">
            <w:pPr>
              <w:rPr>
                <w:rFonts w:cs="Arial"/>
                <w:sz w:val="18"/>
                <w:szCs w:val="20"/>
              </w:rPr>
            </w:pPr>
          </w:p>
        </w:tc>
        <w:tc>
          <w:tcPr>
            <w:tcW w:w="2409" w:type="dxa"/>
            <w:tcBorders>
              <w:top w:val="single" w:sz="4" w:space="0" w:color="auto"/>
              <w:left w:val="single" w:sz="4" w:space="0" w:color="auto"/>
              <w:bottom w:val="single" w:sz="4" w:space="0" w:color="auto"/>
              <w:right w:val="single" w:sz="4" w:space="0" w:color="auto"/>
            </w:tcBorders>
            <w:shd w:val="clear" w:color="FFFFFF" w:fill="FFFFFF"/>
          </w:tcPr>
          <w:p w14:paraId="28847477" w14:textId="77777777" w:rsidR="00E23746" w:rsidRPr="004D5E18" w:rsidRDefault="00E23746" w:rsidP="000B2F10">
            <w:pPr>
              <w:rPr>
                <w:rFonts w:cs="Arial"/>
                <w:sz w:val="18"/>
                <w:szCs w:val="20"/>
              </w:rPr>
            </w:pPr>
            <w:r w:rsidRPr="004D5E18">
              <w:rPr>
                <w:rFonts w:cs="Arial"/>
                <w:color w:val="595959" w:themeColor="text1" w:themeTint="A6"/>
                <w:sz w:val="18"/>
                <w:szCs w:val="20"/>
              </w:rPr>
              <w:t xml:space="preserve">C04A01I02 - Porcentaje </w:t>
            </w:r>
            <w:r w:rsidRPr="004D5E18">
              <w:rPr>
                <w:rFonts w:cs="Arial"/>
                <w:sz w:val="18"/>
                <w:szCs w:val="20"/>
              </w:rPr>
              <w:t xml:space="preserve">de profesores e tiempo completo de carrera con el perfil del Programa para el Desarrollo Profesional Docente (PRODEP).  </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C74BBC3" w14:textId="77777777" w:rsidR="00E23746" w:rsidRPr="004D5E18" w:rsidRDefault="00E23746" w:rsidP="000B2F10">
            <w:pPr>
              <w:rPr>
                <w:rFonts w:cs="Arial"/>
                <w:sz w:val="18"/>
                <w:szCs w:val="20"/>
              </w:rPr>
            </w:pPr>
            <w:r w:rsidRPr="004D5E18">
              <w:rPr>
                <w:rFonts w:cs="Arial"/>
                <w:sz w:val="18"/>
                <w:szCs w:val="20"/>
              </w:rPr>
              <w:t>Padrón del Programa para el Desarrollo Profesional Docente (PRODEP) de la Subsecretaría de Educación Superior de la SEP.http://sigc.uqroo.mx/indexp.php?id=12.</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554336F" w14:textId="77777777" w:rsidR="00E23746" w:rsidRPr="004D5E18" w:rsidRDefault="00E23746" w:rsidP="000B2F10">
            <w:pPr>
              <w:rPr>
                <w:rFonts w:cs="Arial"/>
                <w:sz w:val="18"/>
                <w:szCs w:val="20"/>
              </w:rPr>
            </w:pPr>
            <w:r w:rsidRPr="004D5E18">
              <w:rPr>
                <w:rFonts w:cs="Arial"/>
                <w:sz w:val="18"/>
                <w:szCs w:val="20"/>
              </w:rPr>
              <w:t>El Programa para el Desarrollo del Profesorado (PRODEP) emite las convocatorias para estudios de posgrado y para reconocimiento a perfil; el CONACYT emite la convocatoria para incorporación/permanencia de profesores en el Sistema Nacional de Investigadores (SNI).</w:t>
            </w:r>
          </w:p>
        </w:tc>
      </w:tr>
    </w:tbl>
    <w:p w14:paraId="5A948521" w14:textId="77777777" w:rsidR="005B7C5F" w:rsidRDefault="005B7C5F">
      <w:pPr>
        <w:spacing w:after="0" w:line="240" w:lineRule="auto"/>
        <w:jc w:val="left"/>
      </w:pPr>
      <w:r>
        <w:br w:type="page"/>
      </w:r>
    </w:p>
    <w:tbl>
      <w:tblPr>
        <w:tblW w:w="14029" w:type="dxa"/>
        <w:tblLayout w:type="fixed"/>
        <w:tblCellMar>
          <w:left w:w="70" w:type="dxa"/>
          <w:right w:w="70" w:type="dxa"/>
        </w:tblCellMar>
        <w:tblLook w:val="04A0" w:firstRow="1" w:lastRow="0" w:firstColumn="1" w:lastColumn="0" w:noHBand="0" w:noVBand="1"/>
      </w:tblPr>
      <w:tblGrid>
        <w:gridCol w:w="1271"/>
        <w:gridCol w:w="2835"/>
        <w:gridCol w:w="2552"/>
        <w:gridCol w:w="2409"/>
        <w:gridCol w:w="2552"/>
        <w:gridCol w:w="2410"/>
      </w:tblGrid>
      <w:tr w:rsidR="005B7C5F" w:rsidRPr="00FD08F8" w14:paraId="2D5989C3" w14:textId="77777777" w:rsidTr="00593A35">
        <w:trPr>
          <w:trHeight w:val="577"/>
        </w:trPr>
        <w:tc>
          <w:tcPr>
            <w:tcW w:w="1271"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628FE78E" w14:textId="77777777" w:rsidR="005B7C5F" w:rsidRPr="00FD08F8" w:rsidRDefault="005B7C5F" w:rsidP="00593A35">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lastRenderedPageBreak/>
              <w:t>NIVEL</w:t>
            </w:r>
          </w:p>
        </w:tc>
        <w:tc>
          <w:tcPr>
            <w:tcW w:w="2835" w:type="dxa"/>
            <w:tcBorders>
              <w:top w:val="single" w:sz="4" w:space="0" w:color="auto"/>
              <w:left w:val="nil"/>
              <w:bottom w:val="single" w:sz="4" w:space="0" w:color="auto"/>
              <w:right w:val="single" w:sz="4" w:space="0" w:color="auto"/>
            </w:tcBorders>
            <w:shd w:val="clear" w:color="000000" w:fill="BFBFBF"/>
            <w:vAlign w:val="center"/>
            <w:hideMark/>
          </w:tcPr>
          <w:p w14:paraId="45B32560" w14:textId="77777777" w:rsidR="005B7C5F" w:rsidRPr="00FD08F8" w:rsidRDefault="005B7C5F" w:rsidP="00593A35">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ALINEACIÓN PED/PD</w:t>
            </w:r>
          </w:p>
        </w:tc>
        <w:tc>
          <w:tcPr>
            <w:tcW w:w="2552" w:type="dxa"/>
            <w:tcBorders>
              <w:top w:val="single" w:sz="4" w:space="0" w:color="auto"/>
              <w:left w:val="nil"/>
              <w:bottom w:val="single" w:sz="4" w:space="0" w:color="auto"/>
              <w:right w:val="single" w:sz="4" w:space="0" w:color="auto"/>
            </w:tcBorders>
            <w:shd w:val="clear" w:color="000000" w:fill="BFBFBF"/>
            <w:vAlign w:val="center"/>
            <w:hideMark/>
          </w:tcPr>
          <w:p w14:paraId="04ADB835" w14:textId="77777777" w:rsidR="005B7C5F" w:rsidRPr="00FD08F8" w:rsidRDefault="005B7C5F" w:rsidP="00593A35">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OBJETIVO</w:t>
            </w:r>
          </w:p>
        </w:tc>
        <w:tc>
          <w:tcPr>
            <w:tcW w:w="2409" w:type="dxa"/>
            <w:tcBorders>
              <w:top w:val="single" w:sz="4" w:space="0" w:color="auto"/>
              <w:left w:val="nil"/>
              <w:bottom w:val="single" w:sz="4" w:space="0" w:color="auto"/>
              <w:right w:val="single" w:sz="4" w:space="0" w:color="auto"/>
            </w:tcBorders>
            <w:shd w:val="clear" w:color="000000" w:fill="BFBFBF"/>
            <w:vAlign w:val="center"/>
            <w:hideMark/>
          </w:tcPr>
          <w:p w14:paraId="1780850D" w14:textId="77777777" w:rsidR="005B7C5F" w:rsidRPr="00FD08F8" w:rsidRDefault="005B7C5F" w:rsidP="00593A35">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INDICADOR</w:t>
            </w:r>
          </w:p>
        </w:tc>
        <w:tc>
          <w:tcPr>
            <w:tcW w:w="2552" w:type="dxa"/>
            <w:tcBorders>
              <w:top w:val="single" w:sz="4" w:space="0" w:color="auto"/>
              <w:left w:val="nil"/>
              <w:bottom w:val="single" w:sz="4" w:space="0" w:color="auto"/>
              <w:right w:val="single" w:sz="4" w:space="0" w:color="auto"/>
            </w:tcBorders>
            <w:shd w:val="clear" w:color="000000" w:fill="BFBFBF"/>
            <w:vAlign w:val="center"/>
            <w:hideMark/>
          </w:tcPr>
          <w:p w14:paraId="387CF540" w14:textId="77777777" w:rsidR="005B7C5F" w:rsidRPr="00FD08F8" w:rsidRDefault="005B7C5F" w:rsidP="00593A35">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MEDIOS DE VERIFICACIÓN</w:t>
            </w:r>
          </w:p>
        </w:tc>
        <w:tc>
          <w:tcPr>
            <w:tcW w:w="2410" w:type="dxa"/>
            <w:tcBorders>
              <w:top w:val="single" w:sz="4" w:space="0" w:color="auto"/>
              <w:left w:val="nil"/>
              <w:bottom w:val="single" w:sz="4" w:space="0" w:color="auto"/>
              <w:right w:val="single" w:sz="4" w:space="0" w:color="auto"/>
            </w:tcBorders>
            <w:shd w:val="clear" w:color="000000" w:fill="BFBFBF"/>
            <w:vAlign w:val="center"/>
            <w:hideMark/>
          </w:tcPr>
          <w:p w14:paraId="2CD97490" w14:textId="77777777" w:rsidR="005B7C5F" w:rsidRPr="00FD08F8" w:rsidRDefault="005B7C5F" w:rsidP="00593A35">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SUPUESTO</w:t>
            </w:r>
          </w:p>
        </w:tc>
      </w:tr>
      <w:tr w:rsidR="00E23746" w:rsidRPr="00FD08F8" w14:paraId="5B12C36D" w14:textId="77777777" w:rsidTr="003D04F9">
        <w:trPr>
          <w:trHeight w:val="2709"/>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577EDBC3" w14:textId="77777777" w:rsidR="00E23746" w:rsidRPr="004D5E18" w:rsidRDefault="00E23746" w:rsidP="000B2F10">
            <w:pPr>
              <w:spacing w:after="0" w:line="240" w:lineRule="auto"/>
              <w:jc w:val="center"/>
              <w:rPr>
                <w:rFonts w:eastAsia="Times New Roman" w:cs="Arial"/>
                <w:b/>
                <w:bCs/>
                <w:sz w:val="18"/>
                <w:szCs w:val="20"/>
                <w:lang w:val="es-MX" w:eastAsia="es-MX"/>
              </w:rPr>
            </w:pPr>
            <w:r w:rsidRPr="004D5E18">
              <w:rPr>
                <w:rFonts w:eastAsia="Times New Roman" w:cs="Arial"/>
                <w:b/>
                <w:bCs/>
                <w:sz w:val="18"/>
                <w:szCs w:val="20"/>
                <w:lang w:val="es-MX" w:eastAsia="es-MX"/>
              </w:rPr>
              <w:t>Actividad</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8C1A487" w14:textId="77777777" w:rsidR="00E23746" w:rsidRPr="004D5E18" w:rsidRDefault="00E23746" w:rsidP="000B2F10">
            <w:pPr>
              <w:rPr>
                <w:rFonts w:cs="Arial"/>
                <w:sz w:val="18"/>
                <w:szCs w:val="20"/>
              </w:rPr>
            </w:pPr>
            <w:r w:rsidRPr="004D5E18">
              <w:rPr>
                <w:rFonts w:cs="Arial"/>
                <w:sz w:val="18"/>
                <w:szCs w:val="20"/>
              </w:rPr>
              <w:t>Fortalecer la investigación básica y aplicada con la participación de los estudiantes de educación superior.</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77D19CF7" w14:textId="77777777" w:rsidR="00E23746" w:rsidRPr="004D5E18" w:rsidRDefault="00E23746" w:rsidP="000B2F10">
            <w:pPr>
              <w:rPr>
                <w:rFonts w:cs="Arial"/>
                <w:sz w:val="18"/>
                <w:szCs w:val="20"/>
              </w:rPr>
            </w:pPr>
          </w:p>
        </w:tc>
        <w:tc>
          <w:tcPr>
            <w:tcW w:w="2409" w:type="dxa"/>
            <w:tcBorders>
              <w:top w:val="single" w:sz="4" w:space="0" w:color="auto"/>
              <w:left w:val="single" w:sz="4" w:space="0" w:color="auto"/>
              <w:bottom w:val="single" w:sz="4" w:space="0" w:color="auto"/>
              <w:right w:val="single" w:sz="4" w:space="0" w:color="auto"/>
            </w:tcBorders>
            <w:shd w:val="clear" w:color="FFFFFF" w:fill="FFFFFF"/>
          </w:tcPr>
          <w:p w14:paraId="3F7FAC56" w14:textId="77777777" w:rsidR="00E23746" w:rsidRPr="004D5E18" w:rsidRDefault="00E23746" w:rsidP="000B2F10">
            <w:pPr>
              <w:rPr>
                <w:rFonts w:cs="Arial"/>
                <w:sz w:val="18"/>
                <w:szCs w:val="20"/>
              </w:rPr>
            </w:pPr>
            <w:r w:rsidRPr="004D5E18">
              <w:rPr>
                <w:rFonts w:cs="Arial"/>
                <w:color w:val="595959" w:themeColor="text1" w:themeTint="A6"/>
                <w:sz w:val="18"/>
                <w:szCs w:val="20"/>
              </w:rPr>
              <w:t xml:space="preserve">C04A01I03 - Porcentaje </w:t>
            </w:r>
            <w:r w:rsidRPr="004D5E18">
              <w:rPr>
                <w:rFonts w:cs="Arial"/>
                <w:sz w:val="18"/>
                <w:szCs w:val="20"/>
              </w:rPr>
              <w:t>de profesores de tiempo completo de carrera  en el Sistema Nacional de Investigadores (SNI).</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20033BC8" w14:textId="77777777" w:rsidR="00E23746" w:rsidRPr="004D5E18" w:rsidRDefault="00E23746" w:rsidP="000B2F10">
            <w:pPr>
              <w:rPr>
                <w:rFonts w:cs="Arial"/>
                <w:sz w:val="18"/>
                <w:szCs w:val="20"/>
              </w:rPr>
            </w:pPr>
            <w:r w:rsidRPr="004D5E18">
              <w:rPr>
                <w:rFonts w:cs="Arial"/>
                <w:sz w:val="18"/>
                <w:szCs w:val="20"/>
              </w:rPr>
              <w:t>Padrón del Sistema Nacional de Investigadores (SNI) del CONACYT. http://sigc.uqroo.mx/indexp.php?id=12.</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71927A5" w14:textId="77777777" w:rsidR="00E23746" w:rsidRPr="004D5E18" w:rsidRDefault="00E23746" w:rsidP="000B2F10">
            <w:pPr>
              <w:rPr>
                <w:rFonts w:cs="Arial"/>
                <w:sz w:val="18"/>
                <w:szCs w:val="20"/>
              </w:rPr>
            </w:pPr>
            <w:r w:rsidRPr="004D5E18">
              <w:rPr>
                <w:rFonts w:cs="Arial"/>
                <w:sz w:val="18"/>
                <w:szCs w:val="20"/>
              </w:rPr>
              <w:t>El Programa para el Desarrollo del Profesorado (PRODEP) emite las convocatorias para estudios de posgrado y para reconocimiento a perfil; el CONACYT emite la convocatoria para incorporación/permanencia de profesores en el Sistema Nacional de Investigadores (SNI).</w:t>
            </w:r>
          </w:p>
        </w:tc>
      </w:tr>
    </w:tbl>
    <w:p w14:paraId="79E0084F" w14:textId="77777777" w:rsidR="00E23746" w:rsidRDefault="00E23746" w:rsidP="00E23746">
      <w:pPr>
        <w:rPr>
          <w:rFonts w:eastAsia="Calibri" w:cs="Arial"/>
          <w:bCs/>
          <w:color w:val="595959" w:themeColor="text1" w:themeTint="A6"/>
          <w:sz w:val="18"/>
          <w:szCs w:val="20"/>
        </w:rPr>
      </w:pPr>
      <w:r w:rsidRPr="0093279A">
        <w:rPr>
          <w:rFonts w:eastAsia="Calibri" w:cs="Arial"/>
          <w:bCs/>
          <w:color w:val="595959" w:themeColor="text1" w:themeTint="A6"/>
          <w:sz w:val="18"/>
          <w:szCs w:val="20"/>
        </w:rPr>
        <w:t>El anexo aquí presentado es perfectible, y se encuentra susceptible de modificaciones programáticas toda vez que así se le indique por observaciones de auditorías, evaluaciones al desempeño y revisiones de la Secretaría de Finanzas y Planeación antes y durante el ejercicio fiscal del que se trate, así como también, cuando las condiciones del Ente Público responsable de dicha información programática requiera hacer modificaciones a sus necesidades institucionales, atendiendo a lo establecido en los Lineamientos para la Creación, Modificación y Cancelación de Programas Presupuestarios y para la Modificación de Metas del Gobierno del Estado de Quintana Roo.</w:t>
      </w:r>
    </w:p>
    <w:p w14:paraId="22ABA521" w14:textId="77777777" w:rsidR="00E23746" w:rsidRDefault="00E23746" w:rsidP="00E23746">
      <w:pPr>
        <w:rPr>
          <w:lang w:val="es-MX" w:eastAsia="en-US"/>
        </w:rPr>
      </w:pPr>
      <w:r>
        <w:rPr>
          <w:lang w:val="es-MX" w:eastAsia="en-US"/>
        </w:rPr>
        <w:br w:type="page"/>
      </w:r>
    </w:p>
    <w:tbl>
      <w:tblPr>
        <w:tblW w:w="14029" w:type="dxa"/>
        <w:tblLayout w:type="fixed"/>
        <w:tblCellMar>
          <w:left w:w="70" w:type="dxa"/>
          <w:right w:w="70" w:type="dxa"/>
        </w:tblCellMar>
        <w:tblLook w:val="04A0" w:firstRow="1" w:lastRow="0" w:firstColumn="1" w:lastColumn="0" w:noHBand="0" w:noVBand="1"/>
      </w:tblPr>
      <w:tblGrid>
        <w:gridCol w:w="1271"/>
        <w:gridCol w:w="2835"/>
        <w:gridCol w:w="2835"/>
        <w:gridCol w:w="2268"/>
        <w:gridCol w:w="2693"/>
        <w:gridCol w:w="2127"/>
      </w:tblGrid>
      <w:tr w:rsidR="00E23746" w:rsidRPr="00FD08F8" w14:paraId="5CCC1240" w14:textId="77777777" w:rsidTr="000B2F10">
        <w:trPr>
          <w:trHeight w:val="720"/>
        </w:trPr>
        <w:tc>
          <w:tcPr>
            <w:tcW w:w="4106" w:type="dxa"/>
            <w:gridSpan w:val="2"/>
            <w:tcBorders>
              <w:top w:val="single" w:sz="4" w:space="0" w:color="auto"/>
              <w:left w:val="single" w:sz="4" w:space="0" w:color="auto"/>
              <w:bottom w:val="single" w:sz="4" w:space="0" w:color="auto"/>
              <w:right w:val="single" w:sz="4" w:space="0" w:color="000000"/>
            </w:tcBorders>
            <w:shd w:val="clear" w:color="000000" w:fill="BFBFBF"/>
            <w:vAlign w:val="center"/>
            <w:hideMark/>
          </w:tcPr>
          <w:p w14:paraId="2DEAA227"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lastRenderedPageBreak/>
              <w:t>PROGRAMA PRESUPUESTARIO:</w:t>
            </w:r>
          </w:p>
        </w:tc>
        <w:tc>
          <w:tcPr>
            <w:tcW w:w="9923" w:type="dxa"/>
            <w:gridSpan w:val="4"/>
            <w:tcBorders>
              <w:top w:val="single" w:sz="4" w:space="0" w:color="auto"/>
              <w:left w:val="nil"/>
              <w:bottom w:val="single" w:sz="4" w:space="0" w:color="auto"/>
              <w:right w:val="single" w:sz="4" w:space="0" w:color="auto"/>
            </w:tcBorders>
            <w:shd w:val="clear" w:color="auto" w:fill="auto"/>
            <w:vAlign w:val="center"/>
            <w:hideMark/>
          </w:tcPr>
          <w:p w14:paraId="1D5B90BB" w14:textId="77777777" w:rsidR="00E23746" w:rsidRPr="00FD08F8" w:rsidRDefault="00E23746" w:rsidP="000B2F10">
            <w:pPr>
              <w:spacing w:after="0" w:line="240" w:lineRule="auto"/>
              <w:jc w:val="left"/>
              <w:rPr>
                <w:rFonts w:eastAsia="Times New Roman" w:cs="Arial"/>
                <w:sz w:val="20"/>
                <w:szCs w:val="20"/>
                <w:lang w:val="es-MX" w:eastAsia="es-MX"/>
              </w:rPr>
            </w:pPr>
            <w:r>
              <w:rPr>
                <w:rFonts w:eastAsia="Times New Roman" w:cs="Arial"/>
                <w:sz w:val="20"/>
                <w:szCs w:val="20"/>
                <w:lang w:val="es-MX" w:eastAsia="es-MX"/>
              </w:rPr>
              <w:t xml:space="preserve">  </w:t>
            </w:r>
            <w:r w:rsidRPr="00F2398C">
              <w:rPr>
                <w:rFonts w:eastAsia="Times New Roman" w:cs="Arial"/>
                <w:sz w:val="20"/>
                <w:szCs w:val="20"/>
                <w:lang w:val="es-MX" w:eastAsia="es-MX"/>
              </w:rPr>
              <w:t>Universidad Intercultural Maya de Quintana Roo</w:t>
            </w:r>
            <w:r>
              <w:rPr>
                <w:rFonts w:eastAsia="Times New Roman" w:cs="Arial"/>
                <w:sz w:val="20"/>
                <w:szCs w:val="20"/>
                <w:lang w:val="es-MX" w:eastAsia="es-MX"/>
              </w:rPr>
              <w:t>.</w:t>
            </w:r>
          </w:p>
        </w:tc>
      </w:tr>
      <w:tr w:rsidR="00E23746" w:rsidRPr="00FD08F8" w14:paraId="403B6A94" w14:textId="77777777" w:rsidTr="000B2F10">
        <w:trPr>
          <w:trHeight w:val="552"/>
        </w:trPr>
        <w:tc>
          <w:tcPr>
            <w:tcW w:w="4106" w:type="dxa"/>
            <w:gridSpan w:val="2"/>
            <w:tcBorders>
              <w:top w:val="single" w:sz="4" w:space="0" w:color="auto"/>
              <w:left w:val="single" w:sz="4" w:space="0" w:color="auto"/>
              <w:bottom w:val="single" w:sz="4" w:space="0" w:color="auto"/>
              <w:right w:val="single" w:sz="4" w:space="0" w:color="000000"/>
            </w:tcBorders>
            <w:shd w:val="clear" w:color="000000" w:fill="BFBFBF"/>
            <w:vAlign w:val="center"/>
            <w:hideMark/>
          </w:tcPr>
          <w:p w14:paraId="1BE5038F"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INSTITUCIÓN:</w:t>
            </w:r>
          </w:p>
        </w:tc>
        <w:tc>
          <w:tcPr>
            <w:tcW w:w="9923" w:type="dxa"/>
            <w:gridSpan w:val="4"/>
            <w:tcBorders>
              <w:top w:val="single" w:sz="4" w:space="0" w:color="auto"/>
              <w:left w:val="nil"/>
              <w:bottom w:val="single" w:sz="4" w:space="0" w:color="auto"/>
              <w:right w:val="single" w:sz="4" w:space="0" w:color="auto"/>
            </w:tcBorders>
            <w:shd w:val="clear" w:color="auto" w:fill="auto"/>
            <w:vAlign w:val="center"/>
            <w:hideMark/>
          </w:tcPr>
          <w:p w14:paraId="3BC6446A" w14:textId="77777777" w:rsidR="00E23746" w:rsidRPr="00FD08F8" w:rsidRDefault="00E23746" w:rsidP="000B2F10">
            <w:pPr>
              <w:spacing w:after="0" w:line="240" w:lineRule="auto"/>
              <w:jc w:val="left"/>
              <w:rPr>
                <w:rFonts w:eastAsia="Times New Roman" w:cs="Arial"/>
                <w:sz w:val="20"/>
                <w:szCs w:val="20"/>
                <w:lang w:val="es-MX" w:eastAsia="es-MX"/>
              </w:rPr>
            </w:pPr>
            <w:r w:rsidRPr="00FD08F8">
              <w:rPr>
                <w:rFonts w:eastAsia="Times New Roman" w:cs="Arial"/>
                <w:sz w:val="20"/>
                <w:szCs w:val="20"/>
                <w:lang w:val="es-MX" w:eastAsia="es-MX"/>
              </w:rPr>
              <w:t>1109 Secretaría de Educación de Quintana Roo</w:t>
            </w:r>
            <w:r>
              <w:rPr>
                <w:rFonts w:eastAsia="Times New Roman" w:cs="Arial"/>
                <w:sz w:val="20"/>
                <w:szCs w:val="20"/>
                <w:lang w:val="es-MX" w:eastAsia="es-MX"/>
              </w:rPr>
              <w:t>.</w:t>
            </w:r>
          </w:p>
        </w:tc>
      </w:tr>
      <w:tr w:rsidR="00E23746" w:rsidRPr="00FD08F8" w14:paraId="5044D8A1" w14:textId="77777777" w:rsidTr="000B2F10">
        <w:trPr>
          <w:trHeight w:val="282"/>
        </w:trPr>
        <w:tc>
          <w:tcPr>
            <w:tcW w:w="1271" w:type="dxa"/>
            <w:tcBorders>
              <w:top w:val="nil"/>
              <w:left w:val="nil"/>
              <w:bottom w:val="nil"/>
              <w:right w:val="nil"/>
            </w:tcBorders>
            <w:shd w:val="clear" w:color="auto" w:fill="auto"/>
            <w:hideMark/>
          </w:tcPr>
          <w:p w14:paraId="427481F6" w14:textId="77777777" w:rsidR="00E23746" w:rsidRPr="00FD08F8" w:rsidRDefault="00E23746" w:rsidP="000B2F10">
            <w:pPr>
              <w:spacing w:after="0" w:line="240" w:lineRule="auto"/>
              <w:jc w:val="left"/>
              <w:rPr>
                <w:rFonts w:eastAsia="Times New Roman" w:cs="Arial"/>
                <w:sz w:val="20"/>
                <w:szCs w:val="20"/>
                <w:lang w:val="es-MX" w:eastAsia="es-MX"/>
              </w:rPr>
            </w:pPr>
          </w:p>
        </w:tc>
        <w:tc>
          <w:tcPr>
            <w:tcW w:w="2835" w:type="dxa"/>
            <w:tcBorders>
              <w:top w:val="nil"/>
              <w:left w:val="nil"/>
              <w:bottom w:val="nil"/>
              <w:right w:val="nil"/>
            </w:tcBorders>
            <w:shd w:val="clear" w:color="auto" w:fill="auto"/>
            <w:hideMark/>
          </w:tcPr>
          <w:p w14:paraId="0AAA9E2D" w14:textId="77777777" w:rsidR="00E23746" w:rsidRPr="00FD08F8" w:rsidRDefault="00E23746" w:rsidP="000B2F10">
            <w:pPr>
              <w:spacing w:after="0" w:line="240" w:lineRule="auto"/>
              <w:jc w:val="left"/>
              <w:rPr>
                <w:rFonts w:ascii="Times New Roman" w:eastAsia="Times New Roman" w:hAnsi="Times New Roman" w:cs="Times New Roman"/>
                <w:sz w:val="20"/>
                <w:szCs w:val="20"/>
                <w:lang w:val="es-MX" w:eastAsia="es-MX"/>
              </w:rPr>
            </w:pPr>
          </w:p>
        </w:tc>
        <w:tc>
          <w:tcPr>
            <w:tcW w:w="2835" w:type="dxa"/>
            <w:tcBorders>
              <w:top w:val="nil"/>
              <w:left w:val="nil"/>
              <w:bottom w:val="nil"/>
              <w:right w:val="nil"/>
            </w:tcBorders>
            <w:shd w:val="clear" w:color="auto" w:fill="auto"/>
            <w:hideMark/>
          </w:tcPr>
          <w:p w14:paraId="4E82D5BA" w14:textId="77777777" w:rsidR="00E23746" w:rsidRPr="00FD08F8" w:rsidRDefault="00E23746" w:rsidP="000B2F10">
            <w:pPr>
              <w:spacing w:after="0" w:line="240" w:lineRule="auto"/>
              <w:jc w:val="left"/>
              <w:rPr>
                <w:rFonts w:ascii="Times New Roman" w:eastAsia="Times New Roman" w:hAnsi="Times New Roman" w:cs="Times New Roman"/>
                <w:sz w:val="20"/>
                <w:szCs w:val="20"/>
                <w:lang w:val="es-MX" w:eastAsia="es-MX"/>
              </w:rPr>
            </w:pPr>
          </w:p>
        </w:tc>
        <w:tc>
          <w:tcPr>
            <w:tcW w:w="2268" w:type="dxa"/>
            <w:tcBorders>
              <w:top w:val="nil"/>
              <w:left w:val="nil"/>
              <w:bottom w:val="nil"/>
              <w:right w:val="nil"/>
            </w:tcBorders>
            <w:shd w:val="clear" w:color="auto" w:fill="auto"/>
            <w:hideMark/>
          </w:tcPr>
          <w:p w14:paraId="0C4E0EF3" w14:textId="77777777" w:rsidR="00E23746" w:rsidRPr="00FD08F8" w:rsidRDefault="00E23746" w:rsidP="000B2F10">
            <w:pPr>
              <w:spacing w:after="0" w:line="240" w:lineRule="auto"/>
              <w:jc w:val="left"/>
              <w:rPr>
                <w:rFonts w:ascii="Times New Roman" w:eastAsia="Times New Roman" w:hAnsi="Times New Roman" w:cs="Times New Roman"/>
                <w:sz w:val="20"/>
                <w:szCs w:val="20"/>
                <w:lang w:val="es-MX" w:eastAsia="es-MX"/>
              </w:rPr>
            </w:pPr>
          </w:p>
        </w:tc>
        <w:tc>
          <w:tcPr>
            <w:tcW w:w="2693" w:type="dxa"/>
            <w:tcBorders>
              <w:top w:val="nil"/>
              <w:left w:val="nil"/>
              <w:bottom w:val="nil"/>
              <w:right w:val="nil"/>
            </w:tcBorders>
            <w:shd w:val="clear" w:color="auto" w:fill="auto"/>
            <w:hideMark/>
          </w:tcPr>
          <w:p w14:paraId="29A0339B" w14:textId="77777777" w:rsidR="00E23746" w:rsidRPr="00FD08F8" w:rsidRDefault="00E23746" w:rsidP="000B2F10">
            <w:pPr>
              <w:spacing w:after="0" w:line="240" w:lineRule="auto"/>
              <w:jc w:val="left"/>
              <w:rPr>
                <w:rFonts w:ascii="Times New Roman" w:eastAsia="Times New Roman" w:hAnsi="Times New Roman" w:cs="Times New Roman"/>
                <w:sz w:val="20"/>
                <w:szCs w:val="20"/>
                <w:lang w:val="es-MX" w:eastAsia="es-MX"/>
              </w:rPr>
            </w:pPr>
          </w:p>
        </w:tc>
        <w:tc>
          <w:tcPr>
            <w:tcW w:w="2127" w:type="dxa"/>
            <w:tcBorders>
              <w:top w:val="nil"/>
              <w:left w:val="nil"/>
              <w:bottom w:val="nil"/>
              <w:right w:val="nil"/>
            </w:tcBorders>
            <w:shd w:val="clear" w:color="auto" w:fill="auto"/>
            <w:hideMark/>
          </w:tcPr>
          <w:p w14:paraId="01E8850C" w14:textId="77777777" w:rsidR="00E23746" w:rsidRPr="00FD08F8" w:rsidRDefault="00E23746" w:rsidP="000B2F10">
            <w:pPr>
              <w:spacing w:after="0" w:line="240" w:lineRule="auto"/>
              <w:jc w:val="left"/>
              <w:rPr>
                <w:rFonts w:ascii="Times New Roman" w:eastAsia="Times New Roman" w:hAnsi="Times New Roman" w:cs="Times New Roman"/>
                <w:sz w:val="20"/>
                <w:szCs w:val="20"/>
                <w:lang w:val="es-MX" w:eastAsia="es-MX"/>
              </w:rPr>
            </w:pPr>
          </w:p>
        </w:tc>
      </w:tr>
      <w:tr w:rsidR="00E23746" w:rsidRPr="00FD08F8" w14:paraId="744F9E87" w14:textId="77777777" w:rsidTr="000B2F10">
        <w:trPr>
          <w:trHeight w:val="375"/>
        </w:trPr>
        <w:tc>
          <w:tcPr>
            <w:tcW w:w="14029" w:type="dxa"/>
            <w:gridSpan w:val="6"/>
            <w:tcBorders>
              <w:top w:val="single" w:sz="4" w:space="0" w:color="auto"/>
              <w:left w:val="single" w:sz="4" w:space="0" w:color="auto"/>
              <w:bottom w:val="single" w:sz="4" w:space="0" w:color="auto"/>
              <w:right w:val="single" w:sz="4" w:space="0" w:color="000000"/>
            </w:tcBorders>
            <w:shd w:val="clear" w:color="000000" w:fill="BFBFBF"/>
            <w:vAlign w:val="center"/>
            <w:hideMark/>
          </w:tcPr>
          <w:p w14:paraId="7C3765F7"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MATRIZ DE INDICADORES PARA RESULTADOS (MIR)</w:t>
            </w:r>
          </w:p>
        </w:tc>
      </w:tr>
      <w:tr w:rsidR="00E23746" w:rsidRPr="00FD08F8" w14:paraId="58E710E9" w14:textId="77777777" w:rsidTr="003D04F9">
        <w:trPr>
          <w:trHeight w:val="577"/>
        </w:trPr>
        <w:tc>
          <w:tcPr>
            <w:tcW w:w="1271" w:type="dxa"/>
            <w:tcBorders>
              <w:top w:val="nil"/>
              <w:left w:val="single" w:sz="4" w:space="0" w:color="auto"/>
              <w:bottom w:val="single" w:sz="4" w:space="0" w:color="auto"/>
              <w:right w:val="single" w:sz="4" w:space="0" w:color="auto"/>
            </w:tcBorders>
            <w:shd w:val="clear" w:color="000000" w:fill="BFBFBF"/>
            <w:vAlign w:val="center"/>
            <w:hideMark/>
          </w:tcPr>
          <w:p w14:paraId="2D818D2A"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NIVEL</w:t>
            </w:r>
          </w:p>
        </w:tc>
        <w:tc>
          <w:tcPr>
            <w:tcW w:w="2835" w:type="dxa"/>
            <w:tcBorders>
              <w:top w:val="nil"/>
              <w:left w:val="nil"/>
              <w:bottom w:val="single" w:sz="4" w:space="0" w:color="auto"/>
              <w:right w:val="single" w:sz="4" w:space="0" w:color="auto"/>
            </w:tcBorders>
            <w:shd w:val="clear" w:color="000000" w:fill="BFBFBF"/>
            <w:vAlign w:val="center"/>
            <w:hideMark/>
          </w:tcPr>
          <w:p w14:paraId="5E11624B"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ALINEACIÓN PED/PD</w:t>
            </w:r>
          </w:p>
        </w:tc>
        <w:tc>
          <w:tcPr>
            <w:tcW w:w="2835" w:type="dxa"/>
            <w:tcBorders>
              <w:top w:val="nil"/>
              <w:left w:val="nil"/>
              <w:bottom w:val="single" w:sz="4" w:space="0" w:color="auto"/>
              <w:right w:val="single" w:sz="4" w:space="0" w:color="auto"/>
            </w:tcBorders>
            <w:shd w:val="clear" w:color="000000" w:fill="BFBFBF"/>
            <w:vAlign w:val="center"/>
            <w:hideMark/>
          </w:tcPr>
          <w:p w14:paraId="5BF4AF83"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OBJETIVO</w:t>
            </w:r>
          </w:p>
        </w:tc>
        <w:tc>
          <w:tcPr>
            <w:tcW w:w="2268" w:type="dxa"/>
            <w:tcBorders>
              <w:top w:val="nil"/>
              <w:left w:val="nil"/>
              <w:bottom w:val="single" w:sz="4" w:space="0" w:color="auto"/>
              <w:right w:val="single" w:sz="4" w:space="0" w:color="auto"/>
            </w:tcBorders>
            <w:shd w:val="clear" w:color="000000" w:fill="BFBFBF"/>
            <w:vAlign w:val="center"/>
            <w:hideMark/>
          </w:tcPr>
          <w:p w14:paraId="54FE0D61"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INDICADOR</w:t>
            </w:r>
          </w:p>
        </w:tc>
        <w:tc>
          <w:tcPr>
            <w:tcW w:w="2693" w:type="dxa"/>
            <w:tcBorders>
              <w:top w:val="nil"/>
              <w:left w:val="nil"/>
              <w:bottom w:val="single" w:sz="4" w:space="0" w:color="auto"/>
              <w:right w:val="single" w:sz="4" w:space="0" w:color="auto"/>
            </w:tcBorders>
            <w:shd w:val="clear" w:color="000000" w:fill="BFBFBF"/>
            <w:vAlign w:val="center"/>
            <w:hideMark/>
          </w:tcPr>
          <w:p w14:paraId="31542572"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MEDIOS DE VERIFICACIÓN</w:t>
            </w:r>
          </w:p>
        </w:tc>
        <w:tc>
          <w:tcPr>
            <w:tcW w:w="2127" w:type="dxa"/>
            <w:tcBorders>
              <w:top w:val="nil"/>
              <w:left w:val="nil"/>
              <w:bottom w:val="single" w:sz="4" w:space="0" w:color="auto"/>
              <w:right w:val="single" w:sz="4" w:space="0" w:color="auto"/>
            </w:tcBorders>
            <w:shd w:val="clear" w:color="000000" w:fill="BFBFBF"/>
            <w:vAlign w:val="center"/>
            <w:hideMark/>
          </w:tcPr>
          <w:p w14:paraId="042D4CC7"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SUPUESTO</w:t>
            </w:r>
          </w:p>
        </w:tc>
      </w:tr>
      <w:tr w:rsidR="00E23746" w:rsidRPr="00FD08F8" w14:paraId="6F0DA1BC" w14:textId="77777777" w:rsidTr="003D04F9">
        <w:trPr>
          <w:trHeight w:val="2136"/>
        </w:trPr>
        <w:tc>
          <w:tcPr>
            <w:tcW w:w="1271" w:type="dxa"/>
            <w:tcBorders>
              <w:top w:val="single" w:sz="4" w:space="0" w:color="auto"/>
              <w:left w:val="single" w:sz="4" w:space="0" w:color="auto"/>
              <w:bottom w:val="single" w:sz="4" w:space="0" w:color="auto"/>
              <w:right w:val="single" w:sz="4" w:space="0" w:color="auto"/>
            </w:tcBorders>
            <w:shd w:val="clear" w:color="auto" w:fill="auto"/>
            <w:hideMark/>
          </w:tcPr>
          <w:p w14:paraId="33809156"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Fin</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6547026" w14:textId="77777777" w:rsidR="00E23746" w:rsidRPr="00F262B9" w:rsidRDefault="00E23746" w:rsidP="000B2F10">
            <w:pPr>
              <w:rPr>
                <w:rFonts w:cs="Arial"/>
                <w:sz w:val="20"/>
                <w:szCs w:val="20"/>
              </w:rPr>
            </w:pPr>
            <w:r w:rsidRPr="00F262B9">
              <w:rPr>
                <w:rFonts w:cs="Arial"/>
                <w:sz w:val="20"/>
                <w:szCs w:val="20"/>
              </w:rPr>
              <w:t>Garantizar el acceso y permanencia a una educación inclusiva y de calidad en todos los niveles educativos que promueva en los educandos aprendizajes para la vida.</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05F4ED3" w14:textId="77777777" w:rsidR="00E23746" w:rsidRPr="00F262B9" w:rsidRDefault="00E23746" w:rsidP="000B2F10">
            <w:pPr>
              <w:rPr>
                <w:rFonts w:cs="Arial"/>
                <w:sz w:val="20"/>
                <w:szCs w:val="20"/>
              </w:rPr>
            </w:pPr>
            <w:r w:rsidRPr="00F262B9">
              <w:rPr>
                <w:rFonts w:cs="Arial"/>
                <w:sz w:val="20"/>
                <w:szCs w:val="20"/>
              </w:rPr>
              <w:t>F - Contribuir a garantizar el acceso y permanencia a una educación inclusiva y de calidad en todos los niveles educativos que promueva en los educandos aprendizajes para la vida mediante estrategias de atención a la demanda y permanencia en todos los niveles educativos.</w:t>
            </w:r>
          </w:p>
        </w:tc>
        <w:tc>
          <w:tcPr>
            <w:tcW w:w="2268" w:type="dxa"/>
            <w:tcBorders>
              <w:top w:val="single" w:sz="4" w:space="0" w:color="auto"/>
              <w:left w:val="single" w:sz="4" w:space="0" w:color="auto"/>
              <w:bottom w:val="single" w:sz="4" w:space="0" w:color="auto"/>
              <w:right w:val="single" w:sz="4" w:space="0" w:color="auto"/>
            </w:tcBorders>
            <w:shd w:val="clear" w:color="FFFFFF" w:fill="FFFFFF"/>
          </w:tcPr>
          <w:p w14:paraId="735FD981" w14:textId="77777777" w:rsidR="00E23746" w:rsidRPr="00F262B9" w:rsidRDefault="00E23746" w:rsidP="000B2F10">
            <w:pPr>
              <w:rPr>
                <w:rFonts w:cs="Arial"/>
                <w:sz w:val="20"/>
                <w:szCs w:val="20"/>
              </w:rPr>
            </w:pPr>
            <w:r w:rsidRPr="00F262B9">
              <w:rPr>
                <w:rFonts w:cs="Arial"/>
                <w:sz w:val="20"/>
                <w:szCs w:val="20"/>
              </w:rPr>
              <w:t>Tasa de cobertura estatal de educación superior.</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F28166F" w14:textId="77777777" w:rsidR="00E23746" w:rsidRPr="00F262B9" w:rsidRDefault="00E23746" w:rsidP="000B2F10">
            <w:pPr>
              <w:rPr>
                <w:rFonts w:cs="Arial"/>
                <w:sz w:val="20"/>
                <w:szCs w:val="20"/>
              </w:rPr>
            </w:pPr>
            <w:r w:rsidRPr="00572B26">
              <w:rPr>
                <w:rFonts w:cs="Arial"/>
                <w:sz w:val="20"/>
                <w:szCs w:val="20"/>
              </w:rPr>
              <w:t>Estadísticas continúas del formato 911, matrícula de inicio de ciclo escolar, SEQ. Proyecciones de población por edad desplegada, entidad federativa (Quintana Roo) 1970-2050, CONAPO. Liga:qroo.gob.mx/seq/medios-de-verificacion-de-la-planeacion-anual</w:t>
            </w:r>
            <w:r>
              <w:rPr>
                <w:rFonts w:cs="Arial"/>
                <w:sz w:val="20"/>
                <w:szCs w:val="20"/>
              </w:rPr>
              <w:t>.</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FF181CD" w14:textId="77777777" w:rsidR="00E23746" w:rsidRPr="00F262B9" w:rsidRDefault="00E23746" w:rsidP="000B2F10">
            <w:pPr>
              <w:rPr>
                <w:rFonts w:cs="Arial"/>
                <w:sz w:val="20"/>
                <w:szCs w:val="20"/>
              </w:rPr>
            </w:pPr>
            <w:r w:rsidRPr="00F262B9">
              <w:rPr>
                <w:rFonts w:cs="Arial"/>
                <w:sz w:val="20"/>
                <w:szCs w:val="20"/>
              </w:rPr>
              <w:t>La población del Estado obtiene una educación integral de calidad que les permite progresar individual y colectivamente.</w:t>
            </w:r>
          </w:p>
        </w:tc>
      </w:tr>
      <w:tr w:rsidR="00E23746" w:rsidRPr="00C4101B" w14:paraId="39ED02B2" w14:textId="77777777" w:rsidTr="003D04F9">
        <w:trPr>
          <w:trHeight w:val="1692"/>
        </w:trPr>
        <w:tc>
          <w:tcPr>
            <w:tcW w:w="1271" w:type="dxa"/>
            <w:tcBorders>
              <w:top w:val="single" w:sz="4" w:space="0" w:color="auto"/>
              <w:left w:val="single" w:sz="4" w:space="0" w:color="auto"/>
              <w:bottom w:val="single" w:sz="4" w:space="0" w:color="auto"/>
              <w:right w:val="single" w:sz="4" w:space="0" w:color="auto"/>
            </w:tcBorders>
            <w:shd w:val="clear" w:color="auto" w:fill="auto"/>
            <w:hideMark/>
          </w:tcPr>
          <w:p w14:paraId="7902AAB2"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Propósito</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65B632D" w14:textId="77777777" w:rsidR="00E23746" w:rsidRPr="00895E73" w:rsidRDefault="00E23746" w:rsidP="000B2F10">
            <w:pPr>
              <w:rPr>
                <w:rFonts w:cs="Arial"/>
                <w:sz w:val="18"/>
                <w:szCs w:val="20"/>
              </w:rPr>
            </w:pPr>
            <w:r w:rsidRPr="00895E73">
              <w:rPr>
                <w:rFonts w:cs="Arial"/>
                <w:sz w:val="18"/>
                <w:szCs w:val="20"/>
              </w:rPr>
              <w:t>Asegurar la calidad de la formación profesional a través de programas y proyectos que favorezcan la continuidad y conclusión de los estudiantes de educación superior, acorde a las necesidades que requiere el desarrollo social y económico del estado.</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AF8A092" w14:textId="77777777" w:rsidR="00E23746" w:rsidRPr="00F262B9" w:rsidRDefault="00E23746" w:rsidP="000B2F10">
            <w:pPr>
              <w:rPr>
                <w:rFonts w:cs="Arial"/>
                <w:sz w:val="20"/>
                <w:szCs w:val="20"/>
              </w:rPr>
            </w:pPr>
            <w:r w:rsidRPr="00F262B9">
              <w:rPr>
                <w:rFonts w:cs="Arial"/>
                <w:sz w:val="20"/>
                <w:szCs w:val="20"/>
              </w:rPr>
              <w:t>P - Los alumnos de educación superior aseguran la continuidad y conclusión de sus estudios a través de programas y proyectos que favorezcan la calidad de la formación profesional.</w:t>
            </w:r>
          </w:p>
        </w:tc>
        <w:tc>
          <w:tcPr>
            <w:tcW w:w="2268" w:type="dxa"/>
            <w:tcBorders>
              <w:top w:val="single" w:sz="4" w:space="0" w:color="auto"/>
              <w:left w:val="single" w:sz="4" w:space="0" w:color="auto"/>
              <w:bottom w:val="single" w:sz="4" w:space="0" w:color="auto"/>
              <w:right w:val="single" w:sz="4" w:space="0" w:color="auto"/>
            </w:tcBorders>
            <w:shd w:val="clear" w:color="FFFFFF" w:fill="FFFFFF"/>
          </w:tcPr>
          <w:p w14:paraId="1F34D82F" w14:textId="77777777" w:rsidR="00E23746" w:rsidRPr="00F262B9" w:rsidRDefault="00E23746" w:rsidP="000B2F10">
            <w:pPr>
              <w:rPr>
                <w:rFonts w:cs="Arial"/>
                <w:sz w:val="20"/>
                <w:szCs w:val="20"/>
              </w:rPr>
            </w:pPr>
            <w:r w:rsidRPr="00F262B9">
              <w:rPr>
                <w:rFonts w:cs="Arial"/>
                <w:sz w:val="20"/>
                <w:szCs w:val="20"/>
              </w:rPr>
              <w:t>Tasa de eficiencia terminal de educación superior.</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9564011" w14:textId="77777777" w:rsidR="00E23746" w:rsidRPr="00F262B9" w:rsidRDefault="00E23746" w:rsidP="000B2F10">
            <w:pPr>
              <w:rPr>
                <w:rFonts w:cs="Arial"/>
                <w:sz w:val="20"/>
                <w:szCs w:val="20"/>
              </w:rPr>
            </w:pPr>
            <w:r w:rsidRPr="00F262B9">
              <w:rPr>
                <w:rFonts w:cs="Arial"/>
                <w:sz w:val="20"/>
                <w:szCs w:val="20"/>
              </w:rPr>
              <w:t>Estadísticas continúas del formato 911 inicio de ciclo escolar, SEQ.Liga:qroo.gob.mx/seq/medios-de-verificacion-de-la-planeacion-anual.</w:t>
            </w:r>
          </w:p>
        </w:tc>
        <w:tc>
          <w:tcPr>
            <w:tcW w:w="2127" w:type="dxa"/>
            <w:tcBorders>
              <w:top w:val="single" w:sz="4" w:space="0" w:color="auto"/>
              <w:left w:val="single" w:sz="4" w:space="0" w:color="auto"/>
              <w:bottom w:val="single" w:sz="4" w:space="0" w:color="auto"/>
              <w:right w:val="single" w:sz="4" w:space="0" w:color="auto"/>
            </w:tcBorders>
            <w:shd w:val="clear" w:color="FFFFFF" w:fill="FFFFFF"/>
          </w:tcPr>
          <w:p w14:paraId="0CE4A079" w14:textId="77777777" w:rsidR="00E23746" w:rsidRPr="00F262B9" w:rsidRDefault="00E23746" w:rsidP="000B2F10">
            <w:pPr>
              <w:rPr>
                <w:rFonts w:cs="Arial"/>
                <w:sz w:val="20"/>
                <w:szCs w:val="20"/>
              </w:rPr>
            </w:pPr>
            <w:r w:rsidRPr="00F262B9">
              <w:rPr>
                <w:rFonts w:cs="Arial"/>
                <w:sz w:val="20"/>
                <w:szCs w:val="20"/>
              </w:rPr>
              <w:t>Los alumnos de educación superior concluyen sus estudios.</w:t>
            </w:r>
          </w:p>
        </w:tc>
      </w:tr>
    </w:tbl>
    <w:p w14:paraId="368627EA" w14:textId="77777777" w:rsidR="00D36037" w:rsidRDefault="00D36037">
      <w:pPr>
        <w:spacing w:after="0" w:line="240" w:lineRule="auto"/>
        <w:jc w:val="left"/>
      </w:pPr>
      <w:r>
        <w:br w:type="page"/>
      </w:r>
    </w:p>
    <w:tbl>
      <w:tblPr>
        <w:tblW w:w="14029" w:type="dxa"/>
        <w:tblLayout w:type="fixed"/>
        <w:tblCellMar>
          <w:left w:w="70" w:type="dxa"/>
          <w:right w:w="70" w:type="dxa"/>
        </w:tblCellMar>
        <w:tblLook w:val="04A0" w:firstRow="1" w:lastRow="0" w:firstColumn="1" w:lastColumn="0" w:noHBand="0" w:noVBand="1"/>
      </w:tblPr>
      <w:tblGrid>
        <w:gridCol w:w="1413"/>
        <w:gridCol w:w="2693"/>
        <w:gridCol w:w="2835"/>
        <w:gridCol w:w="2268"/>
        <w:gridCol w:w="2693"/>
        <w:gridCol w:w="2127"/>
      </w:tblGrid>
      <w:tr w:rsidR="00E23746" w:rsidRPr="00FD08F8" w14:paraId="1E741FE7" w14:textId="77777777" w:rsidTr="00B11722">
        <w:trPr>
          <w:trHeight w:val="577"/>
        </w:trPr>
        <w:tc>
          <w:tcPr>
            <w:tcW w:w="1413"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548D3E1B"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lastRenderedPageBreak/>
              <w:t>NIVEL</w:t>
            </w:r>
          </w:p>
        </w:tc>
        <w:tc>
          <w:tcPr>
            <w:tcW w:w="2693" w:type="dxa"/>
            <w:tcBorders>
              <w:top w:val="single" w:sz="4" w:space="0" w:color="auto"/>
              <w:left w:val="nil"/>
              <w:bottom w:val="single" w:sz="4" w:space="0" w:color="auto"/>
              <w:right w:val="single" w:sz="4" w:space="0" w:color="auto"/>
            </w:tcBorders>
            <w:shd w:val="clear" w:color="000000" w:fill="BFBFBF"/>
            <w:vAlign w:val="center"/>
            <w:hideMark/>
          </w:tcPr>
          <w:p w14:paraId="49946AAC"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ALINEACIÓN PED/PD</w:t>
            </w:r>
          </w:p>
        </w:tc>
        <w:tc>
          <w:tcPr>
            <w:tcW w:w="2835" w:type="dxa"/>
            <w:tcBorders>
              <w:top w:val="single" w:sz="4" w:space="0" w:color="auto"/>
              <w:left w:val="nil"/>
              <w:bottom w:val="single" w:sz="4" w:space="0" w:color="auto"/>
              <w:right w:val="single" w:sz="4" w:space="0" w:color="auto"/>
            </w:tcBorders>
            <w:shd w:val="clear" w:color="000000" w:fill="BFBFBF"/>
            <w:vAlign w:val="center"/>
            <w:hideMark/>
          </w:tcPr>
          <w:p w14:paraId="5DCD32A8"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OBJETIVO</w:t>
            </w:r>
          </w:p>
        </w:tc>
        <w:tc>
          <w:tcPr>
            <w:tcW w:w="2268" w:type="dxa"/>
            <w:tcBorders>
              <w:top w:val="single" w:sz="4" w:space="0" w:color="auto"/>
              <w:left w:val="nil"/>
              <w:bottom w:val="single" w:sz="4" w:space="0" w:color="auto"/>
              <w:right w:val="single" w:sz="4" w:space="0" w:color="auto"/>
            </w:tcBorders>
            <w:shd w:val="clear" w:color="000000" w:fill="BFBFBF"/>
            <w:vAlign w:val="center"/>
            <w:hideMark/>
          </w:tcPr>
          <w:p w14:paraId="241D3FA2"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INDICADOR</w:t>
            </w:r>
          </w:p>
        </w:tc>
        <w:tc>
          <w:tcPr>
            <w:tcW w:w="2693" w:type="dxa"/>
            <w:tcBorders>
              <w:top w:val="single" w:sz="4" w:space="0" w:color="auto"/>
              <w:left w:val="nil"/>
              <w:bottom w:val="single" w:sz="4" w:space="0" w:color="auto"/>
              <w:right w:val="single" w:sz="4" w:space="0" w:color="auto"/>
            </w:tcBorders>
            <w:shd w:val="clear" w:color="000000" w:fill="BFBFBF"/>
            <w:vAlign w:val="center"/>
            <w:hideMark/>
          </w:tcPr>
          <w:p w14:paraId="111EF336"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MEDIOS DE VERIFICACIÓN</w:t>
            </w:r>
          </w:p>
        </w:tc>
        <w:tc>
          <w:tcPr>
            <w:tcW w:w="2127" w:type="dxa"/>
            <w:tcBorders>
              <w:top w:val="single" w:sz="4" w:space="0" w:color="auto"/>
              <w:left w:val="nil"/>
              <w:bottom w:val="single" w:sz="4" w:space="0" w:color="auto"/>
              <w:right w:val="single" w:sz="4" w:space="0" w:color="auto"/>
            </w:tcBorders>
            <w:shd w:val="clear" w:color="000000" w:fill="BFBFBF"/>
            <w:vAlign w:val="center"/>
            <w:hideMark/>
          </w:tcPr>
          <w:p w14:paraId="6B650B6C"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SUPUESTO</w:t>
            </w:r>
          </w:p>
        </w:tc>
      </w:tr>
      <w:tr w:rsidR="00E23746" w:rsidRPr="00FD08F8" w14:paraId="25E40115" w14:textId="77777777" w:rsidTr="00B11722">
        <w:trPr>
          <w:trHeight w:val="1822"/>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14:paraId="67F8A985"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Componente</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98C53E5" w14:textId="77777777" w:rsidR="00E23746" w:rsidRPr="00F262B9" w:rsidRDefault="00E23746" w:rsidP="000B2F10">
            <w:pPr>
              <w:rPr>
                <w:rFonts w:cs="Arial"/>
                <w:sz w:val="20"/>
                <w:szCs w:val="20"/>
              </w:rPr>
            </w:pPr>
            <w:r w:rsidRPr="00F262B9">
              <w:rPr>
                <w:rFonts w:cs="Arial"/>
                <w:sz w:val="20"/>
                <w:szCs w:val="20"/>
              </w:rPr>
              <w:t>Fortalecer la oferta educativa de las instituciones de educación superior para asegurar la pertinencia con base en las necesidades de la entidad.</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77B4658" w14:textId="77777777" w:rsidR="00E23746" w:rsidRPr="00F262B9" w:rsidRDefault="00E23746" w:rsidP="000B2F10">
            <w:pPr>
              <w:rPr>
                <w:rFonts w:cs="Arial"/>
                <w:sz w:val="20"/>
                <w:szCs w:val="20"/>
              </w:rPr>
            </w:pPr>
            <w:r w:rsidRPr="00574DAC">
              <w:rPr>
                <w:rFonts w:cs="Arial"/>
                <w:sz w:val="20"/>
                <w:szCs w:val="20"/>
              </w:rPr>
              <w:t>C01</w:t>
            </w:r>
            <w:r>
              <w:rPr>
                <w:rFonts w:cs="Arial"/>
                <w:sz w:val="20"/>
                <w:szCs w:val="20"/>
              </w:rPr>
              <w:t xml:space="preserve"> </w:t>
            </w:r>
            <w:r w:rsidRPr="00574DAC">
              <w:rPr>
                <w:rFonts w:cs="Arial"/>
                <w:sz w:val="20"/>
                <w:szCs w:val="20"/>
              </w:rPr>
              <w:t xml:space="preserve">- </w:t>
            </w:r>
            <w:r w:rsidRPr="00F262B9">
              <w:rPr>
                <w:rFonts w:cs="Arial"/>
                <w:sz w:val="20"/>
                <w:szCs w:val="20"/>
              </w:rPr>
              <w:t>Educación superior con calidad y pertinencia impartida.</w:t>
            </w:r>
          </w:p>
        </w:tc>
        <w:tc>
          <w:tcPr>
            <w:tcW w:w="2268" w:type="dxa"/>
            <w:tcBorders>
              <w:top w:val="single" w:sz="4" w:space="0" w:color="auto"/>
              <w:left w:val="single" w:sz="4" w:space="0" w:color="auto"/>
              <w:bottom w:val="single" w:sz="4" w:space="0" w:color="auto"/>
              <w:right w:val="single" w:sz="4" w:space="0" w:color="auto"/>
            </w:tcBorders>
            <w:shd w:val="clear" w:color="FFFFFF" w:fill="FFFFFF"/>
          </w:tcPr>
          <w:p w14:paraId="3F4662C1" w14:textId="77777777" w:rsidR="00E23746" w:rsidRPr="00F262B9" w:rsidRDefault="00E23746" w:rsidP="000B2F10">
            <w:pPr>
              <w:rPr>
                <w:rFonts w:cs="Arial"/>
                <w:sz w:val="20"/>
                <w:szCs w:val="20"/>
              </w:rPr>
            </w:pPr>
            <w:r w:rsidRPr="00574DAC">
              <w:rPr>
                <w:rFonts w:cs="Arial"/>
                <w:sz w:val="20"/>
                <w:szCs w:val="20"/>
              </w:rPr>
              <w:t>C01</w:t>
            </w:r>
            <w:r>
              <w:rPr>
                <w:rFonts w:cs="Arial"/>
                <w:sz w:val="20"/>
                <w:szCs w:val="20"/>
              </w:rPr>
              <w:t xml:space="preserve"> </w:t>
            </w:r>
            <w:r w:rsidRPr="00574DAC">
              <w:rPr>
                <w:rFonts w:cs="Arial"/>
                <w:sz w:val="20"/>
                <w:szCs w:val="20"/>
              </w:rPr>
              <w:t xml:space="preserve">- </w:t>
            </w:r>
            <w:r w:rsidRPr="00F262B9">
              <w:rPr>
                <w:rFonts w:cs="Arial"/>
                <w:sz w:val="20"/>
                <w:szCs w:val="20"/>
              </w:rPr>
              <w:t>Matrícula atendida</w:t>
            </w:r>
            <w:r>
              <w:rPr>
                <w:rFonts w:cs="Arial"/>
                <w:sz w:val="20"/>
                <w:szCs w:val="20"/>
              </w:rPr>
              <w:t>.</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A475637" w14:textId="77777777" w:rsidR="00E23746" w:rsidRPr="00F262B9" w:rsidRDefault="00E23746" w:rsidP="000B2F10">
            <w:pPr>
              <w:rPr>
                <w:rFonts w:cs="Arial"/>
                <w:sz w:val="20"/>
                <w:szCs w:val="20"/>
              </w:rPr>
            </w:pPr>
            <w:r w:rsidRPr="00F262B9">
              <w:rPr>
                <w:rFonts w:cs="Arial"/>
                <w:sz w:val="20"/>
                <w:szCs w:val="20"/>
              </w:rPr>
              <w:t xml:space="preserve">Estadísticas continúas de formato 911 inicio de ciclo escolar , en la página de la Universidad </w:t>
            </w:r>
            <w:hyperlink r:id="rId93" w:history="1">
              <w:r w:rsidRPr="00F262B9">
                <w:rPr>
                  <w:rFonts w:cs="Arial"/>
                  <w:sz w:val="20"/>
                  <w:szCs w:val="20"/>
                </w:rPr>
                <w:t>www.uimqroo.edu.mx</w:t>
              </w:r>
            </w:hyperlink>
            <w:r>
              <w:rPr>
                <w:rFonts w:cs="Arial"/>
                <w:sz w:val="20"/>
                <w:szCs w:val="20"/>
              </w:rPr>
              <w:t>.</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6DC3361F" w14:textId="77777777" w:rsidR="00E23746" w:rsidRDefault="00E23746" w:rsidP="000B2F10">
            <w:pPr>
              <w:rPr>
                <w:rFonts w:cs="Arial"/>
                <w:sz w:val="20"/>
                <w:szCs w:val="20"/>
              </w:rPr>
            </w:pPr>
            <w:r w:rsidRPr="00F262B9">
              <w:rPr>
                <w:rFonts w:cs="Arial"/>
                <w:sz w:val="20"/>
                <w:szCs w:val="20"/>
              </w:rPr>
              <w:t>Los estudiantes que egresan del nivel educativo medio superior continúan sus estudios de tipo superior en la Entidad.</w:t>
            </w:r>
          </w:p>
          <w:p w14:paraId="750041AA" w14:textId="77777777" w:rsidR="00E23746" w:rsidRPr="00F262B9" w:rsidRDefault="00E23746" w:rsidP="000B2F10">
            <w:pPr>
              <w:rPr>
                <w:rFonts w:cs="Arial"/>
                <w:sz w:val="20"/>
                <w:szCs w:val="20"/>
              </w:rPr>
            </w:pPr>
          </w:p>
        </w:tc>
      </w:tr>
      <w:tr w:rsidR="00E23746" w:rsidRPr="00FD08F8" w14:paraId="7C8214D5" w14:textId="77777777" w:rsidTr="00B11722">
        <w:trPr>
          <w:trHeight w:val="1947"/>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14:paraId="370A52E1"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Actividad</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21A49D2" w14:textId="77777777" w:rsidR="00E23746" w:rsidRDefault="00E23746" w:rsidP="000B2F10">
            <w:pPr>
              <w:rPr>
                <w:rFonts w:cs="Arial"/>
                <w:sz w:val="20"/>
                <w:szCs w:val="20"/>
              </w:rPr>
            </w:pPr>
            <w:r w:rsidRPr="00F262B9">
              <w:rPr>
                <w:rFonts w:cs="Arial"/>
                <w:sz w:val="20"/>
                <w:szCs w:val="20"/>
              </w:rPr>
              <w:t>Fortalecer los programas de asesorías, tutoría y acompañamiento académico, programas de becas y apoyos a fin de mejorar el desempeño académico, permanencia escolar, y la eficiencia terminal.</w:t>
            </w:r>
          </w:p>
          <w:p w14:paraId="658ECD16" w14:textId="77777777" w:rsidR="00E23746" w:rsidRPr="00F262B9" w:rsidRDefault="00E23746" w:rsidP="000B2F10">
            <w:pPr>
              <w:rPr>
                <w:rFonts w:cs="Arial"/>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25EAFFE" w14:textId="77777777" w:rsidR="00E23746" w:rsidRPr="00F262B9" w:rsidRDefault="00E23746" w:rsidP="000B2F10">
            <w:pPr>
              <w:rPr>
                <w:rFonts w:cs="Arial"/>
                <w:sz w:val="20"/>
                <w:szCs w:val="20"/>
              </w:rPr>
            </w:pPr>
            <w:r w:rsidRPr="00574DAC">
              <w:rPr>
                <w:rFonts w:cs="Arial"/>
                <w:sz w:val="20"/>
                <w:szCs w:val="20"/>
              </w:rPr>
              <w:t>C01.A0</w:t>
            </w:r>
            <w:r>
              <w:rPr>
                <w:rFonts w:cs="Arial"/>
                <w:sz w:val="20"/>
                <w:szCs w:val="20"/>
              </w:rPr>
              <w:t xml:space="preserve">1 - </w:t>
            </w:r>
            <w:r w:rsidRPr="00F262B9">
              <w:rPr>
                <w:rFonts w:cs="Arial"/>
                <w:sz w:val="20"/>
                <w:szCs w:val="20"/>
              </w:rPr>
              <w:t>Realización de estrategias para reducir la reprobación de los cursos de idiomas</w:t>
            </w:r>
            <w:r>
              <w:rPr>
                <w:rFonts w:cs="Arial"/>
                <w:sz w:val="20"/>
                <w:szCs w:val="20"/>
              </w:rPr>
              <w:t>.</w:t>
            </w:r>
          </w:p>
        </w:tc>
        <w:tc>
          <w:tcPr>
            <w:tcW w:w="2268" w:type="dxa"/>
            <w:tcBorders>
              <w:top w:val="single" w:sz="4" w:space="0" w:color="auto"/>
              <w:left w:val="single" w:sz="4" w:space="0" w:color="auto"/>
              <w:bottom w:val="single" w:sz="4" w:space="0" w:color="auto"/>
              <w:right w:val="single" w:sz="4" w:space="0" w:color="auto"/>
            </w:tcBorders>
            <w:shd w:val="clear" w:color="FFFFFF" w:fill="FFFFFF"/>
          </w:tcPr>
          <w:p w14:paraId="7592656F" w14:textId="77777777" w:rsidR="00E23746" w:rsidRPr="00F262B9" w:rsidRDefault="00E23746" w:rsidP="000B2F10">
            <w:pPr>
              <w:rPr>
                <w:rFonts w:cs="Arial"/>
                <w:sz w:val="20"/>
                <w:szCs w:val="20"/>
              </w:rPr>
            </w:pPr>
            <w:r w:rsidRPr="00574DAC">
              <w:rPr>
                <w:rFonts w:cs="Arial"/>
                <w:sz w:val="20"/>
                <w:szCs w:val="20"/>
              </w:rPr>
              <w:t xml:space="preserve">C01A01 - </w:t>
            </w:r>
            <w:r w:rsidRPr="00F262B9">
              <w:rPr>
                <w:rFonts w:cs="Arial"/>
                <w:sz w:val="20"/>
                <w:szCs w:val="20"/>
              </w:rPr>
              <w:t>Porcentaje de deserción.</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C4A3C14" w14:textId="77777777" w:rsidR="00E23746" w:rsidRPr="00F262B9" w:rsidRDefault="00E23746" w:rsidP="000B2F10">
            <w:pPr>
              <w:rPr>
                <w:rFonts w:cs="Arial"/>
                <w:sz w:val="20"/>
                <w:szCs w:val="20"/>
              </w:rPr>
            </w:pPr>
            <w:r w:rsidRPr="00F262B9">
              <w:rPr>
                <w:rFonts w:cs="Arial"/>
                <w:sz w:val="20"/>
                <w:szCs w:val="20"/>
              </w:rPr>
              <w:t>Informe de alumnos egresados en la página de la Universidad www.uimqroo.edu.mx</w:t>
            </w:r>
            <w:r>
              <w:rPr>
                <w:rFonts w:cs="Arial"/>
                <w:sz w:val="20"/>
                <w:szCs w:val="20"/>
              </w:rPr>
              <w:t>.</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16EF7C59" w14:textId="77777777" w:rsidR="00E23746" w:rsidRPr="00F262B9" w:rsidRDefault="00E23746" w:rsidP="000B2F10">
            <w:pPr>
              <w:rPr>
                <w:rFonts w:cs="Arial"/>
                <w:sz w:val="20"/>
                <w:szCs w:val="20"/>
              </w:rPr>
            </w:pPr>
            <w:r w:rsidRPr="00F262B9">
              <w:rPr>
                <w:rFonts w:cs="Arial"/>
                <w:sz w:val="20"/>
                <w:szCs w:val="20"/>
              </w:rPr>
              <w:t>Los profesores implemente las estrategias.</w:t>
            </w:r>
          </w:p>
        </w:tc>
      </w:tr>
      <w:tr w:rsidR="00E23746" w:rsidRPr="00FD08F8" w14:paraId="11A12D7F" w14:textId="77777777" w:rsidTr="00B11722">
        <w:trPr>
          <w:trHeight w:val="1401"/>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2566198E"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Actividad</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EC9DFCA" w14:textId="2B93DBCA" w:rsidR="00E23746" w:rsidRPr="008D3D70" w:rsidRDefault="00E23746" w:rsidP="000B2F10">
            <w:pPr>
              <w:rPr>
                <w:rFonts w:cs="Arial"/>
                <w:sz w:val="20"/>
                <w:szCs w:val="20"/>
              </w:rPr>
            </w:pPr>
            <w:r w:rsidRPr="008D3D70">
              <w:rPr>
                <w:rFonts w:cs="Arial"/>
                <w:sz w:val="20"/>
                <w:szCs w:val="20"/>
              </w:rPr>
              <w:t>Reorientar el programa de becas e incentivos para otorgar a alumnos de escasos recursos a fin de que concluyan sus estudios.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19B140F" w14:textId="77777777" w:rsidR="00E23746" w:rsidRPr="008D3D70" w:rsidRDefault="00E23746" w:rsidP="000B2F10">
            <w:pPr>
              <w:rPr>
                <w:rFonts w:cs="Arial"/>
                <w:sz w:val="20"/>
                <w:szCs w:val="20"/>
              </w:rPr>
            </w:pPr>
            <w:r w:rsidRPr="00574DAC">
              <w:rPr>
                <w:rFonts w:cs="Arial"/>
                <w:sz w:val="20"/>
                <w:szCs w:val="20"/>
              </w:rPr>
              <w:t xml:space="preserve">C01.A02 - </w:t>
            </w:r>
            <w:r w:rsidRPr="008D3D70">
              <w:rPr>
                <w:rFonts w:cs="Arial"/>
                <w:sz w:val="20"/>
                <w:szCs w:val="20"/>
              </w:rPr>
              <w:t>Asesoramiento y apoyo a los alumnos para que obtengan beca.</w:t>
            </w:r>
          </w:p>
        </w:tc>
        <w:tc>
          <w:tcPr>
            <w:tcW w:w="2268" w:type="dxa"/>
            <w:tcBorders>
              <w:top w:val="single" w:sz="4" w:space="0" w:color="auto"/>
              <w:left w:val="single" w:sz="4" w:space="0" w:color="auto"/>
              <w:bottom w:val="single" w:sz="4" w:space="0" w:color="auto"/>
              <w:right w:val="single" w:sz="4" w:space="0" w:color="auto"/>
            </w:tcBorders>
            <w:shd w:val="clear" w:color="FFFFFF" w:fill="FFFFFF"/>
          </w:tcPr>
          <w:p w14:paraId="155D6ED3" w14:textId="77777777" w:rsidR="00E23746" w:rsidRPr="008D3D70" w:rsidRDefault="00E23746" w:rsidP="000B2F10">
            <w:pPr>
              <w:rPr>
                <w:rFonts w:cs="Arial"/>
                <w:sz w:val="20"/>
                <w:szCs w:val="20"/>
              </w:rPr>
            </w:pPr>
            <w:r>
              <w:rPr>
                <w:rFonts w:cs="Arial"/>
                <w:sz w:val="20"/>
                <w:szCs w:val="20"/>
              </w:rPr>
              <w:t>C01A02 -</w:t>
            </w:r>
            <w:r w:rsidRPr="008D3D70">
              <w:rPr>
                <w:rFonts w:cs="Arial"/>
                <w:sz w:val="20"/>
                <w:szCs w:val="20"/>
              </w:rPr>
              <w:t>Porcentaje de alumnos con beca.</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C71534B" w14:textId="77777777" w:rsidR="00E23746" w:rsidRPr="008D3D70" w:rsidRDefault="00E23746" w:rsidP="000B2F10">
            <w:pPr>
              <w:rPr>
                <w:rFonts w:cs="Arial"/>
                <w:sz w:val="20"/>
                <w:szCs w:val="20"/>
              </w:rPr>
            </w:pPr>
            <w:r w:rsidRPr="008D3D70">
              <w:rPr>
                <w:rFonts w:cs="Arial"/>
                <w:sz w:val="20"/>
                <w:szCs w:val="20"/>
              </w:rPr>
              <w:t xml:space="preserve">Informe de los alumnos becados en la página de la Universidad </w:t>
            </w:r>
            <w:hyperlink r:id="rId94" w:history="1">
              <w:r w:rsidRPr="008D3D70">
                <w:rPr>
                  <w:rFonts w:cs="Arial"/>
                  <w:sz w:val="20"/>
                  <w:szCs w:val="20"/>
                </w:rPr>
                <w:t>www.uimqroo.edu.mx</w:t>
              </w:r>
            </w:hyperlink>
            <w:r>
              <w:rPr>
                <w:rFonts w:cs="Arial"/>
                <w:sz w:val="20"/>
                <w:szCs w:val="20"/>
              </w:rPr>
              <w:t>.</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62953864" w14:textId="77777777" w:rsidR="00E23746" w:rsidRPr="008D3D70" w:rsidRDefault="00E23746" w:rsidP="000B2F10">
            <w:pPr>
              <w:rPr>
                <w:rFonts w:cs="Arial"/>
                <w:sz w:val="20"/>
                <w:szCs w:val="20"/>
              </w:rPr>
            </w:pPr>
            <w:r w:rsidRPr="008D3D70">
              <w:rPr>
                <w:rFonts w:cs="Arial"/>
                <w:sz w:val="20"/>
                <w:szCs w:val="20"/>
              </w:rPr>
              <w:t>Los alumnos participan en las convocatorias para obtener becas.</w:t>
            </w:r>
          </w:p>
        </w:tc>
      </w:tr>
    </w:tbl>
    <w:p w14:paraId="6BF81292" w14:textId="77777777" w:rsidR="00D36037" w:rsidRDefault="00D36037">
      <w:pPr>
        <w:spacing w:after="0" w:line="240" w:lineRule="auto"/>
        <w:jc w:val="left"/>
      </w:pPr>
      <w:r>
        <w:br w:type="page"/>
      </w:r>
    </w:p>
    <w:tbl>
      <w:tblPr>
        <w:tblW w:w="14029" w:type="dxa"/>
        <w:tblLayout w:type="fixed"/>
        <w:tblCellMar>
          <w:left w:w="70" w:type="dxa"/>
          <w:right w:w="70" w:type="dxa"/>
        </w:tblCellMar>
        <w:tblLook w:val="04A0" w:firstRow="1" w:lastRow="0" w:firstColumn="1" w:lastColumn="0" w:noHBand="0" w:noVBand="1"/>
      </w:tblPr>
      <w:tblGrid>
        <w:gridCol w:w="1413"/>
        <w:gridCol w:w="2693"/>
        <w:gridCol w:w="2835"/>
        <w:gridCol w:w="2268"/>
        <w:gridCol w:w="2693"/>
        <w:gridCol w:w="2127"/>
      </w:tblGrid>
      <w:tr w:rsidR="00E23746" w:rsidRPr="00FD08F8" w14:paraId="5E5B27A0" w14:textId="77777777" w:rsidTr="00B11722">
        <w:trPr>
          <w:trHeight w:val="577"/>
        </w:trPr>
        <w:tc>
          <w:tcPr>
            <w:tcW w:w="1413"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6F5B1A74"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lastRenderedPageBreak/>
              <w:t>NIVEL</w:t>
            </w:r>
          </w:p>
        </w:tc>
        <w:tc>
          <w:tcPr>
            <w:tcW w:w="2693" w:type="dxa"/>
            <w:tcBorders>
              <w:top w:val="single" w:sz="4" w:space="0" w:color="auto"/>
              <w:left w:val="nil"/>
              <w:bottom w:val="single" w:sz="4" w:space="0" w:color="auto"/>
              <w:right w:val="single" w:sz="4" w:space="0" w:color="auto"/>
            </w:tcBorders>
            <w:shd w:val="clear" w:color="000000" w:fill="BFBFBF"/>
            <w:vAlign w:val="center"/>
            <w:hideMark/>
          </w:tcPr>
          <w:p w14:paraId="1512D29F"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ALINEACIÓN PED/PD</w:t>
            </w:r>
          </w:p>
        </w:tc>
        <w:tc>
          <w:tcPr>
            <w:tcW w:w="2835" w:type="dxa"/>
            <w:tcBorders>
              <w:top w:val="single" w:sz="4" w:space="0" w:color="auto"/>
              <w:left w:val="nil"/>
              <w:bottom w:val="single" w:sz="4" w:space="0" w:color="auto"/>
              <w:right w:val="single" w:sz="4" w:space="0" w:color="auto"/>
            </w:tcBorders>
            <w:shd w:val="clear" w:color="000000" w:fill="BFBFBF"/>
            <w:vAlign w:val="center"/>
            <w:hideMark/>
          </w:tcPr>
          <w:p w14:paraId="0E26E89E"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OBJETIVO</w:t>
            </w:r>
          </w:p>
        </w:tc>
        <w:tc>
          <w:tcPr>
            <w:tcW w:w="2268" w:type="dxa"/>
            <w:tcBorders>
              <w:top w:val="single" w:sz="4" w:space="0" w:color="auto"/>
              <w:left w:val="nil"/>
              <w:bottom w:val="single" w:sz="4" w:space="0" w:color="auto"/>
              <w:right w:val="single" w:sz="4" w:space="0" w:color="auto"/>
            </w:tcBorders>
            <w:shd w:val="clear" w:color="000000" w:fill="BFBFBF"/>
            <w:vAlign w:val="center"/>
            <w:hideMark/>
          </w:tcPr>
          <w:p w14:paraId="05B6BA7C"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INDICADOR</w:t>
            </w:r>
          </w:p>
        </w:tc>
        <w:tc>
          <w:tcPr>
            <w:tcW w:w="2693" w:type="dxa"/>
            <w:tcBorders>
              <w:top w:val="single" w:sz="4" w:space="0" w:color="auto"/>
              <w:left w:val="nil"/>
              <w:bottom w:val="single" w:sz="4" w:space="0" w:color="auto"/>
              <w:right w:val="single" w:sz="4" w:space="0" w:color="auto"/>
            </w:tcBorders>
            <w:shd w:val="clear" w:color="000000" w:fill="BFBFBF"/>
            <w:vAlign w:val="center"/>
            <w:hideMark/>
          </w:tcPr>
          <w:p w14:paraId="4E1CECA8"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MEDIOS DE VERIFICACIÓN</w:t>
            </w:r>
          </w:p>
        </w:tc>
        <w:tc>
          <w:tcPr>
            <w:tcW w:w="2127" w:type="dxa"/>
            <w:tcBorders>
              <w:top w:val="single" w:sz="4" w:space="0" w:color="auto"/>
              <w:left w:val="nil"/>
              <w:bottom w:val="single" w:sz="4" w:space="0" w:color="auto"/>
              <w:right w:val="single" w:sz="4" w:space="0" w:color="auto"/>
            </w:tcBorders>
            <w:shd w:val="clear" w:color="000000" w:fill="BFBFBF"/>
            <w:vAlign w:val="center"/>
            <w:hideMark/>
          </w:tcPr>
          <w:p w14:paraId="46AFB90E"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SUPUESTO</w:t>
            </w:r>
          </w:p>
        </w:tc>
      </w:tr>
      <w:tr w:rsidR="00E23746" w:rsidRPr="00FD08F8" w14:paraId="77FDE327" w14:textId="77777777" w:rsidTr="00B11722">
        <w:trPr>
          <w:trHeight w:val="2129"/>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6A0C0149"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Actividad</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99A3764" w14:textId="77777777" w:rsidR="00E23746" w:rsidRPr="008D3D70" w:rsidRDefault="00E23746" w:rsidP="000B2F10">
            <w:pPr>
              <w:rPr>
                <w:rFonts w:cs="Arial"/>
                <w:sz w:val="20"/>
                <w:szCs w:val="20"/>
              </w:rPr>
            </w:pPr>
            <w:r w:rsidRPr="008D3D70">
              <w:rPr>
                <w:rFonts w:cs="Arial"/>
                <w:sz w:val="20"/>
                <w:szCs w:val="20"/>
              </w:rPr>
              <w:t>Fortalecer los programas de asesorías, tutoría y acompañamiento académico, programas de becas y apoyos a fin de mejorar el desempeño académico, permanencia escolar, y la eficiencia terminal.</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C4BEA6B" w14:textId="77777777" w:rsidR="00E23746" w:rsidRPr="008D3D70" w:rsidRDefault="00E23746" w:rsidP="000B2F10">
            <w:pPr>
              <w:rPr>
                <w:rFonts w:cs="Arial"/>
                <w:sz w:val="20"/>
                <w:szCs w:val="20"/>
              </w:rPr>
            </w:pPr>
            <w:r w:rsidRPr="00574DAC">
              <w:rPr>
                <w:rFonts w:cs="Arial"/>
                <w:sz w:val="20"/>
                <w:szCs w:val="20"/>
              </w:rPr>
              <w:t xml:space="preserve">C01.A03 - </w:t>
            </w:r>
            <w:r w:rsidRPr="008D3D70">
              <w:rPr>
                <w:rFonts w:cs="Arial"/>
                <w:sz w:val="20"/>
                <w:szCs w:val="20"/>
              </w:rPr>
              <w:t>Seguimiento a los alumnos a través del programa de tutorías (IKNAL)</w:t>
            </w:r>
            <w:r>
              <w:rPr>
                <w:rFonts w:cs="Arial"/>
                <w:sz w:val="20"/>
                <w:szCs w:val="20"/>
              </w:rPr>
              <w:t>.</w:t>
            </w:r>
          </w:p>
        </w:tc>
        <w:tc>
          <w:tcPr>
            <w:tcW w:w="2268" w:type="dxa"/>
            <w:tcBorders>
              <w:top w:val="single" w:sz="4" w:space="0" w:color="auto"/>
              <w:left w:val="single" w:sz="4" w:space="0" w:color="auto"/>
              <w:bottom w:val="single" w:sz="4" w:space="0" w:color="auto"/>
              <w:right w:val="single" w:sz="4" w:space="0" w:color="auto"/>
            </w:tcBorders>
            <w:shd w:val="clear" w:color="FFFFFF" w:fill="FFFFFF"/>
          </w:tcPr>
          <w:p w14:paraId="676CE4B5" w14:textId="77777777" w:rsidR="00E23746" w:rsidRPr="008D3D70" w:rsidRDefault="00E23746" w:rsidP="000B2F10">
            <w:pPr>
              <w:rPr>
                <w:rFonts w:cs="Arial"/>
                <w:sz w:val="20"/>
                <w:szCs w:val="20"/>
              </w:rPr>
            </w:pPr>
            <w:r w:rsidRPr="00574DAC">
              <w:rPr>
                <w:rFonts w:cs="Arial"/>
                <w:sz w:val="20"/>
                <w:szCs w:val="20"/>
              </w:rPr>
              <w:t xml:space="preserve">C01A03 - </w:t>
            </w:r>
            <w:r w:rsidRPr="008D3D70">
              <w:rPr>
                <w:rFonts w:cs="Arial"/>
                <w:sz w:val="20"/>
                <w:szCs w:val="20"/>
              </w:rPr>
              <w:t>Porcentaje de alumnos que recibieron tutorías.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78EEBCA" w14:textId="77777777" w:rsidR="00E23746" w:rsidRPr="008D3D70" w:rsidRDefault="00E23746" w:rsidP="000B2F10">
            <w:pPr>
              <w:rPr>
                <w:rFonts w:cs="Arial"/>
                <w:sz w:val="20"/>
                <w:szCs w:val="20"/>
              </w:rPr>
            </w:pPr>
            <w:r w:rsidRPr="008D3D70">
              <w:rPr>
                <w:rFonts w:cs="Arial"/>
                <w:sz w:val="20"/>
                <w:szCs w:val="20"/>
              </w:rPr>
              <w:t>Informe ejecutivo del programa de tutorías publicado en la página de la Universidad www.uimqroo.edu.mx</w:t>
            </w:r>
            <w:r>
              <w:rPr>
                <w:rFonts w:cs="Arial"/>
                <w:sz w:val="20"/>
                <w:szCs w:val="20"/>
              </w:rPr>
              <w:t>.</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0F87DC6" w14:textId="77777777" w:rsidR="00E23746" w:rsidRPr="008D3D70" w:rsidRDefault="00E23746" w:rsidP="000B2F10">
            <w:pPr>
              <w:rPr>
                <w:rFonts w:cs="Arial"/>
                <w:sz w:val="20"/>
                <w:szCs w:val="20"/>
              </w:rPr>
            </w:pPr>
            <w:r w:rsidRPr="008D3D70">
              <w:rPr>
                <w:rFonts w:cs="Arial"/>
                <w:sz w:val="20"/>
                <w:szCs w:val="20"/>
              </w:rPr>
              <w:t>Los profesores brindan el seguimiento oportuno a los alumnos.</w:t>
            </w:r>
          </w:p>
        </w:tc>
      </w:tr>
      <w:tr w:rsidR="00E23746" w:rsidRPr="00FD08F8" w14:paraId="53DC1E77" w14:textId="77777777" w:rsidTr="00B11722">
        <w:trPr>
          <w:trHeight w:val="2412"/>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62004148"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Componente</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ED55992" w14:textId="77777777" w:rsidR="00E23746" w:rsidRPr="008D3D70" w:rsidRDefault="00E23746" w:rsidP="000B2F10">
            <w:pPr>
              <w:rPr>
                <w:rFonts w:cs="Arial"/>
                <w:sz w:val="20"/>
                <w:szCs w:val="20"/>
              </w:rPr>
            </w:pPr>
            <w:r w:rsidRPr="008D3D70">
              <w:rPr>
                <w:rFonts w:cs="Arial"/>
                <w:sz w:val="20"/>
                <w:szCs w:val="20"/>
              </w:rPr>
              <w:t>Impulsar la acreditación y evaluación de los planes y programas de estudio de educación superior por organismos externos reconocidos a nivel nacional e internacional.</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9DA1DE4" w14:textId="77777777" w:rsidR="00E23746" w:rsidRPr="008D3D70" w:rsidRDefault="00E23746" w:rsidP="000B2F10">
            <w:pPr>
              <w:rPr>
                <w:rFonts w:cs="Arial"/>
                <w:sz w:val="20"/>
                <w:szCs w:val="20"/>
              </w:rPr>
            </w:pPr>
            <w:r w:rsidRPr="00574DAC">
              <w:rPr>
                <w:rFonts w:cs="Arial"/>
                <w:sz w:val="20"/>
                <w:szCs w:val="20"/>
              </w:rPr>
              <w:t xml:space="preserve">C02 - </w:t>
            </w:r>
            <w:r w:rsidRPr="008D3D70">
              <w:rPr>
                <w:rFonts w:cs="Arial"/>
                <w:sz w:val="20"/>
                <w:szCs w:val="20"/>
              </w:rPr>
              <w:t>Programas Educativos Evaluables de calidad ofertados</w:t>
            </w:r>
            <w:r>
              <w:rPr>
                <w:rFonts w:cs="Arial"/>
                <w:sz w:val="20"/>
                <w:szCs w:val="20"/>
              </w:rPr>
              <w:t>.</w:t>
            </w:r>
          </w:p>
        </w:tc>
        <w:tc>
          <w:tcPr>
            <w:tcW w:w="2268" w:type="dxa"/>
            <w:tcBorders>
              <w:top w:val="single" w:sz="4" w:space="0" w:color="auto"/>
              <w:left w:val="single" w:sz="4" w:space="0" w:color="auto"/>
              <w:bottom w:val="single" w:sz="4" w:space="0" w:color="auto"/>
              <w:right w:val="single" w:sz="4" w:space="0" w:color="auto"/>
            </w:tcBorders>
            <w:shd w:val="clear" w:color="FFFFFF" w:fill="FFFFFF"/>
          </w:tcPr>
          <w:p w14:paraId="5FB98439" w14:textId="77777777" w:rsidR="00E23746" w:rsidRPr="008D3D70" w:rsidRDefault="00E23746" w:rsidP="000B2F10">
            <w:pPr>
              <w:rPr>
                <w:rFonts w:cs="Arial"/>
                <w:sz w:val="20"/>
                <w:szCs w:val="20"/>
              </w:rPr>
            </w:pPr>
            <w:r w:rsidRPr="00574DAC">
              <w:rPr>
                <w:rFonts w:cs="Arial"/>
                <w:sz w:val="20"/>
                <w:szCs w:val="20"/>
              </w:rPr>
              <w:t xml:space="preserve">C02 - </w:t>
            </w:r>
            <w:r w:rsidRPr="008D3D70">
              <w:rPr>
                <w:rFonts w:cs="Arial"/>
                <w:sz w:val="20"/>
                <w:szCs w:val="20"/>
              </w:rPr>
              <w:t>Porcentaje de Programas Educativos de Calidad.</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B127B16" w14:textId="77777777" w:rsidR="00E23746" w:rsidRPr="008D3D70" w:rsidRDefault="00E23746" w:rsidP="000B2F10">
            <w:pPr>
              <w:rPr>
                <w:rFonts w:cs="Arial"/>
                <w:sz w:val="20"/>
                <w:szCs w:val="20"/>
              </w:rPr>
            </w:pPr>
            <w:r w:rsidRPr="008D3D70">
              <w:rPr>
                <w:rFonts w:cs="Arial"/>
                <w:sz w:val="20"/>
                <w:szCs w:val="20"/>
              </w:rPr>
              <w:t xml:space="preserve">Certificado o constancias de los organismos evaluadores y/o Padrón emitido por la DGESU, Subsecretaría de Educación Superior, portal de la Subsecretaría que pública, publicado en la página de la Universidad </w:t>
            </w:r>
            <w:hyperlink r:id="rId95" w:history="1">
              <w:r w:rsidRPr="008D3D70">
                <w:rPr>
                  <w:rFonts w:cs="Arial"/>
                  <w:sz w:val="20"/>
                  <w:szCs w:val="20"/>
                </w:rPr>
                <w:t>www.uimqroo.edu.mx</w:t>
              </w:r>
            </w:hyperlink>
            <w:r>
              <w:rPr>
                <w:rFonts w:cs="Arial"/>
                <w:sz w:val="20"/>
                <w:szCs w:val="20"/>
              </w:rPr>
              <w:t>.</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F08E8EA" w14:textId="77777777" w:rsidR="00E23746" w:rsidRPr="008D3D70" w:rsidRDefault="00E23746" w:rsidP="000B2F10">
            <w:pPr>
              <w:rPr>
                <w:rFonts w:cs="Arial"/>
                <w:sz w:val="20"/>
                <w:szCs w:val="20"/>
              </w:rPr>
            </w:pPr>
            <w:r w:rsidRPr="008D3D70">
              <w:rPr>
                <w:rFonts w:cs="Arial"/>
                <w:sz w:val="20"/>
                <w:szCs w:val="20"/>
              </w:rPr>
              <w:t>La Calidad de la Educación Superior continúa siendo prioridad Nacional.</w:t>
            </w:r>
          </w:p>
        </w:tc>
      </w:tr>
      <w:tr w:rsidR="00E23746" w:rsidRPr="00FD08F8" w14:paraId="56A42936" w14:textId="77777777" w:rsidTr="00B11722">
        <w:trPr>
          <w:trHeight w:val="168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3E89A3AE"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Actividad</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1592BFE" w14:textId="77777777" w:rsidR="00E23746" w:rsidRPr="00A0561E" w:rsidRDefault="00E23746" w:rsidP="000B2F10">
            <w:pPr>
              <w:rPr>
                <w:rFonts w:cs="Arial"/>
                <w:sz w:val="20"/>
                <w:szCs w:val="20"/>
              </w:rPr>
            </w:pPr>
            <w:r w:rsidRPr="00A0561E">
              <w:rPr>
                <w:rFonts w:cs="Arial"/>
                <w:sz w:val="20"/>
                <w:szCs w:val="20"/>
              </w:rPr>
              <w:t>Impulsar la acreditación y evaluación de los planes y programas de estudio de educación superior por organismos externos</w:t>
            </w:r>
            <w:r>
              <w:rPr>
                <w:rFonts w:cs="Arial"/>
                <w:sz w:val="20"/>
                <w:szCs w:val="20"/>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4F98AB0" w14:textId="77777777" w:rsidR="00E23746" w:rsidRPr="00A0561E" w:rsidRDefault="00E23746" w:rsidP="000B2F10">
            <w:pPr>
              <w:rPr>
                <w:rFonts w:cs="Arial"/>
                <w:sz w:val="20"/>
                <w:szCs w:val="20"/>
              </w:rPr>
            </w:pPr>
            <w:r w:rsidRPr="00574DAC">
              <w:rPr>
                <w:rFonts w:cs="Arial"/>
                <w:sz w:val="20"/>
                <w:szCs w:val="20"/>
              </w:rPr>
              <w:t xml:space="preserve">C02.A01 - </w:t>
            </w:r>
            <w:r w:rsidRPr="00A0561E">
              <w:rPr>
                <w:rFonts w:cs="Arial"/>
                <w:sz w:val="20"/>
                <w:szCs w:val="20"/>
              </w:rPr>
              <w:t>Evaluación de los programas educativos</w:t>
            </w:r>
            <w:r>
              <w:rPr>
                <w:rFonts w:cs="Arial"/>
                <w:sz w:val="20"/>
                <w:szCs w:val="20"/>
              </w:rPr>
              <w:t>.</w:t>
            </w:r>
          </w:p>
        </w:tc>
        <w:tc>
          <w:tcPr>
            <w:tcW w:w="2268" w:type="dxa"/>
            <w:tcBorders>
              <w:top w:val="single" w:sz="4" w:space="0" w:color="auto"/>
              <w:left w:val="single" w:sz="4" w:space="0" w:color="auto"/>
              <w:bottom w:val="single" w:sz="4" w:space="0" w:color="auto"/>
              <w:right w:val="single" w:sz="4" w:space="0" w:color="auto"/>
            </w:tcBorders>
            <w:shd w:val="clear" w:color="FFFFFF" w:fill="FFFFFF"/>
          </w:tcPr>
          <w:p w14:paraId="444A4C7E" w14:textId="77777777" w:rsidR="00E23746" w:rsidRPr="00A0561E" w:rsidRDefault="00E23746" w:rsidP="000B2F10">
            <w:pPr>
              <w:rPr>
                <w:rFonts w:cs="Arial"/>
                <w:sz w:val="20"/>
                <w:szCs w:val="20"/>
              </w:rPr>
            </w:pPr>
            <w:r w:rsidRPr="00574DAC">
              <w:rPr>
                <w:rFonts w:cs="Arial"/>
                <w:sz w:val="20"/>
                <w:szCs w:val="20"/>
              </w:rPr>
              <w:t xml:space="preserve">C02A01 - </w:t>
            </w:r>
            <w:r w:rsidRPr="00A0561E">
              <w:rPr>
                <w:rFonts w:cs="Arial"/>
                <w:sz w:val="20"/>
                <w:szCs w:val="20"/>
              </w:rPr>
              <w:t>Porcentaje de programas de estudios evaluados</w:t>
            </w:r>
            <w:r>
              <w:rPr>
                <w:rFonts w:cs="Arial"/>
                <w:sz w:val="20"/>
                <w:szCs w:val="20"/>
              </w:rPr>
              <w:t>.</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B899533" w14:textId="62638D7A" w:rsidR="00E23746" w:rsidRPr="00A0561E" w:rsidRDefault="00E23746" w:rsidP="000B2F10">
            <w:pPr>
              <w:rPr>
                <w:rFonts w:cs="Arial"/>
                <w:sz w:val="20"/>
                <w:szCs w:val="20"/>
              </w:rPr>
            </w:pPr>
            <w:r w:rsidRPr="00A0561E">
              <w:rPr>
                <w:rFonts w:cs="Arial"/>
                <w:sz w:val="20"/>
                <w:szCs w:val="20"/>
              </w:rPr>
              <w:t xml:space="preserve">Evaluación de los programas educativos realizada por los CIEES, publicado en la página de la Universidad </w:t>
            </w:r>
            <w:hyperlink r:id="rId96" w:history="1">
              <w:r w:rsidRPr="00A0561E">
                <w:rPr>
                  <w:rFonts w:cs="Arial"/>
                  <w:sz w:val="20"/>
                  <w:szCs w:val="20"/>
                </w:rPr>
                <w:t>www.uimqroo.edu.mx</w:t>
              </w:r>
            </w:hyperlink>
            <w:r>
              <w:rPr>
                <w:rFonts w:cs="Arial"/>
                <w:sz w:val="20"/>
                <w:szCs w:val="20"/>
              </w:rPr>
              <w:t>.</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82D8DC3" w14:textId="77777777" w:rsidR="00E23746" w:rsidRPr="00A0561E" w:rsidRDefault="00E23746" w:rsidP="000B2F10">
            <w:pPr>
              <w:rPr>
                <w:rFonts w:cs="Arial"/>
                <w:sz w:val="20"/>
                <w:szCs w:val="20"/>
              </w:rPr>
            </w:pPr>
            <w:r w:rsidRPr="00A0561E">
              <w:rPr>
                <w:rFonts w:cs="Arial"/>
                <w:sz w:val="20"/>
                <w:szCs w:val="20"/>
              </w:rPr>
              <w:t>Los profesores lleven a cabo el proceso de evaluación.</w:t>
            </w:r>
          </w:p>
        </w:tc>
      </w:tr>
    </w:tbl>
    <w:p w14:paraId="74C3E5A8" w14:textId="77777777" w:rsidR="00647045" w:rsidRDefault="00647045">
      <w:pPr>
        <w:spacing w:after="0" w:line="240" w:lineRule="auto"/>
        <w:jc w:val="left"/>
      </w:pPr>
      <w:r>
        <w:br w:type="page"/>
      </w:r>
    </w:p>
    <w:tbl>
      <w:tblPr>
        <w:tblW w:w="14029" w:type="dxa"/>
        <w:tblLayout w:type="fixed"/>
        <w:tblCellMar>
          <w:left w:w="70" w:type="dxa"/>
          <w:right w:w="70" w:type="dxa"/>
        </w:tblCellMar>
        <w:tblLook w:val="04A0" w:firstRow="1" w:lastRow="0" w:firstColumn="1" w:lastColumn="0" w:noHBand="0" w:noVBand="1"/>
      </w:tblPr>
      <w:tblGrid>
        <w:gridCol w:w="1413"/>
        <w:gridCol w:w="2693"/>
        <w:gridCol w:w="2835"/>
        <w:gridCol w:w="2268"/>
        <w:gridCol w:w="2693"/>
        <w:gridCol w:w="2127"/>
      </w:tblGrid>
      <w:tr w:rsidR="00E23746" w:rsidRPr="00FD08F8" w14:paraId="043B336D" w14:textId="77777777" w:rsidTr="00B11722">
        <w:trPr>
          <w:trHeight w:val="577"/>
        </w:trPr>
        <w:tc>
          <w:tcPr>
            <w:tcW w:w="1413"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72CDDF5F"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lastRenderedPageBreak/>
              <w:t>NIVEL</w:t>
            </w:r>
          </w:p>
        </w:tc>
        <w:tc>
          <w:tcPr>
            <w:tcW w:w="2693" w:type="dxa"/>
            <w:tcBorders>
              <w:top w:val="single" w:sz="4" w:space="0" w:color="auto"/>
              <w:left w:val="nil"/>
              <w:bottom w:val="single" w:sz="4" w:space="0" w:color="auto"/>
              <w:right w:val="single" w:sz="4" w:space="0" w:color="auto"/>
            </w:tcBorders>
            <w:shd w:val="clear" w:color="000000" w:fill="BFBFBF"/>
            <w:vAlign w:val="center"/>
            <w:hideMark/>
          </w:tcPr>
          <w:p w14:paraId="5EFF28C9"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ALINEACIÓN PED/PD</w:t>
            </w:r>
          </w:p>
        </w:tc>
        <w:tc>
          <w:tcPr>
            <w:tcW w:w="2835" w:type="dxa"/>
            <w:tcBorders>
              <w:top w:val="single" w:sz="4" w:space="0" w:color="auto"/>
              <w:left w:val="nil"/>
              <w:bottom w:val="single" w:sz="4" w:space="0" w:color="auto"/>
              <w:right w:val="single" w:sz="4" w:space="0" w:color="auto"/>
            </w:tcBorders>
            <w:shd w:val="clear" w:color="000000" w:fill="BFBFBF"/>
            <w:vAlign w:val="center"/>
            <w:hideMark/>
          </w:tcPr>
          <w:p w14:paraId="7DCC88CC"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OBJETIVO</w:t>
            </w:r>
          </w:p>
        </w:tc>
        <w:tc>
          <w:tcPr>
            <w:tcW w:w="2268" w:type="dxa"/>
            <w:tcBorders>
              <w:top w:val="single" w:sz="4" w:space="0" w:color="auto"/>
              <w:left w:val="nil"/>
              <w:bottom w:val="single" w:sz="4" w:space="0" w:color="auto"/>
              <w:right w:val="single" w:sz="4" w:space="0" w:color="auto"/>
            </w:tcBorders>
            <w:shd w:val="clear" w:color="000000" w:fill="BFBFBF"/>
            <w:vAlign w:val="center"/>
            <w:hideMark/>
          </w:tcPr>
          <w:p w14:paraId="2AA8FBE3"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INDICADOR</w:t>
            </w:r>
          </w:p>
        </w:tc>
        <w:tc>
          <w:tcPr>
            <w:tcW w:w="2693" w:type="dxa"/>
            <w:tcBorders>
              <w:top w:val="single" w:sz="4" w:space="0" w:color="auto"/>
              <w:left w:val="nil"/>
              <w:bottom w:val="single" w:sz="4" w:space="0" w:color="auto"/>
              <w:right w:val="single" w:sz="4" w:space="0" w:color="auto"/>
            </w:tcBorders>
            <w:shd w:val="clear" w:color="000000" w:fill="BFBFBF"/>
            <w:vAlign w:val="center"/>
            <w:hideMark/>
          </w:tcPr>
          <w:p w14:paraId="2FD3FE05"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MEDIOS DE VERIFICACIÓN</w:t>
            </w:r>
          </w:p>
        </w:tc>
        <w:tc>
          <w:tcPr>
            <w:tcW w:w="2127" w:type="dxa"/>
            <w:tcBorders>
              <w:top w:val="single" w:sz="4" w:space="0" w:color="auto"/>
              <w:left w:val="nil"/>
              <w:bottom w:val="single" w:sz="4" w:space="0" w:color="auto"/>
              <w:right w:val="single" w:sz="4" w:space="0" w:color="auto"/>
            </w:tcBorders>
            <w:shd w:val="clear" w:color="000000" w:fill="BFBFBF"/>
            <w:vAlign w:val="center"/>
            <w:hideMark/>
          </w:tcPr>
          <w:p w14:paraId="72C4D563"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SUPUESTO</w:t>
            </w:r>
          </w:p>
        </w:tc>
      </w:tr>
      <w:tr w:rsidR="00E23746" w:rsidRPr="00FD08F8" w14:paraId="1FE3C6B7" w14:textId="77777777" w:rsidTr="00B11722">
        <w:trPr>
          <w:trHeight w:val="2119"/>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6E3084D5"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Componente</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664CDF9" w14:textId="77777777" w:rsidR="00E23746" w:rsidRPr="00A0561E" w:rsidRDefault="00E23746" w:rsidP="000B2F10">
            <w:pPr>
              <w:rPr>
                <w:rFonts w:cs="Arial"/>
                <w:sz w:val="20"/>
                <w:szCs w:val="20"/>
              </w:rPr>
            </w:pPr>
            <w:r w:rsidRPr="00A0561E">
              <w:rPr>
                <w:rFonts w:cs="Arial"/>
                <w:sz w:val="20"/>
                <w:szCs w:val="20"/>
              </w:rPr>
              <w:t>Impulsar la vinculación con instituciones públicas y privadas para la realización del servicio social, prácticas profesionales o su equivalente y modelo dual por parte de los estudiantes de educación superior.</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43EA731" w14:textId="77777777" w:rsidR="00E23746" w:rsidRPr="00A0561E" w:rsidRDefault="00E23746" w:rsidP="000B2F10">
            <w:pPr>
              <w:rPr>
                <w:rFonts w:cs="Arial"/>
                <w:sz w:val="20"/>
                <w:szCs w:val="20"/>
              </w:rPr>
            </w:pPr>
            <w:r w:rsidRPr="00574DAC">
              <w:rPr>
                <w:rFonts w:cs="Arial"/>
                <w:sz w:val="20"/>
                <w:szCs w:val="20"/>
              </w:rPr>
              <w:t xml:space="preserve">C03 - </w:t>
            </w:r>
            <w:r w:rsidRPr="00A0561E">
              <w:rPr>
                <w:rFonts w:cs="Arial"/>
                <w:sz w:val="20"/>
                <w:szCs w:val="20"/>
              </w:rPr>
              <w:t>Vinculación Interinstitucional realizada</w:t>
            </w:r>
            <w:r>
              <w:rPr>
                <w:rFonts w:cs="Arial"/>
                <w:sz w:val="20"/>
                <w:szCs w:val="20"/>
              </w:rPr>
              <w:t>.</w:t>
            </w:r>
          </w:p>
        </w:tc>
        <w:tc>
          <w:tcPr>
            <w:tcW w:w="2268" w:type="dxa"/>
            <w:tcBorders>
              <w:top w:val="single" w:sz="4" w:space="0" w:color="auto"/>
              <w:left w:val="single" w:sz="4" w:space="0" w:color="auto"/>
              <w:bottom w:val="single" w:sz="4" w:space="0" w:color="auto"/>
              <w:right w:val="single" w:sz="4" w:space="0" w:color="auto"/>
            </w:tcBorders>
            <w:shd w:val="clear" w:color="FFFFFF" w:fill="FFFFFF"/>
          </w:tcPr>
          <w:p w14:paraId="22A0E58F" w14:textId="77777777" w:rsidR="00E23746" w:rsidRPr="00A0561E" w:rsidRDefault="00E23746" w:rsidP="000B2F10">
            <w:pPr>
              <w:rPr>
                <w:rFonts w:cs="Arial"/>
                <w:sz w:val="20"/>
                <w:szCs w:val="20"/>
              </w:rPr>
            </w:pPr>
            <w:r w:rsidRPr="00574DAC">
              <w:rPr>
                <w:rFonts w:cs="Arial"/>
                <w:sz w:val="20"/>
                <w:szCs w:val="20"/>
              </w:rPr>
              <w:t xml:space="preserve">C03 - </w:t>
            </w:r>
            <w:r w:rsidRPr="00A0561E">
              <w:rPr>
                <w:rFonts w:cs="Arial"/>
                <w:sz w:val="20"/>
                <w:szCs w:val="20"/>
              </w:rPr>
              <w:t>Porcentaje de estudiantes participando en proyectos y/o convenios</w:t>
            </w:r>
            <w:r>
              <w:rPr>
                <w:rFonts w:cs="Arial"/>
                <w:sz w:val="20"/>
                <w:szCs w:val="20"/>
              </w:rPr>
              <w:t>.</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1936203" w14:textId="77777777" w:rsidR="00E23746" w:rsidRPr="00A0561E" w:rsidRDefault="00E23746" w:rsidP="000B2F10">
            <w:pPr>
              <w:rPr>
                <w:rFonts w:cs="Arial"/>
                <w:sz w:val="20"/>
                <w:szCs w:val="20"/>
              </w:rPr>
            </w:pPr>
            <w:r w:rsidRPr="00A0561E">
              <w:rPr>
                <w:rFonts w:cs="Arial"/>
                <w:sz w:val="20"/>
                <w:szCs w:val="20"/>
              </w:rPr>
              <w:t>Memorias presentadas, Dirección de vinculación, publicado en la página de la Universidad www.uimqroo.edu.mx</w:t>
            </w:r>
            <w:r>
              <w:rPr>
                <w:rFonts w:cs="Arial"/>
                <w:sz w:val="20"/>
                <w:szCs w:val="20"/>
              </w:rPr>
              <w:t>.</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E23D65E" w14:textId="77777777" w:rsidR="00E23746" w:rsidRPr="00A0561E" w:rsidRDefault="00E23746" w:rsidP="000B2F10">
            <w:pPr>
              <w:rPr>
                <w:rFonts w:cs="Arial"/>
                <w:sz w:val="20"/>
                <w:szCs w:val="20"/>
              </w:rPr>
            </w:pPr>
            <w:r w:rsidRPr="0086254E">
              <w:rPr>
                <w:rFonts w:cs="Arial"/>
                <w:sz w:val="20"/>
                <w:szCs w:val="20"/>
              </w:rPr>
              <w:t>Los estudiantes se interesan en participar en los proyectos de vinculación propuestos por las Instituciones de Educación Superior de la Entidad.</w:t>
            </w:r>
          </w:p>
        </w:tc>
      </w:tr>
      <w:tr w:rsidR="00E23746" w:rsidRPr="00FD08F8" w14:paraId="793F95C9" w14:textId="77777777" w:rsidTr="00B11722">
        <w:trPr>
          <w:trHeight w:val="2107"/>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004B29E9"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Actividad</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E937170" w14:textId="77777777" w:rsidR="00E23746" w:rsidRPr="00A0561E" w:rsidRDefault="00E23746" w:rsidP="000B2F10">
            <w:pPr>
              <w:rPr>
                <w:rFonts w:cs="Arial"/>
                <w:sz w:val="20"/>
                <w:szCs w:val="20"/>
              </w:rPr>
            </w:pPr>
            <w:r w:rsidRPr="00A0561E">
              <w:rPr>
                <w:rFonts w:cs="Arial"/>
                <w:sz w:val="20"/>
                <w:szCs w:val="20"/>
              </w:rPr>
              <w:t>Impulsar la vinculación con instituciones públicas y privadas para la realización del servicio social, prácticas profesionales o su equivalente y modelo dual por parte de los estudiantes de educación superior.</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973AC74" w14:textId="77777777" w:rsidR="00E23746" w:rsidRPr="00A0561E" w:rsidRDefault="00E23746" w:rsidP="000B2F10">
            <w:pPr>
              <w:rPr>
                <w:rFonts w:cs="Arial"/>
                <w:sz w:val="20"/>
                <w:szCs w:val="20"/>
              </w:rPr>
            </w:pPr>
            <w:r w:rsidRPr="00574DAC">
              <w:rPr>
                <w:rFonts w:cs="Arial"/>
                <w:sz w:val="20"/>
                <w:szCs w:val="20"/>
              </w:rPr>
              <w:t xml:space="preserve">C03.A01 - </w:t>
            </w:r>
            <w:r w:rsidRPr="00A0561E">
              <w:rPr>
                <w:rFonts w:cs="Arial"/>
                <w:sz w:val="20"/>
                <w:szCs w:val="20"/>
              </w:rPr>
              <w:t>Seguimiento de reuniones de planeación participativa universitaria por comunidad y con la comunidad</w:t>
            </w:r>
            <w:r>
              <w:rPr>
                <w:rFonts w:cs="Arial"/>
                <w:sz w:val="20"/>
                <w:szCs w:val="20"/>
              </w:rPr>
              <w:t>.</w:t>
            </w:r>
          </w:p>
        </w:tc>
        <w:tc>
          <w:tcPr>
            <w:tcW w:w="2268" w:type="dxa"/>
            <w:tcBorders>
              <w:top w:val="single" w:sz="4" w:space="0" w:color="auto"/>
              <w:left w:val="single" w:sz="4" w:space="0" w:color="auto"/>
              <w:bottom w:val="single" w:sz="4" w:space="0" w:color="auto"/>
              <w:right w:val="single" w:sz="4" w:space="0" w:color="auto"/>
            </w:tcBorders>
            <w:shd w:val="clear" w:color="FFFFFF" w:fill="FFFFFF"/>
          </w:tcPr>
          <w:p w14:paraId="45ABD367" w14:textId="77777777" w:rsidR="00E23746" w:rsidRPr="00A0561E" w:rsidRDefault="00E23746" w:rsidP="000B2F10">
            <w:pPr>
              <w:rPr>
                <w:rFonts w:cs="Arial"/>
                <w:sz w:val="20"/>
                <w:szCs w:val="20"/>
              </w:rPr>
            </w:pPr>
            <w:r w:rsidRPr="00574DAC">
              <w:rPr>
                <w:rFonts w:cs="Arial"/>
                <w:sz w:val="20"/>
                <w:szCs w:val="20"/>
              </w:rPr>
              <w:t xml:space="preserve">C03A01 - </w:t>
            </w:r>
            <w:r w:rsidRPr="00A0561E">
              <w:rPr>
                <w:rFonts w:cs="Arial"/>
                <w:sz w:val="20"/>
                <w:szCs w:val="20"/>
              </w:rPr>
              <w:t>Número de comunidades con planeación</w:t>
            </w:r>
            <w:r>
              <w:rPr>
                <w:rFonts w:cs="Arial"/>
                <w:sz w:val="20"/>
                <w:szCs w:val="20"/>
              </w:rPr>
              <w:t>.</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BD9FA85" w14:textId="77777777" w:rsidR="00E23746" w:rsidRPr="00A0561E" w:rsidRDefault="00E23746" w:rsidP="000B2F10">
            <w:pPr>
              <w:rPr>
                <w:rFonts w:cs="Arial"/>
                <w:sz w:val="20"/>
                <w:szCs w:val="20"/>
              </w:rPr>
            </w:pPr>
            <w:r w:rsidRPr="00A0561E">
              <w:rPr>
                <w:rFonts w:cs="Arial"/>
                <w:sz w:val="20"/>
                <w:szCs w:val="20"/>
              </w:rPr>
              <w:t>Informe ejecutivo del vinculación comunitaria publicado en la página de la Universidad www.uimqroo.edu.mx</w:t>
            </w:r>
            <w:r>
              <w:rPr>
                <w:rFonts w:cs="Arial"/>
                <w:sz w:val="20"/>
                <w:szCs w:val="20"/>
              </w:rPr>
              <w:t>.</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46CB3EF" w14:textId="77777777" w:rsidR="00E23746" w:rsidRPr="00A0561E" w:rsidRDefault="00E23746" w:rsidP="000B2F10">
            <w:pPr>
              <w:rPr>
                <w:rFonts w:cs="Arial"/>
                <w:sz w:val="20"/>
                <w:szCs w:val="20"/>
              </w:rPr>
            </w:pPr>
            <w:r w:rsidRPr="00A0561E">
              <w:rPr>
                <w:rFonts w:cs="Arial"/>
                <w:sz w:val="20"/>
                <w:szCs w:val="20"/>
              </w:rPr>
              <w:t>Los alumnos, profesores e integrante de la comunidad acudan a las reuniones de planeación.</w:t>
            </w:r>
          </w:p>
        </w:tc>
      </w:tr>
    </w:tbl>
    <w:p w14:paraId="1762488B" w14:textId="77777777" w:rsidR="00E23746" w:rsidRDefault="00E23746" w:rsidP="00E23746">
      <w:pPr>
        <w:rPr>
          <w:rFonts w:eastAsia="Calibri" w:cs="Arial"/>
          <w:bCs/>
          <w:color w:val="595959" w:themeColor="text1" w:themeTint="A6"/>
          <w:sz w:val="18"/>
          <w:szCs w:val="20"/>
        </w:rPr>
      </w:pPr>
      <w:r w:rsidRPr="0093279A">
        <w:rPr>
          <w:rFonts w:eastAsia="Calibri" w:cs="Arial"/>
          <w:bCs/>
          <w:color w:val="595959" w:themeColor="text1" w:themeTint="A6"/>
          <w:sz w:val="18"/>
          <w:szCs w:val="20"/>
        </w:rPr>
        <w:t>El anexo aquí presentado es perfectible, y se encuentra susceptible de modificaciones programáticas toda vez que así se le indique por observaciones de auditorías, evaluaciones al desempeño y revisiones de la Secretaría de Finanzas y Planeación antes y durante el ejercicio fiscal del que se trate, así como también, cuando las condiciones del Ente Público responsable de dicha información programática requiera hacer modificaciones a sus necesidades institucionales, atendiendo a lo establecido en los Lineamientos para la Creación, Modificación y Cancelación de Programas Presupuestarios y para la Modificación de Metas del Gobierno del Estado de Quintana Roo.</w:t>
      </w:r>
    </w:p>
    <w:p w14:paraId="3BD1F721" w14:textId="77777777" w:rsidR="00E23746" w:rsidRDefault="00E23746" w:rsidP="00E23746">
      <w:pPr>
        <w:rPr>
          <w:lang w:val="es-MX" w:eastAsia="en-US"/>
        </w:rPr>
      </w:pPr>
      <w:r>
        <w:rPr>
          <w:lang w:val="es-MX" w:eastAsia="en-US"/>
        </w:rPr>
        <w:br w:type="page"/>
      </w:r>
    </w:p>
    <w:tbl>
      <w:tblPr>
        <w:tblW w:w="14046" w:type="dxa"/>
        <w:tblLayout w:type="fixed"/>
        <w:tblCellMar>
          <w:left w:w="70" w:type="dxa"/>
          <w:right w:w="70" w:type="dxa"/>
        </w:tblCellMar>
        <w:tblLook w:val="04A0" w:firstRow="1" w:lastRow="0" w:firstColumn="1" w:lastColumn="0" w:noHBand="0" w:noVBand="1"/>
      </w:tblPr>
      <w:tblGrid>
        <w:gridCol w:w="1270"/>
        <w:gridCol w:w="2693"/>
        <w:gridCol w:w="2834"/>
        <w:gridCol w:w="2267"/>
        <w:gridCol w:w="3122"/>
        <w:gridCol w:w="1860"/>
      </w:tblGrid>
      <w:tr w:rsidR="00E23746" w:rsidRPr="00FD08F8" w14:paraId="6A3D3DAD" w14:textId="77777777" w:rsidTr="000B2F10">
        <w:trPr>
          <w:trHeight w:val="720"/>
        </w:trPr>
        <w:tc>
          <w:tcPr>
            <w:tcW w:w="3963" w:type="dxa"/>
            <w:gridSpan w:val="2"/>
            <w:tcBorders>
              <w:top w:val="single" w:sz="4" w:space="0" w:color="auto"/>
              <w:left w:val="single" w:sz="4" w:space="0" w:color="auto"/>
              <w:bottom w:val="single" w:sz="4" w:space="0" w:color="auto"/>
              <w:right w:val="single" w:sz="4" w:space="0" w:color="000000"/>
            </w:tcBorders>
            <w:shd w:val="clear" w:color="000000" w:fill="BFBFBF"/>
            <w:vAlign w:val="center"/>
            <w:hideMark/>
          </w:tcPr>
          <w:p w14:paraId="010274C6"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lastRenderedPageBreak/>
              <w:t>PROGRAMA PRESUPUESTARIO:</w:t>
            </w:r>
          </w:p>
        </w:tc>
        <w:tc>
          <w:tcPr>
            <w:tcW w:w="10083" w:type="dxa"/>
            <w:gridSpan w:val="4"/>
            <w:tcBorders>
              <w:top w:val="single" w:sz="4" w:space="0" w:color="auto"/>
              <w:left w:val="nil"/>
              <w:bottom w:val="single" w:sz="4" w:space="0" w:color="auto"/>
              <w:right w:val="single" w:sz="4" w:space="0" w:color="auto"/>
            </w:tcBorders>
            <w:shd w:val="clear" w:color="auto" w:fill="auto"/>
            <w:vAlign w:val="center"/>
            <w:hideMark/>
          </w:tcPr>
          <w:p w14:paraId="564683DB" w14:textId="77777777" w:rsidR="00E23746" w:rsidRPr="00FD08F8" w:rsidRDefault="00E23746" w:rsidP="000B2F10">
            <w:pPr>
              <w:spacing w:after="0" w:line="240" w:lineRule="auto"/>
              <w:jc w:val="left"/>
              <w:rPr>
                <w:rFonts w:eastAsia="Times New Roman" w:cs="Arial"/>
                <w:sz w:val="20"/>
                <w:szCs w:val="20"/>
                <w:lang w:val="es-MX" w:eastAsia="es-MX"/>
              </w:rPr>
            </w:pPr>
            <w:r w:rsidRPr="004F5AA4">
              <w:rPr>
                <w:rFonts w:eastAsia="Times New Roman" w:cs="Arial"/>
                <w:sz w:val="20"/>
                <w:szCs w:val="20"/>
                <w:lang w:val="es-MX" w:eastAsia="es-MX"/>
              </w:rPr>
              <w:t>1336 - Universidad Tecnológica de Chetumal</w:t>
            </w:r>
            <w:r>
              <w:rPr>
                <w:rFonts w:eastAsia="Times New Roman" w:cs="Arial"/>
                <w:sz w:val="20"/>
                <w:szCs w:val="20"/>
                <w:lang w:val="es-MX" w:eastAsia="es-MX"/>
              </w:rPr>
              <w:t>.</w:t>
            </w:r>
          </w:p>
        </w:tc>
      </w:tr>
      <w:tr w:rsidR="00E23746" w:rsidRPr="00FD08F8" w14:paraId="5F9EC417" w14:textId="77777777" w:rsidTr="000B2F10">
        <w:trPr>
          <w:trHeight w:val="552"/>
        </w:trPr>
        <w:tc>
          <w:tcPr>
            <w:tcW w:w="3963" w:type="dxa"/>
            <w:gridSpan w:val="2"/>
            <w:tcBorders>
              <w:top w:val="single" w:sz="4" w:space="0" w:color="auto"/>
              <w:left w:val="single" w:sz="4" w:space="0" w:color="auto"/>
              <w:bottom w:val="single" w:sz="4" w:space="0" w:color="auto"/>
              <w:right w:val="single" w:sz="4" w:space="0" w:color="000000"/>
            </w:tcBorders>
            <w:shd w:val="clear" w:color="000000" w:fill="BFBFBF"/>
            <w:vAlign w:val="center"/>
            <w:hideMark/>
          </w:tcPr>
          <w:p w14:paraId="4A740856"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INSTITUCIÓN:</w:t>
            </w:r>
          </w:p>
        </w:tc>
        <w:tc>
          <w:tcPr>
            <w:tcW w:w="10083" w:type="dxa"/>
            <w:gridSpan w:val="4"/>
            <w:tcBorders>
              <w:top w:val="single" w:sz="4" w:space="0" w:color="auto"/>
              <w:left w:val="nil"/>
              <w:bottom w:val="single" w:sz="4" w:space="0" w:color="auto"/>
              <w:right w:val="single" w:sz="4" w:space="0" w:color="auto"/>
            </w:tcBorders>
            <w:shd w:val="clear" w:color="auto" w:fill="auto"/>
            <w:vAlign w:val="center"/>
            <w:hideMark/>
          </w:tcPr>
          <w:p w14:paraId="6070BA0F" w14:textId="77777777" w:rsidR="00E23746" w:rsidRPr="00FD08F8" w:rsidRDefault="00E23746" w:rsidP="000B2F10">
            <w:pPr>
              <w:spacing w:after="0" w:line="240" w:lineRule="auto"/>
              <w:jc w:val="left"/>
              <w:rPr>
                <w:rFonts w:eastAsia="Times New Roman" w:cs="Arial"/>
                <w:sz w:val="20"/>
                <w:szCs w:val="20"/>
                <w:lang w:val="es-MX" w:eastAsia="es-MX"/>
              </w:rPr>
            </w:pPr>
            <w:r w:rsidRPr="00FD08F8">
              <w:rPr>
                <w:rFonts w:eastAsia="Times New Roman" w:cs="Arial"/>
                <w:sz w:val="20"/>
                <w:szCs w:val="20"/>
                <w:lang w:val="es-MX" w:eastAsia="es-MX"/>
              </w:rPr>
              <w:t>1109 Secretaría de Educación de Quintana Roo</w:t>
            </w:r>
            <w:r>
              <w:rPr>
                <w:rFonts w:eastAsia="Times New Roman" w:cs="Arial"/>
                <w:sz w:val="20"/>
                <w:szCs w:val="20"/>
                <w:lang w:val="es-MX" w:eastAsia="es-MX"/>
              </w:rPr>
              <w:t>.</w:t>
            </w:r>
          </w:p>
        </w:tc>
      </w:tr>
      <w:tr w:rsidR="00E23746" w:rsidRPr="00FD08F8" w14:paraId="3514A606" w14:textId="77777777" w:rsidTr="000B2F10">
        <w:trPr>
          <w:trHeight w:val="282"/>
        </w:trPr>
        <w:tc>
          <w:tcPr>
            <w:tcW w:w="1270" w:type="dxa"/>
            <w:tcBorders>
              <w:top w:val="nil"/>
              <w:left w:val="nil"/>
              <w:bottom w:val="nil"/>
              <w:right w:val="nil"/>
            </w:tcBorders>
            <w:shd w:val="clear" w:color="auto" w:fill="auto"/>
            <w:hideMark/>
          </w:tcPr>
          <w:p w14:paraId="68D57CBF" w14:textId="77777777" w:rsidR="00E23746" w:rsidRPr="00FD08F8" w:rsidRDefault="00E23746" w:rsidP="000B2F10">
            <w:pPr>
              <w:spacing w:after="0" w:line="240" w:lineRule="auto"/>
              <w:jc w:val="left"/>
              <w:rPr>
                <w:rFonts w:eastAsia="Times New Roman" w:cs="Arial"/>
                <w:sz w:val="20"/>
                <w:szCs w:val="20"/>
                <w:lang w:val="es-MX" w:eastAsia="es-MX"/>
              </w:rPr>
            </w:pPr>
          </w:p>
        </w:tc>
        <w:tc>
          <w:tcPr>
            <w:tcW w:w="2693" w:type="dxa"/>
            <w:tcBorders>
              <w:top w:val="nil"/>
              <w:left w:val="nil"/>
              <w:bottom w:val="nil"/>
              <w:right w:val="nil"/>
            </w:tcBorders>
            <w:shd w:val="clear" w:color="auto" w:fill="auto"/>
            <w:hideMark/>
          </w:tcPr>
          <w:p w14:paraId="611F95C8" w14:textId="77777777" w:rsidR="00E23746" w:rsidRPr="00FD08F8" w:rsidRDefault="00E23746" w:rsidP="000B2F10">
            <w:pPr>
              <w:spacing w:after="0" w:line="240" w:lineRule="auto"/>
              <w:jc w:val="left"/>
              <w:rPr>
                <w:rFonts w:ascii="Times New Roman" w:eastAsia="Times New Roman" w:hAnsi="Times New Roman" w:cs="Times New Roman"/>
                <w:sz w:val="20"/>
                <w:szCs w:val="20"/>
                <w:lang w:val="es-MX" w:eastAsia="es-MX"/>
              </w:rPr>
            </w:pPr>
          </w:p>
        </w:tc>
        <w:tc>
          <w:tcPr>
            <w:tcW w:w="2834" w:type="dxa"/>
            <w:tcBorders>
              <w:top w:val="nil"/>
              <w:left w:val="nil"/>
              <w:bottom w:val="nil"/>
              <w:right w:val="nil"/>
            </w:tcBorders>
            <w:shd w:val="clear" w:color="auto" w:fill="auto"/>
            <w:hideMark/>
          </w:tcPr>
          <w:p w14:paraId="13C2172A" w14:textId="77777777" w:rsidR="00E23746" w:rsidRPr="00FD08F8" w:rsidRDefault="00E23746" w:rsidP="000B2F10">
            <w:pPr>
              <w:spacing w:after="0" w:line="240" w:lineRule="auto"/>
              <w:jc w:val="left"/>
              <w:rPr>
                <w:rFonts w:ascii="Times New Roman" w:eastAsia="Times New Roman" w:hAnsi="Times New Roman" w:cs="Times New Roman"/>
                <w:sz w:val="20"/>
                <w:szCs w:val="20"/>
                <w:lang w:val="es-MX" w:eastAsia="es-MX"/>
              </w:rPr>
            </w:pPr>
          </w:p>
        </w:tc>
        <w:tc>
          <w:tcPr>
            <w:tcW w:w="2267" w:type="dxa"/>
            <w:tcBorders>
              <w:top w:val="nil"/>
              <w:left w:val="nil"/>
              <w:bottom w:val="nil"/>
              <w:right w:val="nil"/>
            </w:tcBorders>
            <w:shd w:val="clear" w:color="auto" w:fill="auto"/>
            <w:hideMark/>
          </w:tcPr>
          <w:p w14:paraId="17FF6341" w14:textId="77777777" w:rsidR="00E23746" w:rsidRPr="00FD08F8" w:rsidRDefault="00E23746" w:rsidP="000B2F10">
            <w:pPr>
              <w:spacing w:after="0" w:line="240" w:lineRule="auto"/>
              <w:jc w:val="left"/>
              <w:rPr>
                <w:rFonts w:ascii="Times New Roman" w:eastAsia="Times New Roman" w:hAnsi="Times New Roman" w:cs="Times New Roman"/>
                <w:sz w:val="20"/>
                <w:szCs w:val="20"/>
                <w:lang w:val="es-MX" w:eastAsia="es-MX"/>
              </w:rPr>
            </w:pPr>
          </w:p>
        </w:tc>
        <w:tc>
          <w:tcPr>
            <w:tcW w:w="3122" w:type="dxa"/>
            <w:tcBorders>
              <w:top w:val="nil"/>
              <w:left w:val="nil"/>
              <w:bottom w:val="nil"/>
              <w:right w:val="nil"/>
            </w:tcBorders>
            <w:shd w:val="clear" w:color="auto" w:fill="auto"/>
            <w:hideMark/>
          </w:tcPr>
          <w:p w14:paraId="3B8F628C" w14:textId="77777777" w:rsidR="00E23746" w:rsidRPr="00FD08F8" w:rsidRDefault="00E23746" w:rsidP="000B2F10">
            <w:pPr>
              <w:spacing w:after="0" w:line="240" w:lineRule="auto"/>
              <w:jc w:val="left"/>
              <w:rPr>
                <w:rFonts w:ascii="Times New Roman" w:eastAsia="Times New Roman" w:hAnsi="Times New Roman" w:cs="Times New Roman"/>
                <w:sz w:val="20"/>
                <w:szCs w:val="20"/>
                <w:lang w:val="es-MX" w:eastAsia="es-MX"/>
              </w:rPr>
            </w:pPr>
          </w:p>
        </w:tc>
        <w:tc>
          <w:tcPr>
            <w:tcW w:w="1860" w:type="dxa"/>
            <w:tcBorders>
              <w:top w:val="nil"/>
              <w:left w:val="nil"/>
              <w:bottom w:val="nil"/>
              <w:right w:val="nil"/>
            </w:tcBorders>
            <w:shd w:val="clear" w:color="auto" w:fill="auto"/>
            <w:hideMark/>
          </w:tcPr>
          <w:p w14:paraId="06C4559A" w14:textId="77777777" w:rsidR="00E23746" w:rsidRPr="00FD08F8" w:rsidRDefault="00E23746" w:rsidP="000B2F10">
            <w:pPr>
              <w:spacing w:after="0" w:line="240" w:lineRule="auto"/>
              <w:jc w:val="left"/>
              <w:rPr>
                <w:rFonts w:ascii="Times New Roman" w:eastAsia="Times New Roman" w:hAnsi="Times New Roman" w:cs="Times New Roman"/>
                <w:sz w:val="20"/>
                <w:szCs w:val="20"/>
                <w:lang w:val="es-MX" w:eastAsia="es-MX"/>
              </w:rPr>
            </w:pPr>
          </w:p>
        </w:tc>
      </w:tr>
      <w:tr w:rsidR="00E23746" w:rsidRPr="00FD08F8" w14:paraId="3F2B492B" w14:textId="77777777" w:rsidTr="000B2F10">
        <w:trPr>
          <w:trHeight w:val="375"/>
        </w:trPr>
        <w:tc>
          <w:tcPr>
            <w:tcW w:w="14046" w:type="dxa"/>
            <w:gridSpan w:val="6"/>
            <w:tcBorders>
              <w:top w:val="single" w:sz="4" w:space="0" w:color="auto"/>
              <w:left w:val="single" w:sz="4" w:space="0" w:color="auto"/>
              <w:bottom w:val="single" w:sz="4" w:space="0" w:color="auto"/>
              <w:right w:val="single" w:sz="4" w:space="0" w:color="000000"/>
            </w:tcBorders>
            <w:shd w:val="clear" w:color="000000" w:fill="BFBFBF"/>
            <w:vAlign w:val="center"/>
            <w:hideMark/>
          </w:tcPr>
          <w:p w14:paraId="74320D0B"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MATRIZ DE INDICADORES PARA RESULTADOS (MIR)</w:t>
            </w:r>
          </w:p>
        </w:tc>
      </w:tr>
      <w:tr w:rsidR="00E23746" w:rsidRPr="00FD08F8" w14:paraId="5300B622" w14:textId="77777777" w:rsidTr="003D04F9">
        <w:trPr>
          <w:trHeight w:val="577"/>
        </w:trPr>
        <w:tc>
          <w:tcPr>
            <w:tcW w:w="1270" w:type="dxa"/>
            <w:tcBorders>
              <w:top w:val="nil"/>
              <w:left w:val="single" w:sz="4" w:space="0" w:color="auto"/>
              <w:bottom w:val="single" w:sz="4" w:space="0" w:color="auto"/>
              <w:right w:val="single" w:sz="4" w:space="0" w:color="auto"/>
            </w:tcBorders>
            <w:shd w:val="clear" w:color="000000" w:fill="BFBFBF"/>
            <w:vAlign w:val="center"/>
            <w:hideMark/>
          </w:tcPr>
          <w:p w14:paraId="7AA2DF4B"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NIVEL</w:t>
            </w:r>
          </w:p>
        </w:tc>
        <w:tc>
          <w:tcPr>
            <w:tcW w:w="2693" w:type="dxa"/>
            <w:tcBorders>
              <w:top w:val="nil"/>
              <w:left w:val="nil"/>
              <w:bottom w:val="single" w:sz="4" w:space="0" w:color="auto"/>
              <w:right w:val="single" w:sz="4" w:space="0" w:color="auto"/>
            </w:tcBorders>
            <w:shd w:val="clear" w:color="000000" w:fill="BFBFBF"/>
            <w:vAlign w:val="center"/>
            <w:hideMark/>
          </w:tcPr>
          <w:p w14:paraId="555D36EE"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ALINEACIÓN PED/PD</w:t>
            </w:r>
          </w:p>
        </w:tc>
        <w:tc>
          <w:tcPr>
            <w:tcW w:w="2834" w:type="dxa"/>
            <w:tcBorders>
              <w:top w:val="nil"/>
              <w:left w:val="nil"/>
              <w:bottom w:val="single" w:sz="4" w:space="0" w:color="auto"/>
              <w:right w:val="single" w:sz="4" w:space="0" w:color="auto"/>
            </w:tcBorders>
            <w:shd w:val="clear" w:color="000000" w:fill="BFBFBF"/>
            <w:vAlign w:val="center"/>
            <w:hideMark/>
          </w:tcPr>
          <w:p w14:paraId="74113DDF"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OBJETIVO</w:t>
            </w:r>
          </w:p>
        </w:tc>
        <w:tc>
          <w:tcPr>
            <w:tcW w:w="2267" w:type="dxa"/>
            <w:tcBorders>
              <w:top w:val="nil"/>
              <w:left w:val="nil"/>
              <w:bottom w:val="single" w:sz="4" w:space="0" w:color="auto"/>
              <w:right w:val="single" w:sz="4" w:space="0" w:color="auto"/>
            </w:tcBorders>
            <w:shd w:val="clear" w:color="000000" w:fill="BFBFBF"/>
            <w:vAlign w:val="center"/>
            <w:hideMark/>
          </w:tcPr>
          <w:p w14:paraId="547F860D"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INDICADOR</w:t>
            </w:r>
          </w:p>
        </w:tc>
        <w:tc>
          <w:tcPr>
            <w:tcW w:w="3122" w:type="dxa"/>
            <w:tcBorders>
              <w:top w:val="nil"/>
              <w:left w:val="nil"/>
              <w:bottom w:val="single" w:sz="4" w:space="0" w:color="auto"/>
              <w:right w:val="single" w:sz="4" w:space="0" w:color="auto"/>
            </w:tcBorders>
            <w:shd w:val="clear" w:color="000000" w:fill="BFBFBF"/>
            <w:vAlign w:val="center"/>
            <w:hideMark/>
          </w:tcPr>
          <w:p w14:paraId="3B468C3F"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MEDIOS DE VERIFICACIÓN</w:t>
            </w:r>
          </w:p>
        </w:tc>
        <w:tc>
          <w:tcPr>
            <w:tcW w:w="1860" w:type="dxa"/>
            <w:tcBorders>
              <w:top w:val="nil"/>
              <w:left w:val="nil"/>
              <w:bottom w:val="single" w:sz="4" w:space="0" w:color="auto"/>
              <w:right w:val="single" w:sz="4" w:space="0" w:color="auto"/>
            </w:tcBorders>
            <w:shd w:val="clear" w:color="000000" w:fill="BFBFBF"/>
            <w:vAlign w:val="center"/>
            <w:hideMark/>
          </w:tcPr>
          <w:p w14:paraId="1C7F1977"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SUPUESTO</w:t>
            </w:r>
          </w:p>
        </w:tc>
      </w:tr>
      <w:tr w:rsidR="00E23746" w:rsidRPr="00FD08F8" w14:paraId="471E2D30" w14:textId="77777777" w:rsidTr="003D04F9">
        <w:trPr>
          <w:trHeight w:val="2136"/>
        </w:trPr>
        <w:tc>
          <w:tcPr>
            <w:tcW w:w="1270" w:type="dxa"/>
            <w:tcBorders>
              <w:top w:val="single" w:sz="4" w:space="0" w:color="auto"/>
              <w:left w:val="single" w:sz="4" w:space="0" w:color="auto"/>
              <w:bottom w:val="single" w:sz="4" w:space="0" w:color="auto"/>
              <w:right w:val="single" w:sz="4" w:space="0" w:color="auto"/>
            </w:tcBorders>
            <w:shd w:val="clear" w:color="auto" w:fill="auto"/>
            <w:hideMark/>
          </w:tcPr>
          <w:p w14:paraId="5D581044"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Fin</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674D959" w14:textId="77777777" w:rsidR="00E23746" w:rsidRPr="00D26955" w:rsidRDefault="00E23746" w:rsidP="000B2F10">
            <w:pPr>
              <w:rPr>
                <w:rFonts w:cs="Arial"/>
                <w:sz w:val="20"/>
                <w:szCs w:val="20"/>
              </w:rPr>
            </w:pPr>
            <w:r w:rsidRPr="00D26955">
              <w:rPr>
                <w:rFonts w:cs="Arial"/>
                <w:sz w:val="20"/>
                <w:szCs w:val="20"/>
              </w:rPr>
              <w:t>Garantizar el acceso y permanencia a una educación inclusiva y de calidad en todos los niveles educativos que promueva en los educandos aprendizajes para la vida.</w:t>
            </w:r>
          </w:p>
        </w:tc>
        <w:tc>
          <w:tcPr>
            <w:tcW w:w="2834" w:type="dxa"/>
            <w:tcBorders>
              <w:top w:val="single" w:sz="4" w:space="0" w:color="auto"/>
              <w:left w:val="single" w:sz="4" w:space="0" w:color="auto"/>
              <w:bottom w:val="single" w:sz="4" w:space="0" w:color="auto"/>
              <w:right w:val="single" w:sz="4" w:space="0" w:color="auto"/>
            </w:tcBorders>
            <w:shd w:val="clear" w:color="auto" w:fill="auto"/>
          </w:tcPr>
          <w:p w14:paraId="1BC2DA3D" w14:textId="77777777" w:rsidR="00E23746" w:rsidRPr="00D26955" w:rsidRDefault="00E23746" w:rsidP="000B2F10">
            <w:pPr>
              <w:rPr>
                <w:rFonts w:cs="Arial"/>
                <w:sz w:val="20"/>
                <w:szCs w:val="20"/>
              </w:rPr>
            </w:pPr>
            <w:r w:rsidRPr="00D26955">
              <w:rPr>
                <w:rFonts w:cs="Arial"/>
                <w:sz w:val="20"/>
                <w:szCs w:val="20"/>
              </w:rPr>
              <w:t>F - Contribuir a garantizar el acceso y permanencia a una educación inclusiva y de calidad en todos los niveles educativos que promueva en los educandos aprendizajes para la vida mediante estrategias de atención a la demanda y permanencia en todos los niveles educativos.</w:t>
            </w:r>
          </w:p>
        </w:tc>
        <w:tc>
          <w:tcPr>
            <w:tcW w:w="2267" w:type="dxa"/>
            <w:tcBorders>
              <w:top w:val="single" w:sz="4" w:space="0" w:color="auto"/>
              <w:left w:val="single" w:sz="4" w:space="0" w:color="auto"/>
              <w:bottom w:val="single" w:sz="4" w:space="0" w:color="auto"/>
              <w:right w:val="single" w:sz="4" w:space="0" w:color="auto"/>
            </w:tcBorders>
            <w:shd w:val="clear" w:color="FFFFFF" w:fill="FFFFFF"/>
          </w:tcPr>
          <w:p w14:paraId="1D3B24C3" w14:textId="77777777" w:rsidR="00E23746" w:rsidRPr="00D26955" w:rsidRDefault="00E23746" w:rsidP="000B2F10">
            <w:pPr>
              <w:rPr>
                <w:rFonts w:cs="Arial"/>
                <w:sz w:val="20"/>
                <w:szCs w:val="20"/>
              </w:rPr>
            </w:pPr>
            <w:r w:rsidRPr="00D26955">
              <w:rPr>
                <w:rFonts w:cs="Arial"/>
                <w:sz w:val="20"/>
                <w:szCs w:val="20"/>
              </w:rPr>
              <w:t>Tasa de cobertura estatal de educación superior.</w:t>
            </w:r>
          </w:p>
        </w:tc>
        <w:tc>
          <w:tcPr>
            <w:tcW w:w="3122" w:type="dxa"/>
            <w:tcBorders>
              <w:top w:val="single" w:sz="4" w:space="0" w:color="auto"/>
              <w:left w:val="single" w:sz="4" w:space="0" w:color="auto"/>
              <w:bottom w:val="single" w:sz="4" w:space="0" w:color="auto"/>
              <w:right w:val="single" w:sz="4" w:space="0" w:color="auto"/>
            </w:tcBorders>
            <w:shd w:val="clear" w:color="auto" w:fill="auto"/>
          </w:tcPr>
          <w:p w14:paraId="00FE1513" w14:textId="77777777" w:rsidR="00E23746" w:rsidRPr="00D26955" w:rsidRDefault="00E23746" w:rsidP="000B2F10">
            <w:pPr>
              <w:rPr>
                <w:rFonts w:cs="Arial"/>
                <w:sz w:val="20"/>
                <w:szCs w:val="20"/>
              </w:rPr>
            </w:pPr>
            <w:r w:rsidRPr="00572B26">
              <w:rPr>
                <w:rFonts w:cs="Arial"/>
                <w:sz w:val="20"/>
                <w:szCs w:val="20"/>
              </w:rPr>
              <w:t>Estadísticas continúas del formato 911, matrícula de inicio de ciclo escolar, SEQ. Proyecciones de población por edad desplegada, entidad federativa (Quintana Roo) 1970-2050, CONAPO. Liga:qroo.gob.mx/seq/medios-de-verificacion-de-la-planeacion-anual</w:t>
            </w:r>
            <w:r>
              <w:rPr>
                <w:rFonts w:cs="Arial"/>
                <w:sz w:val="20"/>
                <w:szCs w:val="20"/>
              </w:rPr>
              <w:t>.</w:t>
            </w:r>
          </w:p>
        </w:tc>
        <w:tc>
          <w:tcPr>
            <w:tcW w:w="1860" w:type="dxa"/>
            <w:tcBorders>
              <w:top w:val="single" w:sz="4" w:space="0" w:color="auto"/>
              <w:left w:val="single" w:sz="4" w:space="0" w:color="auto"/>
              <w:bottom w:val="single" w:sz="4" w:space="0" w:color="auto"/>
              <w:right w:val="single" w:sz="4" w:space="0" w:color="auto"/>
            </w:tcBorders>
            <w:shd w:val="clear" w:color="auto" w:fill="auto"/>
          </w:tcPr>
          <w:p w14:paraId="2E7B3147" w14:textId="77777777" w:rsidR="00E23746" w:rsidRPr="00D26955" w:rsidRDefault="00E23746" w:rsidP="000B2F10">
            <w:pPr>
              <w:ind w:right="-76"/>
              <w:rPr>
                <w:rFonts w:cs="Arial"/>
                <w:sz w:val="20"/>
                <w:szCs w:val="20"/>
              </w:rPr>
            </w:pPr>
            <w:r w:rsidRPr="00D26955">
              <w:rPr>
                <w:rFonts w:cs="Arial"/>
                <w:sz w:val="20"/>
                <w:szCs w:val="20"/>
              </w:rPr>
              <w:t>La población del Estado obtiene una educación integral de calidad que les permite progresar individual y colectivamente.</w:t>
            </w:r>
          </w:p>
        </w:tc>
      </w:tr>
    </w:tbl>
    <w:p w14:paraId="260F9A3E" w14:textId="77777777" w:rsidR="00D36037" w:rsidRDefault="00D36037">
      <w:pPr>
        <w:spacing w:after="0" w:line="240" w:lineRule="auto"/>
        <w:jc w:val="left"/>
      </w:pPr>
      <w:r>
        <w:br w:type="page"/>
      </w:r>
    </w:p>
    <w:tbl>
      <w:tblPr>
        <w:tblW w:w="14046" w:type="dxa"/>
        <w:tblLayout w:type="fixed"/>
        <w:tblCellMar>
          <w:left w:w="70" w:type="dxa"/>
          <w:right w:w="70" w:type="dxa"/>
        </w:tblCellMar>
        <w:tblLook w:val="04A0" w:firstRow="1" w:lastRow="0" w:firstColumn="1" w:lastColumn="0" w:noHBand="0" w:noVBand="1"/>
      </w:tblPr>
      <w:tblGrid>
        <w:gridCol w:w="1413"/>
        <w:gridCol w:w="2550"/>
        <w:gridCol w:w="2834"/>
        <w:gridCol w:w="2267"/>
        <w:gridCol w:w="3122"/>
        <w:gridCol w:w="1860"/>
      </w:tblGrid>
      <w:tr w:rsidR="00E23746" w:rsidRPr="00FD08F8" w14:paraId="5E963378" w14:textId="77777777" w:rsidTr="00B11722">
        <w:trPr>
          <w:trHeight w:val="577"/>
        </w:trPr>
        <w:tc>
          <w:tcPr>
            <w:tcW w:w="1413"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1CC9FF93"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lastRenderedPageBreak/>
              <w:t>NIVEL</w:t>
            </w:r>
          </w:p>
        </w:tc>
        <w:tc>
          <w:tcPr>
            <w:tcW w:w="2550" w:type="dxa"/>
            <w:tcBorders>
              <w:top w:val="single" w:sz="4" w:space="0" w:color="auto"/>
              <w:left w:val="nil"/>
              <w:bottom w:val="single" w:sz="4" w:space="0" w:color="auto"/>
              <w:right w:val="single" w:sz="4" w:space="0" w:color="auto"/>
            </w:tcBorders>
            <w:shd w:val="clear" w:color="000000" w:fill="BFBFBF"/>
            <w:vAlign w:val="center"/>
            <w:hideMark/>
          </w:tcPr>
          <w:p w14:paraId="0C5E7A94"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ALINEACIÓN PED/PD</w:t>
            </w:r>
          </w:p>
        </w:tc>
        <w:tc>
          <w:tcPr>
            <w:tcW w:w="2834" w:type="dxa"/>
            <w:tcBorders>
              <w:top w:val="single" w:sz="4" w:space="0" w:color="auto"/>
              <w:left w:val="nil"/>
              <w:bottom w:val="single" w:sz="4" w:space="0" w:color="auto"/>
              <w:right w:val="single" w:sz="4" w:space="0" w:color="auto"/>
            </w:tcBorders>
            <w:shd w:val="clear" w:color="000000" w:fill="BFBFBF"/>
            <w:vAlign w:val="center"/>
            <w:hideMark/>
          </w:tcPr>
          <w:p w14:paraId="1F9140E1"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OBJETIVO</w:t>
            </w:r>
          </w:p>
        </w:tc>
        <w:tc>
          <w:tcPr>
            <w:tcW w:w="2267" w:type="dxa"/>
            <w:tcBorders>
              <w:top w:val="single" w:sz="4" w:space="0" w:color="auto"/>
              <w:left w:val="nil"/>
              <w:bottom w:val="single" w:sz="4" w:space="0" w:color="auto"/>
              <w:right w:val="single" w:sz="4" w:space="0" w:color="auto"/>
            </w:tcBorders>
            <w:shd w:val="clear" w:color="000000" w:fill="BFBFBF"/>
            <w:vAlign w:val="center"/>
            <w:hideMark/>
          </w:tcPr>
          <w:p w14:paraId="2272CBA9"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INDICADOR</w:t>
            </w:r>
          </w:p>
        </w:tc>
        <w:tc>
          <w:tcPr>
            <w:tcW w:w="3122" w:type="dxa"/>
            <w:tcBorders>
              <w:top w:val="single" w:sz="4" w:space="0" w:color="auto"/>
              <w:left w:val="nil"/>
              <w:bottom w:val="single" w:sz="4" w:space="0" w:color="auto"/>
              <w:right w:val="single" w:sz="4" w:space="0" w:color="auto"/>
            </w:tcBorders>
            <w:shd w:val="clear" w:color="000000" w:fill="BFBFBF"/>
            <w:vAlign w:val="center"/>
            <w:hideMark/>
          </w:tcPr>
          <w:p w14:paraId="28FBD6A8"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MEDIOS DE VERIFICACIÓN</w:t>
            </w:r>
          </w:p>
        </w:tc>
        <w:tc>
          <w:tcPr>
            <w:tcW w:w="1860" w:type="dxa"/>
            <w:tcBorders>
              <w:top w:val="single" w:sz="4" w:space="0" w:color="auto"/>
              <w:left w:val="nil"/>
              <w:bottom w:val="single" w:sz="4" w:space="0" w:color="auto"/>
              <w:right w:val="single" w:sz="4" w:space="0" w:color="auto"/>
            </w:tcBorders>
            <w:shd w:val="clear" w:color="000000" w:fill="BFBFBF"/>
            <w:vAlign w:val="center"/>
            <w:hideMark/>
          </w:tcPr>
          <w:p w14:paraId="6066B0B7"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SUPUESTO</w:t>
            </w:r>
          </w:p>
        </w:tc>
      </w:tr>
      <w:tr w:rsidR="00BA4BA3" w:rsidRPr="00FD08F8" w14:paraId="17AEF0C5" w14:textId="77777777" w:rsidTr="00B11722">
        <w:trPr>
          <w:trHeight w:val="1932"/>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D30BE2A" w14:textId="4B358BF5" w:rsidR="00BA4BA3" w:rsidRPr="00FD08F8" w:rsidRDefault="00BA4BA3" w:rsidP="00BA4BA3">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Propósito</w:t>
            </w:r>
          </w:p>
        </w:tc>
        <w:tc>
          <w:tcPr>
            <w:tcW w:w="2550" w:type="dxa"/>
            <w:tcBorders>
              <w:top w:val="single" w:sz="4" w:space="0" w:color="auto"/>
              <w:left w:val="single" w:sz="4" w:space="0" w:color="auto"/>
              <w:bottom w:val="single" w:sz="4" w:space="0" w:color="auto"/>
              <w:right w:val="single" w:sz="4" w:space="0" w:color="auto"/>
            </w:tcBorders>
            <w:shd w:val="clear" w:color="auto" w:fill="auto"/>
          </w:tcPr>
          <w:p w14:paraId="71FC1537" w14:textId="60470A85" w:rsidR="00BA4BA3" w:rsidRPr="00D26955" w:rsidRDefault="00BA4BA3" w:rsidP="00BA4BA3">
            <w:pPr>
              <w:rPr>
                <w:rFonts w:cs="Arial"/>
                <w:sz w:val="20"/>
                <w:szCs w:val="20"/>
              </w:rPr>
            </w:pPr>
            <w:r w:rsidRPr="00D26955">
              <w:rPr>
                <w:rFonts w:cs="Arial"/>
                <w:sz w:val="20"/>
                <w:szCs w:val="20"/>
              </w:rPr>
              <w:t>Asegurar la calidad de la formación profesional a través de programas y proyectos que favorezcan la continuidad y conclusión de los estudiantes de educación superior, acorde a las necesidades que requiere el desarrollo social y económico del estado.</w:t>
            </w:r>
          </w:p>
        </w:tc>
        <w:tc>
          <w:tcPr>
            <w:tcW w:w="2834" w:type="dxa"/>
            <w:tcBorders>
              <w:top w:val="single" w:sz="4" w:space="0" w:color="auto"/>
              <w:left w:val="single" w:sz="4" w:space="0" w:color="auto"/>
              <w:bottom w:val="single" w:sz="4" w:space="0" w:color="auto"/>
              <w:right w:val="single" w:sz="4" w:space="0" w:color="auto"/>
            </w:tcBorders>
            <w:shd w:val="clear" w:color="auto" w:fill="auto"/>
          </w:tcPr>
          <w:p w14:paraId="6EC6D584" w14:textId="206B8C53" w:rsidR="00BA4BA3" w:rsidRPr="00574DAC" w:rsidRDefault="00BA4BA3" w:rsidP="00BA4BA3">
            <w:pPr>
              <w:rPr>
                <w:rFonts w:cs="Arial"/>
                <w:sz w:val="20"/>
                <w:szCs w:val="20"/>
              </w:rPr>
            </w:pPr>
            <w:r w:rsidRPr="00D26955">
              <w:rPr>
                <w:rFonts w:cs="Arial"/>
                <w:sz w:val="20"/>
                <w:szCs w:val="20"/>
              </w:rPr>
              <w:t>P - Los alumnos de educación superior aseguran la continuidad y conclusión de sus estudios a través de programas y proyectos que favorezcan la calidad de la formación profesional.</w:t>
            </w:r>
          </w:p>
        </w:tc>
        <w:tc>
          <w:tcPr>
            <w:tcW w:w="2267" w:type="dxa"/>
            <w:tcBorders>
              <w:top w:val="single" w:sz="4" w:space="0" w:color="auto"/>
              <w:left w:val="single" w:sz="4" w:space="0" w:color="auto"/>
              <w:bottom w:val="single" w:sz="4" w:space="0" w:color="auto"/>
              <w:right w:val="single" w:sz="4" w:space="0" w:color="auto"/>
            </w:tcBorders>
            <w:shd w:val="clear" w:color="FFFFFF" w:fill="FFFFFF"/>
          </w:tcPr>
          <w:p w14:paraId="5CFA1094" w14:textId="58F3173B" w:rsidR="00BA4BA3" w:rsidRPr="00574DAC" w:rsidRDefault="00BA4BA3" w:rsidP="00BA4BA3">
            <w:pPr>
              <w:rPr>
                <w:rFonts w:cs="Arial"/>
                <w:sz w:val="20"/>
                <w:szCs w:val="20"/>
              </w:rPr>
            </w:pPr>
            <w:r w:rsidRPr="00D26955">
              <w:rPr>
                <w:rFonts w:cs="Arial"/>
                <w:sz w:val="20"/>
                <w:szCs w:val="20"/>
              </w:rPr>
              <w:t>Tasa de eficiencia terminal de educación superior.</w:t>
            </w:r>
          </w:p>
        </w:tc>
        <w:tc>
          <w:tcPr>
            <w:tcW w:w="3122" w:type="dxa"/>
            <w:tcBorders>
              <w:top w:val="single" w:sz="4" w:space="0" w:color="auto"/>
              <w:left w:val="single" w:sz="4" w:space="0" w:color="auto"/>
              <w:bottom w:val="single" w:sz="4" w:space="0" w:color="auto"/>
              <w:right w:val="single" w:sz="4" w:space="0" w:color="auto"/>
            </w:tcBorders>
            <w:shd w:val="clear" w:color="auto" w:fill="auto"/>
          </w:tcPr>
          <w:p w14:paraId="005ADFB3" w14:textId="00CF0C6D" w:rsidR="00BA4BA3" w:rsidRPr="00D26955" w:rsidRDefault="00BA4BA3" w:rsidP="00BA4BA3">
            <w:pPr>
              <w:rPr>
                <w:rFonts w:cs="Arial"/>
                <w:sz w:val="20"/>
                <w:szCs w:val="20"/>
              </w:rPr>
            </w:pPr>
            <w:r w:rsidRPr="00D26955">
              <w:rPr>
                <w:rFonts w:cs="Arial"/>
                <w:sz w:val="20"/>
                <w:szCs w:val="20"/>
              </w:rPr>
              <w:t>Estadísticas continúas del formato 911 inicio de ciclo escolar, SEQ.Liga:https://qroo.gob.mx/seq/medios-de-verificacion-de-la-planeacion-anual.</w:t>
            </w:r>
          </w:p>
        </w:tc>
        <w:tc>
          <w:tcPr>
            <w:tcW w:w="1860" w:type="dxa"/>
            <w:tcBorders>
              <w:top w:val="single" w:sz="4" w:space="0" w:color="auto"/>
              <w:left w:val="single" w:sz="4" w:space="0" w:color="auto"/>
              <w:bottom w:val="single" w:sz="4" w:space="0" w:color="auto"/>
              <w:right w:val="single" w:sz="4" w:space="0" w:color="auto"/>
            </w:tcBorders>
            <w:shd w:val="clear" w:color="auto" w:fill="auto"/>
          </w:tcPr>
          <w:p w14:paraId="39449904" w14:textId="221C6AD8" w:rsidR="00BA4BA3" w:rsidRPr="00D26955" w:rsidRDefault="00BA4BA3" w:rsidP="00BA4BA3">
            <w:pPr>
              <w:rPr>
                <w:rFonts w:cs="Arial"/>
                <w:sz w:val="20"/>
                <w:szCs w:val="20"/>
              </w:rPr>
            </w:pPr>
            <w:r w:rsidRPr="00D26955">
              <w:rPr>
                <w:rFonts w:cs="Arial"/>
                <w:sz w:val="20"/>
                <w:szCs w:val="20"/>
              </w:rPr>
              <w:t>Los alumnos de educación superior concluyen sus estudios.</w:t>
            </w:r>
          </w:p>
        </w:tc>
      </w:tr>
      <w:tr w:rsidR="00E23746" w:rsidRPr="00FD08F8" w14:paraId="5B1001AD" w14:textId="77777777" w:rsidTr="00B11722">
        <w:trPr>
          <w:trHeight w:val="1932"/>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14:paraId="43417E60"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Componente</w:t>
            </w:r>
          </w:p>
        </w:tc>
        <w:tc>
          <w:tcPr>
            <w:tcW w:w="2550" w:type="dxa"/>
            <w:tcBorders>
              <w:top w:val="single" w:sz="4" w:space="0" w:color="auto"/>
              <w:left w:val="single" w:sz="4" w:space="0" w:color="auto"/>
              <w:bottom w:val="single" w:sz="4" w:space="0" w:color="auto"/>
              <w:right w:val="single" w:sz="4" w:space="0" w:color="auto"/>
            </w:tcBorders>
            <w:shd w:val="clear" w:color="auto" w:fill="auto"/>
          </w:tcPr>
          <w:p w14:paraId="429A0569" w14:textId="77777777" w:rsidR="00E23746" w:rsidRPr="00D26955" w:rsidRDefault="00E23746" w:rsidP="000B2F10">
            <w:pPr>
              <w:rPr>
                <w:rFonts w:cs="Arial"/>
                <w:sz w:val="20"/>
                <w:szCs w:val="20"/>
              </w:rPr>
            </w:pPr>
            <w:r w:rsidRPr="00D26955">
              <w:rPr>
                <w:rFonts w:cs="Arial"/>
                <w:sz w:val="20"/>
                <w:szCs w:val="20"/>
              </w:rPr>
              <w:t>Fortalecer la oferta educativa de las instituciones de educación superior para asegurar la pertinencia con base en las necesidades de la entidad.</w:t>
            </w:r>
          </w:p>
        </w:tc>
        <w:tc>
          <w:tcPr>
            <w:tcW w:w="2834" w:type="dxa"/>
            <w:tcBorders>
              <w:top w:val="single" w:sz="4" w:space="0" w:color="auto"/>
              <w:left w:val="single" w:sz="4" w:space="0" w:color="auto"/>
              <w:bottom w:val="single" w:sz="4" w:space="0" w:color="auto"/>
              <w:right w:val="single" w:sz="4" w:space="0" w:color="auto"/>
            </w:tcBorders>
            <w:shd w:val="clear" w:color="auto" w:fill="auto"/>
          </w:tcPr>
          <w:p w14:paraId="29CE7380" w14:textId="77777777" w:rsidR="00E23746" w:rsidRPr="00D26955" w:rsidRDefault="00E23746" w:rsidP="000B2F10">
            <w:pPr>
              <w:rPr>
                <w:rFonts w:cs="Arial"/>
                <w:sz w:val="20"/>
                <w:szCs w:val="20"/>
              </w:rPr>
            </w:pPr>
            <w:r w:rsidRPr="00574DAC">
              <w:rPr>
                <w:rFonts w:cs="Arial"/>
                <w:sz w:val="20"/>
                <w:szCs w:val="20"/>
              </w:rPr>
              <w:t>C01</w:t>
            </w:r>
            <w:r>
              <w:rPr>
                <w:rFonts w:cs="Arial"/>
                <w:sz w:val="20"/>
                <w:szCs w:val="20"/>
              </w:rPr>
              <w:t xml:space="preserve"> </w:t>
            </w:r>
            <w:r w:rsidRPr="00574DAC">
              <w:rPr>
                <w:rFonts w:cs="Arial"/>
                <w:sz w:val="20"/>
                <w:szCs w:val="20"/>
              </w:rPr>
              <w:t xml:space="preserve">- </w:t>
            </w:r>
            <w:r w:rsidRPr="00D26955">
              <w:rPr>
                <w:rFonts w:cs="Arial"/>
                <w:sz w:val="20"/>
                <w:szCs w:val="20"/>
              </w:rPr>
              <w:t>Educación superior con calidad y pertinencia impartida.</w:t>
            </w:r>
          </w:p>
        </w:tc>
        <w:tc>
          <w:tcPr>
            <w:tcW w:w="2267" w:type="dxa"/>
            <w:tcBorders>
              <w:top w:val="single" w:sz="4" w:space="0" w:color="auto"/>
              <w:left w:val="single" w:sz="4" w:space="0" w:color="auto"/>
              <w:bottom w:val="single" w:sz="4" w:space="0" w:color="auto"/>
              <w:right w:val="single" w:sz="4" w:space="0" w:color="auto"/>
            </w:tcBorders>
            <w:shd w:val="clear" w:color="FFFFFF" w:fill="FFFFFF"/>
          </w:tcPr>
          <w:p w14:paraId="7031AD9E" w14:textId="77777777" w:rsidR="00E23746" w:rsidRPr="00D26955" w:rsidRDefault="00E23746" w:rsidP="000B2F10">
            <w:pPr>
              <w:rPr>
                <w:rFonts w:cs="Arial"/>
                <w:sz w:val="20"/>
                <w:szCs w:val="20"/>
              </w:rPr>
            </w:pPr>
            <w:r w:rsidRPr="00574DAC">
              <w:rPr>
                <w:rFonts w:cs="Arial"/>
                <w:sz w:val="20"/>
                <w:szCs w:val="20"/>
              </w:rPr>
              <w:t>C01</w:t>
            </w:r>
            <w:r>
              <w:rPr>
                <w:rFonts w:cs="Arial"/>
                <w:sz w:val="20"/>
                <w:szCs w:val="20"/>
              </w:rPr>
              <w:t xml:space="preserve"> </w:t>
            </w:r>
            <w:r w:rsidRPr="00574DAC">
              <w:rPr>
                <w:rFonts w:cs="Arial"/>
                <w:sz w:val="20"/>
                <w:szCs w:val="20"/>
              </w:rPr>
              <w:t xml:space="preserve">- </w:t>
            </w:r>
            <w:r w:rsidRPr="00D26955">
              <w:rPr>
                <w:rFonts w:cs="Arial"/>
                <w:sz w:val="20"/>
                <w:szCs w:val="20"/>
              </w:rPr>
              <w:t>Matrícula atendida</w:t>
            </w:r>
            <w:r>
              <w:rPr>
                <w:rFonts w:cs="Arial"/>
                <w:sz w:val="20"/>
                <w:szCs w:val="20"/>
              </w:rPr>
              <w:t>.</w:t>
            </w:r>
          </w:p>
        </w:tc>
        <w:tc>
          <w:tcPr>
            <w:tcW w:w="3122" w:type="dxa"/>
            <w:tcBorders>
              <w:top w:val="single" w:sz="4" w:space="0" w:color="auto"/>
              <w:left w:val="single" w:sz="4" w:space="0" w:color="auto"/>
              <w:bottom w:val="single" w:sz="4" w:space="0" w:color="auto"/>
              <w:right w:val="single" w:sz="4" w:space="0" w:color="auto"/>
            </w:tcBorders>
            <w:shd w:val="clear" w:color="auto" w:fill="auto"/>
          </w:tcPr>
          <w:p w14:paraId="3CDE8879" w14:textId="77777777" w:rsidR="00E23746" w:rsidRPr="00D26955" w:rsidRDefault="00E23746" w:rsidP="000B2F10">
            <w:pPr>
              <w:rPr>
                <w:rFonts w:cs="Arial"/>
                <w:sz w:val="20"/>
                <w:szCs w:val="20"/>
              </w:rPr>
            </w:pPr>
            <w:r w:rsidRPr="00D26955">
              <w:rPr>
                <w:rFonts w:cs="Arial"/>
                <w:sz w:val="20"/>
                <w:szCs w:val="20"/>
              </w:rPr>
              <w:t xml:space="preserve">Reporte del sistema estadístico 911, inicio de ciclo escolar, SEQ. </w:t>
            </w:r>
            <w:hyperlink r:id="rId97" w:history="1">
              <w:r w:rsidRPr="00D26955">
                <w:rPr>
                  <w:rFonts w:cs="Arial"/>
                  <w:sz w:val="20"/>
                  <w:szCs w:val="20"/>
                </w:rPr>
                <w:t>https://qroo.gob.mx/seq/medios-de-verificacion-de-la-planeacion-anual</w:t>
              </w:r>
            </w:hyperlink>
            <w:r>
              <w:rPr>
                <w:rFonts w:cs="Arial"/>
                <w:sz w:val="20"/>
                <w:szCs w:val="20"/>
              </w:rPr>
              <w:t>.</w:t>
            </w:r>
          </w:p>
        </w:tc>
        <w:tc>
          <w:tcPr>
            <w:tcW w:w="1860" w:type="dxa"/>
            <w:tcBorders>
              <w:top w:val="single" w:sz="4" w:space="0" w:color="auto"/>
              <w:left w:val="single" w:sz="4" w:space="0" w:color="auto"/>
              <w:bottom w:val="single" w:sz="4" w:space="0" w:color="auto"/>
              <w:right w:val="single" w:sz="4" w:space="0" w:color="auto"/>
            </w:tcBorders>
            <w:shd w:val="clear" w:color="auto" w:fill="auto"/>
          </w:tcPr>
          <w:p w14:paraId="40267062" w14:textId="77777777" w:rsidR="00E23746" w:rsidRDefault="00E23746" w:rsidP="000B2F10">
            <w:pPr>
              <w:rPr>
                <w:rFonts w:cs="Arial"/>
                <w:sz w:val="20"/>
                <w:szCs w:val="20"/>
              </w:rPr>
            </w:pPr>
            <w:r w:rsidRPr="00D26955">
              <w:rPr>
                <w:rFonts w:cs="Arial"/>
                <w:sz w:val="20"/>
                <w:szCs w:val="20"/>
              </w:rPr>
              <w:t>Los alumnos que egresan del nivel educativo medio superior continúan sus estudios de tipos superior en la Entidad.</w:t>
            </w:r>
          </w:p>
          <w:p w14:paraId="1DB2450F" w14:textId="77777777" w:rsidR="00E23746" w:rsidRPr="00D26955" w:rsidRDefault="00E23746" w:rsidP="000B2F10">
            <w:pPr>
              <w:rPr>
                <w:rFonts w:cs="Arial"/>
                <w:sz w:val="20"/>
                <w:szCs w:val="20"/>
              </w:rPr>
            </w:pPr>
          </w:p>
        </w:tc>
      </w:tr>
      <w:tr w:rsidR="00E23746" w:rsidRPr="00FD08F8" w14:paraId="6BEF468A" w14:textId="77777777" w:rsidTr="00B11722">
        <w:trPr>
          <w:trHeight w:val="1735"/>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14:paraId="101D30A7"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Actividad</w:t>
            </w:r>
          </w:p>
        </w:tc>
        <w:tc>
          <w:tcPr>
            <w:tcW w:w="2550" w:type="dxa"/>
            <w:tcBorders>
              <w:top w:val="single" w:sz="4" w:space="0" w:color="auto"/>
              <w:left w:val="single" w:sz="4" w:space="0" w:color="auto"/>
              <w:bottom w:val="single" w:sz="4" w:space="0" w:color="auto"/>
              <w:right w:val="single" w:sz="4" w:space="0" w:color="auto"/>
            </w:tcBorders>
            <w:shd w:val="clear" w:color="auto" w:fill="auto"/>
          </w:tcPr>
          <w:p w14:paraId="15F41126" w14:textId="373BB19E" w:rsidR="00E23746" w:rsidRPr="00F22F82" w:rsidRDefault="00E23746" w:rsidP="00BA4BA3">
            <w:pPr>
              <w:rPr>
                <w:rFonts w:cs="Arial"/>
                <w:sz w:val="20"/>
                <w:szCs w:val="20"/>
              </w:rPr>
            </w:pPr>
            <w:r w:rsidRPr="00F22F82">
              <w:rPr>
                <w:rFonts w:cs="Arial"/>
                <w:sz w:val="20"/>
                <w:szCs w:val="20"/>
              </w:rPr>
              <w:t>Fortalecer la oferta educativa de las instituciones de educación superior para asegurar la pertinencia con base en las necesidades de la entidad.</w:t>
            </w:r>
          </w:p>
        </w:tc>
        <w:tc>
          <w:tcPr>
            <w:tcW w:w="2834" w:type="dxa"/>
            <w:tcBorders>
              <w:top w:val="single" w:sz="4" w:space="0" w:color="auto"/>
              <w:left w:val="single" w:sz="4" w:space="0" w:color="auto"/>
              <w:bottom w:val="single" w:sz="4" w:space="0" w:color="auto"/>
              <w:right w:val="single" w:sz="4" w:space="0" w:color="auto"/>
            </w:tcBorders>
            <w:shd w:val="clear" w:color="auto" w:fill="auto"/>
          </w:tcPr>
          <w:p w14:paraId="4F42A11E" w14:textId="77777777" w:rsidR="00E23746" w:rsidRPr="00F22F82" w:rsidRDefault="00E23746" w:rsidP="000B2F10">
            <w:pPr>
              <w:rPr>
                <w:rFonts w:cs="Arial"/>
                <w:sz w:val="20"/>
                <w:szCs w:val="20"/>
              </w:rPr>
            </w:pPr>
            <w:r w:rsidRPr="00574DAC">
              <w:rPr>
                <w:rFonts w:cs="Arial"/>
                <w:sz w:val="20"/>
                <w:szCs w:val="20"/>
              </w:rPr>
              <w:t>C01.A0</w:t>
            </w:r>
            <w:r>
              <w:rPr>
                <w:rFonts w:cs="Arial"/>
                <w:sz w:val="20"/>
                <w:szCs w:val="20"/>
              </w:rPr>
              <w:t xml:space="preserve">1 - </w:t>
            </w:r>
            <w:r w:rsidRPr="00F22F82">
              <w:rPr>
                <w:rFonts w:cs="Arial"/>
                <w:sz w:val="20"/>
                <w:szCs w:val="20"/>
              </w:rPr>
              <w:t>Ejecución de  Programas</w:t>
            </w:r>
            <w:r>
              <w:rPr>
                <w:rFonts w:cs="Arial"/>
                <w:sz w:val="20"/>
                <w:szCs w:val="20"/>
              </w:rPr>
              <w:t xml:space="preserve"> </w:t>
            </w:r>
            <w:r w:rsidRPr="00F22F82">
              <w:rPr>
                <w:rFonts w:cs="Arial"/>
                <w:sz w:val="20"/>
                <w:szCs w:val="20"/>
              </w:rPr>
              <w:t>educativos pertinentes.</w:t>
            </w:r>
          </w:p>
        </w:tc>
        <w:tc>
          <w:tcPr>
            <w:tcW w:w="2267" w:type="dxa"/>
            <w:tcBorders>
              <w:top w:val="single" w:sz="4" w:space="0" w:color="auto"/>
              <w:left w:val="single" w:sz="4" w:space="0" w:color="auto"/>
              <w:bottom w:val="single" w:sz="4" w:space="0" w:color="auto"/>
              <w:right w:val="single" w:sz="4" w:space="0" w:color="auto"/>
            </w:tcBorders>
            <w:shd w:val="clear" w:color="FFFFFF" w:fill="FFFFFF"/>
          </w:tcPr>
          <w:p w14:paraId="4A2BCC39" w14:textId="77777777" w:rsidR="00E23746" w:rsidRPr="00F22F82" w:rsidRDefault="00E23746" w:rsidP="000B2F10">
            <w:pPr>
              <w:rPr>
                <w:rFonts w:cs="Arial"/>
                <w:sz w:val="20"/>
                <w:szCs w:val="20"/>
              </w:rPr>
            </w:pPr>
            <w:r w:rsidRPr="00574DAC">
              <w:rPr>
                <w:rFonts w:cs="Arial"/>
                <w:sz w:val="20"/>
                <w:szCs w:val="20"/>
              </w:rPr>
              <w:t xml:space="preserve">C01A01 - </w:t>
            </w:r>
            <w:r w:rsidRPr="00F22F82">
              <w:rPr>
                <w:rFonts w:cs="Arial"/>
                <w:sz w:val="20"/>
                <w:szCs w:val="20"/>
              </w:rPr>
              <w:t>Porcentaje de egresados insertados en su área laboral</w:t>
            </w:r>
            <w:r>
              <w:rPr>
                <w:rFonts w:cs="Arial"/>
                <w:sz w:val="20"/>
                <w:szCs w:val="20"/>
              </w:rPr>
              <w:t>.</w:t>
            </w:r>
          </w:p>
        </w:tc>
        <w:tc>
          <w:tcPr>
            <w:tcW w:w="3122" w:type="dxa"/>
            <w:tcBorders>
              <w:top w:val="single" w:sz="4" w:space="0" w:color="auto"/>
              <w:left w:val="single" w:sz="4" w:space="0" w:color="auto"/>
              <w:bottom w:val="single" w:sz="4" w:space="0" w:color="auto"/>
              <w:right w:val="single" w:sz="4" w:space="0" w:color="auto"/>
            </w:tcBorders>
            <w:shd w:val="clear" w:color="auto" w:fill="auto"/>
          </w:tcPr>
          <w:p w14:paraId="0D4675C3" w14:textId="77777777" w:rsidR="00E23746" w:rsidRPr="00F22F82" w:rsidRDefault="00E23746" w:rsidP="000B2F10">
            <w:pPr>
              <w:rPr>
                <w:rFonts w:cs="Arial"/>
                <w:sz w:val="20"/>
                <w:szCs w:val="20"/>
              </w:rPr>
            </w:pPr>
            <w:r w:rsidRPr="00F22F82">
              <w:rPr>
                <w:rFonts w:cs="Arial"/>
                <w:sz w:val="20"/>
                <w:szCs w:val="20"/>
              </w:rPr>
              <w:t xml:space="preserve">Encuestas de seguimiento de egresado, Informe generado, Dirección de Vinculación. </w:t>
            </w:r>
            <w:hyperlink r:id="rId98" w:history="1">
              <w:r w:rsidRPr="00F22F82">
                <w:rPr>
                  <w:rFonts w:cs="Arial"/>
                  <w:sz w:val="20"/>
                  <w:szCs w:val="20"/>
                </w:rPr>
                <w:t>http://www.utchetumal.edu.mx/medios_verificacion/2021</w:t>
              </w:r>
            </w:hyperlink>
            <w:r>
              <w:rPr>
                <w:rFonts w:cs="Arial"/>
                <w:sz w:val="20"/>
                <w:szCs w:val="20"/>
              </w:rPr>
              <w:t>.</w:t>
            </w:r>
          </w:p>
        </w:tc>
        <w:tc>
          <w:tcPr>
            <w:tcW w:w="1860" w:type="dxa"/>
            <w:tcBorders>
              <w:top w:val="single" w:sz="4" w:space="0" w:color="auto"/>
              <w:left w:val="single" w:sz="4" w:space="0" w:color="auto"/>
              <w:bottom w:val="single" w:sz="4" w:space="0" w:color="auto"/>
              <w:right w:val="single" w:sz="4" w:space="0" w:color="auto"/>
            </w:tcBorders>
            <w:shd w:val="clear" w:color="auto" w:fill="auto"/>
          </w:tcPr>
          <w:p w14:paraId="63205F27" w14:textId="77777777" w:rsidR="00E23746" w:rsidRPr="00F22F82" w:rsidRDefault="00E23746" w:rsidP="000B2F10">
            <w:pPr>
              <w:rPr>
                <w:rFonts w:cs="Arial"/>
                <w:sz w:val="20"/>
                <w:szCs w:val="20"/>
              </w:rPr>
            </w:pPr>
            <w:r w:rsidRPr="00F22F82">
              <w:rPr>
                <w:rFonts w:cs="Arial"/>
                <w:sz w:val="20"/>
                <w:szCs w:val="20"/>
              </w:rPr>
              <w:t>Los egresados se insertan al mercado laboral en su área de competencia.</w:t>
            </w:r>
          </w:p>
        </w:tc>
      </w:tr>
    </w:tbl>
    <w:p w14:paraId="13E7EB80" w14:textId="77777777" w:rsidR="00D36037" w:rsidRDefault="00D36037">
      <w:pPr>
        <w:spacing w:after="0" w:line="240" w:lineRule="auto"/>
        <w:jc w:val="left"/>
      </w:pPr>
      <w:r>
        <w:br w:type="page"/>
      </w:r>
    </w:p>
    <w:tbl>
      <w:tblPr>
        <w:tblW w:w="14029" w:type="dxa"/>
        <w:tblLayout w:type="fixed"/>
        <w:tblCellMar>
          <w:left w:w="70" w:type="dxa"/>
          <w:right w:w="70" w:type="dxa"/>
        </w:tblCellMar>
        <w:tblLook w:val="04A0" w:firstRow="1" w:lastRow="0" w:firstColumn="1" w:lastColumn="0" w:noHBand="0" w:noVBand="1"/>
      </w:tblPr>
      <w:tblGrid>
        <w:gridCol w:w="1413"/>
        <w:gridCol w:w="2550"/>
        <w:gridCol w:w="2834"/>
        <w:gridCol w:w="2267"/>
        <w:gridCol w:w="3122"/>
        <w:gridCol w:w="1843"/>
      </w:tblGrid>
      <w:tr w:rsidR="00E23746" w:rsidRPr="00FD08F8" w14:paraId="765FB390" w14:textId="77777777" w:rsidTr="00BA4BA3">
        <w:trPr>
          <w:trHeight w:val="577"/>
        </w:trPr>
        <w:tc>
          <w:tcPr>
            <w:tcW w:w="1413"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6D3329F6"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lastRenderedPageBreak/>
              <w:t>NIVEL</w:t>
            </w:r>
          </w:p>
        </w:tc>
        <w:tc>
          <w:tcPr>
            <w:tcW w:w="2550" w:type="dxa"/>
            <w:tcBorders>
              <w:top w:val="single" w:sz="4" w:space="0" w:color="auto"/>
              <w:left w:val="nil"/>
              <w:bottom w:val="single" w:sz="4" w:space="0" w:color="auto"/>
              <w:right w:val="single" w:sz="4" w:space="0" w:color="auto"/>
            </w:tcBorders>
            <w:shd w:val="clear" w:color="000000" w:fill="BFBFBF"/>
            <w:vAlign w:val="center"/>
            <w:hideMark/>
          </w:tcPr>
          <w:p w14:paraId="5EDDC0C5"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ALINEACIÓN PED/PD</w:t>
            </w:r>
          </w:p>
        </w:tc>
        <w:tc>
          <w:tcPr>
            <w:tcW w:w="2834" w:type="dxa"/>
            <w:tcBorders>
              <w:top w:val="single" w:sz="4" w:space="0" w:color="auto"/>
              <w:left w:val="nil"/>
              <w:bottom w:val="single" w:sz="4" w:space="0" w:color="auto"/>
              <w:right w:val="single" w:sz="4" w:space="0" w:color="auto"/>
            </w:tcBorders>
            <w:shd w:val="clear" w:color="000000" w:fill="BFBFBF"/>
            <w:vAlign w:val="center"/>
            <w:hideMark/>
          </w:tcPr>
          <w:p w14:paraId="7C392FE3"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OBJETIVO</w:t>
            </w:r>
          </w:p>
        </w:tc>
        <w:tc>
          <w:tcPr>
            <w:tcW w:w="2267" w:type="dxa"/>
            <w:tcBorders>
              <w:top w:val="single" w:sz="4" w:space="0" w:color="auto"/>
              <w:left w:val="nil"/>
              <w:bottom w:val="single" w:sz="4" w:space="0" w:color="auto"/>
              <w:right w:val="single" w:sz="4" w:space="0" w:color="auto"/>
            </w:tcBorders>
            <w:shd w:val="clear" w:color="000000" w:fill="BFBFBF"/>
            <w:vAlign w:val="center"/>
            <w:hideMark/>
          </w:tcPr>
          <w:p w14:paraId="38EF0E01"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INDICADOR</w:t>
            </w:r>
          </w:p>
        </w:tc>
        <w:tc>
          <w:tcPr>
            <w:tcW w:w="3122" w:type="dxa"/>
            <w:tcBorders>
              <w:top w:val="single" w:sz="4" w:space="0" w:color="auto"/>
              <w:left w:val="nil"/>
              <w:bottom w:val="single" w:sz="4" w:space="0" w:color="auto"/>
              <w:right w:val="single" w:sz="4" w:space="0" w:color="auto"/>
            </w:tcBorders>
            <w:shd w:val="clear" w:color="000000" w:fill="BFBFBF"/>
            <w:vAlign w:val="center"/>
            <w:hideMark/>
          </w:tcPr>
          <w:p w14:paraId="45F8FDA0"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MEDIOS DE VERIFICACIÓN</w:t>
            </w:r>
          </w:p>
        </w:tc>
        <w:tc>
          <w:tcPr>
            <w:tcW w:w="1843" w:type="dxa"/>
            <w:tcBorders>
              <w:top w:val="single" w:sz="4" w:space="0" w:color="auto"/>
              <w:left w:val="nil"/>
              <w:bottom w:val="single" w:sz="4" w:space="0" w:color="auto"/>
              <w:right w:val="single" w:sz="4" w:space="0" w:color="auto"/>
            </w:tcBorders>
            <w:shd w:val="clear" w:color="000000" w:fill="BFBFBF"/>
            <w:vAlign w:val="center"/>
            <w:hideMark/>
          </w:tcPr>
          <w:p w14:paraId="7C26C4FA"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SUPUESTO</w:t>
            </w:r>
          </w:p>
        </w:tc>
      </w:tr>
      <w:tr w:rsidR="00BA4BA3" w:rsidRPr="00FD08F8" w14:paraId="3F061331" w14:textId="77777777" w:rsidTr="00B11722">
        <w:trPr>
          <w:trHeight w:val="2003"/>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5078882F" w14:textId="6835ABB2" w:rsidR="00BA4BA3" w:rsidRPr="00FD08F8" w:rsidRDefault="00BA4BA3" w:rsidP="00BA4BA3">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Actividad</w:t>
            </w:r>
          </w:p>
        </w:tc>
        <w:tc>
          <w:tcPr>
            <w:tcW w:w="2550" w:type="dxa"/>
            <w:tcBorders>
              <w:top w:val="single" w:sz="4" w:space="0" w:color="auto"/>
              <w:left w:val="single" w:sz="4" w:space="0" w:color="auto"/>
              <w:bottom w:val="single" w:sz="4" w:space="0" w:color="auto"/>
              <w:right w:val="single" w:sz="4" w:space="0" w:color="auto"/>
            </w:tcBorders>
            <w:shd w:val="clear" w:color="auto" w:fill="auto"/>
          </w:tcPr>
          <w:p w14:paraId="3B0D4A11" w14:textId="6E08B3F7" w:rsidR="00BA4BA3" w:rsidRPr="00BC61F2" w:rsidRDefault="00BA4BA3" w:rsidP="00BA4BA3">
            <w:pPr>
              <w:rPr>
                <w:rFonts w:cs="Arial"/>
                <w:sz w:val="20"/>
                <w:szCs w:val="20"/>
              </w:rPr>
            </w:pPr>
            <w:r w:rsidRPr="00C33287">
              <w:rPr>
                <w:rFonts w:cs="Arial"/>
                <w:sz w:val="20"/>
                <w:szCs w:val="20"/>
              </w:rPr>
              <w:t>Fortalecer la oferta educativa de las instituciones de educación superior para asegurar la pertinencia con base en las necesidades de la entidad.</w:t>
            </w:r>
          </w:p>
        </w:tc>
        <w:tc>
          <w:tcPr>
            <w:tcW w:w="2834" w:type="dxa"/>
            <w:tcBorders>
              <w:top w:val="single" w:sz="4" w:space="0" w:color="auto"/>
              <w:left w:val="single" w:sz="4" w:space="0" w:color="auto"/>
              <w:bottom w:val="single" w:sz="4" w:space="0" w:color="auto"/>
              <w:right w:val="single" w:sz="4" w:space="0" w:color="auto"/>
            </w:tcBorders>
            <w:shd w:val="clear" w:color="auto" w:fill="auto"/>
          </w:tcPr>
          <w:p w14:paraId="07DF4399" w14:textId="5EECF594" w:rsidR="00BA4BA3" w:rsidRPr="00BC61F2" w:rsidRDefault="00BA4BA3" w:rsidP="00BA4BA3">
            <w:pPr>
              <w:rPr>
                <w:rFonts w:cs="Arial"/>
                <w:sz w:val="20"/>
                <w:szCs w:val="20"/>
              </w:rPr>
            </w:pPr>
            <w:r w:rsidRPr="00574DAC">
              <w:rPr>
                <w:rFonts w:cs="Arial"/>
                <w:sz w:val="20"/>
                <w:szCs w:val="20"/>
              </w:rPr>
              <w:t xml:space="preserve">C01.A02 - </w:t>
            </w:r>
            <w:r w:rsidRPr="00C33287">
              <w:rPr>
                <w:rFonts w:cs="Arial"/>
                <w:sz w:val="20"/>
                <w:szCs w:val="20"/>
              </w:rPr>
              <w:t>Capacitación docente pertinente.</w:t>
            </w:r>
          </w:p>
        </w:tc>
        <w:tc>
          <w:tcPr>
            <w:tcW w:w="2267" w:type="dxa"/>
            <w:tcBorders>
              <w:top w:val="single" w:sz="4" w:space="0" w:color="auto"/>
              <w:left w:val="single" w:sz="4" w:space="0" w:color="auto"/>
              <w:bottom w:val="single" w:sz="4" w:space="0" w:color="auto"/>
              <w:right w:val="single" w:sz="4" w:space="0" w:color="auto"/>
            </w:tcBorders>
            <w:shd w:val="clear" w:color="FFFFFF" w:fill="FFFFFF"/>
          </w:tcPr>
          <w:p w14:paraId="1B30FAC2" w14:textId="43960981" w:rsidR="00BA4BA3" w:rsidRPr="00BC61F2" w:rsidRDefault="00BA4BA3" w:rsidP="00BA4BA3">
            <w:pPr>
              <w:rPr>
                <w:rFonts w:cs="Arial"/>
                <w:sz w:val="20"/>
                <w:szCs w:val="20"/>
              </w:rPr>
            </w:pPr>
            <w:r>
              <w:rPr>
                <w:rFonts w:cs="Arial"/>
                <w:sz w:val="20"/>
                <w:szCs w:val="20"/>
              </w:rPr>
              <w:t xml:space="preserve">C01A02 - </w:t>
            </w:r>
            <w:r w:rsidRPr="00C33287">
              <w:rPr>
                <w:rFonts w:cs="Arial"/>
                <w:sz w:val="20"/>
                <w:szCs w:val="20"/>
              </w:rPr>
              <w:t>Porcentaje de docentes capacitados que acreditan los cursos.</w:t>
            </w:r>
          </w:p>
        </w:tc>
        <w:tc>
          <w:tcPr>
            <w:tcW w:w="3122" w:type="dxa"/>
            <w:tcBorders>
              <w:top w:val="single" w:sz="4" w:space="0" w:color="auto"/>
              <w:left w:val="single" w:sz="4" w:space="0" w:color="auto"/>
              <w:bottom w:val="single" w:sz="4" w:space="0" w:color="auto"/>
              <w:right w:val="single" w:sz="4" w:space="0" w:color="auto"/>
            </w:tcBorders>
            <w:shd w:val="clear" w:color="auto" w:fill="auto"/>
          </w:tcPr>
          <w:p w14:paraId="4110A477" w14:textId="6DF7726D" w:rsidR="00BA4BA3" w:rsidRPr="00BC61F2" w:rsidRDefault="00BA4BA3" w:rsidP="00BA4BA3">
            <w:pPr>
              <w:rPr>
                <w:rFonts w:cs="Arial"/>
                <w:sz w:val="20"/>
                <w:szCs w:val="20"/>
              </w:rPr>
            </w:pPr>
            <w:r>
              <w:rPr>
                <w:rFonts w:cs="Arial"/>
                <w:sz w:val="20"/>
                <w:szCs w:val="20"/>
              </w:rPr>
              <w:t xml:space="preserve">Listas de asistencias a cursos, </w:t>
            </w:r>
            <w:r w:rsidRPr="00C33287">
              <w:rPr>
                <w:rFonts w:cs="Arial"/>
                <w:sz w:val="20"/>
                <w:szCs w:val="20"/>
              </w:rPr>
              <w:t xml:space="preserve">Constancias, Dirección Académica. </w:t>
            </w:r>
            <w:hyperlink r:id="rId99" w:history="1">
              <w:r w:rsidRPr="003135B9">
                <w:rPr>
                  <w:rStyle w:val="Hipervnculo"/>
                  <w:rFonts w:cs="Arial"/>
                  <w:sz w:val="20"/>
                  <w:szCs w:val="20"/>
                </w:rPr>
                <w:t>http://www.utchetumal.edu.mx/medios_verificacion/2021</w:t>
              </w:r>
            </w:hyperlink>
            <w:r>
              <w:rPr>
                <w:rFonts w:cs="Arial"/>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68247B7" w14:textId="48EDB443" w:rsidR="00BA4BA3" w:rsidRPr="00BC61F2" w:rsidRDefault="00BA4BA3" w:rsidP="00BA4BA3">
            <w:pPr>
              <w:rPr>
                <w:rFonts w:cs="Arial"/>
                <w:sz w:val="20"/>
                <w:szCs w:val="20"/>
              </w:rPr>
            </w:pPr>
            <w:r w:rsidRPr="00C33287">
              <w:rPr>
                <w:rFonts w:cs="Arial"/>
                <w:sz w:val="20"/>
                <w:szCs w:val="20"/>
              </w:rPr>
              <w:t>Los docentes acreditan los cursos.</w:t>
            </w:r>
          </w:p>
        </w:tc>
      </w:tr>
      <w:tr w:rsidR="00BA4BA3" w:rsidRPr="00FD08F8" w14:paraId="044FCA37" w14:textId="77777777" w:rsidTr="00B11722">
        <w:trPr>
          <w:trHeight w:val="2412"/>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671B253A" w14:textId="23C45A4A" w:rsidR="00BA4BA3" w:rsidRPr="00FD08F8" w:rsidRDefault="00BA4BA3" w:rsidP="00BA4BA3">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Actividad</w:t>
            </w:r>
          </w:p>
        </w:tc>
        <w:tc>
          <w:tcPr>
            <w:tcW w:w="2550" w:type="dxa"/>
            <w:tcBorders>
              <w:top w:val="single" w:sz="4" w:space="0" w:color="auto"/>
              <w:left w:val="single" w:sz="4" w:space="0" w:color="auto"/>
              <w:bottom w:val="single" w:sz="4" w:space="0" w:color="auto"/>
              <w:right w:val="single" w:sz="4" w:space="0" w:color="auto"/>
            </w:tcBorders>
            <w:shd w:val="clear" w:color="auto" w:fill="auto"/>
          </w:tcPr>
          <w:p w14:paraId="17700787" w14:textId="3EC8935D" w:rsidR="00BA4BA3" w:rsidRPr="00BC61F2" w:rsidRDefault="00BA4BA3" w:rsidP="00BA4BA3">
            <w:pPr>
              <w:rPr>
                <w:rFonts w:cs="Arial"/>
                <w:sz w:val="20"/>
                <w:szCs w:val="20"/>
              </w:rPr>
            </w:pPr>
            <w:r w:rsidRPr="00BC61F2">
              <w:rPr>
                <w:rFonts w:cs="Arial"/>
                <w:sz w:val="20"/>
                <w:szCs w:val="20"/>
              </w:rPr>
              <w:t>Fortalecer la oferta educativa de las instituciones de educación superior para asegurar la pertinencia con base en las necesidades de la entidad.</w:t>
            </w:r>
          </w:p>
        </w:tc>
        <w:tc>
          <w:tcPr>
            <w:tcW w:w="2834" w:type="dxa"/>
            <w:tcBorders>
              <w:top w:val="single" w:sz="4" w:space="0" w:color="auto"/>
              <w:left w:val="single" w:sz="4" w:space="0" w:color="auto"/>
              <w:bottom w:val="single" w:sz="4" w:space="0" w:color="auto"/>
              <w:right w:val="single" w:sz="4" w:space="0" w:color="auto"/>
            </w:tcBorders>
            <w:shd w:val="clear" w:color="auto" w:fill="auto"/>
          </w:tcPr>
          <w:p w14:paraId="3FDD7745" w14:textId="2FCA1F64" w:rsidR="00BA4BA3" w:rsidRPr="00BC61F2" w:rsidRDefault="00BA4BA3" w:rsidP="00BA4BA3">
            <w:pPr>
              <w:rPr>
                <w:rFonts w:cs="Arial"/>
                <w:sz w:val="20"/>
                <w:szCs w:val="20"/>
              </w:rPr>
            </w:pPr>
            <w:r w:rsidRPr="00BC61F2">
              <w:rPr>
                <w:rFonts w:cs="Arial"/>
                <w:sz w:val="20"/>
                <w:szCs w:val="20"/>
              </w:rPr>
              <w:t>C01.A03 - Otorgamiento de Servicios estudiantiles.</w:t>
            </w:r>
          </w:p>
        </w:tc>
        <w:tc>
          <w:tcPr>
            <w:tcW w:w="2267" w:type="dxa"/>
            <w:tcBorders>
              <w:top w:val="single" w:sz="4" w:space="0" w:color="auto"/>
              <w:left w:val="single" w:sz="4" w:space="0" w:color="auto"/>
              <w:bottom w:val="single" w:sz="4" w:space="0" w:color="auto"/>
              <w:right w:val="single" w:sz="4" w:space="0" w:color="auto"/>
            </w:tcBorders>
            <w:shd w:val="clear" w:color="FFFFFF" w:fill="FFFFFF"/>
          </w:tcPr>
          <w:p w14:paraId="2E3578DF" w14:textId="7823198A" w:rsidR="00BA4BA3" w:rsidRPr="00BC61F2" w:rsidRDefault="00BA4BA3" w:rsidP="00BA4BA3">
            <w:pPr>
              <w:rPr>
                <w:rFonts w:cs="Arial"/>
                <w:sz w:val="20"/>
                <w:szCs w:val="20"/>
              </w:rPr>
            </w:pPr>
            <w:r w:rsidRPr="00BC61F2">
              <w:rPr>
                <w:rFonts w:cs="Arial"/>
                <w:sz w:val="20"/>
                <w:szCs w:val="20"/>
              </w:rPr>
              <w:t>C01A03 - Porcentaje de estudiantes satisfechos</w:t>
            </w:r>
            <w:r>
              <w:rPr>
                <w:rFonts w:cs="Arial"/>
                <w:sz w:val="20"/>
                <w:szCs w:val="20"/>
              </w:rPr>
              <w:t>.</w:t>
            </w:r>
          </w:p>
        </w:tc>
        <w:tc>
          <w:tcPr>
            <w:tcW w:w="3122" w:type="dxa"/>
            <w:tcBorders>
              <w:top w:val="single" w:sz="4" w:space="0" w:color="auto"/>
              <w:left w:val="single" w:sz="4" w:space="0" w:color="auto"/>
              <w:bottom w:val="single" w:sz="4" w:space="0" w:color="auto"/>
              <w:right w:val="single" w:sz="4" w:space="0" w:color="auto"/>
            </w:tcBorders>
            <w:shd w:val="clear" w:color="auto" w:fill="auto"/>
          </w:tcPr>
          <w:p w14:paraId="546ABE94" w14:textId="7597B7A5" w:rsidR="00BA4BA3" w:rsidRPr="00BC61F2" w:rsidRDefault="00BA4BA3" w:rsidP="00BA4BA3">
            <w:pPr>
              <w:rPr>
                <w:rFonts w:cs="Arial"/>
                <w:sz w:val="20"/>
                <w:szCs w:val="20"/>
              </w:rPr>
            </w:pPr>
            <w:r w:rsidRPr="00BC61F2">
              <w:rPr>
                <w:rFonts w:cs="Arial"/>
                <w:sz w:val="20"/>
                <w:szCs w:val="20"/>
              </w:rPr>
              <w:t>Encuesta de Satisfacción del Sistema de Administración Institucional Integral de las Universidades Tecnológicas, Dirección Técnica de Carrera.</w:t>
            </w:r>
            <w:r>
              <w:rPr>
                <w:rFonts w:cs="Arial"/>
                <w:sz w:val="20"/>
                <w:szCs w:val="20"/>
              </w:rPr>
              <w:t xml:space="preserve"> </w:t>
            </w:r>
            <w:r w:rsidRPr="00BC61F2">
              <w:rPr>
                <w:rFonts w:cs="Arial"/>
                <w:sz w:val="20"/>
                <w:szCs w:val="20"/>
              </w:rPr>
              <w:t>http://www.utchetumal.edu.mx/medios_verificacion/2021</w:t>
            </w:r>
            <w:r>
              <w:rPr>
                <w:rFonts w:cs="Arial"/>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E1E1D1E" w14:textId="586D202A" w:rsidR="00BA4BA3" w:rsidRPr="00BC61F2" w:rsidRDefault="00BA4BA3" w:rsidP="00BA4BA3">
            <w:pPr>
              <w:rPr>
                <w:rFonts w:cs="Arial"/>
                <w:sz w:val="20"/>
                <w:szCs w:val="20"/>
              </w:rPr>
            </w:pPr>
            <w:r w:rsidRPr="00BC61F2">
              <w:rPr>
                <w:rFonts w:cs="Arial"/>
                <w:sz w:val="20"/>
                <w:szCs w:val="20"/>
              </w:rPr>
              <w:t>Los estudiantes contestan en tiempo y forma las encuestas.</w:t>
            </w:r>
          </w:p>
        </w:tc>
      </w:tr>
      <w:tr w:rsidR="00BA4BA3" w:rsidRPr="00FD08F8" w14:paraId="6D6CEB0E" w14:textId="77777777" w:rsidTr="00B11722">
        <w:trPr>
          <w:trHeight w:val="2110"/>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040D49F2" w14:textId="07ECF734" w:rsidR="00BA4BA3" w:rsidRPr="00FD08F8" w:rsidRDefault="00BA4BA3" w:rsidP="00BA4BA3">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Actividad</w:t>
            </w:r>
          </w:p>
        </w:tc>
        <w:tc>
          <w:tcPr>
            <w:tcW w:w="2550" w:type="dxa"/>
            <w:tcBorders>
              <w:top w:val="single" w:sz="4" w:space="0" w:color="auto"/>
              <w:left w:val="single" w:sz="4" w:space="0" w:color="auto"/>
              <w:bottom w:val="single" w:sz="4" w:space="0" w:color="auto"/>
              <w:right w:val="single" w:sz="4" w:space="0" w:color="auto"/>
            </w:tcBorders>
            <w:shd w:val="clear" w:color="auto" w:fill="auto"/>
          </w:tcPr>
          <w:p w14:paraId="0CDA719B" w14:textId="28D44B80" w:rsidR="00BA4BA3" w:rsidRPr="001C67AE" w:rsidRDefault="00BA4BA3" w:rsidP="00BA4BA3">
            <w:pPr>
              <w:rPr>
                <w:rFonts w:cs="Arial"/>
                <w:sz w:val="20"/>
                <w:szCs w:val="20"/>
              </w:rPr>
            </w:pPr>
            <w:r w:rsidRPr="00BC61F2">
              <w:rPr>
                <w:rFonts w:cs="Arial"/>
                <w:sz w:val="20"/>
                <w:szCs w:val="20"/>
              </w:rPr>
              <w:t>Fortalecer la oferta educativa de las instituciones de educación superior para asegurar la pertinencia con base en las necesidades de la entidad.</w:t>
            </w:r>
          </w:p>
        </w:tc>
        <w:tc>
          <w:tcPr>
            <w:tcW w:w="2834" w:type="dxa"/>
            <w:tcBorders>
              <w:top w:val="single" w:sz="4" w:space="0" w:color="auto"/>
              <w:left w:val="single" w:sz="4" w:space="0" w:color="auto"/>
              <w:bottom w:val="single" w:sz="4" w:space="0" w:color="auto"/>
              <w:right w:val="single" w:sz="4" w:space="0" w:color="auto"/>
            </w:tcBorders>
            <w:shd w:val="clear" w:color="auto" w:fill="auto"/>
          </w:tcPr>
          <w:p w14:paraId="3344ECA0" w14:textId="73613D85" w:rsidR="00BA4BA3" w:rsidRPr="001C67AE" w:rsidRDefault="00BA4BA3" w:rsidP="00BA4BA3">
            <w:pPr>
              <w:rPr>
                <w:rFonts w:cs="Arial"/>
                <w:sz w:val="20"/>
                <w:szCs w:val="20"/>
              </w:rPr>
            </w:pPr>
            <w:r>
              <w:rPr>
                <w:rFonts w:cs="Arial"/>
                <w:sz w:val="20"/>
                <w:szCs w:val="20"/>
              </w:rPr>
              <w:t>C01.A04</w:t>
            </w:r>
            <w:r w:rsidRPr="00574DAC">
              <w:rPr>
                <w:rFonts w:cs="Arial"/>
                <w:sz w:val="20"/>
                <w:szCs w:val="20"/>
              </w:rPr>
              <w:t xml:space="preserve"> - </w:t>
            </w:r>
            <w:r w:rsidRPr="00BC61F2">
              <w:rPr>
                <w:rFonts w:cs="Arial"/>
                <w:sz w:val="20"/>
                <w:szCs w:val="20"/>
              </w:rPr>
              <w:t>Fortalecimiento del Programa de tutoría.</w:t>
            </w:r>
          </w:p>
        </w:tc>
        <w:tc>
          <w:tcPr>
            <w:tcW w:w="2267" w:type="dxa"/>
            <w:tcBorders>
              <w:top w:val="single" w:sz="4" w:space="0" w:color="auto"/>
              <w:left w:val="single" w:sz="4" w:space="0" w:color="auto"/>
              <w:bottom w:val="single" w:sz="4" w:space="0" w:color="auto"/>
              <w:right w:val="single" w:sz="4" w:space="0" w:color="auto"/>
            </w:tcBorders>
            <w:shd w:val="clear" w:color="FFFFFF" w:fill="FFFFFF"/>
          </w:tcPr>
          <w:p w14:paraId="76367B22" w14:textId="74821737" w:rsidR="00BA4BA3" w:rsidRPr="001C67AE" w:rsidRDefault="00BA4BA3" w:rsidP="00BA4BA3">
            <w:pPr>
              <w:rPr>
                <w:rFonts w:cs="Arial"/>
                <w:sz w:val="20"/>
                <w:szCs w:val="20"/>
              </w:rPr>
            </w:pPr>
            <w:r>
              <w:rPr>
                <w:rFonts w:cs="Arial"/>
                <w:sz w:val="20"/>
                <w:szCs w:val="20"/>
              </w:rPr>
              <w:t>C01A04</w:t>
            </w:r>
            <w:r w:rsidRPr="00574DAC">
              <w:rPr>
                <w:rFonts w:cs="Arial"/>
                <w:sz w:val="20"/>
                <w:szCs w:val="20"/>
              </w:rPr>
              <w:t xml:space="preserve"> - </w:t>
            </w:r>
            <w:r w:rsidRPr="00BC61F2">
              <w:rPr>
                <w:rFonts w:cs="Arial"/>
                <w:sz w:val="20"/>
                <w:szCs w:val="20"/>
              </w:rPr>
              <w:t>Porcentaje de satisfacción del estudiante con tutoría</w:t>
            </w:r>
            <w:r>
              <w:rPr>
                <w:rFonts w:cs="Arial"/>
                <w:sz w:val="20"/>
                <w:szCs w:val="20"/>
              </w:rPr>
              <w:t>.</w:t>
            </w:r>
          </w:p>
        </w:tc>
        <w:tc>
          <w:tcPr>
            <w:tcW w:w="3122" w:type="dxa"/>
            <w:tcBorders>
              <w:top w:val="single" w:sz="4" w:space="0" w:color="auto"/>
              <w:left w:val="single" w:sz="4" w:space="0" w:color="auto"/>
              <w:bottom w:val="single" w:sz="4" w:space="0" w:color="auto"/>
              <w:right w:val="single" w:sz="4" w:space="0" w:color="auto"/>
            </w:tcBorders>
            <w:shd w:val="clear" w:color="auto" w:fill="auto"/>
          </w:tcPr>
          <w:p w14:paraId="231EAC5B" w14:textId="3DC19B95" w:rsidR="00BA4BA3" w:rsidRPr="001C67AE" w:rsidRDefault="00BA4BA3" w:rsidP="00BA4BA3">
            <w:pPr>
              <w:rPr>
                <w:rFonts w:cs="Arial"/>
                <w:sz w:val="20"/>
                <w:szCs w:val="20"/>
              </w:rPr>
            </w:pPr>
            <w:r w:rsidRPr="00BC61F2">
              <w:rPr>
                <w:rFonts w:cs="Arial"/>
                <w:sz w:val="20"/>
                <w:szCs w:val="20"/>
              </w:rPr>
              <w:t xml:space="preserve">Sistema de Gestión de Tutoría / Encuestas de opinión a final de cada cuatrimestre. abril-agosto-diciembre, Dirección Académica. </w:t>
            </w:r>
            <w:hyperlink r:id="rId100" w:history="1">
              <w:r w:rsidRPr="00961BA2">
                <w:rPr>
                  <w:rFonts w:cs="Arial"/>
                  <w:sz w:val="20"/>
                  <w:szCs w:val="20"/>
                </w:rPr>
                <w:t>http://www.utchetumal.edu.mx/medios_verificacion/2021</w:t>
              </w:r>
            </w:hyperlink>
            <w:r>
              <w:rPr>
                <w:rFonts w:cs="Arial"/>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AC6F333" w14:textId="477A6DAF" w:rsidR="00BA4BA3" w:rsidRPr="001C67AE" w:rsidRDefault="00BA4BA3" w:rsidP="00BA4BA3">
            <w:pPr>
              <w:rPr>
                <w:rFonts w:cs="Arial"/>
                <w:sz w:val="20"/>
                <w:szCs w:val="20"/>
              </w:rPr>
            </w:pPr>
            <w:r w:rsidRPr="00BC61F2">
              <w:rPr>
                <w:rFonts w:cs="Arial"/>
                <w:sz w:val="20"/>
                <w:szCs w:val="20"/>
              </w:rPr>
              <w:t>Los estudiantes contestan la encuesta de satisfacción y ven reflejado los resultados en su desempeño académico.</w:t>
            </w:r>
          </w:p>
        </w:tc>
      </w:tr>
    </w:tbl>
    <w:p w14:paraId="48BB69DA" w14:textId="77777777" w:rsidR="00D36037" w:rsidRDefault="00D36037">
      <w:pPr>
        <w:spacing w:after="0" w:line="240" w:lineRule="auto"/>
        <w:jc w:val="left"/>
      </w:pPr>
      <w:r>
        <w:br w:type="page"/>
      </w:r>
    </w:p>
    <w:tbl>
      <w:tblPr>
        <w:tblW w:w="14046" w:type="dxa"/>
        <w:tblLayout w:type="fixed"/>
        <w:tblCellMar>
          <w:left w:w="70" w:type="dxa"/>
          <w:right w:w="70" w:type="dxa"/>
        </w:tblCellMar>
        <w:tblLook w:val="04A0" w:firstRow="1" w:lastRow="0" w:firstColumn="1" w:lastColumn="0" w:noHBand="0" w:noVBand="1"/>
      </w:tblPr>
      <w:tblGrid>
        <w:gridCol w:w="1413"/>
        <w:gridCol w:w="2550"/>
        <w:gridCol w:w="2834"/>
        <w:gridCol w:w="2267"/>
        <w:gridCol w:w="3122"/>
        <w:gridCol w:w="1843"/>
        <w:gridCol w:w="17"/>
      </w:tblGrid>
      <w:tr w:rsidR="00E23746" w:rsidRPr="00FD08F8" w14:paraId="5C20E7A7" w14:textId="77777777" w:rsidTr="00BA4BA3">
        <w:trPr>
          <w:trHeight w:val="577"/>
        </w:trPr>
        <w:tc>
          <w:tcPr>
            <w:tcW w:w="1413"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068257EC"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lastRenderedPageBreak/>
              <w:t>NIVEL</w:t>
            </w:r>
          </w:p>
        </w:tc>
        <w:tc>
          <w:tcPr>
            <w:tcW w:w="2550" w:type="dxa"/>
            <w:tcBorders>
              <w:top w:val="single" w:sz="4" w:space="0" w:color="auto"/>
              <w:left w:val="nil"/>
              <w:bottom w:val="single" w:sz="4" w:space="0" w:color="auto"/>
              <w:right w:val="single" w:sz="4" w:space="0" w:color="auto"/>
            </w:tcBorders>
            <w:shd w:val="clear" w:color="000000" w:fill="BFBFBF"/>
            <w:vAlign w:val="center"/>
            <w:hideMark/>
          </w:tcPr>
          <w:p w14:paraId="5173B87F"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ALINEACIÓN PED/PD</w:t>
            </w:r>
          </w:p>
        </w:tc>
        <w:tc>
          <w:tcPr>
            <w:tcW w:w="2834" w:type="dxa"/>
            <w:tcBorders>
              <w:top w:val="single" w:sz="4" w:space="0" w:color="auto"/>
              <w:left w:val="nil"/>
              <w:bottom w:val="single" w:sz="4" w:space="0" w:color="auto"/>
              <w:right w:val="single" w:sz="4" w:space="0" w:color="auto"/>
            </w:tcBorders>
            <w:shd w:val="clear" w:color="000000" w:fill="BFBFBF"/>
            <w:vAlign w:val="center"/>
            <w:hideMark/>
          </w:tcPr>
          <w:p w14:paraId="5F79D014"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OBJETIVO</w:t>
            </w:r>
          </w:p>
        </w:tc>
        <w:tc>
          <w:tcPr>
            <w:tcW w:w="2267" w:type="dxa"/>
            <w:tcBorders>
              <w:top w:val="single" w:sz="4" w:space="0" w:color="auto"/>
              <w:left w:val="nil"/>
              <w:bottom w:val="single" w:sz="4" w:space="0" w:color="auto"/>
              <w:right w:val="single" w:sz="4" w:space="0" w:color="auto"/>
            </w:tcBorders>
            <w:shd w:val="clear" w:color="000000" w:fill="BFBFBF"/>
            <w:vAlign w:val="center"/>
            <w:hideMark/>
          </w:tcPr>
          <w:p w14:paraId="5F307757"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INDICADOR</w:t>
            </w:r>
          </w:p>
        </w:tc>
        <w:tc>
          <w:tcPr>
            <w:tcW w:w="3122" w:type="dxa"/>
            <w:tcBorders>
              <w:top w:val="single" w:sz="4" w:space="0" w:color="auto"/>
              <w:left w:val="nil"/>
              <w:bottom w:val="single" w:sz="4" w:space="0" w:color="auto"/>
              <w:right w:val="single" w:sz="4" w:space="0" w:color="auto"/>
            </w:tcBorders>
            <w:shd w:val="clear" w:color="000000" w:fill="BFBFBF"/>
            <w:vAlign w:val="center"/>
            <w:hideMark/>
          </w:tcPr>
          <w:p w14:paraId="615F29E8"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MEDIOS DE VERIFICACIÓN</w:t>
            </w:r>
          </w:p>
        </w:tc>
        <w:tc>
          <w:tcPr>
            <w:tcW w:w="1860" w:type="dxa"/>
            <w:gridSpan w:val="2"/>
            <w:tcBorders>
              <w:top w:val="single" w:sz="4" w:space="0" w:color="auto"/>
              <w:left w:val="nil"/>
              <w:bottom w:val="single" w:sz="4" w:space="0" w:color="auto"/>
              <w:right w:val="single" w:sz="4" w:space="0" w:color="auto"/>
            </w:tcBorders>
            <w:shd w:val="clear" w:color="000000" w:fill="BFBFBF"/>
            <w:vAlign w:val="center"/>
            <w:hideMark/>
          </w:tcPr>
          <w:p w14:paraId="1AD7994D"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SUPUESTO</w:t>
            </w:r>
          </w:p>
        </w:tc>
      </w:tr>
      <w:tr w:rsidR="00BA4BA3" w:rsidRPr="00FD08F8" w14:paraId="4745695F" w14:textId="77777777" w:rsidTr="00BA4BA3">
        <w:trPr>
          <w:gridAfter w:val="1"/>
          <w:wAfter w:w="17" w:type="dxa"/>
          <w:trHeight w:val="2057"/>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7563D2D9" w14:textId="56B587BB" w:rsidR="00BA4BA3" w:rsidRPr="00FD08F8" w:rsidRDefault="00BA4BA3" w:rsidP="00BA4BA3">
            <w:pPr>
              <w:spacing w:after="0" w:line="240" w:lineRule="auto"/>
              <w:jc w:val="center"/>
              <w:rPr>
                <w:rFonts w:eastAsia="Times New Roman" w:cs="Arial"/>
                <w:b/>
                <w:bCs/>
                <w:sz w:val="20"/>
                <w:szCs w:val="20"/>
                <w:lang w:val="es-MX" w:eastAsia="es-MX"/>
              </w:rPr>
            </w:pPr>
            <w:r>
              <w:rPr>
                <w:rFonts w:eastAsia="Times New Roman" w:cs="Arial"/>
                <w:b/>
                <w:bCs/>
                <w:sz w:val="20"/>
                <w:szCs w:val="20"/>
                <w:lang w:val="es-MX" w:eastAsia="es-MX"/>
              </w:rPr>
              <w:t>Componente</w:t>
            </w:r>
          </w:p>
        </w:tc>
        <w:tc>
          <w:tcPr>
            <w:tcW w:w="2550" w:type="dxa"/>
            <w:tcBorders>
              <w:top w:val="single" w:sz="4" w:space="0" w:color="auto"/>
              <w:left w:val="single" w:sz="4" w:space="0" w:color="auto"/>
              <w:bottom w:val="single" w:sz="4" w:space="0" w:color="auto"/>
              <w:right w:val="single" w:sz="4" w:space="0" w:color="auto"/>
            </w:tcBorders>
            <w:shd w:val="clear" w:color="auto" w:fill="auto"/>
          </w:tcPr>
          <w:p w14:paraId="2F7A7903" w14:textId="0D24E408" w:rsidR="00BA4BA3" w:rsidRPr="001C67AE" w:rsidRDefault="00BA4BA3" w:rsidP="00BA4BA3">
            <w:pPr>
              <w:rPr>
                <w:rFonts w:cs="Arial"/>
                <w:sz w:val="20"/>
                <w:szCs w:val="20"/>
              </w:rPr>
            </w:pPr>
            <w:r w:rsidRPr="001C67AE">
              <w:rPr>
                <w:rFonts w:cs="Arial"/>
                <w:sz w:val="20"/>
                <w:szCs w:val="20"/>
              </w:rPr>
              <w:t>Impulsar la acreditación y evaluación de los planes y programas de estudio de educación superior por organismos externos reconocidos a nivel nacional e internacional.</w:t>
            </w:r>
          </w:p>
        </w:tc>
        <w:tc>
          <w:tcPr>
            <w:tcW w:w="2834" w:type="dxa"/>
            <w:tcBorders>
              <w:top w:val="single" w:sz="4" w:space="0" w:color="auto"/>
              <w:left w:val="single" w:sz="4" w:space="0" w:color="auto"/>
              <w:bottom w:val="single" w:sz="4" w:space="0" w:color="auto"/>
              <w:right w:val="single" w:sz="4" w:space="0" w:color="auto"/>
            </w:tcBorders>
            <w:shd w:val="clear" w:color="auto" w:fill="auto"/>
          </w:tcPr>
          <w:p w14:paraId="088133FF" w14:textId="5B4CCB3D" w:rsidR="00BA4BA3" w:rsidRPr="001C67AE" w:rsidRDefault="00BA4BA3" w:rsidP="00BA4BA3">
            <w:pPr>
              <w:rPr>
                <w:rFonts w:cs="Arial"/>
                <w:sz w:val="20"/>
                <w:szCs w:val="20"/>
              </w:rPr>
            </w:pPr>
            <w:r w:rsidRPr="00574DAC">
              <w:rPr>
                <w:rFonts w:cs="Arial"/>
                <w:sz w:val="20"/>
                <w:szCs w:val="20"/>
              </w:rPr>
              <w:t xml:space="preserve">C02 - </w:t>
            </w:r>
            <w:r w:rsidRPr="001C67AE">
              <w:rPr>
                <w:rFonts w:cs="Arial"/>
                <w:sz w:val="20"/>
                <w:szCs w:val="20"/>
              </w:rPr>
              <w:t>Instituciones con Programas Educativos de calidad ofertados</w:t>
            </w:r>
            <w:r>
              <w:rPr>
                <w:rFonts w:cs="Arial"/>
                <w:sz w:val="20"/>
                <w:szCs w:val="20"/>
              </w:rPr>
              <w:t>.</w:t>
            </w:r>
          </w:p>
        </w:tc>
        <w:tc>
          <w:tcPr>
            <w:tcW w:w="2267" w:type="dxa"/>
            <w:tcBorders>
              <w:top w:val="single" w:sz="4" w:space="0" w:color="auto"/>
              <w:left w:val="single" w:sz="4" w:space="0" w:color="auto"/>
              <w:bottom w:val="single" w:sz="4" w:space="0" w:color="auto"/>
              <w:right w:val="single" w:sz="4" w:space="0" w:color="auto"/>
            </w:tcBorders>
            <w:shd w:val="clear" w:color="FFFFFF" w:fill="FFFFFF"/>
          </w:tcPr>
          <w:p w14:paraId="5FB47130" w14:textId="2C1DD62D" w:rsidR="00BA4BA3" w:rsidRPr="001C67AE" w:rsidRDefault="00BA4BA3" w:rsidP="00BA4BA3">
            <w:pPr>
              <w:rPr>
                <w:rFonts w:cs="Arial"/>
                <w:sz w:val="20"/>
                <w:szCs w:val="20"/>
              </w:rPr>
            </w:pPr>
            <w:r w:rsidRPr="00574DAC">
              <w:rPr>
                <w:rFonts w:cs="Arial"/>
                <w:sz w:val="20"/>
                <w:szCs w:val="20"/>
              </w:rPr>
              <w:t xml:space="preserve">C02 - </w:t>
            </w:r>
            <w:r w:rsidRPr="001C67AE">
              <w:rPr>
                <w:rFonts w:cs="Arial"/>
                <w:sz w:val="20"/>
                <w:szCs w:val="20"/>
              </w:rPr>
              <w:t>Porcentaje de Programas Educativos de Calidad</w:t>
            </w:r>
            <w:r>
              <w:rPr>
                <w:rFonts w:cs="Arial"/>
                <w:sz w:val="20"/>
                <w:szCs w:val="20"/>
              </w:rPr>
              <w:t>.</w:t>
            </w:r>
          </w:p>
        </w:tc>
        <w:tc>
          <w:tcPr>
            <w:tcW w:w="3122" w:type="dxa"/>
            <w:tcBorders>
              <w:top w:val="single" w:sz="4" w:space="0" w:color="auto"/>
              <w:left w:val="single" w:sz="4" w:space="0" w:color="auto"/>
              <w:bottom w:val="single" w:sz="4" w:space="0" w:color="auto"/>
              <w:right w:val="single" w:sz="4" w:space="0" w:color="auto"/>
            </w:tcBorders>
            <w:shd w:val="clear" w:color="auto" w:fill="auto"/>
          </w:tcPr>
          <w:p w14:paraId="28671714" w14:textId="0FAE4F39" w:rsidR="00BA4BA3" w:rsidRPr="001C67AE" w:rsidRDefault="00BA4BA3" w:rsidP="00BA4BA3">
            <w:pPr>
              <w:rPr>
                <w:rFonts w:cs="Arial"/>
                <w:sz w:val="20"/>
                <w:szCs w:val="20"/>
              </w:rPr>
            </w:pPr>
            <w:r w:rsidRPr="001C67AE">
              <w:rPr>
                <w:rFonts w:cs="Arial"/>
                <w:sz w:val="20"/>
                <w:szCs w:val="20"/>
              </w:rPr>
              <w:t xml:space="preserve">Certificados o constancias de los organismos evaluadores y/o Padrón emitido por la DGESU, Subsecretaría de Educación Superior, portal de la Subsecretaría que publica. </w:t>
            </w:r>
            <w:hyperlink r:id="rId101" w:history="1">
              <w:r w:rsidRPr="001C67AE">
                <w:rPr>
                  <w:rFonts w:cs="Arial"/>
                  <w:sz w:val="20"/>
                  <w:szCs w:val="20"/>
                </w:rPr>
                <w:t>http://www.utchetumal.edu.mx/medios_verificacion/2021</w:t>
              </w:r>
            </w:hyperlink>
            <w:r>
              <w:rPr>
                <w:rFonts w:cs="Arial"/>
                <w:sz w:val="20"/>
                <w:szCs w:val="20"/>
              </w:rPr>
              <w:t>.</w:t>
            </w:r>
            <w:r w:rsidRPr="001C67AE">
              <w:rPr>
                <w:rFonts w:cs="Arial"/>
                <w:sz w:val="20"/>
                <w:szCs w:val="20"/>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5ED2F89" w14:textId="2D21ED23" w:rsidR="00BA4BA3" w:rsidRPr="001C67AE" w:rsidRDefault="00BA4BA3" w:rsidP="00BA4BA3">
            <w:pPr>
              <w:rPr>
                <w:rFonts w:cs="Arial"/>
                <w:sz w:val="20"/>
                <w:szCs w:val="20"/>
              </w:rPr>
            </w:pPr>
            <w:r w:rsidRPr="001C67AE">
              <w:rPr>
                <w:rFonts w:cs="Arial"/>
                <w:sz w:val="20"/>
                <w:szCs w:val="20"/>
              </w:rPr>
              <w:t>La Calidad de la Educación Superior continúa siendo prioridad Nacional.</w:t>
            </w:r>
          </w:p>
        </w:tc>
      </w:tr>
      <w:tr w:rsidR="00BA4BA3" w:rsidRPr="00FD08F8" w14:paraId="021EA44B" w14:textId="77777777" w:rsidTr="00BA4BA3">
        <w:trPr>
          <w:gridAfter w:val="1"/>
          <w:wAfter w:w="17" w:type="dxa"/>
          <w:trHeight w:val="1259"/>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4CE829BE" w14:textId="522A890C" w:rsidR="00BA4BA3" w:rsidRPr="00FD08F8" w:rsidRDefault="00BA4BA3" w:rsidP="00BA4BA3">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Actividad</w:t>
            </w:r>
          </w:p>
        </w:tc>
        <w:tc>
          <w:tcPr>
            <w:tcW w:w="2550" w:type="dxa"/>
            <w:tcBorders>
              <w:top w:val="single" w:sz="4" w:space="0" w:color="auto"/>
              <w:left w:val="single" w:sz="4" w:space="0" w:color="auto"/>
              <w:bottom w:val="single" w:sz="4" w:space="0" w:color="auto"/>
              <w:right w:val="single" w:sz="4" w:space="0" w:color="auto"/>
            </w:tcBorders>
            <w:shd w:val="clear" w:color="auto" w:fill="auto"/>
          </w:tcPr>
          <w:p w14:paraId="44D86774" w14:textId="77777777" w:rsidR="00BA4BA3" w:rsidRDefault="00BA4BA3" w:rsidP="00BA4BA3">
            <w:pPr>
              <w:rPr>
                <w:rFonts w:cs="Arial"/>
                <w:sz w:val="20"/>
                <w:szCs w:val="20"/>
              </w:rPr>
            </w:pPr>
            <w:r w:rsidRPr="001C67AE">
              <w:rPr>
                <w:rFonts w:cs="Arial"/>
                <w:sz w:val="20"/>
                <w:szCs w:val="20"/>
              </w:rPr>
              <w:t>Impulsar la acreditación y evaluación de los planes y programas de estudio de educación superior por organismos externos reconocidos a nivel nacional e internacional.</w:t>
            </w:r>
          </w:p>
          <w:p w14:paraId="01963BC3" w14:textId="4C47F67B" w:rsidR="00BA4BA3" w:rsidRPr="001C67AE" w:rsidRDefault="00BA4BA3" w:rsidP="00BA4BA3">
            <w:pPr>
              <w:rPr>
                <w:rFonts w:cs="Arial"/>
                <w:sz w:val="20"/>
                <w:szCs w:val="20"/>
              </w:rPr>
            </w:pPr>
          </w:p>
        </w:tc>
        <w:tc>
          <w:tcPr>
            <w:tcW w:w="2834" w:type="dxa"/>
            <w:tcBorders>
              <w:top w:val="single" w:sz="4" w:space="0" w:color="auto"/>
              <w:left w:val="single" w:sz="4" w:space="0" w:color="auto"/>
              <w:bottom w:val="single" w:sz="4" w:space="0" w:color="auto"/>
              <w:right w:val="single" w:sz="4" w:space="0" w:color="auto"/>
            </w:tcBorders>
            <w:shd w:val="clear" w:color="auto" w:fill="auto"/>
          </w:tcPr>
          <w:p w14:paraId="7B7F643B" w14:textId="3D059BAA" w:rsidR="00BA4BA3" w:rsidRPr="001C67AE" w:rsidRDefault="00BA4BA3" w:rsidP="00BA4BA3">
            <w:pPr>
              <w:rPr>
                <w:rFonts w:cs="Arial"/>
                <w:sz w:val="20"/>
                <w:szCs w:val="20"/>
              </w:rPr>
            </w:pPr>
            <w:r w:rsidRPr="00574DAC">
              <w:rPr>
                <w:rFonts w:cs="Arial"/>
                <w:sz w:val="20"/>
                <w:szCs w:val="20"/>
              </w:rPr>
              <w:t xml:space="preserve">C02.A01 - </w:t>
            </w:r>
            <w:r w:rsidRPr="001C67AE">
              <w:rPr>
                <w:rFonts w:cs="Arial"/>
                <w:sz w:val="20"/>
                <w:szCs w:val="20"/>
              </w:rPr>
              <w:t>Evaluación diagnóstica.</w:t>
            </w:r>
          </w:p>
        </w:tc>
        <w:tc>
          <w:tcPr>
            <w:tcW w:w="2267" w:type="dxa"/>
            <w:tcBorders>
              <w:top w:val="single" w:sz="4" w:space="0" w:color="auto"/>
              <w:left w:val="single" w:sz="4" w:space="0" w:color="auto"/>
              <w:bottom w:val="single" w:sz="4" w:space="0" w:color="auto"/>
              <w:right w:val="single" w:sz="4" w:space="0" w:color="auto"/>
            </w:tcBorders>
            <w:shd w:val="clear" w:color="FFFFFF" w:fill="FFFFFF"/>
          </w:tcPr>
          <w:p w14:paraId="613514B5" w14:textId="1B31B063" w:rsidR="00BA4BA3" w:rsidRPr="001C67AE" w:rsidRDefault="00BA4BA3" w:rsidP="00BA4BA3">
            <w:pPr>
              <w:rPr>
                <w:rFonts w:cs="Arial"/>
                <w:sz w:val="20"/>
                <w:szCs w:val="20"/>
              </w:rPr>
            </w:pPr>
            <w:r w:rsidRPr="00574DAC">
              <w:rPr>
                <w:rFonts w:cs="Arial"/>
                <w:sz w:val="20"/>
                <w:szCs w:val="20"/>
              </w:rPr>
              <w:t xml:space="preserve">C02A01 - </w:t>
            </w:r>
            <w:r w:rsidRPr="001C67AE">
              <w:rPr>
                <w:rFonts w:cs="Arial"/>
                <w:sz w:val="20"/>
                <w:szCs w:val="20"/>
              </w:rPr>
              <w:t>Porcentaje de Programas Educativos Acreditados</w:t>
            </w:r>
            <w:r>
              <w:rPr>
                <w:rFonts w:cs="Arial"/>
                <w:sz w:val="20"/>
                <w:szCs w:val="20"/>
              </w:rPr>
              <w:t>.</w:t>
            </w:r>
          </w:p>
        </w:tc>
        <w:tc>
          <w:tcPr>
            <w:tcW w:w="3122" w:type="dxa"/>
            <w:tcBorders>
              <w:top w:val="single" w:sz="4" w:space="0" w:color="auto"/>
              <w:left w:val="single" w:sz="4" w:space="0" w:color="auto"/>
              <w:bottom w:val="single" w:sz="4" w:space="0" w:color="auto"/>
              <w:right w:val="single" w:sz="4" w:space="0" w:color="auto"/>
            </w:tcBorders>
            <w:shd w:val="clear" w:color="auto" w:fill="auto"/>
          </w:tcPr>
          <w:p w14:paraId="4C685113" w14:textId="5C488175" w:rsidR="00BA4BA3" w:rsidRPr="001C67AE" w:rsidRDefault="00BA4BA3" w:rsidP="00BA4BA3">
            <w:pPr>
              <w:rPr>
                <w:rFonts w:cs="Arial"/>
                <w:sz w:val="20"/>
                <w:szCs w:val="20"/>
              </w:rPr>
            </w:pPr>
            <w:r w:rsidRPr="001C67AE">
              <w:rPr>
                <w:rFonts w:cs="Arial"/>
                <w:sz w:val="20"/>
                <w:szCs w:val="20"/>
              </w:rPr>
              <w:t xml:space="preserve">Evaluación Diagnóstica (AGAPE 2018), Dirección Académica. </w:t>
            </w:r>
            <w:hyperlink r:id="rId102" w:history="1">
              <w:r w:rsidRPr="001C67AE">
                <w:rPr>
                  <w:rFonts w:cs="Arial"/>
                  <w:sz w:val="20"/>
                  <w:szCs w:val="20"/>
                </w:rPr>
                <w:t>http://www.utchetumal.edu.mx/medios_verificacion/2021</w:t>
              </w:r>
            </w:hyperlink>
            <w:r>
              <w:rPr>
                <w:rFonts w:cs="Arial"/>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511ACCA" w14:textId="649B47E2" w:rsidR="00BA4BA3" w:rsidRPr="001C67AE" w:rsidRDefault="00BA4BA3" w:rsidP="00BA4BA3">
            <w:pPr>
              <w:rPr>
                <w:rFonts w:cs="Arial"/>
                <w:sz w:val="20"/>
                <w:szCs w:val="20"/>
              </w:rPr>
            </w:pPr>
            <w:r w:rsidRPr="001C67AE">
              <w:rPr>
                <w:rFonts w:cs="Arial"/>
                <w:sz w:val="20"/>
                <w:szCs w:val="20"/>
              </w:rPr>
              <w:t>La Coordinación General de Universidades Tecnológicas y Politécnicas,</w:t>
            </w:r>
            <w:r>
              <w:rPr>
                <w:rFonts w:cs="Arial"/>
                <w:sz w:val="20"/>
                <w:szCs w:val="20"/>
              </w:rPr>
              <w:t xml:space="preserve"> </w:t>
            </w:r>
            <w:r w:rsidRPr="001C67AE">
              <w:rPr>
                <w:rFonts w:cs="Arial"/>
                <w:sz w:val="20"/>
                <w:szCs w:val="20"/>
              </w:rPr>
              <w:t>CGUTyP, tiene actualizados los planes educativos.</w:t>
            </w:r>
          </w:p>
        </w:tc>
      </w:tr>
    </w:tbl>
    <w:p w14:paraId="18E59C90" w14:textId="77777777" w:rsidR="00D36037" w:rsidRDefault="00D36037">
      <w:pPr>
        <w:spacing w:after="0" w:line="240" w:lineRule="auto"/>
        <w:jc w:val="left"/>
      </w:pPr>
      <w:r>
        <w:br w:type="page"/>
      </w:r>
    </w:p>
    <w:tbl>
      <w:tblPr>
        <w:tblW w:w="14046" w:type="dxa"/>
        <w:tblLayout w:type="fixed"/>
        <w:tblCellMar>
          <w:left w:w="70" w:type="dxa"/>
          <w:right w:w="70" w:type="dxa"/>
        </w:tblCellMar>
        <w:tblLook w:val="04A0" w:firstRow="1" w:lastRow="0" w:firstColumn="1" w:lastColumn="0" w:noHBand="0" w:noVBand="1"/>
      </w:tblPr>
      <w:tblGrid>
        <w:gridCol w:w="1413"/>
        <w:gridCol w:w="2550"/>
        <w:gridCol w:w="2834"/>
        <w:gridCol w:w="2267"/>
        <w:gridCol w:w="3122"/>
        <w:gridCol w:w="1843"/>
        <w:gridCol w:w="17"/>
      </w:tblGrid>
      <w:tr w:rsidR="00E23746" w:rsidRPr="00FD08F8" w14:paraId="29C5596E" w14:textId="77777777" w:rsidTr="00FC38E7">
        <w:trPr>
          <w:trHeight w:val="577"/>
        </w:trPr>
        <w:tc>
          <w:tcPr>
            <w:tcW w:w="1413"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6C917BBA"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lastRenderedPageBreak/>
              <w:t>NIVEL</w:t>
            </w:r>
          </w:p>
        </w:tc>
        <w:tc>
          <w:tcPr>
            <w:tcW w:w="2550" w:type="dxa"/>
            <w:tcBorders>
              <w:top w:val="single" w:sz="4" w:space="0" w:color="auto"/>
              <w:left w:val="nil"/>
              <w:bottom w:val="single" w:sz="4" w:space="0" w:color="auto"/>
              <w:right w:val="single" w:sz="4" w:space="0" w:color="auto"/>
            </w:tcBorders>
            <w:shd w:val="clear" w:color="000000" w:fill="BFBFBF"/>
            <w:vAlign w:val="center"/>
            <w:hideMark/>
          </w:tcPr>
          <w:p w14:paraId="24448E67"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ALINEACIÓN PED/PD</w:t>
            </w:r>
          </w:p>
        </w:tc>
        <w:tc>
          <w:tcPr>
            <w:tcW w:w="2834" w:type="dxa"/>
            <w:tcBorders>
              <w:top w:val="single" w:sz="4" w:space="0" w:color="auto"/>
              <w:left w:val="nil"/>
              <w:bottom w:val="single" w:sz="4" w:space="0" w:color="auto"/>
              <w:right w:val="single" w:sz="4" w:space="0" w:color="auto"/>
            </w:tcBorders>
            <w:shd w:val="clear" w:color="000000" w:fill="BFBFBF"/>
            <w:vAlign w:val="center"/>
            <w:hideMark/>
          </w:tcPr>
          <w:p w14:paraId="7517CB53"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OBJETIVO</w:t>
            </w:r>
          </w:p>
        </w:tc>
        <w:tc>
          <w:tcPr>
            <w:tcW w:w="2267" w:type="dxa"/>
            <w:tcBorders>
              <w:top w:val="single" w:sz="4" w:space="0" w:color="auto"/>
              <w:left w:val="nil"/>
              <w:bottom w:val="single" w:sz="4" w:space="0" w:color="auto"/>
              <w:right w:val="single" w:sz="4" w:space="0" w:color="auto"/>
            </w:tcBorders>
            <w:shd w:val="clear" w:color="000000" w:fill="BFBFBF"/>
            <w:vAlign w:val="center"/>
            <w:hideMark/>
          </w:tcPr>
          <w:p w14:paraId="2CE01B0D"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INDICADOR</w:t>
            </w:r>
          </w:p>
        </w:tc>
        <w:tc>
          <w:tcPr>
            <w:tcW w:w="3122" w:type="dxa"/>
            <w:tcBorders>
              <w:top w:val="single" w:sz="4" w:space="0" w:color="auto"/>
              <w:left w:val="nil"/>
              <w:bottom w:val="single" w:sz="4" w:space="0" w:color="auto"/>
              <w:right w:val="single" w:sz="4" w:space="0" w:color="auto"/>
            </w:tcBorders>
            <w:shd w:val="clear" w:color="000000" w:fill="BFBFBF"/>
            <w:vAlign w:val="center"/>
            <w:hideMark/>
          </w:tcPr>
          <w:p w14:paraId="2C7A8AC7"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MEDIOS DE VERIFICACIÓN</w:t>
            </w:r>
          </w:p>
        </w:tc>
        <w:tc>
          <w:tcPr>
            <w:tcW w:w="1860" w:type="dxa"/>
            <w:gridSpan w:val="2"/>
            <w:tcBorders>
              <w:top w:val="single" w:sz="4" w:space="0" w:color="auto"/>
              <w:left w:val="nil"/>
              <w:bottom w:val="single" w:sz="4" w:space="0" w:color="auto"/>
              <w:right w:val="single" w:sz="4" w:space="0" w:color="auto"/>
            </w:tcBorders>
            <w:shd w:val="clear" w:color="000000" w:fill="BFBFBF"/>
            <w:vAlign w:val="center"/>
            <w:hideMark/>
          </w:tcPr>
          <w:p w14:paraId="742AD1F3"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SUPUESTO</w:t>
            </w:r>
          </w:p>
        </w:tc>
      </w:tr>
      <w:tr w:rsidR="00BA4BA3" w:rsidRPr="00FD08F8" w14:paraId="14D8736F" w14:textId="77777777" w:rsidTr="00FC38E7">
        <w:trPr>
          <w:gridAfter w:val="1"/>
          <w:wAfter w:w="17" w:type="dxa"/>
          <w:trHeight w:val="2412"/>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3049812" w14:textId="60EA93A8" w:rsidR="00BA4BA3" w:rsidRPr="00FD08F8" w:rsidRDefault="00BA4BA3" w:rsidP="00BA4BA3">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Actividad</w:t>
            </w:r>
          </w:p>
        </w:tc>
        <w:tc>
          <w:tcPr>
            <w:tcW w:w="2550" w:type="dxa"/>
            <w:tcBorders>
              <w:top w:val="single" w:sz="4" w:space="0" w:color="auto"/>
              <w:left w:val="single" w:sz="4" w:space="0" w:color="auto"/>
              <w:bottom w:val="single" w:sz="4" w:space="0" w:color="auto"/>
              <w:right w:val="single" w:sz="4" w:space="0" w:color="auto"/>
            </w:tcBorders>
            <w:shd w:val="clear" w:color="auto" w:fill="auto"/>
          </w:tcPr>
          <w:p w14:paraId="324AAC7A" w14:textId="222F6B53" w:rsidR="00BA4BA3" w:rsidRPr="0004413B" w:rsidRDefault="00BA4BA3" w:rsidP="00BA4BA3">
            <w:pPr>
              <w:rPr>
                <w:rFonts w:cs="Arial"/>
                <w:sz w:val="20"/>
                <w:szCs w:val="20"/>
              </w:rPr>
            </w:pPr>
            <w:r w:rsidRPr="001C67AE">
              <w:rPr>
                <w:rFonts w:cs="Arial"/>
                <w:sz w:val="20"/>
                <w:szCs w:val="20"/>
              </w:rPr>
              <w:t>Impulsar la acreditación y evaluación de los planes y programas de estudio de educación superior por organismos externos reconocidos a nivel nacional e internacional.</w:t>
            </w:r>
          </w:p>
        </w:tc>
        <w:tc>
          <w:tcPr>
            <w:tcW w:w="2834" w:type="dxa"/>
            <w:tcBorders>
              <w:top w:val="single" w:sz="4" w:space="0" w:color="auto"/>
              <w:left w:val="single" w:sz="4" w:space="0" w:color="auto"/>
              <w:bottom w:val="single" w:sz="4" w:space="0" w:color="auto"/>
              <w:right w:val="single" w:sz="4" w:space="0" w:color="auto"/>
            </w:tcBorders>
            <w:shd w:val="clear" w:color="auto" w:fill="auto"/>
          </w:tcPr>
          <w:p w14:paraId="75C7982A" w14:textId="10351A15" w:rsidR="00BA4BA3" w:rsidRPr="0004413B" w:rsidRDefault="00BA4BA3" w:rsidP="00BA4BA3">
            <w:pPr>
              <w:rPr>
                <w:rFonts w:cs="Arial"/>
                <w:sz w:val="20"/>
                <w:szCs w:val="20"/>
              </w:rPr>
            </w:pPr>
            <w:r w:rsidRPr="00574DAC">
              <w:rPr>
                <w:rFonts w:cs="Arial"/>
                <w:sz w:val="20"/>
                <w:szCs w:val="20"/>
              </w:rPr>
              <w:t xml:space="preserve">C02.A02 - </w:t>
            </w:r>
            <w:r w:rsidRPr="001C67AE">
              <w:rPr>
                <w:rFonts w:cs="Arial"/>
                <w:sz w:val="20"/>
                <w:szCs w:val="20"/>
              </w:rPr>
              <w:t>Elaboración de los estudios de Análisis Situacional del Trabajo de los Programas Educativos.</w:t>
            </w:r>
          </w:p>
        </w:tc>
        <w:tc>
          <w:tcPr>
            <w:tcW w:w="2267" w:type="dxa"/>
            <w:tcBorders>
              <w:top w:val="single" w:sz="4" w:space="0" w:color="auto"/>
              <w:left w:val="single" w:sz="4" w:space="0" w:color="auto"/>
              <w:bottom w:val="single" w:sz="4" w:space="0" w:color="auto"/>
              <w:right w:val="single" w:sz="4" w:space="0" w:color="auto"/>
            </w:tcBorders>
            <w:shd w:val="clear" w:color="FFFFFF" w:fill="FFFFFF"/>
          </w:tcPr>
          <w:p w14:paraId="052566EB" w14:textId="603663AE" w:rsidR="00BA4BA3" w:rsidRPr="0004413B" w:rsidRDefault="00BA4BA3" w:rsidP="00BA4BA3">
            <w:pPr>
              <w:rPr>
                <w:rFonts w:cs="Arial"/>
                <w:sz w:val="20"/>
                <w:szCs w:val="20"/>
              </w:rPr>
            </w:pPr>
            <w:r w:rsidRPr="00574DAC">
              <w:rPr>
                <w:rFonts w:cs="Arial"/>
                <w:sz w:val="20"/>
                <w:szCs w:val="20"/>
              </w:rPr>
              <w:t xml:space="preserve">C02A02 - </w:t>
            </w:r>
            <w:r w:rsidRPr="001C67AE">
              <w:rPr>
                <w:rFonts w:cs="Arial"/>
                <w:sz w:val="20"/>
                <w:szCs w:val="20"/>
              </w:rPr>
              <w:t>Porcentaje de programas pertinentes</w:t>
            </w:r>
            <w:r>
              <w:rPr>
                <w:rFonts w:cs="Arial"/>
                <w:sz w:val="20"/>
                <w:szCs w:val="20"/>
              </w:rPr>
              <w:t>.</w:t>
            </w:r>
          </w:p>
        </w:tc>
        <w:tc>
          <w:tcPr>
            <w:tcW w:w="3122" w:type="dxa"/>
            <w:tcBorders>
              <w:top w:val="single" w:sz="4" w:space="0" w:color="auto"/>
              <w:left w:val="single" w:sz="4" w:space="0" w:color="auto"/>
              <w:bottom w:val="single" w:sz="4" w:space="0" w:color="auto"/>
              <w:right w:val="single" w:sz="4" w:space="0" w:color="auto"/>
            </w:tcBorders>
            <w:shd w:val="clear" w:color="auto" w:fill="auto"/>
          </w:tcPr>
          <w:p w14:paraId="06E9E8F7" w14:textId="219AF210" w:rsidR="00BA4BA3" w:rsidRPr="0004413B" w:rsidRDefault="00BA4BA3" w:rsidP="00BA4BA3">
            <w:pPr>
              <w:rPr>
                <w:rFonts w:cs="Arial"/>
                <w:sz w:val="20"/>
                <w:szCs w:val="20"/>
              </w:rPr>
            </w:pPr>
            <w:r w:rsidRPr="001C67AE">
              <w:rPr>
                <w:rFonts w:cs="Arial"/>
                <w:sz w:val="20"/>
                <w:szCs w:val="20"/>
              </w:rPr>
              <w:t xml:space="preserve">Reporte de análisis situacional de trabajo, Dirección Académica. </w:t>
            </w:r>
            <w:hyperlink r:id="rId103" w:history="1">
              <w:r w:rsidRPr="001C67AE">
                <w:rPr>
                  <w:rFonts w:cs="Arial"/>
                  <w:sz w:val="20"/>
                  <w:szCs w:val="20"/>
                </w:rPr>
                <w:t>http://www.utchetumal.edu.mx/medios_verificacion/2021</w:t>
              </w:r>
            </w:hyperlink>
            <w:r>
              <w:rPr>
                <w:rFonts w:cs="Arial"/>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69B09EB" w14:textId="50452036" w:rsidR="00BA4BA3" w:rsidRPr="0004413B" w:rsidRDefault="00BA4BA3" w:rsidP="00BA4BA3">
            <w:pPr>
              <w:rPr>
                <w:rFonts w:cs="Arial"/>
                <w:sz w:val="20"/>
                <w:szCs w:val="20"/>
              </w:rPr>
            </w:pPr>
            <w:r w:rsidRPr="001C67AE">
              <w:rPr>
                <w:rFonts w:cs="Arial"/>
                <w:sz w:val="20"/>
                <w:szCs w:val="20"/>
              </w:rPr>
              <w:t>La Coordinación General de Universidades Tecnológicas y Politécnicas solicita la elaboración de los Análisis Situacional del Trabajo (AST)  y las empresas o instituciones invitadas asisten al taller para elaboración de AST</w:t>
            </w:r>
            <w:r>
              <w:rPr>
                <w:rFonts w:cs="Arial"/>
                <w:sz w:val="20"/>
                <w:szCs w:val="20"/>
              </w:rPr>
              <w:t>.</w:t>
            </w:r>
          </w:p>
        </w:tc>
      </w:tr>
      <w:tr w:rsidR="00BA4BA3" w:rsidRPr="00FD08F8" w14:paraId="3322A18A" w14:textId="77777777" w:rsidTr="00FC38E7">
        <w:trPr>
          <w:gridAfter w:val="1"/>
          <w:wAfter w:w="17" w:type="dxa"/>
          <w:trHeight w:val="2412"/>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4ED134DA" w14:textId="3A1DF996" w:rsidR="00BA4BA3" w:rsidRDefault="00BA4BA3" w:rsidP="00BA4BA3">
            <w:pPr>
              <w:spacing w:after="0" w:line="240" w:lineRule="auto"/>
              <w:jc w:val="center"/>
              <w:rPr>
                <w:rFonts w:eastAsia="Times New Roman" w:cs="Arial"/>
                <w:b/>
                <w:bCs/>
                <w:sz w:val="20"/>
                <w:szCs w:val="20"/>
                <w:lang w:val="es-MX" w:eastAsia="es-MX"/>
              </w:rPr>
            </w:pPr>
            <w:r>
              <w:rPr>
                <w:rFonts w:eastAsia="Times New Roman" w:cs="Arial"/>
                <w:b/>
                <w:bCs/>
                <w:sz w:val="20"/>
                <w:szCs w:val="20"/>
                <w:lang w:val="es-MX" w:eastAsia="es-MX"/>
              </w:rPr>
              <w:t>Componente</w:t>
            </w:r>
          </w:p>
        </w:tc>
        <w:tc>
          <w:tcPr>
            <w:tcW w:w="2550" w:type="dxa"/>
            <w:tcBorders>
              <w:top w:val="single" w:sz="4" w:space="0" w:color="auto"/>
              <w:left w:val="single" w:sz="4" w:space="0" w:color="auto"/>
              <w:bottom w:val="single" w:sz="4" w:space="0" w:color="auto"/>
              <w:right w:val="single" w:sz="4" w:space="0" w:color="auto"/>
            </w:tcBorders>
            <w:shd w:val="clear" w:color="auto" w:fill="auto"/>
          </w:tcPr>
          <w:p w14:paraId="4AE56CA1" w14:textId="2AFCC630" w:rsidR="00BA4BA3" w:rsidRPr="0004413B" w:rsidRDefault="00BA4BA3" w:rsidP="00BA4BA3">
            <w:pPr>
              <w:rPr>
                <w:rFonts w:cs="Arial"/>
                <w:sz w:val="20"/>
                <w:szCs w:val="20"/>
              </w:rPr>
            </w:pPr>
            <w:r w:rsidRPr="0004413B">
              <w:rPr>
                <w:rFonts w:cs="Arial"/>
                <w:sz w:val="20"/>
                <w:szCs w:val="20"/>
              </w:rPr>
              <w:t>Impulsar la vinculación con instituciones públicas y privadas para la realización del servicio social, prácticas profesionales o su equivalente y modelo dual por parte de los estudiantes de educación superior.</w:t>
            </w:r>
          </w:p>
        </w:tc>
        <w:tc>
          <w:tcPr>
            <w:tcW w:w="2834" w:type="dxa"/>
            <w:tcBorders>
              <w:top w:val="single" w:sz="4" w:space="0" w:color="auto"/>
              <w:left w:val="single" w:sz="4" w:space="0" w:color="auto"/>
              <w:bottom w:val="single" w:sz="4" w:space="0" w:color="auto"/>
              <w:right w:val="single" w:sz="4" w:space="0" w:color="auto"/>
            </w:tcBorders>
            <w:shd w:val="clear" w:color="auto" w:fill="auto"/>
          </w:tcPr>
          <w:p w14:paraId="5E8549BB" w14:textId="3E4BD8FC" w:rsidR="00BA4BA3" w:rsidRPr="0004413B" w:rsidRDefault="00BA4BA3" w:rsidP="00BA4BA3">
            <w:pPr>
              <w:rPr>
                <w:rFonts w:cs="Arial"/>
                <w:sz w:val="20"/>
                <w:szCs w:val="20"/>
              </w:rPr>
            </w:pPr>
            <w:r w:rsidRPr="00574DAC">
              <w:rPr>
                <w:rFonts w:cs="Arial"/>
                <w:sz w:val="20"/>
                <w:szCs w:val="20"/>
              </w:rPr>
              <w:t xml:space="preserve">C03 - </w:t>
            </w:r>
            <w:r w:rsidRPr="0004413B">
              <w:rPr>
                <w:rFonts w:cs="Arial"/>
                <w:sz w:val="20"/>
                <w:szCs w:val="20"/>
              </w:rPr>
              <w:t>Vinculación Interinstitucional realizada</w:t>
            </w:r>
            <w:r>
              <w:rPr>
                <w:rFonts w:cs="Arial"/>
                <w:sz w:val="20"/>
                <w:szCs w:val="20"/>
              </w:rPr>
              <w:t>.</w:t>
            </w:r>
          </w:p>
        </w:tc>
        <w:tc>
          <w:tcPr>
            <w:tcW w:w="2267" w:type="dxa"/>
            <w:tcBorders>
              <w:top w:val="single" w:sz="4" w:space="0" w:color="auto"/>
              <w:left w:val="single" w:sz="4" w:space="0" w:color="auto"/>
              <w:bottom w:val="single" w:sz="4" w:space="0" w:color="auto"/>
              <w:right w:val="single" w:sz="4" w:space="0" w:color="auto"/>
            </w:tcBorders>
            <w:shd w:val="clear" w:color="FFFFFF" w:fill="FFFFFF"/>
          </w:tcPr>
          <w:p w14:paraId="3A6A84B1" w14:textId="7ED00233" w:rsidR="00BA4BA3" w:rsidRPr="0004413B" w:rsidRDefault="00BA4BA3" w:rsidP="00BA4BA3">
            <w:pPr>
              <w:rPr>
                <w:rFonts w:cs="Arial"/>
                <w:sz w:val="20"/>
                <w:szCs w:val="20"/>
              </w:rPr>
            </w:pPr>
            <w:r w:rsidRPr="00574DAC">
              <w:rPr>
                <w:rFonts w:cs="Arial"/>
                <w:sz w:val="20"/>
                <w:szCs w:val="20"/>
              </w:rPr>
              <w:t xml:space="preserve">C03 - </w:t>
            </w:r>
            <w:r w:rsidRPr="0004413B">
              <w:rPr>
                <w:rFonts w:cs="Arial"/>
                <w:sz w:val="20"/>
                <w:szCs w:val="20"/>
              </w:rPr>
              <w:t>Porcentaje de estudiantes participando en proyectos y/o convenios</w:t>
            </w:r>
            <w:r>
              <w:rPr>
                <w:rFonts w:cs="Arial"/>
                <w:sz w:val="20"/>
                <w:szCs w:val="20"/>
              </w:rPr>
              <w:t>.</w:t>
            </w:r>
          </w:p>
        </w:tc>
        <w:tc>
          <w:tcPr>
            <w:tcW w:w="3122" w:type="dxa"/>
            <w:tcBorders>
              <w:top w:val="single" w:sz="4" w:space="0" w:color="auto"/>
              <w:left w:val="single" w:sz="4" w:space="0" w:color="auto"/>
              <w:bottom w:val="single" w:sz="4" w:space="0" w:color="auto"/>
              <w:right w:val="single" w:sz="4" w:space="0" w:color="auto"/>
            </w:tcBorders>
            <w:shd w:val="clear" w:color="auto" w:fill="auto"/>
          </w:tcPr>
          <w:p w14:paraId="23715A83" w14:textId="0CF169BF" w:rsidR="00BA4BA3" w:rsidRPr="0004413B" w:rsidRDefault="00BA4BA3" w:rsidP="00BA4BA3">
            <w:pPr>
              <w:rPr>
                <w:rFonts w:cs="Arial"/>
                <w:sz w:val="20"/>
                <w:szCs w:val="20"/>
              </w:rPr>
            </w:pPr>
            <w:r w:rsidRPr="0004413B">
              <w:rPr>
                <w:rFonts w:cs="Arial"/>
                <w:sz w:val="20"/>
                <w:szCs w:val="20"/>
              </w:rPr>
              <w:t>Memorias presentadas y/o convenios, Dirección de vinculación.http://www.utchetumal</w:t>
            </w:r>
            <w:r>
              <w:rPr>
                <w:rFonts w:cs="Arial"/>
                <w:sz w:val="20"/>
                <w:szCs w:val="20"/>
              </w:rPr>
              <w:t>.edu.mx/medios_verificacion/2021.</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D2B59D8" w14:textId="24728ABF" w:rsidR="00BA4BA3" w:rsidRPr="0004413B" w:rsidRDefault="00BA4BA3" w:rsidP="00BA4BA3">
            <w:pPr>
              <w:rPr>
                <w:rFonts w:cs="Arial"/>
                <w:sz w:val="20"/>
                <w:szCs w:val="20"/>
              </w:rPr>
            </w:pPr>
            <w:r w:rsidRPr="0004413B">
              <w:rPr>
                <w:rFonts w:cs="Arial"/>
                <w:sz w:val="20"/>
                <w:szCs w:val="20"/>
              </w:rPr>
              <w:t>Los estudiantes participan  en los proyectos de vinculación propuestos por las Instituciones de educación superior de la Entidad.</w:t>
            </w:r>
          </w:p>
        </w:tc>
      </w:tr>
    </w:tbl>
    <w:p w14:paraId="0C4A131E" w14:textId="77777777" w:rsidR="00866F7E" w:rsidRDefault="00866F7E">
      <w:pPr>
        <w:spacing w:after="0" w:line="240" w:lineRule="auto"/>
        <w:jc w:val="left"/>
      </w:pPr>
      <w:r>
        <w:br w:type="page"/>
      </w:r>
    </w:p>
    <w:tbl>
      <w:tblPr>
        <w:tblW w:w="14046" w:type="dxa"/>
        <w:tblLayout w:type="fixed"/>
        <w:tblCellMar>
          <w:left w:w="70" w:type="dxa"/>
          <w:right w:w="70" w:type="dxa"/>
        </w:tblCellMar>
        <w:tblLook w:val="04A0" w:firstRow="1" w:lastRow="0" w:firstColumn="1" w:lastColumn="0" w:noHBand="0" w:noVBand="1"/>
      </w:tblPr>
      <w:tblGrid>
        <w:gridCol w:w="1270"/>
        <w:gridCol w:w="2693"/>
        <w:gridCol w:w="2834"/>
        <w:gridCol w:w="2267"/>
        <w:gridCol w:w="3122"/>
        <w:gridCol w:w="1843"/>
        <w:gridCol w:w="17"/>
      </w:tblGrid>
      <w:tr w:rsidR="00E23746" w:rsidRPr="00FD08F8" w14:paraId="3C87F2E7" w14:textId="77777777" w:rsidTr="000B2F10">
        <w:trPr>
          <w:trHeight w:val="577"/>
        </w:trPr>
        <w:tc>
          <w:tcPr>
            <w:tcW w:w="1270"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18673C63"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lastRenderedPageBreak/>
              <w:t>NIVEL</w:t>
            </w:r>
          </w:p>
        </w:tc>
        <w:tc>
          <w:tcPr>
            <w:tcW w:w="2693" w:type="dxa"/>
            <w:tcBorders>
              <w:top w:val="single" w:sz="4" w:space="0" w:color="auto"/>
              <w:left w:val="nil"/>
              <w:bottom w:val="single" w:sz="4" w:space="0" w:color="auto"/>
              <w:right w:val="single" w:sz="4" w:space="0" w:color="auto"/>
            </w:tcBorders>
            <w:shd w:val="clear" w:color="000000" w:fill="BFBFBF"/>
            <w:vAlign w:val="center"/>
            <w:hideMark/>
          </w:tcPr>
          <w:p w14:paraId="4B846207"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ALINEACIÓN PED/PD</w:t>
            </w:r>
          </w:p>
        </w:tc>
        <w:tc>
          <w:tcPr>
            <w:tcW w:w="2834" w:type="dxa"/>
            <w:tcBorders>
              <w:top w:val="single" w:sz="4" w:space="0" w:color="auto"/>
              <w:left w:val="nil"/>
              <w:bottom w:val="single" w:sz="4" w:space="0" w:color="auto"/>
              <w:right w:val="single" w:sz="4" w:space="0" w:color="auto"/>
            </w:tcBorders>
            <w:shd w:val="clear" w:color="000000" w:fill="BFBFBF"/>
            <w:vAlign w:val="center"/>
            <w:hideMark/>
          </w:tcPr>
          <w:p w14:paraId="30B18BFF"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OBJETIVO</w:t>
            </w:r>
          </w:p>
        </w:tc>
        <w:tc>
          <w:tcPr>
            <w:tcW w:w="2267" w:type="dxa"/>
            <w:tcBorders>
              <w:top w:val="single" w:sz="4" w:space="0" w:color="auto"/>
              <w:left w:val="nil"/>
              <w:bottom w:val="single" w:sz="4" w:space="0" w:color="auto"/>
              <w:right w:val="single" w:sz="4" w:space="0" w:color="auto"/>
            </w:tcBorders>
            <w:shd w:val="clear" w:color="000000" w:fill="BFBFBF"/>
            <w:vAlign w:val="center"/>
            <w:hideMark/>
          </w:tcPr>
          <w:p w14:paraId="26548D3B"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INDICADOR</w:t>
            </w:r>
          </w:p>
        </w:tc>
        <w:tc>
          <w:tcPr>
            <w:tcW w:w="3122" w:type="dxa"/>
            <w:tcBorders>
              <w:top w:val="single" w:sz="4" w:space="0" w:color="auto"/>
              <w:left w:val="nil"/>
              <w:bottom w:val="single" w:sz="4" w:space="0" w:color="auto"/>
              <w:right w:val="single" w:sz="4" w:space="0" w:color="auto"/>
            </w:tcBorders>
            <w:shd w:val="clear" w:color="000000" w:fill="BFBFBF"/>
            <w:vAlign w:val="center"/>
            <w:hideMark/>
          </w:tcPr>
          <w:p w14:paraId="14BAD0E0"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MEDIOS DE VERIFICACIÓN</w:t>
            </w:r>
          </w:p>
        </w:tc>
        <w:tc>
          <w:tcPr>
            <w:tcW w:w="1860" w:type="dxa"/>
            <w:gridSpan w:val="2"/>
            <w:tcBorders>
              <w:top w:val="single" w:sz="4" w:space="0" w:color="auto"/>
              <w:left w:val="nil"/>
              <w:bottom w:val="single" w:sz="4" w:space="0" w:color="auto"/>
              <w:right w:val="single" w:sz="4" w:space="0" w:color="auto"/>
            </w:tcBorders>
            <w:shd w:val="clear" w:color="000000" w:fill="BFBFBF"/>
            <w:vAlign w:val="center"/>
            <w:hideMark/>
          </w:tcPr>
          <w:p w14:paraId="5DEBDCF1"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SUPUESTO</w:t>
            </w:r>
          </w:p>
        </w:tc>
      </w:tr>
      <w:tr w:rsidR="00BA4BA3" w:rsidRPr="00FD08F8" w14:paraId="623BB782" w14:textId="77777777" w:rsidTr="003D04F9">
        <w:trPr>
          <w:gridAfter w:val="1"/>
          <w:wAfter w:w="17" w:type="dxa"/>
          <w:trHeight w:val="2122"/>
        </w:trPr>
        <w:tc>
          <w:tcPr>
            <w:tcW w:w="1270" w:type="dxa"/>
            <w:tcBorders>
              <w:top w:val="single" w:sz="4" w:space="0" w:color="auto"/>
              <w:left w:val="single" w:sz="4" w:space="0" w:color="auto"/>
              <w:bottom w:val="single" w:sz="4" w:space="0" w:color="auto"/>
              <w:right w:val="single" w:sz="4" w:space="0" w:color="auto"/>
            </w:tcBorders>
            <w:shd w:val="clear" w:color="auto" w:fill="auto"/>
          </w:tcPr>
          <w:p w14:paraId="210565FF" w14:textId="4C86E095" w:rsidR="00BA4BA3" w:rsidRPr="00634003" w:rsidRDefault="00BA4BA3" w:rsidP="00BA4BA3">
            <w:pPr>
              <w:jc w:val="center"/>
              <w:rPr>
                <w:rFonts w:cs="Arial"/>
                <w:b/>
                <w:bCs/>
                <w:sz w:val="20"/>
                <w:szCs w:val="20"/>
              </w:rPr>
            </w:pPr>
            <w:r w:rsidRPr="00FD08F8">
              <w:rPr>
                <w:rFonts w:eastAsia="Times New Roman" w:cs="Arial"/>
                <w:b/>
                <w:bCs/>
                <w:sz w:val="20"/>
                <w:szCs w:val="20"/>
                <w:lang w:val="es-MX" w:eastAsia="es-MX"/>
              </w:rPr>
              <w:t>Actividad</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726A766" w14:textId="6D629E4D" w:rsidR="00BA4BA3" w:rsidRPr="009D6A26" w:rsidRDefault="00BA4BA3" w:rsidP="00BA4BA3">
            <w:pPr>
              <w:spacing w:after="0" w:line="240" w:lineRule="auto"/>
              <w:jc w:val="left"/>
              <w:rPr>
                <w:rFonts w:eastAsia="Times New Roman" w:cs="Arial"/>
                <w:sz w:val="20"/>
                <w:szCs w:val="20"/>
                <w:lang w:val="es-MX" w:eastAsia="es-MX"/>
              </w:rPr>
            </w:pPr>
            <w:r w:rsidRPr="0004413B">
              <w:rPr>
                <w:rFonts w:cs="Arial"/>
                <w:sz w:val="20"/>
                <w:szCs w:val="20"/>
              </w:rPr>
              <w:t>Impulsar la vinculación con instituciones públicas y privadas para la realización del servicio social, prácticas profesionales o su equivalente y modelo dual por parte de los estudiantes de educación superior.</w:t>
            </w:r>
          </w:p>
        </w:tc>
        <w:tc>
          <w:tcPr>
            <w:tcW w:w="2834" w:type="dxa"/>
            <w:tcBorders>
              <w:top w:val="single" w:sz="4" w:space="0" w:color="auto"/>
              <w:left w:val="single" w:sz="4" w:space="0" w:color="auto"/>
              <w:bottom w:val="single" w:sz="4" w:space="0" w:color="auto"/>
              <w:right w:val="single" w:sz="4" w:space="0" w:color="auto"/>
            </w:tcBorders>
            <w:shd w:val="clear" w:color="auto" w:fill="auto"/>
          </w:tcPr>
          <w:p w14:paraId="50F0E3FF" w14:textId="7B5FD892" w:rsidR="00BA4BA3" w:rsidRPr="009D6A26" w:rsidRDefault="00BA4BA3" w:rsidP="00BA4BA3">
            <w:pPr>
              <w:spacing w:after="0" w:line="240" w:lineRule="auto"/>
              <w:jc w:val="left"/>
              <w:rPr>
                <w:rFonts w:eastAsia="Times New Roman" w:cs="Arial"/>
                <w:sz w:val="20"/>
                <w:szCs w:val="20"/>
                <w:lang w:val="es-MX" w:eastAsia="es-MX"/>
              </w:rPr>
            </w:pPr>
            <w:r w:rsidRPr="0004413B">
              <w:rPr>
                <w:rFonts w:cs="Arial"/>
                <w:sz w:val="20"/>
                <w:szCs w:val="20"/>
              </w:rPr>
              <w:t>C03.A01 - Desarrollo de esquemas de vinculación con el sector productivo y social en acciones.</w:t>
            </w:r>
          </w:p>
        </w:tc>
        <w:tc>
          <w:tcPr>
            <w:tcW w:w="2267" w:type="dxa"/>
            <w:tcBorders>
              <w:top w:val="single" w:sz="4" w:space="0" w:color="auto"/>
              <w:left w:val="single" w:sz="4" w:space="0" w:color="auto"/>
              <w:bottom w:val="single" w:sz="4" w:space="0" w:color="auto"/>
              <w:right w:val="single" w:sz="4" w:space="0" w:color="auto"/>
            </w:tcBorders>
            <w:shd w:val="clear" w:color="FFFFFF" w:fill="FFFFFF"/>
          </w:tcPr>
          <w:p w14:paraId="446795B6" w14:textId="270448C2" w:rsidR="00BA4BA3" w:rsidRPr="009D6A26" w:rsidRDefault="00BA4BA3" w:rsidP="00BA4BA3">
            <w:pPr>
              <w:spacing w:after="0" w:line="240" w:lineRule="auto"/>
              <w:jc w:val="left"/>
              <w:rPr>
                <w:rFonts w:eastAsia="Times New Roman" w:cs="Arial"/>
                <w:sz w:val="20"/>
                <w:szCs w:val="20"/>
                <w:lang w:val="es-MX" w:eastAsia="es-MX"/>
              </w:rPr>
            </w:pPr>
            <w:r w:rsidRPr="00574DAC">
              <w:rPr>
                <w:rFonts w:cs="Arial"/>
                <w:sz w:val="20"/>
                <w:szCs w:val="20"/>
              </w:rPr>
              <w:t xml:space="preserve">C03A01 - </w:t>
            </w:r>
            <w:r w:rsidRPr="0004413B">
              <w:rPr>
                <w:rFonts w:cs="Arial"/>
                <w:sz w:val="20"/>
                <w:szCs w:val="20"/>
              </w:rPr>
              <w:t>Porcentaje de satisfacción de organismos vinculados</w:t>
            </w:r>
            <w:r>
              <w:rPr>
                <w:rFonts w:cs="Arial"/>
                <w:sz w:val="20"/>
                <w:szCs w:val="20"/>
              </w:rPr>
              <w:t>.</w:t>
            </w:r>
          </w:p>
        </w:tc>
        <w:tc>
          <w:tcPr>
            <w:tcW w:w="3122" w:type="dxa"/>
            <w:tcBorders>
              <w:top w:val="single" w:sz="4" w:space="0" w:color="auto"/>
              <w:left w:val="single" w:sz="4" w:space="0" w:color="auto"/>
              <w:bottom w:val="single" w:sz="4" w:space="0" w:color="auto"/>
              <w:right w:val="single" w:sz="4" w:space="0" w:color="auto"/>
            </w:tcBorders>
            <w:shd w:val="clear" w:color="auto" w:fill="auto"/>
          </w:tcPr>
          <w:p w14:paraId="54E74C6B" w14:textId="6A680DB8" w:rsidR="00BA4BA3" w:rsidRPr="009D6A26" w:rsidRDefault="00BA4BA3" w:rsidP="00BA4BA3">
            <w:pPr>
              <w:spacing w:after="0" w:line="240" w:lineRule="auto"/>
              <w:jc w:val="left"/>
              <w:rPr>
                <w:rFonts w:eastAsia="Times New Roman" w:cs="Arial"/>
                <w:sz w:val="20"/>
                <w:szCs w:val="20"/>
                <w:lang w:val="es-MX" w:eastAsia="es-MX"/>
              </w:rPr>
            </w:pPr>
            <w:r w:rsidRPr="0004413B">
              <w:rPr>
                <w:rFonts w:cs="Arial"/>
                <w:sz w:val="20"/>
                <w:szCs w:val="20"/>
              </w:rPr>
              <w:t xml:space="preserve">Encuesta de satisfacción de organismos vinculados, Dirección de Vinculación. </w:t>
            </w:r>
            <w:hyperlink r:id="rId104" w:history="1">
              <w:r w:rsidRPr="0004413B">
                <w:rPr>
                  <w:rFonts w:cs="Arial"/>
                  <w:sz w:val="20"/>
                  <w:szCs w:val="20"/>
                </w:rPr>
                <w:t>http://www.utchetumal.edu.mx/medios_verificacion/2021</w:t>
              </w:r>
            </w:hyperlink>
            <w:r>
              <w:rPr>
                <w:rFonts w:cs="Arial"/>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86B94E4" w14:textId="34E3447B" w:rsidR="00BA4BA3" w:rsidRPr="009D6A26" w:rsidRDefault="00BA4BA3" w:rsidP="00BA4BA3">
            <w:pPr>
              <w:spacing w:after="0" w:line="240" w:lineRule="auto"/>
              <w:jc w:val="left"/>
              <w:rPr>
                <w:rFonts w:eastAsia="Times New Roman" w:cs="Arial"/>
                <w:sz w:val="20"/>
                <w:szCs w:val="20"/>
                <w:lang w:val="es-MX" w:eastAsia="es-MX"/>
              </w:rPr>
            </w:pPr>
            <w:r w:rsidRPr="0004413B">
              <w:rPr>
                <w:rFonts w:cs="Arial"/>
                <w:sz w:val="20"/>
                <w:szCs w:val="20"/>
              </w:rPr>
              <w:t>Los organismos vinculados están satisfechos con el desempeño de los estudiantes que desarrollan proyectos durante su proceso de estadía profesional.</w:t>
            </w:r>
          </w:p>
        </w:tc>
      </w:tr>
      <w:tr w:rsidR="00866F7E" w:rsidRPr="00FD08F8" w14:paraId="754BA71C" w14:textId="77777777" w:rsidTr="003D04F9">
        <w:trPr>
          <w:gridAfter w:val="1"/>
          <w:wAfter w:w="17" w:type="dxa"/>
          <w:trHeight w:val="2122"/>
        </w:trPr>
        <w:tc>
          <w:tcPr>
            <w:tcW w:w="1270" w:type="dxa"/>
            <w:tcBorders>
              <w:top w:val="single" w:sz="4" w:space="0" w:color="auto"/>
              <w:left w:val="single" w:sz="4" w:space="0" w:color="auto"/>
              <w:bottom w:val="single" w:sz="4" w:space="0" w:color="auto"/>
              <w:right w:val="single" w:sz="4" w:space="0" w:color="auto"/>
            </w:tcBorders>
            <w:shd w:val="clear" w:color="auto" w:fill="auto"/>
          </w:tcPr>
          <w:p w14:paraId="1349DEF7" w14:textId="431F7AE4" w:rsidR="00866F7E" w:rsidRPr="00634003" w:rsidRDefault="00866F7E" w:rsidP="00866F7E">
            <w:pPr>
              <w:jc w:val="center"/>
              <w:rPr>
                <w:rFonts w:cs="Arial"/>
                <w:b/>
                <w:bCs/>
                <w:sz w:val="20"/>
                <w:szCs w:val="20"/>
              </w:rPr>
            </w:pPr>
            <w:r w:rsidRPr="00634003">
              <w:rPr>
                <w:rFonts w:cs="Arial"/>
                <w:b/>
                <w:bCs/>
                <w:sz w:val="20"/>
                <w:szCs w:val="20"/>
              </w:rPr>
              <w:t>Actividad</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3FB635A" w14:textId="29BA4E6D" w:rsidR="00866F7E" w:rsidRPr="009D6A26" w:rsidRDefault="00866F7E" w:rsidP="00866F7E">
            <w:pPr>
              <w:spacing w:after="0" w:line="240" w:lineRule="auto"/>
              <w:jc w:val="left"/>
              <w:rPr>
                <w:rFonts w:eastAsia="Times New Roman" w:cs="Arial"/>
                <w:sz w:val="20"/>
                <w:szCs w:val="20"/>
                <w:lang w:val="es-MX" w:eastAsia="es-MX"/>
              </w:rPr>
            </w:pPr>
            <w:r w:rsidRPr="009D6A26">
              <w:rPr>
                <w:rFonts w:eastAsia="Times New Roman" w:cs="Arial"/>
                <w:sz w:val="20"/>
                <w:szCs w:val="20"/>
                <w:lang w:val="es-MX" w:eastAsia="es-MX"/>
              </w:rPr>
              <w:t>Impulsar la vinculación con instituciones públicas y privadas para la realización del servicio social, prácticas profesionales o su equivalente y modelo dual por parte de los estudiantes de educación superior.</w:t>
            </w:r>
          </w:p>
        </w:tc>
        <w:tc>
          <w:tcPr>
            <w:tcW w:w="2834" w:type="dxa"/>
            <w:tcBorders>
              <w:top w:val="single" w:sz="4" w:space="0" w:color="auto"/>
              <w:left w:val="single" w:sz="4" w:space="0" w:color="auto"/>
              <w:bottom w:val="single" w:sz="4" w:space="0" w:color="auto"/>
              <w:right w:val="single" w:sz="4" w:space="0" w:color="auto"/>
            </w:tcBorders>
            <w:shd w:val="clear" w:color="auto" w:fill="auto"/>
          </w:tcPr>
          <w:p w14:paraId="2E1F4153" w14:textId="6B5F7E04" w:rsidR="00866F7E" w:rsidRPr="009D6A26" w:rsidRDefault="00866F7E" w:rsidP="00866F7E">
            <w:pPr>
              <w:spacing w:after="0" w:line="240" w:lineRule="auto"/>
              <w:jc w:val="left"/>
              <w:rPr>
                <w:rFonts w:eastAsia="Times New Roman" w:cs="Arial"/>
                <w:sz w:val="20"/>
                <w:szCs w:val="20"/>
                <w:lang w:val="es-MX" w:eastAsia="es-MX"/>
              </w:rPr>
            </w:pPr>
            <w:r w:rsidRPr="009D6A26">
              <w:rPr>
                <w:rFonts w:eastAsia="Times New Roman" w:cs="Arial"/>
                <w:sz w:val="20"/>
                <w:szCs w:val="20"/>
                <w:lang w:val="es-MX" w:eastAsia="es-MX"/>
              </w:rPr>
              <w:t>C03.A02 - Concertación de Convenios de colaboración con organismos públicos y privados.</w:t>
            </w:r>
          </w:p>
        </w:tc>
        <w:tc>
          <w:tcPr>
            <w:tcW w:w="2267" w:type="dxa"/>
            <w:tcBorders>
              <w:top w:val="single" w:sz="4" w:space="0" w:color="auto"/>
              <w:left w:val="single" w:sz="4" w:space="0" w:color="auto"/>
              <w:bottom w:val="single" w:sz="4" w:space="0" w:color="auto"/>
              <w:right w:val="single" w:sz="4" w:space="0" w:color="auto"/>
            </w:tcBorders>
            <w:shd w:val="clear" w:color="FFFFFF" w:fill="FFFFFF"/>
          </w:tcPr>
          <w:p w14:paraId="0019C787" w14:textId="4972582A" w:rsidR="00866F7E" w:rsidRPr="00885FDC" w:rsidRDefault="00866F7E" w:rsidP="00866F7E">
            <w:pPr>
              <w:spacing w:after="0" w:line="240" w:lineRule="auto"/>
              <w:jc w:val="left"/>
              <w:rPr>
                <w:rFonts w:eastAsia="Times New Roman" w:cs="Arial"/>
                <w:sz w:val="20"/>
                <w:szCs w:val="20"/>
                <w:lang w:val="es-MX" w:eastAsia="es-MX"/>
              </w:rPr>
            </w:pPr>
            <w:r w:rsidRPr="009D6A26">
              <w:rPr>
                <w:rFonts w:eastAsia="Times New Roman" w:cs="Arial"/>
                <w:sz w:val="20"/>
                <w:szCs w:val="20"/>
                <w:lang w:val="es-MX" w:eastAsia="es-MX"/>
              </w:rPr>
              <w:t>C03A02 - Porcentaje de satisfacción de estudiantes y docentes vinculados</w:t>
            </w:r>
          </w:p>
        </w:tc>
        <w:tc>
          <w:tcPr>
            <w:tcW w:w="3122" w:type="dxa"/>
            <w:tcBorders>
              <w:top w:val="single" w:sz="4" w:space="0" w:color="auto"/>
              <w:left w:val="single" w:sz="4" w:space="0" w:color="auto"/>
              <w:bottom w:val="single" w:sz="4" w:space="0" w:color="auto"/>
              <w:right w:val="single" w:sz="4" w:space="0" w:color="auto"/>
            </w:tcBorders>
            <w:shd w:val="clear" w:color="auto" w:fill="auto"/>
          </w:tcPr>
          <w:p w14:paraId="78082642" w14:textId="42AD0EB6" w:rsidR="00866F7E" w:rsidRPr="00885FDC" w:rsidRDefault="00866F7E" w:rsidP="00866F7E">
            <w:pPr>
              <w:spacing w:after="0" w:line="240" w:lineRule="auto"/>
              <w:jc w:val="left"/>
              <w:rPr>
                <w:rFonts w:eastAsia="Times New Roman" w:cs="Arial"/>
                <w:sz w:val="20"/>
                <w:szCs w:val="20"/>
                <w:lang w:val="es-MX" w:eastAsia="es-MX"/>
              </w:rPr>
            </w:pPr>
            <w:r w:rsidRPr="009D6A26">
              <w:rPr>
                <w:rFonts w:eastAsia="Times New Roman" w:cs="Arial"/>
                <w:sz w:val="20"/>
                <w:szCs w:val="20"/>
                <w:lang w:val="es-MX" w:eastAsia="es-MX"/>
              </w:rPr>
              <w:t xml:space="preserve">Encuesta de satisfacción de estudiantes y docentes vinculados, Dirección de Vinculación. </w:t>
            </w:r>
            <w:hyperlink r:id="rId105" w:history="1">
              <w:r w:rsidRPr="001628A3">
                <w:rPr>
                  <w:rFonts w:eastAsia="Times New Roman" w:cs="Arial"/>
                  <w:sz w:val="20"/>
                  <w:szCs w:val="20"/>
                  <w:lang w:val="es-MX" w:eastAsia="es-MX"/>
                </w:rPr>
                <w:t>http://www.utchetumal.edu.mx/medios_verificacion/2021</w:t>
              </w:r>
            </w:hyperlink>
            <w:r>
              <w:rPr>
                <w:rFonts w:eastAsia="Times New Roman" w:cs="Arial"/>
                <w:sz w:val="20"/>
                <w:szCs w:val="20"/>
                <w:lang w:val="es-MX" w:eastAsia="es-MX"/>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BB0B639" w14:textId="041A3297" w:rsidR="00866F7E" w:rsidRPr="00885FDC" w:rsidRDefault="00866F7E" w:rsidP="00866F7E">
            <w:pPr>
              <w:spacing w:after="0" w:line="240" w:lineRule="auto"/>
              <w:jc w:val="left"/>
              <w:rPr>
                <w:rFonts w:eastAsia="Times New Roman" w:cs="Arial"/>
                <w:sz w:val="20"/>
                <w:szCs w:val="20"/>
                <w:lang w:val="es-MX" w:eastAsia="es-MX"/>
              </w:rPr>
            </w:pPr>
            <w:r w:rsidRPr="009D6A26">
              <w:rPr>
                <w:rFonts w:eastAsia="Times New Roman" w:cs="Arial"/>
                <w:sz w:val="20"/>
                <w:szCs w:val="20"/>
                <w:lang w:val="es-MX" w:eastAsia="es-MX"/>
              </w:rPr>
              <w:t>Los organismos públicos y privados aceptan concertar convenios con la Universidad.</w:t>
            </w:r>
          </w:p>
        </w:tc>
      </w:tr>
      <w:tr w:rsidR="00E23746" w:rsidRPr="00FD08F8" w14:paraId="19813DCA" w14:textId="77777777" w:rsidTr="003D04F9">
        <w:trPr>
          <w:gridAfter w:val="1"/>
          <w:wAfter w:w="17" w:type="dxa"/>
          <w:trHeight w:val="2122"/>
        </w:trPr>
        <w:tc>
          <w:tcPr>
            <w:tcW w:w="1270" w:type="dxa"/>
            <w:tcBorders>
              <w:top w:val="single" w:sz="4" w:space="0" w:color="auto"/>
              <w:left w:val="single" w:sz="4" w:space="0" w:color="auto"/>
              <w:bottom w:val="single" w:sz="4" w:space="0" w:color="auto"/>
              <w:right w:val="single" w:sz="4" w:space="0" w:color="auto"/>
            </w:tcBorders>
            <w:shd w:val="clear" w:color="auto" w:fill="auto"/>
          </w:tcPr>
          <w:p w14:paraId="467E4A3B" w14:textId="77777777" w:rsidR="00E23746" w:rsidRPr="00FD08F8" w:rsidRDefault="00E23746" w:rsidP="000B2F10">
            <w:pPr>
              <w:jc w:val="center"/>
              <w:rPr>
                <w:rFonts w:eastAsia="Times New Roman" w:cs="Arial"/>
                <w:b/>
                <w:bCs/>
                <w:sz w:val="20"/>
                <w:szCs w:val="20"/>
                <w:lang w:val="es-MX" w:eastAsia="es-MX"/>
              </w:rPr>
            </w:pPr>
            <w:r w:rsidRPr="00634003">
              <w:rPr>
                <w:rFonts w:cs="Arial"/>
                <w:b/>
                <w:bCs/>
                <w:sz w:val="20"/>
                <w:szCs w:val="20"/>
              </w:rPr>
              <w:t>Actividad</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5F289C1" w14:textId="77777777" w:rsidR="00E23746" w:rsidRPr="009D6A26" w:rsidRDefault="00E23746" w:rsidP="000B2F10">
            <w:pPr>
              <w:spacing w:after="0" w:line="240" w:lineRule="auto"/>
              <w:jc w:val="left"/>
              <w:rPr>
                <w:rFonts w:eastAsia="Times New Roman" w:cs="Arial"/>
                <w:sz w:val="20"/>
                <w:szCs w:val="20"/>
                <w:lang w:val="es-MX" w:eastAsia="es-MX"/>
              </w:rPr>
            </w:pPr>
            <w:r w:rsidRPr="009D6A26">
              <w:rPr>
                <w:rFonts w:eastAsia="Times New Roman" w:cs="Arial"/>
                <w:sz w:val="20"/>
                <w:szCs w:val="20"/>
                <w:lang w:val="es-MX" w:eastAsia="es-MX"/>
              </w:rPr>
              <w:t>Impulsar la vinculación con instituciones públicas y privadas para la realización del servicio social, prácticas profesionales o su equivalente y modelo dual por parte de los estudiantes de educación superior.</w:t>
            </w:r>
          </w:p>
        </w:tc>
        <w:tc>
          <w:tcPr>
            <w:tcW w:w="2834" w:type="dxa"/>
            <w:tcBorders>
              <w:top w:val="single" w:sz="4" w:space="0" w:color="auto"/>
              <w:left w:val="single" w:sz="4" w:space="0" w:color="auto"/>
              <w:bottom w:val="single" w:sz="4" w:space="0" w:color="auto"/>
              <w:right w:val="single" w:sz="4" w:space="0" w:color="auto"/>
            </w:tcBorders>
            <w:shd w:val="clear" w:color="auto" w:fill="auto"/>
          </w:tcPr>
          <w:p w14:paraId="749BA686" w14:textId="77777777" w:rsidR="00E23746" w:rsidRPr="009D6A26" w:rsidRDefault="00E23746" w:rsidP="000B2F10">
            <w:pPr>
              <w:spacing w:after="0" w:line="240" w:lineRule="auto"/>
              <w:jc w:val="left"/>
              <w:rPr>
                <w:rFonts w:eastAsia="Times New Roman" w:cs="Arial"/>
                <w:sz w:val="20"/>
                <w:szCs w:val="20"/>
                <w:lang w:val="es-MX" w:eastAsia="es-MX"/>
              </w:rPr>
            </w:pPr>
            <w:r w:rsidRPr="009D6A26">
              <w:rPr>
                <w:rFonts w:eastAsia="Times New Roman" w:cs="Arial"/>
                <w:sz w:val="20"/>
                <w:szCs w:val="20"/>
                <w:lang w:val="es-MX" w:eastAsia="es-MX"/>
              </w:rPr>
              <w:t>C03.A03 - Participación en actividades deportivas, cívicas, culturales y recreativas.</w:t>
            </w:r>
          </w:p>
        </w:tc>
        <w:tc>
          <w:tcPr>
            <w:tcW w:w="2267" w:type="dxa"/>
            <w:tcBorders>
              <w:top w:val="single" w:sz="4" w:space="0" w:color="auto"/>
              <w:left w:val="single" w:sz="4" w:space="0" w:color="auto"/>
              <w:bottom w:val="single" w:sz="4" w:space="0" w:color="auto"/>
              <w:right w:val="single" w:sz="4" w:space="0" w:color="auto"/>
            </w:tcBorders>
            <w:shd w:val="clear" w:color="FFFFFF" w:fill="FFFFFF"/>
          </w:tcPr>
          <w:p w14:paraId="125054CC" w14:textId="77777777" w:rsidR="00E23746" w:rsidRPr="009D6A26" w:rsidRDefault="00E23746" w:rsidP="000B2F10">
            <w:pPr>
              <w:spacing w:after="0" w:line="240" w:lineRule="auto"/>
              <w:jc w:val="left"/>
              <w:rPr>
                <w:rFonts w:eastAsia="Times New Roman" w:cs="Arial"/>
                <w:sz w:val="20"/>
                <w:szCs w:val="20"/>
                <w:lang w:val="es-MX" w:eastAsia="es-MX"/>
              </w:rPr>
            </w:pPr>
            <w:r w:rsidRPr="00885FDC">
              <w:rPr>
                <w:rFonts w:eastAsia="Times New Roman" w:cs="Arial"/>
                <w:sz w:val="20"/>
                <w:szCs w:val="20"/>
                <w:lang w:val="es-MX" w:eastAsia="es-MX"/>
              </w:rPr>
              <w:t>C03A03 - Promedio de participantes</w:t>
            </w:r>
            <w:r w:rsidRPr="009D6A26">
              <w:rPr>
                <w:rFonts w:eastAsia="Times New Roman" w:cs="Arial"/>
                <w:sz w:val="20"/>
                <w:szCs w:val="20"/>
                <w:lang w:val="es-MX" w:eastAsia="es-MX"/>
              </w:rPr>
              <w:t>.</w:t>
            </w:r>
          </w:p>
        </w:tc>
        <w:tc>
          <w:tcPr>
            <w:tcW w:w="3122" w:type="dxa"/>
            <w:tcBorders>
              <w:top w:val="single" w:sz="4" w:space="0" w:color="auto"/>
              <w:left w:val="single" w:sz="4" w:space="0" w:color="auto"/>
              <w:bottom w:val="single" w:sz="4" w:space="0" w:color="auto"/>
              <w:right w:val="single" w:sz="4" w:space="0" w:color="auto"/>
            </w:tcBorders>
            <w:shd w:val="clear" w:color="auto" w:fill="auto"/>
          </w:tcPr>
          <w:p w14:paraId="2ED1E22A" w14:textId="77777777" w:rsidR="00E23746" w:rsidRPr="009D6A26" w:rsidRDefault="00E23746" w:rsidP="000B2F10">
            <w:pPr>
              <w:spacing w:after="0" w:line="240" w:lineRule="auto"/>
              <w:jc w:val="left"/>
              <w:rPr>
                <w:rFonts w:eastAsia="Times New Roman" w:cs="Arial"/>
                <w:sz w:val="20"/>
                <w:szCs w:val="20"/>
                <w:lang w:val="es-MX" w:eastAsia="es-MX"/>
              </w:rPr>
            </w:pPr>
            <w:r w:rsidRPr="00885FDC">
              <w:rPr>
                <w:rFonts w:eastAsia="Times New Roman" w:cs="Arial"/>
                <w:sz w:val="20"/>
                <w:szCs w:val="20"/>
                <w:lang w:val="es-MX" w:eastAsia="es-MX"/>
              </w:rPr>
              <w:t xml:space="preserve">Listas de asistencias. Evidencias fotográficas, Dirección de Vinculación. </w:t>
            </w:r>
            <w:hyperlink r:id="rId106" w:history="1">
              <w:r w:rsidRPr="001628A3">
                <w:rPr>
                  <w:rFonts w:eastAsia="Times New Roman" w:cs="Arial"/>
                  <w:sz w:val="20"/>
                  <w:szCs w:val="20"/>
                  <w:lang w:val="es-MX" w:eastAsia="es-MX"/>
                </w:rPr>
                <w:t>http://www.utchetumal.edu.mx/medios_verificacion/2021</w:t>
              </w:r>
            </w:hyperlink>
            <w:r>
              <w:rPr>
                <w:rFonts w:eastAsia="Times New Roman" w:cs="Arial"/>
                <w:sz w:val="20"/>
                <w:szCs w:val="20"/>
                <w:lang w:val="es-MX" w:eastAsia="es-MX"/>
              </w:rPr>
              <w:t>.</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4DE26BF" w14:textId="77777777" w:rsidR="00E23746" w:rsidRPr="009D6A26" w:rsidRDefault="00E23746" w:rsidP="000B2F10">
            <w:pPr>
              <w:spacing w:after="0" w:line="240" w:lineRule="auto"/>
              <w:jc w:val="left"/>
              <w:rPr>
                <w:rFonts w:eastAsia="Times New Roman" w:cs="Arial"/>
                <w:sz w:val="20"/>
                <w:szCs w:val="20"/>
                <w:lang w:val="es-MX" w:eastAsia="es-MX"/>
              </w:rPr>
            </w:pPr>
            <w:r w:rsidRPr="00885FDC">
              <w:rPr>
                <w:rFonts w:eastAsia="Times New Roman" w:cs="Arial"/>
                <w:sz w:val="20"/>
                <w:szCs w:val="20"/>
                <w:lang w:val="es-MX" w:eastAsia="es-MX"/>
              </w:rPr>
              <w:t>Los estudiantes participan activamente en las actividades.</w:t>
            </w:r>
          </w:p>
        </w:tc>
      </w:tr>
    </w:tbl>
    <w:p w14:paraId="583D8972" w14:textId="0DC6E719" w:rsidR="00E23746" w:rsidRDefault="00E23746" w:rsidP="00E23746">
      <w:pPr>
        <w:rPr>
          <w:lang w:val="es-MX" w:eastAsia="en-US"/>
        </w:rPr>
      </w:pPr>
      <w:r w:rsidRPr="0093279A">
        <w:rPr>
          <w:rFonts w:eastAsia="Calibri" w:cs="Arial"/>
          <w:bCs/>
          <w:color w:val="595959" w:themeColor="text1" w:themeTint="A6"/>
          <w:sz w:val="18"/>
          <w:szCs w:val="20"/>
        </w:rPr>
        <w:t>El anexo aquí presentado es perfectible, y se encuentra susceptible de modificaciones programáticas toda vez que así se le indique por observaciones de auditorías, evaluaciones al desempeño y revisiones de la Secretaría de Finanzas y Planeación antes y durante el ejercicio fiscal del que se trate, así como también, cuando las condiciones del Ente Público responsable de dicha información programática requiera hacer modificaciones a sus necesidades institucionales, atendiendo a lo establecido en los Lineamientos para la Creación, Modificación y Cancelación de Programas Presupuestarios y para la Modificación de Metas del Gobierno del Estado de Quintana Roo.</w:t>
      </w:r>
      <w:r>
        <w:rPr>
          <w:lang w:val="es-MX" w:eastAsia="en-US"/>
        </w:rPr>
        <w:br w:type="page"/>
      </w:r>
    </w:p>
    <w:tbl>
      <w:tblPr>
        <w:tblW w:w="14029" w:type="dxa"/>
        <w:tblLayout w:type="fixed"/>
        <w:tblCellMar>
          <w:left w:w="70" w:type="dxa"/>
          <w:right w:w="70" w:type="dxa"/>
        </w:tblCellMar>
        <w:tblLook w:val="04A0" w:firstRow="1" w:lastRow="0" w:firstColumn="1" w:lastColumn="0" w:noHBand="0" w:noVBand="1"/>
      </w:tblPr>
      <w:tblGrid>
        <w:gridCol w:w="1271"/>
        <w:gridCol w:w="2835"/>
        <w:gridCol w:w="2835"/>
        <w:gridCol w:w="2268"/>
        <w:gridCol w:w="2693"/>
        <w:gridCol w:w="2127"/>
      </w:tblGrid>
      <w:tr w:rsidR="00E23746" w:rsidRPr="00FD08F8" w14:paraId="119E51FD" w14:textId="77777777" w:rsidTr="000B2F10">
        <w:trPr>
          <w:trHeight w:val="720"/>
        </w:trPr>
        <w:tc>
          <w:tcPr>
            <w:tcW w:w="4106" w:type="dxa"/>
            <w:gridSpan w:val="2"/>
            <w:tcBorders>
              <w:top w:val="single" w:sz="4" w:space="0" w:color="auto"/>
              <w:left w:val="single" w:sz="4" w:space="0" w:color="auto"/>
              <w:bottom w:val="single" w:sz="4" w:space="0" w:color="auto"/>
              <w:right w:val="single" w:sz="4" w:space="0" w:color="000000"/>
            </w:tcBorders>
            <w:shd w:val="clear" w:color="000000" w:fill="BFBFBF"/>
            <w:vAlign w:val="center"/>
            <w:hideMark/>
          </w:tcPr>
          <w:p w14:paraId="4BCECEED"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lastRenderedPageBreak/>
              <w:t>PROGRAMA PRESUPUESTARIO:</w:t>
            </w:r>
          </w:p>
        </w:tc>
        <w:tc>
          <w:tcPr>
            <w:tcW w:w="9923" w:type="dxa"/>
            <w:gridSpan w:val="4"/>
            <w:tcBorders>
              <w:top w:val="single" w:sz="4" w:space="0" w:color="auto"/>
              <w:left w:val="nil"/>
              <w:bottom w:val="single" w:sz="4" w:space="0" w:color="auto"/>
              <w:right w:val="single" w:sz="4" w:space="0" w:color="auto"/>
            </w:tcBorders>
            <w:shd w:val="clear" w:color="auto" w:fill="auto"/>
            <w:vAlign w:val="center"/>
            <w:hideMark/>
          </w:tcPr>
          <w:p w14:paraId="57E5453E" w14:textId="77777777" w:rsidR="00E23746" w:rsidRPr="00FD08F8" w:rsidRDefault="00E23746" w:rsidP="000B2F10">
            <w:pPr>
              <w:spacing w:after="0" w:line="240" w:lineRule="auto"/>
              <w:jc w:val="left"/>
              <w:rPr>
                <w:rFonts w:eastAsia="Times New Roman" w:cs="Arial"/>
                <w:sz w:val="20"/>
                <w:szCs w:val="20"/>
                <w:lang w:val="es-MX" w:eastAsia="es-MX"/>
              </w:rPr>
            </w:pPr>
            <w:r w:rsidRPr="00ED729F">
              <w:rPr>
                <w:rFonts w:eastAsia="Times New Roman" w:cs="Arial"/>
                <w:sz w:val="20"/>
                <w:szCs w:val="20"/>
                <w:lang w:val="es-MX" w:eastAsia="es-MX"/>
              </w:rPr>
              <w:t>Universidad Tecnológica de la Riviera Maya</w:t>
            </w:r>
            <w:r>
              <w:rPr>
                <w:rFonts w:eastAsia="Times New Roman" w:cs="Arial"/>
                <w:sz w:val="20"/>
                <w:szCs w:val="20"/>
                <w:lang w:val="es-MX" w:eastAsia="es-MX"/>
              </w:rPr>
              <w:t>.</w:t>
            </w:r>
          </w:p>
        </w:tc>
      </w:tr>
      <w:tr w:rsidR="00E23746" w:rsidRPr="00FD08F8" w14:paraId="0B7B9BE1" w14:textId="77777777" w:rsidTr="000B2F10">
        <w:trPr>
          <w:trHeight w:val="552"/>
        </w:trPr>
        <w:tc>
          <w:tcPr>
            <w:tcW w:w="4106" w:type="dxa"/>
            <w:gridSpan w:val="2"/>
            <w:tcBorders>
              <w:top w:val="single" w:sz="4" w:space="0" w:color="auto"/>
              <w:left w:val="single" w:sz="4" w:space="0" w:color="auto"/>
              <w:bottom w:val="single" w:sz="4" w:space="0" w:color="auto"/>
              <w:right w:val="single" w:sz="4" w:space="0" w:color="000000"/>
            </w:tcBorders>
            <w:shd w:val="clear" w:color="000000" w:fill="BFBFBF"/>
            <w:vAlign w:val="center"/>
            <w:hideMark/>
          </w:tcPr>
          <w:p w14:paraId="01BC110F"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INSTITUCIÓN:</w:t>
            </w:r>
          </w:p>
        </w:tc>
        <w:tc>
          <w:tcPr>
            <w:tcW w:w="9923" w:type="dxa"/>
            <w:gridSpan w:val="4"/>
            <w:tcBorders>
              <w:top w:val="single" w:sz="4" w:space="0" w:color="auto"/>
              <w:left w:val="nil"/>
              <w:bottom w:val="single" w:sz="4" w:space="0" w:color="auto"/>
              <w:right w:val="single" w:sz="4" w:space="0" w:color="auto"/>
            </w:tcBorders>
            <w:shd w:val="clear" w:color="auto" w:fill="auto"/>
            <w:vAlign w:val="center"/>
            <w:hideMark/>
          </w:tcPr>
          <w:p w14:paraId="26E71E21" w14:textId="77777777" w:rsidR="00E23746" w:rsidRPr="00FD08F8" w:rsidRDefault="00E23746" w:rsidP="000B2F10">
            <w:pPr>
              <w:spacing w:after="0" w:line="240" w:lineRule="auto"/>
              <w:jc w:val="left"/>
              <w:rPr>
                <w:rFonts w:eastAsia="Times New Roman" w:cs="Arial"/>
                <w:sz w:val="20"/>
                <w:szCs w:val="20"/>
                <w:lang w:val="es-MX" w:eastAsia="es-MX"/>
              </w:rPr>
            </w:pPr>
            <w:r w:rsidRPr="00FD08F8">
              <w:rPr>
                <w:rFonts w:eastAsia="Times New Roman" w:cs="Arial"/>
                <w:sz w:val="20"/>
                <w:szCs w:val="20"/>
                <w:lang w:val="es-MX" w:eastAsia="es-MX"/>
              </w:rPr>
              <w:t>1109 Secretaría de Educación de Quintana Roo</w:t>
            </w:r>
            <w:r>
              <w:rPr>
                <w:rFonts w:eastAsia="Times New Roman" w:cs="Arial"/>
                <w:sz w:val="20"/>
                <w:szCs w:val="20"/>
                <w:lang w:val="es-MX" w:eastAsia="es-MX"/>
              </w:rPr>
              <w:t>.</w:t>
            </w:r>
          </w:p>
        </w:tc>
      </w:tr>
      <w:tr w:rsidR="00E23746" w:rsidRPr="00FD08F8" w14:paraId="05E7B4C0" w14:textId="77777777" w:rsidTr="000B2F10">
        <w:trPr>
          <w:trHeight w:val="282"/>
        </w:trPr>
        <w:tc>
          <w:tcPr>
            <w:tcW w:w="1271" w:type="dxa"/>
            <w:tcBorders>
              <w:top w:val="nil"/>
              <w:left w:val="nil"/>
              <w:bottom w:val="nil"/>
              <w:right w:val="nil"/>
            </w:tcBorders>
            <w:shd w:val="clear" w:color="auto" w:fill="auto"/>
            <w:hideMark/>
          </w:tcPr>
          <w:p w14:paraId="2017C096" w14:textId="77777777" w:rsidR="00E23746" w:rsidRPr="00FD08F8" w:rsidRDefault="00E23746" w:rsidP="000B2F10">
            <w:pPr>
              <w:spacing w:after="0" w:line="240" w:lineRule="auto"/>
              <w:jc w:val="left"/>
              <w:rPr>
                <w:rFonts w:eastAsia="Times New Roman" w:cs="Arial"/>
                <w:sz w:val="20"/>
                <w:szCs w:val="20"/>
                <w:lang w:val="es-MX" w:eastAsia="es-MX"/>
              </w:rPr>
            </w:pPr>
          </w:p>
        </w:tc>
        <w:tc>
          <w:tcPr>
            <w:tcW w:w="2835" w:type="dxa"/>
            <w:tcBorders>
              <w:top w:val="nil"/>
              <w:left w:val="nil"/>
              <w:bottom w:val="nil"/>
              <w:right w:val="nil"/>
            </w:tcBorders>
            <w:shd w:val="clear" w:color="auto" w:fill="auto"/>
            <w:hideMark/>
          </w:tcPr>
          <w:p w14:paraId="4A43F6A9" w14:textId="77777777" w:rsidR="00E23746" w:rsidRPr="00FD08F8" w:rsidRDefault="00E23746" w:rsidP="000B2F10">
            <w:pPr>
              <w:spacing w:after="0" w:line="240" w:lineRule="auto"/>
              <w:jc w:val="left"/>
              <w:rPr>
                <w:rFonts w:ascii="Times New Roman" w:eastAsia="Times New Roman" w:hAnsi="Times New Roman" w:cs="Times New Roman"/>
                <w:sz w:val="20"/>
                <w:szCs w:val="20"/>
                <w:lang w:val="es-MX" w:eastAsia="es-MX"/>
              </w:rPr>
            </w:pPr>
          </w:p>
        </w:tc>
        <w:tc>
          <w:tcPr>
            <w:tcW w:w="2835" w:type="dxa"/>
            <w:tcBorders>
              <w:top w:val="nil"/>
              <w:left w:val="nil"/>
              <w:bottom w:val="nil"/>
              <w:right w:val="nil"/>
            </w:tcBorders>
            <w:shd w:val="clear" w:color="auto" w:fill="auto"/>
            <w:hideMark/>
          </w:tcPr>
          <w:p w14:paraId="2C5A85C4" w14:textId="77777777" w:rsidR="00E23746" w:rsidRPr="00FD08F8" w:rsidRDefault="00E23746" w:rsidP="000B2F10">
            <w:pPr>
              <w:spacing w:after="0" w:line="240" w:lineRule="auto"/>
              <w:jc w:val="left"/>
              <w:rPr>
                <w:rFonts w:ascii="Times New Roman" w:eastAsia="Times New Roman" w:hAnsi="Times New Roman" w:cs="Times New Roman"/>
                <w:sz w:val="20"/>
                <w:szCs w:val="20"/>
                <w:lang w:val="es-MX" w:eastAsia="es-MX"/>
              </w:rPr>
            </w:pPr>
          </w:p>
        </w:tc>
        <w:tc>
          <w:tcPr>
            <w:tcW w:w="2268" w:type="dxa"/>
            <w:tcBorders>
              <w:top w:val="nil"/>
              <w:left w:val="nil"/>
              <w:bottom w:val="nil"/>
              <w:right w:val="nil"/>
            </w:tcBorders>
            <w:shd w:val="clear" w:color="auto" w:fill="auto"/>
            <w:hideMark/>
          </w:tcPr>
          <w:p w14:paraId="27CA77E9" w14:textId="77777777" w:rsidR="00E23746" w:rsidRPr="00FD08F8" w:rsidRDefault="00E23746" w:rsidP="000B2F10">
            <w:pPr>
              <w:spacing w:after="0" w:line="240" w:lineRule="auto"/>
              <w:jc w:val="left"/>
              <w:rPr>
                <w:rFonts w:ascii="Times New Roman" w:eastAsia="Times New Roman" w:hAnsi="Times New Roman" w:cs="Times New Roman"/>
                <w:sz w:val="20"/>
                <w:szCs w:val="20"/>
                <w:lang w:val="es-MX" w:eastAsia="es-MX"/>
              </w:rPr>
            </w:pPr>
          </w:p>
        </w:tc>
        <w:tc>
          <w:tcPr>
            <w:tcW w:w="2693" w:type="dxa"/>
            <w:tcBorders>
              <w:top w:val="nil"/>
              <w:left w:val="nil"/>
              <w:bottom w:val="nil"/>
              <w:right w:val="nil"/>
            </w:tcBorders>
            <w:shd w:val="clear" w:color="auto" w:fill="auto"/>
            <w:hideMark/>
          </w:tcPr>
          <w:p w14:paraId="1D66F8F8" w14:textId="77777777" w:rsidR="00E23746" w:rsidRPr="00FD08F8" w:rsidRDefault="00E23746" w:rsidP="000B2F10">
            <w:pPr>
              <w:spacing w:after="0" w:line="240" w:lineRule="auto"/>
              <w:jc w:val="left"/>
              <w:rPr>
                <w:rFonts w:ascii="Times New Roman" w:eastAsia="Times New Roman" w:hAnsi="Times New Roman" w:cs="Times New Roman"/>
                <w:sz w:val="20"/>
                <w:szCs w:val="20"/>
                <w:lang w:val="es-MX" w:eastAsia="es-MX"/>
              </w:rPr>
            </w:pPr>
          </w:p>
        </w:tc>
        <w:tc>
          <w:tcPr>
            <w:tcW w:w="2127" w:type="dxa"/>
            <w:tcBorders>
              <w:top w:val="nil"/>
              <w:left w:val="nil"/>
              <w:bottom w:val="nil"/>
              <w:right w:val="nil"/>
            </w:tcBorders>
            <w:shd w:val="clear" w:color="auto" w:fill="auto"/>
            <w:hideMark/>
          </w:tcPr>
          <w:p w14:paraId="1269F4F9" w14:textId="77777777" w:rsidR="00E23746" w:rsidRPr="00FD08F8" w:rsidRDefault="00E23746" w:rsidP="000B2F10">
            <w:pPr>
              <w:spacing w:after="0" w:line="240" w:lineRule="auto"/>
              <w:jc w:val="left"/>
              <w:rPr>
                <w:rFonts w:ascii="Times New Roman" w:eastAsia="Times New Roman" w:hAnsi="Times New Roman" w:cs="Times New Roman"/>
                <w:sz w:val="20"/>
                <w:szCs w:val="20"/>
                <w:lang w:val="es-MX" w:eastAsia="es-MX"/>
              </w:rPr>
            </w:pPr>
          </w:p>
        </w:tc>
      </w:tr>
      <w:tr w:rsidR="00E23746" w:rsidRPr="00FD08F8" w14:paraId="1F0C95D5" w14:textId="77777777" w:rsidTr="000B2F10">
        <w:trPr>
          <w:trHeight w:val="375"/>
        </w:trPr>
        <w:tc>
          <w:tcPr>
            <w:tcW w:w="14029" w:type="dxa"/>
            <w:gridSpan w:val="6"/>
            <w:tcBorders>
              <w:top w:val="single" w:sz="4" w:space="0" w:color="auto"/>
              <w:left w:val="single" w:sz="4" w:space="0" w:color="auto"/>
              <w:bottom w:val="single" w:sz="4" w:space="0" w:color="auto"/>
              <w:right w:val="single" w:sz="4" w:space="0" w:color="000000"/>
            </w:tcBorders>
            <w:shd w:val="clear" w:color="000000" w:fill="BFBFBF"/>
            <w:vAlign w:val="center"/>
            <w:hideMark/>
          </w:tcPr>
          <w:p w14:paraId="250DD762"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MATRIZ DE INDICADORES PARA RESULTADOS (MIR)</w:t>
            </w:r>
          </w:p>
        </w:tc>
      </w:tr>
      <w:tr w:rsidR="00E23746" w:rsidRPr="00FD08F8" w14:paraId="749421DF" w14:textId="77777777" w:rsidTr="003D04F9">
        <w:trPr>
          <w:trHeight w:val="577"/>
        </w:trPr>
        <w:tc>
          <w:tcPr>
            <w:tcW w:w="1271" w:type="dxa"/>
            <w:tcBorders>
              <w:top w:val="nil"/>
              <w:left w:val="single" w:sz="4" w:space="0" w:color="auto"/>
              <w:bottom w:val="single" w:sz="4" w:space="0" w:color="auto"/>
              <w:right w:val="single" w:sz="4" w:space="0" w:color="auto"/>
            </w:tcBorders>
            <w:shd w:val="clear" w:color="000000" w:fill="BFBFBF"/>
            <w:vAlign w:val="center"/>
            <w:hideMark/>
          </w:tcPr>
          <w:p w14:paraId="40DCCDF1"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NIVEL</w:t>
            </w:r>
          </w:p>
        </w:tc>
        <w:tc>
          <w:tcPr>
            <w:tcW w:w="2835" w:type="dxa"/>
            <w:tcBorders>
              <w:top w:val="nil"/>
              <w:left w:val="nil"/>
              <w:bottom w:val="single" w:sz="4" w:space="0" w:color="auto"/>
              <w:right w:val="single" w:sz="4" w:space="0" w:color="auto"/>
            </w:tcBorders>
            <w:shd w:val="clear" w:color="000000" w:fill="BFBFBF"/>
            <w:vAlign w:val="center"/>
            <w:hideMark/>
          </w:tcPr>
          <w:p w14:paraId="71D56DEA"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ALINEACIÓN PED/PD</w:t>
            </w:r>
          </w:p>
        </w:tc>
        <w:tc>
          <w:tcPr>
            <w:tcW w:w="2835" w:type="dxa"/>
            <w:tcBorders>
              <w:top w:val="nil"/>
              <w:left w:val="nil"/>
              <w:bottom w:val="single" w:sz="4" w:space="0" w:color="auto"/>
              <w:right w:val="single" w:sz="4" w:space="0" w:color="auto"/>
            </w:tcBorders>
            <w:shd w:val="clear" w:color="000000" w:fill="BFBFBF"/>
            <w:vAlign w:val="center"/>
            <w:hideMark/>
          </w:tcPr>
          <w:p w14:paraId="23E6A245"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OBJETIVO</w:t>
            </w:r>
          </w:p>
        </w:tc>
        <w:tc>
          <w:tcPr>
            <w:tcW w:w="2268" w:type="dxa"/>
            <w:tcBorders>
              <w:top w:val="nil"/>
              <w:left w:val="nil"/>
              <w:bottom w:val="single" w:sz="4" w:space="0" w:color="auto"/>
              <w:right w:val="single" w:sz="4" w:space="0" w:color="auto"/>
            </w:tcBorders>
            <w:shd w:val="clear" w:color="000000" w:fill="BFBFBF"/>
            <w:vAlign w:val="center"/>
            <w:hideMark/>
          </w:tcPr>
          <w:p w14:paraId="61EBF912"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INDICADOR</w:t>
            </w:r>
          </w:p>
        </w:tc>
        <w:tc>
          <w:tcPr>
            <w:tcW w:w="2693" w:type="dxa"/>
            <w:tcBorders>
              <w:top w:val="nil"/>
              <w:left w:val="nil"/>
              <w:bottom w:val="single" w:sz="4" w:space="0" w:color="auto"/>
              <w:right w:val="single" w:sz="4" w:space="0" w:color="auto"/>
            </w:tcBorders>
            <w:shd w:val="clear" w:color="000000" w:fill="BFBFBF"/>
            <w:vAlign w:val="center"/>
            <w:hideMark/>
          </w:tcPr>
          <w:p w14:paraId="34BF16BC"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MEDIOS DE VERIFICACIÓN</w:t>
            </w:r>
          </w:p>
        </w:tc>
        <w:tc>
          <w:tcPr>
            <w:tcW w:w="2127" w:type="dxa"/>
            <w:tcBorders>
              <w:top w:val="nil"/>
              <w:left w:val="nil"/>
              <w:bottom w:val="single" w:sz="4" w:space="0" w:color="auto"/>
              <w:right w:val="single" w:sz="4" w:space="0" w:color="auto"/>
            </w:tcBorders>
            <w:shd w:val="clear" w:color="000000" w:fill="BFBFBF"/>
            <w:vAlign w:val="center"/>
            <w:hideMark/>
          </w:tcPr>
          <w:p w14:paraId="21D7F30E"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SUPUESTO</w:t>
            </w:r>
          </w:p>
        </w:tc>
      </w:tr>
      <w:tr w:rsidR="00E23746" w:rsidRPr="00FD08F8" w14:paraId="43DB36AD" w14:textId="77777777" w:rsidTr="003D04F9">
        <w:trPr>
          <w:trHeight w:val="2136"/>
        </w:trPr>
        <w:tc>
          <w:tcPr>
            <w:tcW w:w="1271" w:type="dxa"/>
            <w:tcBorders>
              <w:top w:val="single" w:sz="4" w:space="0" w:color="auto"/>
              <w:left w:val="single" w:sz="4" w:space="0" w:color="auto"/>
              <w:bottom w:val="single" w:sz="4" w:space="0" w:color="auto"/>
              <w:right w:val="single" w:sz="4" w:space="0" w:color="auto"/>
            </w:tcBorders>
            <w:shd w:val="clear" w:color="auto" w:fill="auto"/>
            <w:hideMark/>
          </w:tcPr>
          <w:p w14:paraId="71E45448"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Fin</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F823A20" w14:textId="77777777" w:rsidR="00E23746" w:rsidRPr="00634003" w:rsidRDefault="00E23746" w:rsidP="000B2F10">
            <w:pPr>
              <w:rPr>
                <w:rFonts w:cs="Arial"/>
                <w:sz w:val="20"/>
                <w:szCs w:val="20"/>
              </w:rPr>
            </w:pPr>
            <w:r w:rsidRPr="00634003">
              <w:rPr>
                <w:rFonts w:cs="Arial"/>
                <w:sz w:val="20"/>
                <w:szCs w:val="20"/>
              </w:rPr>
              <w:t>Garantizar el acceso y permanencia a una educación inclusiva y de calidad en todos los niveles educativos que promueva en los educandos aprendizajes para la vida.</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1FCD417" w14:textId="77777777" w:rsidR="00E23746" w:rsidRPr="00634003" w:rsidRDefault="00E23746" w:rsidP="000B2F10">
            <w:pPr>
              <w:rPr>
                <w:rFonts w:cs="Arial"/>
                <w:sz w:val="20"/>
                <w:szCs w:val="20"/>
              </w:rPr>
            </w:pPr>
            <w:r w:rsidRPr="00634003">
              <w:rPr>
                <w:rFonts w:cs="Arial"/>
                <w:sz w:val="20"/>
                <w:szCs w:val="20"/>
              </w:rPr>
              <w:t>F - Contribuir a garantizar el acceso y permanencia a una educación inclusiva y de calidad en todos los niveles educativos que promueva en los educandos aprendizajes para la vida mediante estrategias de atención a la demanda y permanencia en todos los niveles educativos.</w:t>
            </w:r>
          </w:p>
        </w:tc>
        <w:tc>
          <w:tcPr>
            <w:tcW w:w="2268" w:type="dxa"/>
            <w:tcBorders>
              <w:top w:val="single" w:sz="4" w:space="0" w:color="auto"/>
              <w:left w:val="single" w:sz="4" w:space="0" w:color="auto"/>
              <w:bottom w:val="single" w:sz="4" w:space="0" w:color="auto"/>
              <w:right w:val="single" w:sz="4" w:space="0" w:color="auto"/>
            </w:tcBorders>
            <w:shd w:val="clear" w:color="FFFFFF" w:fill="FFFFFF"/>
          </w:tcPr>
          <w:p w14:paraId="7B61307F" w14:textId="77777777" w:rsidR="00E23746" w:rsidRPr="00634003" w:rsidRDefault="00E23746" w:rsidP="000B2F10">
            <w:pPr>
              <w:rPr>
                <w:rFonts w:cs="Arial"/>
                <w:sz w:val="20"/>
                <w:szCs w:val="20"/>
              </w:rPr>
            </w:pPr>
            <w:r w:rsidRPr="00634003">
              <w:rPr>
                <w:rFonts w:cs="Arial"/>
                <w:sz w:val="20"/>
                <w:szCs w:val="20"/>
              </w:rPr>
              <w:t>Tasa de cobertura estatal de educación superior.</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A8E768A" w14:textId="77777777" w:rsidR="00E23746" w:rsidRPr="00634003" w:rsidRDefault="00E23746" w:rsidP="000B2F10">
            <w:pPr>
              <w:rPr>
                <w:rFonts w:cs="Arial"/>
                <w:sz w:val="20"/>
                <w:szCs w:val="20"/>
              </w:rPr>
            </w:pPr>
            <w:r w:rsidRPr="00572B26">
              <w:rPr>
                <w:rFonts w:cs="Arial"/>
                <w:sz w:val="20"/>
                <w:szCs w:val="20"/>
              </w:rPr>
              <w:t>Estadísticas continúas del formato 911, matrícula de inicio de ciclo escolar, SEQ. Proyecciones de población por edad desplegada, entidad federativa (Quintana Roo) 1970-2050, CONAPO. Liga:qroo.gob.mx/seq/medios-de-verificacion-de-la-planeacion-anual</w:t>
            </w:r>
            <w:r>
              <w:rPr>
                <w:rFonts w:cs="Arial"/>
                <w:sz w:val="20"/>
                <w:szCs w:val="20"/>
              </w:rPr>
              <w:t>.</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6667675" w14:textId="77777777" w:rsidR="00E23746" w:rsidRPr="00634003" w:rsidRDefault="00E23746" w:rsidP="000B2F10">
            <w:pPr>
              <w:rPr>
                <w:rFonts w:cs="Arial"/>
                <w:sz w:val="20"/>
                <w:szCs w:val="20"/>
              </w:rPr>
            </w:pPr>
            <w:r w:rsidRPr="00634003">
              <w:rPr>
                <w:rFonts w:cs="Arial"/>
                <w:sz w:val="20"/>
                <w:szCs w:val="20"/>
              </w:rPr>
              <w:t>La población del Estado obtiene una educación integral de calidad que les permite progresar individual y colectivamente.</w:t>
            </w:r>
          </w:p>
        </w:tc>
      </w:tr>
      <w:tr w:rsidR="00E23746" w:rsidRPr="00C4101B" w14:paraId="616E4D53" w14:textId="77777777" w:rsidTr="003D04F9">
        <w:trPr>
          <w:trHeight w:val="2393"/>
        </w:trPr>
        <w:tc>
          <w:tcPr>
            <w:tcW w:w="1271" w:type="dxa"/>
            <w:tcBorders>
              <w:top w:val="single" w:sz="4" w:space="0" w:color="auto"/>
              <w:left w:val="single" w:sz="4" w:space="0" w:color="auto"/>
              <w:bottom w:val="single" w:sz="4" w:space="0" w:color="auto"/>
              <w:right w:val="single" w:sz="4" w:space="0" w:color="auto"/>
            </w:tcBorders>
            <w:shd w:val="clear" w:color="auto" w:fill="auto"/>
            <w:hideMark/>
          </w:tcPr>
          <w:p w14:paraId="4BCD7253"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Propósito</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3A7AE13" w14:textId="77777777" w:rsidR="00E23746" w:rsidRPr="009A4078" w:rsidRDefault="00E23746" w:rsidP="000B2F10">
            <w:pPr>
              <w:rPr>
                <w:rFonts w:cs="Arial"/>
                <w:sz w:val="18"/>
                <w:szCs w:val="20"/>
              </w:rPr>
            </w:pPr>
            <w:r w:rsidRPr="009A4078">
              <w:rPr>
                <w:rFonts w:cs="Arial"/>
                <w:sz w:val="18"/>
                <w:szCs w:val="20"/>
              </w:rPr>
              <w:t>Asegurar la calidad de la formación profesional a través de programas y proyectos que favorezcan la continuidad y conclusión de los estudiantes de educación superior, acorde a las necesidades que requiere el desarrollo social y económico del estado.</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2CDD329" w14:textId="77777777" w:rsidR="00E23746" w:rsidRPr="00DD34FD" w:rsidRDefault="00E23746" w:rsidP="000B2F10">
            <w:pPr>
              <w:rPr>
                <w:rFonts w:cs="Arial"/>
                <w:sz w:val="20"/>
                <w:szCs w:val="20"/>
              </w:rPr>
            </w:pPr>
            <w:r w:rsidRPr="00DD34FD">
              <w:rPr>
                <w:rFonts w:cs="Arial"/>
                <w:sz w:val="20"/>
                <w:szCs w:val="20"/>
              </w:rPr>
              <w:t>P - Los alumnos de educación superior aseguran la continuidad y conclusión de sus estudios a través de programas y proyectos que favorezcan la calidad de la formación profesional.</w:t>
            </w:r>
          </w:p>
        </w:tc>
        <w:tc>
          <w:tcPr>
            <w:tcW w:w="2268" w:type="dxa"/>
            <w:tcBorders>
              <w:top w:val="single" w:sz="4" w:space="0" w:color="auto"/>
              <w:left w:val="single" w:sz="4" w:space="0" w:color="auto"/>
              <w:bottom w:val="single" w:sz="4" w:space="0" w:color="auto"/>
              <w:right w:val="single" w:sz="4" w:space="0" w:color="auto"/>
            </w:tcBorders>
            <w:shd w:val="clear" w:color="FFFFFF" w:fill="FFFFFF"/>
          </w:tcPr>
          <w:p w14:paraId="5D2AB7F1" w14:textId="77777777" w:rsidR="00E23746" w:rsidRPr="00DD34FD" w:rsidRDefault="00E23746" w:rsidP="000B2F10">
            <w:pPr>
              <w:rPr>
                <w:rFonts w:cs="Arial"/>
                <w:sz w:val="20"/>
                <w:szCs w:val="20"/>
              </w:rPr>
            </w:pPr>
            <w:r w:rsidRPr="00DD34FD">
              <w:rPr>
                <w:rFonts w:cs="Arial"/>
                <w:sz w:val="20"/>
                <w:szCs w:val="20"/>
              </w:rPr>
              <w:t>Tasa de eficiencia terminal de educación superior.</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ADF6FB1" w14:textId="77777777" w:rsidR="00E23746" w:rsidRPr="00DD34FD" w:rsidRDefault="00E23746" w:rsidP="000B2F10">
            <w:pPr>
              <w:rPr>
                <w:rFonts w:cs="Arial"/>
                <w:sz w:val="20"/>
                <w:szCs w:val="20"/>
              </w:rPr>
            </w:pPr>
            <w:r w:rsidRPr="00DD34FD">
              <w:rPr>
                <w:rFonts w:cs="Arial"/>
                <w:sz w:val="20"/>
                <w:szCs w:val="20"/>
              </w:rPr>
              <w:t>Estadísticas continúas del formato 911 inicio de ciclo escolar, SEQ.Liga:https://qroo.gob.mx/seq/medios-de-verificacion-de-la-planeacion-anual.</w:t>
            </w:r>
          </w:p>
        </w:tc>
        <w:tc>
          <w:tcPr>
            <w:tcW w:w="2127" w:type="dxa"/>
            <w:tcBorders>
              <w:top w:val="single" w:sz="4" w:space="0" w:color="auto"/>
              <w:left w:val="single" w:sz="4" w:space="0" w:color="auto"/>
              <w:bottom w:val="single" w:sz="4" w:space="0" w:color="auto"/>
              <w:right w:val="single" w:sz="4" w:space="0" w:color="auto"/>
            </w:tcBorders>
            <w:shd w:val="clear" w:color="FFFFFF" w:fill="FFFFFF"/>
          </w:tcPr>
          <w:p w14:paraId="78CCBCA7" w14:textId="77777777" w:rsidR="00E23746" w:rsidRPr="00DD34FD" w:rsidRDefault="00E23746" w:rsidP="000B2F10">
            <w:pPr>
              <w:rPr>
                <w:rFonts w:cs="Arial"/>
                <w:sz w:val="20"/>
                <w:szCs w:val="20"/>
              </w:rPr>
            </w:pPr>
            <w:r w:rsidRPr="00DD34FD">
              <w:rPr>
                <w:rFonts w:cs="Arial"/>
                <w:sz w:val="20"/>
                <w:szCs w:val="20"/>
              </w:rPr>
              <w:t>Los alumnos de educación superior concluyen sus estudios.</w:t>
            </w:r>
          </w:p>
        </w:tc>
      </w:tr>
    </w:tbl>
    <w:p w14:paraId="535F3B9E" w14:textId="77777777" w:rsidR="0080241C" w:rsidRDefault="0080241C">
      <w:pPr>
        <w:spacing w:after="0" w:line="240" w:lineRule="auto"/>
        <w:jc w:val="left"/>
      </w:pPr>
      <w:r>
        <w:br w:type="page"/>
      </w:r>
    </w:p>
    <w:tbl>
      <w:tblPr>
        <w:tblW w:w="14029" w:type="dxa"/>
        <w:tblLayout w:type="fixed"/>
        <w:tblCellMar>
          <w:left w:w="70" w:type="dxa"/>
          <w:right w:w="70" w:type="dxa"/>
        </w:tblCellMar>
        <w:tblLook w:val="04A0" w:firstRow="1" w:lastRow="0" w:firstColumn="1" w:lastColumn="0" w:noHBand="0" w:noVBand="1"/>
      </w:tblPr>
      <w:tblGrid>
        <w:gridCol w:w="1413"/>
        <w:gridCol w:w="2693"/>
        <w:gridCol w:w="2835"/>
        <w:gridCol w:w="2268"/>
        <w:gridCol w:w="2693"/>
        <w:gridCol w:w="2127"/>
      </w:tblGrid>
      <w:tr w:rsidR="00E23746" w:rsidRPr="00FD08F8" w14:paraId="529C8E8B" w14:textId="77777777" w:rsidTr="009A5883">
        <w:trPr>
          <w:trHeight w:val="577"/>
        </w:trPr>
        <w:tc>
          <w:tcPr>
            <w:tcW w:w="1413"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5F995054"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lastRenderedPageBreak/>
              <w:t>NIVEL</w:t>
            </w:r>
          </w:p>
        </w:tc>
        <w:tc>
          <w:tcPr>
            <w:tcW w:w="2693" w:type="dxa"/>
            <w:tcBorders>
              <w:top w:val="single" w:sz="4" w:space="0" w:color="auto"/>
              <w:left w:val="nil"/>
              <w:bottom w:val="single" w:sz="4" w:space="0" w:color="auto"/>
              <w:right w:val="single" w:sz="4" w:space="0" w:color="auto"/>
            </w:tcBorders>
            <w:shd w:val="clear" w:color="000000" w:fill="BFBFBF"/>
            <w:vAlign w:val="center"/>
            <w:hideMark/>
          </w:tcPr>
          <w:p w14:paraId="17AB84EE"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ALINEACIÓN PED/PD</w:t>
            </w:r>
          </w:p>
        </w:tc>
        <w:tc>
          <w:tcPr>
            <w:tcW w:w="2835" w:type="dxa"/>
            <w:tcBorders>
              <w:top w:val="single" w:sz="4" w:space="0" w:color="auto"/>
              <w:left w:val="nil"/>
              <w:bottom w:val="single" w:sz="4" w:space="0" w:color="auto"/>
              <w:right w:val="single" w:sz="4" w:space="0" w:color="auto"/>
            </w:tcBorders>
            <w:shd w:val="clear" w:color="000000" w:fill="BFBFBF"/>
            <w:vAlign w:val="center"/>
            <w:hideMark/>
          </w:tcPr>
          <w:p w14:paraId="2A174CD8"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OBJETIVO</w:t>
            </w:r>
          </w:p>
        </w:tc>
        <w:tc>
          <w:tcPr>
            <w:tcW w:w="2268" w:type="dxa"/>
            <w:tcBorders>
              <w:top w:val="single" w:sz="4" w:space="0" w:color="auto"/>
              <w:left w:val="nil"/>
              <w:bottom w:val="single" w:sz="4" w:space="0" w:color="auto"/>
              <w:right w:val="single" w:sz="4" w:space="0" w:color="auto"/>
            </w:tcBorders>
            <w:shd w:val="clear" w:color="000000" w:fill="BFBFBF"/>
            <w:vAlign w:val="center"/>
            <w:hideMark/>
          </w:tcPr>
          <w:p w14:paraId="5AEBBEA7"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INDICADOR</w:t>
            </w:r>
          </w:p>
        </w:tc>
        <w:tc>
          <w:tcPr>
            <w:tcW w:w="2693" w:type="dxa"/>
            <w:tcBorders>
              <w:top w:val="single" w:sz="4" w:space="0" w:color="auto"/>
              <w:left w:val="nil"/>
              <w:bottom w:val="single" w:sz="4" w:space="0" w:color="auto"/>
              <w:right w:val="single" w:sz="4" w:space="0" w:color="auto"/>
            </w:tcBorders>
            <w:shd w:val="clear" w:color="000000" w:fill="BFBFBF"/>
            <w:vAlign w:val="center"/>
            <w:hideMark/>
          </w:tcPr>
          <w:p w14:paraId="20FDF1C0"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MEDIOS DE VERIFICACIÓN</w:t>
            </w:r>
          </w:p>
        </w:tc>
        <w:tc>
          <w:tcPr>
            <w:tcW w:w="2127" w:type="dxa"/>
            <w:tcBorders>
              <w:top w:val="single" w:sz="4" w:space="0" w:color="auto"/>
              <w:left w:val="nil"/>
              <w:bottom w:val="single" w:sz="4" w:space="0" w:color="auto"/>
              <w:right w:val="single" w:sz="4" w:space="0" w:color="auto"/>
            </w:tcBorders>
            <w:shd w:val="clear" w:color="000000" w:fill="BFBFBF"/>
            <w:vAlign w:val="center"/>
            <w:hideMark/>
          </w:tcPr>
          <w:p w14:paraId="49300780"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SUPUESTO</w:t>
            </w:r>
          </w:p>
        </w:tc>
      </w:tr>
      <w:tr w:rsidR="00E23746" w:rsidRPr="00FD08F8" w14:paraId="371B4B81" w14:textId="77777777" w:rsidTr="009A5883">
        <w:trPr>
          <w:trHeight w:val="1678"/>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14:paraId="5B154A8E"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Componente</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AD9FE2E" w14:textId="77777777" w:rsidR="00E23746" w:rsidRPr="00DD34FD" w:rsidRDefault="00E23746" w:rsidP="000B2F10">
            <w:pPr>
              <w:rPr>
                <w:rFonts w:cs="Arial"/>
                <w:sz w:val="20"/>
                <w:szCs w:val="20"/>
              </w:rPr>
            </w:pPr>
            <w:r w:rsidRPr="00DD34FD">
              <w:rPr>
                <w:rFonts w:cs="Arial"/>
                <w:sz w:val="20"/>
                <w:szCs w:val="20"/>
              </w:rPr>
              <w:t>Fortalecer la oferta educativa de las instituciones de educación superior para asegurar la pertinencia con base en las necesidades de la entidad.</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7F90752" w14:textId="77777777" w:rsidR="00E23746" w:rsidRPr="00DD34FD" w:rsidRDefault="00E23746" w:rsidP="000B2F10">
            <w:pPr>
              <w:rPr>
                <w:rFonts w:cs="Arial"/>
                <w:sz w:val="20"/>
                <w:szCs w:val="20"/>
              </w:rPr>
            </w:pPr>
            <w:r w:rsidRPr="00574DAC">
              <w:rPr>
                <w:rFonts w:cs="Arial"/>
                <w:sz w:val="20"/>
                <w:szCs w:val="20"/>
              </w:rPr>
              <w:t>C01</w:t>
            </w:r>
            <w:r>
              <w:rPr>
                <w:rFonts w:cs="Arial"/>
                <w:sz w:val="20"/>
                <w:szCs w:val="20"/>
              </w:rPr>
              <w:t xml:space="preserve"> </w:t>
            </w:r>
            <w:r w:rsidRPr="00574DAC">
              <w:rPr>
                <w:rFonts w:cs="Arial"/>
                <w:sz w:val="20"/>
                <w:szCs w:val="20"/>
              </w:rPr>
              <w:t xml:space="preserve">- </w:t>
            </w:r>
            <w:r w:rsidRPr="00DD34FD">
              <w:rPr>
                <w:rFonts w:cs="Arial"/>
                <w:sz w:val="20"/>
                <w:szCs w:val="20"/>
              </w:rPr>
              <w:t>Educación superior con calidad y pertinencia impartida</w:t>
            </w:r>
            <w:r>
              <w:rPr>
                <w:rFonts w:cs="Arial"/>
                <w:sz w:val="20"/>
                <w:szCs w:val="20"/>
              </w:rPr>
              <w:t>.</w:t>
            </w:r>
          </w:p>
        </w:tc>
        <w:tc>
          <w:tcPr>
            <w:tcW w:w="2268" w:type="dxa"/>
            <w:tcBorders>
              <w:top w:val="single" w:sz="4" w:space="0" w:color="auto"/>
              <w:left w:val="single" w:sz="4" w:space="0" w:color="auto"/>
              <w:bottom w:val="single" w:sz="4" w:space="0" w:color="auto"/>
              <w:right w:val="single" w:sz="4" w:space="0" w:color="auto"/>
            </w:tcBorders>
            <w:shd w:val="clear" w:color="FFFFFF" w:fill="FFFFFF"/>
          </w:tcPr>
          <w:p w14:paraId="279AC21C" w14:textId="77777777" w:rsidR="00E23746" w:rsidRPr="00DD34FD" w:rsidRDefault="00E23746" w:rsidP="000B2F10">
            <w:pPr>
              <w:rPr>
                <w:rFonts w:cs="Arial"/>
                <w:sz w:val="20"/>
                <w:szCs w:val="20"/>
              </w:rPr>
            </w:pPr>
            <w:r w:rsidRPr="00574DAC">
              <w:rPr>
                <w:rFonts w:cs="Arial"/>
                <w:sz w:val="20"/>
                <w:szCs w:val="20"/>
              </w:rPr>
              <w:t>C01</w:t>
            </w:r>
            <w:r>
              <w:rPr>
                <w:rFonts w:cs="Arial"/>
                <w:sz w:val="20"/>
                <w:szCs w:val="20"/>
              </w:rPr>
              <w:t xml:space="preserve"> </w:t>
            </w:r>
            <w:r w:rsidRPr="00574DAC">
              <w:rPr>
                <w:rFonts w:cs="Arial"/>
                <w:sz w:val="20"/>
                <w:szCs w:val="20"/>
              </w:rPr>
              <w:t xml:space="preserve">- </w:t>
            </w:r>
            <w:r w:rsidRPr="00DD34FD">
              <w:rPr>
                <w:rFonts w:cs="Arial"/>
                <w:sz w:val="20"/>
                <w:szCs w:val="20"/>
              </w:rPr>
              <w:t>Matrícula atendida</w:t>
            </w:r>
            <w:r>
              <w:rPr>
                <w:rFonts w:cs="Arial"/>
                <w:sz w:val="20"/>
                <w:szCs w:val="20"/>
              </w:rPr>
              <w:t>.</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715869B" w14:textId="77777777" w:rsidR="00E23746" w:rsidRPr="00DD34FD" w:rsidRDefault="00E23746" w:rsidP="000B2F10">
            <w:pPr>
              <w:rPr>
                <w:rFonts w:cs="Arial"/>
                <w:sz w:val="20"/>
                <w:szCs w:val="20"/>
              </w:rPr>
            </w:pPr>
            <w:r w:rsidRPr="00DD34FD">
              <w:rPr>
                <w:rFonts w:cs="Arial"/>
                <w:sz w:val="20"/>
                <w:szCs w:val="20"/>
              </w:rPr>
              <w:t>Estadísticas continúas de formato 911 inicio de ciclo escolar</w:t>
            </w:r>
            <w:r>
              <w:rPr>
                <w:rFonts w:cs="Arial"/>
                <w:sz w:val="20"/>
                <w:szCs w:val="20"/>
              </w:rPr>
              <w:t>.</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FD9F1BB" w14:textId="77777777" w:rsidR="00E23746" w:rsidRPr="00DD34FD" w:rsidRDefault="00E23746" w:rsidP="000B2F10">
            <w:pPr>
              <w:rPr>
                <w:rFonts w:cs="Arial"/>
                <w:sz w:val="20"/>
                <w:szCs w:val="20"/>
              </w:rPr>
            </w:pPr>
            <w:r w:rsidRPr="00DD34FD">
              <w:rPr>
                <w:rFonts w:cs="Arial"/>
                <w:sz w:val="20"/>
                <w:szCs w:val="20"/>
              </w:rPr>
              <w:t>Los estudiantes que egresan del nivel educativo medio superior continúan sus estudios de tipo superior en la Entidad.</w:t>
            </w:r>
          </w:p>
        </w:tc>
      </w:tr>
      <w:tr w:rsidR="00E23746" w:rsidRPr="00FD08F8" w14:paraId="3F9149CA" w14:textId="77777777" w:rsidTr="009A5883">
        <w:trPr>
          <w:trHeight w:val="551"/>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14:paraId="2D2C7306"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Actividad</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D457AE2" w14:textId="77777777" w:rsidR="00E23746" w:rsidRPr="00DD34FD" w:rsidRDefault="00E23746" w:rsidP="000B2F10">
            <w:pPr>
              <w:rPr>
                <w:rFonts w:cs="Arial"/>
                <w:sz w:val="20"/>
                <w:szCs w:val="20"/>
              </w:rPr>
            </w:pPr>
            <w:r w:rsidRPr="00DD34FD">
              <w:rPr>
                <w:rFonts w:cs="Arial"/>
                <w:sz w:val="20"/>
                <w:szCs w:val="20"/>
              </w:rPr>
              <w:t>Desarrollar una estrategia integral que permita ampliar la cobertura educativa de nivel superior en las Instituciones Públicas.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D87F171" w14:textId="77777777" w:rsidR="00E23746" w:rsidRPr="00DD34FD" w:rsidRDefault="00E23746" w:rsidP="000B2F10">
            <w:pPr>
              <w:rPr>
                <w:rFonts w:cs="Arial"/>
                <w:sz w:val="20"/>
                <w:szCs w:val="20"/>
              </w:rPr>
            </w:pPr>
            <w:r w:rsidRPr="00574DAC">
              <w:rPr>
                <w:rFonts w:cs="Arial"/>
                <w:sz w:val="20"/>
                <w:szCs w:val="20"/>
              </w:rPr>
              <w:t>C01.A0</w:t>
            </w:r>
            <w:r>
              <w:rPr>
                <w:rFonts w:cs="Arial"/>
                <w:sz w:val="20"/>
                <w:szCs w:val="20"/>
              </w:rPr>
              <w:t xml:space="preserve">1 - </w:t>
            </w:r>
            <w:r w:rsidRPr="00DD34FD">
              <w:rPr>
                <w:rFonts w:cs="Arial"/>
                <w:sz w:val="20"/>
                <w:szCs w:val="20"/>
              </w:rPr>
              <w:t>Incremento de la Matrícula educativa del nivel TSU y Licenciatura.</w:t>
            </w:r>
          </w:p>
        </w:tc>
        <w:tc>
          <w:tcPr>
            <w:tcW w:w="2268" w:type="dxa"/>
            <w:tcBorders>
              <w:top w:val="single" w:sz="4" w:space="0" w:color="auto"/>
              <w:left w:val="single" w:sz="4" w:space="0" w:color="auto"/>
              <w:bottom w:val="single" w:sz="4" w:space="0" w:color="auto"/>
              <w:right w:val="single" w:sz="4" w:space="0" w:color="auto"/>
            </w:tcBorders>
            <w:shd w:val="clear" w:color="FFFFFF" w:fill="FFFFFF"/>
          </w:tcPr>
          <w:p w14:paraId="33463E83" w14:textId="77777777" w:rsidR="00E23746" w:rsidRPr="00DD34FD" w:rsidRDefault="00E23746" w:rsidP="000B2F10">
            <w:pPr>
              <w:rPr>
                <w:rFonts w:cs="Arial"/>
                <w:sz w:val="20"/>
                <w:szCs w:val="20"/>
              </w:rPr>
            </w:pPr>
            <w:r w:rsidRPr="00574DAC">
              <w:rPr>
                <w:rFonts w:cs="Arial"/>
                <w:sz w:val="20"/>
                <w:szCs w:val="20"/>
              </w:rPr>
              <w:t xml:space="preserve">C01A01 - </w:t>
            </w:r>
            <w:r w:rsidRPr="00DD34FD">
              <w:rPr>
                <w:rFonts w:cs="Arial"/>
                <w:sz w:val="20"/>
                <w:szCs w:val="20"/>
              </w:rPr>
              <w:t>Porcentaje de alumnos de nuevo ingreso.</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8D905DA" w14:textId="77777777" w:rsidR="00E23746" w:rsidRPr="00DD34FD" w:rsidRDefault="00E23746" w:rsidP="000B2F10">
            <w:pPr>
              <w:rPr>
                <w:rFonts w:cs="Arial"/>
                <w:sz w:val="20"/>
                <w:szCs w:val="20"/>
              </w:rPr>
            </w:pPr>
            <w:r w:rsidRPr="00DD34FD">
              <w:rPr>
                <w:rFonts w:cs="Arial"/>
                <w:sz w:val="20"/>
                <w:szCs w:val="20"/>
              </w:rPr>
              <w:t>Estadísticas</w:t>
            </w:r>
            <w:r>
              <w:rPr>
                <w:rFonts w:cs="Arial"/>
                <w:sz w:val="20"/>
                <w:szCs w:val="20"/>
              </w:rPr>
              <w:t xml:space="preserve"> </w:t>
            </w:r>
            <w:r w:rsidRPr="00DD34FD">
              <w:rPr>
                <w:rFonts w:cs="Arial"/>
                <w:sz w:val="20"/>
                <w:szCs w:val="20"/>
              </w:rPr>
              <w:t>cuatrimestrales/Informe del Consejo Directivo</w:t>
            </w:r>
            <w:r>
              <w:rPr>
                <w:rFonts w:cs="Arial"/>
                <w:sz w:val="20"/>
                <w:szCs w:val="20"/>
              </w:rPr>
              <w:t>.</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8C24301" w14:textId="77777777" w:rsidR="00E23746" w:rsidRPr="00DD34FD" w:rsidRDefault="00E23746" w:rsidP="000B2F10">
            <w:pPr>
              <w:rPr>
                <w:rFonts w:cs="Arial"/>
                <w:sz w:val="20"/>
                <w:szCs w:val="20"/>
              </w:rPr>
            </w:pPr>
            <w:r w:rsidRPr="00DD34FD">
              <w:rPr>
                <w:rFonts w:cs="Arial"/>
                <w:sz w:val="20"/>
                <w:szCs w:val="20"/>
              </w:rPr>
              <w:t>Los Alumnos de Nivel Medio Superior se inscriben en la Universidad como estudiantes de nuevo ingreso, a través de las campañas de captación.</w:t>
            </w:r>
          </w:p>
        </w:tc>
      </w:tr>
      <w:tr w:rsidR="00E23746" w:rsidRPr="00FD08F8" w14:paraId="5CCF776F" w14:textId="77777777" w:rsidTr="009A5883">
        <w:trPr>
          <w:trHeight w:val="2412"/>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14:paraId="43C8AEB6"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Actividad</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4E35E47" w14:textId="77777777" w:rsidR="00E23746" w:rsidRPr="00E02AFD" w:rsidRDefault="00E23746" w:rsidP="000B2F10">
            <w:pPr>
              <w:rPr>
                <w:rFonts w:cs="Arial"/>
                <w:sz w:val="20"/>
                <w:szCs w:val="20"/>
              </w:rPr>
            </w:pPr>
            <w:r w:rsidRPr="00E02AFD">
              <w:rPr>
                <w:rFonts w:cs="Arial"/>
                <w:sz w:val="20"/>
                <w:szCs w:val="20"/>
              </w:rPr>
              <w:t>Fortalecer los programas de asesoría, tutoría y de acompañamiento académico de los estudiantes de educación superior a fin de elevar el desempeño escolar y la eficiencia terminal.  Implementar un programa para elevar la eficiencia terminal en la educación media superior y superior.)</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1A47B53" w14:textId="77777777" w:rsidR="00E23746" w:rsidRPr="00E02AFD" w:rsidRDefault="00E23746" w:rsidP="000B2F10">
            <w:pPr>
              <w:rPr>
                <w:rFonts w:cs="Arial"/>
                <w:sz w:val="20"/>
                <w:szCs w:val="20"/>
              </w:rPr>
            </w:pPr>
            <w:r w:rsidRPr="00574DAC">
              <w:rPr>
                <w:rFonts w:cs="Arial"/>
                <w:sz w:val="20"/>
                <w:szCs w:val="20"/>
              </w:rPr>
              <w:t xml:space="preserve">C01.A02 - </w:t>
            </w:r>
            <w:r w:rsidRPr="00E02AFD">
              <w:rPr>
                <w:rFonts w:cs="Arial"/>
                <w:sz w:val="20"/>
                <w:szCs w:val="20"/>
              </w:rPr>
              <w:t>Fortalecimiento del Programa Institucional de Tutorías para mejorar la eficiencia terminal.</w:t>
            </w:r>
          </w:p>
        </w:tc>
        <w:tc>
          <w:tcPr>
            <w:tcW w:w="2268" w:type="dxa"/>
            <w:tcBorders>
              <w:top w:val="single" w:sz="4" w:space="0" w:color="auto"/>
              <w:left w:val="single" w:sz="4" w:space="0" w:color="auto"/>
              <w:bottom w:val="single" w:sz="4" w:space="0" w:color="auto"/>
              <w:right w:val="single" w:sz="4" w:space="0" w:color="auto"/>
            </w:tcBorders>
            <w:shd w:val="clear" w:color="FFFFFF" w:fill="FFFFFF"/>
          </w:tcPr>
          <w:p w14:paraId="3E1BD51A" w14:textId="77777777" w:rsidR="00E23746" w:rsidRPr="00E02AFD" w:rsidRDefault="00E23746" w:rsidP="000B2F10">
            <w:pPr>
              <w:rPr>
                <w:rFonts w:cs="Arial"/>
                <w:sz w:val="20"/>
                <w:szCs w:val="20"/>
              </w:rPr>
            </w:pPr>
            <w:r>
              <w:rPr>
                <w:rFonts w:cs="Arial"/>
                <w:sz w:val="20"/>
                <w:szCs w:val="20"/>
              </w:rPr>
              <w:t xml:space="preserve">C01A02 - </w:t>
            </w:r>
            <w:r w:rsidRPr="00E02AFD">
              <w:rPr>
                <w:rFonts w:cs="Arial"/>
                <w:sz w:val="20"/>
                <w:szCs w:val="20"/>
              </w:rPr>
              <w:t>Porcentaje de Eficiencia terminal de TSU y porcentaje  de Licenciatura.</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CCB17E4" w14:textId="77777777" w:rsidR="00E23746" w:rsidRPr="00E02AFD" w:rsidRDefault="00E23746" w:rsidP="000B2F10">
            <w:pPr>
              <w:rPr>
                <w:rFonts w:cs="Arial"/>
                <w:sz w:val="20"/>
                <w:szCs w:val="20"/>
              </w:rPr>
            </w:pPr>
            <w:r w:rsidRPr="00E02AFD">
              <w:rPr>
                <w:rFonts w:cs="Arial"/>
                <w:sz w:val="20"/>
                <w:szCs w:val="20"/>
              </w:rPr>
              <w:t>Informe de Consejo Directivo de la UTRM e Informes</w:t>
            </w:r>
            <w:r>
              <w:rPr>
                <w:rFonts w:cs="Arial"/>
                <w:sz w:val="20"/>
                <w:szCs w:val="20"/>
              </w:rPr>
              <w:t xml:space="preserve"> de Estadísticas para la CGUTyP.</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66070AE" w14:textId="77777777" w:rsidR="00E23746" w:rsidRPr="00E02AFD" w:rsidRDefault="00E23746" w:rsidP="000B2F10">
            <w:pPr>
              <w:rPr>
                <w:rFonts w:cs="Arial"/>
                <w:sz w:val="20"/>
                <w:szCs w:val="20"/>
              </w:rPr>
            </w:pPr>
            <w:r w:rsidRPr="00E02AFD">
              <w:rPr>
                <w:rFonts w:cs="Arial"/>
                <w:sz w:val="20"/>
                <w:szCs w:val="20"/>
              </w:rPr>
              <w:t>Que los alumnos cuenten con becas  para concluir satisfactoriamente sus programas educativos.</w:t>
            </w:r>
          </w:p>
        </w:tc>
      </w:tr>
    </w:tbl>
    <w:p w14:paraId="61074145" w14:textId="77777777" w:rsidR="0080241C" w:rsidRDefault="0080241C">
      <w:pPr>
        <w:spacing w:after="0" w:line="240" w:lineRule="auto"/>
        <w:jc w:val="left"/>
      </w:pPr>
      <w:r>
        <w:br w:type="page"/>
      </w:r>
    </w:p>
    <w:tbl>
      <w:tblPr>
        <w:tblW w:w="14029" w:type="dxa"/>
        <w:tblLayout w:type="fixed"/>
        <w:tblCellMar>
          <w:left w:w="70" w:type="dxa"/>
          <w:right w:w="70" w:type="dxa"/>
        </w:tblCellMar>
        <w:tblLook w:val="04A0" w:firstRow="1" w:lastRow="0" w:firstColumn="1" w:lastColumn="0" w:noHBand="0" w:noVBand="1"/>
      </w:tblPr>
      <w:tblGrid>
        <w:gridCol w:w="1271"/>
        <w:gridCol w:w="2835"/>
        <w:gridCol w:w="2835"/>
        <w:gridCol w:w="2268"/>
        <w:gridCol w:w="2693"/>
        <w:gridCol w:w="2127"/>
      </w:tblGrid>
      <w:tr w:rsidR="00E23746" w:rsidRPr="00FD08F8" w14:paraId="617864F7" w14:textId="77777777" w:rsidTr="003D04F9">
        <w:trPr>
          <w:trHeight w:val="577"/>
        </w:trPr>
        <w:tc>
          <w:tcPr>
            <w:tcW w:w="1271"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1E25CE52"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lastRenderedPageBreak/>
              <w:t>NIVEL</w:t>
            </w:r>
          </w:p>
        </w:tc>
        <w:tc>
          <w:tcPr>
            <w:tcW w:w="2835" w:type="dxa"/>
            <w:tcBorders>
              <w:top w:val="single" w:sz="4" w:space="0" w:color="auto"/>
              <w:left w:val="nil"/>
              <w:bottom w:val="single" w:sz="4" w:space="0" w:color="auto"/>
              <w:right w:val="single" w:sz="4" w:space="0" w:color="auto"/>
            </w:tcBorders>
            <w:shd w:val="clear" w:color="000000" w:fill="BFBFBF"/>
            <w:vAlign w:val="center"/>
            <w:hideMark/>
          </w:tcPr>
          <w:p w14:paraId="2B68CFF8"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ALINEACIÓN PED/PD</w:t>
            </w:r>
          </w:p>
        </w:tc>
        <w:tc>
          <w:tcPr>
            <w:tcW w:w="2835" w:type="dxa"/>
            <w:tcBorders>
              <w:top w:val="single" w:sz="4" w:space="0" w:color="auto"/>
              <w:left w:val="nil"/>
              <w:bottom w:val="single" w:sz="4" w:space="0" w:color="auto"/>
              <w:right w:val="single" w:sz="4" w:space="0" w:color="auto"/>
            </w:tcBorders>
            <w:shd w:val="clear" w:color="000000" w:fill="BFBFBF"/>
            <w:vAlign w:val="center"/>
            <w:hideMark/>
          </w:tcPr>
          <w:p w14:paraId="6EFF2F10"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OBJETIVO</w:t>
            </w:r>
          </w:p>
        </w:tc>
        <w:tc>
          <w:tcPr>
            <w:tcW w:w="2268" w:type="dxa"/>
            <w:tcBorders>
              <w:top w:val="single" w:sz="4" w:space="0" w:color="auto"/>
              <w:left w:val="nil"/>
              <w:bottom w:val="single" w:sz="4" w:space="0" w:color="auto"/>
              <w:right w:val="single" w:sz="4" w:space="0" w:color="auto"/>
            </w:tcBorders>
            <w:shd w:val="clear" w:color="000000" w:fill="BFBFBF"/>
            <w:vAlign w:val="center"/>
            <w:hideMark/>
          </w:tcPr>
          <w:p w14:paraId="4EBD6E13"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INDICADOR</w:t>
            </w:r>
          </w:p>
        </w:tc>
        <w:tc>
          <w:tcPr>
            <w:tcW w:w="2693" w:type="dxa"/>
            <w:tcBorders>
              <w:top w:val="single" w:sz="4" w:space="0" w:color="auto"/>
              <w:left w:val="nil"/>
              <w:bottom w:val="single" w:sz="4" w:space="0" w:color="auto"/>
              <w:right w:val="single" w:sz="4" w:space="0" w:color="auto"/>
            </w:tcBorders>
            <w:shd w:val="clear" w:color="000000" w:fill="BFBFBF"/>
            <w:vAlign w:val="center"/>
            <w:hideMark/>
          </w:tcPr>
          <w:p w14:paraId="5434B315"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MEDIOS DE VERIFICACIÓN</w:t>
            </w:r>
          </w:p>
        </w:tc>
        <w:tc>
          <w:tcPr>
            <w:tcW w:w="2127" w:type="dxa"/>
            <w:tcBorders>
              <w:top w:val="single" w:sz="4" w:space="0" w:color="auto"/>
              <w:left w:val="nil"/>
              <w:bottom w:val="single" w:sz="4" w:space="0" w:color="auto"/>
              <w:right w:val="single" w:sz="4" w:space="0" w:color="auto"/>
            </w:tcBorders>
            <w:shd w:val="clear" w:color="000000" w:fill="BFBFBF"/>
            <w:vAlign w:val="center"/>
            <w:hideMark/>
          </w:tcPr>
          <w:p w14:paraId="04C700DA"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SUPUESTO</w:t>
            </w:r>
          </w:p>
        </w:tc>
      </w:tr>
      <w:tr w:rsidR="00E23746" w:rsidRPr="00FD08F8" w14:paraId="0A3325D2" w14:textId="77777777" w:rsidTr="003D04F9">
        <w:trPr>
          <w:trHeight w:val="834"/>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62C6334B"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Actividad</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8AA9CBC" w14:textId="77777777" w:rsidR="00E23746" w:rsidRPr="00E02AFD" w:rsidRDefault="00E23746" w:rsidP="000B2F10">
            <w:pPr>
              <w:rPr>
                <w:rFonts w:cs="Arial"/>
                <w:sz w:val="20"/>
                <w:szCs w:val="20"/>
              </w:rPr>
            </w:pPr>
            <w:r w:rsidRPr="00E02AFD">
              <w:rPr>
                <w:rFonts w:cs="Arial"/>
                <w:sz w:val="20"/>
                <w:szCs w:val="20"/>
              </w:rPr>
              <w:t>Implementar Programas de Formación y Actualización docente al interior de las instituciones de Educación Superior.</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44BC5FD" w14:textId="77777777" w:rsidR="00E23746" w:rsidRPr="00E02AFD" w:rsidRDefault="00E23746" w:rsidP="000B2F10">
            <w:pPr>
              <w:rPr>
                <w:rFonts w:cs="Arial"/>
                <w:sz w:val="20"/>
                <w:szCs w:val="20"/>
              </w:rPr>
            </w:pPr>
            <w:r w:rsidRPr="00E02AFD">
              <w:rPr>
                <w:rFonts w:cs="Arial"/>
                <w:sz w:val="20"/>
                <w:szCs w:val="20"/>
              </w:rPr>
              <w:t>C01.A03 - Ampliación de la cobertura de los programas de educación continua de la Universidad.</w:t>
            </w:r>
          </w:p>
        </w:tc>
        <w:tc>
          <w:tcPr>
            <w:tcW w:w="2268" w:type="dxa"/>
            <w:tcBorders>
              <w:top w:val="single" w:sz="4" w:space="0" w:color="auto"/>
              <w:left w:val="single" w:sz="4" w:space="0" w:color="auto"/>
              <w:bottom w:val="single" w:sz="4" w:space="0" w:color="auto"/>
              <w:right w:val="single" w:sz="4" w:space="0" w:color="auto"/>
            </w:tcBorders>
            <w:shd w:val="clear" w:color="FFFFFF" w:fill="FFFFFF"/>
          </w:tcPr>
          <w:p w14:paraId="19F7781E" w14:textId="77777777" w:rsidR="00E23746" w:rsidRPr="00E02AFD" w:rsidRDefault="00E23746" w:rsidP="000B2F10">
            <w:pPr>
              <w:rPr>
                <w:rFonts w:cs="Arial"/>
                <w:sz w:val="20"/>
                <w:szCs w:val="20"/>
              </w:rPr>
            </w:pPr>
            <w:r w:rsidRPr="00574DAC">
              <w:rPr>
                <w:rFonts w:cs="Arial"/>
                <w:sz w:val="20"/>
                <w:szCs w:val="20"/>
              </w:rPr>
              <w:t xml:space="preserve">C01A03 - </w:t>
            </w:r>
            <w:r w:rsidRPr="00E02AFD">
              <w:rPr>
                <w:rFonts w:cs="Arial"/>
                <w:sz w:val="20"/>
                <w:szCs w:val="20"/>
              </w:rPr>
              <w:t>Cursos ofertados.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5C7DE74" w14:textId="77777777" w:rsidR="00E23746" w:rsidRPr="00E02AFD" w:rsidRDefault="00E23746" w:rsidP="000B2F10">
            <w:pPr>
              <w:rPr>
                <w:rFonts w:cs="Arial"/>
                <w:sz w:val="20"/>
                <w:szCs w:val="20"/>
              </w:rPr>
            </w:pPr>
            <w:r w:rsidRPr="00E02AFD">
              <w:rPr>
                <w:rFonts w:cs="Arial"/>
                <w:sz w:val="20"/>
                <w:szCs w:val="20"/>
              </w:rPr>
              <w:t>Informe del Consejo Directivo.</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6F722CF2" w14:textId="526A1DF1" w:rsidR="00E23746" w:rsidRPr="00E02AFD" w:rsidRDefault="00E23746" w:rsidP="009A5883">
            <w:pPr>
              <w:rPr>
                <w:rFonts w:cs="Arial"/>
                <w:sz w:val="20"/>
                <w:szCs w:val="20"/>
              </w:rPr>
            </w:pPr>
            <w:r w:rsidRPr="00E02AFD">
              <w:rPr>
                <w:rFonts w:cs="Arial"/>
                <w:sz w:val="20"/>
                <w:szCs w:val="20"/>
              </w:rPr>
              <w:t>Comunidad universitaria y sector de servicios público y privado participan de la oferta de capacitación y educación continua de la Universidad Tecnológica de la Riviera Maya para el fortalecimiento de las competencias profesionales.</w:t>
            </w:r>
          </w:p>
        </w:tc>
      </w:tr>
      <w:tr w:rsidR="00E23746" w:rsidRPr="00FD08F8" w14:paraId="1B6E5442" w14:textId="77777777" w:rsidTr="003D04F9">
        <w:trPr>
          <w:trHeight w:val="2535"/>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673E9DF6"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Actividad</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E5CF504" w14:textId="5C931F4C" w:rsidR="00E23746" w:rsidRPr="00955794" w:rsidRDefault="00E23746" w:rsidP="00647045">
            <w:pPr>
              <w:rPr>
                <w:rFonts w:cs="Arial"/>
                <w:sz w:val="20"/>
                <w:szCs w:val="20"/>
              </w:rPr>
            </w:pPr>
            <w:r w:rsidRPr="00955794">
              <w:rPr>
                <w:rFonts w:cs="Arial"/>
                <w:sz w:val="20"/>
                <w:szCs w:val="20"/>
              </w:rPr>
              <w:t>Operar Programas de Apoyo al Desarrollo Integral del estudiantado para lograr la permanencia y egreso satisfactorio. Como es reorientar el Programa de Becas e Incentivos para otorgarlo a alumnos de escasos recursos a fin de que concluyan sus estudios.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F306EAC" w14:textId="77777777" w:rsidR="00E23746" w:rsidRPr="00955794" w:rsidRDefault="00E23746" w:rsidP="000B2F10">
            <w:pPr>
              <w:rPr>
                <w:rFonts w:cs="Arial"/>
                <w:sz w:val="20"/>
                <w:szCs w:val="20"/>
              </w:rPr>
            </w:pPr>
            <w:r w:rsidRPr="00574DAC">
              <w:rPr>
                <w:rFonts w:cs="Arial"/>
                <w:sz w:val="20"/>
                <w:szCs w:val="20"/>
              </w:rPr>
              <w:t>C01.A0</w:t>
            </w:r>
            <w:r>
              <w:rPr>
                <w:rFonts w:cs="Arial"/>
                <w:sz w:val="20"/>
                <w:szCs w:val="20"/>
              </w:rPr>
              <w:t>4</w:t>
            </w:r>
            <w:r w:rsidRPr="00574DAC">
              <w:rPr>
                <w:rFonts w:cs="Arial"/>
                <w:sz w:val="20"/>
                <w:szCs w:val="20"/>
              </w:rPr>
              <w:t xml:space="preserve"> - </w:t>
            </w:r>
            <w:r w:rsidRPr="00955794">
              <w:rPr>
                <w:rFonts w:cs="Arial"/>
                <w:sz w:val="20"/>
                <w:szCs w:val="20"/>
              </w:rPr>
              <w:t>Operación de Programas de apoyo al desarrollo integral del estudiantado para lograr la permanencia y egreso satisfactorio.</w:t>
            </w:r>
          </w:p>
        </w:tc>
        <w:tc>
          <w:tcPr>
            <w:tcW w:w="2268" w:type="dxa"/>
            <w:tcBorders>
              <w:top w:val="single" w:sz="4" w:space="0" w:color="auto"/>
              <w:left w:val="single" w:sz="4" w:space="0" w:color="auto"/>
              <w:bottom w:val="single" w:sz="4" w:space="0" w:color="auto"/>
              <w:right w:val="single" w:sz="4" w:space="0" w:color="auto"/>
            </w:tcBorders>
            <w:shd w:val="clear" w:color="FFFFFF" w:fill="FFFFFF"/>
          </w:tcPr>
          <w:p w14:paraId="60129C9E" w14:textId="77777777" w:rsidR="00E23746" w:rsidRPr="00955794" w:rsidRDefault="00E23746" w:rsidP="000B2F10">
            <w:pPr>
              <w:rPr>
                <w:rFonts w:cs="Arial"/>
                <w:sz w:val="20"/>
                <w:szCs w:val="20"/>
              </w:rPr>
            </w:pPr>
            <w:r>
              <w:rPr>
                <w:rFonts w:cs="Arial"/>
                <w:sz w:val="20"/>
                <w:szCs w:val="20"/>
              </w:rPr>
              <w:t>C01A04</w:t>
            </w:r>
            <w:r w:rsidRPr="00574DAC">
              <w:rPr>
                <w:rFonts w:cs="Arial"/>
                <w:sz w:val="20"/>
                <w:szCs w:val="20"/>
              </w:rPr>
              <w:t xml:space="preserve"> - </w:t>
            </w:r>
            <w:r w:rsidRPr="00955794">
              <w:rPr>
                <w:rFonts w:cs="Arial"/>
                <w:sz w:val="20"/>
                <w:szCs w:val="20"/>
              </w:rPr>
              <w:t>Porcentaje de alumnos beneficiados con programas de apoyo y desarrollo integral del estudiante</w:t>
            </w:r>
            <w:r>
              <w:rPr>
                <w:rFonts w:cs="Arial"/>
                <w:sz w:val="20"/>
                <w:szCs w:val="20"/>
              </w:rPr>
              <w:t>.</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50F34F6" w14:textId="77777777" w:rsidR="00E23746" w:rsidRPr="00955794" w:rsidRDefault="00E23746" w:rsidP="000B2F10">
            <w:pPr>
              <w:rPr>
                <w:rFonts w:cs="Arial"/>
                <w:sz w:val="20"/>
                <w:szCs w:val="20"/>
              </w:rPr>
            </w:pPr>
            <w:r w:rsidRPr="00955794">
              <w:rPr>
                <w:rFonts w:cs="Arial"/>
                <w:sz w:val="20"/>
                <w:szCs w:val="20"/>
              </w:rPr>
              <w:t>Estadísticas cuatrimestrales y/o Informe Consejo Directivo.</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36F99DB" w14:textId="77777777" w:rsidR="00E23746" w:rsidRPr="00955794" w:rsidRDefault="00E23746" w:rsidP="000B2F10">
            <w:pPr>
              <w:rPr>
                <w:rFonts w:cs="Arial"/>
                <w:sz w:val="20"/>
                <w:szCs w:val="20"/>
              </w:rPr>
            </w:pPr>
            <w:r w:rsidRPr="00955794">
              <w:rPr>
                <w:rFonts w:cs="Arial"/>
                <w:sz w:val="20"/>
                <w:szCs w:val="20"/>
              </w:rPr>
              <w:t>Que las Organizaciones externas mantengan su apoyo al programa y contar con la participación de instructores.</w:t>
            </w:r>
          </w:p>
        </w:tc>
      </w:tr>
    </w:tbl>
    <w:p w14:paraId="08362304" w14:textId="77777777" w:rsidR="0080241C" w:rsidRDefault="0080241C">
      <w:pPr>
        <w:spacing w:after="0" w:line="240" w:lineRule="auto"/>
        <w:jc w:val="left"/>
      </w:pPr>
      <w:r>
        <w:br w:type="page"/>
      </w:r>
    </w:p>
    <w:tbl>
      <w:tblPr>
        <w:tblW w:w="14029" w:type="dxa"/>
        <w:tblLayout w:type="fixed"/>
        <w:tblCellMar>
          <w:left w:w="70" w:type="dxa"/>
          <w:right w:w="70" w:type="dxa"/>
        </w:tblCellMar>
        <w:tblLook w:val="04A0" w:firstRow="1" w:lastRow="0" w:firstColumn="1" w:lastColumn="0" w:noHBand="0" w:noVBand="1"/>
      </w:tblPr>
      <w:tblGrid>
        <w:gridCol w:w="1413"/>
        <w:gridCol w:w="2693"/>
        <w:gridCol w:w="2835"/>
        <w:gridCol w:w="2268"/>
        <w:gridCol w:w="2693"/>
        <w:gridCol w:w="2127"/>
      </w:tblGrid>
      <w:tr w:rsidR="00E23746" w:rsidRPr="00FD08F8" w14:paraId="6CA2EF55" w14:textId="77777777" w:rsidTr="009A5883">
        <w:trPr>
          <w:trHeight w:val="577"/>
        </w:trPr>
        <w:tc>
          <w:tcPr>
            <w:tcW w:w="1413"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72A31874"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lastRenderedPageBreak/>
              <w:t>NIVEL</w:t>
            </w:r>
          </w:p>
        </w:tc>
        <w:tc>
          <w:tcPr>
            <w:tcW w:w="2693" w:type="dxa"/>
            <w:tcBorders>
              <w:top w:val="single" w:sz="4" w:space="0" w:color="auto"/>
              <w:left w:val="nil"/>
              <w:bottom w:val="single" w:sz="4" w:space="0" w:color="auto"/>
              <w:right w:val="single" w:sz="4" w:space="0" w:color="auto"/>
            </w:tcBorders>
            <w:shd w:val="clear" w:color="000000" w:fill="BFBFBF"/>
            <w:vAlign w:val="center"/>
            <w:hideMark/>
          </w:tcPr>
          <w:p w14:paraId="75EE07FC"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ALINEACIÓN PED/PD</w:t>
            </w:r>
          </w:p>
        </w:tc>
        <w:tc>
          <w:tcPr>
            <w:tcW w:w="2835" w:type="dxa"/>
            <w:tcBorders>
              <w:top w:val="single" w:sz="4" w:space="0" w:color="auto"/>
              <w:left w:val="nil"/>
              <w:bottom w:val="single" w:sz="4" w:space="0" w:color="auto"/>
              <w:right w:val="single" w:sz="4" w:space="0" w:color="auto"/>
            </w:tcBorders>
            <w:shd w:val="clear" w:color="000000" w:fill="BFBFBF"/>
            <w:vAlign w:val="center"/>
            <w:hideMark/>
          </w:tcPr>
          <w:p w14:paraId="47B5337A"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OBJETIVO</w:t>
            </w:r>
          </w:p>
        </w:tc>
        <w:tc>
          <w:tcPr>
            <w:tcW w:w="2268" w:type="dxa"/>
            <w:tcBorders>
              <w:top w:val="single" w:sz="4" w:space="0" w:color="auto"/>
              <w:left w:val="nil"/>
              <w:bottom w:val="single" w:sz="4" w:space="0" w:color="auto"/>
              <w:right w:val="single" w:sz="4" w:space="0" w:color="auto"/>
            </w:tcBorders>
            <w:shd w:val="clear" w:color="000000" w:fill="BFBFBF"/>
            <w:vAlign w:val="center"/>
            <w:hideMark/>
          </w:tcPr>
          <w:p w14:paraId="0D849C93"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INDICADOR</w:t>
            </w:r>
          </w:p>
        </w:tc>
        <w:tc>
          <w:tcPr>
            <w:tcW w:w="2693" w:type="dxa"/>
            <w:tcBorders>
              <w:top w:val="single" w:sz="4" w:space="0" w:color="auto"/>
              <w:left w:val="nil"/>
              <w:bottom w:val="single" w:sz="4" w:space="0" w:color="auto"/>
              <w:right w:val="single" w:sz="4" w:space="0" w:color="auto"/>
            </w:tcBorders>
            <w:shd w:val="clear" w:color="000000" w:fill="BFBFBF"/>
            <w:vAlign w:val="center"/>
            <w:hideMark/>
          </w:tcPr>
          <w:p w14:paraId="3377714B"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MEDIOS DE VERIFICACIÓN</w:t>
            </w:r>
          </w:p>
        </w:tc>
        <w:tc>
          <w:tcPr>
            <w:tcW w:w="2127" w:type="dxa"/>
            <w:tcBorders>
              <w:top w:val="single" w:sz="4" w:space="0" w:color="auto"/>
              <w:left w:val="nil"/>
              <w:bottom w:val="single" w:sz="4" w:space="0" w:color="auto"/>
              <w:right w:val="single" w:sz="4" w:space="0" w:color="auto"/>
            </w:tcBorders>
            <w:shd w:val="clear" w:color="000000" w:fill="BFBFBF"/>
            <w:vAlign w:val="center"/>
            <w:hideMark/>
          </w:tcPr>
          <w:p w14:paraId="08422570"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SUPUESTO</w:t>
            </w:r>
          </w:p>
        </w:tc>
      </w:tr>
      <w:tr w:rsidR="00E23746" w:rsidRPr="00FD08F8" w14:paraId="7FD22420" w14:textId="77777777" w:rsidTr="009A5883">
        <w:trPr>
          <w:trHeight w:val="1680"/>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41C4922E"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Actividad</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D28C3C2" w14:textId="77777777" w:rsidR="00E23746" w:rsidRPr="00955794" w:rsidRDefault="00E23746" w:rsidP="000B2F10">
            <w:pPr>
              <w:rPr>
                <w:rFonts w:cs="Arial"/>
                <w:sz w:val="20"/>
                <w:szCs w:val="20"/>
              </w:rPr>
            </w:pPr>
            <w:r w:rsidRPr="00955794">
              <w:rPr>
                <w:rFonts w:cs="Arial"/>
                <w:sz w:val="20"/>
                <w:szCs w:val="20"/>
              </w:rPr>
              <w:t>Ofertar programas educativos actualizados y pertinentes con la vocación productiva del área de influencia de la Universidad.</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FEAA32D" w14:textId="77777777" w:rsidR="00E23746" w:rsidRDefault="00E23746" w:rsidP="000B2F10">
            <w:pPr>
              <w:rPr>
                <w:rFonts w:cs="Arial"/>
                <w:sz w:val="20"/>
                <w:szCs w:val="20"/>
              </w:rPr>
            </w:pPr>
            <w:r w:rsidRPr="00574DAC">
              <w:rPr>
                <w:rFonts w:cs="Arial"/>
                <w:sz w:val="20"/>
                <w:szCs w:val="20"/>
              </w:rPr>
              <w:t>C01.A0</w:t>
            </w:r>
            <w:r>
              <w:rPr>
                <w:rFonts w:cs="Arial"/>
                <w:sz w:val="20"/>
                <w:szCs w:val="20"/>
              </w:rPr>
              <w:t>5</w:t>
            </w:r>
            <w:r w:rsidRPr="00574DAC">
              <w:rPr>
                <w:rFonts w:cs="Arial"/>
                <w:sz w:val="20"/>
                <w:szCs w:val="20"/>
              </w:rPr>
              <w:t xml:space="preserve"> - </w:t>
            </w:r>
            <w:r w:rsidRPr="00955794">
              <w:rPr>
                <w:rFonts w:cs="Arial"/>
                <w:sz w:val="20"/>
                <w:szCs w:val="20"/>
              </w:rPr>
              <w:t>Actualización de programas educativos pertinentes con la vocación productiva del área de influencia de</w:t>
            </w:r>
            <w:r>
              <w:rPr>
                <w:rFonts w:cs="Arial"/>
                <w:sz w:val="20"/>
                <w:szCs w:val="20"/>
              </w:rPr>
              <w:t xml:space="preserve"> </w:t>
            </w:r>
            <w:r w:rsidRPr="00955794">
              <w:rPr>
                <w:rFonts w:cs="Arial"/>
                <w:sz w:val="20"/>
                <w:szCs w:val="20"/>
              </w:rPr>
              <w:t>la Universidad.</w:t>
            </w:r>
          </w:p>
          <w:p w14:paraId="3782A394" w14:textId="77777777" w:rsidR="00E23746" w:rsidRPr="00955794" w:rsidRDefault="00E23746" w:rsidP="000B2F10">
            <w:pPr>
              <w:rPr>
                <w:rFonts w:cs="Arial"/>
                <w:sz w:val="20"/>
                <w:szCs w:val="20"/>
              </w:rPr>
            </w:pPr>
          </w:p>
        </w:tc>
        <w:tc>
          <w:tcPr>
            <w:tcW w:w="2268" w:type="dxa"/>
            <w:tcBorders>
              <w:top w:val="single" w:sz="4" w:space="0" w:color="auto"/>
              <w:left w:val="single" w:sz="4" w:space="0" w:color="auto"/>
              <w:bottom w:val="single" w:sz="4" w:space="0" w:color="auto"/>
              <w:right w:val="single" w:sz="4" w:space="0" w:color="auto"/>
            </w:tcBorders>
            <w:shd w:val="clear" w:color="FFFFFF" w:fill="FFFFFF"/>
          </w:tcPr>
          <w:p w14:paraId="29CA4161" w14:textId="77777777" w:rsidR="00E23746" w:rsidRPr="00955794" w:rsidRDefault="00E23746" w:rsidP="000B2F10">
            <w:pPr>
              <w:rPr>
                <w:rFonts w:cs="Arial"/>
                <w:sz w:val="20"/>
                <w:szCs w:val="20"/>
              </w:rPr>
            </w:pPr>
            <w:r>
              <w:rPr>
                <w:rFonts w:cs="Arial"/>
                <w:sz w:val="20"/>
                <w:szCs w:val="20"/>
              </w:rPr>
              <w:t>C01A04</w:t>
            </w:r>
            <w:r w:rsidRPr="00574DAC">
              <w:rPr>
                <w:rFonts w:cs="Arial"/>
                <w:sz w:val="20"/>
                <w:szCs w:val="20"/>
              </w:rPr>
              <w:t xml:space="preserve"> - </w:t>
            </w:r>
            <w:r w:rsidRPr="00955794">
              <w:rPr>
                <w:rFonts w:cs="Arial"/>
                <w:sz w:val="20"/>
                <w:szCs w:val="20"/>
              </w:rPr>
              <w:t>Porcentaje de programas educativos actualizados.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F3AED32" w14:textId="77777777" w:rsidR="00E23746" w:rsidRPr="00955794" w:rsidRDefault="00E23746" w:rsidP="000B2F10">
            <w:pPr>
              <w:rPr>
                <w:rFonts w:cs="Arial"/>
                <w:sz w:val="20"/>
                <w:szCs w:val="20"/>
              </w:rPr>
            </w:pPr>
            <w:r w:rsidRPr="00955794">
              <w:rPr>
                <w:rFonts w:cs="Arial"/>
                <w:sz w:val="20"/>
                <w:szCs w:val="20"/>
              </w:rPr>
              <w:t>Estudios AST y/o Plan de estudios vigente.</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2AA7188" w14:textId="77777777" w:rsidR="00E23746" w:rsidRPr="00955794" w:rsidRDefault="00E23746" w:rsidP="000B2F10">
            <w:pPr>
              <w:rPr>
                <w:rFonts w:cs="Arial"/>
                <w:sz w:val="20"/>
                <w:szCs w:val="20"/>
              </w:rPr>
            </w:pPr>
            <w:r w:rsidRPr="00955794">
              <w:rPr>
                <w:rFonts w:cs="Arial"/>
                <w:sz w:val="20"/>
                <w:szCs w:val="20"/>
              </w:rPr>
              <w:t>Actualización de planes y programas de estudio, conforme a periodos establecidos por Organismos autorizados.</w:t>
            </w:r>
          </w:p>
        </w:tc>
      </w:tr>
      <w:tr w:rsidR="00E23746" w:rsidRPr="00FD08F8" w14:paraId="2B7F603B" w14:textId="77777777" w:rsidTr="009A5883">
        <w:trPr>
          <w:trHeight w:val="2128"/>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3BC0E8E5"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Actividad</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2B36A09" w14:textId="77777777" w:rsidR="00E23746" w:rsidRDefault="00E23746" w:rsidP="000B2F10">
            <w:pPr>
              <w:rPr>
                <w:rFonts w:cs="Arial"/>
                <w:sz w:val="20"/>
                <w:szCs w:val="20"/>
              </w:rPr>
            </w:pPr>
            <w:r w:rsidRPr="006D5DA6">
              <w:rPr>
                <w:rFonts w:cs="Arial"/>
                <w:sz w:val="20"/>
                <w:szCs w:val="20"/>
              </w:rPr>
              <w:t>Impulsar la vinculación con instituciones públicas y privadas para la realización del servicio social, prácticas profesionales o su equivalente y modelo dual por parte de los est</w:t>
            </w:r>
            <w:r>
              <w:rPr>
                <w:rFonts w:cs="Arial"/>
                <w:sz w:val="20"/>
                <w:szCs w:val="20"/>
              </w:rPr>
              <w:t>udiantes de educación superior.</w:t>
            </w:r>
          </w:p>
          <w:p w14:paraId="67F7DB18" w14:textId="77777777" w:rsidR="00E23746" w:rsidRPr="006D5DA6" w:rsidRDefault="00E23746" w:rsidP="000B2F10">
            <w:pPr>
              <w:rPr>
                <w:rFonts w:cs="Arial"/>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A9D236D" w14:textId="77777777" w:rsidR="00E23746" w:rsidRPr="006D5DA6" w:rsidRDefault="00E23746" w:rsidP="000B2F10">
            <w:pPr>
              <w:rPr>
                <w:rFonts w:cs="Arial"/>
                <w:sz w:val="20"/>
                <w:szCs w:val="20"/>
              </w:rPr>
            </w:pPr>
            <w:r w:rsidRPr="00574DAC">
              <w:rPr>
                <w:rFonts w:cs="Arial"/>
                <w:sz w:val="20"/>
                <w:szCs w:val="20"/>
              </w:rPr>
              <w:t>C01.A0</w:t>
            </w:r>
            <w:r>
              <w:rPr>
                <w:rFonts w:cs="Arial"/>
                <w:sz w:val="20"/>
                <w:szCs w:val="20"/>
              </w:rPr>
              <w:t>6</w:t>
            </w:r>
            <w:r w:rsidRPr="00574DAC">
              <w:rPr>
                <w:rFonts w:cs="Arial"/>
                <w:sz w:val="20"/>
                <w:szCs w:val="20"/>
              </w:rPr>
              <w:t xml:space="preserve"> - </w:t>
            </w:r>
            <w:r w:rsidRPr="006D5DA6">
              <w:rPr>
                <w:rFonts w:cs="Arial"/>
                <w:sz w:val="20"/>
                <w:szCs w:val="20"/>
              </w:rPr>
              <w:t>Realización de viajes de prácticas para reforzar competencias profesionales adquiridas en las asignaturas de los programas educativos.</w:t>
            </w:r>
          </w:p>
        </w:tc>
        <w:tc>
          <w:tcPr>
            <w:tcW w:w="2268" w:type="dxa"/>
            <w:tcBorders>
              <w:top w:val="single" w:sz="4" w:space="0" w:color="auto"/>
              <w:left w:val="single" w:sz="4" w:space="0" w:color="auto"/>
              <w:bottom w:val="single" w:sz="4" w:space="0" w:color="auto"/>
              <w:right w:val="single" w:sz="4" w:space="0" w:color="auto"/>
            </w:tcBorders>
            <w:shd w:val="clear" w:color="FFFFFF" w:fill="FFFFFF"/>
          </w:tcPr>
          <w:p w14:paraId="6964E22A" w14:textId="77777777" w:rsidR="00E23746" w:rsidRPr="006D5DA6" w:rsidRDefault="00E23746" w:rsidP="000B2F10">
            <w:pPr>
              <w:rPr>
                <w:rFonts w:cs="Arial"/>
                <w:sz w:val="20"/>
                <w:szCs w:val="20"/>
              </w:rPr>
            </w:pPr>
            <w:r>
              <w:rPr>
                <w:rFonts w:cs="Arial"/>
                <w:sz w:val="20"/>
                <w:szCs w:val="20"/>
              </w:rPr>
              <w:t>C01A06</w:t>
            </w:r>
            <w:r w:rsidRPr="00574DAC">
              <w:rPr>
                <w:rFonts w:cs="Arial"/>
                <w:sz w:val="20"/>
                <w:szCs w:val="20"/>
              </w:rPr>
              <w:t xml:space="preserve"> - </w:t>
            </w:r>
            <w:r w:rsidRPr="006D5DA6">
              <w:rPr>
                <w:rFonts w:cs="Arial"/>
                <w:sz w:val="20"/>
                <w:szCs w:val="20"/>
              </w:rPr>
              <w:t>Número de viajes de prácticas realizados</w:t>
            </w:r>
            <w:r>
              <w:rPr>
                <w:rFonts w:cs="Arial"/>
                <w:sz w:val="20"/>
                <w:szCs w:val="20"/>
              </w:rPr>
              <w:t>.</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E454FBB" w14:textId="77777777" w:rsidR="00E23746" w:rsidRPr="006D5DA6" w:rsidRDefault="00E23746" w:rsidP="000B2F10">
            <w:pPr>
              <w:rPr>
                <w:rFonts w:cs="Arial"/>
                <w:sz w:val="20"/>
                <w:szCs w:val="20"/>
              </w:rPr>
            </w:pPr>
            <w:r w:rsidRPr="006D5DA6">
              <w:rPr>
                <w:rFonts w:cs="Arial"/>
                <w:sz w:val="20"/>
                <w:szCs w:val="20"/>
              </w:rPr>
              <w:t>Informe de Consejo Directivo</w:t>
            </w:r>
            <w:r>
              <w:rPr>
                <w:rFonts w:cs="Arial"/>
                <w:sz w:val="20"/>
                <w:szCs w:val="20"/>
              </w:rPr>
              <w:t>.</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410970C" w14:textId="77777777" w:rsidR="00E23746" w:rsidRPr="006D5DA6" w:rsidRDefault="00E23746" w:rsidP="000B2F10">
            <w:pPr>
              <w:rPr>
                <w:rFonts w:cs="Arial"/>
                <w:sz w:val="20"/>
                <w:szCs w:val="20"/>
              </w:rPr>
            </w:pPr>
            <w:r w:rsidRPr="006D5DA6">
              <w:rPr>
                <w:rFonts w:cs="Arial"/>
                <w:sz w:val="20"/>
                <w:szCs w:val="20"/>
              </w:rPr>
              <w:t>Vínculo con las empresas del sector productivo relacionadas con cada programa educativo donde se desarrollarán las prácticas.</w:t>
            </w:r>
          </w:p>
        </w:tc>
      </w:tr>
      <w:tr w:rsidR="00E23746" w:rsidRPr="00FD08F8" w14:paraId="54BF12E3" w14:textId="77777777" w:rsidTr="009A5883">
        <w:trPr>
          <w:trHeight w:val="1710"/>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14:paraId="509B8C1A"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Componente</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279C062" w14:textId="13248326" w:rsidR="00E23746" w:rsidRPr="00C46653" w:rsidRDefault="00E23746" w:rsidP="00647045">
            <w:pPr>
              <w:rPr>
                <w:rFonts w:cs="Arial"/>
                <w:sz w:val="20"/>
                <w:szCs w:val="20"/>
              </w:rPr>
            </w:pPr>
            <w:r w:rsidRPr="00C46653">
              <w:rPr>
                <w:rFonts w:cs="Arial"/>
                <w:sz w:val="20"/>
                <w:szCs w:val="20"/>
              </w:rPr>
              <w:t>Impulsar la acreditación y evaluación de los planes y programas de estudio de educación superior por organismos externos reconocidos a nivel nacional e internacional.</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3D623FB" w14:textId="77777777" w:rsidR="00E23746" w:rsidRPr="00C46653" w:rsidRDefault="00E23746" w:rsidP="000B2F10">
            <w:pPr>
              <w:rPr>
                <w:rFonts w:cs="Arial"/>
                <w:sz w:val="20"/>
                <w:szCs w:val="20"/>
              </w:rPr>
            </w:pPr>
            <w:r w:rsidRPr="00574DAC">
              <w:rPr>
                <w:rFonts w:cs="Arial"/>
                <w:sz w:val="20"/>
                <w:szCs w:val="20"/>
              </w:rPr>
              <w:t xml:space="preserve">C02 - </w:t>
            </w:r>
            <w:r w:rsidRPr="00C46653">
              <w:rPr>
                <w:rFonts w:cs="Arial"/>
                <w:sz w:val="20"/>
                <w:szCs w:val="20"/>
              </w:rPr>
              <w:t>Programas Educativos Evaluables de calidad ofertados</w:t>
            </w:r>
            <w:r>
              <w:rPr>
                <w:rFonts w:cs="Arial"/>
                <w:sz w:val="20"/>
                <w:szCs w:val="20"/>
              </w:rPr>
              <w:t>.</w:t>
            </w:r>
          </w:p>
        </w:tc>
        <w:tc>
          <w:tcPr>
            <w:tcW w:w="2268" w:type="dxa"/>
            <w:tcBorders>
              <w:top w:val="single" w:sz="4" w:space="0" w:color="auto"/>
              <w:left w:val="single" w:sz="4" w:space="0" w:color="auto"/>
              <w:bottom w:val="single" w:sz="4" w:space="0" w:color="auto"/>
              <w:right w:val="single" w:sz="4" w:space="0" w:color="auto"/>
            </w:tcBorders>
            <w:shd w:val="clear" w:color="FFFFFF" w:fill="FFFFFF"/>
          </w:tcPr>
          <w:p w14:paraId="192F0664" w14:textId="77777777" w:rsidR="00E23746" w:rsidRPr="00C46653" w:rsidRDefault="00E23746" w:rsidP="000B2F10">
            <w:pPr>
              <w:rPr>
                <w:rFonts w:cs="Arial"/>
                <w:sz w:val="20"/>
                <w:szCs w:val="20"/>
              </w:rPr>
            </w:pPr>
            <w:r w:rsidRPr="00574DAC">
              <w:rPr>
                <w:rFonts w:cs="Arial"/>
                <w:sz w:val="20"/>
                <w:szCs w:val="20"/>
              </w:rPr>
              <w:t xml:space="preserve">C02 - </w:t>
            </w:r>
            <w:r w:rsidRPr="00C46653">
              <w:rPr>
                <w:rFonts w:cs="Arial"/>
                <w:sz w:val="20"/>
                <w:szCs w:val="20"/>
              </w:rPr>
              <w:t>Porcentaje de Programas Educativos de Calidad</w:t>
            </w:r>
            <w:r>
              <w:rPr>
                <w:rFonts w:cs="Arial"/>
                <w:sz w:val="20"/>
                <w:szCs w:val="20"/>
              </w:rPr>
              <w:t>.</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C14E945" w14:textId="77777777" w:rsidR="00E23746" w:rsidRPr="00C46653" w:rsidRDefault="00E23746" w:rsidP="000B2F10">
            <w:pPr>
              <w:rPr>
                <w:rFonts w:cs="Arial"/>
                <w:sz w:val="20"/>
                <w:szCs w:val="20"/>
              </w:rPr>
            </w:pPr>
            <w:r w:rsidRPr="00C46653">
              <w:rPr>
                <w:rFonts w:cs="Arial"/>
                <w:sz w:val="20"/>
                <w:szCs w:val="20"/>
              </w:rPr>
              <w:t>Certificado o constancias de los organismos evaluadores y/o Padrón emitido por la DGESU, Subsecretaría de Educación Superior, portal de la Subsecretaría que pública.</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945C5B9" w14:textId="77777777" w:rsidR="00E23746" w:rsidRPr="00C46653" w:rsidRDefault="00E23746" w:rsidP="000B2F10">
            <w:pPr>
              <w:rPr>
                <w:rFonts w:cs="Arial"/>
                <w:sz w:val="20"/>
                <w:szCs w:val="20"/>
              </w:rPr>
            </w:pPr>
            <w:r w:rsidRPr="00C46653">
              <w:rPr>
                <w:rFonts w:cs="Arial"/>
                <w:sz w:val="20"/>
                <w:szCs w:val="20"/>
              </w:rPr>
              <w:t>La Calidad de la Educación Superior continúa siendo prioridad Nacional.</w:t>
            </w:r>
          </w:p>
        </w:tc>
      </w:tr>
    </w:tbl>
    <w:p w14:paraId="67706EA7" w14:textId="77777777" w:rsidR="0080241C" w:rsidRDefault="0080241C">
      <w:pPr>
        <w:spacing w:after="0" w:line="240" w:lineRule="auto"/>
        <w:jc w:val="left"/>
      </w:pPr>
      <w:r>
        <w:br w:type="page"/>
      </w:r>
    </w:p>
    <w:tbl>
      <w:tblPr>
        <w:tblW w:w="14029" w:type="dxa"/>
        <w:tblLayout w:type="fixed"/>
        <w:tblCellMar>
          <w:left w:w="70" w:type="dxa"/>
          <w:right w:w="70" w:type="dxa"/>
        </w:tblCellMar>
        <w:tblLook w:val="04A0" w:firstRow="1" w:lastRow="0" w:firstColumn="1" w:lastColumn="0" w:noHBand="0" w:noVBand="1"/>
      </w:tblPr>
      <w:tblGrid>
        <w:gridCol w:w="1271"/>
        <w:gridCol w:w="2835"/>
        <w:gridCol w:w="2835"/>
        <w:gridCol w:w="2268"/>
        <w:gridCol w:w="2693"/>
        <w:gridCol w:w="2127"/>
      </w:tblGrid>
      <w:tr w:rsidR="00E23746" w:rsidRPr="00FD08F8" w14:paraId="1A0A3705" w14:textId="77777777" w:rsidTr="003D04F9">
        <w:trPr>
          <w:trHeight w:val="577"/>
        </w:trPr>
        <w:tc>
          <w:tcPr>
            <w:tcW w:w="1271"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41446FA6"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lastRenderedPageBreak/>
              <w:t>NIVEL</w:t>
            </w:r>
          </w:p>
        </w:tc>
        <w:tc>
          <w:tcPr>
            <w:tcW w:w="2835" w:type="dxa"/>
            <w:tcBorders>
              <w:top w:val="single" w:sz="4" w:space="0" w:color="auto"/>
              <w:left w:val="nil"/>
              <w:bottom w:val="single" w:sz="4" w:space="0" w:color="auto"/>
              <w:right w:val="single" w:sz="4" w:space="0" w:color="auto"/>
            </w:tcBorders>
            <w:shd w:val="clear" w:color="000000" w:fill="BFBFBF"/>
            <w:vAlign w:val="center"/>
            <w:hideMark/>
          </w:tcPr>
          <w:p w14:paraId="797BFD55"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ALINEACIÓN PED/PD</w:t>
            </w:r>
          </w:p>
        </w:tc>
        <w:tc>
          <w:tcPr>
            <w:tcW w:w="2835" w:type="dxa"/>
            <w:tcBorders>
              <w:top w:val="single" w:sz="4" w:space="0" w:color="auto"/>
              <w:left w:val="nil"/>
              <w:bottom w:val="single" w:sz="4" w:space="0" w:color="auto"/>
              <w:right w:val="single" w:sz="4" w:space="0" w:color="auto"/>
            </w:tcBorders>
            <w:shd w:val="clear" w:color="000000" w:fill="BFBFBF"/>
            <w:vAlign w:val="center"/>
            <w:hideMark/>
          </w:tcPr>
          <w:p w14:paraId="24B29167"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OBJETIVO</w:t>
            </w:r>
          </w:p>
        </w:tc>
        <w:tc>
          <w:tcPr>
            <w:tcW w:w="2268" w:type="dxa"/>
            <w:tcBorders>
              <w:top w:val="single" w:sz="4" w:space="0" w:color="auto"/>
              <w:left w:val="nil"/>
              <w:bottom w:val="single" w:sz="4" w:space="0" w:color="auto"/>
              <w:right w:val="single" w:sz="4" w:space="0" w:color="auto"/>
            </w:tcBorders>
            <w:shd w:val="clear" w:color="000000" w:fill="BFBFBF"/>
            <w:vAlign w:val="center"/>
            <w:hideMark/>
          </w:tcPr>
          <w:p w14:paraId="7180E911"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INDICADOR</w:t>
            </w:r>
          </w:p>
        </w:tc>
        <w:tc>
          <w:tcPr>
            <w:tcW w:w="2693" w:type="dxa"/>
            <w:tcBorders>
              <w:top w:val="single" w:sz="4" w:space="0" w:color="auto"/>
              <w:left w:val="nil"/>
              <w:bottom w:val="single" w:sz="4" w:space="0" w:color="auto"/>
              <w:right w:val="single" w:sz="4" w:space="0" w:color="auto"/>
            </w:tcBorders>
            <w:shd w:val="clear" w:color="000000" w:fill="BFBFBF"/>
            <w:vAlign w:val="center"/>
            <w:hideMark/>
          </w:tcPr>
          <w:p w14:paraId="797A2A68"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MEDIOS DE VERIFICACIÓN</w:t>
            </w:r>
          </w:p>
        </w:tc>
        <w:tc>
          <w:tcPr>
            <w:tcW w:w="2127" w:type="dxa"/>
            <w:tcBorders>
              <w:top w:val="single" w:sz="4" w:space="0" w:color="auto"/>
              <w:left w:val="nil"/>
              <w:bottom w:val="single" w:sz="4" w:space="0" w:color="auto"/>
              <w:right w:val="single" w:sz="4" w:space="0" w:color="auto"/>
            </w:tcBorders>
            <w:shd w:val="clear" w:color="000000" w:fill="BFBFBF"/>
            <w:vAlign w:val="center"/>
            <w:hideMark/>
          </w:tcPr>
          <w:p w14:paraId="5EB9D416"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SUPUESTO</w:t>
            </w:r>
          </w:p>
        </w:tc>
      </w:tr>
      <w:tr w:rsidR="00E23746" w:rsidRPr="00FD08F8" w14:paraId="41F53958" w14:textId="77777777" w:rsidTr="009A5883">
        <w:trPr>
          <w:trHeight w:val="2246"/>
        </w:trPr>
        <w:tc>
          <w:tcPr>
            <w:tcW w:w="1271" w:type="dxa"/>
            <w:tcBorders>
              <w:top w:val="single" w:sz="4" w:space="0" w:color="auto"/>
              <w:left w:val="single" w:sz="4" w:space="0" w:color="auto"/>
              <w:bottom w:val="single" w:sz="4" w:space="0" w:color="auto"/>
              <w:right w:val="single" w:sz="4" w:space="0" w:color="auto"/>
            </w:tcBorders>
            <w:shd w:val="clear" w:color="auto" w:fill="auto"/>
            <w:hideMark/>
          </w:tcPr>
          <w:p w14:paraId="14ED8B4B"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Actividad</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80572DE" w14:textId="77777777" w:rsidR="00E23746" w:rsidRPr="00FC3D3D" w:rsidRDefault="00E23746" w:rsidP="000B2F10">
            <w:pPr>
              <w:rPr>
                <w:rFonts w:cs="Arial"/>
                <w:sz w:val="20"/>
                <w:szCs w:val="20"/>
              </w:rPr>
            </w:pPr>
            <w:r w:rsidRPr="00FC3D3D">
              <w:rPr>
                <w:rFonts w:cs="Arial"/>
                <w:sz w:val="20"/>
                <w:szCs w:val="20"/>
              </w:rPr>
              <w:t>Impulsar la acreditación y evaluación de los planes y programas de estudio de educación superior por organismos externos reconocidos a nivel nacional e internacional.</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4149873" w14:textId="77777777" w:rsidR="00E23746" w:rsidRPr="00FC3D3D" w:rsidRDefault="00E23746" w:rsidP="000B2F10">
            <w:pPr>
              <w:rPr>
                <w:rFonts w:cs="Arial"/>
                <w:sz w:val="20"/>
                <w:szCs w:val="20"/>
              </w:rPr>
            </w:pPr>
            <w:r w:rsidRPr="00574DAC">
              <w:rPr>
                <w:rFonts w:cs="Arial"/>
                <w:sz w:val="20"/>
                <w:szCs w:val="20"/>
              </w:rPr>
              <w:t xml:space="preserve">C02.A01 - </w:t>
            </w:r>
            <w:r w:rsidRPr="00FC3D3D">
              <w:rPr>
                <w:rFonts w:cs="Arial"/>
                <w:sz w:val="20"/>
                <w:szCs w:val="20"/>
              </w:rPr>
              <w:t>Impartición de planes y programas de estudios conforme a criterios normativos y de alta calidad (incluye monitoreo de enseñanza aprendizaje, operación de laboratorios y talleres, etc.</w:t>
            </w:r>
            <w:r>
              <w:rPr>
                <w:rFonts w:cs="Arial"/>
                <w:sz w:val="20"/>
                <w:szCs w:val="20"/>
              </w:rPr>
              <w:t>).</w:t>
            </w:r>
          </w:p>
        </w:tc>
        <w:tc>
          <w:tcPr>
            <w:tcW w:w="2268" w:type="dxa"/>
            <w:tcBorders>
              <w:top w:val="single" w:sz="4" w:space="0" w:color="auto"/>
              <w:left w:val="single" w:sz="4" w:space="0" w:color="auto"/>
              <w:bottom w:val="single" w:sz="4" w:space="0" w:color="auto"/>
              <w:right w:val="single" w:sz="4" w:space="0" w:color="auto"/>
            </w:tcBorders>
            <w:shd w:val="clear" w:color="FFFFFF" w:fill="FFFFFF"/>
          </w:tcPr>
          <w:p w14:paraId="2529398A" w14:textId="77777777" w:rsidR="00E23746" w:rsidRPr="00FC3D3D" w:rsidRDefault="00E23746" w:rsidP="000B2F10">
            <w:pPr>
              <w:rPr>
                <w:rFonts w:cs="Arial"/>
                <w:sz w:val="20"/>
                <w:szCs w:val="20"/>
              </w:rPr>
            </w:pPr>
            <w:r w:rsidRPr="00574DAC">
              <w:rPr>
                <w:rFonts w:cs="Arial"/>
                <w:sz w:val="20"/>
                <w:szCs w:val="20"/>
              </w:rPr>
              <w:t xml:space="preserve">C02A01 - </w:t>
            </w:r>
            <w:r w:rsidRPr="00FC3D3D">
              <w:rPr>
                <w:rFonts w:cs="Arial"/>
                <w:sz w:val="20"/>
                <w:szCs w:val="20"/>
              </w:rPr>
              <w:t>Porcentaje de Planes y Programas de estudios impartidos.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9911ABB" w14:textId="77777777" w:rsidR="00E23746" w:rsidRPr="00FC3D3D" w:rsidRDefault="00E23746" w:rsidP="000B2F10">
            <w:pPr>
              <w:rPr>
                <w:rFonts w:cs="Arial"/>
                <w:sz w:val="20"/>
                <w:szCs w:val="20"/>
              </w:rPr>
            </w:pPr>
            <w:r w:rsidRPr="00FC3D3D">
              <w:rPr>
                <w:rFonts w:cs="Arial"/>
                <w:sz w:val="20"/>
                <w:szCs w:val="20"/>
              </w:rPr>
              <w:t>Programa Educativo impartido</w:t>
            </w:r>
            <w:r>
              <w:rPr>
                <w:rFonts w:cs="Arial"/>
                <w:sz w:val="20"/>
                <w:szCs w:val="20"/>
              </w:rPr>
              <w:t>.</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EBB493C" w14:textId="77777777" w:rsidR="00E23746" w:rsidRPr="00FC3D3D" w:rsidRDefault="00E23746" w:rsidP="000B2F10">
            <w:pPr>
              <w:rPr>
                <w:rFonts w:cs="Arial"/>
                <w:sz w:val="20"/>
                <w:szCs w:val="20"/>
              </w:rPr>
            </w:pPr>
            <w:r w:rsidRPr="00FC3D3D">
              <w:rPr>
                <w:rFonts w:cs="Arial"/>
                <w:sz w:val="20"/>
                <w:szCs w:val="20"/>
              </w:rPr>
              <w:t>La UTRM cuenta con la autorización de la CGUTyP de todos los planes y programas educativos impartidos.</w:t>
            </w:r>
          </w:p>
        </w:tc>
      </w:tr>
      <w:tr w:rsidR="00E23746" w:rsidRPr="00FD08F8" w14:paraId="5A919BBB" w14:textId="77777777" w:rsidTr="003D04F9">
        <w:trPr>
          <w:trHeight w:val="2393"/>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7A5C7CC"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Actividad</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DEECD5A" w14:textId="77777777" w:rsidR="00E23746" w:rsidRPr="003C1214" w:rsidRDefault="00E23746" w:rsidP="000B2F10">
            <w:pPr>
              <w:rPr>
                <w:rFonts w:cs="Arial"/>
                <w:sz w:val="20"/>
                <w:szCs w:val="20"/>
              </w:rPr>
            </w:pPr>
            <w:r w:rsidRPr="003C1214">
              <w:rPr>
                <w:rFonts w:cs="Arial"/>
                <w:sz w:val="20"/>
                <w:szCs w:val="20"/>
              </w:rPr>
              <w:t>Fortalecer a Investigación básica y aplicada con la participación de los estudiantes de educación superior.</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D48D36E" w14:textId="77777777" w:rsidR="00E23746" w:rsidRPr="003C1214" w:rsidRDefault="00E23746" w:rsidP="000B2F10">
            <w:pPr>
              <w:rPr>
                <w:rFonts w:cs="Arial"/>
                <w:sz w:val="20"/>
                <w:szCs w:val="20"/>
              </w:rPr>
            </w:pPr>
            <w:r w:rsidRPr="003C1214">
              <w:rPr>
                <w:rFonts w:cs="Arial"/>
                <w:sz w:val="20"/>
                <w:szCs w:val="20"/>
              </w:rPr>
              <w:t>C02.A02 - Realización de proyectos de investigación científica, desarrollo tecnológico e innovación.</w:t>
            </w:r>
          </w:p>
        </w:tc>
        <w:tc>
          <w:tcPr>
            <w:tcW w:w="2268" w:type="dxa"/>
            <w:tcBorders>
              <w:top w:val="single" w:sz="4" w:space="0" w:color="auto"/>
              <w:left w:val="single" w:sz="4" w:space="0" w:color="auto"/>
              <w:bottom w:val="single" w:sz="4" w:space="0" w:color="auto"/>
              <w:right w:val="single" w:sz="4" w:space="0" w:color="auto"/>
            </w:tcBorders>
            <w:shd w:val="clear" w:color="FFFFFF" w:fill="FFFFFF"/>
          </w:tcPr>
          <w:p w14:paraId="2DE405B8" w14:textId="77777777" w:rsidR="00E23746" w:rsidRPr="003C1214" w:rsidRDefault="00E23746" w:rsidP="000B2F10">
            <w:pPr>
              <w:rPr>
                <w:rFonts w:cs="Arial"/>
                <w:sz w:val="20"/>
                <w:szCs w:val="20"/>
              </w:rPr>
            </w:pPr>
            <w:r>
              <w:rPr>
                <w:rFonts w:cs="Arial"/>
                <w:sz w:val="20"/>
                <w:szCs w:val="20"/>
              </w:rPr>
              <w:t>C02A02</w:t>
            </w:r>
            <w:r w:rsidRPr="00574DAC">
              <w:rPr>
                <w:rFonts w:cs="Arial"/>
                <w:sz w:val="20"/>
                <w:szCs w:val="20"/>
              </w:rPr>
              <w:t xml:space="preserve"> - </w:t>
            </w:r>
            <w:r w:rsidRPr="003C1214">
              <w:rPr>
                <w:rFonts w:cs="Arial"/>
                <w:sz w:val="20"/>
                <w:szCs w:val="20"/>
              </w:rPr>
              <w:t>Porcentaje de productos, estudios o planes académicos, relacionados con el desarrollo institucional o de la investigación.</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FBC26C2" w14:textId="77777777" w:rsidR="00E23746" w:rsidRPr="003C1214" w:rsidRDefault="00E23746" w:rsidP="000B2F10">
            <w:pPr>
              <w:rPr>
                <w:rFonts w:cs="Arial"/>
                <w:sz w:val="20"/>
                <w:szCs w:val="20"/>
              </w:rPr>
            </w:pPr>
            <w:r w:rsidRPr="003C1214">
              <w:rPr>
                <w:rFonts w:cs="Arial"/>
                <w:sz w:val="20"/>
                <w:szCs w:val="20"/>
              </w:rPr>
              <w:t>Informe del H. Consejo Directivo.</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10279BD3" w14:textId="77777777" w:rsidR="00E23746" w:rsidRPr="003C1214" w:rsidRDefault="00E23746" w:rsidP="000B2F10">
            <w:pPr>
              <w:rPr>
                <w:rFonts w:cs="Arial"/>
                <w:sz w:val="20"/>
                <w:szCs w:val="20"/>
              </w:rPr>
            </w:pPr>
            <w:r w:rsidRPr="003C1214">
              <w:rPr>
                <w:rFonts w:cs="Arial"/>
                <w:sz w:val="20"/>
                <w:szCs w:val="20"/>
              </w:rPr>
              <w:t>Los profesores de la UTRM reciben asesoría de instituciones nacionales e internacionales de investigación para la realización de los proyectos.</w:t>
            </w:r>
          </w:p>
        </w:tc>
      </w:tr>
    </w:tbl>
    <w:p w14:paraId="75F7730F" w14:textId="77777777" w:rsidR="0080241C" w:rsidRDefault="0080241C">
      <w:pPr>
        <w:spacing w:after="0" w:line="240" w:lineRule="auto"/>
        <w:jc w:val="left"/>
      </w:pPr>
      <w:r>
        <w:br w:type="page"/>
      </w:r>
    </w:p>
    <w:tbl>
      <w:tblPr>
        <w:tblW w:w="14029" w:type="dxa"/>
        <w:tblLayout w:type="fixed"/>
        <w:tblCellMar>
          <w:left w:w="70" w:type="dxa"/>
          <w:right w:w="70" w:type="dxa"/>
        </w:tblCellMar>
        <w:tblLook w:val="04A0" w:firstRow="1" w:lastRow="0" w:firstColumn="1" w:lastColumn="0" w:noHBand="0" w:noVBand="1"/>
      </w:tblPr>
      <w:tblGrid>
        <w:gridCol w:w="1413"/>
        <w:gridCol w:w="2693"/>
        <w:gridCol w:w="2835"/>
        <w:gridCol w:w="2268"/>
        <w:gridCol w:w="2693"/>
        <w:gridCol w:w="2127"/>
      </w:tblGrid>
      <w:tr w:rsidR="00E23746" w:rsidRPr="00FD08F8" w14:paraId="40FA0CB0" w14:textId="77777777" w:rsidTr="009A5883">
        <w:trPr>
          <w:trHeight w:val="577"/>
        </w:trPr>
        <w:tc>
          <w:tcPr>
            <w:tcW w:w="1413"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6CED50BB"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lastRenderedPageBreak/>
              <w:t>NIVEL</w:t>
            </w:r>
          </w:p>
        </w:tc>
        <w:tc>
          <w:tcPr>
            <w:tcW w:w="2693" w:type="dxa"/>
            <w:tcBorders>
              <w:top w:val="single" w:sz="4" w:space="0" w:color="auto"/>
              <w:left w:val="nil"/>
              <w:bottom w:val="single" w:sz="4" w:space="0" w:color="auto"/>
              <w:right w:val="single" w:sz="4" w:space="0" w:color="auto"/>
            </w:tcBorders>
            <w:shd w:val="clear" w:color="000000" w:fill="BFBFBF"/>
            <w:vAlign w:val="center"/>
            <w:hideMark/>
          </w:tcPr>
          <w:p w14:paraId="673F17A2"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ALINEACIÓN PED/PD</w:t>
            </w:r>
          </w:p>
        </w:tc>
        <w:tc>
          <w:tcPr>
            <w:tcW w:w="2835" w:type="dxa"/>
            <w:tcBorders>
              <w:top w:val="single" w:sz="4" w:space="0" w:color="auto"/>
              <w:left w:val="nil"/>
              <w:bottom w:val="single" w:sz="4" w:space="0" w:color="auto"/>
              <w:right w:val="single" w:sz="4" w:space="0" w:color="auto"/>
            </w:tcBorders>
            <w:shd w:val="clear" w:color="000000" w:fill="BFBFBF"/>
            <w:vAlign w:val="center"/>
            <w:hideMark/>
          </w:tcPr>
          <w:p w14:paraId="7A7A8BDF"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OBJETIVO</w:t>
            </w:r>
          </w:p>
        </w:tc>
        <w:tc>
          <w:tcPr>
            <w:tcW w:w="2268" w:type="dxa"/>
            <w:tcBorders>
              <w:top w:val="single" w:sz="4" w:space="0" w:color="auto"/>
              <w:left w:val="nil"/>
              <w:bottom w:val="single" w:sz="4" w:space="0" w:color="auto"/>
              <w:right w:val="single" w:sz="4" w:space="0" w:color="auto"/>
            </w:tcBorders>
            <w:shd w:val="clear" w:color="000000" w:fill="BFBFBF"/>
            <w:vAlign w:val="center"/>
            <w:hideMark/>
          </w:tcPr>
          <w:p w14:paraId="4A54EB0A"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INDICADOR</w:t>
            </w:r>
          </w:p>
        </w:tc>
        <w:tc>
          <w:tcPr>
            <w:tcW w:w="2693" w:type="dxa"/>
            <w:tcBorders>
              <w:top w:val="single" w:sz="4" w:space="0" w:color="auto"/>
              <w:left w:val="nil"/>
              <w:bottom w:val="single" w:sz="4" w:space="0" w:color="auto"/>
              <w:right w:val="single" w:sz="4" w:space="0" w:color="auto"/>
            </w:tcBorders>
            <w:shd w:val="clear" w:color="000000" w:fill="BFBFBF"/>
            <w:vAlign w:val="center"/>
            <w:hideMark/>
          </w:tcPr>
          <w:p w14:paraId="36C9B061"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MEDIOS DE VERIFICACIÓN</w:t>
            </w:r>
          </w:p>
        </w:tc>
        <w:tc>
          <w:tcPr>
            <w:tcW w:w="2127" w:type="dxa"/>
            <w:tcBorders>
              <w:top w:val="single" w:sz="4" w:space="0" w:color="auto"/>
              <w:left w:val="nil"/>
              <w:bottom w:val="single" w:sz="4" w:space="0" w:color="auto"/>
              <w:right w:val="single" w:sz="4" w:space="0" w:color="auto"/>
            </w:tcBorders>
            <w:shd w:val="clear" w:color="000000" w:fill="BFBFBF"/>
            <w:vAlign w:val="center"/>
            <w:hideMark/>
          </w:tcPr>
          <w:p w14:paraId="72805998"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SUPUESTO</w:t>
            </w:r>
          </w:p>
        </w:tc>
      </w:tr>
      <w:tr w:rsidR="00BD5811" w:rsidRPr="00FD08F8" w14:paraId="4772BC91" w14:textId="77777777" w:rsidTr="009A5883">
        <w:trPr>
          <w:trHeight w:val="2115"/>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53C58824" w14:textId="433DC5E4" w:rsidR="00BD5811" w:rsidRPr="00FD08F8" w:rsidRDefault="00BD5811" w:rsidP="00BD5811">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Actividad</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C049C80" w14:textId="33DD9FE1" w:rsidR="00BD5811" w:rsidRPr="00A66978" w:rsidRDefault="00BD5811" w:rsidP="00BD5811">
            <w:pPr>
              <w:rPr>
                <w:rFonts w:cs="Arial"/>
                <w:sz w:val="20"/>
                <w:szCs w:val="20"/>
              </w:rPr>
            </w:pPr>
            <w:r w:rsidRPr="00A66978">
              <w:rPr>
                <w:rFonts w:cs="Arial"/>
                <w:sz w:val="20"/>
                <w:szCs w:val="20"/>
              </w:rPr>
              <w:t>Habilitar las condiciones de infraestructura tecnológica y telecomunicaciones de las escuelas del estado.</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7F4C905" w14:textId="584B3927" w:rsidR="00BD5811" w:rsidRPr="00A66978" w:rsidRDefault="00BD5811" w:rsidP="00BD5811">
            <w:pPr>
              <w:rPr>
                <w:rFonts w:cs="Arial"/>
                <w:sz w:val="20"/>
                <w:szCs w:val="20"/>
              </w:rPr>
            </w:pPr>
            <w:r w:rsidRPr="00574DAC">
              <w:rPr>
                <w:rFonts w:cs="Arial"/>
                <w:sz w:val="20"/>
                <w:szCs w:val="20"/>
              </w:rPr>
              <w:t xml:space="preserve">C02.A03 - </w:t>
            </w:r>
            <w:r w:rsidRPr="00A66978">
              <w:rPr>
                <w:rFonts w:cs="Arial"/>
                <w:sz w:val="20"/>
                <w:szCs w:val="20"/>
              </w:rPr>
              <w:t>Fortalecimiento de la infraestructura tecnológica, equipamiento y material bibliográfico para brindar servicios educativos de calidad.</w:t>
            </w:r>
          </w:p>
        </w:tc>
        <w:tc>
          <w:tcPr>
            <w:tcW w:w="2268" w:type="dxa"/>
            <w:tcBorders>
              <w:top w:val="single" w:sz="4" w:space="0" w:color="auto"/>
              <w:left w:val="single" w:sz="4" w:space="0" w:color="auto"/>
              <w:bottom w:val="single" w:sz="4" w:space="0" w:color="auto"/>
              <w:right w:val="single" w:sz="4" w:space="0" w:color="auto"/>
            </w:tcBorders>
            <w:shd w:val="clear" w:color="FFFFFF" w:fill="FFFFFF"/>
          </w:tcPr>
          <w:p w14:paraId="44D09B95" w14:textId="58DC72C5" w:rsidR="00BD5811" w:rsidRPr="00A66978" w:rsidRDefault="00BD5811" w:rsidP="00BD5811">
            <w:pPr>
              <w:rPr>
                <w:rFonts w:cs="Arial"/>
                <w:sz w:val="20"/>
                <w:szCs w:val="20"/>
              </w:rPr>
            </w:pPr>
            <w:r w:rsidRPr="00574DAC">
              <w:rPr>
                <w:rFonts w:cs="Arial"/>
                <w:sz w:val="20"/>
                <w:szCs w:val="20"/>
              </w:rPr>
              <w:t xml:space="preserve">C02A03 - </w:t>
            </w:r>
            <w:r w:rsidRPr="00A66978">
              <w:rPr>
                <w:rFonts w:cs="Arial"/>
                <w:sz w:val="20"/>
                <w:szCs w:val="20"/>
              </w:rPr>
              <w:t>Porcentaje de volúmenes de acervo en biblioteca</w:t>
            </w:r>
            <w:r>
              <w:rPr>
                <w:rFonts w:cs="Arial"/>
                <w:sz w:val="20"/>
                <w:szCs w:val="20"/>
              </w:rPr>
              <w:t>.</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1ED8A02" w14:textId="1C2BD519" w:rsidR="00BD5811" w:rsidRPr="00A66978" w:rsidRDefault="00BD5811" w:rsidP="00BD5811">
            <w:pPr>
              <w:rPr>
                <w:rFonts w:cs="Arial"/>
                <w:sz w:val="20"/>
                <w:szCs w:val="20"/>
              </w:rPr>
            </w:pPr>
            <w:r w:rsidRPr="00A66978">
              <w:rPr>
                <w:rFonts w:cs="Arial"/>
                <w:sz w:val="20"/>
                <w:szCs w:val="20"/>
              </w:rPr>
              <w:t>Informe del Consejo Directivo</w:t>
            </w:r>
            <w:r>
              <w:rPr>
                <w:rFonts w:cs="Arial"/>
                <w:sz w:val="20"/>
                <w:szCs w:val="20"/>
              </w:rPr>
              <w:t>.</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60D43143" w14:textId="589AD847" w:rsidR="00BD5811" w:rsidRPr="00A66978" w:rsidRDefault="00BD5811" w:rsidP="00BD5811">
            <w:pPr>
              <w:rPr>
                <w:rFonts w:cs="Arial"/>
                <w:sz w:val="20"/>
                <w:szCs w:val="20"/>
              </w:rPr>
            </w:pPr>
            <w:r w:rsidRPr="00A66978">
              <w:rPr>
                <w:rFonts w:cs="Arial"/>
                <w:sz w:val="20"/>
                <w:szCs w:val="20"/>
              </w:rPr>
              <w:t>SEP a través de la  CGUTyP y/o autoridades estatales y federales dota de acervo bibliográfico y tecnológico a la UTRM para el cumplimiento de los Programas Educativos.</w:t>
            </w:r>
          </w:p>
        </w:tc>
      </w:tr>
      <w:tr w:rsidR="00BD5811" w:rsidRPr="00FD08F8" w14:paraId="0F9AFE63" w14:textId="77777777" w:rsidTr="009A5883">
        <w:trPr>
          <w:trHeight w:val="2412"/>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7B8EFBA" w14:textId="42899792" w:rsidR="00BD5811" w:rsidRPr="00FD08F8" w:rsidRDefault="00BD5811" w:rsidP="00BD5811">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Componente</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CD17F60" w14:textId="33889B46" w:rsidR="00BD5811" w:rsidRPr="00A66978" w:rsidRDefault="00BD5811" w:rsidP="00BD5811">
            <w:pPr>
              <w:rPr>
                <w:rFonts w:cs="Arial"/>
                <w:sz w:val="20"/>
                <w:szCs w:val="20"/>
              </w:rPr>
            </w:pPr>
            <w:r w:rsidRPr="00A66978">
              <w:rPr>
                <w:rFonts w:cs="Arial"/>
                <w:sz w:val="20"/>
                <w:szCs w:val="20"/>
              </w:rPr>
              <w:t>Impulsar la vinculación con instituciones públicas y privadas para la realización del servicio social, prácticas profesionales o su equivalente y modelo dual por parte de los estudiantes de educación superior.</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C104051" w14:textId="1AB9A11A" w:rsidR="00BD5811" w:rsidRPr="00A66978" w:rsidRDefault="00BD5811" w:rsidP="00BD5811">
            <w:pPr>
              <w:rPr>
                <w:rFonts w:cs="Arial"/>
                <w:sz w:val="20"/>
                <w:szCs w:val="20"/>
              </w:rPr>
            </w:pPr>
            <w:r w:rsidRPr="00574DAC">
              <w:rPr>
                <w:rFonts w:cs="Arial"/>
                <w:sz w:val="20"/>
                <w:szCs w:val="20"/>
              </w:rPr>
              <w:t xml:space="preserve">C03 - </w:t>
            </w:r>
            <w:r w:rsidRPr="00A66978">
              <w:rPr>
                <w:rFonts w:cs="Arial"/>
                <w:sz w:val="20"/>
                <w:szCs w:val="20"/>
              </w:rPr>
              <w:t>Vinculación Interinstitucional realizada</w:t>
            </w:r>
            <w:r>
              <w:rPr>
                <w:rFonts w:cs="Arial"/>
                <w:sz w:val="20"/>
                <w:szCs w:val="20"/>
              </w:rPr>
              <w:t>.</w:t>
            </w:r>
          </w:p>
        </w:tc>
        <w:tc>
          <w:tcPr>
            <w:tcW w:w="2268" w:type="dxa"/>
            <w:tcBorders>
              <w:top w:val="single" w:sz="4" w:space="0" w:color="auto"/>
              <w:left w:val="single" w:sz="4" w:space="0" w:color="auto"/>
              <w:bottom w:val="single" w:sz="4" w:space="0" w:color="auto"/>
              <w:right w:val="single" w:sz="4" w:space="0" w:color="auto"/>
            </w:tcBorders>
            <w:shd w:val="clear" w:color="FFFFFF" w:fill="FFFFFF"/>
          </w:tcPr>
          <w:p w14:paraId="16805758" w14:textId="5E661FA9" w:rsidR="00BD5811" w:rsidRPr="00A66978" w:rsidRDefault="00BD5811" w:rsidP="00BD5811">
            <w:pPr>
              <w:rPr>
                <w:rFonts w:cs="Arial"/>
                <w:sz w:val="20"/>
                <w:szCs w:val="20"/>
              </w:rPr>
            </w:pPr>
            <w:r w:rsidRPr="00574DAC">
              <w:rPr>
                <w:rFonts w:cs="Arial"/>
                <w:sz w:val="20"/>
                <w:szCs w:val="20"/>
              </w:rPr>
              <w:t xml:space="preserve">C03 - </w:t>
            </w:r>
            <w:r w:rsidRPr="00A66978">
              <w:rPr>
                <w:rFonts w:cs="Arial"/>
                <w:sz w:val="20"/>
                <w:szCs w:val="20"/>
              </w:rPr>
              <w:t>Porcentaje de estudiantes participando en proyectos y/o convenios</w:t>
            </w:r>
            <w:r>
              <w:rPr>
                <w:rFonts w:cs="Arial"/>
                <w:sz w:val="20"/>
                <w:szCs w:val="20"/>
              </w:rPr>
              <w:t>.</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4A37E72" w14:textId="0ED97F99" w:rsidR="00BD5811" w:rsidRPr="00A66978" w:rsidRDefault="00BD5811" w:rsidP="00BD5811">
            <w:pPr>
              <w:rPr>
                <w:rFonts w:cs="Arial"/>
                <w:sz w:val="20"/>
                <w:szCs w:val="20"/>
              </w:rPr>
            </w:pPr>
            <w:r w:rsidRPr="00A66978">
              <w:rPr>
                <w:rFonts w:cs="Arial"/>
                <w:sz w:val="20"/>
                <w:szCs w:val="20"/>
              </w:rPr>
              <w:t>Memorias presentadas, Dirección de vinculación.</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1F36AD17" w14:textId="4900C4F5" w:rsidR="00BD5811" w:rsidRPr="00A66978" w:rsidRDefault="00BD5811" w:rsidP="00BD5811">
            <w:pPr>
              <w:rPr>
                <w:rFonts w:cs="Arial"/>
                <w:sz w:val="20"/>
                <w:szCs w:val="20"/>
              </w:rPr>
            </w:pPr>
            <w:r w:rsidRPr="00A66978">
              <w:rPr>
                <w:rFonts w:cs="Arial"/>
                <w:sz w:val="20"/>
                <w:szCs w:val="20"/>
              </w:rPr>
              <w:t>Los estudiantes se interesan en participar en los proyectos de vinculación propuestos por las Instituciones de Educación Superior de la Entidad.</w:t>
            </w:r>
          </w:p>
        </w:tc>
      </w:tr>
      <w:tr w:rsidR="00BD5811" w:rsidRPr="00FD08F8" w14:paraId="56685D98" w14:textId="77777777" w:rsidTr="009A5883">
        <w:trPr>
          <w:trHeight w:val="2252"/>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481DC3D4" w14:textId="69A42763" w:rsidR="00BD5811" w:rsidRPr="00FD08F8" w:rsidRDefault="00BD5811" w:rsidP="00BD5811">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Actividad</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D0FBC8C" w14:textId="5987FFE4" w:rsidR="00BD5811" w:rsidRPr="00887525" w:rsidRDefault="00BD5811" w:rsidP="00BD5811">
            <w:pPr>
              <w:rPr>
                <w:rFonts w:cs="Arial"/>
                <w:sz w:val="20"/>
                <w:szCs w:val="20"/>
              </w:rPr>
            </w:pPr>
            <w:r w:rsidRPr="00A66978">
              <w:rPr>
                <w:rFonts w:cs="Arial"/>
                <w:sz w:val="20"/>
                <w:szCs w:val="20"/>
              </w:rPr>
              <w:t>Impulsar la vinculación con instituciones públicas y privadas para la realización del servicio social, prácticas profesionales o su equivalente y modelo dual por parte de los estudiantes de educación superior.</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FC10161" w14:textId="5170C27E" w:rsidR="00BD5811" w:rsidRPr="00887525" w:rsidRDefault="00BD5811" w:rsidP="00BD5811">
            <w:pPr>
              <w:rPr>
                <w:rFonts w:cs="Arial"/>
                <w:sz w:val="20"/>
                <w:szCs w:val="20"/>
              </w:rPr>
            </w:pPr>
            <w:r w:rsidRPr="00574DAC">
              <w:rPr>
                <w:rFonts w:cs="Arial"/>
                <w:sz w:val="20"/>
                <w:szCs w:val="20"/>
              </w:rPr>
              <w:t xml:space="preserve">C03.A01 - </w:t>
            </w:r>
            <w:r w:rsidRPr="00A66978">
              <w:rPr>
                <w:rFonts w:cs="Arial"/>
                <w:sz w:val="20"/>
                <w:szCs w:val="20"/>
              </w:rPr>
              <w:t>Vinculación con Organizaciones del Sector Productivo.</w:t>
            </w:r>
          </w:p>
        </w:tc>
        <w:tc>
          <w:tcPr>
            <w:tcW w:w="2268" w:type="dxa"/>
            <w:tcBorders>
              <w:top w:val="single" w:sz="4" w:space="0" w:color="auto"/>
              <w:left w:val="single" w:sz="4" w:space="0" w:color="auto"/>
              <w:bottom w:val="single" w:sz="4" w:space="0" w:color="auto"/>
              <w:right w:val="single" w:sz="4" w:space="0" w:color="auto"/>
            </w:tcBorders>
            <w:shd w:val="clear" w:color="FFFFFF" w:fill="FFFFFF"/>
          </w:tcPr>
          <w:p w14:paraId="3A5EBAC2" w14:textId="6DE22E7E" w:rsidR="00BD5811" w:rsidRPr="00887525" w:rsidRDefault="00BD5811" w:rsidP="00BD5811">
            <w:pPr>
              <w:rPr>
                <w:rFonts w:cs="Arial"/>
                <w:sz w:val="20"/>
                <w:szCs w:val="20"/>
              </w:rPr>
            </w:pPr>
            <w:r w:rsidRPr="00574DAC">
              <w:rPr>
                <w:rFonts w:cs="Arial"/>
                <w:sz w:val="20"/>
                <w:szCs w:val="20"/>
              </w:rPr>
              <w:t xml:space="preserve">C03A01 - </w:t>
            </w:r>
            <w:r w:rsidRPr="00A66978">
              <w:rPr>
                <w:rFonts w:cs="Arial"/>
                <w:sz w:val="20"/>
                <w:szCs w:val="20"/>
              </w:rPr>
              <w:t>Porcentaje de Convenios realizados Nacionales e Internacionales.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F2F7A1E" w14:textId="191E85FF" w:rsidR="00BD5811" w:rsidRPr="00887525" w:rsidRDefault="00BD5811" w:rsidP="00BD5811">
            <w:pPr>
              <w:rPr>
                <w:rFonts w:cs="Arial"/>
                <w:sz w:val="20"/>
                <w:szCs w:val="20"/>
              </w:rPr>
            </w:pPr>
            <w:r w:rsidRPr="00A66978">
              <w:rPr>
                <w:rFonts w:cs="Arial"/>
                <w:sz w:val="20"/>
                <w:szCs w:val="20"/>
              </w:rPr>
              <w:t>Informe del H. Consejo Directivo de la UTRM</w:t>
            </w:r>
            <w:r>
              <w:rPr>
                <w:rFonts w:cs="Arial"/>
                <w:sz w:val="20"/>
                <w:szCs w:val="20"/>
              </w:rPr>
              <w:t>.</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B6CC257" w14:textId="4307429B" w:rsidR="00BD5811" w:rsidRPr="00887525" w:rsidRDefault="00BD5811" w:rsidP="00BD5811">
            <w:pPr>
              <w:rPr>
                <w:rFonts w:cs="Arial"/>
                <w:sz w:val="20"/>
                <w:szCs w:val="20"/>
              </w:rPr>
            </w:pPr>
            <w:r w:rsidRPr="00A66978">
              <w:rPr>
                <w:rFonts w:cs="Arial"/>
                <w:sz w:val="20"/>
                <w:szCs w:val="20"/>
              </w:rPr>
              <w:t>Las Organizaciones del Sector Productivo participen con Proyectos de estadías como profesionalización para los alumnos</w:t>
            </w:r>
            <w:r>
              <w:rPr>
                <w:rFonts w:cs="Arial"/>
                <w:sz w:val="20"/>
                <w:szCs w:val="20"/>
              </w:rPr>
              <w:t>.</w:t>
            </w:r>
          </w:p>
        </w:tc>
      </w:tr>
    </w:tbl>
    <w:p w14:paraId="5FBAEF40" w14:textId="77777777" w:rsidR="0080241C" w:rsidRDefault="0080241C">
      <w:pPr>
        <w:spacing w:after="0" w:line="240" w:lineRule="auto"/>
        <w:jc w:val="left"/>
      </w:pPr>
      <w:r>
        <w:br w:type="page"/>
      </w:r>
    </w:p>
    <w:tbl>
      <w:tblPr>
        <w:tblW w:w="14029" w:type="dxa"/>
        <w:tblLayout w:type="fixed"/>
        <w:tblCellMar>
          <w:left w:w="70" w:type="dxa"/>
          <w:right w:w="70" w:type="dxa"/>
        </w:tblCellMar>
        <w:tblLook w:val="04A0" w:firstRow="1" w:lastRow="0" w:firstColumn="1" w:lastColumn="0" w:noHBand="0" w:noVBand="1"/>
      </w:tblPr>
      <w:tblGrid>
        <w:gridCol w:w="1271"/>
        <w:gridCol w:w="2835"/>
        <w:gridCol w:w="2835"/>
        <w:gridCol w:w="2268"/>
        <w:gridCol w:w="2693"/>
        <w:gridCol w:w="2127"/>
      </w:tblGrid>
      <w:tr w:rsidR="00E23746" w:rsidRPr="00FD08F8" w14:paraId="19A30AE8" w14:textId="77777777" w:rsidTr="003D04F9">
        <w:trPr>
          <w:trHeight w:val="577"/>
        </w:trPr>
        <w:tc>
          <w:tcPr>
            <w:tcW w:w="1271"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7CDB6FD3"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lastRenderedPageBreak/>
              <w:t>NIVEL</w:t>
            </w:r>
          </w:p>
        </w:tc>
        <w:tc>
          <w:tcPr>
            <w:tcW w:w="2835" w:type="dxa"/>
            <w:tcBorders>
              <w:top w:val="single" w:sz="4" w:space="0" w:color="auto"/>
              <w:left w:val="nil"/>
              <w:bottom w:val="single" w:sz="4" w:space="0" w:color="auto"/>
              <w:right w:val="single" w:sz="4" w:space="0" w:color="auto"/>
            </w:tcBorders>
            <w:shd w:val="clear" w:color="000000" w:fill="BFBFBF"/>
            <w:vAlign w:val="center"/>
            <w:hideMark/>
          </w:tcPr>
          <w:p w14:paraId="095DE92B"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ALINEACIÓN PED/PD</w:t>
            </w:r>
          </w:p>
        </w:tc>
        <w:tc>
          <w:tcPr>
            <w:tcW w:w="2835" w:type="dxa"/>
            <w:tcBorders>
              <w:top w:val="single" w:sz="4" w:space="0" w:color="auto"/>
              <w:left w:val="nil"/>
              <w:bottom w:val="single" w:sz="4" w:space="0" w:color="auto"/>
              <w:right w:val="single" w:sz="4" w:space="0" w:color="auto"/>
            </w:tcBorders>
            <w:shd w:val="clear" w:color="000000" w:fill="BFBFBF"/>
            <w:vAlign w:val="center"/>
            <w:hideMark/>
          </w:tcPr>
          <w:p w14:paraId="72C6BF4E"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OBJETIVO</w:t>
            </w:r>
          </w:p>
        </w:tc>
        <w:tc>
          <w:tcPr>
            <w:tcW w:w="2268" w:type="dxa"/>
            <w:tcBorders>
              <w:top w:val="single" w:sz="4" w:space="0" w:color="auto"/>
              <w:left w:val="nil"/>
              <w:bottom w:val="single" w:sz="4" w:space="0" w:color="auto"/>
              <w:right w:val="single" w:sz="4" w:space="0" w:color="auto"/>
            </w:tcBorders>
            <w:shd w:val="clear" w:color="000000" w:fill="BFBFBF"/>
            <w:vAlign w:val="center"/>
            <w:hideMark/>
          </w:tcPr>
          <w:p w14:paraId="4DA60560"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INDICADOR</w:t>
            </w:r>
          </w:p>
        </w:tc>
        <w:tc>
          <w:tcPr>
            <w:tcW w:w="2693" w:type="dxa"/>
            <w:tcBorders>
              <w:top w:val="single" w:sz="4" w:space="0" w:color="auto"/>
              <w:left w:val="nil"/>
              <w:bottom w:val="single" w:sz="4" w:space="0" w:color="auto"/>
              <w:right w:val="single" w:sz="4" w:space="0" w:color="auto"/>
            </w:tcBorders>
            <w:shd w:val="clear" w:color="000000" w:fill="BFBFBF"/>
            <w:vAlign w:val="center"/>
            <w:hideMark/>
          </w:tcPr>
          <w:p w14:paraId="75291F65"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MEDIOS DE VERIFICACIÓN</w:t>
            </w:r>
          </w:p>
        </w:tc>
        <w:tc>
          <w:tcPr>
            <w:tcW w:w="2127" w:type="dxa"/>
            <w:tcBorders>
              <w:top w:val="single" w:sz="4" w:space="0" w:color="auto"/>
              <w:left w:val="nil"/>
              <w:bottom w:val="single" w:sz="4" w:space="0" w:color="auto"/>
              <w:right w:val="single" w:sz="4" w:space="0" w:color="auto"/>
            </w:tcBorders>
            <w:shd w:val="clear" w:color="000000" w:fill="BFBFBF"/>
            <w:vAlign w:val="center"/>
            <w:hideMark/>
          </w:tcPr>
          <w:p w14:paraId="45A658A2"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SUPUESTO</w:t>
            </w:r>
          </w:p>
        </w:tc>
      </w:tr>
      <w:tr w:rsidR="00BD5811" w:rsidRPr="00FD08F8" w14:paraId="08C34CBA" w14:textId="77777777" w:rsidTr="003D04F9">
        <w:trPr>
          <w:trHeight w:val="551"/>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1EE627C5" w14:textId="777E51FA" w:rsidR="00BD5811" w:rsidRPr="00FD08F8" w:rsidRDefault="00BD5811" w:rsidP="00BD5811">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Actividad</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E9080F6" w14:textId="441BE5F9" w:rsidR="00BD5811" w:rsidRPr="00887525" w:rsidRDefault="00BD5811" w:rsidP="00BD5811">
            <w:pPr>
              <w:rPr>
                <w:rFonts w:cs="Arial"/>
                <w:sz w:val="20"/>
                <w:szCs w:val="20"/>
              </w:rPr>
            </w:pPr>
            <w:r w:rsidRPr="00887525">
              <w:rPr>
                <w:rFonts w:cs="Arial"/>
                <w:sz w:val="20"/>
                <w:szCs w:val="20"/>
              </w:rPr>
              <w:t>Impulsar la vinculación con instituciones públicas y privadas para la realización del servicio social, prácticas profesionales o su equivalente y modelo dual por parte de los estudiantes de educación superior.</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8B059C0" w14:textId="7D524890" w:rsidR="00BD5811" w:rsidRPr="00887525" w:rsidRDefault="00BD5811" w:rsidP="00BD5811">
            <w:pPr>
              <w:rPr>
                <w:rFonts w:cs="Arial"/>
                <w:sz w:val="20"/>
                <w:szCs w:val="20"/>
              </w:rPr>
            </w:pPr>
            <w:r w:rsidRPr="00574DAC">
              <w:rPr>
                <w:rFonts w:cs="Arial"/>
                <w:sz w:val="20"/>
                <w:szCs w:val="20"/>
              </w:rPr>
              <w:t xml:space="preserve">C03.A02 - </w:t>
            </w:r>
            <w:r w:rsidRPr="00887525">
              <w:rPr>
                <w:rFonts w:cs="Arial"/>
                <w:sz w:val="20"/>
                <w:szCs w:val="20"/>
              </w:rPr>
              <w:t>Operación del Programa de Internacionalización de los programas educativos de la Universidad.</w:t>
            </w:r>
          </w:p>
        </w:tc>
        <w:tc>
          <w:tcPr>
            <w:tcW w:w="2268" w:type="dxa"/>
            <w:tcBorders>
              <w:top w:val="single" w:sz="4" w:space="0" w:color="auto"/>
              <w:left w:val="single" w:sz="4" w:space="0" w:color="auto"/>
              <w:bottom w:val="single" w:sz="4" w:space="0" w:color="auto"/>
              <w:right w:val="single" w:sz="4" w:space="0" w:color="auto"/>
            </w:tcBorders>
            <w:shd w:val="clear" w:color="FFFFFF" w:fill="FFFFFF"/>
          </w:tcPr>
          <w:p w14:paraId="706FE24E" w14:textId="58B6A49D" w:rsidR="00BD5811" w:rsidRPr="00887525" w:rsidRDefault="00BD5811" w:rsidP="00BD5811">
            <w:pPr>
              <w:rPr>
                <w:rFonts w:cs="Arial"/>
                <w:sz w:val="20"/>
                <w:szCs w:val="20"/>
              </w:rPr>
            </w:pPr>
            <w:r w:rsidRPr="00574DAC">
              <w:rPr>
                <w:rFonts w:cs="Arial"/>
                <w:sz w:val="20"/>
                <w:szCs w:val="20"/>
              </w:rPr>
              <w:t xml:space="preserve">C03A02 - </w:t>
            </w:r>
            <w:r w:rsidRPr="00887525">
              <w:rPr>
                <w:rFonts w:cs="Arial"/>
                <w:sz w:val="20"/>
                <w:szCs w:val="20"/>
              </w:rPr>
              <w:t>Porcentaje de alumnos y académicos beneficiados con el Programa de Movilidad Académica y Estudiantil Internacional.</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F49B616" w14:textId="71D5EEE1" w:rsidR="00BD5811" w:rsidRPr="00887525" w:rsidRDefault="00BD5811" w:rsidP="00BD5811">
            <w:pPr>
              <w:rPr>
                <w:rFonts w:cs="Arial"/>
                <w:sz w:val="20"/>
                <w:szCs w:val="20"/>
              </w:rPr>
            </w:pPr>
            <w:r w:rsidRPr="00887525">
              <w:rPr>
                <w:rFonts w:cs="Arial"/>
                <w:sz w:val="20"/>
                <w:szCs w:val="20"/>
              </w:rPr>
              <w:t>Oficio de autorización de beca asignada e Informes del Consejo Directivo.</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73148D2" w14:textId="373A1165" w:rsidR="00BD5811" w:rsidRPr="00887525" w:rsidRDefault="00BD5811" w:rsidP="00BD5811">
            <w:pPr>
              <w:rPr>
                <w:rFonts w:cs="Arial"/>
                <w:sz w:val="20"/>
                <w:szCs w:val="20"/>
              </w:rPr>
            </w:pPr>
            <w:r w:rsidRPr="00887525">
              <w:rPr>
                <w:rFonts w:cs="Arial"/>
                <w:sz w:val="20"/>
                <w:szCs w:val="20"/>
              </w:rPr>
              <w:t>Los alumnos y docentes participarán en las becas de movilidad conforme a las convocatorias que emitan los organismos nacionales e internacionales.</w:t>
            </w:r>
          </w:p>
        </w:tc>
      </w:tr>
      <w:tr w:rsidR="00BD5811" w:rsidRPr="00FD08F8" w14:paraId="289771B2" w14:textId="77777777" w:rsidTr="003D04F9">
        <w:trPr>
          <w:trHeight w:val="2412"/>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47632408" w14:textId="10BC369F" w:rsidR="00BD5811" w:rsidRPr="00FD08F8" w:rsidRDefault="00BD5811" w:rsidP="00BD5811">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Actividad</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FF58B5F" w14:textId="1F8830C7" w:rsidR="00BD5811" w:rsidRPr="00A94615" w:rsidRDefault="00BD5811" w:rsidP="00BD5811">
            <w:pPr>
              <w:rPr>
                <w:rFonts w:cs="Arial"/>
                <w:sz w:val="20"/>
                <w:szCs w:val="20"/>
              </w:rPr>
            </w:pPr>
            <w:r w:rsidRPr="00887525">
              <w:rPr>
                <w:rFonts w:cs="Arial"/>
                <w:sz w:val="20"/>
                <w:szCs w:val="20"/>
              </w:rPr>
              <w:t>Impulsar la vinculación con instituciones públicas y privadas para la realización del servicio social, prácticas profesionales o su equivalente y modelo dual por parte de los estudiantes de educación superior.</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9F07908" w14:textId="46C412EA" w:rsidR="00BD5811" w:rsidRPr="00A94615" w:rsidRDefault="00BD5811" w:rsidP="00BD5811">
            <w:pPr>
              <w:rPr>
                <w:rFonts w:cs="Arial"/>
                <w:sz w:val="20"/>
                <w:szCs w:val="20"/>
              </w:rPr>
            </w:pPr>
            <w:r w:rsidRPr="00574DAC">
              <w:rPr>
                <w:rFonts w:cs="Arial"/>
                <w:sz w:val="20"/>
                <w:szCs w:val="20"/>
              </w:rPr>
              <w:t xml:space="preserve">C03.A03 - </w:t>
            </w:r>
            <w:r w:rsidRPr="00887525">
              <w:rPr>
                <w:rFonts w:cs="Arial"/>
                <w:sz w:val="20"/>
                <w:szCs w:val="20"/>
              </w:rPr>
              <w:t>Organización y participación  en eventos académicos, graduaciones, culturales, artísticos y deportivos, enfocados en programas nacionales e internacionales.</w:t>
            </w:r>
          </w:p>
        </w:tc>
        <w:tc>
          <w:tcPr>
            <w:tcW w:w="2268" w:type="dxa"/>
            <w:tcBorders>
              <w:top w:val="single" w:sz="4" w:space="0" w:color="auto"/>
              <w:left w:val="single" w:sz="4" w:space="0" w:color="auto"/>
              <w:bottom w:val="single" w:sz="4" w:space="0" w:color="auto"/>
              <w:right w:val="single" w:sz="4" w:space="0" w:color="auto"/>
            </w:tcBorders>
            <w:shd w:val="clear" w:color="FFFFFF" w:fill="FFFFFF"/>
          </w:tcPr>
          <w:p w14:paraId="095FE042" w14:textId="6B1685EE" w:rsidR="00BD5811" w:rsidRPr="00A94615" w:rsidRDefault="00BD5811" w:rsidP="00BD5811">
            <w:pPr>
              <w:rPr>
                <w:rFonts w:cs="Arial"/>
                <w:sz w:val="20"/>
                <w:szCs w:val="20"/>
              </w:rPr>
            </w:pPr>
            <w:r w:rsidRPr="00574DAC">
              <w:rPr>
                <w:rFonts w:cs="Arial"/>
                <w:sz w:val="20"/>
                <w:szCs w:val="20"/>
              </w:rPr>
              <w:t xml:space="preserve">C03A03 - </w:t>
            </w:r>
            <w:r w:rsidRPr="00887525">
              <w:rPr>
                <w:rFonts w:cs="Arial"/>
                <w:sz w:val="20"/>
                <w:szCs w:val="20"/>
              </w:rPr>
              <w:t>Porcentaje de  Eventos Organizados por la UTRM o de participación durante el año.</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E2AE7DE" w14:textId="5A1CDD04" w:rsidR="00BD5811" w:rsidRPr="00A94615" w:rsidRDefault="00BD5811" w:rsidP="00BD5811">
            <w:pPr>
              <w:rPr>
                <w:rFonts w:cs="Arial"/>
                <w:sz w:val="20"/>
                <w:szCs w:val="20"/>
              </w:rPr>
            </w:pPr>
            <w:r w:rsidRPr="00887525">
              <w:rPr>
                <w:rFonts w:cs="Arial"/>
                <w:sz w:val="20"/>
                <w:szCs w:val="20"/>
              </w:rPr>
              <w:t>Informe del Consejo Directivo</w:t>
            </w:r>
            <w:r>
              <w:rPr>
                <w:rFonts w:cs="Arial"/>
                <w:sz w:val="20"/>
                <w:szCs w:val="20"/>
              </w:rPr>
              <w:t>.</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F0E09B7" w14:textId="4767FE79" w:rsidR="00BD5811" w:rsidRPr="00A94615" w:rsidRDefault="00BD5811" w:rsidP="00BD5811">
            <w:pPr>
              <w:rPr>
                <w:rFonts w:cs="Arial"/>
                <w:sz w:val="20"/>
                <w:szCs w:val="20"/>
              </w:rPr>
            </w:pPr>
            <w:r w:rsidRPr="00887525">
              <w:rPr>
                <w:rFonts w:cs="Arial"/>
                <w:sz w:val="20"/>
                <w:szCs w:val="20"/>
              </w:rPr>
              <w:t>La comunidad Universitaria y sociedad en general participa en los eventos culturales, cívicos, deportivos, artísticos, académicos y comunitarios que organiza la Universidad Tecnológica de la Riviera Maya, procurando la participación nacional e internacional.</w:t>
            </w:r>
          </w:p>
        </w:tc>
      </w:tr>
    </w:tbl>
    <w:p w14:paraId="2085621D" w14:textId="77777777" w:rsidR="0080241C" w:rsidRDefault="0080241C">
      <w:pPr>
        <w:spacing w:after="0" w:line="240" w:lineRule="auto"/>
        <w:jc w:val="left"/>
      </w:pPr>
      <w:r>
        <w:br w:type="page"/>
      </w:r>
    </w:p>
    <w:tbl>
      <w:tblPr>
        <w:tblW w:w="14029" w:type="dxa"/>
        <w:tblLayout w:type="fixed"/>
        <w:tblCellMar>
          <w:left w:w="70" w:type="dxa"/>
          <w:right w:w="70" w:type="dxa"/>
        </w:tblCellMar>
        <w:tblLook w:val="04A0" w:firstRow="1" w:lastRow="0" w:firstColumn="1" w:lastColumn="0" w:noHBand="0" w:noVBand="1"/>
      </w:tblPr>
      <w:tblGrid>
        <w:gridCol w:w="1413"/>
        <w:gridCol w:w="2693"/>
        <w:gridCol w:w="2835"/>
        <w:gridCol w:w="2268"/>
        <w:gridCol w:w="2693"/>
        <w:gridCol w:w="2127"/>
      </w:tblGrid>
      <w:tr w:rsidR="00E23746" w:rsidRPr="00FD08F8" w14:paraId="766BE56E" w14:textId="77777777" w:rsidTr="009A5883">
        <w:trPr>
          <w:trHeight w:val="577"/>
        </w:trPr>
        <w:tc>
          <w:tcPr>
            <w:tcW w:w="1413"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54F186B0"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lastRenderedPageBreak/>
              <w:t>NIVEL</w:t>
            </w:r>
          </w:p>
        </w:tc>
        <w:tc>
          <w:tcPr>
            <w:tcW w:w="2693" w:type="dxa"/>
            <w:tcBorders>
              <w:top w:val="single" w:sz="4" w:space="0" w:color="auto"/>
              <w:left w:val="nil"/>
              <w:bottom w:val="single" w:sz="4" w:space="0" w:color="auto"/>
              <w:right w:val="single" w:sz="4" w:space="0" w:color="auto"/>
            </w:tcBorders>
            <w:shd w:val="clear" w:color="000000" w:fill="BFBFBF"/>
            <w:vAlign w:val="center"/>
            <w:hideMark/>
          </w:tcPr>
          <w:p w14:paraId="50C903A6"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ALINEACIÓN PED/PD</w:t>
            </w:r>
          </w:p>
        </w:tc>
        <w:tc>
          <w:tcPr>
            <w:tcW w:w="2835" w:type="dxa"/>
            <w:tcBorders>
              <w:top w:val="single" w:sz="4" w:space="0" w:color="auto"/>
              <w:left w:val="nil"/>
              <w:bottom w:val="single" w:sz="4" w:space="0" w:color="auto"/>
              <w:right w:val="single" w:sz="4" w:space="0" w:color="auto"/>
            </w:tcBorders>
            <w:shd w:val="clear" w:color="000000" w:fill="BFBFBF"/>
            <w:vAlign w:val="center"/>
            <w:hideMark/>
          </w:tcPr>
          <w:p w14:paraId="4A9DDEDB"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OBJETIVO</w:t>
            </w:r>
          </w:p>
        </w:tc>
        <w:tc>
          <w:tcPr>
            <w:tcW w:w="2268" w:type="dxa"/>
            <w:tcBorders>
              <w:top w:val="single" w:sz="4" w:space="0" w:color="auto"/>
              <w:left w:val="nil"/>
              <w:bottom w:val="single" w:sz="4" w:space="0" w:color="auto"/>
              <w:right w:val="single" w:sz="4" w:space="0" w:color="auto"/>
            </w:tcBorders>
            <w:shd w:val="clear" w:color="000000" w:fill="BFBFBF"/>
            <w:vAlign w:val="center"/>
            <w:hideMark/>
          </w:tcPr>
          <w:p w14:paraId="257B5273"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INDICADOR</w:t>
            </w:r>
          </w:p>
        </w:tc>
        <w:tc>
          <w:tcPr>
            <w:tcW w:w="2693" w:type="dxa"/>
            <w:tcBorders>
              <w:top w:val="single" w:sz="4" w:space="0" w:color="auto"/>
              <w:left w:val="nil"/>
              <w:bottom w:val="single" w:sz="4" w:space="0" w:color="auto"/>
              <w:right w:val="single" w:sz="4" w:space="0" w:color="auto"/>
            </w:tcBorders>
            <w:shd w:val="clear" w:color="000000" w:fill="BFBFBF"/>
            <w:vAlign w:val="center"/>
            <w:hideMark/>
          </w:tcPr>
          <w:p w14:paraId="0716C5EB"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MEDIOS DE VERIFICACIÓN</w:t>
            </w:r>
          </w:p>
        </w:tc>
        <w:tc>
          <w:tcPr>
            <w:tcW w:w="2127" w:type="dxa"/>
            <w:tcBorders>
              <w:top w:val="single" w:sz="4" w:space="0" w:color="auto"/>
              <w:left w:val="nil"/>
              <w:bottom w:val="single" w:sz="4" w:space="0" w:color="auto"/>
              <w:right w:val="single" w:sz="4" w:space="0" w:color="auto"/>
            </w:tcBorders>
            <w:shd w:val="clear" w:color="000000" w:fill="BFBFBF"/>
            <w:vAlign w:val="center"/>
            <w:hideMark/>
          </w:tcPr>
          <w:p w14:paraId="0FB38E6F"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SUPUESTO</w:t>
            </w:r>
          </w:p>
        </w:tc>
      </w:tr>
      <w:tr w:rsidR="00BD5811" w:rsidRPr="00FD08F8" w14:paraId="4B91C0B7" w14:textId="77777777" w:rsidTr="009A5883">
        <w:trPr>
          <w:trHeight w:val="2412"/>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0A6CB5C4" w14:textId="3964C524" w:rsidR="00BD5811" w:rsidRPr="00FD08F8" w:rsidRDefault="00BD5811" w:rsidP="00BD5811">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Actividad</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785D3FB" w14:textId="69EBCD71" w:rsidR="00BD5811" w:rsidRPr="00B6567D" w:rsidRDefault="00BD5811" w:rsidP="00BD5811">
            <w:pPr>
              <w:rPr>
                <w:rFonts w:cs="Arial"/>
                <w:sz w:val="20"/>
                <w:szCs w:val="20"/>
              </w:rPr>
            </w:pPr>
            <w:r w:rsidRPr="00A94615">
              <w:rPr>
                <w:rFonts w:cs="Arial"/>
                <w:sz w:val="20"/>
                <w:szCs w:val="20"/>
              </w:rPr>
              <w:t>Promover la certificación de los conocimientos, habilidades y destrezas requeridas, para que una persona realice cualquier actividad productiva, social o de gobierno, con un nivel alto desempeño a través de los Estándares de Competencia Laboral.</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4220B5E" w14:textId="16356050" w:rsidR="00BD5811" w:rsidRDefault="00BD5811" w:rsidP="00BD5811">
            <w:pPr>
              <w:rPr>
                <w:rFonts w:cs="Arial"/>
                <w:sz w:val="20"/>
                <w:szCs w:val="20"/>
              </w:rPr>
            </w:pPr>
            <w:r w:rsidRPr="00574DAC">
              <w:rPr>
                <w:rFonts w:cs="Arial"/>
                <w:sz w:val="20"/>
                <w:szCs w:val="20"/>
              </w:rPr>
              <w:t>C03.A0</w:t>
            </w:r>
            <w:r>
              <w:rPr>
                <w:rFonts w:cs="Arial"/>
                <w:sz w:val="20"/>
                <w:szCs w:val="20"/>
              </w:rPr>
              <w:t>4</w:t>
            </w:r>
            <w:r w:rsidRPr="00574DAC">
              <w:rPr>
                <w:rFonts w:cs="Arial"/>
                <w:sz w:val="20"/>
                <w:szCs w:val="20"/>
              </w:rPr>
              <w:t xml:space="preserve"> - </w:t>
            </w:r>
            <w:r w:rsidRPr="00A94615">
              <w:rPr>
                <w:rFonts w:cs="Arial"/>
                <w:sz w:val="20"/>
                <w:szCs w:val="20"/>
              </w:rPr>
              <w:t>Fortalecimiento del programa de certificación de competencias laborales y profesionales.</w:t>
            </w:r>
          </w:p>
        </w:tc>
        <w:tc>
          <w:tcPr>
            <w:tcW w:w="2268" w:type="dxa"/>
            <w:tcBorders>
              <w:top w:val="single" w:sz="4" w:space="0" w:color="auto"/>
              <w:left w:val="single" w:sz="4" w:space="0" w:color="auto"/>
              <w:bottom w:val="single" w:sz="4" w:space="0" w:color="auto"/>
              <w:right w:val="single" w:sz="4" w:space="0" w:color="auto"/>
            </w:tcBorders>
            <w:shd w:val="clear" w:color="FFFFFF" w:fill="FFFFFF"/>
          </w:tcPr>
          <w:p w14:paraId="191ADE0E" w14:textId="18BCA4FF" w:rsidR="00BD5811" w:rsidRDefault="00BD5811" w:rsidP="00BD5811">
            <w:pPr>
              <w:rPr>
                <w:rFonts w:cs="Arial"/>
                <w:sz w:val="20"/>
                <w:szCs w:val="20"/>
              </w:rPr>
            </w:pPr>
            <w:r>
              <w:rPr>
                <w:rFonts w:cs="Arial"/>
                <w:sz w:val="20"/>
                <w:szCs w:val="20"/>
              </w:rPr>
              <w:t>C03A04</w:t>
            </w:r>
            <w:r w:rsidRPr="00574DAC">
              <w:rPr>
                <w:rFonts w:cs="Arial"/>
                <w:sz w:val="20"/>
                <w:szCs w:val="20"/>
              </w:rPr>
              <w:t xml:space="preserve"> - </w:t>
            </w:r>
            <w:r w:rsidRPr="00A94615">
              <w:rPr>
                <w:rFonts w:cs="Arial"/>
                <w:sz w:val="20"/>
                <w:szCs w:val="20"/>
              </w:rPr>
              <w:t>Número de certificados emitidos</w:t>
            </w:r>
            <w:r>
              <w:rPr>
                <w:rFonts w:cs="Arial"/>
                <w:sz w:val="20"/>
                <w:szCs w:val="20"/>
              </w:rPr>
              <w:t>.</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6C58ECF" w14:textId="18128C80" w:rsidR="00BD5811" w:rsidRPr="00B6567D" w:rsidRDefault="00BD5811" w:rsidP="00BD5811">
            <w:pPr>
              <w:rPr>
                <w:rFonts w:cs="Arial"/>
                <w:sz w:val="20"/>
                <w:szCs w:val="20"/>
              </w:rPr>
            </w:pPr>
            <w:r w:rsidRPr="00A94615">
              <w:rPr>
                <w:rFonts w:cs="Arial"/>
                <w:sz w:val="20"/>
                <w:szCs w:val="20"/>
              </w:rPr>
              <w:t>Informe del Consejo Directivo</w:t>
            </w:r>
            <w:r>
              <w:rPr>
                <w:rFonts w:cs="Arial"/>
                <w:sz w:val="20"/>
                <w:szCs w:val="20"/>
              </w:rPr>
              <w:t>.</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4047F3A" w14:textId="1AA4D761" w:rsidR="00BD5811" w:rsidRPr="00B6567D" w:rsidRDefault="00BD5811" w:rsidP="00BD5811">
            <w:pPr>
              <w:rPr>
                <w:rFonts w:cs="Arial"/>
                <w:sz w:val="20"/>
                <w:szCs w:val="20"/>
              </w:rPr>
            </w:pPr>
            <w:r w:rsidRPr="00A94615">
              <w:rPr>
                <w:rFonts w:cs="Arial"/>
                <w:sz w:val="20"/>
                <w:szCs w:val="20"/>
              </w:rPr>
              <w:t>Comunidad universitaria y sociedad en general logra las certificaciones en los distintos cursos en los que participan.</w:t>
            </w:r>
          </w:p>
        </w:tc>
      </w:tr>
      <w:tr w:rsidR="00E23746" w:rsidRPr="00FD08F8" w14:paraId="28607BB1" w14:textId="77777777" w:rsidTr="009A5883">
        <w:trPr>
          <w:trHeight w:val="2412"/>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244D9424"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Actividad</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F38E133" w14:textId="77777777" w:rsidR="00E23746" w:rsidRPr="00B6567D" w:rsidRDefault="00E23746" w:rsidP="000B2F10">
            <w:pPr>
              <w:rPr>
                <w:rFonts w:cs="Arial"/>
                <w:sz w:val="20"/>
                <w:szCs w:val="20"/>
              </w:rPr>
            </w:pPr>
            <w:r w:rsidRPr="00B6567D">
              <w:rPr>
                <w:rFonts w:cs="Arial"/>
                <w:sz w:val="20"/>
                <w:szCs w:val="20"/>
              </w:rPr>
              <w:t>Impulsar la vinculación con instituciones públicas y privadas para la realización del servicio social, prácticas profesionales o su equivalente y modelo dual por parte de los estudiantes de educación superior.</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4243D3D" w14:textId="77777777" w:rsidR="00E23746" w:rsidRPr="00B6567D" w:rsidRDefault="00E23746" w:rsidP="000B2F10">
            <w:pPr>
              <w:rPr>
                <w:rFonts w:cs="Arial"/>
                <w:sz w:val="20"/>
                <w:szCs w:val="20"/>
              </w:rPr>
            </w:pPr>
            <w:r>
              <w:rPr>
                <w:rFonts w:cs="Arial"/>
                <w:sz w:val="20"/>
                <w:szCs w:val="20"/>
              </w:rPr>
              <w:t>C03.A05</w:t>
            </w:r>
            <w:r w:rsidRPr="00574DAC">
              <w:rPr>
                <w:rFonts w:cs="Arial"/>
                <w:sz w:val="20"/>
                <w:szCs w:val="20"/>
              </w:rPr>
              <w:t xml:space="preserve"> - </w:t>
            </w:r>
            <w:r w:rsidRPr="00B6567D">
              <w:rPr>
                <w:rFonts w:cs="Arial"/>
                <w:sz w:val="20"/>
                <w:szCs w:val="20"/>
              </w:rPr>
              <w:t>Realización de estadías en empresas.</w:t>
            </w:r>
          </w:p>
        </w:tc>
        <w:tc>
          <w:tcPr>
            <w:tcW w:w="2268" w:type="dxa"/>
            <w:tcBorders>
              <w:top w:val="single" w:sz="4" w:space="0" w:color="auto"/>
              <w:left w:val="single" w:sz="4" w:space="0" w:color="auto"/>
              <w:bottom w:val="single" w:sz="4" w:space="0" w:color="auto"/>
              <w:right w:val="single" w:sz="4" w:space="0" w:color="auto"/>
            </w:tcBorders>
            <w:shd w:val="clear" w:color="FFFFFF" w:fill="FFFFFF"/>
          </w:tcPr>
          <w:p w14:paraId="0D4E3397" w14:textId="77777777" w:rsidR="00E23746" w:rsidRPr="00B6567D" w:rsidRDefault="00E23746" w:rsidP="000B2F10">
            <w:pPr>
              <w:rPr>
                <w:rFonts w:cs="Arial"/>
                <w:sz w:val="20"/>
                <w:szCs w:val="20"/>
              </w:rPr>
            </w:pPr>
            <w:r>
              <w:rPr>
                <w:rFonts w:cs="Arial"/>
                <w:sz w:val="20"/>
                <w:szCs w:val="20"/>
              </w:rPr>
              <w:t>C03A05</w:t>
            </w:r>
            <w:r w:rsidRPr="00574DAC">
              <w:rPr>
                <w:rFonts w:cs="Arial"/>
                <w:sz w:val="20"/>
                <w:szCs w:val="20"/>
              </w:rPr>
              <w:t xml:space="preserve"> - </w:t>
            </w:r>
            <w:r w:rsidRPr="00B6567D">
              <w:rPr>
                <w:rFonts w:cs="Arial"/>
                <w:sz w:val="20"/>
                <w:szCs w:val="20"/>
              </w:rPr>
              <w:t>Porcentaje de alumnos  que concluyen sus Estadías en empresas.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C1DE6F3" w14:textId="77777777" w:rsidR="00E23746" w:rsidRPr="00B6567D" w:rsidRDefault="00E23746" w:rsidP="000B2F10">
            <w:pPr>
              <w:rPr>
                <w:rFonts w:cs="Arial"/>
                <w:sz w:val="20"/>
                <w:szCs w:val="20"/>
              </w:rPr>
            </w:pPr>
            <w:r w:rsidRPr="00B6567D">
              <w:rPr>
                <w:rFonts w:cs="Arial"/>
                <w:sz w:val="20"/>
                <w:szCs w:val="20"/>
              </w:rPr>
              <w:t>Relación de Control Escolar e Informe de Consejo Directivo.</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640A0A9" w14:textId="56D4A1A6" w:rsidR="00E23746" w:rsidRPr="00B6567D" w:rsidRDefault="00E23746" w:rsidP="00BD5811">
            <w:pPr>
              <w:rPr>
                <w:rFonts w:cs="Arial"/>
                <w:sz w:val="20"/>
                <w:szCs w:val="20"/>
              </w:rPr>
            </w:pPr>
            <w:r w:rsidRPr="00B6567D">
              <w:rPr>
                <w:rFonts w:cs="Arial"/>
                <w:sz w:val="20"/>
                <w:szCs w:val="20"/>
              </w:rPr>
              <w:t>Los estudiantes realizan sus estadía profesional en organizaciones del sector público y privado en áreas acordes al perfil académico, contribuyendo a su formación profesional y a la calidad académica.</w:t>
            </w:r>
          </w:p>
        </w:tc>
      </w:tr>
    </w:tbl>
    <w:p w14:paraId="4F1606BD" w14:textId="77777777" w:rsidR="00BD5811" w:rsidRDefault="00BD5811">
      <w:pPr>
        <w:spacing w:after="0" w:line="240" w:lineRule="auto"/>
        <w:jc w:val="left"/>
      </w:pPr>
      <w:r>
        <w:br w:type="page"/>
      </w:r>
    </w:p>
    <w:tbl>
      <w:tblPr>
        <w:tblW w:w="14029" w:type="dxa"/>
        <w:tblLayout w:type="fixed"/>
        <w:tblCellMar>
          <w:left w:w="70" w:type="dxa"/>
          <w:right w:w="70" w:type="dxa"/>
        </w:tblCellMar>
        <w:tblLook w:val="04A0" w:firstRow="1" w:lastRow="0" w:firstColumn="1" w:lastColumn="0" w:noHBand="0" w:noVBand="1"/>
      </w:tblPr>
      <w:tblGrid>
        <w:gridCol w:w="1413"/>
        <w:gridCol w:w="2693"/>
        <w:gridCol w:w="2835"/>
        <w:gridCol w:w="2268"/>
        <w:gridCol w:w="2693"/>
        <w:gridCol w:w="2127"/>
      </w:tblGrid>
      <w:tr w:rsidR="00BD5811" w:rsidRPr="00FD08F8" w14:paraId="64FFFC4F" w14:textId="77777777" w:rsidTr="00593A35">
        <w:trPr>
          <w:trHeight w:val="577"/>
        </w:trPr>
        <w:tc>
          <w:tcPr>
            <w:tcW w:w="1413"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69057493" w14:textId="77777777" w:rsidR="00BD5811" w:rsidRPr="00FD08F8" w:rsidRDefault="00BD5811" w:rsidP="00593A35">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lastRenderedPageBreak/>
              <w:t>NIVEL</w:t>
            </w:r>
          </w:p>
        </w:tc>
        <w:tc>
          <w:tcPr>
            <w:tcW w:w="2693" w:type="dxa"/>
            <w:tcBorders>
              <w:top w:val="single" w:sz="4" w:space="0" w:color="auto"/>
              <w:left w:val="nil"/>
              <w:bottom w:val="single" w:sz="4" w:space="0" w:color="auto"/>
              <w:right w:val="single" w:sz="4" w:space="0" w:color="auto"/>
            </w:tcBorders>
            <w:shd w:val="clear" w:color="000000" w:fill="BFBFBF"/>
            <w:vAlign w:val="center"/>
            <w:hideMark/>
          </w:tcPr>
          <w:p w14:paraId="11561EF2" w14:textId="77777777" w:rsidR="00BD5811" w:rsidRPr="00FD08F8" w:rsidRDefault="00BD5811" w:rsidP="00593A35">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ALINEACIÓN PED/PD</w:t>
            </w:r>
          </w:p>
        </w:tc>
        <w:tc>
          <w:tcPr>
            <w:tcW w:w="2835" w:type="dxa"/>
            <w:tcBorders>
              <w:top w:val="single" w:sz="4" w:space="0" w:color="auto"/>
              <w:left w:val="nil"/>
              <w:bottom w:val="single" w:sz="4" w:space="0" w:color="auto"/>
              <w:right w:val="single" w:sz="4" w:space="0" w:color="auto"/>
            </w:tcBorders>
            <w:shd w:val="clear" w:color="000000" w:fill="BFBFBF"/>
            <w:vAlign w:val="center"/>
            <w:hideMark/>
          </w:tcPr>
          <w:p w14:paraId="2FEDE0D6" w14:textId="77777777" w:rsidR="00BD5811" w:rsidRPr="00FD08F8" w:rsidRDefault="00BD5811" w:rsidP="00593A35">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OBJETIVO</w:t>
            </w:r>
          </w:p>
        </w:tc>
        <w:tc>
          <w:tcPr>
            <w:tcW w:w="2268" w:type="dxa"/>
            <w:tcBorders>
              <w:top w:val="single" w:sz="4" w:space="0" w:color="auto"/>
              <w:left w:val="nil"/>
              <w:bottom w:val="single" w:sz="4" w:space="0" w:color="auto"/>
              <w:right w:val="single" w:sz="4" w:space="0" w:color="auto"/>
            </w:tcBorders>
            <w:shd w:val="clear" w:color="000000" w:fill="BFBFBF"/>
            <w:vAlign w:val="center"/>
            <w:hideMark/>
          </w:tcPr>
          <w:p w14:paraId="53D7510D" w14:textId="77777777" w:rsidR="00BD5811" w:rsidRPr="00FD08F8" w:rsidRDefault="00BD5811" w:rsidP="00593A35">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INDICADOR</w:t>
            </w:r>
          </w:p>
        </w:tc>
        <w:tc>
          <w:tcPr>
            <w:tcW w:w="2693" w:type="dxa"/>
            <w:tcBorders>
              <w:top w:val="single" w:sz="4" w:space="0" w:color="auto"/>
              <w:left w:val="nil"/>
              <w:bottom w:val="single" w:sz="4" w:space="0" w:color="auto"/>
              <w:right w:val="single" w:sz="4" w:space="0" w:color="auto"/>
            </w:tcBorders>
            <w:shd w:val="clear" w:color="000000" w:fill="BFBFBF"/>
            <w:vAlign w:val="center"/>
            <w:hideMark/>
          </w:tcPr>
          <w:p w14:paraId="064D3B5D" w14:textId="77777777" w:rsidR="00BD5811" w:rsidRPr="00FD08F8" w:rsidRDefault="00BD5811" w:rsidP="00593A35">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MEDIOS DE VERIFICACIÓN</w:t>
            </w:r>
          </w:p>
        </w:tc>
        <w:tc>
          <w:tcPr>
            <w:tcW w:w="2127" w:type="dxa"/>
            <w:tcBorders>
              <w:top w:val="single" w:sz="4" w:space="0" w:color="auto"/>
              <w:left w:val="nil"/>
              <w:bottom w:val="single" w:sz="4" w:space="0" w:color="auto"/>
              <w:right w:val="single" w:sz="4" w:space="0" w:color="auto"/>
            </w:tcBorders>
            <w:shd w:val="clear" w:color="000000" w:fill="BFBFBF"/>
            <w:vAlign w:val="center"/>
            <w:hideMark/>
          </w:tcPr>
          <w:p w14:paraId="5BEB17E1" w14:textId="77777777" w:rsidR="00BD5811" w:rsidRPr="00FD08F8" w:rsidRDefault="00BD5811" w:rsidP="00593A35">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SUPUESTO</w:t>
            </w:r>
          </w:p>
        </w:tc>
      </w:tr>
      <w:tr w:rsidR="00BD5811" w:rsidRPr="00FD08F8" w14:paraId="3464BBCE" w14:textId="77777777" w:rsidTr="00593A35">
        <w:trPr>
          <w:trHeight w:val="2412"/>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4B7F6047" w14:textId="242DDCDF" w:rsidR="00BD5811" w:rsidRPr="00FD08F8" w:rsidRDefault="00BD5811" w:rsidP="00BD5811">
            <w:pPr>
              <w:spacing w:after="0" w:line="240" w:lineRule="auto"/>
              <w:jc w:val="center"/>
              <w:rPr>
                <w:rFonts w:eastAsia="Times New Roman" w:cs="Arial"/>
                <w:b/>
                <w:bCs/>
                <w:sz w:val="20"/>
                <w:szCs w:val="20"/>
                <w:lang w:val="es-MX" w:eastAsia="es-MX"/>
              </w:rPr>
            </w:pPr>
            <w:r>
              <w:rPr>
                <w:rFonts w:eastAsia="Times New Roman" w:cs="Arial"/>
                <w:b/>
                <w:bCs/>
                <w:sz w:val="20"/>
                <w:szCs w:val="20"/>
                <w:lang w:val="es-MX" w:eastAsia="es-MX"/>
              </w:rPr>
              <w:t>Componente</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09D6E1D" w14:textId="0E7F0AB7" w:rsidR="00BD5811" w:rsidRPr="00B6567D" w:rsidRDefault="00BD5811" w:rsidP="00BD5811">
            <w:pPr>
              <w:rPr>
                <w:rFonts w:cs="Arial"/>
                <w:sz w:val="20"/>
                <w:szCs w:val="20"/>
              </w:rPr>
            </w:pPr>
            <w:r w:rsidRPr="00B6567D">
              <w:rPr>
                <w:rFonts w:cs="Arial"/>
                <w:sz w:val="20"/>
                <w:szCs w:val="20"/>
              </w:rPr>
              <w:t>Diversificar la oferta educativa de las instituciones de educación superior de acuerdo a las demandas del desarrollo de la entidad. (Derivado de: 4-23-01-20 - Asegurar que la oferta educativa de las instituciones de educación superior responda a las nuevas áre</w:t>
            </w:r>
            <w:r>
              <w:rPr>
                <w:rFonts w:cs="Arial"/>
                <w:sz w:val="20"/>
                <w:szCs w:val="20"/>
              </w:rPr>
              <w:t>as de oportunidad en la entidad</w:t>
            </w:r>
            <w:r w:rsidRPr="00B6567D">
              <w:rPr>
                <w:rFonts w:cs="Arial"/>
                <w:sz w:val="20"/>
                <w:szCs w:val="20"/>
              </w:rPr>
              <w:t>)</w:t>
            </w:r>
            <w:r>
              <w:rPr>
                <w:rFonts w:cs="Arial"/>
                <w:sz w:val="20"/>
                <w:szCs w:val="20"/>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2964512" w14:textId="3ACACEB2" w:rsidR="00BD5811" w:rsidRDefault="00BD5811" w:rsidP="00BD5811">
            <w:pPr>
              <w:rPr>
                <w:rFonts w:cs="Arial"/>
                <w:sz w:val="20"/>
                <w:szCs w:val="20"/>
              </w:rPr>
            </w:pPr>
            <w:r w:rsidRPr="00574DAC">
              <w:rPr>
                <w:rFonts w:cs="Arial"/>
                <w:sz w:val="20"/>
                <w:szCs w:val="20"/>
              </w:rPr>
              <w:t xml:space="preserve">C04 - </w:t>
            </w:r>
            <w:r w:rsidRPr="00B6567D">
              <w:rPr>
                <w:rFonts w:cs="Arial"/>
                <w:sz w:val="20"/>
                <w:szCs w:val="20"/>
              </w:rPr>
              <w:t>Programas Educativos bajo la modalidad Bilingüe Internacional Sustentable.</w:t>
            </w:r>
          </w:p>
        </w:tc>
        <w:tc>
          <w:tcPr>
            <w:tcW w:w="2268" w:type="dxa"/>
            <w:tcBorders>
              <w:top w:val="single" w:sz="4" w:space="0" w:color="auto"/>
              <w:left w:val="single" w:sz="4" w:space="0" w:color="auto"/>
              <w:bottom w:val="single" w:sz="4" w:space="0" w:color="auto"/>
              <w:right w:val="single" w:sz="4" w:space="0" w:color="auto"/>
            </w:tcBorders>
            <w:shd w:val="clear" w:color="FFFFFF" w:fill="FFFFFF"/>
          </w:tcPr>
          <w:p w14:paraId="39E4AB2A" w14:textId="11684FB2" w:rsidR="00BD5811" w:rsidRDefault="00BD5811" w:rsidP="00BD5811">
            <w:pPr>
              <w:rPr>
                <w:rFonts w:cs="Arial"/>
                <w:sz w:val="20"/>
                <w:szCs w:val="20"/>
              </w:rPr>
            </w:pPr>
            <w:r w:rsidRPr="00574DAC">
              <w:rPr>
                <w:rFonts w:cs="Arial"/>
                <w:sz w:val="20"/>
                <w:szCs w:val="20"/>
              </w:rPr>
              <w:t xml:space="preserve">C04 - </w:t>
            </w:r>
            <w:r w:rsidRPr="00B6567D">
              <w:rPr>
                <w:rFonts w:cs="Arial"/>
                <w:sz w:val="20"/>
                <w:szCs w:val="20"/>
              </w:rPr>
              <w:t>Porcentaje de Programas Educativos BIS aprobados.</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4874C1E" w14:textId="69C608A6" w:rsidR="00BD5811" w:rsidRPr="00B6567D" w:rsidRDefault="00BD5811" w:rsidP="00BD5811">
            <w:pPr>
              <w:rPr>
                <w:rFonts w:cs="Arial"/>
                <w:sz w:val="20"/>
                <w:szCs w:val="20"/>
              </w:rPr>
            </w:pPr>
            <w:r w:rsidRPr="00B6567D">
              <w:rPr>
                <w:rFonts w:cs="Arial"/>
                <w:sz w:val="20"/>
                <w:szCs w:val="20"/>
              </w:rPr>
              <w:t>Autorización de la CGUTyP para ofertar programas educativos BIS.</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57FD6EB" w14:textId="6D46AFDA" w:rsidR="00BD5811" w:rsidRPr="00B6567D" w:rsidRDefault="00BD5811" w:rsidP="00BD5811">
            <w:pPr>
              <w:rPr>
                <w:rFonts w:cs="Arial"/>
                <w:sz w:val="20"/>
                <w:szCs w:val="20"/>
              </w:rPr>
            </w:pPr>
            <w:r w:rsidRPr="00B6567D">
              <w:rPr>
                <w:rFonts w:cs="Arial"/>
                <w:sz w:val="20"/>
                <w:szCs w:val="20"/>
              </w:rPr>
              <w:t>La Coordinación General de Universidad Tecnológicas y Politécnicas (CGUTyP) autoriza la impartición de Programas Educativos BIS.</w:t>
            </w:r>
          </w:p>
        </w:tc>
      </w:tr>
      <w:tr w:rsidR="00BD5811" w:rsidRPr="00FD08F8" w14:paraId="159733F5" w14:textId="77777777" w:rsidTr="00593A35">
        <w:trPr>
          <w:trHeight w:val="2412"/>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7859DCA" w14:textId="00881A17" w:rsidR="00BD5811" w:rsidRPr="00FD08F8" w:rsidRDefault="00BD5811" w:rsidP="00BD5811">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Actividad</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C02FA96" w14:textId="005D9C08" w:rsidR="00BD5811" w:rsidRPr="00B6567D" w:rsidRDefault="00BD5811" w:rsidP="00BD5811">
            <w:pPr>
              <w:rPr>
                <w:rFonts w:cs="Arial"/>
                <w:sz w:val="20"/>
                <w:szCs w:val="20"/>
              </w:rPr>
            </w:pPr>
            <w:r w:rsidRPr="00B6567D">
              <w:rPr>
                <w:rFonts w:cs="Arial"/>
                <w:sz w:val="20"/>
                <w:szCs w:val="20"/>
              </w:rPr>
              <w:t>Diversificar la oferta educativa de las instituciones de educación superior de acuerdo a las demandas del desarrollo de la entidad. (Derivado de: 4-23-01-20 - Asegurar que la oferta educativa de las instituciones de educación superior responda a las nuevas áreas de oportunidad en la entidad.)</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9545324" w14:textId="223790D0" w:rsidR="00BD5811" w:rsidRPr="00B6567D" w:rsidRDefault="00BD5811" w:rsidP="00BD5811">
            <w:pPr>
              <w:rPr>
                <w:rFonts w:cs="Arial"/>
                <w:sz w:val="20"/>
                <w:szCs w:val="20"/>
              </w:rPr>
            </w:pPr>
            <w:r w:rsidRPr="00574DAC">
              <w:rPr>
                <w:rFonts w:cs="Arial"/>
                <w:sz w:val="20"/>
                <w:szCs w:val="20"/>
              </w:rPr>
              <w:t xml:space="preserve">C04.A01 - </w:t>
            </w:r>
            <w:r w:rsidRPr="00B6567D">
              <w:rPr>
                <w:rFonts w:cs="Arial"/>
                <w:sz w:val="20"/>
                <w:szCs w:val="20"/>
              </w:rPr>
              <w:t>Traducción al idioma inglés de Planes y Programas de estudios, y material didáctico.</w:t>
            </w:r>
          </w:p>
        </w:tc>
        <w:tc>
          <w:tcPr>
            <w:tcW w:w="2268" w:type="dxa"/>
            <w:tcBorders>
              <w:top w:val="single" w:sz="4" w:space="0" w:color="auto"/>
              <w:left w:val="single" w:sz="4" w:space="0" w:color="auto"/>
              <w:bottom w:val="single" w:sz="4" w:space="0" w:color="auto"/>
              <w:right w:val="single" w:sz="4" w:space="0" w:color="auto"/>
            </w:tcBorders>
            <w:shd w:val="clear" w:color="FFFFFF" w:fill="FFFFFF"/>
          </w:tcPr>
          <w:p w14:paraId="53064F4A" w14:textId="48BB397D" w:rsidR="00BD5811" w:rsidRPr="00B6567D" w:rsidRDefault="00BD5811" w:rsidP="00BD5811">
            <w:pPr>
              <w:rPr>
                <w:rFonts w:cs="Arial"/>
                <w:sz w:val="20"/>
                <w:szCs w:val="20"/>
              </w:rPr>
            </w:pPr>
            <w:r w:rsidRPr="00574DAC">
              <w:rPr>
                <w:rFonts w:cs="Arial"/>
                <w:sz w:val="20"/>
                <w:szCs w:val="20"/>
              </w:rPr>
              <w:t xml:space="preserve">C04A01 - </w:t>
            </w:r>
            <w:r w:rsidRPr="00B6567D">
              <w:rPr>
                <w:rFonts w:cs="Arial"/>
                <w:sz w:val="20"/>
                <w:szCs w:val="20"/>
              </w:rPr>
              <w:t>Porcentaje de programas de estudios traducidos a la lengua inglesa.</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41CA11A" w14:textId="51994E25" w:rsidR="00BD5811" w:rsidRPr="00B6567D" w:rsidRDefault="00BD5811" w:rsidP="00BD5811">
            <w:pPr>
              <w:rPr>
                <w:rFonts w:cs="Arial"/>
                <w:sz w:val="20"/>
                <w:szCs w:val="20"/>
              </w:rPr>
            </w:pPr>
            <w:r w:rsidRPr="00B6567D">
              <w:rPr>
                <w:rFonts w:cs="Arial"/>
                <w:sz w:val="20"/>
                <w:szCs w:val="20"/>
              </w:rPr>
              <w:t>Informe del Consejo Directivo de la UTRM.</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95D2668" w14:textId="0157C433" w:rsidR="00BD5811" w:rsidRPr="00B6567D" w:rsidRDefault="00BD5811" w:rsidP="00BD5811">
            <w:pPr>
              <w:rPr>
                <w:rFonts w:cs="Arial"/>
                <w:sz w:val="20"/>
                <w:szCs w:val="20"/>
              </w:rPr>
            </w:pPr>
            <w:r w:rsidRPr="00B6567D">
              <w:rPr>
                <w:rFonts w:cs="Arial"/>
                <w:sz w:val="20"/>
                <w:szCs w:val="20"/>
              </w:rPr>
              <w:t>La Coordinación General de Universidades Tecnológicas y Politécnicas (CGUTyP) solicita las traducciones.</w:t>
            </w:r>
          </w:p>
        </w:tc>
      </w:tr>
    </w:tbl>
    <w:p w14:paraId="62379E57" w14:textId="77777777" w:rsidR="0080241C" w:rsidRDefault="0080241C">
      <w:pPr>
        <w:spacing w:after="0" w:line="240" w:lineRule="auto"/>
        <w:jc w:val="left"/>
      </w:pPr>
      <w:r>
        <w:br w:type="page"/>
      </w:r>
    </w:p>
    <w:tbl>
      <w:tblPr>
        <w:tblW w:w="14029" w:type="dxa"/>
        <w:tblLayout w:type="fixed"/>
        <w:tblCellMar>
          <w:left w:w="70" w:type="dxa"/>
          <w:right w:w="70" w:type="dxa"/>
        </w:tblCellMar>
        <w:tblLook w:val="04A0" w:firstRow="1" w:lastRow="0" w:firstColumn="1" w:lastColumn="0" w:noHBand="0" w:noVBand="1"/>
      </w:tblPr>
      <w:tblGrid>
        <w:gridCol w:w="1271"/>
        <w:gridCol w:w="2835"/>
        <w:gridCol w:w="2835"/>
        <w:gridCol w:w="2268"/>
        <w:gridCol w:w="2693"/>
        <w:gridCol w:w="2127"/>
      </w:tblGrid>
      <w:tr w:rsidR="00E23746" w:rsidRPr="00FD08F8" w14:paraId="080C7DBE" w14:textId="77777777" w:rsidTr="003D04F9">
        <w:trPr>
          <w:trHeight w:val="577"/>
        </w:trPr>
        <w:tc>
          <w:tcPr>
            <w:tcW w:w="1271"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6E684569"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lastRenderedPageBreak/>
              <w:t>NIVEL</w:t>
            </w:r>
          </w:p>
        </w:tc>
        <w:tc>
          <w:tcPr>
            <w:tcW w:w="2835" w:type="dxa"/>
            <w:tcBorders>
              <w:top w:val="single" w:sz="4" w:space="0" w:color="auto"/>
              <w:left w:val="nil"/>
              <w:bottom w:val="single" w:sz="4" w:space="0" w:color="auto"/>
              <w:right w:val="single" w:sz="4" w:space="0" w:color="auto"/>
            </w:tcBorders>
            <w:shd w:val="clear" w:color="000000" w:fill="BFBFBF"/>
            <w:vAlign w:val="center"/>
            <w:hideMark/>
          </w:tcPr>
          <w:p w14:paraId="313BD25E"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ALINEACIÓN PED/PD</w:t>
            </w:r>
          </w:p>
        </w:tc>
        <w:tc>
          <w:tcPr>
            <w:tcW w:w="2835" w:type="dxa"/>
            <w:tcBorders>
              <w:top w:val="single" w:sz="4" w:space="0" w:color="auto"/>
              <w:left w:val="nil"/>
              <w:bottom w:val="single" w:sz="4" w:space="0" w:color="auto"/>
              <w:right w:val="single" w:sz="4" w:space="0" w:color="auto"/>
            </w:tcBorders>
            <w:shd w:val="clear" w:color="000000" w:fill="BFBFBF"/>
            <w:vAlign w:val="center"/>
            <w:hideMark/>
          </w:tcPr>
          <w:p w14:paraId="5F02387D"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OBJETIVO</w:t>
            </w:r>
          </w:p>
        </w:tc>
        <w:tc>
          <w:tcPr>
            <w:tcW w:w="2268" w:type="dxa"/>
            <w:tcBorders>
              <w:top w:val="single" w:sz="4" w:space="0" w:color="auto"/>
              <w:left w:val="nil"/>
              <w:bottom w:val="single" w:sz="4" w:space="0" w:color="auto"/>
              <w:right w:val="single" w:sz="4" w:space="0" w:color="auto"/>
            </w:tcBorders>
            <w:shd w:val="clear" w:color="000000" w:fill="BFBFBF"/>
            <w:vAlign w:val="center"/>
            <w:hideMark/>
          </w:tcPr>
          <w:p w14:paraId="733DF32A"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INDICADOR</w:t>
            </w:r>
          </w:p>
        </w:tc>
        <w:tc>
          <w:tcPr>
            <w:tcW w:w="2693" w:type="dxa"/>
            <w:tcBorders>
              <w:top w:val="single" w:sz="4" w:space="0" w:color="auto"/>
              <w:left w:val="nil"/>
              <w:bottom w:val="single" w:sz="4" w:space="0" w:color="auto"/>
              <w:right w:val="single" w:sz="4" w:space="0" w:color="auto"/>
            </w:tcBorders>
            <w:shd w:val="clear" w:color="000000" w:fill="BFBFBF"/>
            <w:vAlign w:val="center"/>
            <w:hideMark/>
          </w:tcPr>
          <w:p w14:paraId="2AA697B5"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MEDIOS DE VERIFICACIÓN</w:t>
            </w:r>
          </w:p>
        </w:tc>
        <w:tc>
          <w:tcPr>
            <w:tcW w:w="2127" w:type="dxa"/>
            <w:tcBorders>
              <w:top w:val="single" w:sz="4" w:space="0" w:color="auto"/>
              <w:left w:val="nil"/>
              <w:bottom w:val="single" w:sz="4" w:space="0" w:color="auto"/>
              <w:right w:val="single" w:sz="4" w:space="0" w:color="auto"/>
            </w:tcBorders>
            <w:shd w:val="clear" w:color="000000" w:fill="BFBFBF"/>
            <w:vAlign w:val="center"/>
            <w:hideMark/>
          </w:tcPr>
          <w:p w14:paraId="5416C18F"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SUPUESTO</w:t>
            </w:r>
          </w:p>
        </w:tc>
      </w:tr>
      <w:tr w:rsidR="00E23746" w:rsidRPr="00FD08F8" w14:paraId="5184DED1" w14:textId="77777777" w:rsidTr="003D04F9">
        <w:trPr>
          <w:trHeight w:val="1117"/>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62627E92"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Actividad</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79EA3DE" w14:textId="77777777" w:rsidR="00E23746" w:rsidRPr="00D16685" w:rsidRDefault="00E23746" w:rsidP="000B2F10">
            <w:pPr>
              <w:rPr>
                <w:rFonts w:cs="Arial"/>
                <w:sz w:val="20"/>
                <w:szCs w:val="20"/>
              </w:rPr>
            </w:pPr>
            <w:r w:rsidRPr="00D16685">
              <w:rPr>
                <w:rFonts w:cs="Arial"/>
                <w:sz w:val="20"/>
                <w:szCs w:val="20"/>
              </w:rPr>
              <w:t>Diversificar la oferta educativa de las instituciones de educación superior de acuerdo a las demandas del desarrollo de la entidad. (Derivado de: 4-23-01-20 - Asegurar que la oferta educativa de las instituciones de educación superior responda a las nuevas áre</w:t>
            </w:r>
            <w:r>
              <w:rPr>
                <w:rFonts w:cs="Arial"/>
                <w:sz w:val="20"/>
                <w:szCs w:val="20"/>
              </w:rPr>
              <w:t>as de oportunidad en la entidad</w:t>
            </w:r>
            <w:r w:rsidRPr="00D16685">
              <w:rPr>
                <w:rFonts w:cs="Arial"/>
                <w:sz w:val="20"/>
                <w:szCs w:val="20"/>
              </w:rPr>
              <w:t>)</w:t>
            </w:r>
            <w:r>
              <w:rPr>
                <w:rFonts w:cs="Arial"/>
                <w:sz w:val="20"/>
                <w:szCs w:val="20"/>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C016D04" w14:textId="77777777" w:rsidR="00E23746" w:rsidRPr="00D16685" w:rsidRDefault="00E23746" w:rsidP="000B2F10">
            <w:pPr>
              <w:rPr>
                <w:rFonts w:cs="Arial"/>
                <w:sz w:val="20"/>
                <w:szCs w:val="20"/>
              </w:rPr>
            </w:pPr>
            <w:r w:rsidRPr="00574DAC">
              <w:rPr>
                <w:rFonts w:cs="Arial"/>
                <w:sz w:val="20"/>
                <w:szCs w:val="20"/>
              </w:rPr>
              <w:t xml:space="preserve">C04.A02 - </w:t>
            </w:r>
            <w:r w:rsidRPr="00D16685">
              <w:rPr>
                <w:rFonts w:cs="Arial"/>
                <w:sz w:val="20"/>
                <w:szCs w:val="20"/>
              </w:rPr>
              <w:t>Fortalecimiento del desarrollo del capital humano.</w:t>
            </w:r>
          </w:p>
        </w:tc>
        <w:tc>
          <w:tcPr>
            <w:tcW w:w="2268" w:type="dxa"/>
            <w:tcBorders>
              <w:top w:val="single" w:sz="4" w:space="0" w:color="auto"/>
              <w:left w:val="single" w:sz="4" w:space="0" w:color="auto"/>
              <w:bottom w:val="single" w:sz="4" w:space="0" w:color="auto"/>
              <w:right w:val="single" w:sz="4" w:space="0" w:color="auto"/>
            </w:tcBorders>
            <w:shd w:val="clear" w:color="FFFFFF" w:fill="FFFFFF"/>
          </w:tcPr>
          <w:p w14:paraId="7DC0058C" w14:textId="77777777" w:rsidR="00E23746" w:rsidRPr="00D16685" w:rsidRDefault="00E23746" w:rsidP="000B2F10">
            <w:pPr>
              <w:rPr>
                <w:rFonts w:cs="Arial"/>
                <w:sz w:val="20"/>
                <w:szCs w:val="20"/>
              </w:rPr>
            </w:pPr>
            <w:r w:rsidRPr="00574DAC">
              <w:rPr>
                <w:rFonts w:cs="Arial"/>
                <w:sz w:val="20"/>
                <w:szCs w:val="20"/>
              </w:rPr>
              <w:t xml:space="preserve">C04A02 - </w:t>
            </w:r>
            <w:r w:rsidRPr="00D16685">
              <w:rPr>
                <w:rFonts w:cs="Arial"/>
                <w:sz w:val="20"/>
                <w:szCs w:val="20"/>
              </w:rPr>
              <w:t>Porcentaje de Participantes en los  Programas de Capacitación y certificación de competencias Modelo BIS (colaboradores de la Universidad).</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AA1B68F" w14:textId="77777777" w:rsidR="00E23746" w:rsidRPr="00D16685" w:rsidRDefault="00E23746" w:rsidP="000B2F10">
            <w:pPr>
              <w:rPr>
                <w:rFonts w:cs="Arial"/>
                <w:sz w:val="20"/>
                <w:szCs w:val="20"/>
              </w:rPr>
            </w:pPr>
            <w:r w:rsidRPr="00D16685">
              <w:rPr>
                <w:rFonts w:cs="Arial"/>
                <w:sz w:val="20"/>
                <w:szCs w:val="20"/>
              </w:rPr>
              <w:t>Programa de Capacitación.</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8E5589A" w14:textId="77777777" w:rsidR="00E23746" w:rsidRPr="00D16685" w:rsidRDefault="00E23746" w:rsidP="000B2F10">
            <w:pPr>
              <w:rPr>
                <w:rFonts w:cs="Arial"/>
                <w:sz w:val="20"/>
                <w:szCs w:val="20"/>
              </w:rPr>
            </w:pPr>
            <w:r w:rsidRPr="00D16685">
              <w:rPr>
                <w:rFonts w:cs="Arial"/>
                <w:sz w:val="20"/>
                <w:szCs w:val="20"/>
              </w:rPr>
              <w:t>Personal de la Universidad es capacitado.</w:t>
            </w:r>
          </w:p>
        </w:tc>
      </w:tr>
    </w:tbl>
    <w:p w14:paraId="7164CDB7" w14:textId="77777777" w:rsidR="00E23746" w:rsidRDefault="00E23746" w:rsidP="00E23746">
      <w:pPr>
        <w:rPr>
          <w:rFonts w:eastAsia="Calibri" w:cs="Arial"/>
          <w:bCs/>
          <w:color w:val="595959" w:themeColor="text1" w:themeTint="A6"/>
          <w:sz w:val="18"/>
          <w:szCs w:val="20"/>
        </w:rPr>
      </w:pPr>
      <w:r w:rsidRPr="0093279A">
        <w:rPr>
          <w:rFonts w:eastAsia="Calibri" w:cs="Arial"/>
          <w:bCs/>
          <w:color w:val="595959" w:themeColor="text1" w:themeTint="A6"/>
          <w:sz w:val="18"/>
          <w:szCs w:val="20"/>
        </w:rPr>
        <w:t>El anexo aquí presentado es perfectible, y se encuentra susceptible de modificaciones programáticas toda vez que así se le indique por observaciones de auditorías, evaluaciones al desempeño y revisiones de la Secretaría de Finanzas y Planeación antes y durante el ejercicio fiscal del que se trate, así como también, cuando las condiciones del Ente Público responsable de dicha información programática requiera hacer modificaciones a sus necesidades institucionales, atendiendo a lo establecido en los Lineamientos para la Creación, Modificación y Cancelación de Programas Presupuestarios y para la Modificación de Metas del Gobierno del Estado de Quintana Roo.</w:t>
      </w:r>
    </w:p>
    <w:p w14:paraId="4334E4DC" w14:textId="77777777" w:rsidR="00E23746" w:rsidRDefault="00E23746" w:rsidP="00E23746">
      <w:pPr>
        <w:rPr>
          <w:lang w:eastAsia="en-US"/>
        </w:rPr>
      </w:pPr>
      <w:r>
        <w:rPr>
          <w:lang w:eastAsia="en-US"/>
        </w:rPr>
        <w:br w:type="page"/>
      </w:r>
    </w:p>
    <w:tbl>
      <w:tblPr>
        <w:tblW w:w="14029" w:type="dxa"/>
        <w:tblLayout w:type="fixed"/>
        <w:tblCellMar>
          <w:left w:w="70" w:type="dxa"/>
          <w:right w:w="70" w:type="dxa"/>
        </w:tblCellMar>
        <w:tblLook w:val="04A0" w:firstRow="1" w:lastRow="0" w:firstColumn="1" w:lastColumn="0" w:noHBand="0" w:noVBand="1"/>
      </w:tblPr>
      <w:tblGrid>
        <w:gridCol w:w="1271"/>
        <w:gridCol w:w="2835"/>
        <w:gridCol w:w="2835"/>
        <w:gridCol w:w="2268"/>
        <w:gridCol w:w="2835"/>
        <w:gridCol w:w="1985"/>
      </w:tblGrid>
      <w:tr w:rsidR="00E23746" w:rsidRPr="00FD08F8" w14:paraId="589BFDC9" w14:textId="77777777" w:rsidTr="000B2F10">
        <w:trPr>
          <w:trHeight w:val="720"/>
        </w:trPr>
        <w:tc>
          <w:tcPr>
            <w:tcW w:w="4106" w:type="dxa"/>
            <w:gridSpan w:val="2"/>
            <w:tcBorders>
              <w:top w:val="single" w:sz="4" w:space="0" w:color="auto"/>
              <w:left w:val="single" w:sz="4" w:space="0" w:color="auto"/>
              <w:bottom w:val="single" w:sz="4" w:space="0" w:color="auto"/>
              <w:right w:val="single" w:sz="4" w:space="0" w:color="000000"/>
            </w:tcBorders>
            <w:shd w:val="clear" w:color="000000" w:fill="BFBFBF"/>
            <w:vAlign w:val="center"/>
            <w:hideMark/>
          </w:tcPr>
          <w:p w14:paraId="5F3C9DAB"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lastRenderedPageBreak/>
              <w:t>PROGRAMA PRESUPUESTARIO:</w:t>
            </w:r>
          </w:p>
        </w:tc>
        <w:tc>
          <w:tcPr>
            <w:tcW w:w="9923" w:type="dxa"/>
            <w:gridSpan w:val="4"/>
            <w:tcBorders>
              <w:top w:val="single" w:sz="4" w:space="0" w:color="auto"/>
              <w:left w:val="nil"/>
              <w:bottom w:val="single" w:sz="4" w:space="0" w:color="auto"/>
              <w:right w:val="single" w:sz="4" w:space="0" w:color="auto"/>
            </w:tcBorders>
            <w:shd w:val="clear" w:color="auto" w:fill="auto"/>
            <w:vAlign w:val="center"/>
            <w:hideMark/>
          </w:tcPr>
          <w:p w14:paraId="3379897B" w14:textId="77777777" w:rsidR="00E23746" w:rsidRPr="00FD08F8" w:rsidRDefault="00E23746" w:rsidP="000B2F10">
            <w:pPr>
              <w:spacing w:after="0" w:line="240" w:lineRule="auto"/>
              <w:jc w:val="left"/>
              <w:rPr>
                <w:rFonts w:eastAsia="Times New Roman" w:cs="Arial"/>
                <w:sz w:val="20"/>
                <w:szCs w:val="20"/>
                <w:lang w:val="es-MX" w:eastAsia="es-MX"/>
              </w:rPr>
            </w:pPr>
            <w:r w:rsidRPr="004440BB">
              <w:rPr>
                <w:rFonts w:eastAsia="Times New Roman" w:cs="Arial"/>
                <w:sz w:val="20"/>
                <w:szCs w:val="20"/>
                <w:lang w:val="es-MX" w:eastAsia="es-MX"/>
              </w:rPr>
              <w:t>1337 - Universidad Politécnica de Bacalar</w:t>
            </w:r>
            <w:r>
              <w:rPr>
                <w:rFonts w:eastAsia="Times New Roman" w:cs="Arial"/>
                <w:sz w:val="20"/>
                <w:szCs w:val="20"/>
                <w:lang w:val="es-MX" w:eastAsia="es-MX"/>
              </w:rPr>
              <w:t>.</w:t>
            </w:r>
          </w:p>
        </w:tc>
      </w:tr>
      <w:tr w:rsidR="00E23746" w:rsidRPr="00FD08F8" w14:paraId="34A264B6" w14:textId="77777777" w:rsidTr="000B2F10">
        <w:trPr>
          <w:trHeight w:val="552"/>
        </w:trPr>
        <w:tc>
          <w:tcPr>
            <w:tcW w:w="4106" w:type="dxa"/>
            <w:gridSpan w:val="2"/>
            <w:tcBorders>
              <w:top w:val="single" w:sz="4" w:space="0" w:color="auto"/>
              <w:left w:val="single" w:sz="4" w:space="0" w:color="auto"/>
              <w:bottom w:val="single" w:sz="4" w:space="0" w:color="auto"/>
              <w:right w:val="single" w:sz="4" w:space="0" w:color="000000"/>
            </w:tcBorders>
            <w:shd w:val="clear" w:color="000000" w:fill="BFBFBF"/>
            <w:vAlign w:val="center"/>
            <w:hideMark/>
          </w:tcPr>
          <w:p w14:paraId="7363FA82"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INSTITUCIÓN:</w:t>
            </w:r>
          </w:p>
        </w:tc>
        <w:tc>
          <w:tcPr>
            <w:tcW w:w="9923" w:type="dxa"/>
            <w:gridSpan w:val="4"/>
            <w:tcBorders>
              <w:top w:val="single" w:sz="4" w:space="0" w:color="auto"/>
              <w:left w:val="nil"/>
              <w:bottom w:val="single" w:sz="4" w:space="0" w:color="auto"/>
              <w:right w:val="single" w:sz="4" w:space="0" w:color="auto"/>
            </w:tcBorders>
            <w:shd w:val="clear" w:color="auto" w:fill="auto"/>
            <w:vAlign w:val="center"/>
            <w:hideMark/>
          </w:tcPr>
          <w:p w14:paraId="5D8E3C0B" w14:textId="77777777" w:rsidR="00E23746" w:rsidRPr="00FD08F8" w:rsidRDefault="00E23746" w:rsidP="000B2F10">
            <w:pPr>
              <w:spacing w:after="0" w:line="240" w:lineRule="auto"/>
              <w:jc w:val="left"/>
              <w:rPr>
                <w:rFonts w:eastAsia="Times New Roman" w:cs="Arial"/>
                <w:sz w:val="20"/>
                <w:szCs w:val="20"/>
                <w:lang w:val="es-MX" w:eastAsia="es-MX"/>
              </w:rPr>
            </w:pPr>
            <w:r w:rsidRPr="00FD08F8">
              <w:rPr>
                <w:rFonts w:eastAsia="Times New Roman" w:cs="Arial"/>
                <w:sz w:val="20"/>
                <w:szCs w:val="20"/>
                <w:lang w:val="es-MX" w:eastAsia="es-MX"/>
              </w:rPr>
              <w:t>1109 Secretaría de Educación de Quintana Roo</w:t>
            </w:r>
            <w:r>
              <w:rPr>
                <w:rFonts w:eastAsia="Times New Roman" w:cs="Arial"/>
                <w:sz w:val="20"/>
                <w:szCs w:val="20"/>
                <w:lang w:val="es-MX" w:eastAsia="es-MX"/>
              </w:rPr>
              <w:t>.</w:t>
            </w:r>
          </w:p>
        </w:tc>
      </w:tr>
      <w:tr w:rsidR="00E23746" w:rsidRPr="00FD08F8" w14:paraId="3844FC31" w14:textId="77777777" w:rsidTr="000B2F10">
        <w:trPr>
          <w:trHeight w:val="282"/>
        </w:trPr>
        <w:tc>
          <w:tcPr>
            <w:tcW w:w="1271" w:type="dxa"/>
            <w:tcBorders>
              <w:top w:val="nil"/>
              <w:left w:val="nil"/>
              <w:bottom w:val="nil"/>
              <w:right w:val="nil"/>
            </w:tcBorders>
            <w:shd w:val="clear" w:color="auto" w:fill="auto"/>
            <w:hideMark/>
          </w:tcPr>
          <w:p w14:paraId="54FE777A" w14:textId="77777777" w:rsidR="00E23746" w:rsidRPr="00FD08F8" w:rsidRDefault="00E23746" w:rsidP="000B2F10">
            <w:pPr>
              <w:spacing w:after="0" w:line="240" w:lineRule="auto"/>
              <w:jc w:val="left"/>
              <w:rPr>
                <w:rFonts w:eastAsia="Times New Roman" w:cs="Arial"/>
                <w:sz w:val="20"/>
                <w:szCs w:val="20"/>
                <w:lang w:val="es-MX" w:eastAsia="es-MX"/>
              </w:rPr>
            </w:pPr>
          </w:p>
        </w:tc>
        <w:tc>
          <w:tcPr>
            <w:tcW w:w="2835" w:type="dxa"/>
            <w:tcBorders>
              <w:top w:val="nil"/>
              <w:left w:val="nil"/>
              <w:bottom w:val="nil"/>
              <w:right w:val="nil"/>
            </w:tcBorders>
            <w:shd w:val="clear" w:color="auto" w:fill="auto"/>
            <w:hideMark/>
          </w:tcPr>
          <w:p w14:paraId="413A6999" w14:textId="77777777" w:rsidR="00E23746" w:rsidRPr="00FD08F8" w:rsidRDefault="00E23746" w:rsidP="000B2F10">
            <w:pPr>
              <w:spacing w:after="0" w:line="240" w:lineRule="auto"/>
              <w:jc w:val="left"/>
              <w:rPr>
                <w:rFonts w:ascii="Times New Roman" w:eastAsia="Times New Roman" w:hAnsi="Times New Roman" w:cs="Times New Roman"/>
                <w:sz w:val="20"/>
                <w:szCs w:val="20"/>
                <w:lang w:val="es-MX" w:eastAsia="es-MX"/>
              </w:rPr>
            </w:pPr>
          </w:p>
        </w:tc>
        <w:tc>
          <w:tcPr>
            <w:tcW w:w="2835" w:type="dxa"/>
            <w:tcBorders>
              <w:top w:val="nil"/>
              <w:left w:val="nil"/>
              <w:bottom w:val="nil"/>
              <w:right w:val="nil"/>
            </w:tcBorders>
            <w:shd w:val="clear" w:color="auto" w:fill="auto"/>
            <w:hideMark/>
          </w:tcPr>
          <w:p w14:paraId="78F1EA18" w14:textId="77777777" w:rsidR="00E23746" w:rsidRPr="00FD08F8" w:rsidRDefault="00E23746" w:rsidP="000B2F10">
            <w:pPr>
              <w:spacing w:after="0" w:line="240" w:lineRule="auto"/>
              <w:jc w:val="left"/>
              <w:rPr>
                <w:rFonts w:ascii="Times New Roman" w:eastAsia="Times New Roman" w:hAnsi="Times New Roman" w:cs="Times New Roman"/>
                <w:sz w:val="20"/>
                <w:szCs w:val="20"/>
                <w:lang w:val="es-MX" w:eastAsia="es-MX"/>
              </w:rPr>
            </w:pPr>
          </w:p>
        </w:tc>
        <w:tc>
          <w:tcPr>
            <w:tcW w:w="2268" w:type="dxa"/>
            <w:tcBorders>
              <w:top w:val="nil"/>
              <w:left w:val="nil"/>
              <w:bottom w:val="nil"/>
              <w:right w:val="nil"/>
            </w:tcBorders>
            <w:shd w:val="clear" w:color="auto" w:fill="auto"/>
            <w:hideMark/>
          </w:tcPr>
          <w:p w14:paraId="73AEA0EA" w14:textId="77777777" w:rsidR="00E23746" w:rsidRPr="00FD08F8" w:rsidRDefault="00E23746" w:rsidP="000B2F10">
            <w:pPr>
              <w:spacing w:after="0" w:line="240" w:lineRule="auto"/>
              <w:jc w:val="left"/>
              <w:rPr>
                <w:rFonts w:ascii="Times New Roman" w:eastAsia="Times New Roman" w:hAnsi="Times New Roman" w:cs="Times New Roman"/>
                <w:sz w:val="20"/>
                <w:szCs w:val="20"/>
                <w:lang w:val="es-MX" w:eastAsia="es-MX"/>
              </w:rPr>
            </w:pPr>
          </w:p>
        </w:tc>
        <w:tc>
          <w:tcPr>
            <w:tcW w:w="2835" w:type="dxa"/>
            <w:tcBorders>
              <w:top w:val="nil"/>
              <w:left w:val="nil"/>
              <w:bottom w:val="nil"/>
              <w:right w:val="nil"/>
            </w:tcBorders>
            <w:shd w:val="clear" w:color="auto" w:fill="auto"/>
            <w:hideMark/>
          </w:tcPr>
          <w:p w14:paraId="0D601723" w14:textId="77777777" w:rsidR="00E23746" w:rsidRPr="00FD08F8" w:rsidRDefault="00E23746" w:rsidP="000B2F10">
            <w:pPr>
              <w:spacing w:after="0" w:line="240" w:lineRule="auto"/>
              <w:jc w:val="left"/>
              <w:rPr>
                <w:rFonts w:ascii="Times New Roman" w:eastAsia="Times New Roman" w:hAnsi="Times New Roman" w:cs="Times New Roman"/>
                <w:sz w:val="20"/>
                <w:szCs w:val="20"/>
                <w:lang w:val="es-MX" w:eastAsia="es-MX"/>
              </w:rPr>
            </w:pPr>
          </w:p>
        </w:tc>
        <w:tc>
          <w:tcPr>
            <w:tcW w:w="1985" w:type="dxa"/>
            <w:tcBorders>
              <w:top w:val="nil"/>
              <w:left w:val="nil"/>
              <w:bottom w:val="nil"/>
              <w:right w:val="nil"/>
            </w:tcBorders>
            <w:shd w:val="clear" w:color="auto" w:fill="auto"/>
            <w:hideMark/>
          </w:tcPr>
          <w:p w14:paraId="3A64635F" w14:textId="77777777" w:rsidR="00E23746" w:rsidRPr="00FD08F8" w:rsidRDefault="00E23746" w:rsidP="000B2F10">
            <w:pPr>
              <w:spacing w:after="0" w:line="240" w:lineRule="auto"/>
              <w:jc w:val="left"/>
              <w:rPr>
                <w:rFonts w:ascii="Times New Roman" w:eastAsia="Times New Roman" w:hAnsi="Times New Roman" w:cs="Times New Roman"/>
                <w:sz w:val="20"/>
                <w:szCs w:val="20"/>
                <w:lang w:val="es-MX" w:eastAsia="es-MX"/>
              </w:rPr>
            </w:pPr>
          </w:p>
        </w:tc>
      </w:tr>
      <w:tr w:rsidR="00E23746" w:rsidRPr="00FD08F8" w14:paraId="1210C194" w14:textId="77777777" w:rsidTr="000B2F10">
        <w:trPr>
          <w:trHeight w:val="375"/>
        </w:trPr>
        <w:tc>
          <w:tcPr>
            <w:tcW w:w="14029" w:type="dxa"/>
            <w:gridSpan w:val="6"/>
            <w:tcBorders>
              <w:top w:val="single" w:sz="4" w:space="0" w:color="auto"/>
              <w:left w:val="single" w:sz="4" w:space="0" w:color="auto"/>
              <w:bottom w:val="single" w:sz="4" w:space="0" w:color="auto"/>
              <w:right w:val="single" w:sz="4" w:space="0" w:color="000000"/>
            </w:tcBorders>
            <w:shd w:val="clear" w:color="000000" w:fill="BFBFBF"/>
            <w:vAlign w:val="center"/>
            <w:hideMark/>
          </w:tcPr>
          <w:p w14:paraId="498BC4FC"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MATRIZ DE INDICADORES PARA RESULTADOS (MIR)</w:t>
            </w:r>
          </w:p>
        </w:tc>
      </w:tr>
      <w:tr w:rsidR="00E23746" w:rsidRPr="00FD08F8" w14:paraId="348360C1" w14:textId="77777777" w:rsidTr="003D04F9">
        <w:trPr>
          <w:trHeight w:val="679"/>
        </w:trPr>
        <w:tc>
          <w:tcPr>
            <w:tcW w:w="1271" w:type="dxa"/>
            <w:tcBorders>
              <w:top w:val="nil"/>
              <w:left w:val="single" w:sz="4" w:space="0" w:color="auto"/>
              <w:bottom w:val="single" w:sz="4" w:space="0" w:color="auto"/>
              <w:right w:val="single" w:sz="4" w:space="0" w:color="auto"/>
            </w:tcBorders>
            <w:shd w:val="clear" w:color="000000" w:fill="BFBFBF"/>
            <w:vAlign w:val="center"/>
            <w:hideMark/>
          </w:tcPr>
          <w:p w14:paraId="27DF0FED"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NIVEL</w:t>
            </w:r>
          </w:p>
        </w:tc>
        <w:tc>
          <w:tcPr>
            <w:tcW w:w="2835" w:type="dxa"/>
            <w:tcBorders>
              <w:top w:val="nil"/>
              <w:left w:val="nil"/>
              <w:bottom w:val="single" w:sz="4" w:space="0" w:color="auto"/>
              <w:right w:val="single" w:sz="4" w:space="0" w:color="auto"/>
            </w:tcBorders>
            <w:shd w:val="clear" w:color="000000" w:fill="BFBFBF"/>
            <w:vAlign w:val="center"/>
            <w:hideMark/>
          </w:tcPr>
          <w:p w14:paraId="3372C3AD"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ALINEACIÓN PED/PD</w:t>
            </w:r>
          </w:p>
        </w:tc>
        <w:tc>
          <w:tcPr>
            <w:tcW w:w="2835" w:type="dxa"/>
            <w:tcBorders>
              <w:top w:val="nil"/>
              <w:left w:val="nil"/>
              <w:bottom w:val="single" w:sz="4" w:space="0" w:color="auto"/>
              <w:right w:val="single" w:sz="4" w:space="0" w:color="auto"/>
            </w:tcBorders>
            <w:shd w:val="clear" w:color="000000" w:fill="BFBFBF"/>
            <w:vAlign w:val="center"/>
            <w:hideMark/>
          </w:tcPr>
          <w:p w14:paraId="54C98FC0"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OBJETIVO</w:t>
            </w:r>
          </w:p>
        </w:tc>
        <w:tc>
          <w:tcPr>
            <w:tcW w:w="2268" w:type="dxa"/>
            <w:tcBorders>
              <w:top w:val="nil"/>
              <w:left w:val="nil"/>
              <w:bottom w:val="single" w:sz="4" w:space="0" w:color="auto"/>
              <w:right w:val="single" w:sz="4" w:space="0" w:color="auto"/>
            </w:tcBorders>
            <w:shd w:val="clear" w:color="000000" w:fill="BFBFBF"/>
            <w:vAlign w:val="center"/>
            <w:hideMark/>
          </w:tcPr>
          <w:p w14:paraId="539C92AA"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INDICADOR</w:t>
            </w:r>
          </w:p>
        </w:tc>
        <w:tc>
          <w:tcPr>
            <w:tcW w:w="2835" w:type="dxa"/>
            <w:tcBorders>
              <w:top w:val="nil"/>
              <w:left w:val="nil"/>
              <w:bottom w:val="single" w:sz="4" w:space="0" w:color="auto"/>
              <w:right w:val="single" w:sz="4" w:space="0" w:color="auto"/>
            </w:tcBorders>
            <w:shd w:val="clear" w:color="000000" w:fill="BFBFBF"/>
            <w:vAlign w:val="center"/>
            <w:hideMark/>
          </w:tcPr>
          <w:p w14:paraId="38B35C66"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MEDIOS DE VERIFICACIÓN</w:t>
            </w:r>
          </w:p>
        </w:tc>
        <w:tc>
          <w:tcPr>
            <w:tcW w:w="1985" w:type="dxa"/>
            <w:tcBorders>
              <w:top w:val="nil"/>
              <w:left w:val="nil"/>
              <w:bottom w:val="single" w:sz="4" w:space="0" w:color="auto"/>
              <w:right w:val="single" w:sz="4" w:space="0" w:color="auto"/>
            </w:tcBorders>
            <w:shd w:val="clear" w:color="000000" w:fill="BFBFBF"/>
            <w:vAlign w:val="center"/>
            <w:hideMark/>
          </w:tcPr>
          <w:p w14:paraId="53EC8A52"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SUPUESTO</w:t>
            </w:r>
          </w:p>
        </w:tc>
      </w:tr>
      <w:tr w:rsidR="00E23746" w:rsidRPr="00FD08F8" w14:paraId="1983342D" w14:textId="77777777" w:rsidTr="003D04F9">
        <w:trPr>
          <w:trHeight w:val="2136"/>
        </w:trPr>
        <w:tc>
          <w:tcPr>
            <w:tcW w:w="1271" w:type="dxa"/>
            <w:tcBorders>
              <w:top w:val="single" w:sz="4" w:space="0" w:color="auto"/>
              <w:left w:val="single" w:sz="4" w:space="0" w:color="auto"/>
              <w:bottom w:val="single" w:sz="4" w:space="0" w:color="auto"/>
              <w:right w:val="single" w:sz="4" w:space="0" w:color="auto"/>
            </w:tcBorders>
            <w:shd w:val="clear" w:color="auto" w:fill="auto"/>
            <w:hideMark/>
          </w:tcPr>
          <w:p w14:paraId="2F239458"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Fin</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2FED1B5" w14:textId="77777777" w:rsidR="00E23746" w:rsidRPr="00634003" w:rsidRDefault="00E23746" w:rsidP="000B2F10">
            <w:pPr>
              <w:rPr>
                <w:rFonts w:cs="Arial"/>
                <w:sz w:val="20"/>
                <w:szCs w:val="20"/>
              </w:rPr>
            </w:pPr>
            <w:r w:rsidRPr="00634003">
              <w:rPr>
                <w:rFonts w:cs="Arial"/>
                <w:sz w:val="20"/>
                <w:szCs w:val="20"/>
              </w:rPr>
              <w:t>Garantizar el acceso y permanencia a una educación inclusiva y de calidad en todos los niveles educativos que promueva en los educandos aprendizajes para la vida.</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4BFC926" w14:textId="77777777" w:rsidR="00E23746" w:rsidRPr="00634003" w:rsidRDefault="00E23746" w:rsidP="000B2F10">
            <w:pPr>
              <w:rPr>
                <w:rFonts w:cs="Arial"/>
                <w:sz w:val="20"/>
                <w:szCs w:val="20"/>
              </w:rPr>
            </w:pPr>
            <w:r w:rsidRPr="00634003">
              <w:rPr>
                <w:rFonts w:cs="Arial"/>
                <w:sz w:val="20"/>
                <w:szCs w:val="20"/>
              </w:rPr>
              <w:t>F - Contribuir a garantizar el acceso y permanencia a una educación inclusiva y de calidad en todos los niveles educativos que promueva en los educandos aprendizajes para la vida mediante estrategias de atención a la demanda y permanencia en todos los niveles educativos.</w:t>
            </w:r>
          </w:p>
        </w:tc>
        <w:tc>
          <w:tcPr>
            <w:tcW w:w="2268" w:type="dxa"/>
            <w:tcBorders>
              <w:top w:val="single" w:sz="4" w:space="0" w:color="auto"/>
              <w:left w:val="single" w:sz="4" w:space="0" w:color="auto"/>
              <w:bottom w:val="single" w:sz="4" w:space="0" w:color="auto"/>
              <w:right w:val="single" w:sz="4" w:space="0" w:color="auto"/>
            </w:tcBorders>
            <w:shd w:val="clear" w:color="FFFFFF" w:fill="FFFFFF"/>
          </w:tcPr>
          <w:p w14:paraId="4C9479B8" w14:textId="77777777" w:rsidR="00E23746" w:rsidRPr="00634003" w:rsidRDefault="00E23746" w:rsidP="000B2F10">
            <w:pPr>
              <w:rPr>
                <w:rFonts w:cs="Arial"/>
                <w:sz w:val="20"/>
                <w:szCs w:val="20"/>
              </w:rPr>
            </w:pPr>
            <w:r w:rsidRPr="00634003">
              <w:rPr>
                <w:rFonts w:cs="Arial"/>
                <w:sz w:val="20"/>
                <w:szCs w:val="20"/>
              </w:rPr>
              <w:t>Tasa de cobertura estatal de educación superior.</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70E5A2D" w14:textId="77777777" w:rsidR="00E23746" w:rsidRPr="00634003" w:rsidRDefault="00E23746" w:rsidP="000B2F10">
            <w:pPr>
              <w:rPr>
                <w:rFonts w:cs="Arial"/>
                <w:sz w:val="20"/>
                <w:szCs w:val="20"/>
              </w:rPr>
            </w:pPr>
            <w:r w:rsidRPr="00572B26">
              <w:rPr>
                <w:rFonts w:cs="Arial"/>
                <w:sz w:val="20"/>
                <w:szCs w:val="20"/>
              </w:rPr>
              <w:t>Estadísticas continúas del formato 911, matrícula de inicio de ciclo escolar, SEQ. Proyecciones de población por edad desplegada, entidad federativa (Quintana Roo) 1970-2050, CONAPO. Liga:qroo.gob.mx/seq/medios-de-verificacion-de-la-planeacion-anual</w:t>
            </w:r>
            <w:r>
              <w:rPr>
                <w:rFonts w:cs="Arial"/>
                <w:sz w:val="20"/>
                <w:szCs w:val="20"/>
              </w:rPr>
              <w:t>.</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CA6792A" w14:textId="77777777" w:rsidR="00E23746" w:rsidRPr="00634003" w:rsidRDefault="00E23746" w:rsidP="000B2F10">
            <w:pPr>
              <w:rPr>
                <w:rFonts w:cs="Arial"/>
                <w:sz w:val="20"/>
                <w:szCs w:val="20"/>
              </w:rPr>
            </w:pPr>
            <w:r w:rsidRPr="00634003">
              <w:rPr>
                <w:rFonts w:cs="Arial"/>
                <w:sz w:val="20"/>
                <w:szCs w:val="20"/>
              </w:rPr>
              <w:t>La población del Estado obtiene una educación integral de calidad que les permite progresar individual y colectivamente.</w:t>
            </w:r>
          </w:p>
        </w:tc>
      </w:tr>
      <w:tr w:rsidR="00E23746" w:rsidRPr="00C4101B" w14:paraId="78A2D9D9" w14:textId="77777777" w:rsidTr="003D04F9">
        <w:trPr>
          <w:trHeight w:val="2393"/>
        </w:trPr>
        <w:tc>
          <w:tcPr>
            <w:tcW w:w="1271" w:type="dxa"/>
            <w:tcBorders>
              <w:top w:val="single" w:sz="4" w:space="0" w:color="auto"/>
              <w:left w:val="single" w:sz="4" w:space="0" w:color="auto"/>
              <w:bottom w:val="single" w:sz="4" w:space="0" w:color="auto"/>
              <w:right w:val="single" w:sz="4" w:space="0" w:color="auto"/>
            </w:tcBorders>
            <w:shd w:val="clear" w:color="auto" w:fill="auto"/>
            <w:hideMark/>
          </w:tcPr>
          <w:p w14:paraId="597555D2"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Propósito</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56A5154" w14:textId="77777777" w:rsidR="00E23746" w:rsidRPr="001D2E9B" w:rsidRDefault="00E23746" w:rsidP="000B2F10">
            <w:pPr>
              <w:rPr>
                <w:rFonts w:cs="Arial"/>
                <w:sz w:val="18"/>
                <w:szCs w:val="20"/>
              </w:rPr>
            </w:pPr>
            <w:r w:rsidRPr="001D2E9B">
              <w:rPr>
                <w:rFonts w:cs="Arial"/>
                <w:sz w:val="18"/>
                <w:szCs w:val="20"/>
              </w:rPr>
              <w:t>Asegurar la calidad de la formación profesional a través de programas y proyectos que favorezcan la continuidad y conclusión de los estudiantes de educación superior, acorde a las necesidades que requiere el desarrollo social y económico del estado.</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ABEB68A" w14:textId="77777777" w:rsidR="00E23746" w:rsidRPr="00DD34FD" w:rsidRDefault="00E23746" w:rsidP="000B2F10">
            <w:pPr>
              <w:rPr>
                <w:rFonts w:cs="Arial"/>
                <w:sz w:val="20"/>
                <w:szCs w:val="20"/>
              </w:rPr>
            </w:pPr>
            <w:r w:rsidRPr="00DD34FD">
              <w:rPr>
                <w:rFonts w:cs="Arial"/>
                <w:sz w:val="20"/>
                <w:szCs w:val="20"/>
              </w:rPr>
              <w:t>P - Los alumnos de educación superior aseguran la continuidad y conclusión de sus estudios a través de programas y proyectos que favorezcan la calidad de la formación profesional.</w:t>
            </w:r>
          </w:p>
        </w:tc>
        <w:tc>
          <w:tcPr>
            <w:tcW w:w="2268" w:type="dxa"/>
            <w:tcBorders>
              <w:top w:val="single" w:sz="4" w:space="0" w:color="auto"/>
              <w:left w:val="single" w:sz="4" w:space="0" w:color="auto"/>
              <w:bottom w:val="single" w:sz="4" w:space="0" w:color="auto"/>
              <w:right w:val="single" w:sz="4" w:space="0" w:color="auto"/>
            </w:tcBorders>
            <w:shd w:val="clear" w:color="FFFFFF" w:fill="FFFFFF"/>
          </w:tcPr>
          <w:p w14:paraId="616DC0B8" w14:textId="77777777" w:rsidR="00E23746" w:rsidRPr="00DD34FD" w:rsidRDefault="00E23746" w:rsidP="000B2F10">
            <w:pPr>
              <w:rPr>
                <w:rFonts w:cs="Arial"/>
                <w:sz w:val="20"/>
                <w:szCs w:val="20"/>
              </w:rPr>
            </w:pPr>
            <w:r w:rsidRPr="00DD34FD">
              <w:rPr>
                <w:rFonts w:cs="Arial"/>
                <w:sz w:val="20"/>
                <w:szCs w:val="20"/>
              </w:rPr>
              <w:t>Tasa de eficiencia terminal de educación superior.</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A8744F6" w14:textId="77777777" w:rsidR="00E23746" w:rsidRPr="00DD34FD" w:rsidRDefault="00E23746" w:rsidP="000B2F10">
            <w:pPr>
              <w:rPr>
                <w:rFonts w:cs="Arial"/>
                <w:sz w:val="20"/>
                <w:szCs w:val="20"/>
              </w:rPr>
            </w:pPr>
            <w:r w:rsidRPr="00DD34FD">
              <w:rPr>
                <w:rFonts w:cs="Arial"/>
                <w:sz w:val="20"/>
                <w:szCs w:val="20"/>
              </w:rPr>
              <w:t>Estadísticas continúas del formato 911 inicio de ciclo escolar, SEQ.Liga:https://qroo.gob.mx/seq/medios-de-verificacion-de-la-planeacion-anual.</w:t>
            </w:r>
          </w:p>
        </w:tc>
        <w:tc>
          <w:tcPr>
            <w:tcW w:w="1985" w:type="dxa"/>
            <w:tcBorders>
              <w:top w:val="single" w:sz="4" w:space="0" w:color="auto"/>
              <w:left w:val="single" w:sz="4" w:space="0" w:color="auto"/>
              <w:bottom w:val="single" w:sz="4" w:space="0" w:color="auto"/>
              <w:right w:val="single" w:sz="4" w:space="0" w:color="auto"/>
            </w:tcBorders>
            <w:shd w:val="clear" w:color="FFFFFF" w:fill="FFFFFF"/>
          </w:tcPr>
          <w:p w14:paraId="426D5D58" w14:textId="77777777" w:rsidR="00E23746" w:rsidRPr="00DD34FD" w:rsidRDefault="00E23746" w:rsidP="000B2F10">
            <w:pPr>
              <w:rPr>
                <w:rFonts w:cs="Arial"/>
                <w:sz w:val="20"/>
                <w:szCs w:val="20"/>
              </w:rPr>
            </w:pPr>
            <w:r w:rsidRPr="00777F80">
              <w:rPr>
                <w:rFonts w:cs="Arial"/>
                <w:sz w:val="20"/>
                <w:szCs w:val="20"/>
              </w:rPr>
              <w:t>Los alumnos de educación superior concluyen sus estudios.</w:t>
            </w:r>
          </w:p>
        </w:tc>
      </w:tr>
    </w:tbl>
    <w:p w14:paraId="01E14933" w14:textId="77777777" w:rsidR="0080241C" w:rsidRDefault="0080241C">
      <w:pPr>
        <w:spacing w:after="0" w:line="240" w:lineRule="auto"/>
        <w:jc w:val="left"/>
      </w:pPr>
      <w:r>
        <w:br w:type="page"/>
      </w:r>
    </w:p>
    <w:tbl>
      <w:tblPr>
        <w:tblW w:w="14029" w:type="dxa"/>
        <w:tblLayout w:type="fixed"/>
        <w:tblCellMar>
          <w:left w:w="70" w:type="dxa"/>
          <w:right w:w="70" w:type="dxa"/>
        </w:tblCellMar>
        <w:tblLook w:val="04A0" w:firstRow="1" w:lastRow="0" w:firstColumn="1" w:lastColumn="0" w:noHBand="0" w:noVBand="1"/>
      </w:tblPr>
      <w:tblGrid>
        <w:gridCol w:w="1413"/>
        <w:gridCol w:w="2693"/>
        <w:gridCol w:w="2835"/>
        <w:gridCol w:w="2268"/>
        <w:gridCol w:w="2835"/>
        <w:gridCol w:w="1985"/>
      </w:tblGrid>
      <w:tr w:rsidR="00E23746" w:rsidRPr="00FD08F8" w14:paraId="1C9AD829" w14:textId="77777777" w:rsidTr="00BE5E45">
        <w:trPr>
          <w:trHeight w:val="679"/>
        </w:trPr>
        <w:tc>
          <w:tcPr>
            <w:tcW w:w="1413"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1A8C54B8"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lastRenderedPageBreak/>
              <w:t>NIVEL</w:t>
            </w:r>
          </w:p>
        </w:tc>
        <w:tc>
          <w:tcPr>
            <w:tcW w:w="2693" w:type="dxa"/>
            <w:tcBorders>
              <w:top w:val="single" w:sz="4" w:space="0" w:color="auto"/>
              <w:left w:val="nil"/>
              <w:bottom w:val="single" w:sz="4" w:space="0" w:color="auto"/>
              <w:right w:val="single" w:sz="4" w:space="0" w:color="auto"/>
            </w:tcBorders>
            <w:shd w:val="clear" w:color="000000" w:fill="BFBFBF"/>
            <w:vAlign w:val="center"/>
            <w:hideMark/>
          </w:tcPr>
          <w:p w14:paraId="149AC620"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ALINEACIÓN PED/PD</w:t>
            </w:r>
          </w:p>
        </w:tc>
        <w:tc>
          <w:tcPr>
            <w:tcW w:w="2835" w:type="dxa"/>
            <w:tcBorders>
              <w:top w:val="single" w:sz="4" w:space="0" w:color="auto"/>
              <w:left w:val="nil"/>
              <w:bottom w:val="single" w:sz="4" w:space="0" w:color="auto"/>
              <w:right w:val="single" w:sz="4" w:space="0" w:color="auto"/>
            </w:tcBorders>
            <w:shd w:val="clear" w:color="000000" w:fill="BFBFBF"/>
            <w:vAlign w:val="center"/>
            <w:hideMark/>
          </w:tcPr>
          <w:p w14:paraId="10AF84B5"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OBJETIVO</w:t>
            </w:r>
          </w:p>
        </w:tc>
        <w:tc>
          <w:tcPr>
            <w:tcW w:w="2268" w:type="dxa"/>
            <w:tcBorders>
              <w:top w:val="single" w:sz="4" w:space="0" w:color="auto"/>
              <w:left w:val="nil"/>
              <w:bottom w:val="single" w:sz="4" w:space="0" w:color="auto"/>
              <w:right w:val="single" w:sz="4" w:space="0" w:color="auto"/>
            </w:tcBorders>
            <w:shd w:val="clear" w:color="000000" w:fill="BFBFBF"/>
            <w:vAlign w:val="center"/>
            <w:hideMark/>
          </w:tcPr>
          <w:p w14:paraId="3882C761"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INDICADOR</w:t>
            </w:r>
          </w:p>
        </w:tc>
        <w:tc>
          <w:tcPr>
            <w:tcW w:w="2835" w:type="dxa"/>
            <w:tcBorders>
              <w:top w:val="single" w:sz="4" w:space="0" w:color="auto"/>
              <w:left w:val="nil"/>
              <w:bottom w:val="single" w:sz="4" w:space="0" w:color="auto"/>
              <w:right w:val="single" w:sz="4" w:space="0" w:color="auto"/>
            </w:tcBorders>
            <w:shd w:val="clear" w:color="000000" w:fill="BFBFBF"/>
            <w:vAlign w:val="center"/>
            <w:hideMark/>
          </w:tcPr>
          <w:p w14:paraId="0C27B3DA"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MEDIOS DE VERIFICACIÓN</w:t>
            </w:r>
          </w:p>
        </w:tc>
        <w:tc>
          <w:tcPr>
            <w:tcW w:w="1985" w:type="dxa"/>
            <w:tcBorders>
              <w:top w:val="single" w:sz="4" w:space="0" w:color="auto"/>
              <w:left w:val="nil"/>
              <w:bottom w:val="single" w:sz="4" w:space="0" w:color="auto"/>
              <w:right w:val="single" w:sz="4" w:space="0" w:color="auto"/>
            </w:tcBorders>
            <w:shd w:val="clear" w:color="000000" w:fill="BFBFBF"/>
            <w:vAlign w:val="center"/>
            <w:hideMark/>
          </w:tcPr>
          <w:p w14:paraId="6A2B5CFA"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SUPUESTO</w:t>
            </w:r>
          </w:p>
        </w:tc>
      </w:tr>
      <w:tr w:rsidR="00E23746" w:rsidRPr="00FD08F8" w14:paraId="506268B3" w14:textId="77777777" w:rsidTr="00BE5E45">
        <w:trPr>
          <w:trHeight w:val="2074"/>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14:paraId="7B63619A"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Componente</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EA44071" w14:textId="77777777" w:rsidR="00E23746" w:rsidRPr="00DD34FD" w:rsidRDefault="00E23746" w:rsidP="000B2F10">
            <w:pPr>
              <w:rPr>
                <w:rFonts w:cs="Arial"/>
                <w:sz w:val="20"/>
                <w:szCs w:val="20"/>
              </w:rPr>
            </w:pPr>
            <w:r w:rsidRPr="00361785">
              <w:rPr>
                <w:rFonts w:cs="Arial"/>
                <w:sz w:val="20"/>
                <w:szCs w:val="20"/>
              </w:rPr>
              <w:t>Fortalecer la oferta educativa de las Instituciones de Educación Superior para asegurar la pertinencia con base en las necesidades de la entidad.</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E48ED50" w14:textId="77777777" w:rsidR="00E23746" w:rsidRPr="00DD34FD" w:rsidRDefault="00E23746" w:rsidP="000B2F10">
            <w:pPr>
              <w:rPr>
                <w:rFonts w:cs="Arial"/>
                <w:sz w:val="20"/>
                <w:szCs w:val="20"/>
              </w:rPr>
            </w:pPr>
            <w:r w:rsidRPr="00574DAC">
              <w:rPr>
                <w:rFonts w:cs="Arial"/>
                <w:sz w:val="20"/>
                <w:szCs w:val="20"/>
              </w:rPr>
              <w:t>C01</w:t>
            </w:r>
            <w:r>
              <w:rPr>
                <w:rFonts w:cs="Arial"/>
                <w:sz w:val="20"/>
                <w:szCs w:val="20"/>
              </w:rPr>
              <w:t xml:space="preserve"> </w:t>
            </w:r>
            <w:r w:rsidRPr="00574DAC">
              <w:rPr>
                <w:rFonts w:cs="Arial"/>
                <w:sz w:val="20"/>
                <w:szCs w:val="20"/>
              </w:rPr>
              <w:t>-</w:t>
            </w:r>
            <w:r>
              <w:rPr>
                <w:rFonts w:cs="Arial"/>
                <w:sz w:val="20"/>
                <w:szCs w:val="20"/>
              </w:rPr>
              <w:t>.</w:t>
            </w:r>
            <w:r>
              <w:t xml:space="preserve"> </w:t>
            </w:r>
            <w:r w:rsidRPr="00D20F98">
              <w:rPr>
                <w:rFonts w:cs="Arial"/>
                <w:sz w:val="20"/>
                <w:szCs w:val="20"/>
              </w:rPr>
              <w:t>Educación superior con calidad y pertinencia impartida.</w:t>
            </w:r>
          </w:p>
        </w:tc>
        <w:tc>
          <w:tcPr>
            <w:tcW w:w="2268" w:type="dxa"/>
            <w:tcBorders>
              <w:top w:val="single" w:sz="4" w:space="0" w:color="auto"/>
              <w:left w:val="single" w:sz="4" w:space="0" w:color="auto"/>
              <w:bottom w:val="single" w:sz="4" w:space="0" w:color="auto"/>
              <w:right w:val="single" w:sz="4" w:space="0" w:color="auto"/>
            </w:tcBorders>
            <w:shd w:val="clear" w:color="FFFFFF" w:fill="FFFFFF"/>
          </w:tcPr>
          <w:p w14:paraId="7EC51417" w14:textId="77777777" w:rsidR="00E23746" w:rsidRPr="00DD34FD" w:rsidRDefault="00E23746" w:rsidP="000B2F10">
            <w:pPr>
              <w:rPr>
                <w:rFonts w:cs="Arial"/>
                <w:sz w:val="20"/>
                <w:szCs w:val="20"/>
              </w:rPr>
            </w:pPr>
            <w:r w:rsidRPr="00574DAC">
              <w:rPr>
                <w:rFonts w:cs="Arial"/>
                <w:sz w:val="20"/>
                <w:szCs w:val="20"/>
              </w:rPr>
              <w:t>C01</w:t>
            </w:r>
            <w:r>
              <w:rPr>
                <w:rFonts w:cs="Arial"/>
                <w:sz w:val="20"/>
                <w:szCs w:val="20"/>
              </w:rPr>
              <w:t xml:space="preserve"> </w:t>
            </w:r>
            <w:r w:rsidRPr="00574DAC">
              <w:rPr>
                <w:rFonts w:cs="Arial"/>
                <w:sz w:val="20"/>
                <w:szCs w:val="20"/>
              </w:rPr>
              <w:t>-</w:t>
            </w:r>
            <w:r>
              <w:t xml:space="preserve"> </w:t>
            </w:r>
            <w:r w:rsidRPr="00D20F98">
              <w:rPr>
                <w:rFonts w:cs="Arial"/>
                <w:sz w:val="20"/>
                <w:szCs w:val="20"/>
              </w:rPr>
              <w:t>Matrícula atendida</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9A0A446" w14:textId="77777777" w:rsidR="00E23746" w:rsidRPr="00DD34FD" w:rsidRDefault="00E23746" w:rsidP="000B2F10">
            <w:pPr>
              <w:rPr>
                <w:rFonts w:cs="Arial"/>
                <w:sz w:val="20"/>
                <w:szCs w:val="20"/>
              </w:rPr>
            </w:pPr>
            <w:r w:rsidRPr="00AF27A3">
              <w:rPr>
                <w:rFonts w:cs="Arial"/>
                <w:sz w:val="20"/>
                <w:szCs w:val="20"/>
              </w:rPr>
              <w:t>Estadísticas continúas de formato 911 inicio de ciclo escolar</w:t>
            </w:r>
            <w:r>
              <w:rPr>
                <w:rFonts w:cs="Arial"/>
                <w:sz w:val="20"/>
                <w:szCs w:val="20"/>
              </w:rPr>
              <w:t>.</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2CAFD40" w14:textId="77777777" w:rsidR="00E23746" w:rsidRPr="00DD34FD" w:rsidRDefault="00E23746" w:rsidP="000B2F10">
            <w:pPr>
              <w:rPr>
                <w:rFonts w:cs="Arial"/>
                <w:sz w:val="20"/>
                <w:szCs w:val="20"/>
              </w:rPr>
            </w:pPr>
            <w:r w:rsidRPr="00AF27A3">
              <w:rPr>
                <w:rFonts w:cs="Arial"/>
                <w:sz w:val="20"/>
                <w:szCs w:val="20"/>
              </w:rPr>
              <w:t>Los estudiantes que egresan del nivel educativo medio superior continúan sus estudios de tipo superior en la Entidad.</w:t>
            </w:r>
          </w:p>
        </w:tc>
      </w:tr>
      <w:tr w:rsidR="00E23746" w:rsidRPr="00FD08F8" w14:paraId="21AADF78" w14:textId="77777777" w:rsidTr="00BE5E45">
        <w:trPr>
          <w:trHeight w:val="1758"/>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14:paraId="6A577CCE"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Actividad</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95BEC9D" w14:textId="77777777" w:rsidR="00E23746" w:rsidRPr="00DD34FD" w:rsidRDefault="00E23746" w:rsidP="000B2F10">
            <w:pPr>
              <w:rPr>
                <w:rFonts w:cs="Arial"/>
                <w:sz w:val="20"/>
                <w:szCs w:val="20"/>
              </w:rPr>
            </w:pPr>
            <w:r w:rsidRPr="00D20F98">
              <w:rPr>
                <w:rFonts w:cs="Arial"/>
                <w:sz w:val="20"/>
                <w:szCs w:val="20"/>
              </w:rPr>
              <w:t>Fortalecer la oferta educativa de las Instituciones de Educación Superior para asegurar la pertinencia con base en las necesidades de la entidad.</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6910D97" w14:textId="77777777" w:rsidR="00E23746" w:rsidRPr="00DD34FD" w:rsidRDefault="00E23746" w:rsidP="000B2F10">
            <w:pPr>
              <w:rPr>
                <w:rFonts w:cs="Arial"/>
                <w:sz w:val="20"/>
                <w:szCs w:val="20"/>
              </w:rPr>
            </w:pPr>
            <w:r w:rsidRPr="00574DAC">
              <w:rPr>
                <w:rFonts w:cs="Arial"/>
                <w:sz w:val="20"/>
                <w:szCs w:val="20"/>
              </w:rPr>
              <w:t>C01.A0</w:t>
            </w:r>
            <w:r>
              <w:rPr>
                <w:rFonts w:cs="Arial"/>
                <w:sz w:val="20"/>
                <w:szCs w:val="20"/>
              </w:rPr>
              <w:t xml:space="preserve">1 - </w:t>
            </w:r>
            <w:r w:rsidRPr="00E64D94">
              <w:rPr>
                <w:rFonts w:cs="Arial"/>
                <w:sz w:val="20"/>
                <w:szCs w:val="20"/>
              </w:rPr>
              <w:t>Incorporación de estudiantes</w:t>
            </w:r>
            <w:r>
              <w:rPr>
                <w:rFonts w:cs="Arial"/>
                <w:sz w:val="20"/>
                <w:szCs w:val="20"/>
              </w:rPr>
              <w:t>.</w:t>
            </w:r>
          </w:p>
        </w:tc>
        <w:tc>
          <w:tcPr>
            <w:tcW w:w="2268" w:type="dxa"/>
            <w:tcBorders>
              <w:top w:val="single" w:sz="4" w:space="0" w:color="auto"/>
              <w:left w:val="single" w:sz="4" w:space="0" w:color="auto"/>
              <w:bottom w:val="single" w:sz="4" w:space="0" w:color="auto"/>
              <w:right w:val="single" w:sz="4" w:space="0" w:color="auto"/>
            </w:tcBorders>
            <w:shd w:val="clear" w:color="FFFFFF" w:fill="FFFFFF"/>
          </w:tcPr>
          <w:p w14:paraId="55C3296E" w14:textId="77777777" w:rsidR="00E23746" w:rsidRPr="00DD34FD" w:rsidRDefault="00E23746" w:rsidP="000B2F10">
            <w:pPr>
              <w:rPr>
                <w:rFonts w:cs="Arial"/>
                <w:sz w:val="20"/>
                <w:szCs w:val="20"/>
              </w:rPr>
            </w:pPr>
            <w:r w:rsidRPr="00574DAC">
              <w:rPr>
                <w:rFonts w:cs="Arial"/>
                <w:sz w:val="20"/>
                <w:szCs w:val="20"/>
              </w:rPr>
              <w:t>C01A01 -</w:t>
            </w:r>
            <w:r>
              <w:t xml:space="preserve"> </w:t>
            </w:r>
            <w:r w:rsidRPr="00E64D94">
              <w:rPr>
                <w:rFonts w:cs="Arial"/>
                <w:sz w:val="20"/>
                <w:szCs w:val="20"/>
              </w:rPr>
              <w:t>Porcentaje de estudiantes de nuevo ingreso</w:t>
            </w:r>
            <w:r>
              <w:rPr>
                <w:rFonts w:cs="Arial"/>
                <w:sz w:val="20"/>
                <w:szCs w:val="20"/>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B19370E" w14:textId="77777777" w:rsidR="00E23746" w:rsidRDefault="00E23746" w:rsidP="000B2F10">
            <w:pPr>
              <w:rPr>
                <w:rFonts w:cs="Arial"/>
                <w:sz w:val="20"/>
                <w:szCs w:val="20"/>
              </w:rPr>
            </w:pPr>
            <w:r w:rsidRPr="00E64D94">
              <w:rPr>
                <w:rFonts w:cs="Arial"/>
                <w:sz w:val="20"/>
                <w:szCs w:val="20"/>
              </w:rPr>
              <w:t xml:space="preserve">Indicadores de la Universidad Politécnica de Bacalar (Departamento de Servicios Escolares) </w:t>
            </w:r>
            <w:hyperlink r:id="rId107" w:history="1">
              <w:r w:rsidRPr="003135B9">
                <w:rPr>
                  <w:rStyle w:val="Hipervnculo"/>
                  <w:rFonts w:cs="Arial"/>
                  <w:sz w:val="20"/>
                  <w:szCs w:val="20"/>
                </w:rPr>
                <w:t>http://www.upb.edu.mx/indicadores/2020-2021</w:t>
              </w:r>
            </w:hyperlink>
            <w:r>
              <w:rPr>
                <w:rFonts w:cs="Arial"/>
                <w:sz w:val="20"/>
                <w:szCs w:val="20"/>
              </w:rPr>
              <w:t>.</w:t>
            </w:r>
          </w:p>
          <w:p w14:paraId="5161E29C" w14:textId="77777777" w:rsidR="00E23746" w:rsidRPr="00DD34FD" w:rsidRDefault="00E23746" w:rsidP="000B2F10">
            <w:pPr>
              <w:rPr>
                <w:rFonts w:cs="Arial"/>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33F624C" w14:textId="77777777" w:rsidR="00E23746" w:rsidRPr="00DD34FD" w:rsidRDefault="00E23746" w:rsidP="000B2F10">
            <w:pPr>
              <w:rPr>
                <w:rFonts w:cs="Arial"/>
                <w:sz w:val="20"/>
                <w:szCs w:val="20"/>
              </w:rPr>
            </w:pPr>
            <w:r w:rsidRPr="00E64D94">
              <w:rPr>
                <w:rFonts w:cs="Arial"/>
                <w:sz w:val="20"/>
                <w:szCs w:val="20"/>
              </w:rPr>
              <w:t>Alumnos de educación media superior eligen la UPB para continuar sus estudios de nivel superior.</w:t>
            </w:r>
          </w:p>
        </w:tc>
      </w:tr>
      <w:tr w:rsidR="00E23746" w:rsidRPr="00FD08F8" w14:paraId="49B52F7C" w14:textId="77777777" w:rsidTr="00BE5E45">
        <w:trPr>
          <w:trHeight w:val="1968"/>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334BBA9D"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Actividad</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B42DF77" w14:textId="77777777" w:rsidR="00E23746" w:rsidRDefault="00E23746" w:rsidP="000B2F10">
            <w:pPr>
              <w:rPr>
                <w:rFonts w:cs="Arial"/>
                <w:sz w:val="20"/>
                <w:szCs w:val="20"/>
              </w:rPr>
            </w:pPr>
            <w:r>
              <w:rPr>
                <w:rFonts w:cs="Arial"/>
                <w:sz w:val="20"/>
                <w:szCs w:val="20"/>
              </w:rPr>
              <w:t>F</w:t>
            </w:r>
            <w:r w:rsidRPr="007148F4">
              <w:rPr>
                <w:rFonts w:cs="Arial"/>
                <w:sz w:val="20"/>
                <w:szCs w:val="20"/>
              </w:rPr>
              <w:t>ortalecer los programas de asesoría, tutoría y de acompañamiento académico de los estudiantes de educación  superior a fin de elevar el desempeño escolar y la eficiencia terminal.</w:t>
            </w:r>
          </w:p>
          <w:p w14:paraId="4F83CE8B" w14:textId="77777777" w:rsidR="00E23746" w:rsidRPr="00D20F98" w:rsidRDefault="00E23746" w:rsidP="000B2F10">
            <w:pPr>
              <w:rPr>
                <w:rFonts w:cs="Arial"/>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E977D25" w14:textId="77777777" w:rsidR="00E23746" w:rsidRPr="00574DAC" w:rsidRDefault="00E23746" w:rsidP="000B2F10">
            <w:pPr>
              <w:rPr>
                <w:rFonts w:cs="Arial"/>
                <w:sz w:val="20"/>
                <w:szCs w:val="20"/>
              </w:rPr>
            </w:pPr>
            <w:r w:rsidRPr="00574DAC">
              <w:rPr>
                <w:rFonts w:cs="Arial"/>
                <w:sz w:val="20"/>
                <w:szCs w:val="20"/>
              </w:rPr>
              <w:t>C01.A0</w:t>
            </w:r>
            <w:r>
              <w:rPr>
                <w:rFonts w:cs="Arial"/>
                <w:sz w:val="20"/>
                <w:szCs w:val="20"/>
              </w:rPr>
              <w:t xml:space="preserve">2 - </w:t>
            </w:r>
            <w:r w:rsidRPr="007148F4">
              <w:rPr>
                <w:rFonts w:cs="Arial"/>
                <w:sz w:val="20"/>
                <w:szCs w:val="20"/>
              </w:rPr>
              <w:t>Retención y permanencia de estudiantes</w:t>
            </w:r>
            <w:r>
              <w:rPr>
                <w:rFonts w:cs="Arial"/>
                <w:sz w:val="20"/>
                <w:szCs w:val="20"/>
              </w:rPr>
              <w:t>.</w:t>
            </w:r>
          </w:p>
        </w:tc>
        <w:tc>
          <w:tcPr>
            <w:tcW w:w="2268" w:type="dxa"/>
            <w:tcBorders>
              <w:top w:val="single" w:sz="4" w:space="0" w:color="auto"/>
              <w:left w:val="single" w:sz="4" w:space="0" w:color="auto"/>
              <w:bottom w:val="single" w:sz="4" w:space="0" w:color="auto"/>
              <w:right w:val="single" w:sz="4" w:space="0" w:color="auto"/>
            </w:tcBorders>
            <w:shd w:val="clear" w:color="FFFFFF" w:fill="FFFFFF"/>
          </w:tcPr>
          <w:p w14:paraId="64A8B554" w14:textId="77777777" w:rsidR="00E23746" w:rsidRPr="00574DAC" w:rsidRDefault="00E23746" w:rsidP="000B2F10">
            <w:pPr>
              <w:rPr>
                <w:rFonts w:cs="Arial"/>
                <w:sz w:val="20"/>
                <w:szCs w:val="20"/>
              </w:rPr>
            </w:pPr>
            <w:r>
              <w:rPr>
                <w:rFonts w:cs="Arial"/>
                <w:sz w:val="20"/>
                <w:szCs w:val="20"/>
              </w:rPr>
              <w:t>C01A02</w:t>
            </w:r>
            <w:r w:rsidRPr="00574DAC">
              <w:rPr>
                <w:rFonts w:cs="Arial"/>
                <w:sz w:val="20"/>
                <w:szCs w:val="20"/>
              </w:rPr>
              <w:t xml:space="preserve"> -</w:t>
            </w:r>
            <w:r>
              <w:t xml:space="preserve"> </w:t>
            </w:r>
            <w:r w:rsidRPr="007148F4">
              <w:rPr>
                <w:rFonts w:cs="Arial"/>
                <w:sz w:val="20"/>
                <w:szCs w:val="20"/>
              </w:rPr>
              <w:t>Tasa de retención</w:t>
            </w:r>
            <w:r>
              <w:rPr>
                <w:rFonts w:cs="Arial"/>
                <w:sz w:val="20"/>
                <w:szCs w:val="20"/>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7413CE5" w14:textId="77777777" w:rsidR="00E23746" w:rsidRPr="00DD34FD" w:rsidRDefault="00E23746" w:rsidP="000B2F10">
            <w:pPr>
              <w:rPr>
                <w:rFonts w:cs="Arial"/>
                <w:sz w:val="20"/>
                <w:szCs w:val="20"/>
              </w:rPr>
            </w:pPr>
            <w:r w:rsidRPr="00083B82">
              <w:rPr>
                <w:rFonts w:cs="Arial"/>
                <w:sz w:val="20"/>
                <w:szCs w:val="20"/>
              </w:rPr>
              <w:t>Indicadores de la Universidad Politécnica de Bacalar (Departamento de Servicios Escolares) http://www.upb.edu.mx/indicadores/2020-2021</w:t>
            </w:r>
            <w:r>
              <w:rPr>
                <w:rFonts w:cs="Arial"/>
                <w:sz w:val="20"/>
                <w:szCs w:val="20"/>
              </w:rPr>
              <w:t>.</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5CC9EDD0" w14:textId="77777777" w:rsidR="00E23746" w:rsidRPr="00DD34FD" w:rsidRDefault="00E23746" w:rsidP="000B2F10">
            <w:pPr>
              <w:rPr>
                <w:rFonts w:cs="Arial"/>
                <w:sz w:val="20"/>
                <w:szCs w:val="20"/>
              </w:rPr>
            </w:pPr>
            <w:r w:rsidRPr="00134CF1">
              <w:rPr>
                <w:rFonts w:cs="Arial"/>
                <w:sz w:val="20"/>
                <w:szCs w:val="20"/>
              </w:rPr>
              <w:t>Alumnos continúan sus compromisos académicos.</w:t>
            </w:r>
          </w:p>
        </w:tc>
      </w:tr>
    </w:tbl>
    <w:p w14:paraId="4D181856" w14:textId="77777777" w:rsidR="0080241C" w:rsidRDefault="0080241C">
      <w:pPr>
        <w:spacing w:after="0" w:line="240" w:lineRule="auto"/>
        <w:jc w:val="left"/>
      </w:pPr>
      <w:r>
        <w:br w:type="page"/>
      </w:r>
    </w:p>
    <w:tbl>
      <w:tblPr>
        <w:tblW w:w="14029" w:type="dxa"/>
        <w:tblLayout w:type="fixed"/>
        <w:tblCellMar>
          <w:left w:w="70" w:type="dxa"/>
          <w:right w:w="70" w:type="dxa"/>
        </w:tblCellMar>
        <w:tblLook w:val="04A0" w:firstRow="1" w:lastRow="0" w:firstColumn="1" w:lastColumn="0" w:noHBand="0" w:noVBand="1"/>
      </w:tblPr>
      <w:tblGrid>
        <w:gridCol w:w="1413"/>
        <w:gridCol w:w="2693"/>
        <w:gridCol w:w="2835"/>
        <w:gridCol w:w="2268"/>
        <w:gridCol w:w="2835"/>
        <w:gridCol w:w="1985"/>
      </w:tblGrid>
      <w:tr w:rsidR="00E23746" w:rsidRPr="00FD08F8" w14:paraId="56A37752" w14:textId="77777777" w:rsidTr="00BE5E45">
        <w:trPr>
          <w:trHeight w:val="679"/>
        </w:trPr>
        <w:tc>
          <w:tcPr>
            <w:tcW w:w="1413"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46EB899A"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lastRenderedPageBreak/>
              <w:t>NIVEL</w:t>
            </w:r>
          </w:p>
        </w:tc>
        <w:tc>
          <w:tcPr>
            <w:tcW w:w="2693" w:type="dxa"/>
            <w:tcBorders>
              <w:top w:val="single" w:sz="4" w:space="0" w:color="auto"/>
              <w:left w:val="nil"/>
              <w:bottom w:val="single" w:sz="4" w:space="0" w:color="auto"/>
              <w:right w:val="single" w:sz="4" w:space="0" w:color="auto"/>
            </w:tcBorders>
            <w:shd w:val="clear" w:color="000000" w:fill="BFBFBF"/>
            <w:vAlign w:val="center"/>
            <w:hideMark/>
          </w:tcPr>
          <w:p w14:paraId="550AC5D1"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ALINEACIÓN PED/PD</w:t>
            </w:r>
          </w:p>
        </w:tc>
        <w:tc>
          <w:tcPr>
            <w:tcW w:w="2835" w:type="dxa"/>
            <w:tcBorders>
              <w:top w:val="single" w:sz="4" w:space="0" w:color="auto"/>
              <w:left w:val="nil"/>
              <w:bottom w:val="single" w:sz="4" w:space="0" w:color="auto"/>
              <w:right w:val="single" w:sz="4" w:space="0" w:color="auto"/>
            </w:tcBorders>
            <w:shd w:val="clear" w:color="000000" w:fill="BFBFBF"/>
            <w:vAlign w:val="center"/>
            <w:hideMark/>
          </w:tcPr>
          <w:p w14:paraId="1953B9D8"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OBJETIVO</w:t>
            </w:r>
          </w:p>
        </w:tc>
        <w:tc>
          <w:tcPr>
            <w:tcW w:w="2268" w:type="dxa"/>
            <w:tcBorders>
              <w:top w:val="single" w:sz="4" w:space="0" w:color="auto"/>
              <w:left w:val="nil"/>
              <w:bottom w:val="single" w:sz="4" w:space="0" w:color="auto"/>
              <w:right w:val="single" w:sz="4" w:space="0" w:color="auto"/>
            </w:tcBorders>
            <w:shd w:val="clear" w:color="000000" w:fill="BFBFBF"/>
            <w:vAlign w:val="center"/>
            <w:hideMark/>
          </w:tcPr>
          <w:p w14:paraId="3C0D61EB"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INDICADOR</w:t>
            </w:r>
          </w:p>
        </w:tc>
        <w:tc>
          <w:tcPr>
            <w:tcW w:w="2835" w:type="dxa"/>
            <w:tcBorders>
              <w:top w:val="single" w:sz="4" w:space="0" w:color="auto"/>
              <w:left w:val="nil"/>
              <w:bottom w:val="single" w:sz="4" w:space="0" w:color="auto"/>
              <w:right w:val="single" w:sz="4" w:space="0" w:color="auto"/>
            </w:tcBorders>
            <w:shd w:val="clear" w:color="000000" w:fill="BFBFBF"/>
            <w:vAlign w:val="center"/>
            <w:hideMark/>
          </w:tcPr>
          <w:p w14:paraId="68725507"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MEDIOS DE VERIFICACIÓN</w:t>
            </w:r>
          </w:p>
        </w:tc>
        <w:tc>
          <w:tcPr>
            <w:tcW w:w="1985" w:type="dxa"/>
            <w:tcBorders>
              <w:top w:val="single" w:sz="4" w:space="0" w:color="auto"/>
              <w:left w:val="nil"/>
              <w:bottom w:val="single" w:sz="4" w:space="0" w:color="auto"/>
              <w:right w:val="single" w:sz="4" w:space="0" w:color="auto"/>
            </w:tcBorders>
            <w:shd w:val="clear" w:color="000000" w:fill="BFBFBF"/>
            <w:vAlign w:val="center"/>
            <w:hideMark/>
          </w:tcPr>
          <w:p w14:paraId="0534D386"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SUPUESTO</w:t>
            </w:r>
          </w:p>
        </w:tc>
      </w:tr>
      <w:tr w:rsidR="00E23746" w:rsidRPr="00FD08F8" w14:paraId="5652444E" w14:textId="77777777" w:rsidTr="00BE5E45">
        <w:trPr>
          <w:trHeight w:val="1672"/>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5825751B"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Actividad</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00A715D" w14:textId="77777777" w:rsidR="00E23746" w:rsidRPr="00D20F98" w:rsidRDefault="00E23746" w:rsidP="000B2F10">
            <w:pPr>
              <w:rPr>
                <w:rFonts w:cs="Arial"/>
                <w:sz w:val="20"/>
                <w:szCs w:val="20"/>
              </w:rPr>
            </w:pPr>
            <w:r w:rsidRPr="005224A7">
              <w:rPr>
                <w:rFonts w:cs="Arial"/>
                <w:sz w:val="20"/>
                <w:szCs w:val="20"/>
              </w:rPr>
              <w:t>Fortalecer la investigación básica y aplicada con la participación de los estudiantes de educación superior.</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BABCD7C" w14:textId="77777777" w:rsidR="00E23746" w:rsidRPr="00574DAC" w:rsidRDefault="00E23746" w:rsidP="000B2F10">
            <w:pPr>
              <w:rPr>
                <w:rFonts w:cs="Arial"/>
                <w:sz w:val="20"/>
                <w:szCs w:val="20"/>
              </w:rPr>
            </w:pPr>
            <w:r w:rsidRPr="00574DAC">
              <w:rPr>
                <w:rFonts w:cs="Arial"/>
                <w:sz w:val="20"/>
                <w:szCs w:val="20"/>
              </w:rPr>
              <w:t>C01.A0</w:t>
            </w:r>
            <w:r>
              <w:rPr>
                <w:rFonts w:cs="Arial"/>
                <w:sz w:val="20"/>
                <w:szCs w:val="20"/>
              </w:rPr>
              <w:t>3 -</w:t>
            </w:r>
            <w:r w:rsidRPr="00AB41EF">
              <w:rPr>
                <w:rFonts w:cs="Arial"/>
                <w:sz w:val="20"/>
                <w:szCs w:val="20"/>
              </w:rPr>
              <w:t>Impartición de conocimientos teóricos y prácticos en el estudiante</w:t>
            </w:r>
            <w:r>
              <w:rPr>
                <w:rFonts w:cs="Arial"/>
                <w:sz w:val="20"/>
                <w:szCs w:val="20"/>
              </w:rPr>
              <w:t>.</w:t>
            </w:r>
          </w:p>
        </w:tc>
        <w:tc>
          <w:tcPr>
            <w:tcW w:w="2268" w:type="dxa"/>
            <w:tcBorders>
              <w:top w:val="single" w:sz="4" w:space="0" w:color="auto"/>
              <w:left w:val="single" w:sz="4" w:space="0" w:color="auto"/>
              <w:bottom w:val="single" w:sz="4" w:space="0" w:color="auto"/>
              <w:right w:val="single" w:sz="4" w:space="0" w:color="auto"/>
            </w:tcBorders>
            <w:shd w:val="clear" w:color="FFFFFF" w:fill="FFFFFF"/>
          </w:tcPr>
          <w:p w14:paraId="28F6D994" w14:textId="77777777" w:rsidR="00E23746" w:rsidRPr="00574DAC" w:rsidRDefault="00E23746" w:rsidP="000B2F10">
            <w:pPr>
              <w:rPr>
                <w:rFonts w:cs="Arial"/>
                <w:sz w:val="20"/>
                <w:szCs w:val="20"/>
              </w:rPr>
            </w:pPr>
            <w:r>
              <w:rPr>
                <w:rFonts w:cs="Arial"/>
                <w:sz w:val="20"/>
                <w:szCs w:val="20"/>
              </w:rPr>
              <w:t>C01A03</w:t>
            </w:r>
            <w:r w:rsidRPr="00574DAC">
              <w:rPr>
                <w:rFonts w:cs="Arial"/>
                <w:sz w:val="20"/>
                <w:szCs w:val="20"/>
              </w:rPr>
              <w:t xml:space="preserve"> -</w:t>
            </w:r>
            <w:r w:rsidRPr="00833418">
              <w:rPr>
                <w:rFonts w:cs="Arial"/>
                <w:sz w:val="20"/>
                <w:szCs w:val="20"/>
              </w:rPr>
              <w:t>Aprovechamiento Escolar</w:t>
            </w:r>
            <w:r>
              <w:rPr>
                <w:rFonts w:cs="Arial"/>
                <w:sz w:val="20"/>
                <w:szCs w:val="20"/>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105B9D7" w14:textId="77777777" w:rsidR="00E23746" w:rsidRPr="00DD34FD" w:rsidRDefault="00E23746" w:rsidP="000B2F10">
            <w:pPr>
              <w:rPr>
                <w:rFonts w:cs="Arial"/>
                <w:sz w:val="20"/>
                <w:szCs w:val="20"/>
              </w:rPr>
            </w:pPr>
            <w:r w:rsidRPr="001F7814">
              <w:rPr>
                <w:rFonts w:cs="Arial"/>
                <w:sz w:val="20"/>
                <w:szCs w:val="20"/>
              </w:rPr>
              <w:t>Indicadores de la Universidad Politécnica de Bacalar (Departamento de Servicios Escolares) http://www.upb.edu.mx/indicadores/2020-2021</w:t>
            </w:r>
            <w:r>
              <w:rPr>
                <w:rFonts w:cs="Arial"/>
                <w:sz w:val="20"/>
                <w:szCs w:val="20"/>
              </w:rPr>
              <w:t>.</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3B733FC" w14:textId="77777777" w:rsidR="00E23746" w:rsidRPr="00DD34FD" w:rsidRDefault="00E23746" w:rsidP="000B2F10">
            <w:pPr>
              <w:rPr>
                <w:rFonts w:cs="Arial"/>
                <w:sz w:val="20"/>
                <w:szCs w:val="20"/>
              </w:rPr>
            </w:pPr>
            <w:r w:rsidRPr="00611905">
              <w:rPr>
                <w:rFonts w:cs="Arial"/>
                <w:sz w:val="20"/>
                <w:szCs w:val="20"/>
              </w:rPr>
              <w:t>Alumnos asisten a sus clases.</w:t>
            </w:r>
          </w:p>
        </w:tc>
      </w:tr>
      <w:tr w:rsidR="00E23746" w:rsidRPr="00FD08F8" w14:paraId="379237ED" w14:textId="77777777" w:rsidTr="00BE5E45">
        <w:trPr>
          <w:trHeight w:val="1514"/>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2D13449F"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Actividad</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73C4AE5" w14:textId="77777777" w:rsidR="00E23746" w:rsidRPr="00D20F98" w:rsidRDefault="00E23746" w:rsidP="000B2F10">
            <w:pPr>
              <w:rPr>
                <w:rFonts w:cs="Arial"/>
                <w:sz w:val="20"/>
                <w:szCs w:val="20"/>
              </w:rPr>
            </w:pPr>
            <w:r w:rsidRPr="005224A7">
              <w:rPr>
                <w:rFonts w:cs="Arial"/>
                <w:sz w:val="20"/>
                <w:szCs w:val="20"/>
              </w:rPr>
              <w:t>Fortalecer la oferta educativa de las Instituciones de Educación Superior para asegurar la pertinencia con base en las necesidades de la entidad.</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F1229CE" w14:textId="77777777" w:rsidR="00E23746" w:rsidRPr="00574DAC" w:rsidRDefault="00E23746" w:rsidP="000B2F10">
            <w:pPr>
              <w:rPr>
                <w:rFonts w:cs="Arial"/>
                <w:sz w:val="20"/>
                <w:szCs w:val="20"/>
              </w:rPr>
            </w:pPr>
            <w:r w:rsidRPr="00574DAC">
              <w:rPr>
                <w:rFonts w:cs="Arial"/>
                <w:sz w:val="20"/>
                <w:szCs w:val="20"/>
              </w:rPr>
              <w:t>C01.A0</w:t>
            </w:r>
            <w:r>
              <w:rPr>
                <w:rFonts w:cs="Arial"/>
                <w:sz w:val="20"/>
                <w:szCs w:val="20"/>
              </w:rPr>
              <w:t>4 -</w:t>
            </w:r>
            <w:r w:rsidRPr="00AB41EF">
              <w:rPr>
                <w:rFonts w:cs="Arial"/>
                <w:sz w:val="20"/>
                <w:szCs w:val="20"/>
              </w:rPr>
              <w:t>Participación de estudiantes en actividades relacionadas con vida saludable (deporte, cultura, salud, liderazgo)</w:t>
            </w:r>
            <w:r>
              <w:rPr>
                <w:rFonts w:cs="Arial"/>
                <w:sz w:val="20"/>
                <w:szCs w:val="20"/>
              </w:rPr>
              <w:t>.</w:t>
            </w:r>
          </w:p>
        </w:tc>
        <w:tc>
          <w:tcPr>
            <w:tcW w:w="2268" w:type="dxa"/>
            <w:tcBorders>
              <w:top w:val="single" w:sz="4" w:space="0" w:color="auto"/>
              <w:left w:val="single" w:sz="4" w:space="0" w:color="auto"/>
              <w:bottom w:val="single" w:sz="4" w:space="0" w:color="auto"/>
              <w:right w:val="single" w:sz="4" w:space="0" w:color="auto"/>
            </w:tcBorders>
            <w:shd w:val="clear" w:color="FFFFFF" w:fill="FFFFFF"/>
          </w:tcPr>
          <w:p w14:paraId="36DA8BEB" w14:textId="77777777" w:rsidR="00E23746" w:rsidRDefault="00E23746" w:rsidP="000B2F10">
            <w:pPr>
              <w:rPr>
                <w:rFonts w:cs="Arial"/>
                <w:sz w:val="20"/>
                <w:szCs w:val="20"/>
              </w:rPr>
            </w:pPr>
            <w:r>
              <w:rPr>
                <w:rFonts w:cs="Arial"/>
                <w:sz w:val="20"/>
                <w:szCs w:val="20"/>
              </w:rPr>
              <w:t>C01A04</w:t>
            </w:r>
            <w:r w:rsidRPr="00574DAC">
              <w:rPr>
                <w:rFonts w:cs="Arial"/>
                <w:sz w:val="20"/>
                <w:szCs w:val="20"/>
              </w:rPr>
              <w:t xml:space="preserve"> -</w:t>
            </w:r>
            <w:r w:rsidRPr="00833418">
              <w:rPr>
                <w:rFonts w:cs="Arial"/>
                <w:sz w:val="20"/>
                <w:szCs w:val="20"/>
              </w:rPr>
              <w:t>Porcentaje de estudiantes participando en actividades deportivas y culturales</w:t>
            </w:r>
            <w:r>
              <w:rPr>
                <w:rFonts w:cs="Arial"/>
                <w:sz w:val="20"/>
                <w:szCs w:val="20"/>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936862B" w14:textId="77777777" w:rsidR="00E23746" w:rsidRPr="00DD34FD" w:rsidRDefault="00E23746" w:rsidP="000B2F10">
            <w:pPr>
              <w:rPr>
                <w:rFonts w:cs="Arial"/>
                <w:sz w:val="20"/>
                <w:szCs w:val="20"/>
              </w:rPr>
            </w:pPr>
            <w:r w:rsidRPr="001F7814">
              <w:rPr>
                <w:rFonts w:cs="Arial"/>
                <w:sz w:val="20"/>
                <w:szCs w:val="20"/>
              </w:rPr>
              <w:t>Indicadores de la Universidad Politécnica de Bacalar (Departamento de Servicios Escolares) http://www.upb.edu.mx/indicadores/2020-2021</w:t>
            </w:r>
            <w:r>
              <w:rPr>
                <w:rFonts w:cs="Arial"/>
                <w:sz w:val="20"/>
                <w:szCs w:val="20"/>
              </w:rPr>
              <w:t>.</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BC60A9F" w14:textId="77777777" w:rsidR="00E23746" w:rsidRPr="00DD34FD" w:rsidRDefault="00E23746" w:rsidP="000B2F10">
            <w:pPr>
              <w:rPr>
                <w:rFonts w:cs="Arial"/>
                <w:sz w:val="20"/>
                <w:szCs w:val="20"/>
              </w:rPr>
            </w:pPr>
            <w:r w:rsidRPr="00611905">
              <w:rPr>
                <w:rFonts w:cs="Arial"/>
                <w:sz w:val="20"/>
                <w:szCs w:val="20"/>
              </w:rPr>
              <w:t>Existen convocatorias para torneos deportivos y eventos culturales por parte del estado y la federación.</w:t>
            </w:r>
          </w:p>
        </w:tc>
      </w:tr>
      <w:tr w:rsidR="00E23746" w:rsidRPr="00C039B7" w14:paraId="65C89EB4" w14:textId="77777777" w:rsidTr="00BE5E45">
        <w:trPr>
          <w:trHeight w:val="551"/>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7F78417B" w14:textId="77777777" w:rsidR="00E23746" w:rsidRPr="00FD08F8" w:rsidRDefault="00E23746" w:rsidP="000B2F10">
            <w:pPr>
              <w:spacing w:after="0" w:line="240" w:lineRule="auto"/>
              <w:jc w:val="center"/>
              <w:rPr>
                <w:rFonts w:eastAsia="Times New Roman" w:cs="Arial"/>
                <w:b/>
                <w:bCs/>
                <w:sz w:val="20"/>
                <w:szCs w:val="20"/>
                <w:lang w:val="es-MX" w:eastAsia="es-MX"/>
              </w:rPr>
            </w:pPr>
            <w:r>
              <w:rPr>
                <w:rFonts w:eastAsia="Times New Roman" w:cs="Arial"/>
                <w:b/>
                <w:bCs/>
                <w:sz w:val="20"/>
                <w:szCs w:val="20"/>
                <w:lang w:val="es-MX" w:eastAsia="es-MX"/>
              </w:rPr>
              <w:t>Componente</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3750957" w14:textId="77777777" w:rsidR="00E23746" w:rsidRPr="00C039B7" w:rsidRDefault="00E23746" w:rsidP="000B2F10">
            <w:pPr>
              <w:rPr>
                <w:rFonts w:cs="Arial"/>
                <w:sz w:val="18"/>
                <w:szCs w:val="20"/>
              </w:rPr>
            </w:pPr>
            <w:r w:rsidRPr="00C039B7">
              <w:rPr>
                <w:rFonts w:cs="Arial"/>
                <w:sz w:val="18"/>
                <w:szCs w:val="20"/>
              </w:rPr>
              <w:t>Impulsar la acreditación y evaluación de los planes y programas de estudio de educación superior por organismos externos reconocidos a nivel nacional e internacional.</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BF4199B" w14:textId="77777777" w:rsidR="00E23746" w:rsidRPr="00C039B7" w:rsidRDefault="00E23746" w:rsidP="000B2F10">
            <w:pPr>
              <w:rPr>
                <w:rFonts w:cs="Arial"/>
                <w:sz w:val="18"/>
                <w:szCs w:val="20"/>
              </w:rPr>
            </w:pPr>
            <w:r w:rsidRPr="00C039B7">
              <w:rPr>
                <w:rFonts w:cs="Arial"/>
                <w:sz w:val="18"/>
                <w:szCs w:val="20"/>
              </w:rPr>
              <w:t>C02 -</w:t>
            </w:r>
            <w:r w:rsidRPr="00C039B7">
              <w:rPr>
                <w:sz w:val="18"/>
              </w:rPr>
              <w:t xml:space="preserve"> </w:t>
            </w:r>
            <w:r w:rsidRPr="00C039B7">
              <w:rPr>
                <w:rFonts w:cs="Arial"/>
                <w:sz w:val="18"/>
                <w:szCs w:val="20"/>
              </w:rPr>
              <w:t>Programas Educativos Evaluables de calidad ofertados</w:t>
            </w:r>
          </w:p>
        </w:tc>
        <w:tc>
          <w:tcPr>
            <w:tcW w:w="2268" w:type="dxa"/>
            <w:tcBorders>
              <w:top w:val="single" w:sz="4" w:space="0" w:color="auto"/>
              <w:left w:val="single" w:sz="4" w:space="0" w:color="auto"/>
              <w:bottom w:val="single" w:sz="4" w:space="0" w:color="auto"/>
              <w:right w:val="single" w:sz="4" w:space="0" w:color="auto"/>
            </w:tcBorders>
            <w:shd w:val="clear" w:color="FFFFFF" w:fill="FFFFFF"/>
          </w:tcPr>
          <w:p w14:paraId="5E8748B1" w14:textId="77777777" w:rsidR="00E23746" w:rsidRPr="00C039B7" w:rsidRDefault="00E23746" w:rsidP="000B2F10">
            <w:pPr>
              <w:rPr>
                <w:rFonts w:cs="Arial"/>
                <w:sz w:val="18"/>
                <w:szCs w:val="20"/>
              </w:rPr>
            </w:pPr>
            <w:r w:rsidRPr="00C039B7">
              <w:rPr>
                <w:rFonts w:cs="Arial"/>
                <w:sz w:val="18"/>
                <w:szCs w:val="20"/>
              </w:rPr>
              <w:t>C02 -</w:t>
            </w:r>
            <w:r w:rsidRPr="00C039B7">
              <w:rPr>
                <w:sz w:val="18"/>
              </w:rPr>
              <w:t xml:space="preserve"> </w:t>
            </w:r>
            <w:r w:rsidRPr="00C039B7">
              <w:rPr>
                <w:rFonts w:cs="Arial"/>
                <w:sz w:val="18"/>
                <w:szCs w:val="20"/>
              </w:rPr>
              <w:t>Porcentaje de Programas Educativos de Calidad</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6FC9209" w14:textId="77777777" w:rsidR="00E23746" w:rsidRPr="00C039B7" w:rsidRDefault="00E23746" w:rsidP="000B2F10">
            <w:pPr>
              <w:rPr>
                <w:rFonts w:cs="Arial"/>
                <w:sz w:val="18"/>
                <w:szCs w:val="20"/>
              </w:rPr>
            </w:pPr>
            <w:r w:rsidRPr="00C039B7">
              <w:rPr>
                <w:rFonts w:cs="Arial"/>
                <w:sz w:val="18"/>
                <w:szCs w:val="20"/>
              </w:rPr>
              <w:t>Certificado o constancias de los organismos evaluadores y/o Padrón emitido por la DGESU, Subsecretaría de Educación Superior, portal de la Subsecretaría que pública.</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27B0DAE" w14:textId="77777777" w:rsidR="00E23746" w:rsidRPr="00C039B7" w:rsidRDefault="00E23746" w:rsidP="000B2F10">
            <w:pPr>
              <w:rPr>
                <w:rFonts w:cs="Arial"/>
                <w:sz w:val="18"/>
                <w:szCs w:val="20"/>
              </w:rPr>
            </w:pPr>
            <w:r w:rsidRPr="00C039B7">
              <w:rPr>
                <w:rFonts w:cs="Arial"/>
                <w:sz w:val="18"/>
                <w:szCs w:val="20"/>
              </w:rPr>
              <w:t>La Calidad de la Educación Superior continúa siendo prioridad Nacional.</w:t>
            </w:r>
          </w:p>
        </w:tc>
      </w:tr>
      <w:tr w:rsidR="00E23746" w:rsidRPr="00FD08F8" w14:paraId="7E239D01" w14:textId="77777777" w:rsidTr="00BE5E45">
        <w:trPr>
          <w:trHeight w:val="551"/>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5C7D5F11"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Actividad</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0B4FCCC" w14:textId="77777777" w:rsidR="00E23746" w:rsidRPr="00D20F98" w:rsidRDefault="00E23746" w:rsidP="000B2F10">
            <w:pPr>
              <w:rPr>
                <w:rFonts w:cs="Arial"/>
                <w:sz w:val="20"/>
                <w:szCs w:val="20"/>
              </w:rPr>
            </w:pPr>
            <w:r w:rsidRPr="00067C22">
              <w:rPr>
                <w:rFonts w:cs="Arial"/>
                <w:sz w:val="20"/>
                <w:szCs w:val="20"/>
              </w:rPr>
              <w:t>Implementar programas de formación y actualización docente al interior de las Instituciones de Educación Superior.</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A52EDFC" w14:textId="77777777" w:rsidR="00E23746" w:rsidRPr="00574DAC" w:rsidRDefault="00E23746" w:rsidP="000B2F10">
            <w:pPr>
              <w:rPr>
                <w:rFonts w:cs="Arial"/>
                <w:sz w:val="20"/>
                <w:szCs w:val="20"/>
              </w:rPr>
            </w:pPr>
            <w:r>
              <w:rPr>
                <w:rFonts w:cs="Arial"/>
                <w:sz w:val="20"/>
                <w:szCs w:val="20"/>
              </w:rPr>
              <w:t>C02</w:t>
            </w:r>
            <w:r w:rsidRPr="00574DAC">
              <w:rPr>
                <w:rFonts w:cs="Arial"/>
                <w:sz w:val="20"/>
                <w:szCs w:val="20"/>
              </w:rPr>
              <w:t>.A0</w:t>
            </w:r>
            <w:r>
              <w:rPr>
                <w:rFonts w:cs="Arial"/>
                <w:sz w:val="20"/>
                <w:szCs w:val="20"/>
              </w:rPr>
              <w:t>1 -</w:t>
            </w:r>
            <w:r w:rsidRPr="006A4CAE">
              <w:rPr>
                <w:rFonts w:cs="Arial"/>
                <w:sz w:val="20"/>
                <w:szCs w:val="20"/>
              </w:rPr>
              <w:t>Fortalecimiento de la planta académica</w:t>
            </w:r>
            <w:r>
              <w:rPr>
                <w:rFonts w:cs="Arial"/>
                <w:sz w:val="20"/>
                <w:szCs w:val="20"/>
              </w:rPr>
              <w:t>.</w:t>
            </w:r>
          </w:p>
        </w:tc>
        <w:tc>
          <w:tcPr>
            <w:tcW w:w="2268" w:type="dxa"/>
            <w:tcBorders>
              <w:top w:val="single" w:sz="4" w:space="0" w:color="auto"/>
              <w:left w:val="single" w:sz="4" w:space="0" w:color="auto"/>
              <w:bottom w:val="single" w:sz="4" w:space="0" w:color="auto"/>
              <w:right w:val="single" w:sz="4" w:space="0" w:color="auto"/>
            </w:tcBorders>
            <w:shd w:val="clear" w:color="FFFFFF" w:fill="FFFFFF"/>
          </w:tcPr>
          <w:p w14:paraId="6A80A826" w14:textId="77777777" w:rsidR="00E23746" w:rsidRDefault="00E23746" w:rsidP="000B2F10">
            <w:pPr>
              <w:rPr>
                <w:rFonts w:cs="Arial"/>
                <w:sz w:val="20"/>
                <w:szCs w:val="20"/>
              </w:rPr>
            </w:pPr>
            <w:r>
              <w:rPr>
                <w:rFonts w:cs="Arial"/>
                <w:sz w:val="20"/>
                <w:szCs w:val="20"/>
              </w:rPr>
              <w:t>C02A01</w:t>
            </w:r>
            <w:r w:rsidRPr="00574DAC">
              <w:rPr>
                <w:rFonts w:cs="Arial"/>
                <w:sz w:val="20"/>
                <w:szCs w:val="20"/>
              </w:rPr>
              <w:t xml:space="preserve"> -</w:t>
            </w:r>
            <w:r w:rsidRPr="003926E1">
              <w:rPr>
                <w:rFonts w:cs="Arial"/>
                <w:sz w:val="20"/>
                <w:szCs w:val="20"/>
              </w:rPr>
              <w:t>Porcentaje de profesores de tiempo completo(PTC) reconocidos con perfil PRODEP</w:t>
            </w:r>
            <w:r>
              <w:rPr>
                <w:rFonts w:cs="Arial"/>
                <w:sz w:val="20"/>
                <w:szCs w:val="20"/>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4BF9E35" w14:textId="77777777" w:rsidR="00E23746" w:rsidRPr="00DD34FD" w:rsidRDefault="00E23746" w:rsidP="000B2F10">
            <w:pPr>
              <w:rPr>
                <w:rFonts w:cs="Arial"/>
                <w:sz w:val="20"/>
                <w:szCs w:val="20"/>
              </w:rPr>
            </w:pPr>
            <w:r w:rsidRPr="00815C69">
              <w:rPr>
                <w:rFonts w:cs="Arial"/>
                <w:sz w:val="20"/>
                <w:szCs w:val="20"/>
              </w:rPr>
              <w:t>Informe Trimestral del Programa para el Desarrollo Profesional Docente (PRODEP) http://www.dgesu.ses.sep.gob.mx/PRODEP.htm</w:t>
            </w:r>
            <w:r>
              <w:rPr>
                <w:rFonts w:cs="Arial"/>
                <w:sz w:val="20"/>
                <w:szCs w:val="20"/>
              </w:rPr>
              <w:t>.</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6254061" w14:textId="77777777" w:rsidR="00E23746" w:rsidRPr="00DD34FD" w:rsidRDefault="00E23746" w:rsidP="000B2F10">
            <w:pPr>
              <w:rPr>
                <w:rFonts w:cs="Arial"/>
                <w:sz w:val="20"/>
                <w:szCs w:val="20"/>
              </w:rPr>
            </w:pPr>
            <w:r w:rsidRPr="00026F8E">
              <w:rPr>
                <w:rFonts w:cs="Arial"/>
                <w:sz w:val="20"/>
                <w:szCs w:val="20"/>
              </w:rPr>
              <w:t>Los PTC cumplen con los requisitos de la convocatoria.</w:t>
            </w:r>
          </w:p>
        </w:tc>
      </w:tr>
    </w:tbl>
    <w:p w14:paraId="262CD8B0" w14:textId="77777777" w:rsidR="0080241C" w:rsidRDefault="0080241C">
      <w:pPr>
        <w:spacing w:after="0" w:line="240" w:lineRule="auto"/>
        <w:jc w:val="left"/>
      </w:pPr>
      <w:r>
        <w:br w:type="page"/>
      </w:r>
    </w:p>
    <w:tbl>
      <w:tblPr>
        <w:tblW w:w="14029" w:type="dxa"/>
        <w:tblLayout w:type="fixed"/>
        <w:tblCellMar>
          <w:left w:w="70" w:type="dxa"/>
          <w:right w:w="70" w:type="dxa"/>
        </w:tblCellMar>
        <w:tblLook w:val="04A0" w:firstRow="1" w:lastRow="0" w:firstColumn="1" w:lastColumn="0" w:noHBand="0" w:noVBand="1"/>
      </w:tblPr>
      <w:tblGrid>
        <w:gridCol w:w="1413"/>
        <w:gridCol w:w="2693"/>
        <w:gridCol w:w="2835"/>
        <w:gridCol w:w="2268"/>
        <w:gridCol w:w="2835"/>
        <w:gridCol w:w="1985"/>
      </w:tblGrid>
      <w:tr w:rsidR="00E23746" w:rsidRPr="00FD08F8" w14:paraId="66E6B012" w14:textId="77777777" w:rsidTr="00BE5E45">
        <w:trPr>
          <w:trHeight w:val="679"/>
        </w:trPr>
        <w:tc>
          <w:tcPr>
            <w:tcW w:w="1413"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374B326A"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lastRenderedPageBreak/>
              <w:t>NIVEL</w:t>
            </w:r>
          </w:p>
        </w:tc>
        <w:tc>
          <w:tcPr>
            <w:tcW w:w="2693" w:type="dxa"/>
            <w:tcBorders>
              <w:top w:val="single" w:sz="4" w:space="0" w:color="auto"/>
              <w:left w:val="nil"/>
              <w:bottom w:val="single" w:sz="4" w:space="0" w:color="auto"/>
              <w:right w:val="single" w:sz="4" w:space="0" w:color="auto"/>
            </w:tcBorders>
            <w:shd w:val="clear" w:color="000000" w:fill="BFBFBF"/>
            <w:vAlign w:val="center"/>
            <w:hideMark/>
          </w:tcPr>
          <w:p w14:paraId="5AD9DA82"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ALINEACIÓN PED/PD</w:t>
            </w:r>
          </w:p>
        </w:tc>
        <w:tc>
          <w:tcPr>
            <w:tcW w:w="2835" w:type="dxa"/>
            <w:tcBorders>
              <w:top w:val="single" w:sz="4" w:space="0" w:color="auto"/>
              <w:left w:val="nil"/>
              <w:bottom w:val="single" w:sz="4" w:space="0" w:color="auto"/>
              <w:right w:val="single" w:sz="4" w:space="0" w:color="auto"/>
            </w:tcBorders>
            <w:shd w:val="clear" w:color="000000" w:fill="BFBFBF"/>
            <w:vAlign w:val="center"/>
            <w:hideMark/>
          </w:tcPr>
          <w:p w14:paraId="72A08A6F"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OBJETIVO</w:t>
            </w:r>
          </w:p>
        </w:tc>
        <w:tc>
          <w:tcPr>
            <w:tcW w:w="2268" w:type="dxa"/>
            <w:tcBorders>
              <w:top w:val="single" w:sz="4" w:space="0" w:color="auto"/>
              <w:left w:val="nil"/>
              <w:bottom w:val="single" w:sz="4" w:space="0" w:color="auto"/>
              <w:right w:val="single" w:sz="4" w:space="0" w:color="auto"/>
            </w:tcBorders>
            <w:shd w:val="clear" w:color="000000" w:fill="BFBFBF"/>
            <w:vAlign w:val="center"/>
            <w:hideMark/>
          </w:tcPr>
          <w:p w14:paraId="13EBC308"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INDICADOR</w:t>
            </w:r>
          </w:p>
        </w:tc>
        <w:tc>
          <w:tcPr>
            <w:tcW w:w="2835" w:type="dxa"/>
            <w:tcBorders>
              <w:top w:val="single" w:sz="4" w:space="0" w:color="auto"/>
              <w:left w:val="nil"/>
              <w:bottom w:val="single" w:sz="4" w:space="0" w:color="auto"/>
              <w:right w:val="single" w:sz="4" w:space="0" w:color="auto"/>
            </w:tcBorders>
            <w:shd w:val="clear" w:color="000000" w:fill="BFBFBF"/>
            <w:vAlign w:val="center"/>
            <w:hideMark/>
          </w:tcPr>
          <w:p w14:paraId="56A5C360"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MEDIOS DE VERIFICACIÓN</w:t>
            </w:r>
          </w:p>
        </w:tc>
        <w:tc>
          <w:tcPr>
            <w:tcW w:w="1985" w:type="dxa"/>
            <w:tcBorders>
              <w:top w:val="single" w:sz="4" w:space="0" w:color="auto"/>
              <w:left w:val="nil"/>
              <w:bottom w:val="single" w:sz="4" w:space="0" w:color="auto"/>
              <w:right w:val="single" w:sz="4" w:space="0" w:color="auto"/>
            </w:tcBorders>
            <w:shd w:val="clear" w:color="000000" w:fill="BFBFBF"/>
            <w:vAlign w:val="center"/>
            <w:hideMark/>
          </w:tcPr>
          <w:p w14:paraId="30451FEE"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SUPUESTO</w:t>
            </w:r>
          </w:p>
        </w:tc>
      </w:tr>
      <w:tr w:rsidR="00E23746" w:rsidRPr="00FD08F8" w14:paraId="18E3E3A3" w14:textId="77777777" w:rsidTr="00BE5E45">
        <w:trPr>
          <w:trHeight w:val="551"/>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3AFD8EBC"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Actividad</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C59A73A" w14:textId="77777777" w:rsidR="00E23746" w:rsidRPr="00D20F98" w:rsidRDefault="00E23746" w:rsidP="000B2F10">
            <w:pPr>
              <w:rPr>
                <w:rFonts w:cs="Arial"/>
                <w:sz w:val="20"/>
                <w:szCs w:val="20"/>
              </w:rPr>
            </w:pPr>
            <w:r w:rsidRPr="00067C22">
              <w:rPr>
                <w:rFonts w:cs="Arial"/>
                <w:sz w:val="20"/>
                <w:szCs w:val="20"/>
              </w:rPr>
              <w:t>Fortalecer la investigación básica y aplicada con la participación de los estudiantes de educación superior.</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6712940" w14:textId="77777777" w:rsidR="00E23746" w:rsidRPr="00574DAC" w:rsidRDefault="00E23746" w:rsidP="000B2F10">
            <w:pPr>
              <w:rPr>
                <w:rFonts w:cs="Arial"/>
                <w:sz w:val="20"/>
                <w:szCs w:val="20"/>
              </w:rPr>
            </w:pPr>
            <w:r>
              <w:rPr>
                <w:rFonts w:cs="Arial"/>
                <w:sz w:val="20"/>
                <w:szCs w:val="20"/>
              </w:rPr>
              <w:t>C02</w:t>
            </w:r>
            <w:r w:rsidRPr="00574DAC">
              <w:rPr>
                <w:rFonts w:cs="Arial"/>
                <w:sz w:val="20"/>
                <w:szCs w:val="20"/>
              </w:rPr>
              <w:t>.A0</w:t>
            </w:r>
            <w:r>
              <w:rPr>
                <w:rFonts w:cs="Arial"/>
                <w:sz w:val="20"/>
                <w:szCs w:val="20"/>
              </w:rPr>
              <w:t>2 -</w:t>
            </w:r>
            <w:r w:rsidRPr="006A4CAE">
              <w:rPr>
                <w:rFonts w:cs="Arial"/>
                <w:sz w:val="20"/>
                <w:szCs w:val="20"/>
              </w:rPr>
              <w:t>Fomento a la investigación</w:t>
            </w:r>
            <w:r>
              <w:rPr>
                <w:rFonts w:cs="Arial"/>
                <w:sz w:val="20"/>
                <w:szCs w:val="20"/>
              </w:rPr>
              <w:t>.</w:t>
            </w:r>
          </w:p>
        </w:tc>
        <w:tc>
          <w:tcPr>
            <w:tcW w:w="2268" w:type="dxa"/>
            <w:tcBorders>
              <w:top w:val="single" w:sz="4" w:space="0" w:color="auto"/>
              <w:left w:val="single" w:sz="4" w:space="0" w:color="auto"/>
              <w:bottom w:val="single" w:sz="4" w:space="0" w:color="auto"/>
              <w:right w:val="single" w:sz="4" w:space="0" w:color="auto"/>
            </w:tcBorders>
            <w:shd w:val="clear" w:color="FFFFFF" w:fill="FFFFFF"/>
          </w:tcPr>
          <w:p w14:paraId="3E48332C" w14:textId="77777777" w:rsidR="00E23746" w:rsidRDefault="00E23746" w:rsidP="000B2F10">
            <w:pPr>
              <w:rPr>
                <w:rFonts w:cs="Arial"/>
                <w:sz w:val="20"/>
                <w:szCs w:val="20"/>
              </w:rPr>
            </w:pPr>
            <w:r>
              <w:rPr>
                <w:rFonts w:cs="Arial"/>
                <w:sz w:val="20"/>
                <w:szCs w:val="20"/>
              </w:rPr>
              <w:t>C02A02</w:t>
            </w:r>
            <w:r w:rsidRPr="00574DAC">
              <w:rPr>
                <w:rFonts w:cs="Arial"/>
                <w:sz w:val="20"/>
                <w:szCs w:val="20"/>
              </w:rPr>
              <w:t xml:space="preserve"> -</w:t>
            </w:r>
            <w:r w:rsidRPr="003926E1">
              <w:rPr>
                <w:rFonts w:cs="Arial"/>
                <w:sz w:val="20"/>
                <w:szCs w:val="20"/>
              </w:rPr>
              <w:t>Porcentaje de participación de PTC en convocatorias del PRODEP</w:t>
            </w:r>
            <w:r>
              <w:rPr>
                <w:rFonts w:cs="Arial"/>
                <w:sz w:val="20"/>
                <w:szCs w:val="20"/>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2DFFE4A" w14:textId="77777777" w:rsidR="00E23746" w:rsidRPr="00DD34FD" w:rsidRDefault="00E23746" w:rsidP="000B2F10">
            <w:pPr>
              <w:rPr>
                <w:rFonts w:cs="Arial"/>
                <w:sz w:val="20"/>
                <w:szCs w:val="20"/>
              </w:rPr>
            </w:pPr>
            <w:r w:rsidRPr="00037C12">
              <w:rPr>
                <w:rFonts w:cs="Arial"/>
                <w:sz w:val="20"/>
                <w:szCs w:val="20"/>
              </w:rPr>
              <w:t>Informe Trimestral del Programa para el Desarrollo Profesional Docente (PRODEP) http://www.dgesu.ses.sep.gob.mx/PRODEP.htm</w:t>
            </w:r>
            <w:r>
              <w:rPr>
                <w:rFonts w:cs="Arial"/>
                <w:sz w:val="20"/>
                <w:szCs w:val="20"/>
              </w:rPr>
              <w:t>.</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62B5EE3" w14:textId="77777777" w:rsidR="00E23746" w:rsidRPr="00DD34FD" w:rsidRDefault="00E23746" w:rsidP="000B2F10">
            <w:pPr>
              <w:rPr>
                <w:rFonts w:cs="Arial"/>
                <w:sz w:val="20"/>
                <w:szCs w:val="20"/>
              </w:rPr>
            </w:pPr>
            <w:r w:rsidRPr="00026F8E">
              <w:rPr>
                <w:rFonts w:cs="Arial"/>
                <w:sz w:val="20"/>
                <w:szCs w:val="20"/>
              </w:rPr>
              <w:t>Activa  participación de Profesores de Tiempo Completo en convocatorias de investigación.</w:t>
            </w:r>
          </w:p>
        </w:tc>
      </w:tr>
      <w:tr w:rsidR="00E23746" w:rsidRPr="00FD08F8" w14:paraId="16E6EEB4" w14:textId="77777777" w:rsidTr="00BE5E45">
        <w:trPr>
          <w:trHeight w:val="551"/>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79A0AE64"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Actividad</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44F2BCA" w14:textId="77777777" w:rsidR="00E23746" w:rsidRPr="00D20F98" w:rsidRDefault="00E23746" w:rsidP="000B2F10">
            <w:pPr>
              <w:rPr>
                <w:rFonts w:cs="Arial"/>
                <w:sz w:val="20"/>
                <w:szCs w:val="20"/>
              </w:rPr>
            </w:pPr>
            <w:r w:rsidRPr="00067C22">
              <w:rPr>
                <w:rFonts w:cs="Arial"/>
                <w:sz w:val="20"/>
                <w:szCs w:val="20"/>
              </w:rPr>
              <w:t>Impulsar la acreditación y evaluación de los planes y programas de estudio de educación superior por organismos externos reconocidos a nivel nacional e internacional.</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C4FA8CC" w14:textId="77777777" w:rsidR="00E23746" w:rsidRPr="00574DAC" w:rsidRDefault="00E23746" w:rsidP="000B2F10">
            <w:pPr>
              <w:rPr>
                <w:rFonts w:cs="Arial"/>
                <w:sz w:val="20"/>
                <w:szCs w:val="20"/>
              </w:rPr>
            </w:pPr>
            <w:r>
              <w:rPr>
                <w:rFonts w:cs="Arial"/>
                <w:sz w:val="20"/>
                <w:szCs w:val="20"/>
              </w:rPr>
              <w:t>C02</w:t>
            </w:r>
            <w:r w:rsidRPr="00574DAC">
              <w:rPr>
                <w:rFonts w:cs="Arial"/>
                <w:sz w:val="20"/>
                <w:szCs w:val="20"/>
              </w:rPr>
              <w:t>.A0</w:t>
            </w:r>
            <w:r>
              <w:rPr>
                <w:rFonts w:cs="Arial"/>
                <w:sz w:val="20"/>
                <w:szCs w:val="20"/>
              </w:rPr>
              <w:t>3 -</w:t>
            </w:r>
            <w:r w:rsidRPr="006A4CAE">
              <w:rPr>
                <w:rFonts w:cs="Arial"/>
                <w:sz w:val="20"/>
                <w:szCs w:val="20"/>
              </w:rPr>
              <w:t>Revisión y Actualización de Planes de Estudios</w:t>
            </w:r>
            <w:r>
              <w:rPr>
                <w:rFonts w:cs="Arial"/>
                <w:sz w:val="20"/>
                <w:szCs w:val="20"/>
              </w:rPr>
              <w:t>.</w:t>
            </w:r>
          </w:p>
        </w:tc>
        <w:tc>
          <w:tcPr>
            <w:tcW w:w="2268" w:type="dxa"/>
            <w:tcBorders>
              <w:top w:val="single" w:sz="4" w:space="0" w:color="auto"/>
              <w:left w:val="single" w:sz="4" w:space="0" w:color="auto"/>
              <w:bottom w:val="single" w:sz="4" w:space="0" w:color="auto"/>
              <w:right w:val="single" w:sz="4" w:space="0" w:color="auto"/>
            </w:tcBorders>
            <w:shd w:val="clear" w:color="FFFFFF" w:fill="FFFFFF"/>
          </w:tcPr>
          <w:p w14:paraId="670B475D" w14:textId="77777777" w:rsidR="00E23746" w:rsidRDefault="00E23746" w:rsidP="000B2F10">
            <w:pPr>
              <w:rPr>
                <w:rFonts w:cs="Arial"/>
                <w:sz w:val="20"/>
                <w:szCs w:val="20"/>
              </w:rPr>
            </w:pPr>
            <w:r>
              <w:rPr>
                <w:rFonts w:cs="Arial"/>
                <w:sz w:val="20"/>
                <w:szCs w:val="20"/>
              </w:rPr>
              <w:t>C02A03</w:t>
            </w:r>
            <w:r w:rsidRPr="00574DAC">
              <w:rPr>
                <w:rFonts w:cs="Arial"/>
                <w:sz w:val="20"/>
                <w:szCs w:val="20"/>
              </w:rPr>
              <w:t xml:space="preserve"> -</w:t>
            </w:r>
            <w:r w:rsidRPr="003926E1">
              <w:rPr>
                <w:rFonts w:cs="Arial"/>
                <w:sz w:val="20"/>
                <w:szCs w:val="20"/>
              </w:rPr>
              <w:t>Porcentaje de Planes de estudio Actualizados</w:t>
            </w:r>
            <w:r>
              <w:rPr>
                <w:rFonts w:cs="Arial"/>
                <w:sz w:val="20"/>
                <w:szCs w:val="20"/>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6BDAFE6" w14:textId="77777777" w:rsidR="00E23746" w:rsidRPr="00DD34FD" w:rsidRDefault="00E23746" w:rsidP="000B2F10">
            <w:pPr>
              <w:rPr>
                <w:rFonts w:cs="Arial"/>
                <w:sz w:val="20"/>
                <w:szCs w:val="20"/>
              </w:rPr>
            </w:pPr>
            <w:r w:rsidRPr="00037C12">
              <w:rPr>
                <w:rFonts w:cs="Arial"/>
                <w:sz w:val="20"/>
                <w:szCs w:val="20"/>
              </w:rPr>
              <w:t>Indicadores de la Universidad Politécnica de Bacalar (Secretaría Académica)</w:t>
            </w:r>
            <w:r>
              <w:rPr>
                <w:rFonts w:cs="Arial"/>
                <w:sz w:val="20"/>
                <w:szCs w:val="20"/>
              </w:rPr>
              <w:t xml:space="preserve"> </w:t>
            </w:r>
            <w:r w:rsidRPr="00037C12">
              <w:rPr>
                <w:rFonts w:cs="Arial"/>
                <w:sz w:val="20"/>
                <w:szCs w:val="20"/>
              </w:rPr>
              <w:t>http://www.upb.edu.mx/indicadores/2020-2021</w:t>
            </w:r>
            <w:r>
              <w:rPr>
                <w:rFonts w:cs="Arial"/>
                <w:sz w:val="20"/>
                <w:szCs w:val="20"/>
              </w:rPr>
              <w:t>.</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2611E0B9" w14:textId="77777777" w:rsidR="00E23746" w:rsidRPr="00DD34FD" w:rsidRDefault="00E23746" w:rsidP="000B2F10">
            <w:pPr>
              <w:rPr>
                <w:rFonts w:cs="Arial"/>
                <w:sz w:val="20"/>
                <w:szCs w:val="20"/>
              </w:rPr>
            </w:pPr>
            <w:r w:rsidRPr="00026F8E">
              <w:rPr>
                <w:rFonts w:cs="Arial"/>
                <w:sz w:val="20"/>
                <w:szCs w:val="20"/>
              </w:rPr>
              <w:t>Se realizan  reuniones colegiadas entre Universidades, para actualizar planes de estudio.</w:t>
            </w:r>
          </w:p>
        </w:tc>
      </w:tr>
      <w:tr w:rsidR="00E23746" w:rsidRPr="00FD08F8" w14:paraId="7055A3DA" w14:textId="77777777" w:rsidTr="00BE5E45">
        <w:trPr>
          <w:trHeight w:val="551"/>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34602C88"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Actividad</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8993FA3" w14:textId="77777777" w:rsidR="00E23746" w:rsidRPr="00D20F98" w:rsidRDefault="00E23746" w:rsidP="000B2F10">
            <w:pPr>
              <w:rPr>
                <w:rFonts w:cs="Arial"/>
                <w:sz w:val="20"/>
                <w:szCs w:val="20"/>
              </w:rPr>
            </w:pPr>
            <w:r w:rsidRPr="00067C22">
              <w:rPr>
                <w:rFonts w:cs="Arial"/>
                <w:sz w:val="20"/>
                <w:szCs w:val="20"/>
              </w:rPr>
              <w:t>Impulsar la acreditación y evaluación de los planes y programas de estudio de educación superior por organismos externos reconocidos a nivel nacional e internacional.</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A2B2F13" w14:textId="77777777" w:rsidR="00E23746" w:rsidRPr="00574DAC" w:rsidRDefault="00E23746" w:rsidP="000B2F10">
            <w:pPr>
              <w:rPr>
                <w:rFonts w:cs="Arial"/>
                <w:sz w:val="20"/>
                <w:szCs w:val="20"/>
              </w:rPr>
            </w:pPr>
            <w:r>
              <w:rPr>
                <w:rFonts w:cs="Arial"/>
                <w:sz w:val="20"/>
                <w:szCs w:val="20"/>
              </w:rPr>
              <w:t>C02</w:t>
            </w:r>
            <w:r w:rsidRPr="00574DAC">
              <w:rPr>
                <w:rFonts w:cs="Arial"/>
                <w:sz w:val="20"/>
                <w:szCs w:val="20"/>
              </w:rPr>
              <w:t>.A0</w:t>
            </w:r>
            <w:r>
              <w:rPr>
                <w:rFonts w:cs="Arial"/>
                <w:sz w:val="20"/>
                <w:szCs w:val="20"/>
              </w:rPr>
              <w:t>4 -</w:t>
            </w:r>
            <w:r w:rsidRPr="006A4CAE">
              <w:rPr>
                <w:rFonts w:cs="Arial"/>
                <w:sz w:val="20"/>
                <w:szCs w:val="20"/>
              </w:rPr>
              <w:t>Prestación de Servicios de apoyo para el aprendizaje (biblioteca, cómputo, idiomas, etc.)</w:t>
            </w:r>
            <w:r>
              <w:rPr>
                <w:rFonts w:cs="Arial"/>
                <w:sz w:val="20"/>
                <w:szCs w:val="20"/>
              </w:rPr>
              <w:t>.</w:t>
            </w:r>
          </w:p>
        </w:tc>
        <w:tc>
          <w:tcPr>
            <w:tcW w:w="2268" w:type="dxa"/>
            <w:tcBorders>
              <w:top w:val="single" w:sz="4" w:space="0" w:color="auto"/>
              <w:left w:val="single" w:sz="4" w:space="0" w:color="auto"/>
              <w:bottom w:val="single" w:sz="4" w:space="0" w:color="auto"/>
              <w:right w:val="single" w:sz="4" w:space="0" w:color="auto"/>
            </w:tcBorders>
            <w:shd w:val="clear" w:color="FFFFFF" w:fill="FFFFFF"/>
          </w:tcPr>
          <w:p w14:paraId="45B9C418" w14:textId="77777777" w:rsidR="00E23746" w:rsidRDefault="00E23746" w:rsidP="000B2F10">
            <w:pPr>
              <w:rPr>
                <w:rFonts w:cs="Arial"/>
                <w:sz w:val="20"/>
                <w:szCs w:val="20"/>
              </w:rPr>
            </w:pPr>
            <w:r>
              <w:rPr>
                <w:rFonts w:cs="Arial"/>
                <w:sz w:val="20"/>
                <w:szCs w:val="20"/>
              </w:rPr>
              <w:t>C02A04</w:t>
            </w:r>
            <w:r w:rsidRPr="00574DAC">
              <w:rPr>
                <w:rFonts w:cs="Arial"/>
                <w:sz w:val="20"/>
                <w:szCs w:val="20"/>
              </w:rPr>
              <w:t xml:space="preserve"> -</w:t>
            </w:r>
            <w:r w:rsidRPr="003926E1">
              <w:rPr>
                <w:rFonts w:cs="Arial"/>
                <w:sz w:val="20"/>
                <w:szCs w:val="20"/>
              </w:rPr>
              <w:t>Índice de Satisfacción de estudiantes</w:t>
            </w:r>
            <w:r>
              <w:rPr>
                <w:rFonts w:cs="Arial"/>
                <w:sz w:val="20"/>
                <w:szCs w:val="20"/>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2A49E8B" w14:textId="77777777" w:rsidR="00E23746" w:rsidRPr="00DD34FD" w:rsidRDefault="00E23746" w:rsidP="000B2F10">
            <w:pPr>
              <w:rPr>
                <w:rFonts w:cs="Arial"/>
                <w:sz w:val="20"/>
                <w:szCs w:val="20"/>
              </w:rPr>
            </w:pPr>
            <w:r w:rsidRPr="00037C12">
              <w:rPr>
                <w:rFonts w:cs="Arial"/>
                <w:sz w:val="20"/>
                <w:szCs w:val="20"/>
              </w:rPr>
              <w:t>Indicadores de la Universidad Politécnica de Bacalar (Dirección de Planeación) http://www.upb.edu.mx/indicadores/2020-2021</w:t>
            </w:r>
            <w:r>
              <w:rPr>
                <w:rFonts w:cs="Arial"/>
                <w:sz w:val="20"/>
                <w:szCs w:val="20"/>
              </w:rPr>
              <w:t>.</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0062FB77" w14:textId="77777777" w:rsidR="00E23746" w:rsidRPr="00DD34FD" w:rsidRDefault="00E23746" w:rsidP="000B2F10">
            <w:pPr>
              <w:rPr>
                <w:rFonts w:cs="Arial"/>
                <w:sz w:val="20"/>
                <w:szCs w:val="20"/>
              </w:rPr>
            </w:pPr>
            <w:r w:rsidRPr="00026F8E">
              <w:rPr>
                <w:rFonts w:cs="Arial"/>
                <w:sz w:val="20"/>
                <w:szCs w:val="20"/>
              </w:rPr>
              <w:t>Alumnos responden las encuestas de satisfacción.</w:t>
            </w:r>
          </w:p>
        </w:tc>
      </w:tr>
    </w:tbl>
    <w:p w14:paraId="0D30FEEF" w14:textId="77777777" w:rsidR="0080241C" w:rsidRDefault="0080241C">
      <w:pPr>
        <w:spacing w:after="0" w:line="240" w:lineRule="auto"/>
        <w:jc w:val="left"/>
      </w:pPr>
      <w:r>
        <w:br w:type="page"/>
      </w:r>
    </w:p>
    <w:tbl>
      <w:tblPr>
        <w:tblW w:w="14029" w:type="dxa"/>
        <w:tblLayout w:type="fixed"/>
        <w:tblCellMar>
          <w:left w:w="70" w:type="dxa"/>
          <w:right w:w="70" w:type="dxa"/>
        </w:tblCellMar>
        <w:tblLook w:val="04A0" w:firstRow="1" w:lastRow="0" w:firstColumn="1" w:lastColumn="0" w:noHBand="0" w:noVBand="1"/>
      </w:tblPr>
      <w:tblGrid>
        <w:gridCol w:w="1413"/>
        <w:gridCol w:w="2693"/>
        <w:gridCol w:w="2835"/>
        <w:gridCol w:w="2268"/>
        <w:gridCol w:w="2835"/>
        <w:gridCol w:w="1985"/>
      </w:tblGrid>
      <w:tr w:rsidR="00E23746" w:rsidRPr="00FD08F8" w14:paraId="4045B9D1" w14:textId="77777777" w:rsidTr="00FF6398">
        <w:trPr>
          <w:trHeight w:val="679"/>
        </w:trPr>
        <w:tc>
          <w:tcPr>
            <w:tcW w:w="1413"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788113C7"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lastRenderedPageBreak/>
              <w:t>NIVEL</w:t>
            </w:r>
          </w:p>
        </w:tc>
        <w:tc>
          <w:tcPr>
            <w:tcW w:w="2693" w:type="dxa"/>
            <w:tcBorders>
              <w:top w:val="single" w:sz="4" w:space="0" w:color="auto"/>
              <w:left w:val="nil"/>
              <w:bottom w:val="single" w:sz="4" w:space="0" w:color="auto"/>
              <w:right w:val="single" w:sz="4" w:space="0" w:color="auto"/>
            </w:tcBorders>
            <w:shd w:val="clear" w:color="000000" w:fill="BFBFBF"/>
            <w:vAlign w:val="center"/>
            <w:hideMark/>
          </w:tcPr>
          <w:p w14:paraId="0AE0A9FD"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ALINEACIÓN PED/PD</w:t>
            </w:r>
          </w:p>
        </w:tc>
        <w:tc>
          <w:tcPr>
            <w:tcW w:w="2835" w:type="dxa"/>
            <w:tcBorders>
              <w:top w:val="single" w:sz="4" w:space="0" w:color="auto"/>
              <w:left w:val="nil"/>
              <w:bottom w:val="single" w:sz="4" w:space="0" w:color="auto"/>
              <w:right w:val="single" w:sz="4" w:space="0" w:color="auto"/>
            </w:tcBorders>
            <w:shd w:val="clear" w:color="000000" w:fill="BFBFBF"/>
            <w:vAlign w:val="center"/>
            <w:hideMark/>
          </w:tcPr>
          <w:p w14:paraId="67E60994"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OBJETIVO</w:t>
            </w:r>
          </w:p>
        </w:tc>
        <w:tc>
          <w:tcPr>
            <w:tcW w:w="2268" w:type="dxa"/>
            <w:tcBorders>
              <w:top w:val="single" w:sz="4" w:space="0" w:color="auto"/>
              <w:left w:val="nil"/>
              <w:bottom w:val="single" w:sz="4" w:space="0" w:color="auto"/>
              <w:right w:val="single" w:sz="4" w:space="0" w:color="auto"/>
            </w:tcBorders>
            <w:shd w:val="clear" w:color="000000" w:fill="BFBFBF"/>
            <w:vAlign w:val="center"/>
            <w:hideMark/>
          </w:tcPr>
          <w:p w14:paraId="7F0A5538"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INDICADOR</w:t>
            </w:r>
          </w:p>
        </w:tc>
        <w:tc>
          <w:tcPr>
            <w:tcW w:w="2835" w:type="dxa"/>
            <w:tcBorders>
              <w:top w:val="single" w:sz="4" w:space="0" w:color="auto"/>
              <w:left w:val="nil"/>
              <w:bottom w:val="single" w:sz="4" w:space="0" w:color="auto"/>
              <w:right w:val="single" w:sz="4" w:space="0" w:color="auto"/>
            </w:tcBorders>
            <w:shd w:val="clear" w:color="000000" w:fill="BFBFBF"/>
            <w:vAlign w:val="center"/>
            <w:hideMark/>
          </w:tcPr>
          <w:p w14:paraId="4A74391C"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MEDIOS DE VERIFICACIÓN</w:t>
            </w:r>
          </w:p>
        </w:tc>
        <w:tc>
          <w:tcPr>
            <w:tcW w:w="1985" w:type="dxa"/>
            <w:tcBorders>
              <w:top w:val="single" w:sz="4" w:space="0" w:color="auto"/>
              <w:left w:val="nil"/>
              <w:bottom w:val="single" w:sz="4" w:space="0" w:color="auto"/>
              <w:right w:val="single" w:sz="4" w:space="0" w:color="auto"/>
            </w:tcBorders>
            <w:shd w:val="clear" w:color="000000" w:fill="BFBFBF"/>
            <w:vAlign w:val="center"/>
            <w:hideMark/>
          </w:tcPr>
          <w:p w14:paraId="67BFB312"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SUPUESTO</w:t>
            </w:r>
          </w:p>
        </w:tc>
      </w:tr>
      <w:tr w:rsidR="00FF6398" w:rsidRPr="00FD08F8" w14:paraId="1A3CE279" w14:textId="77777777" w:rsidTr="00FF6398">
        <w:trPr>
          <w:trHeight w:val="551"/>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75D37197" w14:textId="0E95885F" w:rsidR="00FF6398" w:rsidRPr="00FD08F8" w:rsidRDefault="00FF6398" w:rsidP="00FF6398">
            <w:pPr>
              <w:spacing w:after="0" w:line="240" w:lineRule="auto"/>
              <w:jc w:val="center"/>
              <w:rPr>
                <w:rFonts w:eastAsia="Times New Roman" w:cs="Arial"/>
                <w:b/>
                <w:bCs/>
                <w:sz w:val="20"/>
                <w:szCs w:val="20"/>
                <w:lang w:val="es-MX" w:eastAsia="es-MX"/>
              </w:rPr>
            </w:pPr>
            <w:r>
              <w:rPr>
                <w:rFonts w:eastAsia="Times New Roman" w:cs="Arial"/>
                <w:b/>
                <w:bCs/>
                <w:sz w:val="20"/>
                <w:szCs w:val="20"/>
                <w:lang w:val="es-MX" w:eastAsia="es-MX"/>
              </w:rPr>
              <w:t>Componente</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BB9B780" w14:textId="199D573E" w:rsidR="00FF6398" w:rsidRPr="005F6EBA" w:rsidRDefault="00FF6398" w:rsidP="00FF6398">
            <w:pPr>
              <w:rPr>
                <w:rFonts w:cs="Arial"/>
                <w:sz w:val="20"/>
                <w:szCs w:val="20"/>
              </w:rPr>
            </w:pPr>
            <w:r w:rsidRPr="001D2E9B">
              <w:rPr>
                <w:rFonts w:cs="Arial"/>
                <w:sz w:val="18"/>
                <w:szCs w:val="20"/>
              </w:rPr>
              <w:t>Impulsar la vinculación con instituciones públicas y privadas para la realización del servicio social, prácticas profesionales o su equivalente y modelo dual por parte de los estudiantes de educación superior.</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EC176E7" w14:textId="442897E0" w:rsidR="00FF6398" w:rsidRDefault="00FF6398" w:rsidP="00FF6398">
            <w:pPr>
              <w:rPr>
                <w:rFonts w:cs="Arial"/>
                <w:sz w:val="20"/>
                <w:szCs w:val="20"/>
              </w:rPr>
            </w:pPr>
            <w:r w:rsidRPr="001D2E9B">
              <w:rPr>
                <w:rFonts w:cs="Arial"/>
                <w:sz w:val="18"/>
                <w:szCs w:val="20"/>
              </w:rPr>
              <w:t>C03 -  Vinculación Interinstitucional realizada.</w:t>
            </w:r>
          </w:p>
        </w:tc>
        <w:tc>
          <w:tcPr>
            <w:tcW w:w="2268" w:type="dxa"/>
            <w:tcBorders>
              <w:top w:val="single" w:sz="4" w:space="0" w:color="auto"/>
              <w:left w:val="single" w:sz="4" w:space="0" w:color="auto"/>
              <w:bottom w:val="single" w:sz="4" w:space="0" w:color="auto"/>
              <w:right w:val="single" w:sz="4" w:space="0" w:color="auto"/>
            </w:tcBorders>
            <w:shd w:val="clear" w:color="FFFFFF" w:fill="FFFFFF"/>
          </w:tcPr>
          <w:p w14:paraId="4EFB47BF" w14:textId="6457489C" w:rsidR="00FF6398" w:rsidRDefault="00FF6398" w:rsidP="00FF6398">
            <w:pPr>
              <w:rPr>
                <w:rFonts w:cs="Arial"/>
                <w:sz w:val="20"/>
                <w:szCs w:val="20"/>
              </w:rPr>
            </w:pPr>
            <w:r w:rsidRPr="001D2E9B">
              <w:rPr>
                <w:rFonts w:cs="Arial"/>
                <w:sz w:val="18"/>
                <w:szCs w:val="20"/>
              </w:rPr>
              <w:t>C03 - Porcentaje de estudiantes participando en proyectos y/o convenios.</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8FC3D56" w14:textId="03897985" w:rsidR="00FF6398" w:rsidRPr="009A7277" w:rsidRDefault="00FF6398" w:rsidP="00FF6398">
            <w:pPr>
              <w:rPr>
                <w:rFonts w:cs="Arial"/>
                <w:sz w:val="20"/>
                <w:szCs w:val="20"/>
              </w:rPr>
            </w:pPr>
            <w:r w:rsidRPr="001D2E9B">
              <w:rPr>
                <w:rFonts w:cs="Arial"/>
                <w:sz w:val="18"/>
                <w:szCs w:val="20"/>
              </w:rPr>
              <w:t>Memorias presentadas, Dirección de vinculación.</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FC9C2A4" w14:textId="4C07858F" w:rsidR="00FF6398" w:rsidRPr="00D16180" w:rsidRDefault="00FF6398" w:rsidP="00FF6398">
            <w:pPr>
              <w:rPr>
                <w:rFonts w:cs="Arial"/>
                <w:sz w:val="20"/>
                <w:szCs w:val="20"/>
              </w:rPr>
            </w:pPr>
            <w:r w:rsidRPr="001D2E9B">
              <w:rPr>
                <w:rFonts w:cs="Arial"/>
                <w:sz w:val="18"/>
                <w:szCs w:val="20"/>
              </w:rPr>
              <w:t>Los estudiantes se interesan en participar en los proyectos de vinculación propuestos por las Instituciones de Educación Superior de la Entidad.</w:t>
            </w:r>
          </w:p>
        </w:tc>
      </w:tr>
      <w:tr w:rsidR="00E23746" w:rsidRPr="00FD08F8" w14:paraId="3F56091E" w14:textId="77777777" w:rsidTr="00FF6398">
        <w:trPr>
          <w:trHeight w:val="551"/>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4DF65F91"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Actividad</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FBD12F1" w14:textId="77777777" w:rsidR="00E23746" w:rsidRPr="00D20F98" w:rsidRDefault="00E23746" w:rsidP="000B2F10">
            <w:pPr>
              <w:rPr>
                <w:rFonts w:cs="Arial"/>
                <w:sz w:val="20"/>
                <w:szCs w:val="20"/>
              </w:rPr>
            </w:pPr>
            <w:r w:rsidRPr="005F6EBA">
              <w:rPr>
                <w:rFonts w:cs="Arial"/>
                <w:sz w:val="20"/>
                <w:szCs w:val="20"/>
              </w:rPr>
              <w:t>Impulsar la vinculación con instituciones públicas y privadas para la realización del servicio social, prácticas profesionales o su equivalente y modelo dual por parte de los estudiantes de educación superior.</w:t>
            </w:r>
            <w:r>
              <w:t xml:space="preserve"> </w:t>
            </w:r>
            <w:r w:rsidRPr="00D16180">
              <w:rPr>
                <w:rFonts w:cs="Arial"/>
                <w:sz w:val="20"/>
                <w:szCs w:val="20"/>
              </w:rPr>
              <w:t>Los alumnos participan en convocatorias de movilidad.</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38C9C84" w14:textId="77777777" w:rsidR="00E23746" w:rsidRPr="00574DAC" w:rsidRDefault="00E23746" w:rsidP="000B2F10">
            <w:pPr>
              <w:rPr>
                <w:rFonts w:cs="Arial"/>
                <w:sz w:val="20"/>
                <w:szCs w:val="20"/>
              </w:rPr>
            </w:pPr>
            <w:r>
              <w:rPr>
                <w:rFonts w:cs="Arial"/>
                <w:sz w:val="20"/>
                <w:szCs w:val="20"/>
              </w:rPr>
              <w:t>C03</w:t>
            </w:r>
            <w:r w:rsidRPr="00574DAC">
              <w:rPr>
                <w:rFonts w:cs="Arial"/>
                <w:sz w:val="20"/>
                <w:szCs w:val="20"/>
              </w:rPr>
              <w:t>.A0</w:t>
            </w:r>
            <w:r>
              <w:rPr>
                <w:rFonts w:cs="Arial"/>
                <w:sz w:val="20"/>
                <w:szCs w:val="20"/>
              </w:rPr>
              <w:t>1 -</w:t>
            </w:r>
            <w:r w:rsidRPr="00413A01">
              <w:rPr>
                <w:rFonts w:cs="Arial"/>
                <w:sz w:val="20"/>
                <w:szCs w:val="20"/>
              </w:rPr>
              <w:t>Impulso a la cooperación académica</w:t>
            </w:r>
            <w:r>
              <w:rPr>
                <w:rFonts w:cs="Arial"/>
                <w:sz w:val="20"/>
                <w:szCs w:val="20"/>
              </w:rPr>
              <w:t>.</w:t>
            </w:r>
          </w:p>
        </w:tc>
        <w:tc>
          <w:tcPr>
            <w:tcW w:w="2268" w:type="dxa"/>
            <w:tcBorders>
              <w:top w:val="single" w:sz="4" w:space="0" w:color="auto"/>
              <w:left w:val="single" w:sz="4" w:space="0" w:color="auto"/>
              <w:bottom w:val="single" w:sz="4" w:space="0" w:color="auto"/>
              <w:right w:val="single" w:sz="4" w:space="0" w:color="auto"/>
            </w:tcBorders>
            <w:shd w:val="clear" w:color="FFFFFF" w:fill="FFFFFF"/>
          </w:tcPr>
          <w:p w14:paraId="145D3C43" w14:textId="77777777" w:rsidR="00E23746" w:rsidRDefault="00E23746" w:rsidP="000B2F10">
            <w:pPr>
              <w:rPr>
                <w:rFonts w:cs="Arial"/>
                <w:sz w:val="20"/>
                <w:szCs w:val="20"/>
              </w:rPr>
            </w:pPr>
            <w:r>
              <w:rPr>
                <w:rFonts w:cs="Arial"/>
                <w:sz w:val="20"/>
                <w:szCs w:val="20"/>
              </w:rPr>
              <w:t>C03A01</w:t>
            </w:r>
            <w:r w:rsidRPr="00574DAC">
              <w:rPr>
                <w:rFonts w:cs="Arial"/>
                <w:sz w:val="20"/>
                <w:szCs w:val="20"/>
              </w:rPr>
              <w:t xml:space="preserve"> -</w:t>
            </w:r>
            <w:r w:rsidRPr="00135661">
              <w:rPr>
                <w:rFonts w:cs="Arial"/>
                <w:sz w:val="20"/>
                <w:szCs w:val="20"/>
              </w:rPr>
              <w:t>Porcentaje de Alumnos que obtienen una beca de movilidad</w:t>
            </w:r>
            <w:r>
              <w:rPr>
                <w:rFonts w:cs="Arial"/>
                <w:sz w:val="20"/>
                <w:szCs w:val="20"/>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7DD94AE" w14:textId="77777777" w:rsidR="00E23746" w:rsidRPr="00DD34FD" w:rsidRDefault="00E23746" w:rsidP="000B2F10">
            <w:pPr>
              <w:rPr>
                <w:rFonts w:cs="Arial"/>
                <w:sz w:val="20"/>
                <w:szCs w:val="20"/>
              </w:rPr>
            </w:pPr>
            <w:r w:rsidRPr="009A7277">
              <w:rPr>
                <w:rFonts w:cs="Arial"/>
                <w:sz w:val="20"/>
                <w:szCs w:val="20"/>
              </w:rPr>
              <w:t>Indicadores de la Universidad Politécnica de Bacalar (Dirección de Planeación)</w:t>
            </w:r>
            <w:r>
              <w:rPr>
                <w:rFonts w:cs="Arial"/>
                <w:sz w:val="20"/>
                <w:szCs w:val="20"/>
              </w:rPr>
              <w:t xml:space="preserve"> </w:t>
            </w:r>
            <w:r w:rsidRPr="009A7277">
              <w:rPr>
                <w:rFonts w:cs="Arial"/>
                <w:sz w:val="20"/>
                <w:szCs w:val="20"/>
              </w:rPr>
              <w:t>http://www.upb.edu.mx/indicadores/2020-2021</w:t>
            </w:r>
            <w:r>
              <w:rPr>
                <w:rFonts w:cs="Arial"/>
                <w:sz w:val="20"/>
                <w:szCs w:val="20"/>
              </w:rPr>
              <w:t>.</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6A9DB5D8" w14:textId="77777777" w:rsidR="00E23746" w:rsidRPr="00DD34FD" w:rsidRDefault="00E23746" w:rsidP="000B2F10">
            <w:pPr>
              <w:rPr>
                <w:rFonts w:cs="Arial"/>
                <w:sz w:val="20"/>
                <w:szCs w:val="20"/>
              </w:rPr>
            </w:pPr>
            <w:r w:rsidRPr="00D16180">
              <w:rPr>
                <w:rFonts w:cs="Arial"/>
                <w:sz w:val="20"/>
                <w:szCs w:val="20"/>
              </w:rPr>
              <w:t>Los alumnos participan en convocatorias de movilidad.</w:t>
            </w:r>
          </w:p>
        </w:tc>
      </w:tr>
      <w:tr w:rsidR="00E23746" w:rsidRPr="00FD08F8" w14:paraId="43A4D8DD" w14:textId="77777777" w:rsidTr="00FF6398">
        <w:trPr>
          <w:trHeight w:val="551"/>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62A8A215"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Actividad</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A5EE5D4" w14:textId="77777777" w:rsidR="00E23746" w:rsidRPr="00D20F98" w:rsidRDefault="00E23746" w:rsidP="000B2F10">
            <w:pPr>
              <w:rPr>
                <w:rFonts w:cs="Arial"/>
                <w:sz w:val="20"/>
                <w:szCs w:val="20"/>
              </w:rPr>
            </w:pPr>
            <w:r w:rsidRPr="005F6EBA">
              <w:rPr>
                <w:rFonts w:cs="Arial"/>
                <w:sz w:val="20"/>
                <w:szCs w:val="20"/>
              </w:rPr>
              <w:t>Impulsar la vinculación con instituciones públicas y privadas para la realización del servicio social, prácticas profesionales o su equivalente y modelo dual por parte de los estudiantes de educación superior.</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5A3ECEE" w14:textId="77777777" w:rsidR="00E23746" w:rsidRDefault="00E23746" w:rsidP="000B2F10">
            <w:pPr>
              <w:rPr>
                <w:rFonts w:cs="Arial"/>
                <w:sz w:val="20"/>
                <w:szCs w:val="20"/>
              </w:rPr>
            </w:pPr>
            <w:r>
              <w:rPr>
                <w:rFonts w:cs="Arial"/>
                <w:sz w:val="20"/>
                <w:szCs w:val="20"/>
              </w:rPr>
              <w:t>C03</w:t>
            </w:r>
            <w:r w:rsidRPr="00574DAC">
              <w:rPr>
                <w:rFonts w:cs="Arial"/>
                <w:sz w:val="20"/>
                <w:szCs w:val="20"/>
              </w:rPr>
              <w:t>.A0</w:t>
            </w:r>
            <w:r>
              <w:rPr>
                <w:rFonts w:cs="Arial"/>
                <w:sz w:val="20"/>
                <w:szCs w:val="20"/>
              </w:rPr>
              <w:t>2 -</w:t>
            </w:r>
            <w:r w:rsidRPr="00413A01">
              <w:rPr>
                <w:rFonts w:cs="Arial"/>
                <w:sz w:val="20"/>
                <w:szCs w:val="20"/>
              </w:rPr>
              <w:t>Difusión de los programas de estímulos para alumnos en servicio social</w:t>
            </w:r>
            <w:r>
              <w:rPr>
                <w:rFonts w:cs="Arial"/>
                <w:sz w:val="20"/>
                <w:szCs w:val="20"/>
              </w:rPr>
              <w:t>.</w:t>
            </w:r>
          </w:p>
        </w:tc>
        <w:tc>
          <w:tcPr>
            <w:tcW w:w="2268" w:type="dxa"/>
            <w:tcBorders>
              <w:top w:val="single" w:sz="4" w:space="0" w:color="auto"/>
              <w:left w:val="single" w:sz="4" w:space="0" w:color="auto"/>
              <w:bottom w:val="single" w:sz="4" w:space="0" w:color="auto"/>
              <w:right w:val="single" w:sz="4" w:space="0" w:color="auto"/>
            </w:tcBorders>
            <w:shd w:val="clear" w:color="FFFFFF" w:fill="FFFFFF"/>
          </w:tcPr>
          <w:p w14:paraId="1CC52421" w14:textId="77777777" w:rsidR="00E23746" w:rsidRDefault="00E23746" w:rsidP="000B2F10">
            <w:pPr>
              <w:rPr>
                <w:rFonts w:cs="Arial"/>
                <w:sz w:val="20"/>
                <w:szCs w:val="20"/>
              </w:rPr>
            </w:pPr>
            <w:r>
              <w:rPr>
                <w:rFonts w:cs="Arial"/>
                <w:sz w:val="20"/>
                <w:szCs w:val="20"/>
              </w:rPr>
              <w:t>C03A02</w:t>
            </w:r>
            <w:r w:rsidRPr="00574DAC">
              <w:rPr>
                <w:rFonts w:cs="Arial"/>
                <w:sz w:val="20"/>
                <w:szCs w:val="20"/>
              </w:rPr>
              <w:t xml:space="preserve"> -</w:t>
            </w:r>
            <w:r w:rsidRPr="00F65A57">
              <w:rPr>
                <w:rFonts w:cs="Arial"/>
                <w:sz w:val="20"/>
                <w:szCs w:val="20"/>
              </w:rPr>
              <w:t>Porcentaje de Alumnos Beneficiados con Programas de Estímulos para Servicios Social</w:t>
            </w:r>
            <w:r>
              <w:rPr>
                <w:rFonts w:cs="Arial"/>
                <w:sz w:val="20"/>
                <w:szCs w:val="20"/>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207CC45" w14:textId="77777777" w:rsidR="00E23746" w:rsidRPr="00DD34FD" w:rsidRDefault="00E23746" w:rsidP="000B2F10">
            <w:pPr>
              <w:rPr>
                <w:rFonts w:cs="Arial"/>
                <w:sz w:val="20"/>
                <w:szCs w:val="20"/>
              </w:rPr>
            </w:pPr>
            <w:r w:rsidRPr="00EA4D07">
              <w:rPr>
                <w:rFonts w:cs="Arial"/>
                <w:sz w:val="20"/>
                <w:szCs w:val="20"/>
              </w:rPr>
              <w:t>Indicadores de la Universidad Politécnica de Bacalar (Departamento de Idiomas)http://www.upb.edu.mx/indicadores/2020-2021002E</w:t>
            </w:r>
            <w:r>
              <w:rPr>
                <w:rFonts w:cs="Arial"/>
                <w:sz w:val="20"/>
                <w:szCs w:val="20"/>
              </w:rPr>
              <w:t>.</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10345B72" w14:textId="77777777" w:rsidR="00E23746" w:rsidRPr="00DD34FD" w:rsidRDefault="00E23746" w:rsidP="000B2F10">
            <w:pPr>
              <w:rPr>
                <w:rFonts w:cs="Arial"/>
                <w:sz w:val="20"/>
                <w:szCs w:val="20"/>
              </w:rPr>
            </w:pPr>
            <w:r w:rsidRPr="00102603">
              <w:rPr>
                <w:rFonts w:cs="Arial"/>
                <w:sz w:val="20"/>
                <w:szCs w:val="20"/>
              </w:rPr>
              <w:t>Alumnos obtienen recursos económicos  para realizar el servicio social.</w:t>
            </w:r>
          </w:p>
        </w:tc>
      </w:tr>
    </w:tbl>
    <w:p w14:paraId="704C540A" w14:textId="77777777" w:rsidR="00BE5E45" w:rsidRDefault="00BE5E45">
      <w:pPr>
        <w:spacing w:after="0" w:line="240" w:lineRule="auto"/>
        <w:jc w:val="left"/>
      </w:pPr>
      <w:r>
        <w:br w:type="page"/>
      </w:r>
    </w:p>
    <w:tbl>
      <w:tblPr>
        <w:tblW w:w="14029" w:type="dxa"/>
        <w:tblLayout w:type="fixed"/>
        <w:tblCellMar>
          <w:left w:w="70" w:type="dxa"/>
          <w:right w:w="70" w:type="dxa"/>
        </w:tblCellMar>
        <w:tblLook w:val="04A0" w:firstRow="1" w:lastRow="0" w:firstColumn="1" w:lastColumn="0" w:noHBand="0" w:noVBand="1"/>
      </w:tblPr>
      <w:tblGrid>
        <w:gridCol w:w="1271"/>
        <w:gridCol w:w="2835"/>
        <w:gridCol w:w="2835"/>
        <w:gridCol w:w="2268"/>
        <w:gridCol w:w="2835"/>
        <w:gridCol w:w="1985"/>
      </w:tblGrid>
      <w:tr w:rsidR="00E23746" w:rsidRPr="00FD08F8" w14:paraId="04B25268" w14:textId="77777777" w:rsidTr="003D04F9">
        <w:trPr>
          <w:trHeight w:val="679"/>
        </w:trPr>
        <w:tc>
          <w:tcPr>
            <w:tcW w:w="1271"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5DC0812F"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lastRenderedPageBreak/>
              <w:t>NIVEL</w:t>
            </w:r>
          </w:p>
        </w:tc>
        <w:tc>
          <w:tcPr>
            <w:tcW w:w="2835" w:type="dxa"/>
            <w:tcBorders>
              <w:top w:val="single" w:sz="4" w:space="0" w:color="auto"/>
              <w:left w:val="nil"/>
              <w:bottom w:val="single" w:sz="4" w:space="0" w:color="auto"/>
              <w:right w:val="single" w:sz="4" w:space="0" w:color="auto"/>
            </w:tcBorders>
            <w:shd w:val="clear" w:color="000000" w:fill="BFBFBF"/>
            <w:vAlign w:val="center"/>
            <w:hideMark/>
          </w:tcPr>
          <w:p w14:paraId="3D28C882"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ALINEACIÓN PED/PD</w:t>
            </w:r>
          </w:p>
        </w:tc>
        <w:tc>
          <w:tcPr>
            <w:tcW w:w="2835" w:type="dxa"/>
            <w:tcBorders>
              <w:top w:val="single" w:sz="4" w:space="0" w:color="auto"/>
              <w:left w:val="nil"/>
              <w:bottom w:val="single" w:sz="4" w:space="0" w:color="auto"/>
              <w:right w:val="single" w:sz="4" w:space="0" w:color="auto"/>
            </w:tcBorders>
            <w:shd w:val="clear" w:color="000000" w:fill="BFBFBF"/>
            <w:vAlign w:val="center"/>
            <w:hideMark/>
          </w:tcPr>
          <w:p w14:paraId="60A0F44C"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OBJETIVO</w:t>
            </w:r>
          </w:p>
        </w:tc>
        <w:tc>
          <w:tcPr>
            <w:tcW w:w="2268" w:type="dxa"/>
            <w:tcBorders>
              <w:top w:val="single" w:sz="4" w:space="0" w:color="auto"/>
              <w:left w:val="nil"/>
              <w:bottom w:val="single" w:sz="4" w:space="0" w:color="auto"/>
              <w:right w:val="single" w:sz="4" w:space="0" w:color="auto"/>
            </w:tcBorders>
            <w:shd w:val="clear" w:color="000000" w:fill="BFBFBF"/>
            <w:vAlign w:val="center"/>
            <w:hideMark/>
          </w:tcPr>
          <w:p w14:paraId="19C8F5FB"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INDICADOR</w:t>
            </w:r>
          </w:p>
        </w:tc>
        <w:tc>
          <w:tcPr>
            <w:tcW w:w="2835" w:type="dxa"/>
            <w:tcBorders>
              <w:top w:val="single" w:sz="4" w:space="0" w:color="auto"/>
              <w:left w:val="nil"/>
              <w:bottom w:val="single" w:sz="4" w:space="0" w:color="auto"/>
              <w:right w:val="single" w:sz="4" w:space="0" w:color="auto"/>
            </w:tcBorders>
            <w:shd w:val="clear" w:color="000000" w:fill="BFBFBF"/>
            <w:vAlign w:val="center"/>
            <w:hideMark/>
          </w:tcPr>
          <w:p w14:paraId="4D916703"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MEDIOS DE VERIFICACIÓN</w:t>
            </w:r>
          </w:p>
        </w:tc>
        <w:tc>
          <w:tcPr>
            <w:tcW w:w="1985" w:type="dxa"/>
            <w:tcBorders>
              <w:top w:val="single" w:sz="4" w:space="0" w:color="auto"/>
              <w:left w:val="nil"/>
              <w:bottom w:val="single" w:sz="4" w:space="0" w:color="auto"/>
              <w:right w:val="single" w:sz="4" w:space="0" w:color="auto"/>
            </w:tcBorders>
            <w:shd w:val="clear" w:color="000000" w:fill="BFBFBF"/>
            <w:vAlign w:val="center"/>
            <w:hideMark/>
          </w:tcPr>
          <w:p w14:paraId="5E29CD35"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SUPUESTO</w:t>
            </w:r>
          </w:p>
        </w:tc>
      </w:tr>
      <w:tr w:rsidR="00BE5E45" w:rsidRPr="00FD08F8" w14:paraId="3CA459BC" w14:textId="77777777" w:rsidTr="003D04F9">
        <w:trPr>
          <w:trHeight w:val="551"/>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378520EE" w14:textId="15427706" w:rsidR="00BE5E45" w:rsidRPr="00FD08F8" w:rsidRDefault="00BE5E45" w:rsidP="00BE5E45">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Actividad</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94D1A57" w14:textId="31DCD10F" w:rsidR="00BE5E45" w:rsidRPr="005F6EBA" w:rsidRDefault="00BE5E45" w:rsidP="00BE5E45">
            <w:pPr>
              <w:rPr>
                <w:rFonts w:cs="Arial"/>
                <w:sz w:val="20"/>
                <w:szCs w:val="20"/>
              </w:rPr>
            </w:pPr>
            <w:r w:rsidRPr="005F6EBA">
              <w:rPr>
                <w:rFonts w:cs="Arial"/>
                <w:sz w:val="20"/>
                <w:szCs w:val="20"/>
              </w:rPr>
              <w:t>Impulsar la vinculación con instituciones públicas y privadas para la realización del servicio social, prácticas profesionales o su equivalente y modelo dual por parte de los estudiantes de educación superior.</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DF820D8" w14:textId="7F4D08E8" w:rsidR="00BE5E45" w:rsidRDefault="00BE5E45" w:rsidP="00BE5E45">
            <w:pPr>
              <w:rPr>
                <w:rFonts w:cs="Arial"/>
                <w:sz w:val="20"/>
                <w:szCs w:val="20"/>
              </w:rPr>
            </w:pPr>
            <w:r>
              <w:rPr>
                <w:rFonts w:cs="Arial"/>
                <w:sz w:val="20"/>
                <w:szCs w:val="20"/>
              </w:rPr>
              <w:t>C03</w:t>
            </w:r>
            <w:r w:rsidRPr="00574DAC">
              <w:rPr>
                <w:rFonts w:cs="Arial"/>
                <w:sz w:val="20"/>
                <w:szCs w:val="20"/>
              </w:rPr>
              <w:t>.A0</w:t>
            </w:r>
            <w:r>
              <w:rPr>
                <w:rFonts w:cs="Arial"/>
                <w:sz w:val="20"/>
                <w:szCs w:val="20"/>
              </w:rPr>
              <w:t>3 -</w:t>
            </w:r>
            <w:r w:rsidRPr="00413A01">
              <w:rPr>
                <w:rFonts w:cs="Arial"/>
                <w:sz w:val="20"/>
                <w:szCs w:val="20"/>
              </w:rPr>
              <w:t>Implementación de Programas de Educación Continua para egresados</w:t>
            </w:r>
            <w:r>
              <w:rPr>
                <w:rFonts w:cs="Arial"/>
                <w:sz w:val="20"/>
                <w:szCs w:val="20"/>
              </w:rPr>
              <w:t>.</w:t>
            </w:r>
          </w:p>
        </w:tc>
        <w:tc>
          <w:tcPr>
            <w:tcW w:w="2268" w:type="dxa"/>
            <w:tcBorders>
              <w:top w:val="single" w:sz="4" w:space="0" w:color="auto"/>
              <w:left w:val="single" w:sz="4" w:space="0" w:color="auto"/>
              <w:bottom w:val="single" w:sz="4" w:space="0" w:color="auto"/>
              <w:right w:val="single" w:sz="4" w:space="0" w:color="auto"/>
            </w:tcBorders>
            <w:shd w:val="clear" w:color="FFFFFF" w:fill="FFFFFF"/>
          </w:tcPr>
          <w:p w14:paraId="6310E2DF" w14:textId="495BB207" w:rsidR="00BE5E45" w:rsidRDefault="00BE5E45" w:rsidP="00BE5E45">
            <w:pPr>
              <w:rPr>
                <w:rFonts w:cs="Arial"/>
                <w:sz w:val="20"/>
                <w:szCs w:val="20"/>
              </w:rPr>
            </w:pPr>
            <w:r>
              <w:rPr>
                <w:rFonts w:cs="Arial"/>
                <w:sz w:val="20"/>
                <w:szCs w:val="20"/>
              </w:rPr>
              <w:t>C03A03</w:t>
            </w:r>
            <w:r w:rsidRPr="00574DAC">
              <w:rPr>
                <w:rFonts w:cs="Arial"/>
                <w:sz w:val="20"/>
                <w:szCs w:val="20"/>
              </w:rPr>
              <w:t xml:space="preserve"> -</w:t>
            </w:r>
            <w:r w:rsidRPr="00F50D69">
              <w:rPr>
                <w:rFonts w:cs="Arial"/>
                <w:sz w:val="20"/>
                <w:szCs w:val="20"/>
              </w:rPr>
              <w:t>Porcentaje de egresados que realizan educación continua</w:t>
            </w:r>
            <w:r>
              <w:rPr>
                <w:rFonts w:cs="Arial"/>
                <w:sz w:val="20"/>
                <w:szCs w:val="20"/>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DC99939" w14:textId="77777777" w:rsidR="00BE5E45" w:rsidRPr="00EA4D07" w:rsidRDefault="00BE5E45" w:rsidP="00BE5E45">
            <w:pPr>
              <w:rPr>
                <w:rFonts w:cs="Arial"/>
                <w:sz w:val="20"/>
                <w:szCs w:val="20"/>
              </w:rPr>
            </w:pPr>
            <w:r w:rsidRPr="00EA4D07">
              <w:rPr>
                <w:rFonts w:cs="Arial"/>
                <w:sz w:val="20"/>
                <w:szCs w:val="20"/>
              </w:rPr>
              <w:t xml:space="preserve">Indicadores de la Universidad Politécnica de Bacalar (Departamento de Vinculación y Prácticas Profesionales) </w:t>
            </w:r>
          </w:p>
          <w:p w14:paraId="19DC6E24" w14:textId="1A080204" w:rsidR="00BE5E45" w:rsidRPr="00EA4D07" w:rsidRDefault="00BE5E45" w:rsidP="00BE5E45">
            <w:pPr>
              <w:rPr>
                <w:rFonts w:cs="Arial"/>
                <w:sz w:val="20"/>
                <w:szCs w:val="20"/>
              </w:rPr>
            </w:pPr>
            <w:r w:rsidRPr="00EA4D07">
              <w:rPr>
                <w:rFonts w:cs="Arial"/>
                <w:sz w:val="20"/>
                <w:szCs w:val="20"/>
              </w:rPr>
              <w:t>http://www.upb.edu.mx/indicadores/2020-2021.</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387A087C" w14:textId="404212EB" w:rsidR="00BE5E45" w:rsidRPr="00622E49" w:rsidRDefault="00BE5E45" w:rsidP="00BE5E45">
            <w:pPr>
              <w:rPr>
                <w:rFonts w:cs="Arial"/>
                <w:sz w:val="20"/>
                <w:szCs w:val="20"/>
              </w:rPr>
            </w:pPr>
            <w:r>
              <w:rPr>
                <w:rFonts w:cs="Arial"/>
                <w:sz w:val="20"/>
                <w:szCs w:val="20"/>
              </w:rPr>
              <w:t>Los egresados</w:t>
            </w:r>
            <w:r w:rsidRPr="00622E49">
              <w:rPr>
                <w:rFonts w:cs="Arial"/>
                <w:sz w:val="20"/>
                <w:szCs w:val="20"/>
              </w:rPr>
              <w:t xml:space="preserve"> continúan sus estudios.</w:t>
            </w:r>
          </w:p>
        </w:tc>
      </w:tr>
      <w:tr w:rsidR="00E23746" w:rsidRPr="00FD08F8" w14:paraId="6CE9B366" w14:textId="77777777" w:rsidTr="003D04F9">
        <w:trPr>
          <w:trHeight w:val="551"/>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481025B0" w14:textId="77777777" w:rsidR="00E23746"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Actividad</w:t>
            </w:r>
          </w:p>
          <w:p w14:paraId="2E82BCD6" w14:textId="77777777" w:rsidR="00E23746" w:rsidRPr="00FD08F8" w:rsidRDefault="00E23746" w:rsidP="000B2F10">
            <w:pPr>
              <w:spacing w:after="0" w:line="240" w:lineRule="auto"/>
              <w:jc w:val="center"/>
              <w:rPr>
                <w:rFonts w:eastAsia="Times New Roman" w:cs="Arial"/>
                <w:b/>
                <w:bCs/>
                <w:sz w:val="20"/>
                <w:szCs w:val="20"/>
                <w:lang w:val="es-MX" w:eastAsia="es-MX"/>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89326CC" w14:textId="77777777" w:rsidR="00E23746" w:rsidRPr="00D20F98" w:rsidRDefault="00E23746" w:rsidP="000B2F10">
            <w:pPr>
              <w:rPr>
                <w:rFonts w:cs="Arial"/>
                <w:sz w:val="20"/>
                <w:szCs w:val="20"/>
              </w:rPr>
            </w:pPr>
            <w:r w:rsidRPr="005F6EBA">
              <w:rPr>
                <w:rFonts w:cs="Arial"/>
                <w:sz w:val="20"/>
                <w:szCs w:val="20"/>
              </w:rPr>
              <w:t>Impulsar la vinculación con instituciones públicas y privadas para la realización del servicio social, prácticas profesionales o su equivalente y modelo dual por parte de los estudiantes de educación superior.</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0443DC4" w14:textId="77777777" w:rsidR="00E23746" w:rsidRPr="00574DAC" w:rsidRDefault="00E23746" w:rsidP="000B2F10">
            <w:pPr>
              <w:rPr>
                <w:rFonts w:cs="Arial"/>
                <w:sz w:val="20"/>
                <w:szCs w:val="20"/>
              </w:rPr>
            </w:pPr>
            <w:r>
              <w:rPr>
                <w:rFonts w:cs="Arial"/>
                <w:sz w:val="20"/>
                <w:szCs w:val="20"/>
              </w:rPr>
              <w:t>C03</w:t>
            </w:r>
            <w:r w:rsidRPr="00574DAC">
              <w:rPr>
                <w:rFonts w:cs="Arial"/>
                <w:sz w:val="20"/>
                <w:szCs w:val="20"/>
              </w:rPr>
              <w:t>.A0</w:t>
            </w:r>
            <w:r>
              <w:rPr>
                <w:rFonts w:cs="Arial"/>
                <w:sz w:val="20"/>
                <w:szCs w:val="20"/>
              </w:rPr>
              <w:t>4 -</w:t>
            </w:r>
            <w:r w:rsidRPr="00426EC6">
              <w:rPr>
                <w:rFonts w:cs="Arial"/>
                <w:sz w:val="20"/>
                <w:szCs w:val="20"/>
              </w:rPr>
              <w:t>Realización de convenios con instituciones públicas y privadas para la ejecución del servicio social, prácticas profesionales y modelo dual.</w:t>
            </w:r>
          </w:p>
        </w:tc>
        <w:tc>
          <w:tcPr>
            <w:tcW w:w="2268" w:type="dxa"/>
            <w:tcBorders>
              <w:top w:val="single" w:sz="4" w:space="0" w:color="auto"/>
              <w:left w:val="single" w:sz="4" w:space="0" w:color="auto"/>
              <w:bottom w:val="single" w:sz="4" w:space="0" w:color="auto"/>
              <w:right w:val="single" w:sz="4" w:space="0" w:color="auto"/>
            </w:tcBorders>
            <w:shd w:val="clear" w:color="FFFFFF" w:fill="FFFFFF"/>
          </w:tcPr>
          <w:p w14:paraId="05028A5C" w14:textId="77777777" w:rsidR="00E23746" w:rsidRDefault="00E23746" w:rsidP="000B2F10">
            <w:pPr>
              <w:rPr>
                <w:rFonts w:cs="Arial"/>
                <w:sz w:val="20"/>
                <w:szCs w:val="20"/>
              </w:rPr>
            </w:pPr>
            <w:r>
              <w:rPr>
                <w:rFonts w:cs="Arial"/>
                <w:sz w:val="20"/>
                <w:szCs w:val="20"/>
              </w:rPr>
              <w:t>C03A04</w:t>
            </w:r>
            <w:r w:rsidRPr="00574DAC">
              <w:rPr>
                <w:rFonts w:cs="Arial"/>
                <w:sz w:val="20"/>
                <w:szCs w:val="20"/>
              </w:rPr>
              <w:t xml:space="preserve"> -</w:t>
            </w:r>
            <w:r w:rsidRPr="00426EC6">
              <w:rPr>
                <w:rFonts w:cs="Arial"/>
                <w:sz w:val="20"/>
                <w:szCs w:val="20"/>
              </w:rPr>
              <w:t>Total de convenios firmados con instituciones públicas y privadas</w:t>
            </w:r>
            <w:r>
              <w:rPr>
                <w:rFonts w:cs="Arial"/>
                <w:sz w:val="20"/>
                <w:szCs w:val="20"/>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D828C2A" w14:textId="77777777" w:rsidR="00E23746" w:rsidRPr="00EA4D07" w:rsidRDefault="00E23746" w:rsidP="000B2F10">
            <w:pPr>
              <w:rPr>
                <w:rFonts w:cs="Arial"/>
                <w:sz w:val="20"/>
                <w:szCs w:val="20"/>
              </w:rPr>
            </w:pPr>
            <w:r w:rsidRPr="00EA4D07">
              <w:rPr>
                <w:rFonts w:cs="Arial"/>
                <w:sz w:val="20"/>
                <w:szCs w:val="20"/>
              </w:rPr>
              <w:t>Indicadores de la Universidad Politécnica de Bacalar (Departamento de Vinculación y Prácticas Profesionales)</w:t>
            </w:r>
          </w:p>
          <w:p w14:paraId="24480F8F" w14:textId="77777777" w:rsidR="00E23746" w:rsidRPr="00DD34FD" w:rsidRDefault="00E23746" w:rsidP="000B2F10">
            <w:pPr>
              <w:rPr>
                <w:rFonts w:cs="Arial"/>
                <w:sz w:val="20"/>
                <w:szCs w:val="20"/>
              </w:rPr>
            </w:pPr>
            <w:r w:rsidRPr="00EA4D07">
              <w:rPr>
                <w:rFonts w:cs="Arial"/>
                <w:sz w:val="20"/>
                <w:szCs w:val="20"/>
              </w:rPr>
              <w:t>http://www.upb.edu.mx/indicadores/2020-2021</w:t>
            </w:r>
            <w:r>
              <w:rPr>
                <w:rFonts w:cs="Arial"/>
                <w:sz w:val="20"/>
                <w:szCs w:val="20"/>
              </w:rPr>
              <w:t>.</w:t>
            </w:r>
          </w:p>
        </w:tc>
        <w:tc>
          <w:tcPr>
            <w:tcW w:w="1985" w:type="dxa"/>
            <w:tcBorders>
              <w:top w:val="single" w:sz="4" w:space="0" w:color="auto"/>
              <w:left w:val="single" w:sz="4" w:space="0" w:color="auto"/>
              <w:bottom w:val="single" w:sz="4" w:space="0" w:color="auto"/>
              <w:right w:val="single" w:sz="4" w:space="0" w:color="auto"/>
            </w:tcBorders>
            <w:shd w:val="clear" w:color="auto" w:fill="auto"/>
          </w:tcPr>
          <w:p w14:paraId="7B89B4CA" w14:textId="77777777" w:rsidR="00E23746" w:rsidRPr="00DD34FD" w:rsidRDefault="00E23746" w:rsidP="000B2F10">
            <w:pPr>
              <w:rPr>
                <w:rFonts w:cs="Arial"/>
                <w:sz w:val="20"/>
                <w:szCs w:val="20"/>
              </w:rPr>
            </w:pPr>
            <w:r w:rsidRPr="00622E49">
              <w:rPr>
                <w:rFonts w:cs="Arial"/>
                <w:sz w:val="20"/>
                <w:szCs w:val="20"/>
              </w:rPr>
              <w:t>Instituciones públicas y privadas interesadas en firmar convenios con la Institución.</w:t>
            </w:r>
          </w:p>
        </w:tc>
      </w:tr>
    </w:tbl>
    <w:p w14:paraId="5C94405F" w14:textId="77777777" w:rsidR="00E23746" w:rsidRDefault="00E23746" w:rsidP="00E23746">
      <w:pPr>
        <w:rPr>
          <w:rFonts w:eastAsia="Calibri" w:cs="Arial"/>
          <w:bCs/>
          <w:color w:val="595959" w:themeColor="text1" w:themeTint="A6"/>
          <w:sz w:val="18"/>
          <w:szCs w:val="20"/>
        </w:rPr>
      </w:pPr>
      <w:r w:rsidRPr="0093279A">
        <w:rPr>
          <w:rFonts w:eastAsia="Calibri" w:cs="Arial"/>
          <w:bCs/>
          <w:color w:val="595959" w:themeColor="text1" w:themeTint="A6"/>
          <w:sz w:val="18"/>
          <w:szCs w:val="20"/>
        </w:rPr>
        <w:t>El anexo aquí presentado es perfectible, y se encuentra susceptible de modificaciones programáticas toda vez que así se le indique por observaciones de auditorías, evaluaciones al desempeño y revisiones de la Secretaría de Finanzas y Planeación antes y durante el ejercicio fiscal del que se trate, así como también, cuando las condiciones del Ente Público responsable de dicha información programática requiera hacer modificaciones a sus necesidades institucionales, atendiendo a lo establecido en los Lineamientos para la Creación, Modificación y Cancelación de Programas Presupuestarios y para la Modificación de Metas del Gobierno del Estado de Quintana Roo.</w:t>
      </w:r>
    </w:p>
    <w:p w14:paraId="5D05A0DA" w14:textId="77777777" w:rsidR="00E23746" w:rsidRDefault="00E23746" w:rsidP="00E23746">
      <w:pPr>
        <w:rPr>
          <w:lang w:val="es-MX" w:eastAsia="en-US"/>
        </w:rPr>
      </w:pPr>
      <w:r>
        <w:rPr>
          <w:lang w:val="es-MX" w:eastAsia="en-US"/>
        </w:rPr>
        <w:br w:type="page"/>
      </w:r>
    </w:p>
    <w:tbl>
      <w:tblPr>
        <w:tblW w:w="14029" w:type="dxa"/>
        <w:tblLayout w:type="fixed"/>
        <w:tblCellMar>
          <w:left w:w="70" w:type="dxa"/>
          <w:right w:w="70" w:type="dxa"/>
        </w:tblCellMar>
        <w:tblLook w:val="04A0" w:firstRow="1" w:lastRow="0" w:firstColumn="1" w:lastColumn="0" w:noHBand="0" w:noVBand="1"/>
      </w:tblPr>
      <w:tblGrid>
        <w:gridCol w:w="1271"/>
        <w:gridCol w:w="2835"/>
        <w:gridCol w:w="2835"/>
        <w:gridCol w:w="2268"/>
        <w:gridCol w:w="2693"/>
        <w:gridCol w:w="2127"/>
      </w:tblGrid>
      <w:tr w:rsidR="00E23746" w:rsidRPr="00FD08F8" w14:paraId="2EDE45EA" w14:textId="77777777" w:rsidTr="000B2F10">
        <w:trPr>
          <w:trHeight w:val="550"/>
        </w:trPr>
        <w:tc>
          <w:tcPr>
            <w:tcW w:w="4106" w:type="dxa"/>
            <w:gridSpan w:val="2"/>
            <w:tcBorders>
              <w:top w:val="single" w:sz="4" w:space="0" w:color="auto"/>
              <w:left w:val="single" w:sz="4" w:space="0" w:color="auto"/>
              <w:bottom w:val="single" w:sz="4" w:space="0" w:color="auto"/>
              <w:right w:val="single" w:sz="4" w:space="0" w:color="000000"/>
            </w:tcBorders>
            <w:shd w:val="clear" w:color="000000" w:fill="BFBFBF"/>
            <w:vAlign w:val="center"/>
            <w:hideMark/>
          </w:tcPr>
          <w:p w14:paraId="3BF8AD47"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lastRenderedPageBreak/>
              <w:t>PROGRAMA PRESUPUESTARIO:</w:t>
            </w:r>
          </w:p>
        </w:tc>
        <w:tc>
          <w:tcPr>
            <w:tcW w:w="9923" w:type="dxa"/>
            <w:gridSpan w:val="4"/>
            <w:tcBorders>
              <w:top w:val="single" w:sz="4" w:space="0" w:color="auto"/>
              <w:left w:val="nil"/>
              <w:bottom w:val="single" w:sz="4" w:space="0" w:color="auto"/>
              <w:right w:val="single" w:sz="4" w:space="0" w:color="auto"/>
            </w:tcBorders>
            <w:shd w:val="clear" w:color="auto" w:fill="auto"/>
            <w:vAlign w:val="center"/>
            <w:hideMark/>
          </w:tcPr>
          <w:p w14:paraId="4E1C4DB7" w14:textId="77777777" w:rsidR="00E23746" w:rsidRPr="00FD08F8" w:rsidRDefault="00E23746" w:rsidP="000B2F10">
            <w:pPr>
              <w:spacing w:after="0" w:line="240" w:lineRule="auto"/>
              <w:jc w:val="left"/>
              <w:rPr>
                <w:rFonts w:eastAsia="Times New Roman" w:cs="Arial"/>
                <w:sz w:val="20"/>
                <w:szCs w:val="20"/>
                <w:lang w:val="es-MX" w:eastAsia="es-MX"/>
              </w:rPr>
            </w:pPr>
            <w:r w:rsidRPr="002136A2">
              <w:rPr>
                <w:rFonts w:eastAsia="Times New Roman" w:cs="Arial"/>
                <w:sz w:val="20"/>
                <w:szCs w:val="20"/>
                <w:lang w:val="es-MX" w:eastAsia="es-MX"/>
              </w:rPr>
              <w:t>Universidad del Caribe</w:t>
            </w:r>
            <w:r>
              <w:rPr>
                <w:rFonts w:eastAsia="Times New Roman" w:cs="Arial"/>
                <w:sz w:val="20"/>
                <w:szCs w:val="20"/>
                <w:lang w:val="es-MX" w:eastAsia="es-MX"/>
              </w:rPr>
              <w:t>.</w:t>
            </w:r>
          </w:p>
        </w:tc>
      </w:tr>
      <w:tr w:rsidR="00E23746" w:rsidRPr="00FD08F8" w14:paraId="0CCE1A0C" w14:textId="77777777" w:rsidTr="000B2F10">
        <w:trPr>
          <w:trHeight w:val="417"/>
        </w:trPr>
        <w:tc>
          <w:tcPr>
            <w:tcW w:w="4106" w:type="dxa"/>
            <w:gridSpan w:val="2"/>
            <w:tcBorders>
              <w:top w:val="single" w:sz="4" w:space="0" w:color="auto"/>
              <w:left w:val="single" w:sz="4" w:space="0" w:color="auto"/>
              <w:bottom w:val="single" w:sz="4" w:space="0" w:color="auto"/>
              <w:right w:val="single" w:sz="4" w:space="0" w:color="000000"/>
            </w:tcBorders>
            <w:shd w:val="clear" w:color="000000" w:fill="BFBFBF"/>
            <w:vAlign w:val="center"/>
            <w:hideMark/>
          </w:tcPr>
          <w:p w14:paraId="202CF315"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INSTITUCIÓN:</w:t>
            </w:r>
          </w:p>
        </w:tc>
        <w:tc>
          <w:tcPr>
            <w:tcW w:w="9923" w:type="dxa"/>
            <w:gridSpan w:val="4"/>
            <w:tcBorders>
              <w:top w:val="single" w:sz="4" w:space="0" w:color="auto"/>
              <w:left w:val="nil"/>
              <w:bottom w:val="single" w:sz="4" w:space="0" w:color="auto"/>
              <w:right w:val="single" w:sz="4" w:space="0" w:color="auto"/>
            </w:tcBorders>
            <w:shd w:val="clear" w:color="auto" w:fill="auto"/>
            <w:vAlign w:val="center"/>
            <w:hideMark/>
          </w:tcPr>
          <w:p w14:paraId="777634A2" w14:textId="77777777" w:rsidR="00E23746" w:rsidRPr="00FD08F8" w:rsidRDefault="00E23746" w:rsidP="000B2F10">
            <w:pPr>
              <w:spacing w:after="0" w:line="240" w:lineRule="auto"/>
              <w:jc w:val="left"/>
              <w:rPr>
                <w:rFonts w:eastAsia="Times New Roman" w:cs="Arial"/>
                <w:sz w:val="20"/>
                <w:szCs w:val="20"/>
                <w:lang w:val="es-MX" w:eastAsia="es-MX"/>
              </w:rPr>
            </w:pPr>
            <w:r w:rsidRPr="00FD08F8">
              <w:rPr>
                <w:rFonts w:eastAsia="Times New Roman" w:cs="Arial"/>
                <w:sz w:val="20"/>
                <w:szCs w:val="20"/>
                <w:lang w:val="es-MX" w:eastAsia="es-MX"/>
              </w:rPr>
              <w:t>1109 Secretaría de Educación de Quintana Roo</w:t>
            </w:r>
            <w:r>
              <w:rPr>
                <w:rFonts w:eastAsia="Times New Roman" w:cs="Arial"/>
                <w:sz w:val="20"/>
                <w:szCs w:val="20"/>
                <w:lang w:val="es-MX" w:eastAsia="es-MX"/>
              </w:rPr>
              <w:t>.</w:t>
            </w:r>
          </w:p>
        </w:tc>
      </w:tr>
      <w:tr w:rsidR="00E23746" w:rsidRPr="00FD08F8" w14:paraId="3C3CB203" w14:textId="77777777" w:rsidTr="000B2F10">
        <w:trPr>
          <w:trHeight w:val="282"/>
        </w:trPr>
        <w:tc>
          <w:tcPr>
            <w:tcW w:w="1271" w:type="dxa"/>
            <w:tcBorders>
              <w:top w:val="nil"/>
              <w:left w:val="nil"/>
              <w:bottom w:val="nil"/>
              <w:right w:val="nil"/>
            </w:tcBorders>
            <w:shd w:val="clear" w:color="auto" w:fill="auto"/>
            <w:hideMark/>
          </w:tcPr>
          <w:p w14:paraId="59CA071D" w14:textId="77777777" w:rsidR="00E23746" w:rsidRPr="00FD08F8" w:rsidRDefault="00E23746" w:rsidP="000B2F10">
            <w:pPr>
              <w:spacing w:after="0" w:line="240" w:lineRule="auto"/>
              <w:jc w:val="left"/>
              <w:rPr>
                <w:rFonts w:eastAsia="Times New Roman" w:cs="Arial"/>
                <w:sz w:val="20"/>
                <w:szCs w:val="20"/>
                <w:lang w:val="es-MX" w:eastAsia="es-MX"/>
              </w:rPr>
            </w:pPr>
          </w:p>
        </w:tc>
        <w:tc>
          <w:tcPr>
            <w:tcW w:w="2835" w:type="dxa"/>
            <w:tcBorders>
              <w:top w:val="nil"/>
              <w:left w:val="nil"/>
              <w:bottom w:val="nil"/>
              <w:right w:val="nil"/>
            </w:tcBorders>
            <w:shd w:val="clear" w:color="auto" w:fill="auto"/>
            <w:hideMark/>
          </w:tcPr>
          <w:p w14:paraId="367FCBB0" w14:textId="77777777" w:rsidR="00E23746" w:rsidRPr="00FD08F8" w:rsidRDefault="00E23746" w:rsidP="000B2F10">
            <w:pPr>
              <w:spacing w:after="0" w:line="240" w:lineRule="auto"/>
              <w:jc w:val="left"/>
              <w:rPr>
                <w:rFonts w:ascii="Times New Roman" w:eastAsia="Times New Roman" w:hAnsi="Times New Roman" w:cs="Times New Roman"/>
                <w:sz w:val="20"/>
                <w:szCs w:val="20"/>
                <w:lang w:val="es-MX" w:eastAsia="es-MX"/>
              </w:rPr>
            </w:pPr>
          </w:p>
        </w:tc>
        <w:tc>
          <w:tcPr>
            <w:tcW w:w="2835" w:type="dxa"/>
            <w:tcBorders>
              <w:top w:val="nil"/>
              <w:left w:val="nil"/>
              <w:bottom w:val="nil"/>
              <w:right w:val="nil"/>
            </w:tcBorders>
            <w:shd w:val="clear" w:color="auto" w:fill="auto"/>
            <w:hideMark/>
          </w:tcPr>
          <w:p w14:paraId="5FB5E4D8" w14:textId="77777777" w:rsidR="00E23746" w:rsidRPr="00FD08F8" w:rsidRDefault="00E23746" w:rsidP="000B2F10">
            <w:pPr>
              <w:spacing w:after="0" w:line="240" w:lineRule="auto"/>
              <w:jc w:val="left"/>
              <w:rPr>
                <w:rFonts w:ascii="Times New Roman" w:eastAsia="Times New Roman" w:hAnsi="Times New Roman" w:cs="Times New Roman"/>
                <w:sz w:val="20"/>
                <w:szCs w:val="20"/>
                <w:lang w:val="es-MX" w:eastAsia="es-MX"/>
              </w:rPr>
            </w:pPr>
          </w:p>
        </w:tc>
        <w:tc>
          <w:tcPr>
            <w:tcW w:w="2268" w:type="dxa"/>
            <w:tcBorders>
              <w:top w:val="nil"/>
              <w:left w:val="nil"/>
              <w:bottom w:val="nil"/>
              <w:right w:val="nil"/>
            </w:tcBorders>
            <w:shd w:val="clear" w:color="auto" w:fill="auto"/>
            <w:hideMark/>
          </w:tcPr>
          <w:p w14:paraId="60191E5D" w14:textId="77777777" w:rsidR="00E23746" w:rsidRPr="00FD08F8" w:rsidRDefault="00E23746" w:rsidP="000B2F10">
            <w:pPr>
              <w:spacing w:after="0" w:line="240" w:lineRule="auto"/>
              <w:jc w:val="left"/>
              <w:rPr>
                <w:rFonts w:ascii="Times New Roman" w:eastAsia="Times New Roman" w:hAnsi="Times New Roman" w:cs="Times New Roman"/>
                <w:sz w:val="20"/>
                <w:szCs w:val="20"/>
                <w:lang w:val="es-MX" w:eastAsia="es-MX"/>
              </w:rPr>
            </w:pPr>
          </w:p>
        </w:tc>
        <w:tc>
          <w:tcPr>
            <w:tcW w:w="2693" w:type="dxa"/>
            <w:tcBorders>
              <w:top w:val="nil"/>
              <w:left w:val="nil"/>
              <w:bottom w:val="nil"/>
              <w:right w:val="nil"/>
            </w:tcBorders>
            <w:shd w:val="clear" w:color="auto" w:fill="auto"/>
            <w:hideMark/>
          </w:tcPr>
          <w:p w14:paraId="3EAEC534" w14:textId="77777777" w:rsidR="00E23746" w:rsidRPr="00FD08F8" w:rsidRDefault="00E23746" w:rsidP="000B2F10">
            <w:pPr>
              <w:spacing w:after="0" w:line="240" w:lineRule="auto"/>
              <w:jc w:val="left"/>
              <w:rPr>
                <w:rFonts w:ascii="Times New Roman" w:eastAsia="Times New Roman" w:hAnsi="Times New Roman" w:cs="Times New Roman"/>
                <w:sz w:val="20"/>
                <w:szCs w:val="20"/>
                <w:lang w:val="es-MX" w:eastAsia="es-MX"/>
              </w:rPr>
            </w:pPr>
          </w:p>
        </w:tc>
        <w:tc>
          <w:tcPr>
            <w:tcW w:w="2127" w:type="dxa"/>
            <w:tcBorders>
              <w:top w:val="nil"/>
              <w:left w:val="nil"/>
              <w:bottom w:val="nil"/>
              <w:right w:val="nil"/>
            </w:tcBorders>
            <w:shd w:val="clear" w:color="auto" w:fill="auto"/>
            <w:hideMark/>
          </w:tcPr>
          <w:p w14:paraId="51D0398D" w14:textId="77777777" w:rsidR="00E23746" w:rsidRPr="00FD08F8" w:rsidRDefault="00E23746" w:rsidP="000B2F10">
            <w:pPr>
              <w:spacing w:after="0" w:line="240" w:lineRule="auto"/>
              <w:jc w:val="left"/>
              <w:rPr>
                <w:rFonts w:ascii="Times New Roman" w:eastAsia="Times New Roman" w:hAnsi="Times New Roman" w:cs="Times New Roman"/>
                <w:sz w:val="20"/>
                <w:szCs w:val="20"/>
                <w:lang w:val="es-MX" w:eastAsia="es-MX"/>
              </w:rPr>
            </w:pPr>
          </w:p>
        </w:tc>
      </w:tr>
      <w:tr w:rsidR="00E23746" w:rsidRPr="00FD08F8" w14:paraId="4E8D5A98" w14:textId="77777777" w:rsidTr="000B2F10">
        <w:trPr>
          <w:trHeight w:val="375"/>
        </w:trPr>
        <w:tc>
          <w:tcPr>
            <w:tcW w:w="14029" w:type="dxa"/>
            <w:gridSpan w:val="6"/>
            <w:tcBorders>
              <w:top w:val="single" w:sz="4" w:space="0" w:color="auto"/>
              <w:left w:val="single" w:sz="4" w:space="0" w:color="auto"/>
              <w:bottom w:val="single" w:sz="4" w:space="0" w:color="auto"/>
              <w:right w:val="single" w:sz="4" w:space="0" w:color="000000"/>
            </w:tcBorders>
            <w:shd w:val="clear" w:color="000000" w:fill="BFBFBF"/>
            <w:vAlign w:val="center"/>
            <w:hideMark/>
          </w:tcPr>
          <w:p w14:paraId="7F85E41E"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MATRIZ DE INDICADORES PARA RESULTADOS (MIR)</w:t>
            </w:r>
          </w:p>
        </w:tc>
      </w:tr>
      <w:tr w:rsidR="00E23746" w:rsidRPr="00FD08F8" w14:paraId="6FADA134" w14:textId="77777777" w:rsidTr="003D04F9">
        <w:trPr>
          <w:trHeight w:val="461"/>
        </w:trPr>
        <w:tc>
          <w:tcPr>
            <w:tcW w:w="1271" w:type="dxa"/>
            <w:tcBorders>
              <w:top w:val="nil"/>
              <w:left w:val="single" w:sz="4" w:space="0" w:color="auto"/>
              <w:bottom w:val="single" w:sz="4" w:space="0" w:color="auto"/>
              <w:right w:val="single" w:sz="4" w:space="0" w:color="auto"/>
            </w:tcBorders>
            <w:shd w:val="clear" w:color="000000" w:fill="BFBFBF"/>
            <w:vAlign w:val="center"/>
            <w:hideMark/>
          </w:tcPr>
          <w:p w14:paraId="1FD95143"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NIVEL</w:t>
            </w:r>
          </w:p>
        </w:tc>
        <w:tc>
          <w:tcPr>
            <w:tcW w:w="2835" w:type="dxa"/>
            <w:tcBorders>
              <w:top w:val="nil"/>
              <w:left w:val="nil"/>
              <w:bottom w:val="single" w:sz="4" w:space="0" w:color="auto"/>
              <w:right w:val="single" w:sz="4" w:space="0" w:color="auto"/>
            </w:tcBorders>
            <w:shd w:val="clear" w:color="000000" w:fill="BFBFBF"/>
            <w:vAlign w:val="center"/>
            <w:hideMark/>
          </w:tcPr>
          <w:p w14:paraId="6F0F3B39"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ALINEACIÓN PED/PD</w:t>
            </w:r>
          </w:p>
        </w:tc>
        <w:tc>
          <w:tcPr>
            <w:tcW w:w="2835" w:type="dxa"/>
            <w:tcBorders>
              <w:top w:val="nil"/>
              <w:left w:val="nil"/>
              <w:bottom w:val="single" w:sz="4" w:space="0" w:color="auto"/>
              <w:right w:val="single" w:sz="4" w:space="0" w:color="auto"/>
            </w:tcBorders>
            <w:shd w:val="clear" w:color="000000" w:fill="BFBFBF"/>
            <w:vAlign w:val="center"/>
            <w:hideMark/>
          </w:tcPr>
          <w:p w14:paraId="365FE947"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OBJETIVO</w:t>
            </w:r>
          </w:p>
        </w:tc>
        <w:tc>
          <w:tcPr>
            <w:tcW w:w="2268" w:type="dxa"/>
            <w:tcBorders>
              <w:top w:val="nil"/>
              <w:left w:val="nil"/>
              <w:bottom w:val="single" w:sz="4" w:space="0" w:color="auto"/>
              <w:right w:val="single" w:sz="4" w:space="0" w:color="auto"/>
            </w:tcBorders>
            <w:shd w:val="clear" w:color="000000" w:fill="BFBFBF"/>
            <w:vAlign w:val="center"/>
            <w:hideMark/>
          </w:tcPr>
          <w:p w14:paraId="18850E1B"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INDICADOR</w:t>
            </w:r>
          </w:p>
        </w:tc>
        <w:tc>
          <w:tcPr>
            <w:tcW w:w="2693" w:type="dxa"/>
            <w:tcBorders>
              <w:top w:val="nil"/>
              <w:left w:val="nil"/>
              <w:bottom w:val="single" w:sz="4" w:space="0" w:color="auto"/>
              <w:right w:val="single" w:sz="4" w:space="0" w:color="auto"/>
            </w:tcBorders>
            <w:shd w:val="clear" w:color="000000" w:fill="BFBFBF"/>
            <w:vAlign w:val="center"/>
            <w:hideMark/>
          </w:tcPr>
          <w:p w14:paraId="437AD5F5"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MEDIOS DE VERIFICACIÓN</w:t>
            </w:r>
          </w:p>
        </w:tc>
        <w:tc>
          <w:tcPr>
            <w:tcW w:w="2127" w:type="dxa"/>
            <w:tcBorders>
              <w:top w:val="nil"/>
              <w:left w:val="nil"/>
              <w:bottom w:val="single" w:sz="4" w:space="0" w:color="auto"/>
              <w:right w:val="single" w:sz="4" w:space="0" w:color="auto"/>
            </w:tcBorders>
            <w:shd w:val="clear" w:color="000000" w:fill="BFBFBF"/>
            <w:vAlign w:val="center"/>
            <w:hideMark/>
          </w:tcPr>
          <w:p w14:paraId="5A6F0207"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SUPUESTO</w:t>
            </w:r>
          </w:p>
        </w:tc>
      </w:tr>
      <w:tr w:rsidR="00E23746" w:rsidRPr="00FD08F8" w14:paraId="03601BE1" w14:textId="77777777" w:rsidTr="003D04F9">
        <w:trPr>
          <w:trHeight w:val="2136"/>
        </w:trPr>
        <w:tc>
          <w:tcPr>
            <w:tcW w:w="1271" w:type="dxa"/>
            <w:tcBorders>
              <w:top w:val="single" w:sz="4" w:space="0" w:color="auto"/>
              <w:left w:val="single" w:sz="4" w:space="0" w:color="auto"/>
              <w:bottom w:val="single" w:sz="4" w:space="0" w:color="auto"/>
              <w:right w:val="single" w:sz="4" w:space="0" w:color="auto"/>
            </w:tcBorders>
            <w:shd w:val="clear" w:color="auto" w:fill="auto"/>
            <w:hideMark/>
          </w:tcPr>
          <w:p w14:paraId="730E3FD9"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Fin</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4B460B2" w14:textId="77777777" w:rsidR="00E23746" w:rsidRPr="00634003" w:rsidRDefault="00E23746" w:rsidP="000B2F10">
            <w:pPr>
              <w:rPr>
                <w:rFonts w:cs="Arial"/>
                <w:sz w:val="20"/>
                <w:szCs w:val="20"/>
              </w:rPr>
            </w:pPr>
            <w:r w:rsidRPr="00634003">
              <w:rPr>
                <w:rFonts w:cs="Arial"/>
                <w:sz w:val="20"/>
                <w:szCs w:val="20"/>
              </w:rPr>
              <w:t>Garantizar el acceso y permanencia a una educación inclusiva y de calidad en todos los niveles educativos que promueva en los educandos aprendizajes para la vida.</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6EE3FB1" w14:textId="77777777" w:rsidR="00E23746" w:rsidRPr="00634003" w:rsidRDefault="00E23746" w:rsidP="000B2F10">
            <w:pPr>
              <w:rPr>
                <w:rFonts w:cs="Arial"/>
                <w:sz w:val="20"/>
                <w:szCs w:val="20"/>
              </w:rPr>
            </w:pPr>
            <w:r w:rsidRPr="00634003">
              <w:rPr>
                <w:rFonts w:cs="Arial"/>
                <w:sz w:val="20"/>
                <w:szCs w:val="20"/>
              </w:rPr>
              <w:t>F - Contribuir a garantizar el acceso y permanencia a una educación inclusiva y de calidad en todos los niveles educativos que promueva en los educandos aprendizajes para la vida mediante estrategias de atención a la demanda y permanencia en todos los niveles educativos.</w:t>
            </w:r>
          </w:p>
        </w:tc>
        <w:tc>
          <w:tcPr>
            <w:tcW w:w="2268" w:type="dxa"/>
            <w:tcBorders>
              <w:top w:val="single" w:sz="4" w:space="0" w:color="auto"/>
              <w:left w:val="single" w:sz="4" w:space="0" w:color="auto"/>
              <w:bottom w:val="single" w:sz="4" w:space="0" w:color="auto"/>
              <w:right w:val="single" w:sz="4" w:space="0" w:color="auto"/>
            </w:tcBorders>
            <w:shd w:val="clear" w:color="FFFFFF" w:fill="FFFFFF"/>
          </w:tcPr>
          <w:p w14:paraId="4D0E3787" w14:textId="77777777" w:rsidR="00E23746" w:rsidRPr="00634003" w:rsidRDefault="00E23746" w:rsidP="000B2F10">
            <w:pPr>
              <w:rPr>
                <w:rFonts w:cs="Arial"/>
                <w:sz w:val="20"/>
                <w:szCs w:val="20"/>
              </w:rPr>
            </w:pPr>
            <w:r w:rsidRPr="00634003">
              <w:rPr>
                <w:rFonts w:cs="Arial"/>
                <w:sz w:val="20"/>
                <w:szCs w:val="20"/>
              </w:rPr>
              <w:t>Tasa de cobertura estatal de educación superior.</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57501CC" w14:textId="77777777" w:rsidR="00E23746" w:rsidRPr="00634003" w:rsidRDefault="00E23746" w:rsidP="000B2F10">
            <w:pPr>
              <w:rPr>
                <w:rFonts w:cs="Arial"/>
                <w:sz w:val="20"/>
                <w:szCs w:val="20"/>
              </w:rPr>
            </w:pPr>
            <w:r w:rsidRPr="00572B26">
              <w:rPr>
                <w:rFonts w:cs="Arial"/>
                <w:sz w:val="20"/>
                <w:szCs w:val="20"/>
              </w:rPr>
              <w:t>Estadísticas continúas del formato 911, matrícula de inicio de ciclo escolar, SEQ. Proyecciones de población por edad desplegada, entidad federativa (Quintana Roo) 1970-2050, CONAPO. Liga:qroo.gob.mx/seq/medios-de-verificacion-de-la-planeacion-anual</w:t>
            </w:r>
            <w:r>
              <w:rPr>
                <w:rFonts w:cs="Arial"/>
                <w:sz w:val="20"/>
                <w:szCs w:val="20"/>
              </w:rPr>
              <w:t>.</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64D2BB16" w14:textId="77777777" w:rsidR="00E23746" w:rsidRPr="00634003" w:rsidRDefault="00E23746" w:rsidP="000B2F10">
            <w:pPr>
              <w:rPr>
                <w:rFonts w:cs="Arial"/>
                <w:sz w:val="20"/>
                <w:szCs w:val="20"/>
              </w:rPr>
            </w:pPr>
            <w:r w:rsidRPr="00634003">
              <w:rPr>
                <w:rFonts w:cs="Arial"/>
                <w:sz w:val="20"/>
                <w:szCs w:val="20"/>
              </w:rPr>
              <w:t>La población del Estado obtiene una educación integral de calidad que les permite progresar individual y colectivamente.</w:t>
            </w:r>
          </w:p>
        </w:tc>
      </w:tr>
      <w:tr w:rsidR="00E23746" w:rsidRPr="00C4101B" w14:paraId="1A34F761" w14:textId="77777777" w:rsidTr="003D04F9">
        <w:trPr>
          <w:trHeight w:val="2393"/>
        </w:trPr>
        <w:tc>
          <w:tcPr>
            <w:tcW w:w="1271" w:type="dxa"/>
            <w:tcBorders>
              <w:top w:val="single" w:sz="4" w:space="0" w:color="auto"/>
              <w:left w:val="single" w:sz="4" w:space="0" w:color="auto"/>
              <w:bottom w:val="single" w:sz="4" w:space="0" w:color="auto"/>
              <w:right w:val="single" w:sz="4" w:space="0" w:color="auto"/>
            </w:tcBorders>
            <w:shd w:val="clear" w:color="auto" w:fill="auto"/>
            <w:hideMark/>
          </w:tcPr>
          <w:p w14:paraId="191A34E6"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Propósito</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D6C0AD6" w14:textId="77777777" w:rsidR="00E23746" w:rsidRDefault="00E23746" w:rsidP="000B2F10">
            <w:pPr>
              <w:rPr>
                <w:rFonts w:cs="Arial"/>
                <w:sz w:val="18"/>
                <w:szCs w:val="20"/>
              </w:rPr>
            </w:pPr>
            <w:r w:rsidRPr="001D2E9B">
              <w:rPr>
                <w:rFonts w:cs="Arial"/>
                <w:sz w:val="18"/>
                <w:szCs w:val="20"/>
              </w:rPr>
              <w:t>Asegurar la calidad de la formación profesional a través de programas y proyectos que favorezcan la continuidad y conclusión de los estudiantes de educación superior, acorde a las necesidades que requiere el desarrollo social y económico del estado.</w:t>
            </w:r>
          </w:p>
          <w:p w14:paraId="54E87ED2" w14:textId="77777777" w:rsidR="00E23746" w:rsidRPr="001D2E9B" w:rsidRDefault="00E23746" w:rsidP="000B2F10">
            <w:pPr>
              <w:rPr>
                <w:rFonts w:cs="Arial"/>
                <w:sz w:val="18"/>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6561846" w14:textId="77777777" w:rsidR="00E23746" w:rsidRPr="001D2E9B" w:rsidRDefault="00E23746" w:rsidP="000B2F10">
            <w:pPr>
              <w:rPr>
                <w:rFonts w:cs="Arial"/>
                <w:sz w:val="18"/>
                <w:szCs w:val="20"/>
              </w:rPr>
            </w:pPr>
            <w:r w:rsidRPr="001D2E9B">
              <w:rPr>
                <w:rFonts w:cs="Arial"/>
                <w:sz w:val="18"/>
                <w:szCs w:val="20"/>
              </w:rPr>
              <w:t>P - Los alumnos de educación superior aseguran la continuidad y conclusión de sus estudios a través de programas y proyectos que favorezcan la calidad de la formación profesional.</w:t>
            </w:r>
          </w:p>
        </w:tc>
        <w:tc>
          <w:tcPr>
            <w:tcW w:w="2268" w:type="dxa"/>
            <w:tcBorders>
              <w:top w:val="single" w:sz="4" w:space="0" w:color="auto"/>
              <w:left w:val="single" w:sz="4" w:space="0" w:color="auto"/>
              <w:bottom w:val="single" w:sz="4" w:space="0" w:color="auto"/>
              <w:right w:val="single" w:sz="4" w:space="0" w:color="auto"/>
            </w:tcBorders>
            <w:shd w:val="clear" w:color="FFFFFF" w:fill="FFFFFF"/>
          </w:tcPr>
          <w:p w14:paraId="5FEE3B66" w14:textId="77777777" w:rsidR="00E23746" w:rsidRPr="001D2E9B" w:rsidRDefault="00E23746" w:rsidP="000B2F10">
            <w:pPr>
              <w:rPr>
                <w:rFonts w:cs="Arial"/>
                <w:sz w:val="18"/>
                <w:szCs w:val="20"/>
              </w:rPr>
            </w:pPr>
            <w:r w:rsidRPr="001D2E9B">
              <w:rPr>
                <w:rFonts w:cs="Arial"/>
                <w:sz w:val="18"/>
                <w:szCs w:val="20"/>
              </w:rPr>
              <w:t>Tasa de eficiencia terminal de educación superior.</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169AF91" w14:textId="77777777" w:rsidR="00E23746" w:rsidRPr="001D2E9B" w:rsidRDefault="00E23746" w:rsidP="000B2F10">
            <w:pPr>
              <w:rPr>
                <w:rFonts w:cs="Arial"/>
                <w:sz w:val="18"/>
                <w:szCs w:val="20"/>
              </w:rPr>
            </w:pPr>
            <w:r w:rsidRPr="001D2E9B">
              <w:rPr>
                <w:rFonts w:cs="Arial"/>
                <w:sz w:val="18"/>
                <w:szCs w:val="20"/>
              </w:rPr>
              <w:t>Estadísticas continúas del formato 911 inicio de ciclo escolar, SEQ.Liga:qroo.gob.mx/seq/medios-de-verificacion-de-la-planeacion-anual.</w:t>
            </w:r>
          </w:p>
        </w:tc>
        <w:tc>
          <w:tcPr>
            <w:tcW w:w="2127" w:type="dxa"/>
            <w:tcBorders>
              <w:top w:val="single" w:sz="4" w:space="0" w:color="auto"/>
              <w:left w:val="single" w:sz="4" w:space="0" w:color="auto"/>
              <w:bottom w:val="single" w:sz="4" w:space="0" w:color="auto"/>
              <w:right w:val="single" w:sz="4" w:space="0" w:color="auto"/>
            </w:tcBorders>
            <w:shd w:val="clear" w:color="FFFFFF" w:fill="FFFFFF"/>
          </w:tcPr>
          <w:p w14:paraId="5E811CA6" w14:textId="77777777" w:rsidR="00E23746" w:rsidRPr="001D2E9B" w:rsidRDefault="00E23746" w:rsidP="000B2F10">
            <w:pPr>
              <w:rPr>
                <w:rFonts w:cs="Arial"/>
                <w:sz w:val="18"/>
                <w:szCs w:val="20"/>
              </w:rPr>
            </w:pPr>
            <w:r w:rsidRPr="001D2E9B">
              <w:rPr>
                <w:rFonts w:cs="Arial"/>
                <w:sz w:val="18"/>
                <w:szCs w:val="20"/>
              </w:rPr>
              <w:t>Los alumnos de educación superior concluyen sus estudios.</w:t>
            </w:r>
          </w:p>
        </w:tc>
      </w:tr>
    </w:tbl>
    <w:p w14:paraId="1C27E3B2" w14:textId="77777777" w:rsidR="0080241C" w:rsidRDefault="0080241C">
      <w:pPr>
        <w:spacing w:after="0" w:line="240" w:lineRule="auto"/>
        <w:jc w:val="left"/>
      </w:pPr>
      <w:r>
        <w:br w:type="page"/>
      </w:r>
    </w:p>
    <w:tbl>
      <w:tblPr>
        <w:tblW w:w="14029" w:type="dxa"/>
        <w:tblLayout w:type="fixed"/>
        <w:tblCellMar>
          <w:left w:w="70" w:type="dxa"/>
          <w:right w:w="70" w:type="dxa"/>
        </w:tblCellMar>
        <w:tblLook w:val="04A0" w:firstRow="1" w:lastRow="0" w:firstColumn="1" w:lastColumn="0" w:noHBand="0" w:noVBand="1"/>
      </w:tblPr>
      <w:tblGrid>
        <w:gridCol w:w="1413"/>
        <w:gridCol w:w="2693"/>
        <w:gridCol w:w="2835"/>
        <w:gridCol w:w="2268"/>
        <w:gridCol w:w="2693"/>
        <w:gridCol w:w="2127"/>
      </w:tblGrid>
      <w:tr w:rsidR="00E23746" w:rsidRPr="00FD08F8" w14:paraId="4CCEFD53" w14:textId="77777777" w:rsidTr="00BE5E45">
        <w:trPr>
          <w:trHeight w:val="461"/>
        </w:trPr>
        <w:tc>
          <w:tcPr>
            <w:tcW w:w="1413"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7D030D5D"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lastRenderedPageBreak/>
              <w:t>NIVEL</w:t>
            </w:r>
          </w:p>
        </w:tc>
        <w:tc>
          <w:tcPr>
            <w:tcW w:w="2693" w:type="dxa"/>
            <w:tcBorders>
              <w:top w:val="single" w:sz="4" w:space="0" w:color="auto"/>
              <w:left w:val="nil"/>
              <w:bottom w:val="single" w:sz="4" w:space="0" w:color="auto"/>
              <w:right w:val="single" w:sz="4" w:space="0" w:color="auto"/>
            </w:tcBorders>
            <w:shd w:val="clear" w:color="000000" w:fill="BFBFBF"/>
            <w:vAlign w:val="center"/>
            <w:hideMark/>
          </w:tcPr>
          <w:p w14:paraId="7924B3C6"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ALINEACIÓN PED/PD</w:t>
            </w:r>
          </w:p>
        </w:tc>
        <w:tc>
          <w:tcPr>
            <w:tcW w:w="2835" w:type="dxa"/>
            <w:tcBorders>
              <w:top w:val="single" w:sz="4" w:space="0" w:color="auto"/>
              <w:left w:val="nil"/>
              <w:bottom w:val="single" w:sz="4" w:space="0" w:color="auto"/>
              <w:right w:val="single" w:sz="4" w:space="0" w:color="auto"/>
            </w:tcBorders>
            <w:shd w:val="clear" w:color="000000" w:fill="BFBFBF"/>
            <w:vAlign w:val="center"/>
            <w:hideMark/>
          </w:tcPr>
          <w:p w14:paraId="1011B10A"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OBJETIVO</w:t>
            </w:r>
          </w:p>
        </w:tc>
        <w:tc>
          <w:tcPr>
            <w:tcW w:w="2268" w:type="dxa"/>
            <w:tcBorders>
              <w:top w:val="single" w:sz="4" w:space="0" w:color="auto"/>
              <w:left w:val="nil"/>
              <w:bottom w:val="single" w:sz="4" w:space="0" w:color="auto"/>
              <w:right w:val="single" w:sz="4" w:space="0" w:color="auto"/>
            </w:tcBorders>
            <w:shd w:val="clear" w:color="000000" w:fill="BFBFBF"/>
            <w:vAlign w:val="center"/>
            <w:hideMark/>
          </w:tcPr>
          <w:p w14:paraId="11C174B9"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INDICADOR</w:t>
            </w:r>
          </w:p>
        </w:tc>
        <w:tc>
          <w:tcPr>
            <w:tcW w:w="2693" w:type="dxa"/>
            <w:tcBorders>
              <w:top w:val="single" w:sz="4" w:space="0" w:color="auto"/>
              <w:left w:val="nil"/>
              <w:bottom w:val="single" w:sz="4" w:space="0" w:color="auto"/>
              <w:right w:val="single" w:sz="4" w:space="0" w:color="auto"/>
            </w:tcBorders>
            <w:shd w:val="clear" w:color="000000" w:fill="BFBFBF"/>
            <w:vAlign w:val="center"/>
            <w:hideMark/>
          </w:tcPr>
          <w:p w14:paraId="45A79780"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MEDIOS DE VERIFICACIÓN</w:t>
            </w:r>
          </w:p>
        </w:tc>
        <w:tc>
          <w:tcPr>
            <w:tcW w:w="2127" w:type="dxa"/>
            <w:tcBorders>
              <w:top w:val="single" w:sz="4" w:space="0" w:color="auto"/>
              <w:left w:val="nil"/>
              <w:bottom w:val="single" w:sz="4" w:space="0" w:color="auto"/>
              <w:right w:val="single" w:sz="4" w:space="0" w:color="auto"/>
            </w:tcBorders>
            <w:shd w:val="clear" w:color="000000" w:fill="BFBFBF"/>
            <w:vAlign w:val="center"/>
            <w:hideMark/>
          </w:tcPr>
          <w:p w14:paraId="496BEF7A"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SUPUESTO</w:t>
            </w:r>
          </w:p>
        </w:tc>
      </w:tr>
      <w:tr w:rsidR="00E23746" w:rsidRPr="00FD08F8" w14:paraId="1FC17143" w14:textId="77777777" w:rsidTr="00BE5E45">
        <w:trPr>
          <w:trHeight w:val="940"/>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14:paraId="3BD94978"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Componente</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9E46526" w14:textId="77777777" w:rsidR="00E23746" w:rsidRPr="00DD34FD" w:rsidRDefault="00E23746" w:rsidP="000B2F10">
            <w:pPr>
              <w:rPr>
                <w:rFonts w:cs="Arial"/>
                <w:sz w:val="20"/>
                <w:szCs w:val="20"/>
              </w:rPr>
            </w:pPr>
            <w:r w:rsidRPr="00087FDC">
              <w:rPr>
                <w:rFonts w:cs="Arial"/>
                <w:sz w:val="20"/>
                <w:szCs w:val="20"/>
              </w:rPr>
              <w:t>Fortalecer la oferta educativa de las instituciones de educación superior para asegurar la pertinencia con base en las necesidades de la entidad.</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A093380" w14:textId="77777777" w:rsidR="00E23746" w:rsidRPr="00DD34FD" w:rsidRDefault="00E23746" w:rsidP="000B2F10">
            <w:pPr>
              <w:rPr>
                <w:rFonts w:cs="Arial"/>
                <w:sz w:val="20"/>
                <w:szCs w:val="20"/>
              </w:rPr>
            </w:pPr>
            <w:r w:rsidRPr="00574DAC">
              <w:rPr>
                <w:rFonts w:cs="Arial"/>
                <w:sz w:val="20"/>
                <w:szCs w:val="20"/>
              </w:rPr>
              <w:t>C01</w:t>
            </w:r>
            <w:r>
              <w:rPr>
                <w:rFonts w:cs="Arial"/>
                <w:sz w:val="20"/>
                <w:szCs w:val="20"/>
              </w:rPr>
              <w:t xml:space="preserve"> </w:t>
            </w:r>
            <w:r w:rsidRPr="00574DAC">
              <w:rPr>
                <w:rFonts w:cs="Arial"/>
                <w:sz w:val="20"/>
                <w:szCs w:val="20"/>
              </w:rPr>
              <w:t>-</w:t>
            </w:r>
            <w:r w:rsidRPr="0008445A">
              <w:rPr>
                <w:rFonts w:cs="Arial"/>
                <w:sz w:val="20"/>
                <w:szCs w:val="20"/>
              </w:rPr>
              <w:t xml:space="preserve">Educación superior con calidad y pertinencia impartida. </w:t>
            </w:r>
            <w:r>
              <w:t xml:space="preserve"> </w:t>
            </w:r>
          </w:p>
        </w:tc>
        <w:tc>
          <w:tcPr>
            <w:tcW w:w="2268" w:type="dxa"/>
            <w:tcBorders>
              <w:top w:val="single" w:sz="4" w:space="0" w:color="auto"/>
              <w:left w:val="single" w:sz="4" w:space="0" w:color="auto"/>
              <w:bottom w:val="single" w:sz="4" w:space="0" w:color="auto"/>
              <w:right w:val="single" w:sz="4" w:space="0" w:color="auto"/>
            </w:tcBorders>
            <w:shd w:val="clear" w:color="FFFFFF" w:fill="FFFFFF"/>
          </w:tcPr>
          <w:p w14:paraId="7E09A763" w14:textId="77777777" w:rsidR="00E23746" w:rsidRPr="00DD34FD" w:rsidRDefault="00E23746" w:rsidP="000B2F10">
            <w:pPr>
              <w:rPr>
                <w:rFonts w:cs="Arial"/>
                <w:sz w:val="20"/>
                <w:szCs w:val="20"/>
              </w:rPr>
            </w:pPr>
            <w:r w:rsidRPr="00574DAC">
              <w:rPr>
                <w:rFonts w:cs="Arial"/>
                <w:sz w:val="20"/>
                <w:szCs w:val="20"/>
              </w:rPr>
              <w:t>C01</w:t>
            </w:r>
            <w:r>
              <w:rPr>
                <w:rFonts w:cs="Arial"/>
                <w:sz w:val="20"/>
                <w:szCs w:val="20"/>
              </w:rPr>
              <w:t xml:space="preserve"> </w:t>
            </w:r>
            <w:r w:rsidRPr="00574DAC">
              <w:rPr>
                <w:rFonts w:cs="Arial"/>
                <w:sz w:val="20"/>
                <w:szCs w:val="20"/>
              </w:rPr>
              <w:t>-</w:t>
            </w:r>
            <w:r w:rsidRPr="00393A1D">
              <w:rPr>
                <w:rFonts w:cs="Arial"/>
                <w:sz w:val="20"/>
                <w:szCs w:val="20"/>
              </w:rPr>
              <w:t>Matrícula atendida</w:t>
            </w:r>
            <w:r>
              <w:rPr>
                <w:rFonts w:cs="Arial"/>
                <w:sz w:val="20"/>
                <w:szCs w:val="20"/>
              </w:rPr>
              <w:t>.</w:t>
            </w:r>
            <w: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36784C3" w14:textId="77777777" w:rsidR="00E23746" w:rsidRPr="00DD34FD" w:rsidRDefault="00E23746" w:rsidP="000B2F10">
            <w:pPr>
              <w:rPr>
                <w:rFonts w:cs="Arial"/>
                <w:sz w:val="20"/>
                <w:szCs w:val="20"/>
              </w:rPr>
            </w:pPr>
            <w:r w:rsidRPr="00393A1D">
              <w:rPr>
                <w:rFonts w:cs="Arial"/>
                <w:sz w:val="20"/>
                <w:szCs w:val="20"/>
              </w:rPr>
              <w:t>Estadísticas continúas de formato 911 inicio de ciclo escolar</w:t>
            </w:r>
            <w:r>
              <w:rPr>
                <w:rFonts w:cs="Arial"/>
                <w:sz w:val="20"/>
                <w:szCs w:val="20"/>
              </w:rPr>
              <w:t>.</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55D1A29" w14:textId="77777777" w:rsidR="00E23746" w:rsidRPr="00DD34FD" w:rsidRDefault="00E23746" w:rsidP="000B2F10">
            <w:pPr>
              <w:rPr>
                <w:rFonts w:cs="Arial"/>
                <w:sz w:val="20"/>
                <w:szCs w:val="20"/>
              </w:rPr>
            </w:pPr>
            <w:r w:rsidRPr="004D6594">
              <w:rPr>
                <w:rFonts w:cs="Arial"/>
                <w:sz w:val="20"/>
                <w:szCs w:val="20"/>
              </w:rPr>
              <w:t>Los estudiantes que egresan del nivel educativo medio superior continúan sus estudios de tipo superior en la Entidad.</w:t>
            </w:r>
          </w:p>
        </w:tc>
      </w:tr>
      <w:tr w:rsidR="00E23746" w:rsidRPr="00FD08F8" w14:paraId="2E062B4A" w14:textId="77777777" w:rsidTr="00BE5E45">
        <w:trPr>
          <w:trHeight w:val="415"/>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14:paraId="5B22CD10"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Actividad</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121C1B7" w14:textId="77777777" w:rsidR="00E23746" w:rsidRPr="00DD34FD" w:rsidRDefault="00E23746" w:rsidP="000B2F10">
            <w:pPr>
              <w:rPr>
                <w:rFonts w:cs="Arial"/>
                <w:sz w:val="20"/>
                <w:szCs w:val="20"/>
              </w:rPr>
            </w:pPr>
            <w:r w:rsidRPr="00087FDC">
              <w:rPr>
                <w:rFonts w:cs="Arial"/>
                <w:sz w:val="20"/>
                <w:szCs w:val="20"/>
              </w:rPr>
              <w:t>Desarrollar una estrategia integral que permita ampliar la cobertura educativa de nivel superior en las IES</w:t>
            </w:r>
            <w:r>
              <w:rPr>
                <w:rFonts w:cs="Arial"/>
                <w:sz w:val="20"/>
                <w:szCs w:val="20"/>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71180B0" w14:textId="77777777" w:rsidR="00E23746" w:rsidRPr="00DD34FD" w:rsidRDefault="00E23746" w:rsidP="000B2F10">
            <w:pPr>
              <w:rPr>
                <w:rFonts w:cs="Arial"/>
                <w:sz w:val="20"/>
                <w:szCs w:val="20"/>
              </w:rPr>
            </w:pPr>
            <w:r w:rsidRPr="00574DAC">
              <w:rPr>
                <w:rFonts w:cs="Arial"/>
                <w:sz w:val="20"/>
                <w:szCs w:val="20"/>
              </w:rPr>
              <w:t>C01.A0</w:t>
            </w:r>
            <w:r>
              <w:rPr>
                <w:rFonts w:cs="Arial"/>
                <w:sz w:val="20"/>
                <w:szCs w:val="20"/>
              </w:rPr>
              <w:t>1 -</w:t>
            </w:r>
            <w:r w:rsidRPr="00B83DB7">
              <w:rPr>
                <w:rFonts w:cs="Arial"/>
                <w:sz w:val="20"/>
                <w:szCs w:val="20"/>
              </w:rPr>
              <w:t>Incorporación de estudiantes a programas de educación superior</w:t>
            </w:r>
            <w:r>
              <w:rPr>
                <w:rFonts w:cs="Arial"/>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shd w:val="clear" w:color="FFFFFF" w:fill="FFFFFF"/>
          </w:tcPr>
          <w:p w14:paraId="2582DFC4" w14:textId="77777777" w:rsidR="00E23746" w:rsidRPr="00DD34FD" w:rsidRDefault="00E23746" w:rsidP="000B2F10">
            <w:pPr>
              <w:rPr>
                <w:rFonts w:cs="Arial"/>
                <w:sz w:val="20"/>
                <w:szCs w:val="20"/>
              </w:rPr>
            </w:pPr>
            <w:r w:rsidRPr="00574DAC">
              <w:rPr>
                <w:rFonts w:cs="Arial"/>
                <w:sz w:val="20"/>
                <w:szCs w:val="20"/>
              </w:rPr>
              <w:t>C01A01 -</w:t>
            </w:r>
            <w:r w:rsidRPr="000C2540">
              <w:rPr>
                <w:rFonts w:cs="Arial"/>
                <w:sz w:val="20"/>
                <w:szCs w:val="20"/>
              </w:rPr>
              <w:t>Porcentaje de absorción de estudiantes</w:t>
            </w:r>
            <w:r>
              <w:rPr>
                <w:rFonts w:cs="Arial"/>
                <w:sz w:val="20"/>
                <w:szCs w:val="20"/>
              </w:rPr>
              <w:t>.</w:t>
            </w:r>
            <w: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8CF3766" w14:textId="77777777" w:rsidR="00E23746" w:rsidRPr="00DD34FD" w:rsidRDefault="00E23746" w:rsidP="000B2F10">
            <w:pPr>
              <w:rPr>
                <w:rFonts w:cs="Arial"/>
                <w:sz w:val="20"/>
                <w:szCs w:val="20"/>
              </w:rPr>
            </w:pPr>
            <w:r w:rsidRPr="00901835">
              <w:rPr>
                <w:rFonts w:cs="Arial"/>
                <w:sz w:val="20"/>
                <w:szCs w:val="20"/>
              </w:rPr>
              <w:t>Reporte de inscritos a inicio de cursos del ciclo escolar. del Depto. de Servicio Escolares. http://www.unicaribe.mx/pagina/obligaciones-transparencia</w:t>
            </w:r>
            <w:r>
              <w:rPr>
                <w:rFonts w:cs="Arial"/>
                <w:sz w:val="20"/>
                <w:szCs w:val="20"/>
              </w:rPr>
              <w:t>.</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08D0BB0" w14:textId="77777777" w:rsidR="00E23746" w:rsidRPr="00DD34FD" w:rsidRDefault="00E23746" w:rsidP="000B2F10">
            <w:pPr>
              <w:rPr>
                <w:rFonts w:cs="Arial"/>
                <w:sz w:val="20"/>
                <w:szCs w:val="20"/>
              </w:rPr>
            </w:pPr>
            <w:r w:rsidRPr="00B93166">
              <w:rPr>
                <w:rFonts w:cs="Arial"/>
                <w:sz w:val="20"/>
                <w:szCs w:val="20"/>
              </w:rPr>
              <w:t>Los aspirantes y alumnos cumplen con los requisitos y se incorporan en los programas educativos ofertados.</w:t>
            </w:r>
          </w:p>
        </w:tc>
      </w:tr>
      <w:tr w:rsidR="00E23746" w:rsidRPr="00FD08F8" w14:paraId="0772A893" w14:textId="77777777" w:rsidTr="00BE5E45">
        <w:trPr>
          <w:trHeight w:val="415"/>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14:paraId="3DB7933E"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Actividad</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69897CD" w14:textId="77777777" w:rsidR="00E23746" w:rsidRPr="00DD34FD" w:rsidRDefault="00E23746" w:rsidP="000B2F10">
            <w:pPr>
              <w:rPr>
                <w:rFonts w:cs="Arial"/>
                <w:sz w:val="20"/>
                <w:szCs w:val="20"/>
              </w:rPr>
            </w:pPr>
            <w:r w:rsidRPr="00087FDC">
              <w:rPr>
                <w:rFonts w:cs="Arial"/>
                <w:sz w:val="20"/>
                <w:szCs w:val="20"/>
              </w:rPr>
              <w:t>Fortalecer los programas de asesoría, tutoría y acompa</w:t>
            </w:r>
            <w:r>
              <w:rPr>
                <w:rFonts w:cs="Arial"/>
                <w:sz w:val="20"/>
                <w:szCs w:val="20"/>
              </w:rPr>
              <w:t>ña</w:t>
            </w:r>
            <w:r w:rsidRPr="00087FDC">
              <w:rPr>
                <w:rFonts w:cs="Arial"/>
                <w:sz w:val="20"/>
                <w:szCs w:val="20"/>
              </w:rPr>
              <w:t xml:space="preserve">miento académico, programas de becas y apoyos a fin de mejorar el desempeño académico, permanencia </w:t>
            </w:r>
            <w:r>
              <w:rPr>
                <w:rFonts w:cs="Arial"/>
                <w:sz w:val="20"/>
                <w:szCs w:val="20"/>
              </w:rPr>
              <w:t>escolar y la eficiencia terminal.</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7046AFD" w14:textId="77777777" w:rsidR="00E23746" w:rsidRPr="00DD34FD" w:rsidRDefault="00E23746" w:rsidP="000B2F10">
            <w:pPr>
              <w:rPr>
                <w:rFonts w:cs="Arial"/>
                <w:sz w:val="20"/>
                <w:szCs w:val="20"/>
              </w:rPr>
            </w:pPr>
            <w:r w:rsidRPr="00574DAC">
              <w:rPr>
                <w:rFonts w:cs="Arial"/>
                <w:sz w:val="20"/>
                <w:szCs w:val="20"/>
              </w:rPr>
              <w:t>C01.A0</w:t>
            </w:r>
            <w:r>
              <w:rPr>
                <w:rFonts w:cs="Arial"/>
                <w:sz w:val="20"/>
                <w:szCs w:val="20"/>
              </w:rPr>
              <w:t xml:space="preserve">2 - </w:t>
            </w:r>
            <w:r w:rsidRPr="00C02AF1">
              <w:rPr>
                <w:rFonts w:cs="Arial"/>
                <w:sz w:val="20"/>
                <w:szCs w:val="20"/>
              </w:rPr>
              <w:t>Retención y titulación de estudiantes en los programas educativos</w:t>
            </w:r>
            <w:r>
              <w:rPr>
                <w:rFonts w:cs="Arial"/>
                <w:sz w:val="20"/>
                <w:szCs w:val="20"/>
              </w:rPr>
              <w:t>.</w:t>
            </w:r>
          </w:p>
        </w:tc>
        <w:tc>
          <w:tcPr>
            <w:tcW w:w="2268" w:type="dxa"/>
            <w:tcBorders>
              <w:top w:val="single" w:sz="4" w:space="0" w:color="auto"/>
              <w:left w:val="single" w:sz="4" w:space="0" w:color="auto"/>
              <w:bottom w:val="single" w:sz="4" w:space="0" w:color="auto"/>
              <w:right w:val="single" w:sz="4" w:space="0" w:color="auto"/>
            </w:tcBorders>
            <w:shd w:val="clear" w:color="FFFFFF" w:fill="FFFFFF"/>
          </w:tcPr>
          <w:p w14:paraId="2F894BBF" w14:textId="77777777" w:rsidR="00E23746" w:rsidRPr="00DD34FD" w:rsidRDefault="00E23746" w:rsidP="000B2F10">
            <w:pPr>
              <w:rPr>
                <w:rFonts w:cs="Arial"/>
                <w:sz w:val="20"/>
                <w:szCs w:val="20"/>
              </w:rPr>
            </w:pPr>
            <w:r>
              <w:rPr>
                <w:rFonts w:cs="Arial"/>
                <w:sz w:val="20"/>
                <w:szCs w:val="20"/>
              </w:rPr>
              <w:t>C01A02I01</w:t>
            </w:r>
            <w:r w:rsidRPr="00574DAC">
              <w:rPr>
                <w:rFonts w:cs="Arial"/>
                <w:sz w:val="20"/>
                <w:szCs w:val="20"/>
              </w:rPr>
              <w:t xml:space="preserve"> -</w:t>
            </w:r>
            <w:r w:rsidRPr="00045423">
              <w:rPr>
                <w:rFonts w:cs="Arial"/>
                <w:sz w:val="20"/>
                <w:szCs w:val="20"/>
              </w:rPr>
              <w:t>Porcentaje de estudiantes que se reinscriben en el periodo actual con respecto a la matrícula anterior</w:t>
            </w:r>
            <w:r>
              <w:rPr>
                <w:rFonts w:cs="Arial"/>
                <w:sz w:val="20"/>
                <w:szCs w:val="20"/>
              </w:rPr>
              <w:t>.</w:t>
            </w:r>
            <w:r w:rsidRPr="00F338C4">
              <w:rPr>
                <w:rFonts w:cs="Arial"/>
                <w:sz w:val="20"/>
                <w:szCs w:val="20"/>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12B9E13" w14:textId="77777777" w:rsidR="00E23746" w:rsidRPr="00DD34FD" w:rsidRDefault="00E23746" w:rsidP="000B2F10">
            <w:pPr>
              <w:rPr>
                <w:rFonts w:cs="Arial"/>
                <w:sz w:val="20"/>
                <w:szCs w:val="20"/>
              </w:rPr>
            </w:pPr>
            <w:r w:rsidRPr="00045423">
              <w:rPr>
                <w:rFonts w:cs="Arial"/>
                <w:sz w:val="20"/>
                <w:szCs w:val="20"/>
              </w:rPr>
              <w:t>Reporte de estudiantes reinscritos a inicio de cursos del ciclo escolar. del Depto. de Servicio Escolares. http://www.unicaribe.mx/pagina/obligaciones-transparencia</w:t>
            </w:r>
            <w:r>
              <w:rPr>
                <w:rFonts w:cs="Arial"/>
                <w:sz w:val="20"/>
                <w:szCs w:val="20"/>
              </w:rPr>
              <w:t>.</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15C27E1" w14:textId="77777777" w:rsidR="00E23746" w:rsidRPr="00DD34FD" w:rsidRDefault="00E23746" w:rsidP="000B2F10">
            <w:pPr>
              <w:rPr>
                <w:rFonts w:cs="Arial"/>
                <w:sz w:val="20"/>
                <w:szCs w:val="20"/>
              </w:rPr>
            </w:pPr>
            <w:r w:rsidRPr="00045423">
              <w:rPr>
                <w:rFonts w:cs="Arial"/>
                <w:sz w:val="20"/>
                <w:szCs w:val="20"/>
              </w:rPr>
              <w:t>Los estudiantes mantienen su estatus de "regular" para continuar inscritos en la institución.</w:t>
            </w:r>
          </w:p>
        </w:tc>
      </w:tr>
    </w:tbl>
    <w:p w14:paraId="6D3D33C3" w14:textId="77777777" w:rsidR="0080241C" w:rsidRDefault="0080241C">
      <w:pPr>
        <w:spacing w:after="0" w:line="240" w:lineRule="auto"/>
        <w:jc w:val="left"/>
      </w:pPr>
      <w:r>
        <w:br w:type="page"/>
      </w:r>
    </w:p>
    <w:tbl>
      <w:tblPr>
        <w:tblW w:w="14029" w:type="dxa"/>
        <w:tblLayout w:type="fixed"/>
        <w:tblCellMar>
          <w:left w:w="70" w:type="dxa"/>
          <w:right w:w="70" w:type="dxa"/>
        </w:tblCellMar>
        <w:tblLook w:val="04A0" w:firstRow="1" w:lastRow="0" w:firstColumn="1" w:lastColumn="0" w:noHBand="0" w:noVBand="1"/>
      </w:tblPr>
      <w:tblGrid>
        <w:gridCol w:w="1271"/>
        <w:gridCol w:w="2835"/>
        <w:gridCol w:w="2835"/>
        <w:gridCol w:w="2268"/>
        <w:gridCol w:w="2693"/>
        <w:gridCol w:w="2127"/>
      </w:tblGrid>
      <w:tr w:rsidR="00E23746" w:rsidRPr="00FD08F8" w14:paraId="517E625A" w14:textId="77777777" w:rsidTr="003D04F9">
        <w:trPr>
          <w:trHeight w:val="461"/>
        </w:trPr>
        <w:tc>
          <w:tcPr>
            <w:tcW w:w="1271"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058168DB"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lastRenderedPageBreak/>
              <w:t>NIVEL</w:t>
            </w:r>
          </w:p>
        </w:tc>
        <w:tc>
          <w:tcPr>
            <w:tcW w:w="2835" w:type="dxa"/>
            <w:tcBorders>
              <w:top w:val="single" w:sz="4" w:space="0" w:color="auto"/>
              <w:left w:val="nil"/>
              <w:bottom w:val="single" w:sz="4" w:space="0" w:color="auto"/>
              <w:right w:val="single" w:sz="4" w:space="0" w:color="auto"/>
            </w:tcBorders>
            <w:shd w:val="clear" w:color="000000" w:fill="BFBFBF"/>
            <w:vAlign w:val="center"/>
            <w:hideMark/>
          </w:tcPr>
          <w:p w14:paraId="50A048EA"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ALINEACIÓN PED/PD</w:t>
            </w:r>
          </w:p>
        </w:tc>
        <w:tc>
          <w:tcPr>
            <w:tcW w:w="2835" w:type="dxa"/>
            <w:tcBorders>
              <w:top w:val="single" w:sz="4" w:space="0" w:color="auto"/>
              <w:left w:val="nil"/>
              <w:bottom w:val="single" w:sz="4" w:space="0" w:color="auto"/>
              <w:right w:val="single" w:sz="4" w:space="0" w:color="auto"/>
            </w:tcBorders>
            <w:shd w:val="clear" w:color="000000" w:fill="BFBFBF"/>
            <w:vAlign w:val="center"/>
            <w:hideMark/>
          </w:tcPr>
          <w:p w14:paraId="301A0B0E"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OBJETIVO</w:t>
            </w:r>
          </w:p>
        </w:tc>
        <w:tc>
          <w:tcPr>
            <w:tcW w:w="2268" w:type="dxa"/>
            <w:tcBorders>
              <w:top w:val="single" w:sz="4" w:space="0" w:color="auto"/>
              <w:left w:val="nil"/>
              <w:bottom w:val="single" w:sz="4" w:space="0" w:color="auto"/>
              <w:right w:val="single" w:sz="4" w:space="0" w:color="auto"/>
            </w:tcBorders>
            <w:shd w:val="clear" w:color="000000" w:fill="BFBFBF"/>
            <w:vAlign w:val="center"/>
            <w:hideMark/>
          </w:tcPr>
          <w:p w14:paraId="7226EDF3"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INDICADOR</w:t>
            </w:r>
          </w:p>
        </w:tc>
        <w:tc>
          <w:tcPr>
            <w:tcW w:w="2693" w:type="dxa"/>
            <w:tcBorders>
              <w:top w:val="single" w:sz="4" w:space="0" w:color="auto"/>
              <w:left w:val="nil"/>
              <w:bottom w:val="single" w:sz="4" w:space="0" w:color="auto"/>
              <w:right w:val="single" w:sz="4" w:space="0" w:color="auto"/>
            </w:tcBorders>
            <w:shd w:val="clear" w:color="000000" w:fill="BFBFBF"/>
            <w:vAlign w:val="center"/>
            <w:hideMark/>
          </w:tcPr>
          <w:p w14:paraId="5A83899F"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MEDIOS DE VERIFICACIÓN</w:t>
            </w:r>
          </w:p>
        </w:tc>
        <w:tc>
          <w:tcPr>
            <w:tcW w:w="2127" w:type="dxa"/>
            <w:tcBorders>
              <w:top w:val="single" w:sz="4" w:space="0" w:color="auto"/>
              <w:left w:val="nil"/>
              <w:bottom w:val="single" w:sz="4" w:space="0" w:color="auto"/>
              <w:right w:val="single" w:sz="4" w:space="0" w:color="auto"/>
            </w:tcBorders>
            <w:shd w:val="clear" w:color="000000" w:fill="BFBFBF"/>
            <w:vAlign w:val="center"/>
            <w:hideMark/>
          </w:tcPr>
          <w:p w14:paraId="03438CD4"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SUPUESTO</w:t>
            </w:r>
          </w:p>
        </w:tc>
      </w:tr>
      <w:tr w:rsidR="00067C3F" w:rsidRPr="00FD08F8" w14:paraId="29C8E7E1" w14:textId="77777777" w:rsidTr="003D04F9">
        <w:trPr>
          <w:trHeight w:val="415"/>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A353467" w14:textId="5E7690F0" w:rsidR="00067C3F" w:rsidRPr="00FD08F8" w:rsidRDefault="00067C3F" w:rsidP="00067C3F">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Actividad</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6283FFD" w14:textId="77777777" w:rsidR="00067C3F" w:rsidRPr="00087FDC" w:rsidRDefault="00067C3F" w:rsidP="00067C3F">
            <w:pPr>
              <w:rPr>
                <w:rFonts w:cs="Arial"/>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12BBCC8" w14:textId="05A33782" w:rsidR="00067C3F" w:rsidRPr="00574DAC" w:rsidRDefault="00067C3F" w:rsidP="00067C3F">
            <w:pPr>
              <w:rPr>
                <w:rFonts w:cs="Arial"/>
                <w:sz w:val="20"/>
                <w:szCs w:val="20"/>
              </w:rPr>
            </w:pPr>
            <w:r w:rsidRPr="00574DAC">
              <w:rPr>
                <w:rFonts w:cs="Arial"/>
                <w:sz w:val="20"/>
                <w:szCs w:val="20"/>
              </w:rPr>
              <w:t>C01.A0</w:t>
            </w:r>
            <w:r>
              <w:rPr>
                <w:rFonts w:cs="Arial"/>
                <w:sz w:val="20"/>
                <w:szCs w:val="20"/>
              </w:rPr>
              <w:t xml:space="preserve">2 - </w:t>
            </w:r>
            <w:r w:rsidRPr="00C02AF1">
              <w:rPr>
                <w:rFonts w:cs="Arial"/>
                <w:sz w:val="20"/>
                <w:szCs w:val="20"/>
              </w:rPr>
              <w:t>Retención y titulación de estudiantes en los programas educativos</w:t>
            </w:r>
            <w:r>
              <w:rPr>
                <w:rFonts w:cs="Arial"/>
                <w:sz w:val="20"/>
                <w:szCs w:val="20"/>
              </w:rPr>
              <w:t>.</w:t>
            </w:r>
          </w:p>
        </w:tc>
        <w:tc>
          <w:tcPr>
            <w:tcW w:w="2268" w:type="dxa"/>
            <w:tcBorders>
              <w:top w:val="single" w:sz="4" w:space="0" w:color="auto"/>
              <w:left w:val="single" w:sz="4" w:space="0" w:color="auto"/>
              <w:bottom w:val="single" w:sz="4" w:space="0" w:color="auto"/>
              <w:right w:val="single" w:sz="4" w:space="0" w:color="auto"/>
            </w:tcBorders>
            <w:shd w:val="clear" w:color="FFFFFF" w:fill="FFFFFF"/>
          </w:tcPr>
          <w:p w14:paraId="75F5FF66" w14:textId="6195346A" w:rsidR="00067C3F" w:rsidRDefault="00067C3F" w:rsidP="00067C3F">
            <w:pPr>
              <w:rPr>
                <w:rFonts w:cs="Arial"/>
                <w:sz w:val="20"/>
                <w:szCs w:val="20"/>
              </w:rPr>
            </w:pPr>
            <w:r w:rsidRPr="00365A8A">
              <w:rPr>
                <w:rFonts w:cs="Arial"/>
                <w:color w:val="595959" w:themeColor="text1" w:themeTint="A6"/>
                <w:sz w:val="20"/>
                <w:szCs w:val="20"/>
              </w:rPr>
              <w:t xml:space="preserve">C01A02I02 -Porcentaje </w:t>
            </w:r>
            <w:r w:rsidRPr="00461B05">
              <w:rPr>
                <w:rFonts w:cs="Arial"/>
                <w:sz w:val="20"/>
                <w:szCs w:val="20"/>
              </w:rPr>
              <w:t>de egresados que se titula respecto al total de egresados</w:t>
            </w:r>
            <w:r>
              <w:rPr>
                <w:rFonts w:cs="Arial"/>
                <w:sz w:val="20"/>
                <w:szCs w:val="20"/>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953D57A" w14:textId="3408BD92" w:rsidR="00067C3F" w:rsidRPr="00FF209A" w:rsidRDefault="00067C3F" w:rsidP="00067C3F">
            <w:pPr>
              <w:rPr>
                <w:rFonts w:cs="Arial"/>
                <w:sz w:val="20"/>
                <w:szCs w:val="20"/>
              </w:rPr>
            </w:pPr>
            <w:r w:rsidRPr="00461B05">
              <w:rPr>
                <w:rFonts w:cs="Arial"/>
                <w:sz w:val="20"/>
                <w:szCs w:val="20"/>
              </w:rPr>
              <w:t>Reporte de titulados al cierre del ejercicio fiscal del Depto. de Servicio Escolares. http://www.unicaribe.mx/pagina/obligaciones-transparencia</w:t>
            </w:r>
            <w:r>
              <w:rPr>
                <w:rFonts w:cs="Arial"/>
                <w:sz w:val="20"/>
                <w:szCs w:val="20"/>
              </w:rPr>
              <w:t>.</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031990A" w14:textId="4E5D5591" w:rsidR="00067C3F" w:rsidRPr="00FF209A" w:rsidRDefault="00067C3F" w:rsidP="00067C3F">
            <w:pPr>
              <w:rPr>
                <w:rFonts w:cs="Arial"/>
                <w:sz w:val="20"/>
                <w:szCs w:val="20"/>
              </w:rPr>
            </w:pPr>
            <w:r w:rsidRPr="00DD6FCF">
              <w:rPr>
                <w:rFonts w:cs="Arial"/>
                <w:sz w:val="20"/>
                <w:szCs w:val="20"/>
              </w:rPr>
              <w:t>La plataforma para titulación de la DGP de la SEP opera con regularidad</w:t>
            </w:r>
            <w:r>
              <w:rPr>
                <w:rFonts w:cs="Arial"/>
                <w:sz w:val="20"/>
                <w:szCs w:val="20"/>
              </w:rPr>
              <w:t>.</w:t>
            </w:r>
          </w:p>
        </w:tc>
      </w:tr>
      <w:tr w:rsidR="00E23746" w:rsidRPr="00FD08F8" w14:paraId="6500FAAA" w14:textId="77777777" w:rsidTr="003D04F9">
        <w:trPr>
          <w:trHeight w:val="415"/>
        </w:trPr>
        <w:tc>
          <w:tcPr>
            <w:tcW w:w="1271" w:type="dxa"/>
            <w:tcBorders>
              <w:top w:val="single" w:sz="4" w:space="0" w:color="auto"/>
              <w:left w:val="single" w:sz="4" w:space="0" w:color="auto"/>
              <w:bottom w:val="single" w:sz="4" w:space="0" w:color="auto"/>
              <w:right w:val="single" w:sz="4" w:space="0" w:color="auto"/>
            </w:tcBorders>
            <w:shd w:val="clear" w:color="auto" w:fill="auto"/>
            <w:hideMark/>
          </w:tcPr>
          <w:p w14:paraId="788FFF85"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Actividad</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74A8694" w14:textId="77777777" w:rsidR="00E23746" w:rsidRDefault="00E23746" w:rsidP="000B2F10">
            <w:pPr>
              <w:rPr>
                <w:rFonts w:cs="Arial"/>
                <w:sz w:val="20"/>
                <w:szCs w:val="20"/>
              </w:rPr>
            </w:pPr>
            <w:r w:rsidRPr="00087FDC">
              <w:rPr>
                <w:rFonts w:cs="Arial"/>
                <w:sz w:val="20"/>
                <w:szCs w:val="20"/>
              </w:rPr>
              <w:t>Fortalecer los programas de asesoría, tutoría y acompa</w:t>
            </w:r>
            <w:r>
              <w:rPr>
                <w:rFonts w:cs="Arial"/>
                <w:sz w:val="20"/>
                <w:szCs w:val="20"/>
              </w:rPr>
              <w:t>ña</w:t>
            </w:r>
            <w:r w:rsidRPr="00087FDC">
              <w:rPr>
                <w:rFonts w:cs="Arial"/>
                <w:sz w:val="20"/>
                <w:szCs w:val="20"/>
              </w:rPr>
              <w:t xml:space="preserve">miento académico, programas de becas y apoyos a fin de mejorar el desempeño académico, permanencia </w:t>
            </w:r>
            <w:r>
              <w:rPr>
                <w:rFonts w:cs="Arial"/>
                <w:sz w:val="20"/>
                <w:szCs w:val="20"/>
              </w:rPr>
              <w:t>escolar y la eficiencia terminal.</w:t>
            </w:r>
          </w:p>
          <w:p w14:paraId="1119BFF3" w14:textId="77777777" w:rsidR="00E23746" w:rsidRPr="00DD34FD" w:rsidRDefault="00E23746" w:rsidP="000B2F10">
            <w:pPr>
              <w:rPr>
                <w:rFonts w:cs="Arial"/>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3E57B23" w14:textId="77777777" w:rsidR="00E23746" w:rsidRPr="00DD34FD" w:rsidRDefault="00E23746" w:rsidP="000B2F10">
            <w:pPr>
              <w:rPr>
                <w:rFonts w:cs="Arial"/>
                <w:sz w:val="20"/>
                <w:szCs w:val="20"/>
              </w:rPr>
            </w:pPr>
            <w:r w:rsidRPr="00574DAC">
              <w:rPr>
                <w:rFonts w:cs="Arial"/>
                <w:sz w:val="20"/>
                <w:szCs w:val="20"/>
              </w:rPr>
              <w:t>C01.A0</w:t>
            </w:r>
            <w:r>
              <w:rPr>
                <w:rFonts w:cs="Arial"/>
                <w:sz w:val="20"/>
                <w:szCs w:val="20"/>
              </w:rPr>
              <w:t>3 -</w:t>
            </w:r>
            <w:r w:rsidRPr="00CF4190">
              <w:rPr>
                <w:rFonts w:cs="Arial"/>
                <w:sz w:val="20"/>
                <w:szCs w:val="20"/>
              </w:rPr>
              <w:t>Impartición y evaluación de conocimientos teóricos y prácticos en el estudiante</w:t>
            </w:r>
            <w:r>
              <w:rPr>
                <w:rFonts w:cs="Arial"/>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shd w:val="clear" w:color="FFFFFF" w:fill="FFFFFF"/>
          </w:tcPr>
          <w:p w14:paraId="35B1A77C" w14:textId="77777777" w:rsidR="00E23746" w:rsidRPr="00DD34FD" w:rsidRDefault="00E23746" w:rsidP="000B2F10">
            <w:pPr>
              <w:rPr>
                <w:rFonts w:cs="Arial"/>
                <w:sz w:val="20"/>
                <w:szCs w:val="20"/>
              </w:rPr>
            </w:pPr>
            <w:r>
              <w:rPr>
                <w:rFonts w:cs="Arial"/>
                <w:sz w:val="20"/>
                <w:szCs w:val="20"/>
              </w:rPr>
              <w:t>C01A03</w:t>
            </w:r>
            <w:r w:rsidRPr="00574DAC">
              <w:rPr>
                <w:rFonts w:cs="Arial"/>
                <w:sz w:val="20"/>
                <w:szCs w:val="20"/>
              </w:rPr>
              <w:t xml:space="preserve"> -</w:t>
            </w:r>
            <w:r>
              <w:t xml:space="preserve"> </w:t>
            </w:r>
            <w:r w:rsidRPr="00B52B7D">
              <w:rPr>
                <w:rFonts w:cs="Arial"/>
                <w:sz w:val="20"/>
                <w:szCs w:val="20"/>
              </w:rPr>
              <w:t>Tasa de aprobación de las asignaturas impartidas</w:t>
            </w:r>
            <w:r>
              <w:rPr>
                <w:rFonts w:cs="Arial"/>
                <w:sz w:val="20"/>
                <w:szCs w:val="20"/>
              </w:rPr>
              <w:t>.</w:t>
            </w:r>
            <w:r w:rsidRPr="00F338C4">
              <w:rPr>
                <w:rFonts w:cs="Arial"/>
                <w:sz w:val="20"/>
                <w:szCs w:val="20"/>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B731B9B" w14:textId="77777777" w:rsidR="00E23746" w:rsidRPr="00DD34FD" w:rsidRDefault="00E23746" w:rsidP="000B2F10">
            <w:pPr>
              <w:rPr>
                <w:rFonts w:cs="Arial"/>
                <w:sz w:val="20"/>
                <w:szCs w:val="20"/>
              </w:rPr>
            </w:pPr>
            <w:r w:rsidRPr="00FF209A">
              <w:rPr>
                <w:rFonts w:cs="Arial"/>
                <w:sz w:val="20"/>
                <w:szCs w:val="20"/>
              </w:rPr>
              <w:t>Reporte de evaluación de los aprendizajes (calificaciones) del Departamento de Servicios Escolares. http://www.unicaribe.mx/pagina/obligaciones-transparencia</w:t>
            </w:r>
            <w:r>
              <w:rPr>
                <w:rFonts w:cs="Arial"/>
                <w:sz w:val="20"/>
                <w:szCs w:val="20"/>
              </w:rPr>
              <w:t>.</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9F7082A" w14:textId="77777777" w:rsidR="00E23746" w:rsidRPr="00DD34FD" w:rsidRDefault="00E23746" w:rsidP="000B2F10">
            <w:pPr>
              <w:rPr>
                <w:rFonts w:cs="Arial"/>
                <w:sz w:val="20"/>
                <w:szCs w:val="20"/>
              </w:rPr>
            </w:pPr>
            <w:r w:rsidRPr="00FF209A">
              <w:rPr>
                <w:rFonts w:cs="Arial"/>
                <w:sz w:val="20"/>
                <w:szCs w:val="20"/>
              </w:rPr>
              <w:t>Los estudiantes cursan y acreditan las asignaturas a la que se inscribieron.</w:t>
            </w:r>
          </w:p>
        </w:tc>
      </w:tr>
    </w:tbl>
    <w:p w14:paraId="47BAE03D" w14:textId="77777777" w:rsidR="0080241C" w:rsidRDefault="0080241C">
      <w:pPr>
        <w:spacing w:after="0" w:line="240" w:lineRule="auto"/>
        <w:jc w:val="left"/>
      </w:pPr>
      <w:r>
        <w:br w:type="page"/>
      </w:r>
    </w:p>
    <w:tbl>
      <w:tblPr>
        <w:tblW w:w="14029" w:type="dxa"/>
        <w:tblLayout w:type="fixed"/>
        <w:tblCellMar>
          <w:left w:w="70" w:type="dxa"/>
          <w:right w:w="70" w:type="dxa"/>
        </w:tblCellMar>
        <w:tblLook w:val="04A0" w:firstRow="1" w:lastRow="0" w:firstColumn="1" w:lastColumn="0" w:noHBand="0" w:noVBand="1"/>
      </w:tblPr>
      <w:tblGrid>
        <w:gridCol w:w="1413"/>
        <w:gridCol w:w="2693"/>
        <w:gridCol w:w="2835"/>
        <w:gridCol w:w="2268"/>
        <w:gridCol w:w="2693"/>
        <w:gridCol w:w="2127"/>
      </w:tblGrid>
      <w:tr w:rsidR="00E23746" w:rsidRPr="00FD08F8" w14:paraId="29FBF2DE" w14:textId="77777777" w:rsidTr="00067C3F">
        <w:trPr>
          <w:trHeight w:val="461"/>
        </w:trPr>
        <w:tc>
          <w:tcPr>
            <w:tcW w:w="1413"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235FECFE"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lastRenderedPageBreak/>
              <w:t>NIVEL</w:t>
            </w:r>
          </w:p>
        </w:tc>
        <w:tc>
          <w:tcPr>
            <w:tcW w:w="2693" w:type="dxa"/>
            <w:tcBorders>
              <w:top w:val="single" w:sz="4" w:space="0" w:color="auto"/>
              <w:left w:val="nil"/>
              <w:bottom w:val="single" w:sz="4" w:space="0" w:color="auto"/>
              <w:right w:val="single" w:sz="4" w:space="0" w:color="auto"/>
            </w:tcBorders>
            <w:shd w:val="clear" w:color="000000" w:fill="BFBFBF"/>
            <w:vAlign w:val="center"/>
            <w:hideMark/>
          </w:tcPr>
          <w:p w14:paraId="321396AE"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ALINEACIÓN PED/PD</w:t>
            </w:r>
          </w:p>
        </w:tc>
        <w:tc>
          <w:tcPr>
            <w:tcW w:w="2835" w:type="dxa"/>
            <w:tcBorders>
              <w:top w:val="single" w:sz="4" w:space="0" w:color="auto"/>
              <w:left w:val="nil"/>
              <w:bottom w:val="single" w:sz="4" w:space="0" w:color="auto"/>
              <w:right w:val="single" w:sz="4" w:space="0" w:color="auto"/>
            </w:tcBorders>
            <w:shd w:val="clear" w:color="000000" w:fill="BFBFBF"/>
            <w:vAlign w:val="center"/>
            <w:hideMark/>
          </w:tcPr>
          <w:p w14:paraId="348852D9"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OBJETIVO</w:t>
            </w:r>
          </w:p>
        </w:tc>
        <w:tc>
          <w:tcPr>
            <w:tcW w:w="2268" w:type="dxa"/>
            <w:tcBorders>
              <w:top w:val="single" w:sz="4" w:space="0" w:color="auto"/>
              <w:left w:val="nil"/>
              <w:bottom w:val="single" w:sz="4" w:space="0" w:color="auto"/>
              <w:right w:val="single" w:sz="4" w:space="0" w:color="auto"/>
            </w:tcBorders>
            <w:shd w:val="clear" w:color="000000" w:fill="BFBFBF"/>
            <w:vAlign w:val="center"/>
            <w:hideMark/>
          </w:tcPr>
          <w:p w14:paraId="6CDF2D2A"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INDICADOR</w:t>
            </w:r>
          </w:p>
        </w:tc>
        <w:tc>
          <w:tcPr>
            <w:tcW w:w="2693" w:type="dxa"/>
            <w:tcBorders>
              <w:top w:val="single" w:sz="4" w:space="0" w:color="auto"/>
              <w:left w:val="nil"/>
              <w:bottom w:val="single" w:sz="4" w:space="0" w:color="auto"/>
              <w:right w:val="single" w:sz="4" w:space="0" w:color="auto"/>
            </w:tcBorders>
            <w:shd w:val="clear" w:color="000000" w:fill="BFBFBF"/>
            <w:vAlign w:val="center"/>
            <w:hideMark/>
          </w:tcPr>
          <w:p w14:paraId="48D49865"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MEDIOS DE VERIFICACIÓN</w:t>
            </w:r>
          </w:p>
        </w:tc>
        <w:tc>
          <w:tcPr>
            <w:tcW w:w="2127" w:type="dxa"/>
            <w:tcBorders>
              <w:top w:val="single" w:sz="4" w:space="0" w:color="auto"/>
              <w:left w:val="nil"/>
              <w:bottom w:val="single" w:sz="4" w:space="0" w:color="auto"/>
              <w:right w:val="single" w:sz="4" w:space="0" w:color="auto"/>
            </w:tcBorders>
            <w:shd w:val="clear" w:color="000000" w:fill="BFBFBF"/>
            <w:vAlign w:val="center"/>
            <w:hideMark/>
          </w:tcPr>
          <w:p w14:paraId="1EE74983"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SUPUESTO</w:t>
            </w:r>
          </w:p>
        </w:tc>
      </w:tr>
      <w:tr w:rsidR="003D4BC3" w:rsidRPr="00FD08F8" w14:paraId="53D2D0A7" w14:textId="77777777" w:rsidTr="00067C3F">
        <w:trPr>
          <w:trHeight w:val="415"/>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11BAB7D2" w14:textId="4C3BC3E5" w:rsidR="003D4BC3" w:rsidRPr="00FD08F8" w:rsidRDefault="003D4BC3" w:rsidP="003D4BC3">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Actividad</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32AB5D3" w14:textId="2BD71524" w:rsidR="003D4BC3" w:rsidRPr="00922414" w:rsidRDefault="003D4BC3" w:rsidP="003D4BC3">
            <w:pPr>
              <w:rPr>
                <w:rFonts w:cs="Arial"/>
                <w:sz w:val="20"/>
                <w:szCs w:val="20"/>
              </w:rPr>
            </w:pPr>
            <w:r w:rsidRPr="00922414">
              <w:rPr>
                <w:rFonts w:cs="Arial"/>
                <w:sz w:val="20"/>
                <w:szCs w:val="20"/>
              </w:rPr>
              <w:t>Fortalecer la oferta educativa de las instituciones de educación superior para asegurar la pertinencia con base en las necesidades de la entidad.</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88E44E1" w14:textId="7552BD99" w:rsidR="003D4BC3" w:rsidRPr="00574DAC" w:rsidRDefault="003D4BC3" w:rsidP="003D4BC3">
            <w:pPr>
              <w:rPr>
                <w:rFonts w:cs="Arial"/>
                <w:sz w:val="20"/>
                <w:szCs w:val="20"/>
              </w:rPr>
            </w:pPr>
            <w:r w:rsidRPr="00574DAC">
              <w:rPr>
                <w:rFonts w:cs="Arial"/>
                <w:sz w:val="20"/>
                <w:szCs w:val="20"/>
              </w:rPr>
              <w:t>C01.A0</w:t>
            </w:r>
            <w:r>
              <w:rPr>
                <w:rFonts w:cs="Arial"/>
                <w:sz w:val="20"/>
                <w:szCs w:val="20"/>
              </w:rPr>
              <w:t xml:space="preserve">4 - </w:t>
            </w:r>
            <w:r w:rsidRPr="00715791">
              <w:rPr>
                <w:rFonts w:cs="Arial"/>
                <w:sz w:val="20"/>
                <w:szCs w:val="20"/>
              </w:rPr>
              <w:t>Participación de estudiantes en actividades de formación integral, sostenibilidad y cuidado de la salud</w:t>
            </w:r>
            <w:r>
              <w:rPr>
                <w:rFonts w:cs="Arial"/>
                <w:sz w:val="20"/>
                <w:szCs w:val="20"/>
              </w:rPr>
              <w:t>.</w:t>
            </w:r>
          </w:p>
        </w:tc>
        <w:tc>
          <w:tcPr>
            <w:tcW w:w="2268" w:type="dxa"/>
            <w:tcBorders>
              <w:top w:val="single" w:sz="4" w:space="0" w:color="auto"/>
              <w:left w:val="single" w:sz="4" w:space="0" w:color="auto"/>
              <w:bottom w:val="single" w:sz="4" w:space="0" w:color="auto"/>
              <w:right w:val="single" w:sz="4" w:space="0" w:color="auto"/>
            </w:tcBorders>
            <w:shd w:val="clear" w:color="FFFFFF" w:fill="FFFFFF"/>
          </w:tcPr>
          <w:p w14:paraId="64F554C9" w14:textId="02408747" w:rsidR="003D4BC3" w:rsidRDefault="003D4BC3" w:rsidP="003D4BC3">
            <w:pPr>
              <w:rPr>
                <w:rFonts w:cs="Arial"/>
                <w:sz w:val="20"/>
                <w:szCs w:val="20"/>
              </w:rPr>
            </w:pPr>
            <w:r>
              <w:rPr>
                <w:rFonts w:cs="Arial"/>
                <w:sz w:val="20"/>
                <w:szCs w:val="20"/>
              </w:rPr>
              <w:t>C01A04</w:t>
            </w:r>
            <w:r w:rsidRPr="00574DAC">
              <w:rPr>
                <w:rFonts w:cs="Arial"/>
                <w:sz w:val="20"/>
                <w:szCs w:val="20"/>
              </w:rPr>
              <w:t xml:space="preserve"> -</w:t>
            </w:r>
            <w:r>
              <w:t xml:space="preserve"> </w:t>
            </w:r>
            <w:r w:rsidRPr="00B52B7D">
              <w:rPr>
                <w:rFonts w:cs="Arial"/>
                <w:sz w:val="20"/>
                <w:szCs w:val="20"/>
              </w:rPr>
              <w:t>Porcentaje de Estudiantes que reciben acciones de formación integral</w:t>
            </w:r>
            <w:r>
              <w:rPr>
                <w:rFonts w:cs="Arial"/>
                <w:sz w:val="20"/>
                <w:szCs w:val="20"/>
              </w:rPr>
              <w:t>.</w:t>
            </w:r>
            <w:r w:rsidRPr="00F338C4">
              <w:rPr>
                <w:rFonts w:cs="Arial"/>
                <w:sz w:val="20"/>
                <w:szCs w:val="20"/>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2C2962F" w14:textId="00926977" w:rsidR="003D4BC3" w:rsidRPr="00C27D15" w:rsidRDefault="003D4BC3" w:rsidP="003D4BC3">
            <w:pPr>
              <w:rPr>
                <w:rFonts w:cs="Arial"/>
                <w:sz w:val="20"/>
                <w:szCs w:val="20"/>
              </w:rPr>
            </w:pPr>
            <w:r w:rsidRPr="00FF209A">
              <w:rPr>
                <w:rFonts w:cs="Arial"/>
                <w:sz w:val="20"/>
                <w:szCs w:val="20"/>
              </w:rPr>
              <w:t xml:space="preserve">a) Estadísticas y relación de inscritos en talleres deportivos, artísticos, culturales y eventos de vida saludable. B) estadísticas de estudiantes en actividades relacionadas con vida saludable. </w:t>
            </w:r>
            <w:hyperlink r:id="rId108" w:history="1">
              <w:r w:rsidRPr="003135B9">
                <w:rPr>
                  <w:rStyle w:val="Hipervnculo"/>
                  <w:rFonts w:cs="Arial"/>
                  <w:sz w:val="20"/>
                  <w:szCs w:val="20"/>
                </w:rPr>
                <w:t>http://www.unicaribe.mx/pagina/obligaciones-transparencia</w:t>
              </w:r>
            </w:hyperlink>
            <w:r>
              <w:rPr>
                <w:rFonts w:cs="Arial"/>
                <w:sz w:val="20"/>
                <w:szCs w:val="20"/>
              </w:rPr>
              <w:t>.</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6E0869E1" w14:textId="0BE4B654" w:rsidR="003D4BC3" w:rsidRPr="00C27D15" w:rsidRDefault="003D4BC3" w:rsidP="003D4BC3">
            <w:pPr>
              <w:rPr>
                <w:rFonts w:cs="Arial"/>
                <w:sz w:val="20"/>
                <w:szCs w:val="20"/>
              </w:rPr>
            </w:pPr>
            <w:r w:rsidRPr="00FF209A">
              <w:rPr>
                <w:rFonts w:cs="Arial"/>
                <w:sz w:val="20"/>
                <w:szCs w:val="20"/>
              </w:rPr>
              <w:t>Los estudiantes se inscriben a los programas y actividades relacionadas con vida saludable</w:t>
            </w:r>
            <w:r>
              <w:rPr>
                <w:rFonts w:cs="Arial"/>
                <w:sz w:val="20"/>
                <w:szCs w:val="20"/>
              </w:rPr>
              <w:t>.</w:t>
            </w:r>
          </w:p>
        </w:tc>
      </w:tr>
      <w:tr w:rsidR="00067C3F" w:rsidRPr="00FD08F8" w14:paraId="5BCC9D82" w14:textId="77777777" w:rsidTr="00067C3F">
        <w:trPr>
          <w:trHeight w:val="415"/>
        </w:trPr>
        <w:tc>
          <w:tcPr>
            <w:tcW w:w="1413" w:type="dxa"/>
            <w:tcBorders>
              <w:top w:val="single" w:sz="4" w:space="0" w:color="auto"/>
              <w:left w:val="single" w:sz="4" w:space="0" w:color="auto"/>
              <w:bottom w:val="single" w:sz="4" w:space="0" w:color="auto"/>
              <w:right w:val="single" w:sz="4" w:space="0" w:color="auto"/>
            </w:tcBorders>
            <w:shd w:val="clear" w:color="auto" w:fill="auto"/>
          </w:tcPr>
          <w:p w14:paraId="2F02E5F4" w14:textId="6CA1585A" w:rsidR="00067C3F" w:rsidRPr="00FD08F8" w:rsidRDefault="00067C3F" w:rsidP="00067C3F">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Actividad</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D3C86F4" w14:textId="04C752F6" w:rsidR="00067C3F" w:rsidRPr="001D03F6" w:rsidRDefault="00067C3F" w:rsidP="00067C3F">
            <w:pPr>
              <w:rPr>
                <w:rFonts w:cs="Arial"/>
                <w:sz w:val="20"/>
                <w:szCs w:val="20"/>
              </w:rPr>
            </w:pPr>
            <w:r w:rsidRPr="00922414">
              <w:rPr>
                <w:rFonts w:cs="Arial"/>
                <w:sz w:val="20"/>
                <w:szCs w:val="20"/>
              </w:rPr>
              <w:t>Desarrollar una estrategia integral que permita ampliar la cobertura educativa de nivel superior en las IES</w:t>
            </w:r>
            <w:r>
              <w:rPr>
                <w:rFonts w:cs="Arial"/>
                <w:sz w:val="20"/>
                <w:szCs w:val="20"/>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611F2CB" w14:textId="6DC65EE3" w:rsidR="00067C3F" w:rsidRDefault="00067C3F" w:rsidP="00067C3F">
            <w:pPr>
              <w:rPr>
                <w:rFonts w:cs="Arial"/>
                <w:sz w:val="20"/>
                <w:szCs w:val="20"/>
              </w:rPr>
            </w:pPr>
            <w:r w:rsidRPr="00574DAC">
              <w:rPr>
                <w:rFonts w:cs="Arial"/>
                <w:sz w:val="20"/>
                <w:szCs w:val="20"/>
              </w:rPr>
              <w:t>C01.A0</w:t>
            </w:r>
            <w:r>
              <w:rPr>
                <w:rFonts w:cs="Arial"/>
                <w:sz w:val="20"/>
                <w:szCs w:val="20"/>
              </w:rPr>
              <w:t xml:space="preserve">5 - </w:t>
            </w:r>
            <w:r w:rsidRPr="00F32047">
              <w:rPr>
                <w:rFonts w:cs="Arial"/>
                <w:sz w:val="20"/>
                <w:szCs w:val="20"/>
              </w:rPr>
              <w:t>Diversificación de la oferta educativa pertinente</w:t>
            </w:r>
            <w:r>
              <w:rPr>
                <w:rFonts w:cs="Arial"/>
                <w:sz w:val="20"/>
                <w:szCs w:val="20"/>
              </w:rPr>
              <w:t>.</w:t>
            </w:r>
          </w:p>
        </w:tc>
        <w:tc>
          <w:tcPr>
            <w:tcW w:w="2268" w:type="dxa"/>
            <w:tcBorders>
              <w:top w:val="single" w:sz="4" w:space="0" w:color="auto"/>
              <w:left w:val="single" w:sz="4" w:space="0" w:color="auto"/>
              <w:bottom w:val="single" w:sz="4" w:space="0" w:color="auto"/>
              <w:right w:val="single" w:sz="4" w:space="0" w:color="auto"/>
            </w:tcBorders>
            <w:shd w:val="clear" w:color="FFFFFF" w:fill="FFFFFF"/>
          </w:tcPr>
          <w:p w14:paraId="699C1967" w14:textId="6E331B28" w:rsidR="00067C3F" w:rsidRDefault="00067C3F" w:rsidP="00067C3F">
            <w:pPr>
              <w:rPr>
                <w:rFonts w:cs="Arial"/>
                <w:sz w:val="20"/>
                <w:szCs w:val="20"/>
              </w:rPr>
            </w:pPr>
            <w:r>
              <w:rPr>
                <w:rFonts w:cs="Arial"/>
                <w:sz w:val="20"/>
                <w:szCs w:val="20"/>
              </w:rPr>
              <w:t>C01A05</w:t>
            </w:r>
            <w:r w:rsidRPr="00574DAC">
              <w:rPr>
                <w:rFonts w:cs="Arial"/>
                <w:sz w:val="20"/>
                <w:szCs w:val="20"/>
              </w:rPr>
              <w:t xml:space="preserve"> -</w:t>
            </w:r>
            <w:r>
              <w:t xml:space="preserve"> </w:t>
            </w:r>
            <w:r w:rsidRPr="00591BA6">
              <w:rPr>
                <w:rFonts w:cs="Arial"/>
                <w:sz w:val="20"/>
                <w:szCs w:val="20"/>
              </w:rPr>
              <w:t>Incremento porcentual de la matrícula</w:t>
            </w:r>
            <w:r>
              <w:rPr>
                <w:rFonts w:cs="Arial"/>
                <w:sz w:val="20"/>
                <w:szCs w:val="20"/>
              </w:rPr>
              <w:t>.</w:t>
            </w:r>
            <w:r w:rsidRPr="00F338C4">
              <w:rPr>
                <w:rFonts w:cs="Arial"/>
                <w:sz w:val="20"/>
                <w:szCs w:val="20"/>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4878572" w14:textId="39A5AE90" w:rsidR="00067C3F" w:rsidRPr="001D03F6" w:rsidRDefault="00067C3F" w:rsidP="00067C3F">
            <w:pPr>
              <w:rPr>
                <w:rFonts w:cs="Arial"/>
                <w:sz w:val="20"/>
                <w:szCs w:val="20"/>
              </w:rPr>
            </w:pPr>
            <w:r w:rsidRPr="00C27D15">
              <w:rPr>
                <w:rFonts w:cs="Arial"/>
                <w:sz w:val="20"/>
                <w:szCs w:val="20"/>
              </w:rPr>
              <w:t>Estadísticas continúas del formato 911 inicio de ciclo escolar, SEQ. http://sige.seq.gob.mx/portal/</w:t>
            </w:r>
            <w:r>
              <w:rPr>
                <w:rFonts w:cs="Arial"/>
                <w:sz w:val="20"/>
                <w:szCs w:val="20"/>
              </w:rPr>
              <w:t>.</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E173802" w14:textId="2426ACD8" w:rsidR="00067C3F" w:rsidRPr="001D03F6" w:rsidRDefault="00067C3F" w:rsidP="00067C3F">
            <w:pPr>
              <w:rPr>
                <w:rFonts w:cs="Arial"/>
                <w:sz w:val="20"/>
                <w:szCs w:val="20"/>
              </w:rPr>
            </w:pPr>
            <w:r w:rsidRPr="00C27D15">
              <w:rPr>
                <w:rFonts w:cs="Arial"/>
                <w:sz w:val="20"/>
                <w:szCs w:val="20"/>
              </w:rPr>
              <w:t>La COEPES integra a su programación la aprobación de los programas educativos nuevos y los autoriza.</w:t>
            </w:r>
          </w:p>
        </w:tc>
      </w:tr>
      <w:tr w:rsidR="00E23746" w:rsidRPr="00FD08F8" w14:paraId="52A8E559" w14:textId="77777777" w:rsidTr="00067C3F">
        <w:trPr>
          <w:trHeight w:val="415"/>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14:paraId="41A1050A"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Componente</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94B3B08" w14:textId="77777777" w:rsidR="00E23746" w:rsidRPr="00DD34FD" w:rsidRDefault="00E23746" w:rsidP="000B2F10">
            <w:pPr>
              <w:rPr>
                <w:rFonts w:cs="Arial"/>
                <w:sz w:val="20"/>
                <w:szCs w:val="20"/>
              </w:rPr>
            </w:pPr>
            <w:r w:rsidRPr="001D03F6">
              <w:rPr>
                <w:rFonts w:cs="Arial"/>
                <w:sz w:val="20"/>
                <w:szCs w:val="20"/>
              </w:rPr>
              <w:t>Impulsar la acreditación y evaluación de los planes y programas de estudio de educación superior por organismos externos reconocidos a nivel nacional e internacional.</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624790C" w14:textId="77777777" w:rsidR="00E23746" w:rsidRPr="00DD34FD" w:rsidRDefault="00E23746" w:rsidP="000B2F10">
            <w:pPr>
              <w:rPr>
                <w:rFonts w:cs="Arial"/>
                <w:sz w:val="20"/>
                <w:szCs w:val="20"/>
              </w:rPr>
            </w:pPr>
            <w:r>
              <w:rPr>
                <w:rFonts w:cs="Arial"/>
                <w:sz w:val="20"/>
                <w:szCs w:val="20"/>
              </w:rPr>
              <w:t xml:space="preserve">C02 </w:t>
            </w:r>
            <w:r w:rsidRPr="00574DAC">
              <w:rPr>
                <w:rFonts w:cs="Arial"/>
                <w:sz w:val="20"/>
                <w:szCs w:val="20"/>
              </w:rPr>
              <w:t>-</w:t>
            </w:r>
            <w:r w:rsidRPr="001D03F6">
              <w:rPr>
                <w:rFonts w:cs="Arial"/>
                <w:sz w:val="20"/>
                <w:szCs w:val="20"/>
              </w:rPr>
              <w:t>Programas Educativos Evaluables de calidad ofertados</w:t>
            </w:r>
            <w:r>
              <w:rPr>
                <w:rFonts w:cs="Arial"/>
                <w:sz w:val="20"/>
                <w:szCs w:val="20"/>
              </w:rPr>
              <w:t>.</w:t>
            </w:r>
            <w:r w:rsidRPr="001D03F6">
              <w:rPr>
                <w:rFonts w:cs="Arial"/>
                <w:sz w:val="20"/>
                <w:szCs w:val="20"/>
              </w:rPr>
              <w:t xml:space="preserve"> </w:t>
            </w:r>
            <w:r w:rsidRPr="0008445A">
              <w:rPr>
                <w:rFonts w:cs="Arial"/>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shd w:val="clear" w:color="FFFFFF" w:fill="FFFFFF"/>
          </w:tcPr>
          <w:p w14:paraId="3044A4B7" w14:textId="77777777" w:rsidR="00E23746" w:rsidRPr="00DD34FD" w:rsidRDefault="00E23746" w:rsidP="000B2F10">
            <w:pPr>
              <w:rPr>
                <w:rFonts w:cs="Arial"/>
                <w:sz w:val="20"/>
                <w:szCs w:val="20"/>
              </w:rPr>
            </w:pPr>
            <w:r>
              <w:rPr>
                <w:rFonts w:cs="Arial"/>
                <w:sz w:val="20"/>
                <w:szCs w:val="20"/>
              </w:rPr>
              <w:t xml:space="preserve">C02 </w:t>
            </w:r>
            <w:r w:rsidRPr="00574DAC">
              <w:rPr>
                <w:rFonts w:cs="Arial"/>
                <w:sz w:val="20"/>
                <w:szCs w:val="20"/>
              </w:rPr>
              <w:t>-</w:t>
            </w:r>
            <w:r w:rsidRPr="001D03F6">
              <w:rPr>
                <w:rFonts w:cs="Arial"/>
                <w:sz w:val="20"/>
                <w:szCs w:val="20"/>
              </w:rPr>
              <w:t>Porcentaje de Programas Educativos de Calidad</w:t>
            </w:r>
            <w:r>
              <w:rPr>
                <w:rFonts w:cs="Arial"/>
                <w:sz w:val="20"/>
                <w:szCs w:val="20"/>
              </w:rPr>
              <w:t>.</w:t>
            </w:r>
            <w:r w:rsidRPr="001D03F6">
              <w:rPr>
                <w:rFonts w:cs="Arial"/>
                <w:sz w:val="20"/>
                <w:szCs w:val="20"/>
              </w:rPr>
              <w:t xml:space="preserve"> </w:t>
            </w:r>
            <w:r w:rsidRPr="0041107B">
              <w:rPr>
                <w:rFonts w:cs="Arial"/>
                <w:sz w:val="20"/>
                <w:szCs w:val="20"/>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46FD4C6" w14:textId="77777777" w:rsidR="00E23746" w:rsidRPr="00DD34FD" w:rsidRDefault="00E23746" w:rsidP="000B2F10">
            <w:pPr>
              <w:rPr>
                <w:rFonts w:cs="Arial"/>
                <w:sz w:val="20"/>
                <w:szCs w:val="20"/>
              </w:rPr>
            </w:pPr>
            <w:r w:rsidRPr="001D03F6">
              <w:rPr>
                <w:rFonts w:cs="Arial"/>
                <w:sz w:val="20"/>
                <w:szCs w:val="20"/>
              </w:rPr>
              <w:t>Certificado o constancias de los organismos acreditadores y/o Padrón emitido por la DGESU, Subsecretaría de Educación Superior, portal de la Subsecretaría.</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61429708" w14:textId="77777777" w:rsidR="00E23746" w:rsidRPr="00DD34FD" w:rsidRDefault="00E23746" w:rsidP="000B2F10">
            <w:pPr>
              <w:rPr>
                <w:rFonts w:cs="Arial"/>
                <w:sz w:val="20"/>
                <w:szCs w:val="20"/>
              </w:rPr>
            </w:pPr>
            <w:r w:rsidRPr="001D03F6">
              <w:rPr>
                <w:rFonts w:cs="Arial"/>
                <w:sz w:val="20"/>
                <w:szCs w:val="20"/>
              </w:rPr>
              <w:t>La Calidad de la Educación Superior continúa siendo prioridad Nacional.</w:t>
            </w:r>
          </w:p>
        </w:tc>
      </w:tr>
    </w:tbl>
    <w:p w14:paraId="725CA6BE" w14:textId="6DB567DD" w:rsidR="003D4BC3" w:rsidRDefault="003D4BC3"/>
    <w:p w14:paraId="635E7D33" w14:textId="77777777" w:rsidR="003D4BC3" w:rsidRDefault="003D4BC3">
      <w:pPr>
        <w:spacing w:after="0" w:line="240" w:lineRule="auto"/>
        <w:jc w:val="left"/>
      </w:pPr>
      <w:r>
        <w:br w:type="page"/>
      </w:r>
    </w:p>
    <w:tbl>
      <w:tblPr>
        <w:tblW w:w="14029" w:type="dxa"/>
        <w:tblLayout w:type="fixed"/>
        <w:tblCellMar>
          <w:left w:w="70" w:type="dxa"/>
          <w:right w:w="70" w:type="dxa"/>
        </w:tblCellMar>
        <w:tblLook w:val="04A0" w:firstRow="1" w:lastRow="0" w:firstColumn="1" w:lastColumn="0" w:noHBand="0" w:noVBand="1"/>
      </w:tblPr>
      <w:tblGrid>
        <w:gridCol w:w="1413"/>
        <w:gridCol w:w="2693"/>
        <w:gridCol w:w="2835"/>
        <w:gridCol w:w="2268"/>
        <w:gridCol w:w="2693"/>
        <w:gridCol w:w="2127"/>
      </w:tblGrid>
      <w:tr w:rsidR="003D4BC3" w:rsidRPr="003D4BC3" w14:paraId="2D7B9156" w14:textId="77777777" w:rsidTr="003D4BC3">
        <w:trPr>
          <w:trHeight w:val="415"/>
        </w:trPr>
        <w:tc>
          <w:tcPr>
            <w:tcW w:w="141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5A9006D" w14:textId="707DE1F5" w:rsidR="003D4BC3" w:rsidRPr="00FD08F8" w:rsidRDefault="003D4BC3" w:rsidP="003D4BC3">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lastRenderedPageBreak/>
              <w:t>NIVEL</w:t>
            </w:r>
          </w:p>
        </w:tc>
        <w:tc>
          <w:tcPr>
            <w:tcW w:w="269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F822A1E" w14:textId="2852556A" w:rsidR="003D4BC3" w:rsidRPr="003D4BC3" w:rsidRDefault="003D4BC3" w:rsidP="003D4BC3">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ALINEACIÓN PED/PD</w:t>
            </w:r>
          </w:p>
        </w:tc>
        <w:tc>
          <w:tcPr>
            <w:tcW w:w="283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F96968A" w14:textId="79A37C13" w:rsidR="003D4BC3" w:rsidRPr="003D4BC3" w:rsidRDefault="003D4BC3" w:rsidP="003D4BC3">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OBJETIVO</w:t>
            </w:r>
          </w:p>
        </w:tc>
        <w:tc>
          <w:tcPr>
            <w:tcW w:w="226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F1A1D93" w14:textId="0FDBEA6E" w:rsidR="003D4BC3" w:rsidRPr="003D4BC3" w:rsidRDefault="003D4BC3" w:rsidP="003D4BC3">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INDICADOR</w:t>
            </w:r>
          </w:p>
        </w:tc>
        <w:tc>
          <w:tcPr>
            <w:tcW w:w="269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7ED6A65" w14:textId="02BD2574" w:rsidR="003D4BC3" w:rsidRPr="003D4BC3" w:rsidRDefault="003D4BC3" w:rsidP="003D4BC3">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MEDIOS DE VERIFICACIÓN</w:t>
            </w:r>
          </w:p>
        </w:tc>
        <w:tc>
          <w:tcPr>
            <w:tcW w:w="212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A175DF0" w14:textId="2D527C0E" w:rsidR="003D4BC3" w:rsidRPr="003D4BC3" w:rsidRDefault="003D4BC3" w:rsidP="003D4BC3">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SUPUESTO</w:t>
            </w:r>
          </w:p>
        </w:tc>
      </w:tr>
      <w:tr w:rsidR="00E23746" w:rsidRPr="00FD08F8" w14:paraId="4422CD4C" w14:textId="77777777" w:rsidTr="00067C3F">
        <w:trPr>
          <w:trHeight w:val="415"/>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14:paraId="34736033"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Actividad</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93E4856" w14:textId="77777777" w:rsidR="00E23746" w:rsidRPr="00DD34FD" w:rsidRDefault="00E23746" w:rsidP="000B2F10">
            <w:pPr>
              <w:rPr>
                <w:rFonts w:cs="Arial"/>
                <w:sz w:val="20"/>
                <w:szCs w:val="20"/>
              </w:rPr>
            </w:pPr>
            <w:r w:rsidRPr="00DB7BCA">
              <w:rPr>
                <w:rFonts w:cs="Arial"/>
                <w:sz w:val="20"/>
                <w:szCs w:val="20"/>
              </w:rPr>
              <w:t>Fortalecer la oferta educativa de las instituciones de educación superior para asegurar la pertinencia con base en las necesidades de la entidad.</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569F3D7" w14:textId="77777777" w:rsidR="00E23746" w:rsidRPr="00DD34FD" w:rsidRDefault="00E23746" w:rsidP="000B2F10">
            <w:pPr>
              <w:rPr>
                <w:rFonts w:cs="Arial"/>
                <w:sz w:val="20"/>
                <w:szCs w:val="20"/>
              </w:rPr>
            </w:pPr>
            <w:r>
              <w:rPr>
                <w:rFonts w:cs="Arial"/>
                <w:sz w:val="20"/>
                <w:szCs w:val="20"/>
              </w:rPr>
              <w:t>C02</w:t>
            </w:r>
            <w:r w:rsidRPr="00574DAC">
              <w:rPr>
                <w:rFonts w:cs="Arial"/>
                <w:sz w:val="20"/>
                <w:szCs w:val="20"/>
              </w:rPr>
              <w:t>.A0</w:t>
            </w:r>
            <w:r>
              <w:rPr>
                <w:rFonts w:cs="Arial"/>
                <w:sz w:val="20"/>
                <w:szCs w:val="20"/>
              </w:rPr>
              <w:t>1 -</w:t>
            </w:r>
            <w:r w:rsidRPr="00DB7BCA">
              <w:rPr>
                <w:rFonts w:cs="Arial"/>
                <w:sz w:val="20"/>
                <w:szCs w:val="20"/>
              </w:rPr>
              <w:t>Revisión y Actualización de Planes de Estudios</w:t>
            </w:r>
            <w:r>
              <w:rPr>
                <w:rFonts w:cs="Arial"/>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shd w:val="clear" w:color="FFFFFF" w:fill="FFFFFF"/>
          </w:tcPr>
          <w:p w14:paraId="7CBC6ED2" w14:textId="77777777" w:rsidR="00E23746" w:rsidRPr="00DD34FD" w:rsidRDefault="00E23746" w:rsidP="000B2F10">
            <w:pPr>
              <w:rPr>
                <w:rFonts w:cs="Arial"/>
                <w:sz w:val="20"/>
                <w:szCs w:val="20"/>
              </w:rPr>
            </w:pPr>
            <w:r>
              <w:rPr>
                <w:rFonts w:cs="Arial"/>
                <w:sz w:val="20"/>
                <w:szCs w:val="20"/>
              </w:rPr>
              <w:t>C02</w:t>
            </w:r>
            <w:r w:rsidRPr="00574DAC">
              <w:rPr>
                <w:rFonts w:cs="Arial"/>
                <w:sz w:val="20"/>
                <w:szCs w:val="20"/>
              </w:rPr>
              <w:t>A01 -</w:t>
            </w:r>
            <w:r w:rsidRPr="00D22419">
              <w:rPr>
                <w:rFonts w:cs="Arial"/>
                <w:sz w:val="20"/>
                <w:szCs w:val="20"/>
              </w:rPr>
              <w:t>Porcentaje de PE actualizados  en los últimos 5 años con respecto al total de PE</w:t>
            </w:r>
            <w:r>
              <w:rPr>
                <w:rFonts w:cs="Arial"/>
                <w:sz w:val="20"/>
                <w:szCs w:val="20"/>
              </w:rPr>
              <w:t>.</w:t>
            </w:r>
            <w:r w:rsidRPr="0041107B">
              <w:rPr>
                <w:rFonts w:cs="Arial"/>
                <w:sz w:val="20"/>
                <w:szCs w:val="20"/>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3F467E5" w14:textId="77777777" w:rsidR="00E23746" w:rsidRPr="00DD34FD" w:rsidRDefault="00E23746" w:rsidP="000B2F10">
            <w:pPr>
              <w:rPr>
                <w:rFonts w:cs="Arial"/>
                <w:sz w:val="20"/>
                <w:szCs w:val="20"/>
              </w:rPr>
            </w:pPr>
            <w:r w:rsidRPr="00FB26FF">
              <w:rPr>
                <w:rFonts w:cs="Arial"/>
                <w:sz w:val="20"/>
                <w:szCs w:val="20"/>
              </w:rPr>
              <w:t>Acta del órgano colegiado facultado para autorizar la creación y/o actualización de los programas educativos. http://www.unicaribe.mx/pagina/obligaciones-transparencia</w:t>
            </w:r>
            <w:r>
              <w:rPr>
                <w:rFonts w:cs="Arial"/>
                <w:sz w:val="20"/>
                <w:szCs w:val="20"/>
              </w:rPr>
              <w:t>.</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242B4E7" w14:textId="77777777" w:rsidR="00E23746" w:rsidRPr="00DD34FD" w:rsidRDefault="00E23746" w:rsidP="000B2F10">
            <w:pPr>
              <w:rPr>
                <w:rFonts w:cs="Arial"/>
                <w:sz w:val="20"/>
                <w:szCs w:val="20"/>
              </w:rPr>
            </w:pPr>
            <w:r w:rsidRPr="00FB26FF">
              <w:rPr>
                <w:rFonts w:cs="Arial"/>
                <w:sz w:val="20"/>
                <w:szCs w:val="20"/>
              </w:rPr>
              <w:t>La H. Junta Directiva autoriza la creación y/o actualización de nuevos programas educativos.</w:t>
            </w:r>
          </w:p>
        </w:tc>
      </w:tr>
      <w:tr w:rsidR="00E23746" w:rsidRPr="00FD08F8" w14:paraId="0ECBB42A" w14:textId="77777777" w:rsidTr="00067C3F">
        <w:trPr>
          <w:trHeight w:val="415"/>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14:paraId="062AAC1D"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Actividad</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E197D4C" w14:textId="77777777" w:rsidR="00E23746" w:rsidRPr="00DD34FD" w:rsidRDefault="00E23746" w:rsidP="000B2F10">
            <w:pPr>
              <w:rPr>
                <w:rFonts w:cs="Arial"/>
                <w:sz w:val="20"/>
                <w:szCs w:val="20"/>
              </w:rPr>
            </w:pPr>
            <w:r w:rsidRPr="00DB7BCA">
              <w:rPr>
                <w:rFonts w:cs="Arial"/>
                <w:sz w:val="20"/>
                <w:szCs w:val="20"/>
              </w:rPr>
              <w:t>Impulsar la acreditación y evaluación de los planes y programas de estudio de educación superior por organismos externos reconocidos a nivel nacional e internacional.</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2E89F42" w14:textId="77777777" w:rsidR="00E23746" w:rsidRPr="00DD34FD" w:rsidRDefault="00E23746" w:rsidP="000B2F10">
            <w:pPr>
              <w:rPr>
                <w:rFonts w:cs="Arial"/>
                <w:sz w:val="20"/>
                <w:szCs w:val="20"/>
              </w:rPr>
            </w:pPr>
            <w:r>
              <w:rPr>
                <w:rFonts w:cs="Arial"/>
                <w:sz w:val="20"/>
                <w:szCs w:val="20"/>
              </w:rPr>
              <w:t>C02</w:t>
            </w:r>
            <w:r w:rsidRPr="00574DAC">
              <w:rPr>
                <w:rFonts w:cs="Arial"/>
                <w:sz w:val="20"/>
                <w:szCs w:val="20"/>
              </w:rPr>
              <w:t>.A0</w:t>
            </w:r>
            <w:r>
              <w:rPr>
                <w:rFonts w:cs="Arial"/>
                <w:sz w:val="20"/>
                <w:szCs w:val="20"/>
              </w:rPr>
              <w:t>2 -</w:t>
            </w:r>
            <w:r w:rsidRPr="00DB7BCA">
              <w:rPr>
                <w:rFonts w:cs="Arial"/>
                <w:sz w:val="20"/>
                <w:szCs w:val="20"/>
              </w:rPr>
              <w:t>Prestación de Servicios de apoyo para el aprendizaje (biblioteca, cómputo, idiomas, etc.)</w:t>
            </w:r>
            <w:r>
              <w:rPr>
                <w:rFonts w:cs="Arial"/>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shd w:val="clear" w:color="FFFFFF" w:fill="FFFFFF"/>
          </w:tcPr>
          <w:p w14:paraId="513267DD" w14:textId="77777777" w:rsidR="00E23746" w:rsidRPr="00DD34FD" w:rsidRDefault="00E23746" w:rsidP="000B2F10">
            <w:pPr>
              <w:rPr>
                <w:rFonts w:cs="Arial"/>
                <w:sz w:val="20"/>
                <w:szCs w:val="20"/>
              </w:rPr>
            </w:pPr>
            <w:r>
              <w:rPr>
                <w:rFonts w:cs="Arial"/>
                <w:sz w:val="20"/>
                <w:szCs w:val="20"/>
              </w:rPr>
              <w:t>C02A02</w:t>
            </w:r>
            <w:r w:rsidRPr="00574DAC">
              <w:rPr>
                <w:rFonts w:cs="Arial"/>
                <w:sz w:val="20"/>
                <w:szCs w:val="20"/>
              </w:rPr>
              <w:t xml:space="preserve"> -</w:t>
            </w:r>
            <w:r w:rsidRPr="00B37FDC">
              <w:rPr>
                <w:rFonts w:cs="Arial"/>
                <w:sz w:val="20"/>
                <w:szCs w:val="20"/>
              </w:rPr>
              <w:t>Índice de satisfacción estudiantil con los servicios de apoyo</w:t>
            </w:r>
            <w:r>
              <w:rPr>
                <w:rFonts w:cs="Arial"/>
                <w:sz w:val="20"/>
                <w:szCs w:val="20"/>
              </w:rPr>
              <w:t>.</w:t>
            </w:r>
            <w:r w:rsidRPr="0041107B">
              <w:rPr>
                <w:rFonts w:cs="Arial"/>
                <w:sz w:val="20"/>
                <w:szCs w:val="20"/>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5C76EAB" w14:textId="77777777" w:rsidR="00E23746" w:rsidRPr="00DD34FD" w:rsidRDefault="00E23746" w:rsidP="000B2F10">
            <w:pPr>
              <w:rPr>
                <w:rFonts w:cs="Arial"/>
                <w:sz w:val="20"/>
                <w:szCs w:val="20"/>
              </w:rPr>
            </w:pPr>
            <w:r w:rsidRPr="0087007E">
              <w:rPr>
                <w:rFonts w:cs="Arial"/>
                <w:sz w:val="20"/>
                <w:szCs w:val="20"/>
              </w:rPr>
              <w:t>Estudio de satisfacción de Estudiantes. http://www.unicaribe.mx/pagina/obligaciones-transparencia</w:t>
            </w:r>
            <w:r>
              <w:rPr>
                <w:rFonts w:cs="Arial"/>
                <w:sz w:val="20"/>
                <w:szCs w:val="20"/>
              </w:rPr>
              <w:t>.</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1EED4062" w14:textId="77777777" w:rsidR="00E23746" w:rsidRPr="00DD34FD" w:rsidRDefault="00E23746" w:rsidP="000B2F10">
            <w:pPr>
              <w:rPr>
                <w:rFonts w:cs="Arial"/>
                <w:sz w:val="20"/>
                <w:szCs w:val="20"/>
              </w:rPr>
            </w:pPr>
            <w:r w:rsidRPr="0098464B">
              <w:rPr>
                <w:rFonts w:cs="Arial"/>
                <w:sz w:val="20"/>
                <w:szCs w:val="20"/>
              </w:rPr>
              <w:t>El estudiante asiste y utiliza los servicios de apoyo para el aprendizaje</w:t>
            </w:r>
            <w:r>
              <w:rPr>
                <w:rFonts w:cs="Arial"/>
                <w:sz w:val="20"/>
                <w:szCs w:val="20"/>
              </w:rPr>
              <w:t>.</w:t>
            </w:r>
          </w:p>
        </w:tc>
      </w:tr>
      <w:tr w:rsidR="00E23746" w:rsidRPr="00FD08F8" w14:paraId="01A588BC" w14:textId="77777777" w:rsidTr="00067C3F">
        <w:trPr>
          <w:trHeight w:val="415"/>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14:paraId="37CB6A74"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Actividad</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1BFAAA7" w14:textId="77777777" w:rsidR="00E23746" w:rsidRPr="00DD34FD" w:rsidRDefault="00E23746" w:rsidP="000B2F10">
            <w:pPr>
              <w:rPr>
                <w:rFonts w:cs="Arial"/>
                <w:sz w:val="20"/>
                <w:szCs w:val="20"/>
              </w:rPr>
            </w:pPr>
            <w:r w:rsidRPr="00DB7BCA">
              <w:rPr>
                <w:rFonts w:cs="Arial"/>
                <w:sz w:val="20"/>
                <w:szCs w:val="20"/>
              </w:rPr>
              <w:t>Implementar programas de formación y actualización docente al interior de las instituciones de educación superior</w:t>
            </w:r>
            <w:r>
              <w:rPr>
                <w:rFonts w:cs="Arial"/>
                <w:sz w:val="20"/>
                <w:szCs w:val="20"/>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102793A" w14:textId="77777777" w:rsidR="00E23746" w:rsidRPr="00DD34FD" w:rsidRDefault="00E23746" w:rsidP="000B2F10">
            <w:pPr>
              <w:rPr>
                <w:rFonts w:cs="Arial"/>
                <w:sz w:val="20"/>
                <w:szCs w:val="20"/>
              </w:rPr>
            </w:pPr>
            <w:r>
              <w:rPr>
                <w:rFonts w:cs="Arial"/>
                <w:sz w:val="20"/>
                <w:szCs w:val="20"/>
              </w:rPr>
              <w:t>C02</w:t>
            </w:r>
            <w:r w:rsidRPr="00574DAC">
              <w:rPr>
                <w:rFonts w:cs="Arial"/>
                <w:sz w:val="20"/>
                <w:szCs w:val="20"/>
              </w:rPr>
              <w:t>.A0</w:t>
            </w:r>
            <w:r>
              <w:rPr>
                <w:rFonts w:cs="Arial"/>
                <w:sz w:val="20"/>
                <w:szCs w:val="20"/>
              </w:rPr>
              <w:t>3 -</w:t>
            </w:r>
            <w:r w:rsidRPr="00DB7BCA">
              <w:rPr>
                <w:rFonts w:cs="Arial"/>
                <w:sz w:val="20"/>
                <w:szCs w:val="20"/>
              </w:rPr>
              <w:t>Fortalecimiento de la planta académica con las competencias requeridas</w:t>
            </w:r>
            <w:r>
              <w:rPr>
                <w:rFonts w:cs="Arial"/>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shd w:val="clear" w:color="FFFFFF" w:fill="FFFFFF"/>
          </w:tcPr>
          <w:p w14:paraId="56F14E28" w14:textId="77777777" w:rsidR="00E23746" w:rsidRPr="00DD34FD" w:rsidRDefault="00E23746" w:rsidP="000B2F10">
            <w:pPr>
              <w:rPr>
                <w:rFonts w:cs="Arial"/>
                <w:sz w:val="20"/>
                <w:szCs w:val="20"/>
              </w:rPr>
            </w:pPr>
            <w:r>
              <w:rPr>
                <w:rFonts w:cs="Arial"/>
                <w:sz w:val="20"/>
                <w:szCs w:val="20"/>
              </w:rPr>
              <w:t>C02A03</w:t>
            </w:r>
            <w:r w:rsidRPr="00574DAC">
              <w:rPr>
                <w:rFonts w:cs="Arial"/>
                <w:sz w:val="20"/>
                <w:szCs w:val="20"/>
              </w:rPr>
              <w:t xml:space="preserve"> -</w:t>
            </w:r>
            <w:r w:rsidRPr="000F7F1E">
              <w:rPr>
                <w:rFonts w:cs="Arial"/>
                <w:sz w:val="20"/>
                <w:szCs w:val="20"/>
              </w:rPr>
              <w:t>Porcentaje de personal académico que participa en programas de capacitación y/o actualización curricular</w:t>
            </w:r>
            <w:r>
              <w:rPr>
                <w:rFonts w:cs="Arial"/>
                <w:sz w:val="20"/>
                <w:szCs w:val="20"/>
              </w:rPr>
              <w:t>.</w:t>
            </w:r>
            <w:r w:rsidRPr="0041107B">
              <w:rPr>
                <w:rFonts w:cs="Arial"/>
                <w:sz w:val="20"/>
                <w:szCs w:val="20"/>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2503532" w14:textId="77777777" w:rsidR="00E23746" w:rsidRPr="00DD34FD" w:rsidRDefault="00E23746" w:rsidP="000B2F10">
            <w:pPr>
              <w:rPr>
                <w:rFonts w:cs="Arial"/>
                <w:sz w:val="20"/>
                <w:szCs w:val="20"/>
              </w:rPr>
            </w:pPr>
            <w:r w:rsidRPr="009101B5">
              <w:rPr>
                <w:rFonts w:cs="Arial"/>
                <w:sz w:val="20"/>
                <w:szCs w:val="20"/>
              </w:rPr>
              <w:t>Constancias de participación del personal capacitado y/o actualizado. http://www.unicaribe.mx/pagina/obligaciones-transparencia</w:t>
            </w:r>
            <w:r>
              <w:rPr>
                <w:rFonts w:cs="Arial"/>
                <w:sz w:val="20"/>
                <w:szCs w:val="20"/>
              </w:rPr>
              <w:t>.</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A1563E1" w14:textId="77777777" w:rsidR="00E23746" w:rsidRPr="00DD34FD" w:rsidRDefault="00E23746" w:rsidP="000B2F10">
            <w:pPr>
              <w:rPr>
                <w:rFonts w:cs="Arial"/>
                <w:sz w:val="20"/>
                <w:szCs w:val="20"/>
              </w:rPr>
            </w:pPr>
            <w:r w:rsidRPr="009101B5">
              <w:rPr>
                <w:rFonts w:cs="Arial"/>
                <w:sz w:val="20"/>
                <w:szCs w:val="20"/>
              </w:rPr>
              <w:t>El personal académico asiste y acredita los cursos de capacitación y/o actualización curricular</w:t>
            </w:r>
            <w:r>
              <w:rPr>
                <w:rFonts w:cs="Arial"/>
                <w:sz w:val="20"/>
                <w:szCs w:val="20"/>
              </w:rPr>
              <w:t>.</w:t>
            </w:r>
          </w:p>
        </w:tc>
      </w:tr>
    </w:tbl>
    <w:p w14:paraId="0A0712EC" w14:textId="77777777" w:rsidR="0080241C" w:rsidRDefault="0080241C">
      <w:pPr>
        <w:spacing w:after="0" w:line="240" w:lineRule="auto"/>
        <w:jc w:val="left"/>
      </w:pPr>
      <w:r>
        <w:br w:type="page"/>
      </w:r>
    </w:p>
    <w:tbl>
      <w:tblPr>
        <w:tblW w:w="14029" w:type="dxa"/>
        <w:tblLayout w:type="fixed"/>
        <w:tblCellMar>
          <w:left w:w="70" w:type="dxa"/>
          <w:right w:w="70" w:type="dxa"/>
        </w:tblCellMar>
        <w:tblLook w:val="04A0" w:firstRow="1" w:lastRow="0" w:firstColumn="1" w:lastColumn="0" w:noHBand="0" w:noVBand="1"/>
      </w:tblPr>
      <w:tblGrid>
        <w:gridCol w:w="1413"/>
        <w:gridCol w:w="2693"/>
        <w:gridCol w:w="2835"/>
        <w:gridCol w:w="2268"/>
        <w:gridCol w:w="2693"/>
        <w:gridCol w:w="2127"/>
      </w:tblGrid>
      <w:tr w:rsidR="00E23746" w:rsidRPr="00FD08F8" w14:paraId="7A6EAB51" w14:textId="77777777" w:rsidTr="00067C3F">
        <w:trPr>
          <w:trHeight w:val="461"/>
        </w:trPr>
        <w:tc>
          <w:tcPr>
            <w:tcW w:w="1413"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467B3E2F"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lastRenderedPageBreak/>
              <w:t>NIVEL</w:t>
            </w:r>
          </w:p>
        </w:tc>
        <w:tc>
          <w:tcPr>
            <w:tcW w:w="2693" w:type="dxa"/>
            <w:tcBorders>
              <w:top w:val="single" w:sz="4" w:space="0" w:color="auto"/>
              <w:left w:val="nil"/>
              <w:bottom w:val="single" w:sz="4" w:space="0" w:color="auto"/>
              <w:right w:val="single" w:sz="4" w:space="0" w:color="auto"/>
            </w:tcBorders>
            <w:shd w:val="clear" w:color="000000" w:fill="BFBFBF"/>
            <w:vAlign w:val="center"/>
            <w:hideMark/>
          </w:tcPr>
          <w:p w14:paraId="010D5929"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ALINEACIÓN PED/PD</w:t>
            </w:r>
          </w:p>
        </w:tc>
        <w:tc>
          <w:tcPr>
            <w:tcW w:w="2835" w:type="dxa"/>
            <w:tcBorders>
              <w:top w:val="single" w:sz="4" w:space="0" w:color="auto"/>
              <w:left w:val="nil"/>
              <w:bottom w:val="single" w:sz="4" w:space="0" w:color="auto"/>
              <w:right w:val="single" w:sz="4" w:space="0" w:color="auto"/>
            </w:tcBorders>
            <w:shd w:val="clear" w:color="000000" w:fill="BFBFBF"/>
            <w:vAlign w:val="center"/>
            <w:hideMark/>
          </w:tcPr>
          <w:p w14:paraId="78222ECA"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OBJETIVO</w:t>
            </w:r>
          </w:p>
        </w:tc>
        <w:tc>
          <w:tcPr>
            <w:tcW w:w="2268" w:type="dxa"/>
            <w:tcBorders>
              <w:top w:val="single" w:sz="4" w:space="0" w:color="auto"/>
              <w:left w:val="nil"/>
              <w:bottom w:val="single" w:sz="4" w:space="0" w:color="auto"/>
              <w:right w:val="single" w:sz="4" w:space="0" w:color="auto"/>
            </w:tcBorders>
            <w:shd w:val="clear" w:color="000000" w:fill="BFBFBF"/>
            <w:vAlign w:val="center"/>
            <w:hideMark/>
          </w:tcPr>
          <w:p w14:paraId="526A04BA"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INDICADOR</w:t>
            </w:r>
          </w:p>
        </w:tc>
        <w:tc>
          <w:tcPr>
            <w:tcW w:w="2693" w:type="dxa"/>
            <w:tcBorders>
              <w:top w:val="single" w:sz="4" w:space="0" w:color="auto"/>
              <w:left w:val="nil"/>
              <w:bottom w:val="single" w:sz="4" w:space="0" w:color="auto"/>
              <w:right w:val="single" w:sz="4" w:space="0" w:color="auto"/>
            </w:tcBorders>
            <w:shd w:val="clear" w:color="000000" w:fill="BFBFBF"/>
            <w:vAlign w:val="center"/>
            <w:hideMark/>
          </w:tcPr>
          <w:p w14:paraId="48443700"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MEDIOS DE VERIFICACIÓN</w:t>
            </w:r>
          </w:p>
        </w:tc>
        <w:tc>
          <w:tcPr>
            <w:tcW w:w="2127" w:type="dxa"/>
            <w:tcBorders>
              <w:top w:val="single" w:sz="4" w:space="0" w:color="auto"/>
              <w:left w:val="nil"/>
              <w:bottom w:val="single" w:sz="4" w:space="0" w:color="auto"/>
              <w:right w:val="single" w:sz="4" w:space="0" w:color="auto"/>
            </w:tcBorders>
            <w:shd w:val="clear" w:color="000000" w:fill="BFBFBF"/>
            <w:vAlign w:val="center"/>
            <w:hideMark/>
          </w:tcPr>
          <w:p w14:paraId="7BFED642"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SUPUESTO</w:t>
            </w:r>
          </w:p>
        </w:tc>
      </w:tr>
      <w:tr w:rsidR="00E23746" w:rsidRPr="00FD08F8" w14:paraId="58141B0A" w14:textId="77777777" w:rsidTr="00067C3F">
        <w:trPr>
          <w:trHeight w:val="415"/>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14:paraId="02AF40AF"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Actividad</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8512F9A" w14:textId="77777777" w:rsidR="00E23746" w:rsidRPr="00DD34FD" w:rsidRDefault="00E23746" w:rsidP="000B2F10">
            <w:pPr>
              <w:rPr>
                <w:rFonts w:cs="Arial"/>
                <w:sz w:val="20"/>
                <w:szCs w:val="20"/>
              </w:rPr>
            </w:pPr>
            <w:r w:rsidRPr="00DB7BCA">
              <w:rPr>
                <w:rFonts w:cs="Arial"/>
                <w:sz w:val="20"/>
                <w:szCs w:val="20"/>
              </w:rPr>
              <w:t>Impulsar la acreditación y evaluación de los planes y programas de estudio de educación superior por organismos externos reconocidos a nivel nacional e internacional.</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D9BD8FF" w14:textId="77777777" w:rsidR="00E23746" w:rsidRPr="00DD34FD" w:rsidRDefault="00E23746" w:rsidP="000B2F10">
            <w:pPr>
              <w:rPr>
                <w:rFonts w:cs="Arial"/>
                <w:sz w:val="20"/>
                <w:szCs w:val="20"/>
              </w:rPr>
            </w:pPr>
            <w:r>
              <w:rPr>
                <w:rFonts w:cs="Arial"/>
                <w:sz w:val="20"/>
                <w:szCs w:val="20"/>
              </w:rPr>
              <w:t>C02</w:t>
            </w:r>
            <w:r w:rsidRPr="00574DAC">
              <w:rPr>
                <w:rFonts w:cs="Arial"/>
                <w:sz w:val="20"/>
                <w:szCs w:val="20"/>
              </w:rPr>
              <w:t>.A0</w:t>
            </w:r>
            <w:r>
              <w:rPr>
                <w:rFonts w:cs="Arial"/>
                <w:sz w:val="20"/>
                <w:szCs w:val="20"/>
              </w:rPr>
              <w:t>4 -</w:t>
            </w:r>
            <w:r w:rsidRPr="00DB7BCA">
              <w:rPr>
                <w:rFonts w:cs="Arial"/>
                <w:sz w:val="20"/>
                <w:szCs w:val="20"/>
              </w:rPr>
              <w:t>Acreditación y certificación de la calidad de los programas educativos</w:t>
            </w:r>
            <w:r>
              <w:rPr>
                <w:rFonts w:cs="Arial"/>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shd w:val="clear" w:color="FFFFFF" w:fill="FFFFFF"/>
          </w:tcPr>
          <w:p w14:paraId="5EE0AC5D" w14:textId="77777777" w:rsidR="00E23746" w:rsidRPr="00DD34FD" w:rsidRDefault="00E23746" w:rsidP="000B2F10">
            <w:pPr>
              <w:rPr>
                <w:rFonts w:cs="Arial"/>
                <w:sz w:val="20"/>
                <w:szCs w:val="20"/>
              </w:rPr>
            </w:pPr>
            <w:r>
              <w:rPr>
                <w:rFonts w:cs="Arial"/>
                <w:sz w:val="20"/>
                <w:szCs w:val="20"/>
              </w:rPr>
              <w:t>C02A04</w:t>
            </w:r>
            <w:r w:rsidRPr="00574DAC">
              <w:rPr>
                <w:rFonts w:cs="Arial"/>
                <w:sz w:val="20"/>
                <w:szCs w:val="20"/>
              </w:rPr>
              <w:t xml:space="preserve"> -</w:t>
            </w:r>
            <w:r w:rsidRPr="004316FF">
              <w:rPr>
                <w:rFonts w:cs="Arial"/>
                <w:sz w:val="20"/>
                <w:szCs w:val="20"/>
              </w:rPr>
              <w:t>Porcentaje de PE de Lic. que concluyen el proceso para ser acreditados y/o certificados por CIEES y/o COPAES u otros organismos nacionales e internacionales</w:t>
            </w:r>
            <w:r>
              <w:rPr>
                <w:rFonts w:cs="Arial"/>
                <w:sz w:val="20"/>
                <w:szCs w:val="20"/>
              </w:rPr>
              <w:t>.</w:t>
            </w:r>
            <w:r w:rsidRPr="0041107B">
              <w:rPr>
                <w:rFonts w:cs="Arial"/>
                <w:sz w:val="20"/>
                <w:szCs w:val="20"/>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C416431" w14:textId="77777777" w:rsidR="00E23746" w:rsidRPr="00DD34FD" w:rsidRDefault="00E23746" w:rsidP="000B2F10">
            <w:pPr>
              <w:rPr>
                <w:rFonts w:cs="Arial"/>
                <w:sz w:val="20"/>
                <w:szCs w:val="20"/>
              </w:rPr>
            </w:pPr>
            <w:r w:rsidRPr="00BC7352">
              <w:rPr>
                <w:rFonts w:cs="Arial"/>
                <w:sz w:val="20"/>
                <w:szCs w:val="20"/>
              </w:rPr>
              <w:t>a) Certificados o constancias de los organismos acreditadores, b) Padrón de Programas Educativos de calidad emitido por la Secretaría de Educación Pública-Dirección General de Educación Superior Universitaria</w:t>
            </w:r>
            <w:r>
              <w:rPr>
                <w:rFonts w:cs="Arial"/>
                <w:sz w:val="20"/>
                <w:szCs w:val="20"/>
              </w:rPr>
              <w:t>.</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3ADA809" w14:textId="77777777" w:rsidR="00E23746" w:rsidRPr="00DD34FD" w:rsidRDefault="00E23746" w:rsidP="000B2F10">
            <w:pPr>
              <w:rPr>
                <w:rFonts w:cs="Arial"/>
                <w:sz w:val="20"/>
                <w:szCs w:val="20"/>
              </w:rPr>
            </w:pPr>
            <w:r w:rsidRPr="00BC7352">
              <w:rPr>
                <w:rFonts w:cs="Arial"/>
                <w:sz w:val="20"/>
                <w:szCs w:val="20"/>
              </w:rPr>
              <w:t>Los organismos evaluadores y acreditadores validan y autorizan el cumplimiento de los criterios de calidad de los programas educativos evaluables</w:t>
            </w:r>
            <w:r>
              <w:rPr>
                <w:rFonts w:cs="Arial"/>
                <w:sz w:val="20"/>
                <w:szCs w:val="20"/>
              </w:rPr>
              <w:t>.</w:t>
            </w:r>
          </w:p>
        </w:tc>
      </w:tr>
      <w:tr w:rsidR="00E23746" w:rsidRPr="00FD08F8" w14:paraId="5DA18F9D" w14:textId="77777777" w:rsidTr="00067C3F">
        <w:trPr>
          <w:trHeight w:val="415"/>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14:paraId="165E2A33"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Componente</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58598A8" w14:textId="77777777" w:rsidR="00E23746" w:rsidRPr="00DD34FD" w:rsidRDefault="00E23746" w:rsidP="000B2F10">
            <w:pPr>
              <w:rPr>
                <w:rFonts w:cs="Arial"/>
                <w:sz w:val="20"/>
                <w:szCs w:val="20"/>
              </w:rPr>
            </w:pPr>
            <w:r w:rsidRPr="001C52BB">
              <w:rPr>
                <w:rFonts w:cs="Arial"/>
                <w:sz w:val="20"/>
                <w:szCs w:val="20"/>
              </w:rPr>
              <w:t>Impulsar la vinculación con instituciones públicas y privadas para la realización del servicio social, prácticas profesionales o su equivalente y modelo dual por parte de los estudiantes de educación superior.</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13E2C5C" w14:textId="77777777" w:rsidR="00E23746" w:rsidRPr="00DD34FD" w:rsidRDefault="00E23746" w:rsidP="000B2F10">
            <w:pPr>
              <w:rPr>
                <w:rFonts w:cs="Arial"/>
                <w:sz w:val="20"/>
                <w:szCs w:val="20"/>
              </w:rPr>
            </w:pPr>
            <w:r>
              <w:rPr>
                <w:rFonts w:cs="Arial"/>
                <w:sz w:val="20"/>
                <w:szCs w:val="20"/>
              </w:rPr>
              <w:t xml:space="preserve">C03 </w:t>
            </w:r>
            <w:r w:rsidRPr="00574DAC">
              <w:rPr>
                <w:rFonts w:cs="Arial"/>
                <w:sz w:val="20"/>
                <w:szCs w:val="20"/>
              </w:rPr>
              <w:t>-</w:t>
            </w:r>
            <w:r w:rsidRPr="001C52BB">
              <w:rPr>
                <w:rFonts w:cs="Arial"/>
                <w:sz w:val="20"/>
                <w:szCs w:val="20"/>
              </w:rPr>
              <w:t>Vinculación Interinstitucional realizada</w:t>
            </w:r>
            <w:r>
              <w:rPr>
                <w:rFonts w:cs="Arial"/>
                <w:sz w:val="20"/>
                <w:szCs w:val="20"/>
              </w:rPr>
              <w:t>.</w:t>
            </w:r>
            <w:r w:rsidRPr="0008445A">
              <w:rPr>
                <w:rFonts w:cs="Arial"/>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shd w:val="clear" w:color="FFFFFF" w:fill="FFFFFF"/>
          </w:tcPr>
          <w:p w14:paraId="2938C2A1" w14:textId="77777777" w:rsidR="00E23746" w:rsidRPr="00DD34FD" w:rsidRDefault="00E23746" w:rsidP="000B2F10">
            <w:pPr>
              <w:rPr>
                <w:rFonts w:cs="Arial"/>
                <w:sz w:val="20"/>
                <w:szCs w:val="20"/>
              </w:rPr>
            </w:pPr>
            <w:r>
              <w:rPr>
                <w:rFonts w:cs="Arial"/>
                <w:sz w:val="20"/>
                <w:szCs w:val="20"/>
              </w:rPr>
              <w:t xml:space="preserve">C03 </w:t>
            </w:r>
            <w:r w:rsidRPr="00574DAC">
              <w:rPr>
                <w:rFonts w:cs="Arial"/>
                <w:sz w:val="20"/>
                <w:szCs w:val="20"/>
              </w:rPr>
              <w:t>-</w:t>
            </w:r>
            <w:r w:rsidRPr="00D859DB">
              <w:rPr>
                <w:rFonts w:cs="Arial"/>
                <w:sz w:val="20"/>
                <w:szCs w:val="20"/>
              </w:rPr>
              <w:t>Porcentaje de estudiantes participando en proyectos y/o convenios con los sectores público, privado y social con respecto a la matrícula total</w:t>
            </w:r>
            <w:r>
              <w:rPr>
                <w:rFonts w:cs="Arial"/>
                <w:sz w:val="20"/>
                <w:szCs w:val="20"/>
              </w:rPr>
              <w:t>.</w:t>
            </w:r>
            <w:r w:rsidRPr="0041107B">
              <w:rPr>
                <w:rFonts w:cs="Arial"/>
                <w:sz w:val="20"/>
                <w:szCs w:val="20"/>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18F61F9" w14:textId="77777777" w:rsidR="00E23746" w:rsidRPr="00DD34FD" w:rsidRDefault="00E23746" w:rsidP="000B2F10">
            <w:pPr>
              <w:rPr>
                <w:rFonts w:cs="Arial"/>
                <w:sz w:val="20"/>
                <w:szCs w:val="20"/>
              </w:rPr>
            </w:pPr>
            <w:r w:rsidRPr="00780F39">
              <w:rPr>
                <w:rFonts w:cs="Arial"/>
                <w:sz w:val="20"/>
                <w:szCs w:val="20"/>
              </w:rPr>
              <w:t>Registro de estudiantes que participan en proyectos y/o convenios. Secretaría de Vinculación y Extensión Académica</w:t>
            </w:r>
            <w:r>
              <w:rPr>
                <w:rFonts w:cs="Arial"/>
                <w:sz w:val="20"/>
                <w:szCs w:val="20"/>
              </w:rPr>
              <w:t>.</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4AE4BDF" w14:textId="77777777" w:rsidR="00E23746" w:rsidRPr="00DD34FD" w:rsidRDefault="00E23746" w:rsidP="000B2F10">
            <w:pPr>
              <w:rPr>
                <w:rFonts w:cs="Arial"/>
                <w:sz w:val="20"/>
                <w:szCs w:val="20"/>
              </w:rPr>
            </w:pPr>
            <w:r w:rsidRPr="00CD374D">
              <w:rPr>
                <w:rFonts w:cs="Arial"/>
                <w:sz w:val="20"/>
                <w:szCs w:val="20"/>
              </w:rPr>
              <w:t>Los estudiantes participan en los proyectos de vinculación que se desarrollan e</w:t>
            </w:r>
            <w:r>
              <w:rPr>
                <w:rFonts w:cs="Arial"/>
                <w:sz w:val="20"/>
                <w:szCs w:val="20"/>
              </w:rPr>
              <w:t xml:space="preserve">n el servicio público, privado </w:t>
            </w:r>
            <w:r w:rsidRPr="00CD374D">
              <w:rPr>
                <w:rFonts w:cs="Arial"/>
                <w:sz w:val="20"/>
                <w:szCs w:val="20"/>
              </w:rPr>
              <w:t>y social</w:t>
            </w:r>
            <w:r>
              <w:rPr>
                <w:rFonts w:cs="Arial"/>
                <w:sz w:val="20"/>
                <w:szCs w:val="20"/>
              </w:rPr>
              <w:t>.</w:t>
            </w:r>
          </w:p>
        </w:tc>
      </w:tr>
    </w:tbl>
    <w:p w14:paraId="4B08BC92" w14:textId="77777777" w:rsidR="0080241C" w:rsidRDefault="0080241C">
      <w:pPr>
        <w:spacing w:after="0" w:line="240" w:lineRule="auto"/>
        <w:jc w:val="left"/>
      </w:pPr>
      <w:r>
        <w:br w:type="page"/>
      </w:r>
    </w:p>
    <w:tbl>
      <w:tblPr>
        <w:tblW w:w="14029" w:type="dxa"/>
        <w:tblLayout w:type="fixed"/>
        <w:tblCellMar>
          <w:left w:w="70" w:type="dxa"/>
          <w:right w:w="70" w:type="dxa"/>
        </w:tblCellMar>
        <w:tblLook w:val="04A0" w:firstRow="1" w:lastRow="0" w:firstColumn="1" w:lastColumn="0" w:noHBand="0" w:noVBand="1"/>
      </w:tblPr>
      <w:tblGrid>
        <w:gridCol w:w="1271"/>
        <w:gridCol w:w="2835"/>
        <w:gridCol w:w="2835"/>
        <w:gridCol w:w="2268"/>
        <w:gridCol w:w="2693"/>
        <w:gridCol w:w="2127"/>
      </w:tblGrid>
      <w:tr w:rsidR="00E23746" w:rsidRPr="00FD08F8" w14:paraId="105E6EC2" w14:textId="77777777" w:rsidTr="003D04F9">
        <w:trPr>
          <w:trHeight w:val="461"/>
        </w:trPr>
        <w:tc>
          <w:tcPr>
            <w:tcW w:w="1271"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5B55FED5"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lastRenderedPageBreak/>
              <w:t>NIVEL</w:t>
            </w:r>
          </w:p>
        </w:tc>
        <w:tc>
          <w:tcPr>
            <w:tcW w:w="2835" w:type="dxa"/>
            <w:tcBorders>
              <w:top w:val="single" w:sz="4" w:space="0" w:color="auto"/>
              <w:left w:val="nil"/>
              <w:bottom w:val="single" w:sz="4" w:space="0" w:color="auto"/>
              <w:right w:val="single" w:sz="4" w:space="0" w:color="auto"/>
            </w:tcBorders>
            <w:shd w:val="clear" w:color="000000" w:fill="BFBFBF"/>
            <w:vAlign w:val="center"/>
            <w:hideMark/>
          </w:tcPr>
          <w:p w14:paraId="0D1E19D5"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ALINEACIÓN PED/PD</w:t>
            </w:r>
          </w:p>
        </w:tc>
        <w:tc>
          <w:tcPr>
            <w:tcW w:w="2835" w:type="dxa"/>
            <w:tcBorders>
              <w:top w:val="single" w:sz="4" w:space="0" w:color="auto"/>
              <w:left w:val="nil"/>
              <w:bottom w:val="single" w:sz="4" w:space="0" w:color="auto"/>
              <w:right w:val="single" w:sz="4" w:space="0" w:color="auto"/>
            </w:tcBorders>
            <w:shd w:val="clear" w:color="000000" w:fill="BFBFBF"/>
            <w:vAlign w:val="center"/>
            <w:hideMark/>
          </w:tcPr>
          <w:p w14:paraId="56D1BBCC"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OBJETIVO</w:t>
            </w:r>
          </w:p>
        </w:tc>
        <w:tc>
          <w:tcPr>
            <w:tcW w:w="2268" w:type="dxa"/>
            <w:tcBorders>
              <w:top w:val="single" w:sz="4" w:space="0" w:color="auto"/>
              <w:left w:val="nil"/>
              <w:bottom w:val="single" w:sz="4" w:space="0" w:color="auto"/>
              <w:right w:val="single" w:sz="4" w:space="0" w:color="auto"/>
            </w:tcBorders>
            <w:shd w:val="clear" w:color="000000" w:fill="BFBFBF"/>
            <w:vAlign w:val="center"/>
            <w:hideMark/>
          </w:tcPr>
          <w:p w14:paraId="471E5C86"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INDICADOR</w:t>
            </w:r>
          </w:p>
        </w:tc>
        <w:tc>
          <w:tcPr>
            <w:tcW w:w="2693" w:type="dxa"/>
            <w:tcBorders>
              <w:top w:val="single" w:sz="4" w:space="0" w:color="auto"/>
              <w:left w:val="nil"/>
              <w:bottom w:val="single" w:sz="4" w:space="0" w:color="auto"/>
              <w:right w:val="single" w:sz="4" w:space="0" w:color="auto"/>
            </w:tcBorders>
            <w:shd w:val="clear" w:color="000000" w:fill="BFBFBF"/>
            <w:vAlign w:val="center"/>
            <w:hideMark/>
          </w:tcPr>
          <w:p w14:paraId="72D04B3B"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MEDIOS DE VERIFICACIÓN</w:t>
            </w:r>
          </w:p>
        </w:tc>
        <w:tc>
          <w:tcPr>
            <w:tcW w:w="2127" w:type="dxa"/>
            <w:tcBorders>
              <w:top w:val="single" w:sz="4" w:space="0" w:color="auto"/>
              <w:left w:val="nil"/>
              <w:bottom w:val="single" w:sz="4" w:space="0" w:color="auto"/>
              <w:right w:val="single" w:sz="4" w:space="0" w:color="auto"/>
            </w:tcBorders>
            <w:shd w:val="clear" w:color="000000" w:fill="BFBFBF"/>
            <w:vAlign w:val="center"/>
            <w:hideMark/>
          </w:tcPr>
          <w:p w14:paraId="3BE30C5F"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SUPUESTO</w:t>
            </w:r>
          </w:p>
        </w:tc>
      </w:tr>
      <w:tr w:rsidR="003D4BC3" w:rsidRPr="00FD08F8" w14:paraId="4A0F8801" w14:textId="77777777" w:rsidTr="003D04F9">
        <w:trPr>
          <w:trHeight w:val="415"/>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32BA1B4B" w14:textId="1FDD37AB" w:rsidR="003D4BC3" w:rsidRPr="00FD08F8" w:rsidRDefault="003D4BC3" w:rsidP="003D4BC3">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Actividad</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8B5E8C9" w14:textId="04AD630E" w:rsidR="003D4BC3" w:rsidRPr="00B32396" w:rsidRDefault="003D4BC3" w:rsidP="003D4BC3">
            <w:pPr>
              <w:rPr>
                <w:rFonts w:cs="Arial"/>
                <w:sz w:val="20"/>
                <w:szCs w:val="20"/>
              </w:rPr>
            </w:pPr>
            <w:r w:rsidRPr="00B32396">
              <w:rPr>
                <w:rFonts w:cs="Arial"/>
                <w:sz w:val="20"/>
                <w:szCs w:val="20"/>
              </w:rPr>
              <w:t>Impulsar la vinculación con instituciones públicas y privadas para la realización del servicio social, prácticas profesionales o su equivalente y modelo dual por parte de los estudiantes de educación superior.</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5B02702" w14:textId="0ABDD1F4" w:rsidR="003D4BC3" w:rsidRDefault="003D4BC3" w:rsidP="003D4BC3">
            <w:pPr>
              <w:rPr>
                <w:rFonts w:cs="Arial"/>
                <w:sz w:val="20"/>
                <w:szCs w:val="20"/>
              </w:rPr>
            </w:pPr>
            <w:r>
              <w:rPr>
                <w:rFonts w:cs="Arial"/>
                <w:sz w:val="20"/>
                <w:szCs w:val="20"/>
              </w:rPr>
              <w:t>C03</w:t>
            </w:r>
            <w:r w:rsidRPr="00574DAC">
              <w:rPr>
                <w:rFonts w:cs="Arial"/>
                <w:sz w:val="20"/>
                <w:szCs w:val="20"/>
              </w:rPr>
              <w:t>.A0</w:t>
            </w:r>
            <w:r>
              <w:rPr>
                <w:rFonts w:cs="Arial"/>
                <w:sz w:val="20"/>
                <w:szCs w:val="20"/>
              </w:rPr>
              <w:t>1 -</w:t>
            </w:r>
            <w:r w:rsidRPr="006E794F">
              <w:rPr>
                <w:rFonts w:cs="Arial"/>
                <w:sz w:val="20"/>
                <w:szCs w:val="20"/>
              </w:rPr>
              <w:t>Impulso a la cooperación académica (incorporar doble titulación, reconocimiento de créditos)</w:t>
            </w:r>
            <w:r>
              <w:rPr>
                <w:rFonts w:cs="Arial"/>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shd w:val="clear" w:color="FFFFFF" w:fill="FFFFFF"/>
          </w:tcPr>
          <w:p w14:paraId="31D55636" w14:textId="2F2C2428" w:rsidR="003D4BC3" w:rsidRPr="00365A8A" w:rsidRDefault="003D4BC3" w:rsidP="003D4BC3">
            <w:pPr>
              <w:rPr>
                <w:rFonts w:cs="Arial"/>
                <w:color w:val="595959" w:themeColor="text1" w:themeTint="A6"/>
                <w:sz w:val="20"/>
                <w:szCs w:val="20"/>
              </w:rPr>
            </w:pPr>
            <w:r>
              <w:rPr>
                <w:rFonts w:cs="Arial"/>
                <w:sz w:val="20"/>
                <w:szCs w:val="20"/>
              </w:rPr>
              <w:t>C03</w:t>
            </w:r>
            <w:r w:rsidRPr="00574DAC">
              <w:rPr>
                <w:rFonts w:cs="Arial"/>
                <w:sz w:val="20"/>
                <w:szCs w:val="20"/>
              </w:rPr>
              <w:t>A01</w:t>
            </w:r>
            <w:r>
              <w:rPr>
                <w:rFonts w:cs="Arial"/>
                <w:sz w:val="20"/>
                <w:szCs w:val="20"/>
              </w:rPr>
              <w:t>I01</w:t>
            </w:r>
            <w:r w:rsidRPr="00574DAC">
              <w:rPr>
                <w:rFonts w:cs="Arial"/>
                <w:sz w:val="20"/>
                <w:szCs w:val="20"/>
              </w:rPr>
              <w:t xml:space="preserve"> -</w:t>
            </w:r>
            <w:r w:rsidRPr="0012219D">
              <w:rPr>
                <w:rFonts w:cs="Arial"/>
                <w:sz w:val="20"/>
                <w:szCs w:val="20"/>
              </w:rPr>
              <w:t>Participación de estudiantes en movilidad</w:t>
            </w:r>
            <w:r>
              <w:rPr>
                <w:rFonts w:cs="Arial"/>
                <w:sz w:val="20"/>
                <w:szCs w:val="20"/>
              </w:rPr>
              <w:t>.</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0593154" w14:textId="4B73D3F1" w:rsidR="003D4BC3" w:rsidRPr="00B938D1" w:rsidRDefault="003D4BC3" w:rsidP="003D4BC3">
            <w:pPr>
              <w:rPr>
                <w:rFonts w:cs="Arial"/>
                <w:sz w:val="20"/>
                <w:szCs w:val="20"/>
              </w:rPr>
            </w:pPr>
            <w:r w:rsidRPr="00B938D1">
              <w:rPr>
                <w:rFonts w:cs="Arial"/>
                <w:sz w:val="20"/>
                <w:szCs w:val="20"/>
              </w:rPr>
              <w:t>Cartas aceptación al programa de movilidad nacional o internacional. http://www.unicaribe.mx/pagina/obligaciones-transparencia</w:t>
            </w:r>
            <w:r>
              <w:rPr>
                <w:rFonts w:cs="Arial"/>
                <w:sz w:val="20"/>
                <w:szCs w:val="20"/>
              </w:rPr>
              <w:t>.</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8C649F1" w14:textId="3596B458" w:rsidR="003D4BC3" w:rsidRPr="00B938D1" w:rsidRDefault="003D4BC3" w:rsidP="003D4BC3">
            <w:pPr>
              <w:rPr>
                <w:rFonts w:cs="Arial"/>
                <w:sz w:val="20"/>
                <w:szCs w:val="20"/>
              </w:rPr>
            </w:pPr>
            <w:r w:rsidRPr="001D2E9B">
              <w:rPr>
                <w:rFonts w:cs="Arial"/>
                <w:sz w:val="18"/>
                <w:szCs w:val="20"/>
              </w:rPr>
              <w:t>Las instituciones públicas y privadas mantienen su interés en incorporar estudiantes/profesores en programas nacionales e internacionales que fomentan la movilidad educativa y existen las condiciones necesarias para que se trasladen.</w:t>
            </w:r>
          </w:p>
        </w:tc>
      </w:tr>
      <w:tr w:rsidR="00E23746" w:rsidRPr="00FD08F8" w14:paraId="1BBAEF9C" w14:textId="77777777" w:rsidTr="003D04F9">
        <w:trPr>
          <w:trHeight w:val="415"/>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11CBBE94"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Actividad</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05AECC9" w14:textId="77777777" w:rsidR="00E23746" w:rsidRPr="00B32396" w:rsidRDefault="00E23746" w:rsidP="000B2F10">
            <w:pPr>
              <w:rPr>
                <w:rFonts w:cs="Arial"/>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B3ABDA0" w14:textId="77777777" w:rsidR="00E23746" w:rsidRDefault="00E23746" w:rsidP="000B2F10">
            <w:pPr>
              <w:rPr>
                <w:rFonts w:cs="Arial"/>
                <w:sz w:val="20"/>
                <w:szCs w:val="20"/>
              </w:rPr>
            </w:pPr>
            <w:r>
              <w:rPr>
                <w:rFonts w:cs="Arial"/>
                <w:sz w:val="20"/>
                <w:szCs w:val="20"/>
              </w:rPr>
              <w:t>C03</w:t>
            </w:r>
            <w:r w:rsidRPr="00574DAC">
              <w:rPr>
                <w:rFonts w:cs="Arial"/>
                <w:sz w:val="20"/>
                <w:szCs w:val="20"/>
              </w:rPr>
              <w:t>.A0</w:t>
            </w:r>
            <w:r>
              <w:rPr>
                <w:rFonts w:cs="Arial"/>
                <w:sz w:val="20"/>
                <w:szCs w:val="20"/>
              </w:rPr>
              <w:t>1 -</w:t>
            </w:r>
            <w:r w:rsidRPr="006E794F">
              <w:rPr>
                <w:rFonts w:cs="Arial"/>
                <w:sz w:val="20"/>
                <w:szCs w:val="20"/>
              </w:rPr>
              <w:t>Impulso a la cooperación académica (incorporar doble titulación, reconocimiento de créditos)</w:t>
            </w:r>
            <w:r>
              <w:rPr>
                <w:rFonts w:cs="Arial"/>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shd w:val="clear" w:color="FFFFFF" w:fill="FFFFFF"/>
          </w:tcPr>
          <w:p w14:paraId="27897E77" w14:textId="77777777" w:rsidR="00E23746" w:rsidRDefault="00E23746" w:rsidP="000B2F10">
            <w:pPr>
              <w:rPr>
                <w:rFonts w:cs="Arial"/>
                <w:sz w:val="20"/>
                <w:szCs w:val="20"/>
              </w:rPr>
            </w:pPr>
            <w:r w:rsidRPr="00365A8A">
              <w:rPr>
                <w:rFonts w:cs="Arial"/>
                <w:color w:val="595959" w:themeColor="text1" w:themeTint="A6"/>
                <w:sz w:val="20"/>
                <w:szCs w:val="20"/>
              </w:rPr>
              <w:t xml:space="preserve">C03A01I02 -Participación </w:t>
            </w:r>
            <w:r w:rsidRPr="00D775E1">
              <w:rPr>
                <w:rFonts w:cs="Arial"/>
                <w:sz w:val="20"/>
                <w:szCs w:val="20"/>
              </w:rPr>
              <w:t>de profesores de tiempo completo en movilidad académica</w:t>
            </w:r>
            <w:r>
              <w:rPr>
                <w:rFonts w:cs="Arial"/>
                <w:sz w:val="20"/>
                <w:szCs w:val="20"/>
              </w:rPr>
              <w:t>.</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0C55ED0" w14:textId="77777777" w:rsidR="00E23746" w:rsidRPr="00B938D1" w:rsidRDefault="00E23746" w:rsidP="000B2F10">
            <w:pPr>
              <w:rPr>
                <w:rFonts w:cs="Arial"/>
                <w:sz w:val="20"/>
                <w:szCs w:val="20"/>
              </w:rPr>
            </w:pPr>
            <w:r w:rsidRPr="00B938D1">
              <w:rPr>
                <w:rFonts w:cs="Arial"/>
                <w:sz w:val="20"/>
                <w:szCs w:val="20"/>
              </w:rPr>
              <w:t>Cartas aceptación al programa de movilidad nacional o internacional. http://www.unicaribe.mx/pagina/obligaciones-transparencia</w:t>
            </w:r>
            <w:r>
              <w:rPr>
                <w:rFonts w:cs="Arial"/>
                <w:sz w:val="20"/>
                <w:szCs w:val="20"/>
              </w:rPr>
              <w:t>.</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E4943CD" w14:textId="0CC73AC1" w:rsidR="00E23746" w:rsidRPr="00B938D1" w:rsidRDefault="00E23746" w:rsidP="003D4BC3">
            <w:pPr>
              <w:rPr>
                <w:rFonts w:cs="Arial"/>
                <w:sz w:val="20"/>
                <w:szCs w:val="20"/>
              </w:rPr>
            </w:pPr>
            <w:r w:rsidRPr="00B938D1">
              <w:rPr>
                <w:rFonts w:cs="Arial"/>
                <w:sz w:val="20"/>
                <w:szCs w:val="20"/>
              </w:rPr>
              <w:t>Las instituciones públicas y privadas mantienen su interés en incorporar estudiantes/profesores en programas nacionales e internacionales que fomentan la movilidad educativa y existen las condiciones necesarias para que se trasladen</w:t>
            </w:r>
            <w:r>
              <w:rPr>
                <w:rFonts w:cs="Arial"/>
                <w:sz w:val="20"/>
                <w:szCs w:val="20"/>
              </w:rPr>
              <w:t>.</w:t>
            </w:r>
          </w:p>
        </w:tc>
      </w:tr>
    </w:tbl>
    <w:p w14:paraId="748AB249" w14:textId="77777777" w:rsidR="0080241C" w:rsidRDefault="0080241C">
      <w:pPr>
        <w:spacing w:after="0" w:line="240" w:lineRule="auto"/>
        <w:jc w:val="left"/>
      </w:pPr>
      <w:r>
        <w:br w:type="page"/>
      </w:r>
    </w:p>
    <w:tbl>
      <w:tblPr>
        <w:tblW w:w="14029" w:type="dxa"/>
        <w:tblLayout w:type="fixed"/>
        <w:tblCellMar>
          <w:left w:w="70" w:type="dxa"/>
          <w:right w:w="70" w:type="dxa"/>
        </w:tblCellMar>
        <w:tblLook w:val="04A0" w:firstRow="1" w:lastRow="0" w:firstColumn="1" w:lastColumn="0" w:noHBand="0" w:noVBand="1"/>
      </w:tblPr>
      <w:tblGrid>
        <w:gridCol w:w="1271"/>
        <w:gridCol w:w="2835"/>
        <w:gridCol w:w="2835"/>
        <w:gridCol w:w="2268"/>
        <w:gridCol w:w="2693"/>
        <w:gridCol w:w="2127"/>
      </w:tblGrid>
      <w:tr w:rsidR="00E23746" w:rsidRPr="00FD08F8" w14:paraId="10B4D5A1" w14:textId="77777777" w:rsidTr="003D04F9">
        <w:trPr>
          <w:trHeight w:val="461"/>
        </w:trPr>
        <w:tc>
          <w:tcPr>
            <w:tcW w:w="1271"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02446E1E" w14:textId="77777777" w:rsidR="00E23746" w:rsidRPr="00FD08F8" w:rsidRDefault="00E23746" w:rsidP="000B2F10">
            <w:pPr>
              <w:spacing w:after="0" w:line="240" w:lineRule="auto"/>
              <w:jc w:val="center"/>
              <w:rPr>
                <w:rFonts w:eastAsia="Times New Roman" w:cs="Arial"/>
                <w:b/>
                <w:bCs/>
                <w:sz w:val="20"/>
                <w:szCs w:val="20"/>
                <w:lang w:val="es-MX" w:eastAsia="es-MX"/>
              </w:rPr>
            </w:pPr>
            <w:bookmarkStart w:id="94" w:name="_Hlk53423862"/>
            <w:r w:rsidRPr="00FD08F8">
              <w:rPr>
                <w:rFonts w:eastAsia="Times New Roman" w:cs="Arial"/>
                <w:b/>
                <w:bCs/>
                <w:sz w:val="20"/>
                <w:szCs w:val="20"/>
                <w:lang w:val="es-MX" w:eastAsia="es-MX"/>
              </w:rPr>
              <w:lastRenderedPageBreak/>
              <w:t>NIVEL</w:t>
            </w:r>
          </w:p>
        </w:tc>
        <w:tc>
          <w:tcPr>
            <w:tcW w:w="2835" w:type="dxa"/>
            <w:tcBorders>
              <w:top w:val="single" w:sz="4" w:space="0" w:color="auto"/>
              <w:left w:val="nil"/>
              <w:bottom w:val="single" w:sz="4" w:space="0" w:color="auto"/>
              <w:right w:val="single" w:sz="4" w:space="0" w:color="auto"/>
            </w:tcBorders>
            <w:shd w:val="clear" w:color="000000" w:fill="BFBFBF"/>
            <w:vAlign w:val="center"/>
            <w:hideMark/>
          </w:tcPr>
          <w:p w14:paraId="1641272E"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ALINEACIÓN PED/PD</w:t>
            </w:r>
          </w:p>
        </w:tc>
        <w:tc>
          <w:tcPr>
            <w:tcW w:w="2835" w:type="dxa"/>
            <w:tcBorders>
              <w:top w:val="single" w:sz="4" w:space="0" w:color="auto"/>
              <w:left w:val="nil"/>
              <w:bottom w:val="single" w:sz="4" w:space="0" w:color="auto"/>
              <w:right w:val="single" w:sz="4" w:space="0" w:color="auto"/>
            </w:tcBorders>
            <w:shd w:val="clear" w:color="000000" w:fill="BFBFBF"/>
            <w:vAlign w:val="center"/>
            <w:hideMark/>
          </w:tcPr>
          <w:p w14:paraId="5C88BE9E"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OBJETIVO</w:t>
            </w:r>
          </w:p>
        </w:tc>
        <w:tc>
          <w:tcPr>
            <w:tcW w:w="2268" w:type="dxa"/>
            <w:tcBorders>
              <w:top w:val="single" w:sz="4" w:space="0" w:color="auto"/>
              <w:left w:val="nil"/>
              <w:bottom w:val="single" w:sz="4" w:space="0" w:color="auto"/>
              <w:right w:val="single" w:sz="4" w:space="0" w:color="auto"/>
            </w:tcBorders>
            <w:shd w:val="clear" w:color="000000" w:fill="BFBFBF"/>
            <w:vAlign w:val="center"/>
            <w:hideMark/>
          </w:tcPr>
          <w:p w14:paraId="05059901"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INDICADOR</w:t>
            </w:r>
          </w:p>
        </w:tc>
        <w:tc>
          <w:tcPr>
            <w:tcW w:w="2693" w:type="dxa"/>
            <w:tcBorders>
              <w:top w:val="single" w:sz="4" w:space="0" w:color="auto"/>
              <w:left w:val="nil"/>
              <w:bottom w:val="single" w:sz="4" w:space="0" w:color="auto"/>
              <w:right w:val="single" w:sz="4" w:space="0" w:color="auto"/>
            </w:tcBorders>
            <w:shd w:val="clear" w:color="000000" w:fill="BFBFBF"/>
            <w:vAlign w:val="center"/>
            <w:hideMark/>
          </w:tcPr>
          <w:p w14:paraId="42CB7A87"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MEDIOS DE VERIFICACIÓN</w:t>
            </w:r>
          </w:p>
        </w:tc>
        <w:tc>
          <w:tcPr>
            <w:tcW w:w="2127" w:type="dxa"/>
            <w:tcBorders>
              <w:top w:val="single" w:sz="4" w:space="0" w:color="auto"/>
              <w:left w:val="nil"/>
              <w:bottom w:val="single" w:sz="4" w:space="0" w:color="auto"/>
              <w:right w:val="single" w:sz="4" w:space="0" w:color="auto"/>
            </w:tcBorders>
            <w:shd w:val="clear" w:color="000000" w:fill="BFBFBF"/>
            <w:vAlign w:val="center"/>
            <w:hideMark/>
          </w:tcPr>
          <w:p w14:paraId="13286B9B"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SUPUESTO</w:t>
            </w:r>
          </w:p>
        </w:tc>
      </w:tr>
      <w:bookmarkEnd w:id="94"/>
      <w:tr w:rsidR="003D4BC3" w:rsidRPr="00FD08F8" w14:paraId="24F8D68E" w14:textId="77777777" w:rsidTr="003D04F9">
        <w:trPr>
          <w:trHeight w:val="2252"/>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101F1103" w14:textId="04B3D98B" w:rsidR="003D4BC3" w:rsidRPr="00FD08F8" w:rsidRDefault="003D4BC3" w:rsidP="003D4BC3">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Actividad</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2DC5F55" w14:textId="24E145B6" w:rsidR="003D4BC3" w:rsidRPr="00B32396" w:rsidRDefault="003D4BC3" w:rsidP="00B021B4">
            <w:pPr>
              <w:rPr>
                <w:rFonts w:cs="Arial"/>
                <w:sz w:val="20"/>
                <w:szCs w:val="20"/>
              </w:rPr>
            </w:pPr>
            <w:r w:rsidRPr="00B32396">
              <w:rPr>
                <w:rFonts w:cs="Arial"/>
                <w:sz w:val="20"/>
                <w:szCs w:val="20"/>
              </w:rPr>
              <w:t>Impulsar la vinculación con instituciones públicas y privadas para la realización del servicio social, prácticas profesionales o su equivalente y modelo dual por parte de los estudiantes de educación superior.</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B41FF0C" w14:textId="226A7AFA" w:rsidR="003D4BC3" w:rsidRDefault="003D4BC3" w:rsidP="003D4BC3">
            <w:pPr>
              <w:rPr>
                <w:rFonts w:cs="Arial"/>
                <w:sz w:val="20"/>
                <w:szCs w:val="20"/>
              </w:rPr>
            </w:pPr>
            <w:r>
              <w:rPr>
                <w:rFonts w:cs="Arial"/>
                <w:sz w:val="20"/>
                <w:szCs w:val="20"/>
              </w:rPr>
              <w:t>C03</w:t>
            </w:r>
            <w:r w:rsidRPr="00574DAC">
              <w:rPr>
                <w:rFonts w:cs="Arial"/>
                <w:sz w:val="20"/>
                <w:szCs w:val="20"/>
              </w:rPr>
              <w:t>.A0</w:t>
            </w:r>
            <w:r>
              <w:rPr>
                <w:rFonts w:cs="Arial"/>
                <w:sz w:val="20"/>
                <w:szCs w:val="20"/>
              </w:rPr>
              <w:t>2 -</w:t>
            </w:r>
            <w:r>
              <w:t xml:space="preserve"> </w:t>
            </w:r>
            <w:r w:rsidRPr="008F6588">
              <w:rPr>
                <w:rFonts w:cs="Arial"/>
                <w:sz w:val="20"/>
                <w:szCs w:val="20"/>
              </w:rPr>
              <w:t>Fortalecimiento de la práctica profesional (estancias, practicas, estadías)</w:t>
            </w:r>
            <w:r>
              <w:rPr>
                <w:rFonts w:cs="Arial"/>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shd w:val="clear" w:color="FFFFFF" w:fill="FFFFFF"/>
          </w:tcPr>
          <w:p w14:paraId="1DE2278F" w14:textId="69FC8FED" w:rsidR="003D4BC3" w:rsidRDefault="003D4BC3" w:rsidP="003D4BC3">
            <w:pPr>
              <w:rPr>
                <w:rFonts w:cs="Arial"/>
                <w:sz w:val="20"/>
                <w:szCs w:val="20"/>
              </w:rPr>
            </w:pPr>
            <w:r>
              <w:rPr>
                <w:rFonts w:cs="Arial"/>
                <w:sz w:val="20"/>
                <w:szCs w:val="20"/>
              </w:rPr>
              <w:t>C03A02</w:t>
            </w:r>
            <w:r w:rsidRPr="00574DAC">
              <w:rPr>
                <w:rFonts w:cs="Arial"/>
                <w:sz w:val="20"/>
                <w:szCs w:val="20"/>
              </w:rPr>
              <w:t xml:space="preserve"> -</w:t>
            </w:r>
            <w:r>
              <w:t xml:space="preserve"> </w:t>
            </w:r>
            <w:r w:rsidRPr="00DF611C">
              <w:rPr>
                <w:rFonts w:cs="Arial"/>
                <w:sz w:val="20"/>
                <w:szCs w:val="20"/>
              </w:rPr>
              <w:t>Porcentaje de estudiantes con calificación sobresaliente en prácticas profesionales con respecto a los estudiantes incorporados en programas de prácticas profesionales</w:t>
            </w:r>
            <w:r>
              <w:rPr>
                <w:rFonts w:cs="Arial"/>
                <w:sz w:val="20"/>
                <w:szCs w:val="20"/>
              </w:rPr>
              <w:t>.</w:t>
            </w:r>
            <w:r w:rsidRPr="0041107B">
              <w:rPr>
                <w:rFonts w:cs="Arial"/>
                <w:sz w:val="20"/>
                <w:szCs w:val="20"/>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8145545" w14:textId="192A5F67" w:rsidR="003D4BC3" w:rsidRPr="007D5C31" w:rsidRDefault="003D4BC3" w:rsidP="003D4BC3">
            <w:pPr>
              <w:rPr>
                <w:rFonts w:cs="Arial"/>
                <w:sz w:val="20"/>
                <w:szCs w:val="20"/>
              </w:rPr>
            </w:pPr>
            <w:r w:rsidRPr="00A343EC">
              <w:rPr>
                <w:rFonts w:cs="Arial"/>
                <w:sz w:val="20"/>
                <w:szCs w:val="20"/>
              </w:rPr>
              <w:t>Registro de estudiantes que acreditan el programa de prácticas profesionales. http://www.unicaribe.mx/pagina/obligaciones-transparencia</w:t>
            </w:r>
            <w:r>
              <w:rPr>
                <w:rFonts w:cs="Arial"/>
                <w:sz w:val="20"/>
                <w:szCs w:val="20"/>
              </w:rPr>
              <w:t>.</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F17F403" w14:textId="099A9FE7" w:rsidR="003D4BC3" w:rsidRPr="00365A8A" w:rsidRDefault="003D4BC3" w:rsidP="003D4BC3">
            <w:pPr>
              <w:rPr>
                <w:rFonts w:cs="Arial"/>
                <w:sz w:val="18"/>
                <w:szCs w:val="20"/>
              </w:rPr>
            </w:pPr>
            <w:r w:rsidRPr="00361855">
              <w:rPr>
                <w:rFonts w:cs="Arial"/>
                <w:sz w:val="20"/>
                <w:szCs w:val="20"/>
              </w:rPr>
              <w:t>Los estudiantes cumplen los requisitos, asisten y acreditan las</w:t>
            </w:r>
            <w:r>
              <w:rPr>
                <w:rFonts w:cs="Arial"/>
                <w:sz w:val="20"/>
                <w:szCs w:val="20"/>
              </w:rPr>
              <w:t xml:space="preserve"> </w:t>
            </w:r>
            <w:r w:rsidRPr="00361855">
              <w:rPr>
                <w:rFonts w:cs="Arial"/>
                <w:sz w:val="20"/>
                <w:szCs w:val="20"/>
              </w:rPr>
              <w:t>prácticas profesionales  en los espacios laborales que ofertan las instituciones públicas y privadas</w:t>
            </w:r>
            <w:r>
              <w:rPr>
                <w:rFonts w:cs="Arial"/>
                <w:sz w:val="20"/>
                <w:szCs w:val="20"/>
              </w:rPr>
              <w:t>.</w:t>
            </w:r>
          </w:p>
        </w:tc>
      </w:tr>
      <w:tr w:rsidR="00E23746" w:rsidRPr="00FD08F8" w14:paraId="3949563A" w14:textId="77777777" w:rsidTr="003D04F9">
        <w:trPr>
          <w:trHeight w:val="2252"/>
        </w:trPr>
        <w:tc>
          <w:tcPr>
            <w:tcW w:w="1271" w:type="dxa"/>
            <w:tcBorders>
              <w:top w:val="single" w:sz="4" w:space="0" w:color="auto"/>
              <w:left w:val="single" w:sz="4" w:space="0" w:color="auto"/>
              <w:bottom w:val="single" w:sz="4" w:space="0" w:color="auto"/>
              <w:right w:val="single" w:sz="4" w:space="0" w:color="auto"/>
            </w:tcBorders>
            <w:shd w:val="clear" w:color="auto" w:fill="auto"/>
            <w:hideMark/>
          </w:tcPr>
          <w:p w14:paraId="04743D6F"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Actividad</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A658AC9" w14:textId="77777777" w:rsidR="00E23746" w:rsidRPr="00DD34FD" w:rsidRDefault="00E23746" w:rsidP="000B2F10">
            <w:pPr>
              <w:rPr>
                <w:rFonts w:cs="Arial"/>
                <w:sz w:val="20"/>
                <w:szCs w:val="20"/>
              </w:rPr>
            </w:pPr>
            <w:r w:rsidRPr="00B32396">
              <w:rPr>
                <w:rFonts w:cs="Arial"/>
                <w:sz w:val="20"/>
                <w:szCs w:val="20"/>
              </w:rPr>
              <w:t>Impulsar la vinculación con instituciones públicas y privadas para la realización del servicio social, prácticas profesionales o su equivalente y modelo dual por parte de los estudiantes de educación superior.</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48A3B74" w14:textId="77777777" w:rsidR="00E23746" w:rsidRPr="00DD34FD" w:rsidRDefault="00E23746" w:rsidP="000B2F10">
            <w:pPr>
              <w:rPr>
                <w:rFonts w:cs="Arial"/>
                <w:sz w:val="20"/>
                <w:szCs w:val="20"/>
              </w:rPr>
            </w:pPr>
            <w:r>
              <w:rPr>
                <w:rFonts w:cs="Arial"/>
                <w:sz w:val="20"/>
                <w:szCs w:val="20"/>
              </w:rPr>
              <w:t>C03</w:t>
            </w:r>
            <w:r w:rsidRPr="00574DAC">
              <w:rPr>
                <w:rFonts w:cs="Arial"/>
                <w:sz w:val="20"/>
                <w:szCs w:val="20"/>
              </w:rPr>
              <w:t>.A0</w:t>
            </w:r>
            <w:r>
              <w:rPr>
                <w:rFonts w:cs="Arial"/>
                <w:sz w:val="20"/>
                <w:szCs w:val="20"/>
              </w:rPr>
              <w:t>3 -</w:t>
            </w:r>
            <w:r>
              <w:t xml:space="preserve"> </w:t>
            </w:r>
            <w:r w:rsidRPr="007D5C31">
              <w:rPr>
                <w:rFonts w:cs="Arial"/>
                <w:sz w:val="20"/>
                <w:szCs w:val="20"/>
              </w:rPr>
              <w:t>Incorporación de estudiantes y egresados en programas de intervención Social</w:t>
            </w:r>
            <w:r>
              <w:rPr>
                <w:rFonts w:cs="Arial"/>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shd w:val="clear" w:color="FFFFFF" w:fill="FFFFFF"/>
          </w:tcPr>
          <w:p w14:paraId="6617A37C" w14:textId="77777777" w:rsidR="00E23746" w:rsidRPr="00DD34FD" w:rsidRDefault="00E23746" w:rsidP="000B2F10">
            <w:pPr>
              <w:rPr>
                <w:rFonts w:cs="Arial"/>
                <w:sz w:val="20"/>
                <w:szCs w:val="20"/>
              </w:rPr>
            </w:pPr>
            <w:r>
              <w:rPr>
                <w:rFonts w:cs="Arial"/>
                <w:sz w:val="20"/>
                <w:szCs w:val="20"/>
              </w:rPr>
              <w:t>C03A03</w:t>
            </w:r>
            <w:r w:rsidRPr="00574DAC">
              <w:rPr>
                <w:rFonts w:cs="Arial"/>
                <w:sz w:val="20"/>
                <w:szCs w:val="20"/>
              </w:rPr>
              <w:t xml:space="preserve"> -</w:t>
            </w:r>
            <w:r>
              <w:t xml:space="preserve"> </w:t>
            </w:r>
            <w:r w:rsidRPr="007D5C31">
              <w:rPr>
                <w:rFonts w:cs="Arial"/>
                <w:sz w:val="20"/>
                <w:szCs w:val="20"/>
              </w:rPr>
              <w:t>Porcentaje de estudiantes incorporados en programas de servicio social con respecto a la matrícula inscrita en ter</w:t>
            </w:r>
            <w:r>
              <w:rPr>
                <w:rFonts w:cs="Arial"/>
                <w:sz w:val="20"/>
                <w:szCs w:val="20"/>
              </w:rPr>
              <w:t>cer y cuarto año.</w:t>
            </w:r>
            <w:r w:rsidRPr="0041107B">
              <w:rPr>
                <w:rFonts w:cs="Arial"/>
                <w:sz w:val="20"/>
                <w:szCs w:val="20"/>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3E7BDCA" w14:textId="77777777" w:rsidR="00E23746" w:rsidRPr="00DD34FD" w:rsidRDefault="00E23746" w:rsidP="000B2F10">
            <w:pPr>
              <w:rPr>
                <w:rFonts w:cs="Arial"/>
                <w:sz w:val="20"/>
                <w:szCs w:val="20"/>
              </w:rPr>
            </w:pPr>
            <w:r w:rsidRPr="007D5C31">
              <w:rPr>
                <w:rFonts w:cs="Arial"/>
                <w:sz w:val="20"/>
                <w:szCs w:val="20"/>
              </w:rPr>
              <w:t>Registro de carta de terminación del programa de servicio social. http://www.unicaribe.mx/pagina/obligaciones-transparencia</w:t>
            </w:r>
            <w:r>
              <w:rPr>
                <w:rFonts w:cs="Arial"/>
                <w:sz w:val="20"/>
                <w:szCs w:val="20"/>
              </w:rPr>
              <w:t>.</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5C68BDE1" w14:textId="77777777" w:rsidR="00E23746" w:rsidRPr="00365A8A" w:rsidRDefault="00E23746" w:rsidP="000B2F10">
            <w:pPr>
              <w:rPr>
                <w:rFonts w:cs="Arial"/>
                <w:sz w:val="18"/>
                <w:szCs w:val="20"/>
              </w:rPr>
            </w:pPr>
            <w:r w:rsidRPr="00365A8A">
              <w:rPr>
                <w:rFonts w:cs="Arial"/>
                <w:sz w:val="18"/>
                <w:szCs w:val="20"/>
              </w:rPr>
              <w:t>Las instituciones públicas y el sector social mantienen su interés en desarrollar estudiantes en programas de servicio social y existen las condiciones necesarias para que se desarrollen.</w:t>
            </w:r>
          </w:p>
        </w:tc>
      </w:tr>
    </w:tbl>
    <w:p w14:paraId="70A783FE" w14:textId="77777777" w:rsidR="00B021B4" w:rsidRDefault="00B021B4">
      <w:pPr>
        <w:spacing w:after="0" w:line="240" w:lineRule="auto"/>
        <w:jc w:val="left"/>
      </w:pPr>
      <w:r>
        <w:br w:type="page"/>
      </w:r>
    </w:p>
    <w:tbl>
      <w:tblPr>
        <w:tblW w:w="14029" w:type="dxa"/>
        <w:tblLayout w:type="fixed"/>
        <w:tblCellMar>
          <w:left w:w="70" w:type="dxa"/>
          <w:right w:w="70" w:type="dxa"/>
        </w:tblCellMar>
        <w:tblLook w:val="04A0" w:firstRow="1" w:lastRow="0" w:firstColumn="1" w:lastColumn="0" w:noHBand="0" w:noVBand="1"/>
      </w:tblPr>
      <w:tblGrid>
        <w:gridCol w:w="1413"/>
        <w:gridCol w:w="2693"/>
        <w:gridCol w:w="2835"/>
        <w:gridCol w:w="2268"/>
        <w:gridCol w:w="2693"/>
        <w:gridCol w:w="2127"/>
      </w:tblGrid>
      <w:tr w:rsidR="00B021B4" w:rsidRPr="00FD08F8" w14:paraId="53C1C99C" w14:textId="77777777" w:rsidTr="0088169B">
        <w:trPr>
          <w:trHeight w:val="461"/>
        </w:trPr>
        <w:tc>
          <w:tcPr>
            <w:tcW w:w="1413"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63C59536" w14:textId="77777777" w:rsidR="00B021B4" w:rsidRPr="00FD08F8" w:rsidRDefault="00B021B4" w:rsidP="00593A35">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lastRenderedPageBreak/>
              <w:t>NIVEL</w:t>
            </w:r>
          </w:p>
        </w:tc>
        <w:tc>
          <w:tcPr>
            <w:tcW w:w="2693" w:type="dxa"/>
            <w:tcBorders>
              <w:top w:val="single" w:sz="4" w:space="0" w:color="auto"/>
              <w:left w:val="nil"/>
              <w:bottom w:val="single" w:sz="4" w:space="0" w:color="auto"/>
              <w:right w:val="single" w:sz="4" w:space="0" w:color="auto"/>
            </w:tcBorders>
            <w:shd w:val="clear" w:color="000000" w:fill="BFBFBF"/>
            <w:vAlign w:val="center"/>
            <w:hideMark/>
          </w:tcPr>
          <w:p w14:paraId="2DFA1BC0" w14:textId="77777777" w:rsidR="00B021B4" w:rsidRPr="00FD08F8" w:rsidRDefault="00B021B4" w:rsidP="00593A35">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ALINEACIÓN PED/PD</w:t>
            </w:r>
          </w:p>
        </w:tc>
        <w:tc>
          <w:tcPr>
            <w:tcW w:w="2835" w:type="dxa"/>
            <w:tcBorders>
              <w:top w:val="single" w:sz="4" w:space="0" w:color="auto"/>
              <w:left w:val="nil"/>
              <w:bottom w:val="single" w:sz="4" w:space="0" w:color="auto"/>
              <w:right w:val="single" w:sz="4" w:space="0" w:color="auto"/>
            </w:tcBorders>
            <w:shd w:val="clear" w:color="000000" w:fill="BFBFBF"/>
            <w:vAlign w:val="center"/>
            <w:hideMark/>
          </w:tcPr>
          <w:p w14:paraId="6F075423" w14:textId="77777777" w:rsidR="00B021B4" w:rsidRPr="00FD08F8" w:rsidRDefault="00B021B4" w:rsidP="00593A35">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OBJETIVO</w:t>
            </w:r>
          </w:p>
        </w:tc>
        <w:tc>
          <w:tcPr>
            <w:tcW w:w="2268" w:type="dxa"/>
            <w:tcBorders>
              <w:top w:val="single" w:sz="4" w:space="0" w:color="auto"/>
              <w:left w:val="nil"/>
              <w:bottom w:val="single" w:sz="4" w:space="0" w:color="auto"/>
              <w:right w:val="single" w:sz="4" w:space="0" w:color="auto"/>
            </w:tcBorders>
            <w:shd w:val="clear" w:color="000000" w:fill="BFBFBF"/>
            <w:vAlign w:val="center"/>
            <w:hideMark/>
          </w:tcPr>
          <w:p w14:paraId="0733B62F" w14:textId="77777777" w:rsidR="00B021B4" w:rsidRPr="00FD08F8" w:rsidRDefault="00B021B4" w:rsidP="00593A35">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INDICADOR</w:t>
            </w:r>
          </w:p>
        </w:tc>
        <w:tc>
          <w:tcPr>
            <w:tcW w:w="2693" w:type="dxa"/>
            <w:tcBorders>
              <w:top w:val="single" w:sz="4" w:space="0" w:color="auto"/>
              <w:left w:val="nil"/>
              <w:bottom w:val="single" w:sz="4" w:space="0" w:color="auto"/>
              <w:right w:val="single" w:sz="4" w:space="0" w:color="auto"/>
            </w:tcBorders>
            <w:shd w:val="clear" w:color="000000" w:fill="BFBFBF"/>
            <w:vAlign w:val="center"/>
            <w:hideMark/>
          </w:tcPr>
          <w:p w14:paraId="65E0D91A" w14:textId="77777777" w:rsidR="00B021B4" w:rsidRPr="00FD08F8" w:rsidRDefault="00B021B4" w:rsidP="00593A35">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MEDIOS DE VERIFICACIÓN</w:t>
            </w:r>
          </w:p>
        </w:tc>
        <w:tc>
          <w:tcPr>
            <w:tcW w:w="2127" w:type="dxa"/>
            <w:tcBorders>
              <w:top w:val="single" w:sz="4" w:space="0" w:color="auto"/>
              <w:left w:val="nil"/>
              <w:bottom w:val="single" w:sz="4" w:space="0" w:color="auto"/>
              <w:right w:val="single" w:sz="4" w:space="0" w:color="auto"/>
            </w:tcBorders>
            <w:shd w:val="clear" w:color="000000" w:fill="BFBFBF"/>
            <w:vAlign w:val="center"/>
            <w:hideMark/>
          </w:tcPr>
          <w:p w14:paraId="7DF5A4D7" w14:textId="77777777" w:rsidR="00B021B4" w:rsidRPr="00FD08F8" w:rsidRDefault="00B021B4" w:rsidP="00593A35">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SUPUESTO</w:t>
            </w:r>
          </w:p>
        </w:tc>
      </w:tr>
      <w:tr w:rsidR="00E23746" w:rsidRPr="00FD08F8" w14:paraId="58EA3873" w14:textId="77777777" w:rsidTr="0088169B">
        <w:trPr>
          <w:trHeight w:val="1959"/>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14:paraId="4D7DC1B7"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Actividad</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C7D70BB" w14:textId="77777777" w:rsidR="00E23746" w:rsidRPr="00DD34FD" w:rsidRDefault="00E23746" w:rsidP="000B2F10">
            <w:pPr>
              <w:rPr>
                <w:rFonts w:cs="Arial"/>
                <w:sz w:val="20"/>
                <w:szCs w:val="20"/>
              </w:rPr>
            </w:pPr>
            <w:r w:rsidRPr="00B32396">
              <w:rPr>
                <w:rFonts w:cs="Arial"/>
                <w:sz w:val="20"/>
                <w:szCs w:val="20"/>
              </w:rPr>
              <w:t>Impulsar la vinculación con instituciones públicas y privadas para la realización del servicio social, prácticas profesionales o su equivalente y modelo dual por parte de los estudiantes de educación superior.</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35A9B50" w14:textId="77777777" w:rsidR="00E23746" w:rsidRPr="00DD34FD" w:rsidRDefault="00E23746" w:rsidP="000B2F10">
            <w:pPr>
              <w:rPr>
                <w:rFonts w:cs="Arial"/>
                <w:sz w:val="20"/>
                <w:szCs w:val="20"/>
              </w:rPr>
            </w:pPr>
            <w:r>
              <w:rPr>
                <w:rFonts w:cs="Arial"/>
                <w:sz w:val="20"/>
                <w:szCs w:val="20"/>
              </w:rPr>
              <w:t>C03</w:t>
            </w:r>
            <w:r w:rsidRPr="00574DAC">
              <w:rPr>
                <w:rFonts w:cs="Arial"/>
                <w:sz w:val="20"/>
                <w:szCs w:val="20"/>
              </w:rPr>
              <w:t>.A0</w:t>
            </w:r>
            <w:r>
              <w:rPr>
                <w:rFonts w:cs="Arial"/>
                <w:sz w:val="20"/>
                <w:szCs w:val="20"/>
              </w:rPr>
              <w:t>4 -</w:t>
            </w:r>
            <w:r w:rsidRPr="00B32396">
              <w:rPr>
                <w:rFonts w:cs="Arial"/>
                <w:sz w:val="20"/>
                <w:szCs w:val="20"/>
              </w:rPr>
              <w:t>Transferencia y aplicación de conocimientos</w:t>
            </w:r>
            <w:r>
              <w:rPr>
                <w:rFonts w:cs="Arial"/>
                <w:sz w:val="20"/>
                <w:szCs w:val="20"/>
              </w:rPr>
              <w:t xml:space="preserve"> a</w:t>
            </w:r>
            <w:r w:rsidRPr="00B32396">
              <w:rPr>
                <w:rFonts w:cs="Arial"/>
                <w:sz w:val="20"/>
                <w:szCs w:val="20"/>
              </w:rPr>
              <w:t xml:space="preserve"> los sectores de la sociedad</w:t>
            </w:r>
            <w:r>
              <w:rPr>
                <w:rFonts w:cs="Arial"/>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shd w:val="clear" w:color="FFFFFF" w:fill="FFFFFF"/>
          </w:tcPr>
          <w:p w14:paraId="66051CC2" w14:textId="77777777" w:rsidR="00E23746" w:rsidRPr="00DD34FD" w:rsidRDefault="00E23746" w:rsidP="000B2F10">
            <w:pPr>
              <w:rPr>
                <w:rFonts w:cs="Arial"/>
                <w:sz w:val="20"/>
                <w:szCs w:val="20"/>
              </w:rPr>
            </w:pPr>
            <w:r>
              <w:rPr>
                <w:rFonts w:cs="Arial"/>
                <w:sz w:val="20"/>
                <w:szCs w:val="20"/>
              </w:rPr>
              <w:t>C03A04</w:t>
            </w:r>
            <w:r w:rsidRPr="00574DAC">
              <w:rPr>
                <w:rFonts w:cs="Arial"/>
                <w:sz w:val="20"/>
                <w:szCs w:val="20"/>
              </w:rPr>
              <w:t xml:space="preserve"> -</w:t>
            </w:r>
            <w:r w:rsidRPr="00E329AA">
              <w:rPr>
                <w:rFonts w:cs="Arial"/>
                <w:sz w:val="20"/>
                <w:szCs w:val="20"/>
              </w:rPr>
              <w:t>Porcentaje de proyectos que se desarrollan en colaboración con los sectores público, privado y social</w:t>
            </w:r>
            <w:r>
              <w:rPr>
                <w:rFonts w:cs="Arial"/>
                <w:sz w:val="20"/>
                <w:szCs w:val="20"/>
              </w:rPr>
              <w:t>.</w:t>
            </w:r>
            <w:r w:rsidRPr="0041107B">
              <w:rPr>
                <w:rFonts w:cs="Arial"/>
                <w:sz w:val="20"/>
                <w:szCs w:val="20"/>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D2D305D" w14:textId="77777777" w:rsidR="00E23746" w:rsidRPr="00DD34FD" w:rsidRDefault="00E23746" w:rsidP="000B2F10">
            <w:pPr>
              <w:rPr>
                <w:rFonts w:cs="Arial"/>
                <w:sz w:val="20"/>
                <w:szCs w:val="20"/>
              </w:rPr>
            </w:pPr>
            <w:r w:rsidRPr="00A324FD">
              <w:rPr>
                <w:rFonts w:cs="Arial"/>
                <w:sz w:val="20"/>
                <w:szCs w:val="20"/>
              </w:rPr>
              <w:t>Informe de H. Junta Directiva. http://www.unicaribe.mx/pagina/obligaciones-transparencia</w:t>
            </w:r>
            <w:r>
              <w:rPr>
                <w:rFonts w:cs="Arial"/>
                <w:sz w:val="20"/>
                <w:szCs w:val="20"/>
              </w:rPr>
              <w:t>.</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79A56395" w14:textId="77777777" w:rsidR="00E23746" w:rsidRPr="00DD34FD" w:rsidRDefault="00E23746" w:rsidP="000B2F10">
            <w:pPr>
              <w:rPr>
                <w:rFonts w:cs="Arial"/>
                <w:sz w:val="20"/>
                <w:szCs w:val="20"/>
              </w:rPr>
            </w:pPr>
            <w:r w:rsidRPr="00A324FD">
              <w:rPr>
                <w:rFonts w:cs="Arial"/>
                <w:sz w:val="20"/>
                <w:szCs w:val="20"/>
              </w:rPr>
              <w:t>Los sectores de la sociedad (público, privado y social) se interesan en el desarrollo conjunto de proyectos diversos</w:t>
            </w:r>
            <w:r>
              <w:rPr>
                <w:rFonts w:cs="Arial"/>
                <w:sz w:val="20"/>
                <w:szCs w:val="20"/>
              </w:rPr>
              <w:t>.</w:t>
            </w:r>
          </w:p>
        </w:tc>
      </w:tr>
      <w:tr w:rsidR="00E23746" w:rsidRPr="00FD08F8" w14:paraId="54DA6E1D" w14:textId="77777777" w:rsidTr="0088169B">
        <w:trPr>
          <w:trHeight w:val="415"/>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14:paraId="2C846E38"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Componente</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F851708" w14:textId="77777777" w:rsidR="00E23746" w:rsidRPr="00DD34FD" w:rsidRDefault="00E23746" w:rsidP="000B2F10">
            <w:pPr>
              <w:rPr>
                <w:rFonts w:cs="Arial"/>
                <w:sz w:val="20"/>
                <w:szCs w:val="20"/>
              </w:rPr>
            </w:pPr>
            <w:r w:rsidRPr="00C0621B">
              <w:rPr>
                <w:rFonts w:cs="Arial"/>
                <w:sz w:val="20"/>
                <w:szCs w:val="20"/>
              </w:rPr>
              <w:t>Fortalecer la investigación básica y aplicada con la participación de los estudiantes de educación superior</w:t>
            </w:r>
            <w:r>
              <w:rPr>
                <w:rFonts w:cs="Arial"/>
                <w:sz w:val="20"/>
                <w:szCs w:val="20"/>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FD1930D" w14:textId="77777777" w:rsidR="00E23746" w:rsidRPr="00DD34FD" w:rsidRDefault="00E23746" w:rsidP="000B2F10">
            <w:pPr>
              <w:rPr>
                <w:rFonts w:cs="Arial"/>
                <w:sz w:val="20"/>
                <w:szCs w:val="20"/>
              </w:rPr>
            </w:pPr>
            <w:r>
              <w:rPr>
                <w:rFonts w:cs="Arial"/>
                <w:sz w:val="20"/>
                <w:szCs w:val="20"/>
              </w:rPr>
              <w:t xml:space="preserve">C04 </w:t>
            </w:r>
            <w:r w:rsidRPr="00574DAC">
              <w:rPr>
                <w:rFonts w:cs="Arial"/>
                <w:sz w:val="20"/>
                <w:szCs w:val="20"/>
              </w:rPr>
              <w:t>-</w:t>
            </w:r>
            <w:r>
              <w:t xml:space="preserve"> </w:t>
            </w:r>
            <w:r w:rsidRPr="00BB0203">
              <w:rPr>
                <w:rFonts w:cs="Arial"/>
                <w:sz w:val="20"/>
                <w:szCs w:val="20"/>
              </w:rPr>
              <w:t>Productos y proyectos de investigación académica difundidos</w:t>
            </w:r>
            <w:r>
              <w:rPr>
                <w:rFonts w:cs="Arial"/>
                <w:sz w:val="20"/>
                <w:szCs w:val="20"/>
              </w:rPr>
              <w:t>.</w:t>
            </w:r>
            <w:r w:rsidRPr="0008445A">
              <w:rPr>
                <w:rFonts w:cs="Arial"/>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shd w:val="clear" w:color="FFFFFF" w:fill="FFFFFF"/>
          </w:tcPr>
          <w:p w14:paraId="06035163" w14:textId="77777777" w:rsidR="00E23746" w:rsidRPr="00DD34FD" w:rsidRDefault="00E23746" w:rsidP="000B2F10">
            <w:pPr>
              <w:rPr>
                <w:rFonts w:cs="Arial"/>
                <w:sz w:val="20"/>
                <w:szCs w:val="20"/>
              </w:rPr>
            </w:pPr>
            <w:r>
              <w:rPr>
                <w:rFonts w:cs="Arial"/>
                <w:sz w:val="20"/>
                <w:szCs w:val="20"/>
              </w:rPr>
              <w:t xml:space="preserve">C04 </w:t>
            </w:r>
            <w:r w:rsidRPr="00574DAC">
              <w:rPr>
                <w:rFonts w:cs="Arial"/>
                <w:sz w:val="20"/>
                <w:szCs w:val="20"/>
              </w:rPr>
              <w:t>-</w:t>
            </w:r>
            <w:r>
              <w:t xml:space="preserve"> </w:t>
            </w:r>
            <w:r w:rsidRPr="00A87546">
              <w:rPr>
                <w:rFonts w:cs="Arial"/>
                <w:sz w:val="20"/>
                <w:szCs w:val="20"/>
              </w:rPr>
              <w:t>Porcentaje de productos académicos de calidad realizados con respecto a los programados</w:t>
            </w:r>
            <w:r>
              <w:rPr>
                <w:rFonts w:cs="Arial"/>
                <w:sz w:val="20"/>
                <w:szCs w:val="20"/>
              </w:rPr>
              <w:t>.</w:t>
            </w:r>
            <w:r w:rsidRPr="0041107B">
              <w:rPr>
                <w:rFonts w:cs="Arial"/>
                <w:sz w:val="20"/>
                <w:szCs w:val="20"/>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855F983" w14:textId="77777777" w:rsidR="00E23746" w:rsidRPr="00DD34FD" w:rsidRDefault="00E23746" w:rsidP="000B2F10">
            <w:pPr>
              <w:rPr>
                <w:rFonts w:cs="Arial"/>
                <w:sz w:val="20"/>
                <w:szCs w:val="20"/>
              </w:rPr>
            </w:pPr>
            <w:r w:rsidRPr="003F7EBD">
              <w:rPr>
                <w:rFonts w:cs="Arial"/>
                <w:sz w:val="20"/>
                <w:szCs w:val="20"/>
              </w:rPr>
              <w:t>Reporte de la H. Junta Directiva. http://www.unicaribe.mx/pagina/obligaciones-transparencia</w:t>
            </w:r>
            <w:r>
              <w:rPr>
                <w:rFonts w:cs="Arial"/>
                <w:sz w:val="20"/>
                <w:szCs w:val="20"/>
              </w:rPr>
              <w:t>.</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551F96C" w14:textId="77777777" w:rsidR="00E23746" w:rsidRPr="00DD34FD" w:rsidRDefault="00E23746" w:rsidP="000B2F10">
            <w:pPr>
              <w:rPr>
                <w:rFonts w:cs="Arial"/>
                <w:sz w:val="20"/>
                <w:szCs w:val="20"/>
              </w:rPr>
            </w:pPr>
            <w:r w:rsidRPr="00580572">
              <w:rPr>
                <w:rFonts w:cs="Arial"/>
                <w:sz w:val="20"/>
                <w:szCs w:val="20"/>
              </w:rPr>
              <w:t>Gobierno Federal y Estatal interesado por mantener los programas de fomento a la investigación</w:t>
            </w:r>
            <w:r>
              <w:rPr>
                <w:rFonts w:cs="Arial"/>
                <w:sz w:val="20"/>
                <w:szCs w:val="20"/>
              </w:rPr>
              <w:t>.</w:t>
            </w:r>
          </w:p>
        </w:tc>
      </w:tr>
      <w:tr w:rsidR="00E23746" w:rsidRPr="00FD08F8" w14:paraId="6085D18B" w14:textId="77777777" w:rsidTr="0088169B">
        <w:trPr>
          <w:trHeight w:val="415"/>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14:paraId="5ABF2C1F"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Actividad</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30C7614" w14:textId="77777777" w:rsidR="00E23746" w:rsidRPr="001D2E9B" w:rsidRDefault="00E23746" w:rsidP="000B2F10">
            <w:pPr>
              <w:rPr>
                <w:rFonts w:cs="Arial"/>
                <w:sz w:val="18"/>
                <w:szCs w:val="20"/>
              </w:rPr>
            </w:pPr>
            <w:r w:rsidRPr="001D2E9B">
              <w:rPr>
                <w:rFonts w:cs="Arial"/>
                <w:sz w:val="18"/>
                <w:szCs w:val="20"/>
              </w:rPr>
              <w:t>Fortalecer la investigación básica y aplicada con la participación de los estudiantes de educación superior.</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01ACEC8" w14:textId="77777777" w:rsidR="00E23746" w:rsidRPr="001D2E9B" w:rsidRDefault="00E23746" w:rsidP="000B2F10">
            <w:pPr>
              <w:rPr>
                <w:rFonts w:cs="Arial"/>
                <w:sz w:val="18"/>
                <w:szCs w:val="20"/>
              </w:rPr>
            </w:pPr>
            <w:r w:rsidRPr="001D2E9B">
              <w:rPr>
                <w:rFonts w:cs="Arial"/>
                <w:sz w:val="18"/>
                <w:szCs w:val="20"/>
              </w:rPr>
              <w:t>C04.A01 -</w:t>
            </w:r>
            <w:r w:rsidRPr="001D2E9B">
              <w:rPr>
                <w:sz w:val="18"/>
              </w:rPr>
              <w:t xml:space="preserve"> </w:t>
            </w:r>
            <w:r w:rsidRPr="001D2E9B">
              <w:rPr>
                <w:rFonts w:cs="Arial"/>
                <w:sz w:val="18"/>
                <w:szCs w:val="20"/>
              </w:rPr>
              <w:t xml:space="preserve">Elaboración de proyectos de investigación. </w:t>
            </w:r>
          </w:p>
        </w:tc>
        <w:tc>
          <w:tcPr>
            <w:tcW w:w="2268" w:type="dxa"/>
            <w:tcBorders>
              <w:top w:val="single" w:sz="4" w:space="0" w:color="auto"/>
              <w:left w:val="single" w:sz="4" w:space="0" w:color="auto"/>
              <w:bottom w:val="single" w:sz="4" w:space="0" w:color="auto"/>
              <w:right w:val="single" w:sz="4" w:space="0" w:color="auto"/>
            </w:tcBorders>
            <w:shd w:val="clear" w:color="FFFFFF" w:fill="FFFFFF"/>
          </w:tcPr>
          <w:p w14:paraId="5F7BAFB0" w14:textId="77777777" w:rsidR="00E23746" w:rsidRPr="001D2E9B" w:rsidRDefault="00E23746" w:rsidP="000B2F10">
            <w:pPr>
              <w:rPr>
                <w:rFonts w:cs="Arial"/>
                <w:sz w:val="18"/>
                <w:szCs w:val="20"/>
              </w:rPr>
            </w:pPr>
            <w:r w:rsidRPr="001D2E9B">
              <w:rPr>
                <w:rFonts w:cs="Arial"/>
                <w:sz w:val="18"/>
                <w:szCs w:val="20"/>
              </w:rPr>
              <w:t>C04A01 -</w:t>
            </w:r>
            <w:r w:rsidRPr="001D2E9B">
              <w:rPr>
                <w:sz w:val="18"/>
              </w:rPr>
              <w:t xml:space="preserve"> </w:t>
            </w:r>
            <w:r w:rsidRPr="001D2E9B">
              <w:rPr>
                <w:rFonts w:cs="Arial"/>
                <w:sz w:val="18"/>
                <w:szCs w:val="20"/>
              </w:rPr>
              <w:t xml:space="preserve">Porcentaje de PTC que participa en proyectos de investigación con respecto al total de PTC. </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70FD565" w14:textId="77777777" w:rsidR="00E23746" w:rsidRPr="001D2E9B" w:rsidRDefault="00E23746" w:rsidP="000B2F10">
            <w:pPr>
              <w:rPr>
                <w:rFonts w:cs="Arial"/>
                <w:sz w:val="18"/>
                <w:szCs w:val="20"/>
              </w:rPr>
            </w:pPr>
            <w:r w:rsidRPr="001D2E9B">
              <w:rPr>
                <w:rFonts w:cs="Arial"/>
                <w:sz w:val="18"/>
                <w:szCs w:val="20"/>
              </w:rPr>
              <w:t>Reporte de la H. Junta Directiva. http://www.unicaribe.mx/pagina/obligaciones-transparencia.</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57A5118" w14:textId="77777777" w:rsidR="00E23746" w:rsidRPr="001D2E9B" w:rsidRDefault="00E23746" w:rsidP="000B2F10">
            <w:pPr>
              <w:rPr>
                <w:rFonts w:cs="Arial"/>
                <w:sz w:val="18"/>
                <w:szCs w:val="20"/>
              </w:rPr>
            </w:pPr>
            <w:r w:rsidRPr="001D2E9B">
              <w:rPr>
                <w:rFonts w:cs="Arial"/>
                <w:sz w:val="18"/>
                <w:szCs w:val="20"/>
              </w:rPr>
              <w:t>Los profesores se incorporan a CA y comparten líneas de investigación comunes.</w:t>
            </w:r>
          </w:p>
        </w:tc>
      </w:tr>
    </w:tbl>
    <w:p w14:paraId="058353F2" w14:textId="77777777" w:rsidR="0080241C" w:rsidRDefault="0080241C">
      <w:pPr>
        <w:spacing w:after="0" w:line="240" w:lineRule="auto"/>
        <w:jc w:val="left"/>
      </w:pPr>
      <w:r>
        <w:br w:type="page"/>
      </w:r>
    </w:p>
    <w:tbl>
      <w:tblPr>
        <w:tblW w:w="14029" w:type="dxa"/>
        <w:tblLayout w:type="fixed"/>
        <w:tblCellMar>
          <w:left w:w="70" w:type="dxa"/>
          <w:right w:w="70" w:type="dxa"/>
        </w:tblCellMar>
        <w:tblLook w:val="04A0" w:firstRow="1" w:lastRow="0" w:firstColumn="1" w:lastColumn="0" w:noHBand="0" w:noVBand="1"/>
      </w:tblPr>
      <w:tblGrid>
        <w:gridCol w:w="1271"/>
        <w:gridCol w:w="2835"/>
        <w:gridCol w:w="2835"/>
        <w:gridCol w:w="2268"/>
        <w:gridCol w:w="2693"/>
        <w:gridCol w:w="2127"/>
      </w:tblGrid>
      <w:tr w:rsidR="00E23746" w:rsidRPr="00FD08F8" w14:paraId="7241A4B7" w14:textId="77777777" w:rsidTr="003D04F9">
        <w:trPr>
          <w:trHeight w:val="461"/>
        </w:trPr>
        <w:tc>
          <w:tcPr>
            <w:tcW w:w="1271"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08C4BACF"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lastRenderedPageBreak/>
              <w:t>NIVEL</w:t>
            </w:r>
          </w:p>
        </w:tc>
        <w:tc>
          <w:tcPr>
            <w:tcW w:w="2835" w:type="dxa"/>
            <w:tcBorders>
              <w:top w:val="single" w:sz="4" w:space="0" w:color="auto"/>
              <w:left w:val="nil"/>
              <w:bottom w:val="single" w:sz="4" w:space="0" w:color="auto"/>
              <w:right w:val="single" w:sz="4" w:space="0" w:color="auto"/>
            </w:tcBorders>
            <w:shd w:val="clear" w:color="000000" w:fill="BFBFBF"/>
            <w:vAlign w:val="center"/>
            <w:hideMark/>
          </w:tcPr>
          <w:p w14:paraId="7E3F4D98"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ALINEACIÓN PED/PD</w:t>
            </w:r>
          </w:p>
        </w:tc>
        <w:tc>
          <w:tcPr>
            <w:tcW w:w="2835" w:type="dxa"/>
            <w:tcBorders>
              <w:top w:val="single" w:sz="4" w:space="0" w:color="auto"/>
              <w:left w:val="nil"/>
              <w:bottom w:val="single" w:sz="4" w:space="0" w:color="auto"/>
              <w:right w:val="single" w:sz="4" w:space="0" w:color="auto"/>
            </w:tcBorders>
            <w:shd w:val="clear" w:color="000000" w:fill="BFBFBF"/>
            <w:vAlign w:val="center"/>
            <w:hideMark/>
          </w:tcPr>
          <w:p w14:paraId="5D90BB79"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OBJETIVO</w:t>
            </w:r>
          </w:p>
        </w:tc>
        <w:tc>
          <w:tcPr>
            <w:tcW w:w="2268" w:type="dxa"/>
            <w:tcBorders>
              <w:top w:val="single" w:sz="4" w:space="0" w:color="auto"/>
              <w:left w:val="nil"/>
              <w:bottom w:val="single" w:sz="4" w:space="0" w:color="auto"/>
              <w:right w:val="single" w:sz="4" w:space="0" w:color="auto"/>
            </w:tcBorders>
            <w:shd w:val="clear" w:color="000000" w:fill="BFBFBF"/>
            <w:vAlign w:val="center"/>
            <w:hideMark/>
          </w:tcPr>
          <w:p w14:paraId="14750985"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INDICADOR</w:t>
            </w:r>
          </w:p>
        </w:tc>
        <w:tc>
          <w:tcPr>
            <w:tcW w:w="2693" w:type="dxa"/>
            <w:tcBorders>
              <w:top w:val="single" w:sz="4" w:space="0" w:color="auto"/>
              <w:left w:val="nil"/>
              <w:bottom w:val="single" w:sz="4" w:space="0" w:color="auto"/>
              <w:right w:val="single" w:sz="4" w:space="0" w:color="auto"/>
            </w:tcBorders>
            <w:shd w:val="clear" w:color="000000" w:fill="BFBFBF"/>
            <w:vAlign w:val="center"/>
            <w:hideMark/>
          </w:tcPr>
          <w:p w14:paraId="68FAF0C1"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MEDIOS DE VERIFICACIÓN</w:t>
            </w:r>
          </w:p>
        </w:tc>
        <w:tc>
          <w:tcPr>
            <w:tcW w:w="2127" w:type="dxa"/>
            <w:tcBorders>
              <w:top w:val="single" w:sz="4" w:space="0" w:color="auto"/>
              <w:left w:val="nil"/>
              <w:bottom w:val="single" w:sz="4" w:space="0" w:color="auto"/>
              <w:right w:val="single" w:sz="4" w:space="0" w:color="auto"/>
            </w:tcBorders>
            <w:shd w:val="clear" w:color="000000" w:fill="BFBFBF"/>
            <w:vAlign w:val="center"/>
            <w:hideMark/>
          </w:tcPr>
          <w:p w14:paraId="7DF31A37"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SUPUESTO</w:t>
            </w:r>
          </w:p>
        </w:tc>
      </w:tr>
      <w:tr w:rsidR="00E23746" w:rsidRPr="00FD08F8" w14:paraId="1E9A9A87" w14:textId="77777777" w:rsidTr="003D04F9">
        <w:trPr>
          <w:trHeight w:val="415"/>
        </w:trPr>
        <w:tc>
          <w:tcPr>
            <w:tcW w:w="1271" w:type="dxa"/>
            <w:tcBorders>
              <w:top w:val="single" w:sz="4" w:space="0" w:color="auto"/>
              <w:left w:val="single" w:sz="4" w:space="0" w:color="auto"/>
              <w:bottom w:val="single" w:sz="4" w:space="0" w:color="auto"/>
              <w:right w:val="single" w:sz="4" w:space="0" w:color="auto"/>
            </w:tcBorders>
            <w:shd w:val="clear" w:color="auto" w:fill="auto"/>
            <w:hideMark/>
          </w:tcPr>
          <w:p w14:paraId="5B5900AE"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Actividad</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07C0B53" w14:textId="77777777" w:rsidR="00E23746" w:rsidRPr="00DD34FD" w:rsidRDefault="00E23746" w:rsidP="000B2F10">
            <w:pPr>
              <w:rPr>
                <w:rFonts w:cs="Arial"/>
                <w:sz w:val="20"/>
                <w:szCs w:val="20"/>
              </w:rPr>
            </w:pPr>
            <w:r w:rsidRPr="00276CAF">
              <w:rPr>
                <w:rFonts w:cs="Arial"/>
                <w:sz w:val="20"/>
                <w:szCs w:val="20"/>
              </w:rPr>
              <w:t>Fortalecer la investigación básica y aplicada con la participación de los estudiantes de educación superior</w:t>
            </w:r>
            <w:r>
              <w:rPr>
                <w:rFonts w:cs="Arial"/>
                <w:sz w:val="20"/>
                <w:szCs w:val="20"/>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1CB2926" w14:textId="77777777" w:rsidR="00E23746" w:rsidRPr="00DD34FD" w:rsidRDefault="00E23746" w:rsidP="000B2F10">
            <w:pPr>
              <w:rPr>
                <w:rFonts w:cs="Arial"/>
                <w:sz w:val="20"/>
                <w:szCs w:val="20"/>
              </w:rPr>
            </w:pPr>
            <w:r>
              <w:rPr>
                <w:rFonts w:cs="Arial"/>
                <w:sz w:val="20"/>
                <w:szCs w:val="20"/>
              </w:rPr>
              <w:t>C04</w:t>
            </w:r>
            <w:r w:rsidRPr="00574DAC">
              <w:rPr>
                <w:rFonts w:cs="Arial"/>
                <w:sz w:val="20"/>
                <w:szCs w:val="20"/>
              </w:rPr>
              <w:t>.A0</w:t>
            </w:r>
            <w:r>
              <w:rPr>
                <w:rFonts w:cs="Arial"/>
                <w:sz w:val="20"/>
                <w:szCs w:val="20"/>
              </w:rPr>
              <w:t>2 -</w:t>
            </w:r>
            <w:r>
              <w:t xml:space="preserve"> </w:t>
            </w:r>
            <w:r w:rsidRPr="00276CAF">
              <w:rPr>
                <w:rFonts w:cs="Arial"/>
                <w:sz w:val="20"/>
                <w:szCs w:val="20"/>
              </w:rPr>
              <w:t>Participación en redes de colaboración y cooperación (investigación)</w:t>
            </w:r>
            <w:r>
              <w:rPr>
                <w:rFonts w:cs="Arial"/>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shd w:val="clear" w:color="FFFFFF" w:fill="FFFFFF"/>
          </w:tcPr>
          <w:p w14:paraId="59F660E9" w14:textId="77777777" w:rsidR="00E23746" w:rsidRPr="00DD34FD" w:rsidRDefault="00E23746" w:rsidP="000B2F10">
            <w:pPr>
              <w:rPr>
                <w:rFonts w:cs="Arial"/>
                <w:sz w:val="20"/>
                <w:szCs w:val="20"/>
              </w:rPr>
            </w:pPr>
            <w:r>
              <w:rPr>
                <w:rFonts w:cs="Arial"/>
                <w:sz w:val="20"/>
                <w:szCs w:val="20"/>
              </w:rPr>
              <w:t>C04A02</w:t>
            </w:r>
            <w:r w:rsidRPr="00574DAC">
              <w:rPr>
                <w:rFonts w:cs="Arial"/>
                <w:sz w:val="20"/>
                <w:szCs w:val="20"/>
              </w:rPr>
              <w:t xml:space="preserve"> -</w:t>
            </w:r>
            <w:r>
              <w:t xml:space="preserve"> </w:t>
            </w:r>
            <w:r w:rsidRPr="00AD07AD">
              <w:rPr>
                <w:rFonts w:cs="Arial"/>
                <w:sz w:val="20"/>
                <w:szCs w:val="20"/>
              </w:rPr>
              <w:t>Porcentaje de redes de colaboración y cooperación activas con respecto a las redes de colaboración y cooperación programadas</w:t>
            </w:r>
            <w:r>
              <w:rPr>
                <w:rFonts w:cs="Arial"/>
                <w:sz w:val="20"/>
                <w:szCs w:val="20"/>
              </w:rPr>
              <w:t>.</w:t>
            </w:r>
            <w:r w:rsidRPr="0041107B">
              <w:rPr>
                <w:rFonts w:cs="Arial"/>
                <w:sz w:val="20"/>
                <w:szCs w:val="20"/>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5BF0A246" w14:textId="77777777" w:rsidR="00E23746" w:rsidRPr="00DD34FD" w:rsidRDefault="00E23746" w:rsidP="000B2F10">
            <w:pPr>
              <w:rPr>
                <w:rFonts w:cs="Arial"/>
                <w:sz w:val="20"/>
                <w:szCs w:val="20"/>
              </w:rPr>
            </w:pPr>
            <w:r w:rsidRPr="00F97ED2">
              <w:rPr>
                <w:rFonts w:cs="Arial"/>
                <w:sz w:val="20"/>
                <w:szCs w:val="20"/>
              </w:rPr>
              <w:t>Reporte de la H. Junta Directiva. http://www.unicaribe.mx/pagina/obligaciones-transparencia</w:t>
            </w:r>
            <w:r>
              <w:rPr>
                <w:rFonts w:cs="Arial"/>
                <w:sz w:val="20"/>
                <w:szCs w:val="20"/>
              </w:rPr>
              <w:t>.</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98E2E7F" w14:textId="77777777" w:rsidR="00E23746" w:rsidRPr="00DD34FD" w:rsidRDefault="00E23746" w:rsidP="000B2F10">
            <w:pPr>
              <w:rPr>
                <w:rFonts w:cs="Arial"/>
                <w:sz w:val="20"/>
                <w:szCs w:val="20"/>
              </w:rPr>
            </w:pPr>
            <w:r w:rsidRPr="00B64186">
              <w:rPr>
                <w:rFonts w:cs="Arial"/>
                <w:sz w:val="20"/>
                <w:szCs w:val="20"/>
              </w:rPr>
              <w:t>Los profesores se incorporan a las redes de colaboración y cooperación</w:t>
            </w:r>
            <w:r>
              <w:rPr>
                <w:rFonts w:cs="Arial"/>
                <w:sz w:val="20"/>
                <w:szCs w:val="20"/>
              </w:rPr>
              <w:t>.</w:t>
            </w:r>
          </w:p>
        </w:tc>
      </w:tr>
      <w:tr w:rsidR="00E23746" w:rsidRPr="00FD08F8" w14:paraId="1099C24D" w14:textId="77777777" w:rsidTr="003D04F9">
        <w:trPr>
          <w:trHeight w:val="415"/>
        </w:trPr>
        <w:tc>
          <w:tcPr>
            <w:tcW w:w="1271" w:type="dxa"/>
            <w:tcBorders>
              <w:top w:val="single" w:sz="4" w:space="0" w:color="auto"/>
              <w:left w:val="single" w:sz="4" w:space="0" w:color="auto"/>
              <w:bottom w:val="single" w:sz="4" w:space="0" w:color="auto"/>
              <w:right w:val="single" w:sz="4" w:space="0" w:color="auto"/>
            </w:tcBorders>
            <w:shd w:val="clear" w:color="auto" w:fill="auto"/>
            <w:hideMark/>
          </w:tcPr>
          <w:p w14:paraId="2C26DF19"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Actividad</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A498271" w14:textId="77777777" w:rsidR="00E23746" w:rsidRPr="00DD34FD" w:rsidRDefault="00E23746" w:rsidP="000B2F10">
            <w:pPr>
              <w:rPr>
                <w:rFonts w:cs="Arial"/>
                <w:sz w:val="20"/>
                <w:szCs w:val="20"/>
              </w:rPr>
            </w:pPr>
            <w:r w:rsidRPr="00097107">
              <w:rPr>
                <w:rFonts w:cs="Arial"/>
                <w:sz w:val="20"/>
                <w:szCs w:val="20"/>
              </w:rPr>
              <w:t>Fortalecer la investigación básica y aplicada con la participación de los estudiantes de educación superior</w:t>
            </w:r>
            <w:r>
              <w:rPr>
                <w:rFonts w:cs="Arial"/>
                <w:sz w:val="20"/>
                <w:szCs w:val="20"/>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11E2A61" w14:textId="77777777" w:rsidR="00E23746" w:rsidRPr="00DD34FD" w:rsidRDefault="00E23746" w:rsidP="000B2F10">
            <w:pPr>
              <w:rPr>
                <w:rFonts w:cs="Arial"/>
                <w:sz w:val="20"/>
                <w:szCs w:val="20"/>
              </w:rPr>
            </w:pPr>
            <w:r>
              <w:rPr>
                <w:rFonts w:cs="Arial"/>
                <w:sz w:val="20"/>
                <w:szCs w:val="20"/>
              </w:rPr>
              <w:t>C04</w:t>
            </w:r>
            <w:r w:rsidRPr="00574DAC">
              <w:rPr>
                <w:rFonts w:cs="Arial"/>
                <w:sz w:val="20"/>
                <w:szCs w:val="20"/>
              </w:rPr>
              <w:t>.A0</w:t>
            </w:r>
            <w:r>
              <w:rPr>
                <w:rFonts w:cs="Arial"/>
                <w:sz w:val="20"/>
                <w:szCs w:val="20"/>
              </w:rPr>
              <w:t>3 -</w:t>
            </w:r>
            <w:r>
              <w:t xml:space="preserve"> </w:t>
            </w:r>
            <w:r w:rsidRPr="00242704">
              <w:rPr>
                <w:rFonts w:cs="Arial"/>
                <w:sz w:val="20"/>
                <w:szCs w:val="20"/>
              </w:rPr>
              <w:t>Organización y participación en eventos nacionales e internacionales</w:t>
            </w:r>
            <w:r>
              <w:rPr>
                <w:rFonts w:cs="Arial"/>
                <w:sz w:val="20"/>
                <w:szCs w:val="20"/>
              </w:rPr>
              <w:t>.</w:t>
            </w:r>
            <w:r w:rsidRPr="00242704">
              <w:rPr>
                <w:rFonts w:cs="Arial"/>
                <w:sz w:val="20"/>
                <w:szCs w:val="20"/>
              </w:rPr>
              <w:t xml:space="preserve"> </w:t>
            </w:r>
            <w:r>
              <w:rPr>
                <w:rFonts w:cs="Arial"/>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shd w:val="clear" w:color="FFFFFF" w:fill="FFFFFF"/>
          </w:tcPr>
          <w:p w14:paraId="1D4C9259" w14:textId="77777777" w:rsidR="00E23746" w:rsidRPr="00DD34FD" w:rsidRDefault="00E23746" w:rsidP="000B2F10">
            <w:pPr>
              <w:rPr>
                <w:rFonts w:cs="Arial"/>
                <w:sz w:val="20"/>
                <w:szCs w:val="20"/>
              </w:rPr>
            </w:pPr>
            <w:r>
              <w:rPr>
                <w:rFonts w:cs="Arial"/>
                <w:sz w:val="20"/>
                <w:szCs w:val="20"/>
              </w:rPr>
              <w:t>C04A03I01</w:t>
            </w:r>
            <w:r w:rsidRPr="00574DAC">
              <w:rPr>
                <w:rFonts w:cs="Arial"/>
                <w:sz w:val="20"/>
                <w:szCs w:val="20"/>
              </w:rPr>
              <w:t xml:space="preserve"> -</w:t>
            </w:r>
            <w:r>
              <w:t xml:space="preserve"> </w:t>
            </w:r>
            <w:r w:rsidRPr="00D3058E">
              <w:rPr>
                <w:rFonts w:cs="Arial"/>
                <w:sz w:val="20"/>
                <w:szCs w:val="20"/>
              </w:rPr>
              <w:t>Porcentaje de eventos académicos organizados para los estudiantes y profesores con respecto al total de eventos académicos programados</w:t>
            </w:r>
            <w:r>
              <w:rPr>
                <w:rFonts w:cs="Arial"/>
                <w:sz w:val="20"/>
                <w:szCs w:val="20"/>
              </w:rPr>
              <w:t>.</w:t>
            </w:r>
            <w:r w:rsidRPr="0041107B">
              <w:rPr>
                <w:rFonts w:cs="Arial"/>
                <w:sz w:val="20"/>
                <w:szCs w:val="20"/>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D972245" w14:textId="77777777" w:rsidR="00E23746" w:rsidRPr="00DD34FD" w:rsidRDefault="00E23746" w:rsidP="000B2F10">
            <w:pPr>
              <w:rPr>
                <w:rFonts w:cs="Arial"/>
                <w:sz w:val="20"/>
                <w:szCs w:val="20"/>
              </w:rPr>
            </w:pPr>
            <w:r w:rsidRPr="0094643A">
              <w:rPr>
                <w:rFonts w:cs="Arial"/>
                <w:sz w:val="20"/>
                <w:szCs w:val="20"/>
              </w:rPr>
              <w:t>Reporte de la H. Junta Directiva. http://www.unicaribe.mx/pagina/obligaciones-transparencia</w:t>
            </w:r>
            <w:r>
              <w:rPr>
                <w:rFonts w:cs="Arial"/>
                <w:sz w:val="20"/>
                <w:szCs w:val="20"/>
              </w:rPr>
              <w:t>.</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A0A84E9" w14:textId="77777777" w:rsidR="00E23746" w:rsidRPr="00DD34FD" w:rsidRDefault="00E23746" w:rsidP="000B2F10">
            <w:pPr>
              <w:rPr>
                <w:rFonts w:cs="Arial"/>
                <w:sz w:val="20"/>
                <w:szCs w:val="20"/>
              </w:rPr>
            </w:pPr>
            <w:r w:rsidRPr="00FE7DCA">
              <w:rPr>
                <w:rFonts w:cs="Arial"/>
                <w:sz w:val="20"/>
                <w:szCs w:val="20"/>
              </w:rPr>
              <w:t>Los profesores y estudiantes están interesados en asistir a eventos nacionales  e internacionales y existen las condiciones necesarias para que asistan</w:t>
            </w:r>
            <w:r>
              <w:rPr>
                <w:rFonts w:cs="Arial"/>
                <w:sz w:val="20"/>
                <w:szCs w:val="20"/>
              </w:rPr>
              <w:t>.</w:t>
            </w:r>
          </w:p>
        </w:tc>
      </w:tr>
      <w:tr w:rsidR="00E23746" w:rsidRPr="00FD08F8" w14:paraId="310601ED" w14:textId="77777777" w:rsidTr="003D04F9">
        <w:trPr>
          <w:trHeight w:val="415"/>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75BFCDC6"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Actividad</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A4621E9" w14:textId="77777777" w:rsidR="00E23746" w:rsidRPr="00DD34FD" w:rsidRDefault="00E23746" w:rsidP="000B2F10">
            <w:pPr>
              <w:rPr>
                <w:rFonts w:cs="Arial"/>
                <w:sz w:val="20"/>
                <w:szCs w:val="20"/>
              </w:rPr>
            </w:pPr>
            <w:r w:rsidRPr="00097107">
              <w:rPr>
                <w:rFonts w:cs="Arial"/>
                <w:sz w:val="20"/>
                <w:szCs w:val="20"/>
              </w:rPr>
              <w:t>Fortalecer la investigación básica y aplicada con la participación de los estudiantes de educación superior</w:t>
            </w:r>
            <w:r>
              <w:rPr>
                <w:rFonts w:cs="Arial"/>
                <w:sz w:val="20"/>
                <w:szCs w:val="20"/>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F8FC095" w14:textId="77777777" w:rsidR="00E23746" w:rsidRDefault="00E23746" w:rsidP="000B2F10">
            <w:pPr>
              <w:rPr>
                <w:rFonts w:cs="Arial"/>
                <w:sz w:val="20"/>
                <w:szCs w:val="20"/>
              </w:rPr>
            </w:pPr>
            <w:r>
              <w:rPr>
                <w:rFonts w:cs="Arial"/>
                <w:sz w:val="20"/>
                <w:szCs w:val="20"/>
              </w:rPr>
              <w:t>C04</w:t>
            </w:r>
            <w:r w:rsidRPr="00574DAC">
              <w:rPr>
                <w:rFonts w:cs="Arial"/>
                <w:sz w:val="20"/>
                <w:szCs w:val="20"/>
              </w:rPr>
              <w:t>.A0</w:t>
            </w:r>
            <w:r>
              <w:rPr>
                <w:rFonts w:cs="Arial"/>
                <w:sz w:val="20"/>
                <w:szCs w:val="20"/>
              </w:rPr>
              <w:t>3 -</w:t>
            </w:r>
            <w:r>
              <w:t xml:space="preserve"> </w:t>
            </w:r>
            <w:r w:rsidRPr="00907EB3">
              <w:rPr>
                <w:rFonts w:cs="Arial"/>
                <w:sz w:val="20"/>
                <w:szCs w:val="20"/>
              </w:rPr>
              <w:t>Organización y participación en eventos nacionales e internacionales</w:t>
            </w:r>
            <w:r>
              <w:rPr>
                <w:rFonts w:cs="Arial"/>
                <w:sz w:val="20"/>
                <w:szCs w:val="20"/>
              </w:rPr>
              <w:t>.</w:t>
            </w:r>
          </w:p>
        </w:tc>
        <w:tc>
          <w:tcPr>
            <w:tcW w:w="2268" w:type="dxa"/>
            <w:tcBorders>
              <w:top w:val="single" w:sz="4" w:space="0" w:color="auto"/>
              <w:left w:val="single" w:sz="4" w:space="0" w:color="auto"/>
              <w:bottom w:val="single" w:sz="4" w:space="0" w:color="auto"/>
              <w:right w:val="single" w:sz="4" w:space="0" w:color="auto"/>
            </w:tcBorders>
            <w:shd w:val="clear" w:color="FFFFFF" w:fill="FFFFFF"/>
          </w:tcPr>
          <w:p w14:paraId="58DC0545" w14:textId="77777777" w:rsidR="00E23746" w:rsidRDefault="00E23746" w:rsidP="000B2F10">
            <w:pPr>
              <w:rPr>
                <w:rFonts w:cs="Arial"/>
                <w:sz w:val="20"/>
                <w:szCs w:val="20"/>
              </w:rPr>
            </w:pPr>
            <w:r w:rsidRPr="00365A8A">
              <w:rPr>
                <w:rFonts w:cs="Arial"/>
                <w:color w:val="595959" w:themeColor="text1" w:themeTint="A6"/>
                <w:sz w:val="20"/>
                <w:szCs w:val="20"/>
              </w:rPr>
              <w:t>C04A03I02 -</w:t>
            </w:r>
            <w:r w:rsidRPr="00365A8A">
              <w:rPr>
                <w:color w:val="595959" w:themeColor="text1" w:themeTint="A6"/>
              </w:rPr>
              <w:t xml:space="preserve"> </w:t>
            </w:r>
            <w:r w:rsidRPr="00365A8A">
              <w:rPr>
                <w:rFonts w:cs="Arial"/>
                <w:color w:val="595959" w:themeColor="text1" w:themeTint="A6"/>
                <w:sz w:val="20"/>
                <w:szCs w:val="20"/>
              </w:rPr>
              <w:t xml:space="preserve">Porcentaje </w:t>
            </w:r>
            <w:r w:rsidRPr="00D3058E">
              <w:rPr>
                <w:rFonts w:cs="Arial"/>
                <w:sz w:val="20"/>
                <w:szCs w:val="20"/>
              </w:rPr>
              <w:t>de estudiantes y profesores que participan en eventos académicos externos con respecto al total de eventos externos en los que se programa participar</w:t>
            </w:r>
            <w:r>
              <w:rPr>
                <w:rFonts w:cs="Arial"/>
                <w:sz w:val="20"/>
                <w:szCs w:val="20"/>
              </w:rPr>
              <w:t>.</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BC30C8C" w14:textId="77777777" w:rsidR="00E23746" w:rsidRPr="00DD34FD" w:rsidRDefault="00E23746" w:rsidP="000B2F10">
            <w:pPr>
              <w:rPr>
                <w:rFonts w:cs="Arial"/>
                <w:sz w:val="20"/>
                <w:szCs w:val="20"/>
              </w:rPr>
            </w:pPr>
            <w:r w:rsidRPr="005B02E0">
              <w:rPr>
                <w:rFonts w:cs="Arial"/>
                <w:sz w:val="20"/>
                <w:szCs w:val="20"/>
              </w:rPr>
              <w:t>Reporte de la H. Junta Directiva. http://www.unicaribe.mx/pagina/obligaciones-transparencia</w:t>
            </w:r>
            <w:r>
              <w:rPr>
                <w:rFonts w:cs="Arial"/>
                <w:sz w:val="20"/>
                <w:szCs w:val="20"/>
              </w:rPr>
              <w:t>.</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29801082" w14:textId="0BF51E36" w:rsidR="00E23746" w:rsidRPr="00DD34FD" w:rsidRDefault="00E23746" w:rsidP="003D4BC3">
            <w:pPr>
              <w:rPr>
                <w:rFonts w:cs="Arial"/>
                <w:sz w:val="20"/>
                <w:szCs w:val="20"/>
              </w:rPr>
            </w:pPr>
            <w:r w:rsidRPr="00007C75">
              <w:rPr>
                <w:rFonts w:cs="Arial"/>
                <w:sz w:val="20"/>
                <w:szCs w:val="20"/>
              </w:rPr>
              <w:t>Los profesores y estudiantes están interesados en asistir a eventos nacionales  e internacionales y existen las condiciones necesarias para que asistan</w:t>
            </w:r>
            <w:r>
              <w:rPr>
                <w:rFonts w:cs="Arial"/>
                <w:sz w:val="20"/>
                <w:szCs w:val="20"/>
              </w:rPr>
              <w:t>.</w:t>
            </w:r>
          </w:p>
        </w:tc>
      </w:tr>
    </w:tbl>
    <w:p w14:paraId="2E1E17C5" w14:textId="77777777" w:rsidR="0080241C" w:rsidRDefault="0080241C">
      <w:pPr>
        <w:spacing w:after="0" w:line="240" w:lineRule="auto"/>
        <w:jc w:val="left"/>
      </w:pPr>
      <w:r>
        <w:br w:type="page"/>
      </w:r>
    </w:p>
    <w:tbl>
      <w:tblPr>
        <w:tblW w:w="14029" w:type="dxa"/>
        <w:tblLayout w:type="fixed"/>
        <w:tblCellMar>
          <w:left w:w="70" w:type="dxa"/>
          <w:right w:w="70" w:type="dxa"/>
        </w:tblCellMar>
        <w:tblLook w:val="04A0" w:firstRow="1" w:lastRow="0" w:firstColumn="1" w:lastColumn="0" w:noHBand="0" w:noVBand="1"/>
      </w:tblPr>
      <w:tblGrid>
        <w:gridCol w:w="1413"/>
        <w:gridCol w:w="2693"/>
        <w:gridCol w:w="2835"/>
        <w:gridCol w:w="2268"/>
        <w:gridCol w:w="2693"/>
        <w:gridCol w:w="2127"/>
      </w:tblGrid>
      <w:tr w:rsidR="00E23746" w:rsidRPr="00FD08F8" w14:paraId="02A9A9DE" w14:textId="77777777" w:rsidTr="0088169B">
        <w:trPr>
          <w:trHeight w:val="461"/>
        </w:trPr>
        <w:tc>
          <w:tcPr>
            <w:tcW w:w="1413"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4E84AB80"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lastRenderedPageBreak/>
              <w:t>NIVEL</w:t>
            </w:r>
          </w:p>
        </w:tc>
        <w:tc>
          <w:tcPr>
            <w:tcW w:w="2693" w:type="dxa"/>
            <w:tcBorders>
              <w:top w:val="single" w:sz="4" w:space="0" w:color="auto"/>
              <w:left w:val="nil"/>
              <w:bottom w:val="single" w:sz="4" w:space="0" w:color="auto"/>
              <w:right w:val="single" w:sz="4" w:space="0" w:color="auto"/>
            </w:tcBorders>
            <w:shd w:val="clear" w:color="000000" w:fill="BFBFBF"/>
            <w:vAlign w:val="center"/>
            <w:hideMark/>
          </w:tcPr>
          <w:p w14:paraId="52B43580"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ALINEACIÓN PED/PD</w:t>
            </w:r>
          </w:p>
        </w:tc>
        <w:tc>
          <w:tcPr>
            <w:tcW w:w="2835" w:type="dxa"/>
            <w:tcBorders>
              <w:top w:val="single" w:sz="4" w:space="0" w:color="auto"/>
              <w:left w:val="nil"/>
              <w:bottom w:val="single" w:sz="4" w:space="0" w:color="auto"/>
              <w:right w:val="single" w:sz="4" w:space="0" w:color="auto"/>
            </w:tcBorders>
            <w:shd w:val="clear" w:color="000000" w:fill="BFBFBF"/>
            <w:vAlign w:val="center"/>
            <w:hideMark/>
          </w:tcPr>
          <w:p w14:paraId="66754DD5"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OBJETIVO</w:t>
            </w:r>
          </w:p>
        </w:tc>
        <w:tc>
          <w:tcPr>
            <w:tcW w:w="2268" w:type="dxa"/>
            <w:tcBorders>
              <w:top w:val="single" w:sz="4" w:space="0" w:color="auto"/>
              <w:left w:val="nil"/>
              <w:bottom w:val="single" w:sz="4" w:space="0" w:color="auto"/>
              <w:right w:val="single" w:sz="4" w:space="0" w:color="auto"/>
            </w:tcBorders>
            <w:shd w:val="clear" w:color="000000" w:fill="BFBFBF"/>
            <w:vAlign w:val="center"/>
            <w:hideMark/>
          </w:tcPr>
          <w:p w14:paraId="3D37D885"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INDICADOR</w:t>
            </w:r>
          </w:p>
        </w:tc>
        <w:tc>
          <w:tcPr>
            <w:tcW w:w="2693" w:type="dxa"/>
            <w:tcBorders>
              <w:top w:val="single" w:sz="4" w:space="0" w:color="auto"/>
              <w:left w:val="nil"/>
              <w:bottom w:val="single" w:sz="4" w:space="0" w:color="auto"/>
              <w:right w:val="single" w:sz="4" w:space="0" w:color="auto"/>
            </w:tcBorders>
            <w:shd w:val="clear" w:color="000000" w:fill="BFBFBF"/>
            <w:vAlign w:val="center"/>
            <w:hideMark/>
          </w:tcPr>
          <w:p w14:paraId="227A2EA0"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MEDIOS DE VERIFICACIÓN</w:t>
            </w:r>
          </w:p>
        </w:tc>
        <w:tc>
          <w:tcPr>
            <w:tcW w:w="2127" w:type="dxa"/>
            <w:tcBorders>
              <w:top w:val="single" w:sz="4" w:space="0" w:color="auto"/>
              <w:left w:val="nil"/>
              <w:bottom w:val="single" w:sz="4" w:space="0" w:color="auto"/>
              <w:right w:val="single" w:sz="4" w:space="0" w:color="auto"/>
            </w:tcBorders>
            <w:shd w:val="clear" w:color="000000" w:fill="BFBFBF"/>
            <w:vAlign w:val="center"/>
            <w:hideMark/>
          </w:tcPr>
          <w:p w14:paraId="445B6E77"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SUPUESTO</w:t>
            </w:r>
          </w:p>
        </w:tc>
      </w:tr>
      <w:tr w:rsidR="00E23746" w:rsidRPr="00FD08F8" w14:paraId="0D98C73F" w14:textId="77777777" w:rsidTr="0088169B">
        <w:trPr>
          <w:trHeight w:val="415"/>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14:paraId="41E66CEF"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Actividad</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FEDEB03" w14:textId="77777777" w:rsidR="00E23746" w:rsidRPr="00DD34FD" w:rsidRDefault="00E23746" w:rsidP="000B2F10">
            <w:pPr>
              <w:rPr>
                <w:rFonts w:cs="Arial"/>
                <w:sz w:val="20"/>
                <w:szCs w:val="20"/>
              </w:rPr>
            </w:pPr>
            <w:r w:rsidRPr="00931D87">
              <w:rPr>
                <w:rFonts w:cs="Arial"/>
                <w:sz w:val="20"/>
                <w:szCs w:val="20"/>
              </w:rPr>
              <w:t>Fortalecer la investigación básica y aplicada con la participación de los estudiantes de educación superior</w:t>
            </w:r>
            <w:r>
              <w:rPr>
                <w:rFonts w:cs="Arial"/>
                <w:sz w:val="20"/>
                <w:szCs w:val="20"/>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55DA8EF" w14:textId="77777777" w:rsidR="00E23746" w:rsidRPr="00DD34FD" w:rsidRDefault="00E23746" w:rsidP="000B2F10">
            <w:pPr>
              <w:rPr>
                <w:rFonts w:cs="Arial"/>
                <w:sz w:val="20"/>
                <w:szCs w:val="20"/>
              </w:rPr>
            </w:pPr>
            <w:r>
              <w:rPr>
                <w:rFonts w:cs="Arial"/>
                <w:sz w:val="20"/>
                <w:szCs w:val="20"/>
              </w:rPr>
              <w:t>C04</w:t>
            </w:r>
            <w:r w:rsidRPr="00574DAC">
              <w:rPr>
                <w:rFonts w:cs="Arial"/>
                <w:sz w:val="20"/>
                <w:szCs w:val="20"/>
              </w:rPr>
              <w:t>.A0</w:t>
            </w:r>
            <w:r>
              <w:rPr>
                <w:rFonts w:cs="Arial"/>
                <w:sz w:val="20"/>
                <w:szCs w:val="20"/>
              </w:rPr>
              <w:t>4 -</w:t>
            </w:r>
            <w:r>
              <w:t xml:space="preserve"> </w:t>
            </w:r>
            <w:r w:rsidRPr="00931D87">
              <w:rPr>
                <w:rFonts w:cs="Arial"/>
                <w:sz w:val="20"/>
                <w:szCs w:val="20"/>
              </w:rPr>
              <w:t>Difusión de resultados de investigación</w:t>
            </w:r>
            <w:r>
              <w:rPr>
                <w:rFonts w:cs="Arial"/>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shd w:val="clear" w:color="FFFFFF" w:fill="FFFFFF"/>
          </w:tcPr>
          <w:p w14:paraId="1526A04F" w14:textId="77777777" w:rsidR="00E23746" w:rsidRPr="00DD34FD" w:rsidRDefault="00E23746" w:rsidP="000B2F10">
            <w:pPr>
              <w:rPr>
                <w:rFonts w:cs="Arial"/>
                <w:sz w:val="20"/>
                <w:szCs w:val="20"/>
              </w:rPr>
            </w:pPr>
            <w:r>
              <w:rPr>
                <w:rFonts w:cs="Arial"/>
                <w:sz w:val="20"/>
                <w:szCs w:val="20"/>
              </w:rPr>
              <w:t>C04A04</w:t>
            </w:r>
            <w:r w:rsidRPr="00574DAC">
              <w:rPr>
                <w:rFonts w:cs="Arial"/>
                <w:sz w:val="20"/>
                <w:szCs w:val="20"/>
              </w:rPr>
              <w:t xml:space="preserve"> -</w:t>
            </w:r>
            <w:r>
              <w:t xml:space="preserve"> </w:t>
            </w:r>
            <w:r w:rsidRPr="00931D87">
              <w:rPr>
                <w:rFonts w:cs="Arial"/>
                <w:sz w:val="20"/>
                <w:szCs w:val="20"/>
              </w:rPr>
              <w:t>Porcentaje de Productos académicos elaborados para difusión o divulgación con respecto al total de productos académicos elaborados</w:t>
            </w:r>
            <w:r>
              <w:rPr>
                <w:rFonts w:cs="Arial"/>
                <w:sz w:val="20"/>
                <w:szCs w:val="20"/>
              </w:rPr>
              <w:t>.</w:t>
            </w:r>
            <w:r w:rsidRPr="0041107B">
              <w:rPr>
                <w:rFonts w:cs="Arial"/>
                <w:sz w:val="20"/>
                <w:szCs w:val="20"/>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5E0B51E" w14:textId="77777777" w:rsidR="00E23746" w:rsidRPr="00DD34FD" w:rsidRDefault="00E23746" w:rsidP="000B2F10">
            <w:pPr>
              <w:rPr>
                <w:rFonts w:cs="Arial"/>
                <w:sz w:val="20"/>
                <w:szCs w:val="20"/>
              </w:rPr>
            </w:pPr>
            <w:r w:rsidRPr="00931D87">
              <w:rPr>
                <w:rFonts w:cs="Arial"/>
                <w:sz w:val="20"/>
                <w:szCs w:val="20"/>
              </w:rPr>
              <w:t>Reporte de la H. Junta Directiva. http://www.unicaribe.mx/pagina/obligaciones-transparencia</w:t>
            </w:r>
            <w:r>
              <w:rPr>
                <w:rFonts w:cs="Arial"/>
                <w:sz w:val="20"/>
                <w:szCs w:val="20"/>
              </w:rPr>
              <w:t>.</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1890FF24" w14:textId="77777777" w:rsidR="00E23746" w:rsidRPr="00DD34FD" w:rsidRDefault="00E23746" w:rsidP="000B2F10">
            <w:pPr>
              <w:rPr>
                <w:rFonts w:cs="Arial"/>
                <w:sz w:val="20"/>
                <w:szCs w:val="20"/>
              </w:rPr>
            </w:pPr>
            <w:r w:rsidRPr="00931D87">
              <w:rPr>
                <w:rFonts w:cs="Arial"/>
                <w:sz w:val="20"/>
                <w:szCs w:val="20"/>
              </w:rPr>
              <w:t>Los productos académicos cumplen los requisitos para ser difundidos en medios de reconocido prestigio.</w:t>
            </w:r>
          </w:p>
        </w:tc>
      </w:tr>
      <w:tr w:rsidR="00E23746" w:rsidRPr="00FD08F8" w14:paraId="5BE5C20F" w14:textId="77777777" w:rsidTr="0088169B">
        <w:trPr>
          <w:trHeight w:val="415"/>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14:paraId="39207415"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Componente</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D122C50" w14:textId="77777777" w:rsidR="00E23746" w:rsidRPr="00DD34FD" w:rsidRDefault="00E23746" w:rsidP="000B2F10">
            <w:pPr>
              <w:rPr>
                <w:rFonts w:cs="Arial"/>
                <w:sz w:val="20"/>
                <w:szCs w:val="20"/>
              </w:rPr>
            </w:pPr>
            <w:r w:rsidRPr="00B353B6">
              <w:rPr>
                <w:rFonts w:cs="Arial"/>
                <w:sz w:val="20"/>
                <w:szCs w:val="20"/>
              </w:rPr>
              <w:t>Fortalecer la oferta educativa de las instituciones de educación superior para asegurar la pertinencia con base en las necesidades de la entidad.</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D3AB502" w14:textId="77777777" w:rsidR="00E23746" w:rsidRPr="00DD34FD" w:rsidRDefault="00E23746" w:rsidP="000B2F10">
            <w:pPr>
              <w:rPr>
                <w:rFonts w:cs="Arial"/>
                <w:sz w:val="20"/>
                <w:szCs w:val="20"/>
              </w:rPr>
            </w:pPr>
            <w:r>
              <w:rPr>
                <w:rFonts w:cs="Arial"/>
                <w:sz w:val="20"/>
                <w:szCs w:val="20"/>
              </w:rPr>
              <w:t xml:space="preserve">C05 </w:t>
            </w:r>
            <w:r w:rsidRPr="00574DAC">
              <w:rPr>
                <w:rFonts w:cs="Arial"/>
                <w:sz w:val="20"/>
                <w:szCs w:val="20"/>
              </w:rPr>
              <w:t>-</w:t>
            </w:r>
            <w:r w:rsidRPr="00BF3296">
              <w:rPr>
                <w:rFonts w:cs="Arial"/>
                <w:sz w:val="20"/>
                <w:szCs w:val="20"/>
              </w:rPr>
              <w:t>Programas educativos de posgrado y educación</w:t>
            </w:r>
            <w:r>
              <w:rPr>
                <w:rFonts w:cs="Arial"/>
                <w:sz w:val="20"/>
                <w:szCs w:val="20"/>
              </w:rPr>
              <w:t xml:space="preserve"> continua pertinentes ofertados.</w:t>
            </w:r>
            <w:r w:rsidRPr="0008445A">
              <w:rPr>
                <w:rFonts w:cs="Arial"/>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shd w:val="clear" w:color="FFFFFF" w:fill="FFFFFF"/>
          </w:tcPr>
          <w:p w14:paraId="403ECD31" w14:textId="77777777" w:rsidR="00E23746" w:rsidRPr="00DD34FD" w:rsidRDefault="00E23746" w:rsidP="000B2F10">
            <w:pPr>
              <w:rPr>
                <w:rFonts w:cs="Arial"/>
                <w:sz w:val="20"/>
                <w:szCs w:val="20"/>
              </w:rPr>
            </w:pPr>
            <w:r>
              <w:rPr>
                <w:rFonts w:cs="Arial"/>
                <w:sz w:val="20"/>
                <w:szCs w:val="20"/>
              </w:rPr>
              <w:t xml:space="preserve">C05 </w:t>
            </w:r>
            <w:r w:rsidRPr="00574DAC">
              <w:rPr>
                <w:rFonts w:cs="Arial"/>
                <w:sz w:val="20"/>
                <w:szCs w:val="20"/>
              </w:rPr>
              <w:t>-</w:t>
            </w:r>
            <w:r w:rsidRPr="00BD4418">
              <w:rPr>
                <w:rFonts w:cs="Arial"/>
                <w:sz w:val="20"/>
                <w:szCs w:val="20"/>
              </w:rPr>
              <w:t>Porcentaje de programas educativos de posgrado pertinentes con respecto</w:t>
            </w:r>
            <w:r>
              <w:rPr>
                <w:rFonts w:cs="Arial"/>
                <w:sz w:val="20"/>
                <w:szCs w:val="20"/>
              </w:rPr>
              <w:t xml:space="preserve"> a los PE de posgrado ofertados.</w:t>
            </w:r>
            <w:r w:rsidRPr="0041107B">
              <w:rPr>
                <w:rFonts w:cs="Arial"/>
                <w:sz w:val="20"/>
                <w:szCs w:val="20"/>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4452A4DF" w14:textId="77777777" w:rsidR="00E23746" w:rsidRPr="00DD34FD" w:rsidRDefault="00E23746" w:rsidP="000B2F10">
            <w:pPr>
              <w:rPr>
                <w:rFonts w:cs="Arial"/>
                <w:sz w:val="20"/>
                <w:szCs w:val="20"/>
              </w:rPr>
            </w:pPr>
            <w:r w:rsidRPr="00BB2AC2">
              <w:rPr>
                <w:rFonts w:cs="Arial"/>
                <w:sz w:val="20"/>
                <w:szCs w:val="20"/>
              </w:rPr>
              <w:t>Reporte de la H. Junta Directiva. http://www.unicaribe.mx/pagina/obligaciones-transparencia</w:t>
            </w:r>
            <w:r>
              <w:rPr>
                <w:rFonts w:cs="Arial"/>
                <w:sz w:val="20"/>
                <w:szCs w:val="20"/>
              </w:rPr>
              <w:t>.</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318BD136" w14:textId="77777777" w:rsidR="00E23746" w:rsidRPr="00DD34FD" w:rsidRDefault="00E23746" w:rsidP="000B2F10">
            <w:pPr>
              <w:rPr>
                <w:rFonts w:cs="Arial"/>
                <w:sz w:val="20"/>
                <w:szCs w:val="20"/>
              </w:rPr>
            </w:pPr>
            <w:r w:rsidRPr="005F5289">
              <w:rPr>
                <w:rFonts w:cs="Arial"/>
                <w:sz w:val="20"/>
                <w:szCs w:val="20"/>
              </w:rPr>
              <w:t>Los estudiantes que egresan de licenciatura continúan sus estudios de tipo superior en los programas ofertados</w:t>
            </w:r>
            <w:r>
              <w:rPr>
                <w:rFonts w:cs="Arial"/>
                <w:sz w:val="20"/>
                <w:szCs w:val="20"/>
              </w:rPr>
              <w:t>.</w:t>
            </w:r>
          </w:p>
        </w:tc>
      </w:tr>
      <w:tr w:rsidR="00E23746" w:rsidRPr="00FD08F8" w14:paraId="2ABC864C" w14:textId="77777777" w:rsidTr="0088169B">
        <w:trPr>
          <w:trHeight w:val="415"/>
        </w:trPr>
        <w:tc>
          <w:tcPr>
            <w:tcW w:w="1413" w:type="dxa"/>
            <w:tcBorders>
              <w:top w:val="single" w:sz="4" w:space="0" w:color="auto"/>
              <w:left w:val="single" w:sz="4" w:space="0" w:color="auto"/>
              <w:bottom w:val="single" w:sz="4" w:space="0" w:color="auto"/>
              <w:right w:val="single" w:sz="4" w:space="0" w:color="auto"/>
            </w:tcBorders>
            <w:shd w:val="clear" w:color="auto" w:fill="auto"/>
            <w:hideMark/>
          </w:tcPr>
          <w:p w14:paraId="18529131"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Actividad</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3298D32D" w14:textId="77777777" w:rsidR="00E23746" w:rsidRPr="00DD34FD" w:rsidRDefault="00E23746" w:rsidP="000B2F10">
            <w:pPr>
              <w:rPr>
                <w:rFonts w:cs="Arial"/>
                <w:sz w:val="20"/>
                <w:szCs w:val="20"/>
              </w:rPr>
            </w:pPr>
            <w:r w:rsidRPr="00B353B6">
              <w:rPr>
                <w:rFonts w:cs="Arial"/>
                <w:sz w:val="20"/>
                <w:szCs w:val="20"/>
              </w:rPr>
              <w:t>Fortalecer la oferta educativa de las instituciones de educación superior para asegurar la pertinencia con base en las necesidades de la entidad.</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BEA3F0A" w14:textId="77777777" w:rsidR="00E23746" w:rsidRPr="00DD34FD" w:rsidRDefault="00E23746" w:rsidP="000B2F10">
            <w:pPr>
              <w:rPr>
                <w:rFonts w:cs="Arial"/>
                <w:sz w:val="20"/>
                <w:szCs w:val="20"/>
              </w:rPr>
            </w:pPr>
            <w:r>
              <w:rPr>
                <w:rFonts w:cs="Arial"/>
                <w:sz w:val="20"/>
                <w:szCs w:val="20"/>
              </w:rPr>
              <w:t>C05</w:t>
            </w:r>
            <w:r w:rsidRPr="00574DAC">
              <w:rPr>
                <w:rFonts w:cs="Arial"/>
                <w:sz w:val="20"/>
                <w:szCs w:val="20"/>
              </w:rPr>
              <w:t>.A0</w:t>
            </w:r>
            <w:r>
              <w:rPr>
                <w:rFonts w:cs="Arial"/>
                <w:sz w:val="20"/>
                <w:szCs w:val="20"/>
              </w:rPr>
              <w:t>1 -</w:t>
            </w:r>
            <w:r w:rsidRPr="00CF2D5A">
              <w:rPr>
                <w:rFonts w:cs="Arial"/>
                <w:sz w:val="20"/>
                <w:szCs w:val="20"/>
              </w:rPr>
              <w:t>Atención de estudiantes en los PE de Posgrado</w:t>
            </w:r>
            <w:r>
              <w:rPr>
                <w:rFonts w:cs="Arial"/>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shd w:val="clear" w:color="FFFFFF" w:fill="FFFFFF"/>
          </w:tcPr>
          <w:p w14:paraId="5481265E" w14:textId="77777777" w:rsidR="00E23746" w:rsidRPr="00DD34FD" w:rsidRDefault="00E23746" w:rsidP="000B2F10">
            <w:pPr>
              <w:rPr>
                <w:rFonts w:cs="Arial"/>
                <w:sz w:val="20"/>
                <w:szCs w:val="20"/>
              </w:rPr>
            </w:pPr>
            <w:r>
              <w:rPr>
                <w:rFonts w:cs="Arial"/>
                <w:sz w:val="20"/>
                <w:szCs w:val="20"/>
              </w:rPr>
              <w:t>C05</w:t>
            </w:r>
            <w:r w:rsidRPr="00574DAC">
              <w:rPr>
                <w:rFonts w:cs="Arial"/>
                <w:sz w:val="20"/>
                <w:szCs w:val="20"/>
              </w:rPr>
              <w:t>A01 -</w:t>
            </w:r>
            <w:r w:rsidRPr="00145A43">
              <w:rPr>
                <w:rFonts w:cs="Arial"/>
                <w:sz w:val="20"/>
                <w:szCs w:val="20"/>
              </w:rPr>
              <w:t>Tasa de variación de la matrícula de posgrado</w:t>
            </w:r>
            <w:r>
              <w:rPr>
                <w:rFonts w:cs="Arial"/>
                <w:sz w:val="20"/>
                <w:szCs w:val="20"/>
              </w:rPr>
              <w:t>.</w:t>
            </w:r>
            <w:r w:rsidRPr="0041107B">
              <w:rPr>
                <w:rFonts w:cs="Arial"/>
                <w:sz w:val="20"/>
                <w:szCs w:val="20"/>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79A9C5C7" w14:textId="77777777" w:rsidR="00E23746" w:rsidRPr="00DD34FD" w:rsidRDefault="00E23746" w:rsidP="000B2F10">
            <w:pPr>
              <w:rPr>
                <w:rFonts w:cs="Arial"/>
                <w:sz w:val="20"/>
                <w:szCs w:val="20"/>
              </w:rPr>
            </w:pPr>
            <w:r w:rsidRPr="002C60C1">
              <w:rPr>
                <w:rFonts w:cs="Arial"/>
                <w:sz w:val="20"/>
                <w:szCs w:val="20"/>
              </w:rPr>
              <w:t>Reporte de inscritos a inicio de cursos del ciclo escolar. del Depto. de Servicio Escolares. http://www.unicaribe.mx/pagina/obligaciones-transparencia</w:t>
            </w:r>
            <w:r>
              <w:rPr>
                <w:rFonts w:cs="Arial"/>
                <w:sz w:val="20"/>
                <w:szCs w:val="20"/>
              </w:rPr>
              <w:t>.</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1155723" w14:textId="77777777" w:rsidR="00E23746" w:rsidRPr="00DD34FD" w:rsidRDefault="00E23746" w:rsidP="000B2F10">
            <w:pPr>
              <w:rPr>
                <w:rFonts w:cs="Arial"/>
                <w:sz w:val="20"/>
                <w:szCs w:val="20"/>
              </w:rPr>
            </w:pPr>
            <w:r w:rsidRPr="00D16F45">
              <w:rPr>
                <w:rFonts w:cs="Arial"/>
                <w:sz w:val="20"/>
                <w:szCs w:val="20"/>
              </w:rPr>
              <w:t>Los aspirantes y alumnos de posgrado cumplen con los requisitos y se incorporan en los programas educativos ofertados.</w:t>
            </w:r>
          </w:p>
        </w:tc>
      </w:tr>
    </w:tbl>
    <w:p w14:paraId="4011048F" w14:textId="77777777" w:rsidR="0080241C" w:rsidRDefault="0080241C">
      <w:pPr>
        <w:spacing w:after="0" w:line="240" w:lineRule="auto"/>
        <w:jc w:val="left"/>
      </w:pPr>
      <w:r>
        <w:br w:type="page"/>
      </w:r>
    </w:p>
    <w:tbl>
      <w:tblPr>
        <w:tblW w:w="14029" w:type="dxa"/>
        <w:tblLayout w:type="fixed"/>
        <w:tblCellMar>
          <w:left w:w="70" w:type="dxa"/>
          <w:right w:w="70" w:type="dxa"/>
        </w:tblCellMar>
        <w:tblLook w:val="04A0" w:firstRow="1" w:lastRow="0" w:firstColumn="1" w:lastColumn="0" w:noHBand="0" w:noVBand="1"/>
      </w:tblPr>
      <w:tblGrid>
        <w:gridCol w:w="1271"/>
        <w:gridCol w:w="2835"/>
        <w:gridCol w:w="2835"/>
        <w:gridCol w:w="2268"/>
        <w:gridCol w:w="2693"/>
        <w:gridCol w:w="2127"/>
      </w:tblGrid>
      <w:tr w:rsidR="00E23746" w:rsidRPr="00FD08F8" w14:paraId="67723848" w14:textId="77777777" w:rsidTr="003D04F9">
        <w:trPr>
          <w:trHeight w:val="461"/>
        </w:trPr>
        <w:tc>
          <w:tcPr>
            <w:tcW w:w="1271"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614E88E7" w14:textId="77777777" w:rsidR="00E23746" w:rsidRPr="00FD08F8" w:rsidRDefault="00E23746" w:rsidP="000B2F10">
            <w:pPr>
              <w:spacing w:after="0" w:line="240" w:lineRule="auto"/>
              <w:jc w:val="center"/>
              <w:rPr>
                <w:rFonts w:eastAsia="Times New Roman" w:cs="Arial"/>
                <w:b/>
                <w:bCs/>
                <w:sz w:val="20"/>
                <w:szCs w:val="20"/>
                <w:lang w:val="es-MX" w:eastAsia="es-MX"/>
              </w:rPr>
            </w:pPr>
            <w:bookmarkStart w:id="95" w:name="_Hlk53423964"/>
            <w:r w:rsidRPr="00FD08F8">
              <w:rPr>
                <w:rFonts w:eastAsia="Times New Roman" w:cs="Arial"/>
                <w:b/>
                <w:bCs/>
                <w:sz w:val="20"/>
                <w:szCs w:val="20"/>
                <w:lang w:val="es-MX" w:eastAsia="es-MX"/>
              </w:rPr>
              <w:lastRenderedPageBreak/>
              <w:t>NIVEL</w:t>
            </w:r>
          </w:p>
        </w:tc>
        <w:tc>
          <w:tcPr>
            <w:tcW w:w="2835" w:type="dxa"/>
            <w:tcBorders>
              <w:top w:val="single" w:sz="4" w:space="0" w:color="auto"/>
              <w:left w:val="nil"/>
              <w:bottom w:val="single" w:sz="4" w:space="0" w:color="auto"/>
              <w:right w:val="single" w:sz="4" w:space="0" w:color="auto"/>
            </w:tcBorders>
            <w:shd w:val="clear" w:color="000000" w:fill="BFBFBF"/>
            <w:vAlign w:val="center"/>
            <w:hideMark/>
          </w:tcPr>
          <w:p w14:paraId="1CE7000E"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ALINEACIÓN PED/PD</w:t>
            </w:r>
          </w:p>
        </w:tc>
        <w:tc>
          <w:tcPr>
            <w:tcW w:w="2835" w:type="dxa"/>
            <w:tcBorders>
              <w:top w:val="single" w:sz="4" w:space="0" w:color="auto"/>
              <w:left w:val="nil"/>
              <w:bottom w:val="single" w:sz="4" w:space="0" w:color="auto"/>
              <w:right w:val="single" w:sz="4" w:space="0" w:color="auto"/>
            </w:tcBorders>
            <w:shd w:val="clear" w:color="000000" w:fill="BFBFBF"/>
            <w:vAlign w:val="center"/>
            <w:hideMark/>
          </w:tcPr>
          <w:p w14:paraId="64F9CF68"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OBJETIVO</w:t>
            </w:r>
          </w:p>
        </w:tc>
        <w:tc>
          <w:tcPr>
            <w:tcW w:w="2268" w:type="dxa"/>
            <w:tcBorders>
              <w:top w:val="single" w:sz="4" w:space="0" w:color="auto"/>
              <w:left w:val="nil"/>
              <w:bottom w:val="single" w:sz="4" w:space="0" w:color="auto"/>
              <w:right w:val="single" w:sz="4" w:space="0" w:color="auto"/>
            </w:tcBorders>
            <w:shd w:val="clear" w:color="000000" w:fill="BFBFBF"/>
            <w:vAlign w:val="center"/>
            <w:hideMark/>
          </w:tcPr>
          <w:p w14:paraId="5E96BD12"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INDICADOR</w:t>
            </w:r>
          </w:p>
        </w:tc>
        <w:tc>
          <w:tcPr>
            <w:tcW w:w="2693" w:type="dxa"/>
            <w:tcBorders>
              <w:top w:val="single" w:sz="4" w:space="0" w:color="auto"/>
              <w:left w:val="nil"/>
              <w:bottom w:val="single" w:sz="4" w:space="0" w:color="auto"/>
              <w:right w:val="single" w:sz="4" w:space="0" w:color="auto"/>
            </w:tcBorders>
            <w:shd w:val="clear" w:color="000000" w:fill="BFBFBF"/>
            <w:vAlign w:val="center"/>
            <w:hideMark/>
          </w:tcPr>
          <w:p w14:paraId="57E031C8"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MEDIOS DE VERIFICACIÓN</w:t>
            </w:r>
          </w:p>
        </w:tc>
        <w:tc>
          <w:tcPr>
            <w:tcW w:w="2127" w:type="dxa"/>
            <w:tcBorders>
              <w:top w:val="single" w:sz="4" w:space="0" w:color="auto"/>
              <w:left w:val="nil"/>
              <w:bottom w:val="single" w:sz="4" w:space="0" w:color="auto"/>
              <w:right w:val="single" w:sz="4" w:space="0" w:color="auto"/>
            </w:tcBorders>
            <w:shd w:val="clear" w:color="000000" w:fill="BFBFBF"/>
            <w:vAlign w:val="center"/>
            <w:hideMark/>
          </w:tcPr>
          <w:p w14:paraId="4EE2A21E"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SUPUESTO</w:t>
            </w:r>
          </w:p>
        </w:tc>
      </w:tr>
      <w:bookmarkEnd w:id="95"/>
      <w:tr w:rsidR="00B021B4" w:rsidRPr="00FD08F8" w14:paraId="102D6DC2" w14:textId="77777777" w:rsidTr="003D04F9">
        <w:trPr>
          <w:trHeight w:val="415"/>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35DAD825" w14:textId="5FCCBBBA" w:rsidR="00B021B4" w:rsidRPr="00FD08F8" w:rsidRDefault="00B021B4" w:rsidP="00B021B4">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Actividad</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7A2DD35" w14:textId="4C4ABD17" w:rsidR="00B021B4" w:rsidRPr="00B353B6" w:rsidRDefault="00B021B4" w:rsidP="00B021B4">
            <w:pPr>
              <w:rPr>
                <w:rFonts w:cs="Arial"/>
                <w:sz w:val="20"/>
                <w:szCs w:val="20"/>
              </w:rPr>
            </w:pPr>
            <w:r w:rsidRPr="00B353B6">
              <w:rPr>
                <w:rFonts w:cs="Arial"/>
                <w:sz w:val="20"/>
                <w:szCs w:val="20"/>
              </w:rPr>
              <w:t>Fortalecer la oferta educativa de las instituciones de educación superior para asegurar la pertinencia con base en las necesidades de la entidad.</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E0D04F5" w14:textId="6A44F21F" w:rsidR="00B021B4" w:rsidRDefault="00B021B4" w:rsidP="00B021B4">
            <w:pPr>
              <w:rPr>
                <w:rFonts w:cs="Arial"/>
                <w:sz w:val="20"/>
                <w:szCs w:val="20"/>
              </w:rPr>
            </w:pPr>
            <w:r>
              <w:rPr>
                <w:rFonts w:cs="Arial"/>
                <w:sz w:val="20"/>
                <w:szCs w:val="20"/>
              </w:rPr>
              <w:t>C05</w:t>
            </w:r>
            <w:r w:rsidRPr="00574DAC">
              <w:rPr>
                <w:rFonts w:cs="Arial"/>
                <w:sz w:val="20"/>
                <w:szCs w:val="20"/>
              </w:rPr>
              <w:t>.A0</w:t>
            </w:r>
            <w:r>
              <w:rPr>
                <w:rFonts w:cs="Arial"/>
                <w:sz w:val="20"/>
                <w:szCs w:val="20"/>
              </w:rPr>
              <w:t xml:space="preserve">2 -Actualización de los PE. </w:t>
            </w:r>
          </w:p>
        </w:tc>
        <w:tc>
          <w:tcPr>
            <w:tcW w:w="2268" w:type="dxa"/>
            <w:tcBorders>
              <w:top w:val="single" w:sz="4" w:space="0" w:color="auto"/>
              <w:left w:val="single" w:sz="4" w:space="0" w:color="auto"/>
              <w:bottom w:val="single" w:sz="4" w:space="0" w:color="auto"/>
              <w:right w:val="single" w:sz="4" w:space="0" w:color="auto"/>
            </w:tcBorders>
            <w:shd w:val="clear" w:color="FFFFFF" w:fill="FFFFFF"/>
          </w:tcPr>
          <w:p w14:paraId="44840884" w14:textId="72097623" w:rsidR="00B021B4" w:rsidRDefault="00B021B4" w:rsidP="00B021B4">
            <w:pPr>
              <w:rPr>
                <w:rFonts w:cs="Arial"/>
                <w:sz w:val="20"/>
                <w:szCs w:val="20"/>
              </w:rPr>
            </w:pPr>
            <w:r>
              <w:rPr>
                <w:rFonts w:cs="Arial"/>
                <w:sz w:val="20"/>
                <w:szCs w:val="20"/>
              </w:rPr>
              <w:t>C05A02</w:t>
            </w:r>
            <w:r w:rsidRPr="00574DAC">
              <w:rPr>
                <w:rFonts w:cs="Arial"/>
                <w:sz w:val="20"/>
                <w:szCs w:val="20"/>
              </w:rPr>
              <w:t xml:space="preserve"> -</w:t>
            </w:r>
            <w:r w:rsidRPr="00145A43">
              <w:rPr>
                <w:rFonts w:cs="Arial"/>
                <w:sz w:val="20"/>
                <w:szCs w:val="20"/>
              </w:rPr>
              <w:t>Porcentaje de PE de Posgrado actualizados con respeto a los ofertados</w:t>
            </w:r>
            <w:r>
              <w:rPr>
                <w:rFonts w:cs="Arial"/>
                <w:sz w:val="20"/>
                <w:szCs w:val="20"/>
              </w:rPr>
              <w:t>.</w:t>
            </w:r>
            <w:r w:rsidRPr="0041107B">
              <w:rPr>
                <w:rFonts w:cs="Arial"/>
                <w:sz w:val="20"/>
                <w:szCs w:val="20"/>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18477DCE" w14:textId="7006059D" w:rsidR="00B021B4" w:rsidRPr="0085281E" w:rsidRDefault="00B021B4" w:rsidP="00B021B4">
            <w:pPr>
              <w:rPr>
                <w:rFonts w:cs="Arial"/>
                <w:sz w:val="20"/>
                <w:szCs w:val="20"/>
              </w:rPr>
            </w:pPr>
            <w:r w:rsidRPr="00811F78">
              <w:rPr>
                <w:rFonts w:cs="Arial"/>
                <w:sz w:val="20"/>
                <w:szCs w:val="20"/>
              </w:rPr>
              <w:t>Acta del órgano colegiado facultado para autorizar la creación y/o actualización de los programas educativos. http://www.unicaribe.mx/pagina/obligaciones-transparencia</w:t>
            </w:r>
            <w:r>
              <w:rPr>
                <w:rFonts w:cs="Arial"/>
                <w:sz w:val="20"/>
                <w:szCs w:val="20"/>
              </w:rPr>
              <w:t>.</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09B2171D" w14:textId="32123D44" w:rsidR="00B021B4" w:rsidRPr="003A44ED" w:rsidRDefault="00B021B4" w:rsidP="00B021B4">
            <w:pPr>
              <w:rPr>
                <w:rFonts w:cs="Arial"/>
                <w:sz w:val="20"/>
                <w:szCs w:val="20"/>
              </w:rPr>
            </w:pPr>
            <w:r w:rsidRPr="00811F78">
              <w:rPr>
                <w:rFonts w:cs="Arial"/>
                <w:sz w:val="20"/>
                <w:szCs w:val="20"/>
              </w:rPr>
              <w:t>a Secretaría de Educación Pública valida y autoriza la  actualización de nuevos programas educativos DE POSGRADO</w:t>
            </w:r>
            <w:r>
              <w:rPr>
                <w:rFonts w:cs="Arial"/>
                <w:sz w:val="20"/>
                <w:szCs w:val="20"/>
              </w:rPr>
              <w:t>.</w:t>
            </w:r>
          </w:p>
        </w:tc>
      </w:tr>
      <w:tr w:rsidR="00E23746" w:rsidRPr="00FD08F8" w14:paraId="69FEA638" w14:textId="77777777" w:rsidTr="003D04F9">
        <w:trPr>
          <w:trHeight w:val="415"/>
        </w:trPr>
        <w:tc>
          <w:tcPr>
            <w:tcW w:w="1271" w:type="dxa"/>
            <w:tcBorders>
              <w:top w:val="single" w:sz="4" w:space="0" w:color="auto"/>
              <w:left w:val="single" w:sz="4" w:space="0" w:color="auto"/>
              <w:bottom w:val="single" w:sz="4" w:space="0" w:color="auto"/>
              <w:right w:val="single" w:sz="4" w:space="0" w:color="auto"/>
            </w:tcBorders>
            <w:shd w:val="clear" w:color="auto" w:fill="auto"/>
            <w:hideMark/>
          </w:tcPr>
          <w:p w14:paraId="23E604C4"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Actividad</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A51882D" w14:textId="77777777" w:rsidR="00E23746" w:rsidRPr="00DD34FD" w:rsidRDefault="00E23746" w:rsidP="000B2F10">
            <w:pPr>
              <w:rPr>
                <w:rFonts w:cs="Arial"/>
                <w:sz w:val="20"/>
                <w:szCs w:val="20"/>
              </w:rPr>
            </w:pPr>
            <w:r w:rsidRPr="00B353B6">
              <w:rPr>
                <w:rFonts w:cs="Arial"/>
                <w:sz w:val="20"/>
                <w:szCs w:val="20"/>
              </w:rPr>
              <w:t>Desarrollar una estrategia integral que permita ampliar la cobertura educativa de nivel superior en las IES</w:t>
            </w:r>
            <w:r>
              <w:rPr>
                <w:rFonts w:cs="Arial"/>
                <w:sz w:val="20"/>
                <w:szCs w:val="20"/>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4E2104C" w14:textId="77777777" w:rsidR="00E23746" w:rsidRPr="00DD34FD" w:rsidRDefault="00E23746" w:rsidP="000B2F10">
            <w:pPr>
              <w:rPr>
                <w:rFonts w:cs="Arial"/>
                <w:sz w:val="20"/>
                <w:szCs w:val="20"/>
              </w:rPr>
            </w:pPr>
            <w:r>
              <w:rPr>
                <w:rFonts w:cs="Arial"/>
                <w:sz w:val="20"/>
                <w:szCs w:val="20"/>
              </w:rPr>
              <w:t>C05</w:t>
            </w:r>
            <w:r w:rsidRPr="00574DAC">
              <w:rPr>
                <w:rFonts w:cs="Arial"/>
                <w:sz w:val="20"/>
                <w:szCs w:val="20"/>
              </w:rPr>
              <w:t>.A0</w:t>
            </w:r>
            <w:r>
              <w:rPr>
                <w:rFonts w:cs="Arial"/>
                <w:sz w:val="20"/>
                <w:szCs w:val="20"/>
              </w:rPr>
              <w:t xml:space="preserve">3 -Diversificación de los PE. </w:t>
            </w:r>
          </w:p>
        </w:tc>
        <w:tc>
          <w:tcPr>
            <w:tcW w:w="2268" w:type="dxa"/>
            <w:tcBorders>
              <w:top w:val="single" w:sz="4" w:space="0" w:color="auto"/>
              <w:left w:val="single" w:sz="4" w:space="0" w:color="auto"/>
              <w:bottom w:val="single" w:sz="4" w:space="0" w:color="auto"/>
              <w:right w:val="single" w:sz="4" w:space="0" w:color="auto"/>
            </w:tcBorders>
            <w:shd w:val="clear" w:color="FFFFFF" w:fill="FFFFFF"/>
          </w:tcPr>
          <w:p w14:paraId="5F98074D" w14:textId="77777777" w:rsidR="00E23746" w:rsidRPr="00DD34FD" w:rsidRDefault="00E23746" w:rsidP="000B2F10">
            <w:pPr>
              <w:rPr>
                <w:rFonts w:cs="Arial"/>
                <w:sz w:val="20"/>
                <w:szCs w:val="20"/>
              </w:rPr>
            </w:pPr>
            <w:r>
              <w:rPr>
                <w:rFonts w:cs="Arial"/>
                <w:sz w:val="20"/>
                <w:szCs w:val="20"/>
              </w:rPr>
              <w:t>C05A03</w:t>
            </w:r>
            <w:r w:rsidRPr="00574DAC">
              <w:rPr>
                <w:rFonts w:cs="Arial"/>
                <w:sz w:val="20"/>
                <w:szCs w:val="20"/>
              </w:rPr>
              <w:t xml:space="preserve"> -</w:t>
            </w:r>
            <w:r w:rsidRPr="006D61C9">
              <w:rPr>
                <w:rFonts w:cs="Arial"/>
                <w:sz w:val="20"/>
                <w:szCs w:val="20"/>
              </w:rPr>
              <w:t>Porcentaje de Nuevos PE de posgrado ofertados con respecto a los programados</w:t>
            </w:r>
            <w:r>
              <w:rPr>
                <w:rFonts w:cs="Arial"/>
                <w:sz w:val="20"/>
                <w:szCs w:val="20"/>
              </w:rPr>
              <w:t>.</w:t>
            </w:r>
            <w:r w:rsidRPr="0041107B">
              <w:rPr>
                <w:rFonts w:cs="Arial"/>
                <w:sz w:val="20"/>
                <w:szCs w:val="20"/>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65D110D" w14:textId="77777777" w:rsidR="00E23746" w:rsidRPr="00DD34FD" w:rsidRDefault="00E23746" w:rsidP="000B2F10">
            <w:pPr>
              <w:rPr>
                <w:rFonts w:cs="Arial"/>
                <w:sz w:val="20"/>
                <w:szCs w:val="20"/>
              </w:rPr>
            </w:pPr>
            <w:r w:rsidRPr="0085281E">
              <w:rPr>
                <w:rFonts w:cs="Arial"/>
                <w:sz w:val="20"/>
                <w:szCs w:val="20"/>
              </w:rPr>
              <w:t>Estadísticas continúas del formato 911 inicio de ciclo escolar, SEQ. http://sige.seq.gob.mx/portal/</w:t>
            </w:r>
            <w:r>
              <w:rPr>
                <w:rFonts w:cs="Arial"/>
                <w:sz w:val="20"/>
                <w:szCs w:val="20"/>
              </w:rPr>
              <w:t>.</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1B641823" w14:textId="77777777" w:rsidR="00E23746" w:rsidRPr="00DD34FD" w:rsidRDefault="00E23746" w:rsidP="000B2F10">
            <w:pPr>
              <w:rPr>
                <w:rFonts w:cs="Arial"/>
                <w:sz w:val="20"/>
                <w:szCs w:val="20"/>
              </w:rPr>
            </w:pPr>
            <w:r w:rsidRPr="003A44ED">
              <w:rPr>
                <w:rFonts w:cs="Arial"/>
                <w:sz w:val="20"/>
                <w:szCs w:val="20"/>
              </w:rPr>
              <w:t>La COEPES integra a su programación la aprobación de los programas educativos nuevos de posgrado y los autoriza.</w:t>
            </w:r>
          </w:p>
        </w:tc>
      </w:tr>
      <w:tr w:rsidR="00E23746" w:rsidRPr="00FD08F8" w14:paraId="099A7581" w14:textId="77777777" w:rsidTr="003D04F9">
        <w:trPr>
          <w:trHeight w:val="415"/>
        </w:trPr>
        <w:tc>
          <w:tcPr>
            <w:tcW w:w="1271" w:type="dxa"/>
            <w:tcBorders>
              <w:top w:val="single" w:sz="4" w:space="0" w:color="auto"/>
              <w:left w:val="single" w:sz="4" w:space="0" w:color="auto"/>
              <w:bottom w:val="single" w:sz="4" w:space="0" w:color="auto"/>
              <w:right w:val="single" w:sz="4" w:space="0" w:color="auto"/>
            </w:tcBorders>
            <w:shd w:val="clear" w:color="auto" w:fill="auto"/>
            <w:hideMark/>
          </w:tcPr>
          <w:p w14:paraId="693B9253"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Actividad</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D696E25" w14:textId="77777777" w:rsidR="00E23746" w:rsidRPr="00DD34FD" w:rsidRDefault="00E23746" w:rsidP="000B2F10">
            <w:pPr>
              <w:rPr>
                <w:rFonts w:cs="Arial"/>
                <w:sz w:val="20"/>
                <w:szCs w:val="20"/>
              </w:rPr>
            </w:pPr>
            <w:r w:rsidRPr="00B353B6">
              <w:rPr>
                <w:rFonts w:cs="Arial"/>
                <w:sz w:val="20"/>
                <w:szCs w:val="20"/>
              </w:rPr>
              <w:t>Impulsar la acreditación y evaluación de los planes y programas de estudio de educación superior por organismos externos reconocidos a nivel nacional e internacional.</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0B33BD0" w14:textId="77777777" w:rsidR="00E23746" w:rsidRPr="00DD34FD" w:rsidRDefault="00E23746" w:rsidP="000B2F10">
            <w:pPr>
              <w:rPr>
                <w:rFonts w:cs="Arial"/>
                <w:sz w:val="20"/>
                <w:szCs w:val="20"/>
              </w:rPr>
            </w:pPr>
            <w:r>
              <w:rPr>
                <w:rFonts w:cs="Arial"/>
                <w:sz w:val="20"/>
                <w:szCs w:val="20"/>
              </w:rPr>
              <w:t>C05</w:t>
            </w:r>
            <w:r w:rsidRPr="00574DAC">
              <w:rPr>
                <w:rFonts w:cs="Arial"/>
                <w:sz w:val="20"/>
                <w:szCs w:val="20"/>
              </w:rPr>
              <w:t>.A0</w:t>
            </w:r>
            <w:r>
              <w:rPr>
                <w:rFonts w:cs="Arial"/>
                <w:sz w:val="20"/>
                <w:szCs w:val="20"/>
              </w:rPr>
              <w:t>4 -</w:t>
            </w:r>
            <w:r w:rsidRPr="00FF6528">
              <w:rPr>
                <w:rFonts w:cs="Arial"/>
                <w:sz w:val="20"/>
                <w:szCs w:val="20"/>
              </w:rPr>
              <w:t>Obtención del reconocimiento por su calidad de los Programas Educativos de posgrados</w:t>
            </w:r>
            <w:r>
              <w:rPr>
                <w:rFonts w:cs="Arial"/>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shd w:val="clear" w:color="FFFFFF" w:fill="FFFFFF"/>
          </w:tcPr>
          <w:p w14:paraId="370A6125" w14:textId="77777777" w:rsidR="00E23746" w:rsidRPr="00DD34FD" w:rsidRDefault="00E23746" w:rsidP="000B2F10">
            <w:pPr>
              <w:rPr>
                <w:rFonts w:cs="Arial"/>
                <w:sz w:val="20"/>
                <w:szCs w:val="20"/>
              </w:rPr>
            </w:pPr>
            <w:r>
              <w:rPr>
                <w:rFonts w:cs="Arial"/>
                <w:sz w:val="20"/>
                <w:szCs w:val="20"/>
              </w:rPr>
              <w:t>C05A04</w:t>
            </w:r>
            <w:r w:rsidRPr="00574DAC">
              <w:rPr>
                <w:rFonts w:cs="Arial"/>
                <w:sz w:val="20"/>
                <w:szCs w:val="20"/>
              </w:rPr>
              <w:t xml:space="preserve"> -</w:t>
            </w:r>
            <w:r w:rsidRPr="00021F7D">
              <w:rPr>
                <w:rFonts w:cs="Arial"/>
                <w:sz w:val="20"/>
                <w:szCs w:val="20"/>
              </w:rPr>
              <w:t>Porcentaje de Programas Educativos de posgrado incorporado al PNPC del CONACYT u otros organismos nacionales e internacionales</w:t>
            </w:r>
            <w:r>
              <w:rPr>
                <w:rFonts w:cs="Arial"/>
                <w:sz w:val="20"/>
                <w:szCs w:val="20"/>
              </w:rPr>
              <w:t>.</w:t>
            </w:r>
            <w:r w:rsidRPr="0041107B">
              <w:rPr>
                <w:rFonts w:cs="Arial"/>
                <w:sz w:val="20"/>
                <w:szCs w:val="20"/>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243DA654" w14:textId="77777777" w:rsidR="00E23746" w:rsidRPr="00DD34FD" w:rsidRDefault="00E23746" w:rsidP="000B2F10">
            <w:pPr>
              <w:rPr>
                <w:rFonts w:cs="Arial"/>
                <w:sz w:val="20"/>
                <w:szCs w:val="20"/>
              </w:rPr>
            </w:pPr>
            <w:r w:rsidRPr="00E571B0">
              <w:rPr>
                <w:rFonts w:cs="Arial"/>
                <w:sz w:val="20"/>
                <w:szCs w:val="20"/>
              </w:rPr>
              <w:t>Padrón de Programas Educativos del CONACYT. Certificados de calidad emitidos por organismos naciones e internacionales diferentes al CONACYT</w:t>
            </w:r>
            <w:r>
              <w:rPr>
                <w:rFonts w:cs="Arial"/>
                <w:sz w:val="20"/>
                <w:szCs w:val="20"/>
              </w:rPr>
              <w:t>.</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6C22AED8" w14:textId="77777777" w:rsidR="00E23746" w:rsidRPr="00DD34FD" w:rsidRDefault="00E23746" w:rsidP="000B2F10">
            <w:pPr>
              <w:rPr>
                <w:rFonts w:cs="Arial"/>
                <w:sz w:val="20"/>
                <w:szCs w:val="20"/>
              </w:rPr>
            </w:pPr>
            <w:r w:rsidRPr="00786D1F">
              <w:rPr>
                <w:rFonts w:cs="Arial"/>
                <w:sz w:val="20"/>
                <w:szCs w:val="20"/>
              </w:rPr>
              <w:t>El CONACYT valida y autoriza el cumplimiento de los criterios de calidad de los programas educativos evaluables</w:t>
            </w:r>
            <w:r>
              <w:rPr>
                <w:rFonts w:cs="Arial"/>
                <w:sz w:val="20"/>
                <w:szCs w:val="20"/>
              </w:rPr>
              <w:t>.</w:t>
            </w:r>
          </w:p>
        </w:tc>
      </w:tr>
    </w:tbl>
    <w:p w14:paraId="7EDF7C4E" w14:textId="77777777" w:rsidR="00B021B4" w:rsidRDefault="00B021B4">
      <w:pPr>
        <w:spacing w:after="0" w:line="240" w:lineRule="auto"/>
        <w:jc w:val="left"/>
      </w:pPr>
      <w:r>
        <w:br w:type="page"/>
      </w:r>
    </w:p>
    <w:tbl>
      <w:tblPr>
        <w:tblW w:w="14029" w:type="dxa"/>
        <w:tblLayout w:type="fixed"/>
        <w:tblCellMar>
          <w:left w:w="70" w:type="dxa"/>
          <w:right w:w="70" w:type="dxa"/>
        </w:tblCellMar>
        <w:tblLook w:val="04A0" w:firstRow="1" w:lastRow="0" w:firstColumn="1" w:lastColumn="0" w:noHBand="0" w:noVBand="1"/>
      </w:tblPr>
      <w:tblGrid>
        <w:gridCol w:w="1271"/>
        <w:gridCol w:w="2835"/>
        <w:gridCol w:w="2835"/>
        <w:gridCol w:w="2268"/>
        <w:gridCol w:w="2693"/>
        <w:gridCol w:w="2127"/>
      </w:tblGrid>
      <w:tr w:rsidR="00B021B4" w:rsidRPr="00FD08F8" w14:paraId="694FCA26" w14:textId="77777777" w:rsidTr="00593A35">
        <w:trPr>
          <w:trHeight w:val="461"/>
        </w:trPr>
        <w:tc>
          <w:tcPr>
            <w:tcW w:w="1271" w:type="dxa"/>
            <w:tcBorders>
              <w:top w:val="single" w:sz="4" w:space="0" w:color="auto"/>
              <w:left w:val="single" w:sz="4" w:space="0" w:color="auto"/>
              <w:bottom w:val="single" w:sz="4" w:space="0" w:color="auto"/>
              <w:right w:val="single" w:sz="4" w:space="0" w:color="auto"/>
            </w:tcBorders>
            <w:shd w:val="clear" w:color="000000" w:fill="BFBFBF"/>
            <w:vAlign w:val="center"/>
            <w:hideMark/>
          </w:tcPr>
          <w:p w14:paraId="20EC800C" w14:textId="77777777" w:rsidR="00B021B4" w:rsidRPr="00FD08F8" w:rsidRDefault="00B021B4" w:rsidP="00593A35">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lastRenderedPageBreak/>
              <w:t>NIVEL</w:t>
            </w:r>
          </w:p>
        </w:tc>
        <w:tc>
          <w:tcPr>
            <w:tcW w:w="2835" w:type="dxa"/>
            <w:tcBorders>
              <w:top w:val="single" w:sz="4" w:space="0" w:color="auto"/>
              <w:left w:val="nil"/>
              <w:bottom w:val="single" w:sz="4" w:space="0" w:color="auto"/>
              <w:right w:val="single" w:sz="4" w:space="0" w:color="auto"/>
            </w:tcBorders>
            <w:shd w:val="clear" w:color="000000" w:fill="BFBFBF"/>
            <w:vAlign w:val="center"/>
            <w:hideMark/>
          </w:tcPr>
          <w:p w14:paraId="2BF90D8C" w14:textId="77777777" w:rsidR="00B021B4" w:rsidRPr="00FD08F8" w:rsidRDefault="00B021B4" w:rsidP="00593A35">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ALINEACIÓN PED/PD</w:t>
            </w:r>
          </w:p>
        </w:tc>
        <w:tc>
          <w:tcPr>
            <w:tcW w:w="2835" w:type="dxa"/>
            <w:tcBorders>
              <w:top w:val="single" w:sz="4" w:space="0" w:color="auto"/>
              <w:left w:val="nil"/>
              <w:bottom w:val="single" w:sz="4" w:space="0" w:color="auto"/>
              <w:right w:val="single" w:sz="4" w:space="0" w:color="auto"/>
            </w:tcBorders>
            <w:shd w:val="clear" w:color="000000" w:fill="BFBFBF"/>
            <w:vAlign w:val="center"/>
            <w:hideMark/>
          </w:tcPr>
          <w:p w14:paraId="0C898EC0" w14:textId="77777777" w:rsidR="00B021B4" w:rsidRPr="00FD08F8" w:rsidRDefault="00B021B4" w:rsidP="00593A35">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OBJETIVO</w:t>
            </w:r>
          </w:p>
        </w:tc>
        <w:tc>
          <w:tcPr>
            <w:tcW w:w="2268" w:type="dxa"/>
            <w:tcBorders>
              <w:top w:val="single" w:sz="4" w:space="0" w:color="auto"/>
              <w:left w:val="nil"/>
              <w:bottom w:val="single" w:sz="4" w:space="0" w:color="auto"/>
              <w:right w:val="single" w:sz="4" w:space="0" w:color="auto"/>
            </w:tcBorders>
            <w:shd w:val="clear" w:color="000000" w:fill="BFBFBF"/>
            <w:vAlign w:val="center"/>
            <w:hideMark/>
          </w:tcPr>
          <w:p w14:paraId="14361BE4" w14:textId="77777777" w:rsidR="00B021B4" w:rsidRPr="00FD08F8" w:rsidRDefault="00B021B4" w:rsidP="00593A35">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INDICADOR</w:t>
            </w:r>
          </w:p>
        </w:tc>
        <w:tc>
          <w:tcPr>
            <w:tcW w:w="2693" w:type="dxa"/>
            <w:tcBorders>
              <w:top w:val="single" w:sz="4" w:space="0" w:color="auto"/>
              <w:left w:val="nil"/>
              <w:bottom w:val="single" w:sz="4" w:space="0" w:color="auto"/>
              <w:right w:val="single" w:sz="4" w:space="0" w:color="auto"/>
            </w:tcBorders>
            <w:shd w:val="clear" w:color="000000" w:fill="BFBFBF"/>
            <w:vAlign w:val="center"/>
            <w:hideMark/>
          </w:tcPr>
          <w:p w14:paraId="7AD8BFE2" w14:textId="77777777" w:rsidR="00B021B4" w:rsidRPr="00FD08F8" w:rsidRDefault="00B021B4" w:rsidP="00593A35">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MEDIOS DE VERIFICACIÓN</w:t>
            </w:r>
          </w:p>
        </w:tc>
        <w:tc>
          <w:tcPr>
            <w:tcW w:w="2127" w:type="dxa"/>
            <w:tcBorders>
              <w:top w:val="single" w:sz="4" w:space="0" w:color="auto"/>
              <w:left w:val="nil"/>
              <w:bottom w:val="single" w:sz="4" w:space="0" w:color="auto"/>
              <w:right w:val="single" w:sz="4" w:space="0" w:color="auto"/>
            </w:tcBorders>
            <w:shd w:val="clear" w:color="000000" w:fill="BFBFBF"/>
            <w:vAlign w:val="center"/>
            <w:hideMark/>
          </w:tcPr>
          <w:p w14:paraId="68463AEF" w14:textId="77777777" w:rsidR="00B021B4" w:rsidRPr="00FD08F8" w:rsidRDefault="00B021B4" w:rsidP="00593A35">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SUPUESTO</w:t>
            </w:r>
          </w:p>
        </w:tc>
      </w:tr>
      <w:tr w:rsidR="00E23746" w:rsidRPr="00FD08F8" w14:paraId="3B1E1388" w14:textId="77777777" w:rsidTr="003D04F9">
        <w:trPr>
          <w:trHeight w:val="415"/>
        </w:trPr>
        <w:tc>
          <w:tcPr>
            <w:tcW w:w="1271" w:type="dxa"/>
            <w:tcBorders>
              <w:top w:val="single" w:sz="4" w:space="0" w:color="auto"/>
              <w:left w:val="single" w:sz="4" w:space="0" w:color="auto"/>
              <w:bottom w:val="single" w:sz="4" w:space="0" w:color="auto"/>
              <w:right w:val="single" w:sz="4" w:space="0" w:color="auto"/>
            </w:tcBorders>
            <w:shd w:val="clear" w:color="auto" w:fill="auto"/>
            <w:hideMark/>
          </w:tcPr>
          <w:p w14:paraId="059A9209" w14:textId="77777777" w:rsidR="00E23746" w:rsidRPr="00FD08F8" w:rsidRDefault="00E23746" w:rsidP="000B2F10">
            <w:pPr>
              <w:spacing w:after="0" w:line="240" w:lineRule="auto"/>
              <w:jc w:val="center"/>
              <w:rPr>
                <w:rFonts w:eastAsia="Times New Roman" w:cs="Arial"/>
                <w:b/>
                <w:bCs/>
                <w:sz w:val="20"/>
                <w:szCs w:val="20"/>
                <w:lang w:val="es-MX" w:eastAsia="es-MX"/>
              </w:rPr>
            </w:pPr>
            <w:r w:rsidRPr="00FD08F8">
              <w:rPr>
                <w:rFonts w:eastAsia="Times New Roman" w:cs="Arial"/>
                <w:b/>
                <w:bCs/>
                <w:sz w:val="20"/>
                <w:szCs w:val="20"/>
                <w:lang w:val="es-MX" w:eastAsia="es-MX"/>
              </w:rPr>
              <w:t>Actividad</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5E11147" w14:textId="77777777" w:rsidR="00E23746" w:rsidRPr="00DD34FD" w:rsidRDefault="00E23746" w:rsidP="000B2F10">
            <w:pPr>
              <w:rPr>
                <w:rFonts w:cs="Arial"/>
                <w:sz w:val="20"/>
                <w:szCs w:val="20"/>
              </w:rPr>
            </w:pPr>
            <w:r w:rsidRPr="000F65C1">
              <w:rPr>
                <w:rFonts w:cs="Arial"/>
                <w:sz w:val="20"/>
                <w:szCs w:val="20"/>
              </w:rPr>
              <w:t>Fortalecer la oferta educativa de las instituciones de educación superior para asegurar la pertinencia con base en las necesidades de la entidad.</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660987F" w14:textId="77777777" w:rsidR="00E23746" w:rsidRPr="00DD34FD" w:rsidRDefault="00E23746" w:rsidP="000B2F10">
            <w:pPr>
              <w:rPr>
                <w:rFonts w:cs="Arial"/>
                <w:sz w:val="20"/>
                <w:szCs w:val="20"/>
              </w:rPr>
            </w:pPr>
            <w:r>
              <w:rPr>
                <w:rFonts w:cs="Arial"/>
                <w:sz w:val="20"/>
                <w:szCs w:val="20"/>
              </w:rPr>
              <w:t>C05</w:t>
            </w:r>
            <w:r w:rsidRPr="00574DAC">
              <w:rPr>
                <w:rFonts w:cs="Arial"/>
                <w:sz w:val="20"/>
                <w:szCs w:val="20"/>
              </w:rPr>
              <w:t>.A0</w:t>
            </w:r>
            <w:r>
              <w:rPr>
                <w:rFonts w:cs="Arial"/>
                <w:sz w:val="20"/>
                <w:szCs w:val="20"/>
              </w:rPr>
              <w:t>5 -</w:t>
            </w:r>
            <w:r w:rsidRPr="005C0625">
              <w:rPr>
                <w:rFonts w:cs="Arial"/>
                <w:sz w:val="20"/>
                <w:szCs w:val="20"/>
              </w:rPr>
              <w:t>Promoción y oferta de Programas de educación continua</w:t>
            </w:r>
            <w:r>
              <w:rPr>
                <w:rFonts w:cs="Arial"/>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shd w:val="clear" w:color="FFFFFF" w:fill="FFFFFF"/>
          </w:tcPr>
          <w:p w14:paraId="72C739D1" w14:textId="77777777" w:rsidR="00E23746" w:rsidRPr="00DD34FD" w:rsidRDefault="00E23746" w:rsidP="000B2F10">
            <w:pPr>
              <w:rPr>
                <w:rFonts w:cs="Arial"/>
                <w:sz w:val="20"/>
                <w:szCs w:val="20"/>
              </w:rPr>
            </w:pPr>
            <w:r>
              <w:rPr>
                <w:rFonts w:cs="Arial"/>
                <w:sz w:val="20"/>
                <w:szCs w:val="20"/>
              </w:rPr>
              <w:t>C05A05</w:t>
            </w:r>
            <w:r w:rsidRPr="00574DAC">
              <w:rPr>
                <w:rFonts w:cs="Arial"/>
                <w:sz w:val="20"/>
                <w:szCs w:val="20"/>
              </w:rPr>
              <w:t xml:space="preserve"> -</w:t>
            </w:r>
            <w:r w:rsidRPr="00E30C6D">
              <w:rPr>
                <w:rFonts w:cs="Arial"/>
                <w:sz w:val="20"/>
                <w:szCs w:val="20"/>
              </w:rPr>
              <w:t>Porcentaje de cursos, talleres y diplomados ofertados con respecto a los programados</w:t>
            </w:r>
            <w:r>
              <w:rPr>
                <w:rFonts w:cs="Arial"/>
                <w:sz w:val="20"/>
                <w:szCs w:val="20"/>
              </w:rPr>
              <w:t>.</w:t>
            </w:r>
            <w:r w:rsidRPr="0041107B">
              <w:rPr>
                <w:rFonts w:cs="Arial"/>
                <w:sz w:val="20"/>
                <w:szCs w:val="20"/>
              </w:rPr>
              <w:t xml:space="preserve"> </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60020687" w14:textId="77777777" w:rsidR="00E23746" w:rsidRPr="00DD34FD" w:rsidRDefault="00E23746" w:rsidP="000B2F10">
            <w:pPr>
              <w:rPr>
                <w:rFonts w:cs="Arial"/>
                <w:sz w:val="20"/>
                <w:szCs w:val="20"/>
              </w:rPr>
            </w:pPr>
            <w:r w:rsidRPr="00FC31EC">
              <w:rPr>
                <w:rFonts w:cs="Arial"/>
                <w:sz w:val="20"/>
                <w:szCs w:val="20"/>
              </w:rPr>
              <w:t>Informe de H. Junta Directiva. http://www.unicaribe.mx/pagina/obligaciones-transparencia</w:t>
            </w:r>
            <w:r>
              <w:rPr>
                <w:rFonts w:cs="Arial"/>
                <w:sz w:val="20"/>
                <w:szCs w:val="20"/>
              </w:rPr>
              <w:t>.</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48C14FC5" w14:textId="77777777" w:rsidR="00E23746" w:rsidRPr="00DD34FD" w:rsidRDefault="00E23746" w:rsidP="000B2F10">
            <w:pPr>
              <w:rPr>
                <w:rFonts w:cs="Arial"/>
                <w:sz w:val="20"/>
                <w:szCs w:val="20"/>
              </w:rPr>
            </w:pPr>
            <w:r w:rsidRPr="00FC31EC">
              <w:rPr>
                <w:rFonts w:cs="Arial"/>
                <w:sz w:val="20"/>
                <w:szCs w:val="20"/>
              </w:rPr>
              <w:t>Los egresados y la comunidad se incorporan a los cursos, talleres y diplomados de Educación Continua y cursos de idiomas y otros cursos</w:t>
            </w:r>
            <w:r>
              <w:rPr>
                <w:rFonts w:cs="Arial"/>
                <w:sz w:val="20"/>
                <w:szCs w:val="20"/>
              </w:rPr>
              <w:t>.</w:t>
            </w:r>
          </w:p>
        </w:tc>
      </w:tr>
    </w:tbl>
    <w:p w14:paraId="0BE00F84" w14:textId="77777777" w:rsidR="00E23746" w:rsidRDefault="00E23746" w:rsidP="00E23746">
      <w:pPr>
        <w:rPr>
          <w:rFonts w:eastAsia="Calibri" w:cs="Arial"/>
          <w:bCs/>
          <w:color w:val="595959" w:themeColor="text1" w:themeTint="A6"/>
          <w:sz w:val="18"/>
          <w:szCs w:val="20"/>
        </w:rPr>
      </w:pPr>
      <w:r w:rsidRPr="0093279A">
        <w:rPr>
          <w:rFonts w:eastAsia="Calibri" w:cs="Arial"/>
          <w:bCs/>
          <w:color w:val="595959" w:themeColor="text1" w:themeTint="A6"/>
          <w:sz w:val="18"/>
          <w:szCs w:val="20"/>
        </w:rPr>
        <w:t>El anexo aquí presentado es perfectible, y se encuentra susceptible de modificaciones programáticas toda vez que así se le indique por observaciones de auditorías, evaluaciones al desempeño y revisiones de la Secretaría de Finanzas y Planeación antes y durante el ejercicio fiscal del que se trate, así como también, cuando las condiciones del Ente Público responsable de dicha información programática requiera hacer modificaciones a sus necesidades institucionales, atendiendo a lo establecido en los Lineamientos para la Creación, Modificación y Cancelación de Programas Presupuestarios y para la Modificación de Metas del Gobierno del Estado de Quintana Roo.</w:t>
      </w:r>
    </w:p>
    <w:sectPr w:rsidR="00E23746" w:rsidSect="000B2F10">
      <w:footerReference w:type="default" r:id="rId109"/>
      <w:pgSz w:w="15840" w:h="12240" w:orient="landscape" w:code="1"/>
      <w:pgMar w:top="1559" w:right="816" w:bottom="1134" w:left="1134" w:header="0" w:footer="1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17E8FA" w14:textId="77777777" w:rsidR="005377D7" w:rsidRDefault="005377D7" w:rsidP="00315CBE">
      <w:r>
        <w:separator/>
      </w:r>
    </w:p>
  </w:endnote>
  <w:endnote w:type="continuationSeparator" w:id="0">
    <w:p w14:paraId="3D16BC41" w14:textId="77777777" w:rsidR="005377D7" w:rsidRDefault="005377D7" w:rsidP="00315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Lt BT">
    <w:altName w:val="Arial"/>
    <w:charset w:val="00"/>
    <w:family w:val="swiss"/>
    <w:pitch w:val="variable"/>
    <w:sig w:usb0="00000001" w:usb1="1000204A" w:usb2="00000000" w:usb3="00000000" w:csb0="00000011" w:csb1="00000000"/>
  </w:font>
  <w:font w:name="Arial">
    <w:panose1 w:val="020B0604020202020204"/>
    <w:charset w:val="00"/>
    <w:family w:val="swiss"/>
    <w:pitch w:val="variable"/>
    <w:sig w:usb0="E0002EFF" w:usb1="C000785B" w:usb2="00000009" w:usb3="00000000" w:csb0="000001FF" w:csb1="00000000"/>
  </w:font>
  <w:font w:name="Futura T OT Book">
    <w:altName w:val="Times New Roman"/>
    <w:charset w:val="00"/>
    <w:family w:val="auto"/>
    <w:pitch w:val="variable"/>
    <w:sig w:usb0="00000001" w:usb1="50002048" w:usb2="00000000" w:usb3="00000000" w:csb0="00000093" w:csb1="00000000"/>
  </w:font>
  <w:font w:name="Futura">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Futura T OT">
    <w:altName w:val="Arial"/>
    <w:panose1 w:val="00000000000000000000"/>
    <w:charset w:val="00"/>
    <w:family w:val="modern"/>
    <w:notTrueType/>
    <w:pitch w:val="variable"/>
    <w:sig w:usb0="800000AF" w:usb1="50002048" w:usb2="00000000" w:usb3="00000000" w:csb0="00000093"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Open Sans">
    <w:altName w:val="Tahoma"/>
    <w:charset w:val="00"/>
    <w:family w:val="swiss"/>
    <w:pitch w:val="variable"/>
    <w:sig w:usb0="E00002EF" w:usb1="4000205B" w:usb2="00000028" w:usb3="00000000" w:csb0="0000019F" w:csb1="00000000"/>
  </w:font>
  <w:font w:name="Calisto MT">
    <w:panose1 w:val="0204060305050503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Gotham Book">
    <w:altName w:val="Gotham Book"/>
    <w:panose1 w:val="00000000000000000000"/>
    <w:charset w:val="00"/>
    <w:family w:val="swiss"/>
    <w:notTrueType/>
    <w:pitch w:val="default"/>
    <w:sig w:usb0="00000003" w:usb1="00000000" w:usb2="00000000" w:usb3="00000000" w:csb0="00000001" w:csb1="00000000"/>
  </w:font>
  <w:font w:name="Futura Std Condensed Light">
    <w:altName w:val="Century Gothic"/>
    <w:panose1 w:val="00000000000000000000"/>
    <w:charset w:val="00"/>
    <w:family w:val="swiss"/>
    <w:notTrueType/>
    <w:pitch w:val="variable"/>
    <w:sig w:usb0="800000AF" w:usb1="4000204A" w:usb2="00000000" w:usb3="00000000" w:csb0="00000001" w:csb1="00000000"/>
  </w:font>
  <w:font w:name="a_FuturaOrto">
    <w:altName w:val="Calibri"/>
    <w:charset w:val="CC"/>
    <w:family w:val="swiss"/>
    <w:pitch w:val="variable"/>
    <w:sig w:usb0="00000201" w:usb1="00000000" w:usb2="00000000" w:usb3="00000000" w:csb0="00000004" w:csb1="00000000"/>
  </w:font>
  <w:font w:name="Futura Bk BT">
    <w:altName w:val="Arial"/>
    <w:charset w:val="00"/>
    <w:family w:val="swiss"/>
    <w:pitch w:val="variable"/>
    <w:sig w:usb0="800000AF" w:usb1="1000204A" w:usb2="00000000" w:usb3="00000000" w:csb0="00000011" w:csb1="00000000"/>
  </w:font>
  <w:font w:name="Myriad Pro">
    <w:altName w:val="Arial"/>
    <w:charset w:val="00"/>
    <w:family w:val="auto"/>
    <w:pitch w:val="variable"/>
    <w:sig w:usb0="00000001"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7260722"/>
      <w:docPartObj>
        <w:docPartGallery w:val="Page Numbers (Bottom of Page)"/>
        <w:docPartUnique/>
      </w:docPartObj>
    </w:sdtPr>
    <w:sdtEndPr/>
    <w:sdtContent>
      <w:p w14:paraId="6B740AAF" w14:textId="77777777" w:rsidR="00A366B6" w:rsidRDefault="00A366B6">
        <w:pPr>
          <w:pStyle w:val="Piedepgina"/>
        </w:pPr>
        <w:r w:rsidRPr="00D9762C">
          <w:rPr>
            <w:color w:val="FFFFFF" w:themeColor="background1"/>
          </w:rPr>
          <w:fldChar w:fldCharType="begin"/>
        </w:r>
        <w:r w:rsidRPr="00D9762C">
          <w:rPr>
            <w:color w:val="FFFFFF" w:themeColor="background1"/>
          </w:rPr>
          <w:instrText>PAGE   \* MERGEFORMAT</w:instrText>
        </w:r>
        <w:r w:rsidRPr="00D9762C">
          <w:rPr>
            <w:color w:val="FFFFFF" w:themeColor="background1"/>
          </w:rPr>
          <w:fldChar w:fldCharType="separate"/>
        </w:r>
        <w:r w:rsidRPr="008D2B7B">
          <w:rPr>
            <w:noProof/>
            <w:color w:val="FFFFFF" w:themeColor="background1"/>
            <w:lang w:val="es-ES"/>
          </w:rPr>
          <w:t>2</w:t>
        </w:r>
        <w:r w:rsidRPr="00D9762C">
          <w:rPr>
            <w:color w:val="FFFFFF" w:themeColor="background1"/>
          </w:rPr>
          <w:fldChar w:fldCharType="end"/>
        </w:r>
        <w:r w:rsidRPr="00D9762C">
          <w:rPr>
            <w:noProof/>
            <w:color w:val="FFFFFF" w:themeColor="background1"/>
            <w:lang w:eastAsia="es-MX"/>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7937894"/>
      <w:docPartObj>
        <w:docPartGallery w:val="Page Numbers (Bottom of Page)"/>
        <w:docPartUnique/>
      </w:docPartObj>
    </w:sdtPr>
    <w:sdtEndPr>
      <w:rPr>
        <w:color w:val="FFFFFF" w:themeColor="background1"/>
      </w:rPr>
    </w:sdtEndPr>
    <w:sdtContent>
      <w:p w14:paraId="6AE33CC5" w14:textId="5B2A5D54" w:rsidR="00A366B6" w:rsidRDefault="00A366B6" w:rsidP="00FE1261">
        <w:pPr>
          <w:pStyle w:val="Piedepgina"/>
          <w:tabs>
            <w:tab w:val="clear" w:pos="8504"/>
            <w:tab w:val="right" w:pos="8789"/>
          </w:tabs>
          <w:ind w:left="-1418" w:right="332"/>
          <w:jc w:val="center"/>
        </w:pPr>
        <w:r>
          <w:rPr>
            <w:noProof/>
            <w:lang w:val="es-MX" w:eastAsia="es-MX"/>
          </w:rPr>
          <mc:AlternateContent>
            <mc:Choice Requires="wpg">
              <w:drawing>
                <wp:anchor distT="0" distB="0" distL="114300" distR="114300" simplePos="0" relativeHeight="251660288" behindDoc="0" locked="0" layoutInCell="1" allowOverlap="1" wp14:anchorId="2F5C060E" wp14:editId="31F31997">
                  <wp:simplePos x="0" y="0"/>
                  <wp:positionH relativeFrom="column">
                    <wp:posOffset>-5715</wp:posOffset>
                  </wp:positionH>
                  <wp:positionV relativeFrom="paragraph">
                    <wp:posOffset>635</wp:posOffset>
                  </wp:positionV>
                  <wp:extent cx="6305550" cy="758825"/>
                  <wp:effectExtent l="0" t="0" r="0" b="0"/>
                  <wp:wrapNone/>
                  <wp:docPr id="26" name="Grupo 26"/>
                  <wp:cNvGraphicFramePr/>
                  <a:graphic xmlns:a="http://schemas.openxmlformats.org/drawingml/2006/main">
                    <a:graphicData uri="http://schemas.microsoft.com/office/word/2010/wordprocessingGroup">
                      <wpg:wgp>
                        <wpg:cNvGrpSpPr/>
                        <wpg:grpSpPr>
                          <a:xfrm>
                            <a:off x="0" y="0"/>
                            <a:ext cx="6305550" cy="758825"/>
                            <a:chOff x="0" y="0"/>
                            <a:chExt cx="6305550" cy="758825"/>
                          </a:xfrm>
                        </wpg:grpSpPr>
                        <pic:pic xmlns:pic="http://schemas.openxmlformats.org/drawingml/2006/picture">
                          <pic:nvPicPr>
                            <pic:cNvPr id="25" name="Imagen 25" descr="C:\Users\compu\AppData\Local\Microsoft\Windows\INetCache\Content.Word\PIE PAG 02.png"/>
                            <pic:cNvPicPr>
                              <a:picLocks noChangeAspect="1"/>
                            </pic:cNvPicPr>
                          </pic:nvPicPr>
                          <pic:blipFill rotWithShape="1">
                            <a:blip r:embed="rId1">
                              <a:extLst>
                                <a:ext uri="{28A0092B-C50C-407E-A947-70E740481C1C}">
                                  <a14:useLocalDpi xmlns:a14="http://schemas.microsoft.com/office/drawing/2010/main" val="0"/>
                                </a:ext>
                              </a:extLst>
                            </a:blip>
                            <a:srcRect l="27255" r="7304"/>
                            <a:stretch/>
                          </pic:blipFill>
                          <pic:spPr bwMode="auto">
                            <a:xfrm>
                              <a:off x="1219200" y="0"/>
                              <a:ext cx="5086350" cy="758825"/>
                            </a:xfrm>
                            <a:prstGeom prst="rect">
                              <a:avLst/>
                            </a:prstGeom>
                            <a:noFill/>
                            <a:ln>
                              <a:noFill/>
                            </a:ln>
                            <a:extLst>
                              <a:ext uri="{53640926-AAD7-44d8-BBD7-CCE9431645EC}">
                                <a14:shadowObscured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wps:wsp>
                          <wps:cNvPr id="17" name="Cuadro de texto 17"/>
                          <wps:cNvSpPr txBox="1"/>
                          <wps:spPr>
                            <a:xfrm>
                              <a:off x="0" y="200025"/>
                              <a:ext cx="1592580" cy="297180"/>
                            </a:xfrm>
                            <a:prstGeom prst="rect">
                              <a:avLst/>
                            </a:prstGeom>
                            <a:noFill/>
                            <a:ln w="6350">
                              <a:noFill/>
                            </a:ln>
                          </wps:spPr>
                          <wps:txbx>
                            <w:txbxContent>
                              <w:p w14:paraId="76A8499B" w14:textId="00CB92BD" w:rsidR="00A366B6" w:rsidRPr="004B2410" w:rsidRDefault="00A366B6" w:rsidP="001F771E">
                                <w:pPr>
                                  <w:rPr>
                                    <w:color w:val="2DA6CC"/>
                                    <w:sz w:val="18"/>
                                    <w:szCs w:val="18"/>
                                    <w:lang w:val="uz-Cyrl-UZ"/>
                                  </w:rPr>
                                </w:pPr>
                                <w:r w:rsidRPr="001807DD">
                                  <w:rPr>
                                    <w:color w:val="2DA6CC"/>
                                    <w:sz w:val="18"/>
                                    <w:szCs w:val="18"/>
                                    <w:lang w:val="uz-Cyrl-UZ"/>
                                  </w:rPr>
                                  <w:t>seq.gob</w:t>
                                </w:r>
                                <w:r w:rsidRPr="004B2410">
                                  <w:rPr>
                                    <w:color w:val="2DA6CC"/>
                                    <w:sz w:val="18"/>
                                    <w:szCs w:val="18"/>
                                    <w:lang w:val="uz-Cyrl-UZ"/>
                                  </w:rPr>
                                  <w:t>.mx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2F5C060E" id="Grupo 26" o:spid="_x0000_s1026" style="position:absolute;left:0;text-align:left;margin-left:-.45pt;margin-top:.05pt;width:496.5pt;height:59.75pt;z-index:251660288" coordsize="63055,75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5" o:spid="_x0000_s1027" type="#_x0000_t75" style="position:absolute;left:12192;width:50863;height:75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">
                    <v:imagedata r:id="rId2" o:title="PIE PAG 02" cropleft="17862f" cropright="4787f"/>
                  </v:shape>
                  <v:shapetype id="_x0000_t202" coordsize="21600,21600" o:spt="202" path="m,l,21600r21600,l21600,xe">
                    <v:stroke joinstyle="miter"/>
                    <v:path gradientshapeok="t" o:connecttype="rect"/>
                  </v:shapetype>
                  <v:shape id="Cuadro de texto 17" o:spid="_x0000_s1028" type="#_x0000_t202" style="position:absolute;top:2000;width:15925;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" filled="f" stroked="f" strokeweight=".5pt">
                    <v:textbox>
                      <w:txbxContent>
                        <w:p w14:paraId="76A8499B" w14:textId="00CB92BD" w:rsidR="00A366B6" w:rsidRPr="004B2410" w:rsidRDefault="00A366B6" w:rsidP="001F771E">
                          <w:pPr>
                            <w:rPr>
                              <w:color w:val="2DA6CC"/>
                              <w:sz w:val="18"/>
                              <w:szCs w:val="18"/>
                              <w:lang w:val="uz-Cyrl-UZ"/>
                            </w:rPr>
                          </w:pPr>
                          <w:r w:rsidRPr="001807DD">
                            <w:rPr>
                              <w:color w:val="2DA6CC"/>
                              <w:sz w:val="18"/>
                              <w:szCs w:val="18"/>
                              <w:lang w:val="uz-Cyrl-UZ"/>
                            </w:rPr>
                            <w:t>seq.gob</w:t>
                          </w:r>
                          <w:r w:rsidRPr="004B2410">
                            <w:rPr>
                              <w:color w:val="2DA6CC"/>
                              <w:sz w:val="18"/>
                              <w:szCs w:val="18"/>
                              <w:lang w:val="uz-Cyrl-UZ"/>
                            </w:rPr>
                            <w:t>.mx</w:t>
                          </w:r>
                        </w:p>
                      </w:txbxContent>
                    </v:textbox>
                  </v:shape>
                </v:group>
              </w:pict>
            </mc:Fallback>
          </mc:AlternateContent>
        </w:r>
      </w:p>
      <w:p w14:paraId="48364BDF" w14:textId="31A06A60" w:rsidR="00A366B6" w:rsidRPr="00D9762C" w:rsidRDefault="005377D7">
        <w:pPr>
          <w:pStyle w:val="Piedepgina"/>
          <w:jc w:val="right"/>
          <w:rPr>
            <w:color w:val="FFFFFF" w:themeColor="background1"/>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8489390"/>
      <w:docPartObj>
        <w:docPartGallery w:val="Page Numbers (Bottom of Page)"/>
        <w:docPartUnique/>
      </w:docPartObj>
    </w:sdtPr>
    <w:sdtEndPr>
      <w:rPr>
        <w:color w:val="FFFFFF" w:themeColor="background1"/>
      </w:rPr>
    </w:sdtEndPr>
    <w:sdtContent>
      <w:p w14:paraId="0F768F74" w14:textId="1299C72D" w:rsidR="00A366B6" w:rsidRDefault="00A366B6" w:rsidP="00885736">
        <w:pPr>
          <w:pStyle w:val="Piedepgina"/>
          <w:tabs>
            <w:tab w:val="clear" w:pos="8504"/>
            <w:tab w:val="right" w:pos="8789"/>
          </w:tabs>
          <w:ind w:left="-1418" w:right="332"/>
          <w:jc w:val="right"/>
        </w:pPr>
        <w:r>
          <w:rPr>
            <w:noProof/>
            <w:lang w:val="es-MX" w:eastAsia="es-MX"/>
          </w:rPr>
          <mc:AlternateContent>
            <mc:Choice Requires="wpg">
              <w:drawing>
                <wp:anchor distT="0" distB="0" distL="114300" distR="114300" simplePos="0" relativeHeight="251662336" behindDoc="0" locked="0" layoutInCell="1" allowOverlap="1" wp14:anchorId="50367315" wp14:editId="0F883851">
                  <wp:simplePos x="0" y="0"/>
                  <wp:positionH relativeFrom="margin">
                    <wp:align>left</wp:align>
                  </wp:positionH>
                  <wp:positionV relativeFrom="paragraph">
                    <wp:posOffset>10160</wp:posOffset>
                  </wp:positionV>
                  <wp:extent cx="6305550" cy="758825"/>
                  <wp:effectExtent l="0" t="0" r="0" b="0"/>
                  <wp:wrapNone/>
                  <wp:docPr id="27" name="Grupo 27"/>
                  <wp:cNvGraphicFramePr/>
                  <a:graphic xmlns:a="http://schemas.openxmlformats.org/drawingml/2006/main">
                    <a:graphicData uri="http://schemas.microsoft.com/office/word/2010/wordprocessingGroup">
                      <wpg:wgp>
                        <wpg:cNvGrpSpPr/>
                        <wpg:grpSpPr>
                          <a:xfrm>
                            <a:off x="0" y="0"/>
                            <a:ext cx="6305550" cy="758825"/>
                            <a:chOff x="0" y="0"/>
                            <a:chExt cx="6305550" cy="758825"/>
                          </a:xfrm>
                        </wpg:grpSpPr>
                        <pic:pic xmlns:pic="http://schemas.openxmlformats.org/drawingml/2006/picture">
                          <pic:nvPicPr>
                            <pic:cNvPr id="28" name="Imagen 28" descr="C:\Users\compu\AppData\Local\Microsoft\Windows\INetCache\Content.Word\PIE PAG 02.png"/>
                            <pic:cNvPicPr>
                              <a:picLocks noChangeAspect="1"/>
                            </pic:cNvPicPr>
                          </pic:nvPicPr>
                          <pic:blipFill rotWithShape="1">
                            <a:blip r:embed="rId1">
                              <a:extLst>
                                <a:ext uri="{28A0092B-C50C-407E-A947-70E740481C1C}">
                                  <a14:useLocalDpi xmlns:a14="http://schemas.microsoft.com/office/drawing/2010/main" val="0"/>
                                </a:ext>
                              </a:extLst>
                            </a:blip>
                            <a:srcRect l="27255" r="7304"/>
                            <a:stretch/>
                          </pic:blipFill>
                          <pic:spPr bwMode="auto">
                            <a:xfrm>
                              <a:off x="1219200" y="0"/>
                              <a:ext cx="5086350" cy="758825"/>
                            </a:xfrm>
                            <a:prstGeom prst="rect">
                              <a:avLst/>
                            </a:prstGeom>
                            <a:noFill/>
                            <a:ln>
                              <a:noFill/>
                            </a:ln>
                            <a:extLst>
                              <a:ext uri="{53640926-AAD7-44d8-BBD7-CCE9431645EC}">
                                <a14:shadowObscured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wps:wsp>
                          <wps:cNvPr id="29" name="Cuadro de texto 29"/>
                          <wps:cNvSpPr txBox="1"/>
                          <wps:spPr>
                            <a:xfrm>
                              <a:off x="0" y="200025"/>
                              <a:ext cx="1592580" cy="297180"/>
                            </a:xfrm>
                            <a:prstGeom prst="rect">
                              <a:avLst/>
                            </a:prstGeom>
                            <a:noFill/>
                            <a:ln w="6350">
                              <a:noFill/>
                            </a:ln>
                          </wps:spPr>
                          <wps:txbx>
                            <w:txbxContent>
                              <w:p w14:paraId="5BF1E752" w14:textId="0D29A9CF" w:rsidR="00A366B6" w:rsidRPr="004B2410" w:rsidRDefault="00A366B6" w:rsidP="00E43201">
                                <w:pPr>
                                  <w:rPr>
                                    <w:color w:val="2DA6CC"/>
                                    <w:sz w:val="18"/>
                                    <w:szCs w:val="18"/>
                                    <w:lang w:val="uz-Cyrl-UZ"/>
                                  </w:rPr>
                                </w:pPr>
                                <w:r w:rsidRPr="00FE1C2D">
                                  <w:rPr>
                                    <w:color w:val="2DA6CC"/>
                                    <w:sz w:val="18"/>
                                    <w:szCs w:val="18"/>
                                    <w:lang w:val="uz-Cyrl-UZ"/>
                                  </w:rPr>
                                  <w:t>seq.</w:t>
                                </w:r>
                                <w:r w:rsidRPr="004B2410">
                                  <w:rPr>
                                    <w:color w:val="2DA6CC"/>
                                    <w:sz w:val="18"/>
                                    <w:szCs w:val="18"/>
                                    <w:lang w:val="uz-Cyrl-UZ"/>
                                  </w:rPr>
                                  <w:t>gob.mx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group w14:anchorId="50367315" id="Grupo 27" o:spid="_x0000_s1029" style="position:absolute;left:0;text-align:left;margin-left:0;margin-top:.8pt;width:496.5pt;height:59.75pt;z-index:251662336;mso-position-horizontal:left;mso-position-horizontal-relative:margin" coordsize="63055,758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28" o:spid="_x0000_s1030" type="#_x0000_t75" style="position:absolute;left:12192;width:50863;height:75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">
                    <v:imagedata r:id="rId2" o:title="PIE PAG 02" cropleft="17862f" cropright="4787f"/>
                  </v:shape>
                  <v:shapetype id="_x0000_t202" coordsize="21600,21600" o:spt="202" path="m,l,21600r21600,l21600,xe">
                    <v:stroke joinstyle="miter"/>
                    <v:path gradientshapeok="t" o:connecttype="rect"/>
                  </v:shapetype>
                  <v:shape id="Cuadro de texto 29" o:spid="_x0000_s1031" type="#_x0000_t202" style="position:absolute;top:2000;width:15925;height:29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" filled="f" stroked="f" strokeweight=".5pt">
                    <v:textbox>
                      <w:txbxContent>
                        <w:p w14:paraId="5BF1E752" w14:textId="0D29A9CF" w:rsidR="00A366B6" w:rsidRPr="004B2410" w:rsidRDefault="00A366B6" w:rsidP="00E43201">
                          <w:pPr>
                            <w:rPr>
                              <w:color w:val="2DA6CC"/>
                              <w:sz w:val="18"/>
                              <w:szCs w:val="18"/>
                              <w:lang w:val="uz-Cyrl-UZ"/>
                            </w:rPr>
                          </w:pPr>
                          <w:r w:rsidRPr="00FE1C2D">
                            <w:rPr>
                              <w:color w:val="2DA6CC"/>
                              <w:sz w:val="18"/>
                              <w:szCs w:val="18"/>
                              <w:lang w:val="uz-Cyrl-UZ"/>
                            </w:rPr>
                            <w:t>seq.</w:t>
                          </w:r>
                          <w:r w:rsidRPr="004B2410">
                            <w:rPr>
                              <w:color w:val="2DA6CC"/>
                              <w:sz w:val="18"/>
                              <w:szCs w:val="18"/>
                              <w:lang w:val="uz-Cyrl-UZ"/>
                            </w:rPr>
                            <w:t>gob.mx</w:t>
                          </w:r>
                        </w:p>
                      </w:txbxContent>
                    </v:textbox>
                  </v:shape>
                  <w10:wrap anchorx="margin"/>
                </v:group>
              </w:pict>
            </mc:Fallback>
          </mc:AlternateContent>
        </w:r>
      </w:p>
      <w:p w14:paraId="526A217E" w14:textId="518B340E" w:rsidR="00A366B6" w:rsidRPr="00D9762C" w:rsidRDefault="00A366B6">
        <w:pPr>
          <w:pStyle w:val="Piedepgina"/>
          <w:jc w:val="right"/>
          <w:rPr>
            <w:color w:val="FFFFFF" w:themeColor="background1"/>
          </w:rPr>
        </w:pPr>
        <w:r w:rsidRPr="00D9762C">
          <w:rPr>
            <w:color w:val="FFFFFF" w:themeColor="background1"/>
          </w:rPr>
          <w:fldChar w:fldCharType="begin"/>
        </w:r>
        <w:r w:rsidRPr="00D9762C">
          <w:rPr>
            <w:color w:val="FFFFFF" w:themeColor="background1"/>
          </w:rPr>
          <w:instrText>PAGE   \* MERGEFORMAT</w:instrText>
        </w:r>
        <w:r w:rsidRPr="00D9762C">
          <w:rPr>
            <w:color w:val="FFFFFF" w:themeColor="background1"/>
          </w:rPr>
          <w:fldChar w:fldCharType="separate"/>
        </w:r>
        <w:r w:rsidR="00BF600C" w:rsidRPr="00BF600C">
          <w:rPr>
            <w:noProof/>
            <w:color w:val="FFFFFF" w:themeColor="background1"/>
            <w:lang w:val="es-ES"/>
          </w:rPr>
          <w:t>194</w:t>
        </w:r>
        <w:r w:rsidRPr="00D9762C">
          <w:rPr>
            <w:color w:val="FFFFFF" w:themeColor="background1"/>
          </w:rPr>
          <w:fldChar w:fldCharType="end"/>
        </w:r>
        <w:r w:rsidRPr="00885736">
          <w:rPr>
            <w:rFonts w:asciiTheme="majorHAnsi" w:eastAsiaTheme="majorEastAsia" w:hAnsiTheme="majorHAnsi" w:cstheme="majorBidi"/>
            <w:color w:val="FFFFFF" w:themeColor="background1"/>
            <w:sz w:val="28"/>
            <w:szCs w:val="28"/>
            <w:lang w:val="es-ES"/>
          </w:rPr>
          <w:t xml:space="preserve">pág. </w:t>
        </w:r>
        <w:r w:rsidRPr="00533D0D">
          <w:rPr>
            <w:rFonts w:ascii="Futura" w:hAnsi="Futura" w:cs="Futura"/>
            <w:sz w:val="20"/>
            <w:szCs w:val="20"/>
          </w:rPr>
          <w:fldChar w:fldCharType="begin"/>
        </w:r>
        <w:r w:rsidRPr="00533D0D">
          <w:rPr>
            <w:rFonts w:ascii="Futura" w:hAnsi="Futura" w:cs="Futura"/>
            <w:sz w:val="20"/>
            <w:szCs w:val="20"/>
          </w:rPr>
          <w:instrText>PAGE    \* MERGEFORMAT</w:instrText>
        </w:r>
        <w:r w:rsidRPr="00533D0D">
          <w:rPr>
            <w:rFonts w:ascii="Futura" w:hAnsi="Futura" w:cs="Futura"/>
            <w:sz w:val="20"/>
            <w:szCs w:val="20"/>
          </w:rPr>
          <w:fldChar w:fldCharType="separate"/>
        </w:r>
        <w:r w:rsidR="00BF600C" w:rsidRPr="00BF600C">
          <w:rPr>
            <w:rFonts w:ascii="Futura" w:eastAsiaTheme="majorEastAsia" w:hAnsi="Futura" w:cs="Futura" w:hint="eastAsia"/>
            <w:noProof/>
            <w:sz w:val="20"/>
            <w:szCs w:val="20"/>
            <w:lang w:val="es-ES"/>
          </w:rPr>
          <w:t>194</w:t>
        </w:r>
        <w:r w:rsidRPr="00533D0D">
          <w:rPr>
            <w:rFonts w:ascii="Futura" w:eastAsiaTheme="majorEastAsia" w:hAnsi="Futura" w:cs="Futura"/>
            <w:sz w:val="20"/>
            <w:szCs w:val="2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0610472"/>
      <w:docPartObj>
        <w:docPartGallery w:val="Page Numbers (Bottom of Page)"/>
        <w:docPartUnique/>
      </w:docPartObj>
    </w:sdtPr>
    <w:sdtEndPr>
      <w:rPr>
        <w:color w:val="FFFFFF" w:themeColor="background1"/>
      </w:rPr>
    </w:sdtEndPr>
    <w:sdtContent>
      <w:p w14:paraId="39558AAC" w14:textId="728EF8EF" w:rsidR="00A366B6" w:rsidRPr="00A17DBE" w:rsidRDefault="00A366B6" w:rsidP="000B2F10">
        <w:pPr>
          <w:pStyle w:val="Piedepgina"/>
          <w:framePr w:w="724" w:h="535" w:hRule="exact" w:wrap="around" w:vAnchor="text" w:hAnchor="page" w:x="13393" w:y="-508"/>
          <w:rPr>
            <w:rStyle w:val="Nmerodepgina"/>
            <w:rFonts w:ascii="Futura" w:hAnsi="Futura" w:cs="Futura" w:hint="eastAsia"/>
            <w:b/>
            <w:color w:val="595959" w:themeColor="text1" w:themeTint="A6"/>
            <w:sz w:val="20"/>
            <w:szCs w:val="20"/>
          </w:rPr>
        </w:pPr>
        <w:r w:rsidRPr="00A17DBE">
          <w:rPr>
            <w:rStyle w:val="Nmerodepgina"/>
            <w:rFonts w:ascii="Futura" w:hAnsi="Futura" w:cs="Futura"/>
            <w:b/>
            <w:color w:val="595959" w:themeColor="text1" w:themeTint="A6"/>
            <w:sz w:val="20"/>
            <w:szCs w:val="20"/>
          </w:rPr>
          <w:fldChar w:fldCharType="begin"/>
        </w:r>
        <w:r w:rsidRPr="00A17DBE">
          <w:rPr>
            <w:rStyle w:val="Nmerodepgina"/>
            <w:rFonts w:ascii="Futura" w:hAnsi="Futura" w:cs="Futura"/>
            <w:b/>
            <w:color w:val="595959" w:themeColor="text1" w:themeTint="A6"/>
            <w:sz w:val="20"/>
            <w:szCs w:val="20"/>
          </w:rPr>
          <w:instrText xml:space="preserve">PAGE  </w:instrText>
        </w:r>
        <w:r w:rsidRPr="00A17DBE">
          <w:rPr>
            <w:rStyle w:val="Nmerodepgina"/>
            <w:rFonts w:ascii="Futura" w:hAnsi="Futura" w:cs="Futura"/>
            <w:b/>
            <w:color w:val="595959" w:themeColor="text1" w:themeTint="A6"/>
            <w:sz w:val="20"/>
            <w:szCs w:val="20"/>
          </w:rPr>
          <w:fldChar w:fldCharType="separate"/>
        </w:r>
        <w:r w:rsidR="00BF600C">
          <w:rPr>
            <w:rStyle w:val="Nmerodepgina"/>
            <w:rFonts w:ascii="Futura" w:hAnsi="Futura" w:cs="Futura" w:hint="eastAsia"/>
            <w:b/>
            <w:noProof/>
            <w:color w:val="595959" w:themeColor="text1" w:themeTint="A6"/>
            <w:sz w:val="20"/>
            <w:szCs w:val="20"/>
          </w:rPr>
          <w:t>354</w:t>
        </w:r>
        <w:r w:rsidRPr="00A17DBE">
          <w:rPr>
            <w:rStyle w:val="Nmerodepgina"/>
            <w:rFonts w:ascii="Futura" w:hAnsi="Futura" w:cs="Futura"/>
            <w:b/>
            <w:color w:val="595959" w:themeColor="text1" w:themeTint="A6"/>
            <w:sz w:val="20"/>
            <w:szCs w:val="20"/>
          </w:rPr>
          <w:fldChar w:fldCharType="end"/>
        </w:r>
      </w:p>
      <w:p w14:paraId="21B5CC24" w14:textId="77777777" w:rsidR="00A366B6" w:rsidRDefault="00A366B6" w:rsidP="00FE1261">
        <w:pPr>
          <w:pStyle w:val="Piedepgina"/>
          <w:tabs>
            <w:tab w:val="clear" w:pos="8504"/>
            <w:tab w:val="right" w:pos="8789"/>
          </w:tabs>
          <w:ind w:left="-1418" w:right="332"/>
          <w:jc w:val="center"/>
        </w:pPr>
        <w:r>
          <w:rPr>
            <w:noProof/>
            <w:lang w:val="es-MX" w:eastAsia="es-MX"/>
          </w:rPr>
          <w:drawing>
            <wp:inline distT="0" distB="0" distL="0" distR="0" wp14:anchorId="3D00E9C9" wp14:editId="67158ECC">
              <wp:extent cx="10115550" cy="756920"/>
              <wp:effectExtent l="0" t="0" r="0" b="0"/>
              <wp:docPr id="8" name="Imagen 8" descr="C:\Users\compu\AppData\Local\Microsoft\Windows\INetCache\Content.Word\PIE PAG 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compu\AppData\Local\Microsoft\Windows\INetCache\Content.Word\PIE PAG 0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15550" cy="756920"/>
                      </a:xfrm>
                      <a:prstGeom prst="rect">
                        <a:avLst/>
                      </a:prstGeom>
                      <a:noFill/>
                      <a:ln>
                        <a:noFill/>
                      </a:ln>
                    </pic:spPr>
                  </pic:pic>
                </a:graphicData>
              </a:graphic>
            </wp:inline>
          </w:drawing>
        </w:r>
      </w:p>
      <w:p w14:paraId="56654AE2" w14:textId="3F1D8643" w:rsidR="00A366B6" w:rsidRPr="00D9762C" w:rsidRDefault="00A366B6">
        <w:pPr>
          <w:pStyle w:val="Piedepgina"/>
          <w:jc w:val="right"/>
          <w:rPr>
            <w:color w:val="FFFFFF" w:themeColor="background1"/>
          </w:rPr>
        </w:pPr>
        <w:r w:rsidRPr="00D9762C">
          <w:rPr>
            <w:color w:val="FFFFFF" w:themeColor="background1"/>
          </w:rPr>
          <w:fldChar w:fldCharType="begin"/>
        </w:r>
        <w:r w:rsidRPr="00D9762C">
          <w:rPr>
            <w:color w:val="FFFFFF" w:themeColor="background1"/>
          </w:rPr>
          <w:instrText>PAGE   \* MERGEFORMAT</w:instrText>
        </w:r>
        <w:r w:rsidRPr="00D9762C">
          <w:rPr>
            <w:color w:val="FFFFFF" w:themeColor="background1"/>
          </w:rPr>
          <w:fldChar w:fldCharType="separate"/>
        </w:r>
        <w:r w:rsidR="00BF600C" w:rsidRPr="00BF600C">
          <w:rPr>
            <w:noProof/>
            <w:color w:val="FFFFFF" w:themeColor="background1"/>
            <w:lang w:val="es-ES"/>
          </w:rPr>
          <w:t>354</w:t>
        </w:r>
        <w:r w:rsidRPr="00D9762C">
          <w:rPr>
            <w:color w:val="FFFFFF" w:themeColor="background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7EECB7" w14:textId="77777777" w:rsidR="005377D7" w:rsidRDefault="005377D7" w:rsidP="00315CBE">
      <w:r>
        <w:separator/>
      </w:r>
    </w:p>
  </w:footnote>
  <w:footnote w:type="continuationSeparator" w:id="0">
    <w:p w14:paraId="497272F2" w14:textId="77777777" w:rsidR="005377D7" w:rsidRDefault="005377D7" w:rsidP="00315C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D2E8A" w14:textId="7D6471B9" w:rsidR="00A366B6" w:rsidRDefault="00A366B6" w:rsidP="00752E1E">
    <w:pPr>
      <w:pStyle w:val="Encabezado"/>
      <w:jc w:val="right"/>
    </w:pPr>
    <w:r>
      <w:rPr>
        <w:noProof/>
        <w:lang w:val="es-MX" w:eastAsia="es-MX"/>
      </w:rPr>
      <w:drawing>
        <wp:inline distT="0" distB="0" distL="0" distR="0" wp14:anchorId="5C7B7F32" wp14:editId="2F8AD14B">
          <wp:extent cx="2143125"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s.png"/>
                  <pic:cNvPicPr/>
                </pic:nvPicPr>
                <pic:blipFill rotWithShape="1">
                  <a:blip r:embed="rId1">
                    <a:extLst>
                      <a:ext uri="{28A0092B-C50C-407E-A947-70E740481C1C}">
                        <a14:useLocalDpi xmlns:a14="http://schemas.microsoft.com/office/drawing/2010/main" val="0"/>
                      </a:ext>
                    </a:extLst>
                  </a:blip>
                  <a:srcRect r="42469" b="-9885"/>
                  <a:stretch/>
                </pic:blipFill>
                <pic:spPr bwMode="auto">
                  <a:xfrm>
                    <a:off x="0" y="0"/>
                    <a:ext cx="2144748" cy="791174"/>
                  </a:xfrm>
                  <a:prstGeom prst="rect">
                    <a:avLst/>
                  </a:prstGeom>
                  <a:ln>
                    <a:noFill/>
                  </a:ln>
                  <a:extLst>
                    <a:ext uri="{53640926-AAD7-44d8-BBD7-CCE9431645EC}">
                      <a14:shadowObscured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r>
      <w:rPr>
        <w:noProof/>
        <w:lang w:val="es-MX" w:eastAsia="es-MX"/>
      </w:rPr>
      <w:drawing>
        <wp:inline distT="0" distB="0" distL="0" distR="0" wp14:anchorId="116BBE3F" wp14:editId="6368D7AF">
          <wp:extent cx="1637030" cy="828675"/>
          <wp:effectExtent l="0" t="0" r="1270" b="9525"/>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1-01.jpg"/>
                  <pic:cNvPicPr/>
                </pic:nvPicPr>
                <pic:blipFill rotWithShape="1">
                  <a:blip r:embed="rId2" cstate="print">
                    <a:extLst>
                      <a:ext uri="{28A0092B-C50C-407E-A947-70E740481C1C}">
                        <a14:useLocalDpi xmlns:a14="http://schemas.microsoft.com/office/drawing/2010/main" val="0"/>
                      </a:ext>
                    </a:extLst>
                  </a:blip>
                  <a:srcRect l="79240" t="372" b="80338"/>
                  <a:stretch/>
                </pic:blipFill>
                <pic:spPr bwMode="auto">
                  <a:xfrm>
                    <a:off x="0" y="0"/>
                    <a:ext cx="1637030" cy="828675"/>
                  </a:xfrm>
                  <a:prstGeom prst="rect">
                    <a:avLst/>
                  </a:prstGeom>
                  <a:ln>
                    <a:noFill/>
                  </a:ln>
                  <a:extLst>
                    <a:ext uri="{53640926-AAD7-44d8-BBD7-CCE9431645EC}">
                      <a14:shadowObscured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72C0AEB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15003D6"/>
    <w:multiLevelType w:val="hybridMultilevel"/>
    <w:tmpl w:val="C49C4E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29711BC"/>
    <w:multiLevelType w:val="hybridMultilevel"/>
    <w:tmpl w:val="378EA6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47F2227"/>
    <w:multiLevelType w:val="multilevel"/>
    <w:tmpl w:val="77102500"/>
    <w:lvl w:ilvl="0">
      <w:start w:val="1"/>
      <w:numFmt w:val="bullet"/>
      <w:lvlText w:val=""/>
      <w:lvlJc w:val="left"/>
      <w:pPr>
        <w:ind w:left="2143" w:hanging="360"/>
      </w:pPr>
      <w:rPr>
        <w:rFonts w:ascii="Wingdings" w:hAnsi="Wingdings" w:hint="default"/>
      </w:rPr>
    </w:lvl>
    <w:lvl w:ilvl="1">
      <w:start w:val="1"/>
      <w:numFmt w:val="bullet"/>
      <w:lvlText w:val="o"/>
      <w:lvlJc w:val="left"/>
      <w:pPr>
        <w:ind w:left="2863" w:hanging="360"/>
      </w:pPr>
      <w:rPr>
        <w:rFonts w:ascii="Courier New" w:hAnsi="Courier New" w:hint="default"/>
      </w:rPr>
    </w:lvl>
    <w:lvl w:ilvl="2">
      <w:start w:val="1"/>
      <w:numFmt w:val="bullet"/>
      <w:lvlText w:val=""/>
      <w:lvlJc w:val="left"/>
      <w:pPr>
        <w:ind w:left="3583" w:hanging="360"/>
      </w:pPr>
      <w:rPr>
        <w:rFonts w:ascii="Wingdings" w:hAnsi="Wingdings" w:hint="default"/>
      </w:rPr>
    </w:lvl>
    <w:lvl w:ilvl="3">
      <w:start w:val="1"/>
      <w:numFmt w:val="bullet"/>
      <w:lvlText w:val=""/>
      <w:lvlJc w:val="left"/>
      <w:pPr>
        <w:ind w:left="4303" w:hanging="360"/>
      </w:pPr>
      <w:rPr>
        <w:rFonts w:ascii="Symbol" w:hAnsi="Symbol" w:hint="default"/>
      </w:rPr>
    </w:lvl>
    <w:lvl w:ilvl="4">
      <w:start w:val="1"/>
      <w:numFmt w:val="bullet"/>
      <w:lvlText w:val="o"/>
      <w:lvlJc w:val="left"/>
      <w:pPr>
        <w:ind w:left="5023" w:hanging="360"/>
      </w:pPr>
      <w:rPr>
        <w:rFonts w:ascii="Courier New" w:hAnsi="Courier New" w:hint="default"/>
      </w:rPr>
    </w:lvl>
    <w:lvl w:ilvl="5">
      <w:start w:val="1"/>
      <w:numFmt w:val="bullet"/>
      <w:lvlText w:val=""/>
      <w:lvlJc w:val="left"/>
      <w:pPr>
        <w:ind w:left="5743" w:hanging="360"/>
      </w:pPr>
      <w:rPr>
        <w:rFonts w:ascii="Wingdings" w:hAnsi="Wingdings" w:hint="default"/>
      </w:rPr>
    </w:lvl>
    <w:lvl w:ilvl="6">
      <w:start w:val="1"/>
      <w:numFmt w:val="bullet"/>
      <w:lvlText w:val=""/>
      <w:lvlJc w:val="left"/>
      <w:pPr>
        <w:ind w:left="6463" w:hanging="360"/>
      </w:pPr>
      <w:rPr>
        <w:rFonts w:ascii="Symbol" w:hAnsi="Symbol" w:hint="default"/>
      </w:rPr>
    </w:lvl>
    <w:lvl w:ilvl="7">
      <w:start w:val="1"/>
      <w:numFmt w:val="bullet"/>
      <w:lvlText w:val="o"/>
      <w:lvlJc w:val="left"/>
      <w:pPr>
        <w:ind w:left="7183" w:hanging="360"/>
      </w:pPr>
      <w:rPr>
        <w:rFonts w:ascii="Courier New" w:hAnsi="Courier New" w:hint="default"/>
      </w:rPr>
    </w:lvl>
    <w:lvl w:ilvl="8">
      <w:start w:val="1"/>
      <w:numFmt w:val="bullet"/>
      <w:lvlText w:val=""/>
      <w:lvlJc w:val="left"/>
      <w:pPr>
        <w:ind w:left="7903" w:hanging="360"/>
      </w:pPr>
      <w:rPr>
        <w:rFonts w:ascii="Wingdings" w:hAnsi="Wingdings" w:hint="default"/>
      </w:rPr>
    </w:lvl>
  </w:abstractNum>
  <w:abstractNum w:abstractNumId="4" w15:restartNumberingAfterBreak="0">
    <w:nsid w:val="0993001F"/>
    <w:multiLevelType w:val="hybridMultilevel"/>
    <w:tmpl w:val="B3C2C6A4"/>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5" w15:restartNumberingAfterBreak="0">
    <w:nsid w:val="0A5A5630"/>
    <w:multiLevelType w:val="hybridMultilevel"/>
    <w:tmpl w:val="5D2855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0C1B1A70"/>
    <w:multiLevelType w:val="hybridMultilevel"/>
    <w:tmpl w:val="EF2AA92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CDF7C27"/>
    <w:multiLevelType w:val="hybridMultilevel"/>
    <w:tmpl w:val="F0E6544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EF46B71"/>
    <w:multiLevelType w:val="hybridMultilevel"/>
    <w:tmpl w:val="4A52B61A"/>
    <w:lvl w:ilvl="0" w:tplc="9C90CD3E">
      <w:start w:val="1"/>
      <w:numFmt w:val="bullet"/>
      <w:lvlText w:val=""/>
      <w:lvlJc w:val="left"/>
      <w:pPr>
        <w:tabs>
          <w:tab w:val="num" w:pos="720"/>
        </w:tabs>
        <w:ind w:left="720" w:hanging="360"/>
      </w:pPr>
      <w:rPr>
        <w:rFonts w:ascii="Wingdings" w:hAnsi="Wingdings" w:hint="default"/>
      </w:rPr>
    </w:lvl>
    <w:lvl w:ilvl="1" w:tplc="5B0C47E0" w:tentative="1">
      <w:start w:val="1"/>
      <w:numFmt w:val="bullet"/>
      <w:lvlText w:val=""/>
      <w:lvlJc w:val="left"/>
      <w:pPr>
        <w:tabs>
          <w:tab w:val="num" w:pos="1440"/>
        </w:tabs>
        <w:ind w:left="1440" w:hanging="360"/>
      </w:pPr>
      <w:rPr>
        <w:rFonts w:ascii="Wingdings" w:hAnsi="Wingdings" w:hint="default"/>
      </w:rPr>
    </w:lvl>
    <w:lvl w:ilvl="2" w:tplc="D3D8A1FA">
      <w:start w:val="2270"/>
      <w:numFmt w:val="bullet"/>
      <w:lvlText w:val=""/>
      <w:lvlJc w:val="left"/>
      <w:pPr>
        <w:tabs>
          <w:tab w:val="num" w:pos="2160"/>
        </w:tabs>
        <w:ind w:left="2160" w:hanging="360"/>
      </w:pPr>
      <w:rPr>
        <w:rFonts w:ascii="Wingdings" w:hAnsi="Wingdings" w:hint="default"/>
      </w:rPr>
    </w:lvl>
    <w:lvl w:ilvl="3" w:tplc="8C38A104" w:tentative="1">
      <w:start w:val="1"/>
      <w:numFmt w:val="bullet"/>
      <w:lvlText w:val=""/>
      <w:lvlJc w:val="left"/>
      <w:pPr>
        <w:tabs>
          <w:tab w:val="num" w:pos="2880"/>
        </w:tabs>
        <w:ind w:left="2880" w:hanging="360"/>
      </w:pPr>
      <w:rPr>
        <w:rFonts w:ascii="Wingdings" w:hAnsi="Wingdings" w:hint="default"/>
      </w:rPr>
    </w:lvl>
    <w:lvl w:ilvl="4" w:tplc="B0D21DA6" w:tentative="1">
      <w:start w:val="1"/>
      <w:numFmt w:val="bullet"/>
      <w:lvlText w:val=""/>
      <w:lvlJc w:val="left"/>
      <w:pPr>
        <w:tabs>
          <w:tab w:val="num" w:pos="3600"/>
        </w:tabs>
        <w:ind w:left="3600" w:hanging="360"/>
      </w:pPr>
      <w:rPr>
        <w:rFonts w:ascii="Wingdings" w:hAnsi="Wingdings" w:hint="default"/>
      </w:rPr>
    </w:lvl>
    <w:lvl w:ilvl="5" w:tplc="AED6F30E" w:tentative="1">
      <w:start w:val="1"/>
      <w:numFmt w:val="bullet"/>
      <w:lvlText w:val=""/>
      <w:lvlJc w:val="left"/>
      <w:pPr>
        <w:tabs>
          <w:tab w:val="num" w:pos="4320"/>
        </w:tabs>
        <w:ind w:left="4320" w:hanging="360"/>
      </w:pPr>
      <w:rPr>
        <w:rFonts w:ascii="Wingdings" w:hAnsi="Wingdings" w:hint="default"/>
      </w:rPr>
    </w:lvl>
    <w:lvl w:ilvl="6" w:tplc="1D3CCD8E" w:tentative="1">
      <w:start w:val="1"/>
      <w:numFmt w:val="bullet"/>
      <w:lvlText w:val=""/>
      <w:lvlJc w:val="left"/>
      <w:pPr>
        <w:tabs>
          <w:tab w:val="num" w:pos="5040"/>
        </w:tabs>
        <w:ind w:left="5040" w:hanging="360"/>
      </w:pPr>
      <w:rPr>
        <w:rFonts w:ascii="Wingdings" w:hAnsi="Wingdings" w:hint="default"/>
      </w:rPr>
    </w:lvl>
    <w:lvl w:ilvl="7" w:tplc="47DC1CAE" w:tentative="1">
      <w:start w:val="1"/>
      <w:numFmt w:val="bullet"/>
      <w:lvlText w:val=""/>
      <w:lvlJc w:val="left"/>
      <w:pPr>
        <w:tabs>
          <w:tab w:val="num" w:pos="5760"/>
        </w:tabs>
        <w:ind w:left="5760" w:hanging="360"/>
      </w:pPr>
      <w:rPr>
        <w:rFonts w:ascii="Wingdings" w:hAnsi="Wingdings" w:hint="default"/>
      </w:rPr>
    </w:lvl>
    <w:lvl w:ilvl="8" w:tplc="B616E9F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9432E9"/>
    <w:multiLevelType w:val="hybridMultilevel"/>
    <w:tmpl w:val="104EDC5A"/>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15:restartNumberingAfterBreak="0">
    <w:nsid w:val="1B85641B"/>
    <w:multiLevelType w:val="multilevel"/>
    <w:tmpl w:val="03B0D946"/>
    <w:lvl w:ilvl="0">
      <w:start w:val="1"/>
      <w:numFmt w:val="decimal"/>
      <w:lvlText w:val="%1"/>
      <w:lvlJc w:val="left"/>
      <w:pPr>
        <w:ind w:left="2559" w:hanging="432"/>
      </w:pPr>
    </w:lvl>
    <w:lvl w:ilvl="1">
      <w:start w:val="1"/>
      <w:numFmt w:val="decimal"/>
      <w:lvlText w:val="%2"/>
      <w:lvlJc w:val="left"/>
      <w:pPr>
        <w:ind w:left="2845" w:hanging="576"/>
      </w:pPr>
      <w:rPr>
        <w:rFonts w:ascii="Futura Lt BT" w:eastAsia="Times New Roman" w:hAnsi="Futura Lt BT" w:cs="Times New Roman"/>
      </w:rPr>
    </w:lvl>
    <w:lvl w:ilvl="2">
      <w:start w:val="1"/>
      <w:numFmt w:val="decimal"/>
      <w:pStyle w:val="Ttulo3"/>
      <w:lvlText w:val="%1.%2.%3"/>
      <w:lvlJc w:val="left"/>
      <w:pPr>
        <w:ind w:left="2847" w:hanging="720"/>
      </w:pPr>
    </w:lvl>
    <w:lvl w:ilvl="3">
      <w:start w:val="1"/>
      <w:numFmt w:val="decimal"/>
      <w:pStyle w:val="Ttulo4"/>
      <w:lvlText w:val="%1.%2.%3.%4"/>
      <w:lvlJc w:val="left"/>
      <w:pPr>
        <w:ind w:left="2991" w:hanging="864"/>
      </w:pPr>
    </w:lvl>
    <w:lvl w:ilvl="4">
      <w:start w:val="1"/>
      <w:numFmt w:val="decimal"/>
      <w:pStyle w:val="Ttulo5"/>
      <w:lvlText w:val="%1.%2.%3.%4.%5"/>
      <w:lvlJc w:val="left"/>
      <w:pPr>
        <w:ind w:left="3135" w:hanging="1008"/>
      </w:pPr>
    </w:lvl>
    <w:lvl w:ilvl="5">
      <w:start w:val="1"/>
      <w:numFmt w:val="decimal"/>
      <w:pStyle w:val="Ttulo6"/>
      <w:lvlText w:val="%1.%2.%3.%4.%5.%6"/>
      <w:lvlJc w:val="left"/>
      <w:pPr>
        <w:ind w:left="3279" w:hanging="1152"/>
      </w:pPr>
    </w:lvl>
    <w:lvl w:ilvl="6">
      <w:start w:val="1"/>
      <w:numFmt w:val="decimal"/>
      <w:pStyle w:val="Ttulo7"/>
      <w:lvlText w:val="%1.%2.%3.%4.%5.%6.%7"/>
      <w:lvlJc w:val="left"/>
      <w:pPr>
        <w:ind w:left="3423" w:hanging="1296"/>
      </w:pPr>
    </w:lvl>
    <w:lvl w:ilvl="7">
      <w:start w:val="1"/>
      <w:numFmt w:val="decimal"/>
      <w:pStyle w:val="Ttulo8"/>
      <w:lvlText w:val="%1.%2.%3.%4.%5.%6.%7.%8"/>
      <w:lvlJc w:val="left"/>
      <w:pPr>
        <w:ind w:left="3567" w:hanging="1440"/>
      </w:pPr>
    </w:lvl>
    <w:lvl w:ilvl="8">
      <w:start w:val="1"/>
      <w:numFmt w:val="decimal"/>
      <w:pStyle w:val="Ttulo9"/>
      <w:lvlText w:val="%1.%2.%3.%4.%5.%6.%7.%8.%9"/>
      <w:lvlJc w:val="left"/>
      <w:pPr>
        <w:ind w:left="3711" w:hanging="1584"/>
      </w:pPr>
    </w:lvl>
  </w:abstractNum>
  <w:abstractNum w:abstractNumId="11" w15:restartNumberingAfterBreak="0">
    <w:nsid w:val="1D5F7990"/>
    <w:multiLevelType w:val="hybridMultilevel"/>
    <w:tmpl w:val="3386E3A4"/>
    <w:lvl w:ilvl="0" w:tplc="970C2D9A">
      <w:start w:val="1"/>
      <w:numFmt w:val="bullet"/>
      <w:lvlText w:val=""/>
      <w:lvlJc w:val="left"/>
      <w:pPr>
        <w:ind w:left="360" w:hanging="360"/>
      </w:pPr>
      <w:rPr>
        <w:rFonts w:ascii="Wingdings" w:hAnsi="Wingdings" w:hint="default"/>
        <w:color w:val="4BACC6" w:themeColor="accent5"/>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215C7DB6"/>
    <w:multiLevelType w:val="hybridMultilevel"/>
    <w:tmpl w:val="4124980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2334955"/>
    <w:multiLevelType w:val="hybridMultilevel"/>
    <w:tmpl w:val="0574A25C"/>
    <w:lvl w:ilvl="0" w:tplc="1A86D1CA">
      <w:start w:val="1"/>
      <w:numFmt w:val="bullet"/>
      <w:lvlText w:val="•"/>
      <w:lvlJc w:val="left"/>
      <w:pPr>
        <w:tabs>
          <w:tab w:val="num" w:pos="720"/>
        </w:tabs>
        <w:ind w:left="720" w:hanging="360"/>
      </w:pPr>
      <w:rPr>
        <w:rFonts w:ascii="Arial" w:hAnsi="Arial" w:hint="default"/>
      </w:rPr>
    </w:lvl>
    <w:lvl w:ilvl="1" w:tplc="B14AE882" w:tentative="1">
      <w:start w:val="1"/>
      <w:numFmt w:val="bullet"/>
      <w:lvlText w:val="•"/>
      <w:lvlJc w:val="left"/>
      <w:pPr>
        <w:tabs>
          <w:tab w:val="num" w:pos="1440"/>
        </w:tabs>
        <w:ind w:left="1440" w:hanging="360"/>
      </w:pPr>
      <w:rPr>
        <w:rFonts w:ascii="Arial" w:hAnsi="Arial" w:hint="default"/>
      </w:rPr>
    </w:lvl>
    <w:lvl w:ilvl="2" w:tplc="532AD762" w:tentative="1">
      <w:start w:val="1"/>
      <w:numFmt w:val="bullet"/>
      <w:lvlText w:val="•"/>
      <w:lvlJc w:val="left"/>
      <w:pPr>
        <w:tabs>
          <w:tab w:val="num" w:pos="2160"/>
        </w:tabs>
        <w:ind w:left="2160" w:hanging="360"/>
      </w:pPr>
      <w:rPr>
        <w:rFonts w:ascii="Arial" w:hAnsi="Arial" w:hint="default"/>
      </w:rPr>
    </w:lvl>
    <w:lvl w:ilvl="3" w:tplc="4A564380" w:tentative="1">
      <w:start w:val="1"/>
      <w:numFmt w:val="bullet"/>
      <w:lvlText w:val="•"/>
      <w:lvlJc w:val="left"/>
      <w:pPr>
        <w:tabs>
          <w:tab w:val="num" w:pos="2880"/>
        </w:tabs>
        <w:ind w:left="2880" w:hanging="360"/>
      </w:pPr>
      <w:rPr>
        <w:rFonts w:ascii="Arial" w:hAnsi="Arial" w:hint="default"/>
      </w:rPr>
    </w:lvl>
    <w:lvl w:ilvl="4" w:tplc="FD7ACE14" w:tentative="1">
      <w:start w:val="1"/>
      <w:numFmt w:val="bullet"/>
      <w:lvlText w:val="•"/>
      <w:lvlJc w:val="left"/>
      <w:pPr>
        <w:tabs>
          <w:tab w:val="num" w:pos="3600"/>
        </w:tabs>
        <w:ind w:left="3600" w:hanging="360"/>
      </w:pPr>
      <w:rPr>
        <w:rFonts w:ascii="Arial" w:hAnsi="Arial" w:hint="default"/>
      </w:rPr>
    </w:lvl>
    <w:lvl w:ilvl="5" w:tplc="4B80E430" w:tentative="1">
      <w:start w:val="1"/>
      <w:numFmt w:val="bullet"/>
      <w:lvlText w:val="•"/>
      <w:lvlJc w:val="left"/>
      <w:pPr>
        <w:tabs>
          <w:tab w:val="num" w:pos="4320"/>
        </w:tabs>
        <w:ind w:left="4320" w:hanging="360"/>
      </w:pPr>
      <w:rPr>
        <w:rFonts w:ascii="Arial" w:hAnsi="Arial" w:hint="default"/>
      </w:rPr>
    </w:lvl>
    <w:lvl w:ilvl="6" w:tplc="98B26E4E" w:tentative="1">
      <w:start w:val="1"/>
      <w:numFmt w:val="bullet"/>
      <w:lvlText w:val="•"/>
      <w:lvlJc w:val="left"/>
      <w:pPr>
        <w:tabs>
          <w:tab w:val="num" w:pos="5040"/>
        </w:tabs>
        <w:ind w:left="5040" w:hanging="360"/>
      </w:pPr>
      <w:rPr>
        <w:rFonts w:ascii="Arial" w:hAnsi="Arial" w:hint="default"/>
      </w:rPr>
    </w:lvl>
    <w:lvl w:ilvl="7" w:tplc="002ABA38" w:tentative="1">
      <w:start w:val="1"/>
      <w:numFmt w:val="bullet"/>
      <w:lvlText w:val="•"/>
      <w:lvlJc w:val="left"/>
      <w:pPr>
        <w:tabs>
          <w:tab w:val="num" w:pos="5760"/>
        </w:tabs>
        <w:ind w:left="5760" w:hanging="360"/>
      </w:pPr>
      <w:rPr>
        <w:rFonts w:ascii="Arial" w:hAnsi="Arial" w:hint="default"/>
      </w:rPr>
    </w:lvl>
    <w:lvl w:ilvl="8" w:tplc="77CAF98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253406AC"/>
    <w:multiLevelType w:val="hybridMultilevel"/>
    <w:tmpl w:val="649C53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7023532"/>
    <w:multiLevelType w:val="hybridMultilevel"/>
    <w:tmpl w:val="DA5456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97C37F9"/>
    <w:multiLevelType w:val="hybridMultilevel"/>
    <w:tmpl w:val="39224F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D943BBD"/>
    <w:multiLevelType w:val="hybridMultilevel"/>
    <w:tmpl w:val="12D01D4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0334AE4"/>
    <w:multiLevelType w:val="hybridMultilevel"/>
    <w:tmpl w:val="BA721B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0F55CB1"/>
    <w:multiLevelType w:val="hybridMultilevel"/>
    <w:tmpl w:val="CEDA3FA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7F03B36"/>
    <w:multiLevelType w:val="hybridMultilevel"/>
    <w:tmpl w:val="F6AE0AA0"/>
    <w:lvl w:ilvl="0" w:tplc="AF8C3BEE">
      <w:start w:val="1"/>
      <w:numFmt w:val="bullet"/>
      <w:lvlText w:val=""/>
      <w:lvlJc w:val="left"/>
      <w:pPr>
        <w:ind w:left="360" w:hanging="360"/>
      </w:pPr>
      <w:rPr>
        <w:rFonts w:ascii="Wingdings" w:hAnsi="Wingdings" w:hint="default"/>
        <w:color w:val="4BACC6" w:themeColor="accent5"/>
      </w:rPr>
    </w:lvl>
    <w:lvl w:ilvl="1" w:tplc="0EE611F2">
      <w:numFmt w:val="bullet"/>
      <w:lvlText w:val="•"/>
      <w:lvlJc w:val="left"/>
      <w:pPr>
        <w:ind w:left="1080" w:hanging="360"/>
      </w:pPr>
      <w:rPr>
        <w:rFonts w:ascii="Futura T OT Book" w:eastAsia="Times New Roman" w:hAnsi="Futura T OT Book" w:cs="Futura"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1" w15:restartNumberingAfterBreak="0">
    <w:nsid w:val="3B527CCC"/>
    <w:multiLevelType w:val="hybridMultilevel"/>
    <w:tmpl w:val="E1F86D0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C277228"/>
    <w:multiLevelType w:val="hybridMultilevel"/>
    <w:tmpl w:val="51885C5C"/>
    <w:lvl w:ilvl="0" w:tplc="519C62F8">
      <w:numFmt w:val="bullet"/>
      <w:lvlText w:val="•"/>
      <w:lvlJc w:val="left"/>
      <w:pPr>
        <w:ind w:left="720" w:hanging="360"/>
      </w:pPr>
      <w:rPr>
        <w:rFonts w:ascii="Futura T OT Book" w:eastAsiaTheme="minorEastAsia" w:hAnsi="Futura T OT Book" w:cs="Futura"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3FF0199A"/>
    <w:multiLevelType w:val="hybridMultilevel"/>
    <w:tmpl w:val="C406C3D2"/>
    <w:lvl w:ilvl="0" w:tplc="D208012E">
      <w:start w:val="1"/>
      <w:numFmt w:val="bullet"/>
      <w:lvlText w:val=""/>
      <w:lvlJc w:val="left"/>
      <w:pPr>
        <w:ind w:left="360" w:hanging="360"/>
      </w:pPr>
      <w:rPr>
        <w:rFonts w:ascii="Wingdings" w:hAnsi="Wingdings" w:hint="default"/>
        <w:color w:val="4BACC6" w:themeColor="accent5"/>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4" w15:restartNumberingAfterBreak="0">
    <w:nsid w:val="44C1713F"/>
    <w:multiLevelType w:val="hybridMultilevel"/>
    <w:tmpl w:val="B1D26A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45A874B4"/>
    <w:multiLevelType w:val="hybridMultilevel"/>
    <w:tmpl w:val="3C7CC808"/>
    <w:lvl w:ilvl="0" w:tplc="4E349504">
      <w:start w:val="1"/>
      <w:numFmt w:val="bullet"/>
      <w:lvlText w:val=""/>
      <w:lvlJc w:val="left"/>
      <w:pPr>
        <w:ind w:left="360" w:hanging="360"/>
      </w:pPr>
      <w:rPr>
        <w:rFonts w:ascii="Wingdings" w:hAnsi="Wingdings" w:hint="default"/>
        <w:color w:val="4BACC6" w:themeColor="accent5"/>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6" w15:restartNumberingAfterBreak="0">
    <w:nsid w:val="483139A5"/>
    <w:multiLevelType w:val="hybridMultilevel"/>
    <w:tmpl w:val="52ECB788"/>
    <w:lvl w:ilvl="0" w:tplc="E8769D1A">
      <w:start w:val="1"/>
      <w:numFmt w:val="upperRoman"/>
      <w:lvlText w:val="%1."/>
      <w:lvlJc w:val="left"/>
      <w:pPr>
        <w:ind w:left="1080" w:hanging="720"/>
      </w:pPr>
      <w:rPr>
        <w:rFonts w:hint="default"/>
        <w:sz w:val="36"/>
        <w:szCs w:val="36"/>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E8C0BF1"/>
    <w:multiLevelType w:val="hybridMultilevel"/>
    <w:tmpl w:val="82C08D0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0075BEF"/>
    <w:multiLevelType w:val="hybridMultilevel"/>
    <w:tmpl w:val="4B741A68"/>
    <w:lvl w:ilvl="0" w:tplc="7186A402">
      <w:start w:val="1"/>
      <w:numFmt w:val="bullet"/>
      <w:lvlText w:val=""/>
      <w:lvlJc w:val="left"/>
      <w:pPr>
        <w:tabs>
          <w:tab w:val="num" w:pos="1068"/>
        </w:tabs>
        <w:ind w:left="1068" w:hanging="360"/>
      </w:pPr>
      <w:rPr>
        <w:rFonts w:ascii="Symbol" w:hAnsi="Symbol" w:hint="default"/>
      </w:rPr>
    </w:lvl>
    <w:lvl w:ilvl="1" w:tplc="080A0003" w:tentative="1">
      <w:start w:val="1"/>
      <w:numFmt w:val="bullet"/>
      <w:lvlText w:val="o"/>
      <w:lvlJc w:val="left"/>
      <w:pPr>
        <w:ind w:left="-4089" w:hanging="360"/>
      </w:pPr>
      <w:rPr>
        <w:rFonts w:ascii="Courier New" w:hAnsi="Courier New" w:cs="Courier New" w:hint="default"/>
      </w:rPr>
    </w:lvl>
    <w:lvl w:ilvl="2" w:tplc="080A0005" w:tentative="1">
      <w:start w:val="1"/>
      <w:numFmt w:val="bullet"/>
      <w:lvlText w:val=""/>
      <w:lvlJc w:val="left"/>
      <w:pPr>
        <w:ind w:left="-3369" w:hanging="360"/>
      </w:pPr>
      <w:rPr>
        <w:rFonts w:ascii="Wingdings" w:hAnsi="Wingdings" w:hint="default"/>
      </w:rPr>
    </w:lvl>
    <w:lvl w:ilvl="3" w:tplc="080A0001" w:tentative="1">
      <w:start w:val="1"/>
      <w:numFmt w:val="bullet"/>
      <w:lvlText w:val=""/>
      <w:lvlJc w:val="left"/>
      <w:pPr>
        <w:ind w:left="-2649" w:hanging="360"/>
      </w:pPr>
      <w:rPr>
        <w:rFonts w:ascii="Symbol" w:hAnsi="Symbol" w:hint="default"/>
      </w:rPr>
    </w:lvl>
    <w:lvl w:ilvl="4" w:tplc="080A0003" w:tentative="1">
      <w:start w:val="1"/>
      <w:numFmt w:val="bullet"/>
      <w:lvlText w:val="o"/>
      <w:lvlJc w:val="left"/>
      <w:pPr>
        <w:ind w:left="-1929" w:hanging="360"/>
      </w:pPr>
      <w:rPr>
        <w:rFonts w:ascii="Courier New" w:hAnsi="Courier New" w:cs="Courier New" w:hint="default"/>
      </w:rPr>
    </w:lvl>
    <w:lvl w:ilvl="5" w:tplc="080A0005" w:tentative="1">
      <w:start w:val="1"/>
      <w:numFmt w:val="bullet"/>
      <w:lvlText w:val=""/>
      <w:lvlJc w:val="left"/>
      <w:pPr>
        <w:ind w:left="-1209" w:hanging="360"/>
      </w:pPr>
      <w:rPr>
        <w:rFonts w:ascii="Wingdings" w:hAnsi="Wingdings" w:hint="default"/>
      </w:rPr>
    </w:lvl>
    <w:lvl w:ilvl="6" w:tplc="080A0001" w:tentative="1">
      <w:start w:val="1"/>
      <w:numFmt w:val="bullet"/>
      <w:lvlText w:val=""/>
      <w:lvlJc w:val="left"/>
      <w:pPr>
        <w:ind w:left="-489" w:hanging="360"/>
      </w:pPr>
      <w:rPr>
        <w:rFonts w:ascii="Symbol" w:hAnsi="Symbol" w:hint="default"/>
      </w:rPr>
    </w:lvl>
    <w:lvl w:ilvl="7" w:tplc="080A0003" w:tentative="1">
      <w:start w:val="1"/>
      <w:numFmt w:val="bullet"/>
      <w:lvlText w:val="o"/>
      <w:lvlJc w:val="left"/>
      <w:pPr>
        <w:ind w:left="231" w:hanging="360"/>
      </w:pPr>
      <w:rPr>
        <w:rFonts w:ascii="Courier New" w:hAnsi="Courier New" w:cs="Courier New" w:hint="default"/>
      </w:rPr>
    </w:lvl>
    <w:lvl w:ilvl="8" w:tplc="080A0005" w:tentative="1">
      <w:start w:val="1"/>
      <w:numFmt w:val="bullet"/>
      <w:lvlText w:val=""/>
      <w:lvlJc w:val="left"/>
      <w:pPr>
        <w:ind w:left="951" w:hanging="360"/>
      </w:pPr>
      <w:rPr>
        <w:rFonts w:ascii="Wingdings" w:hAnsi="Wingdings" w:hint="default"/>
      </w:rPr>
    </w:lvl>
  </w:abstractNum>
  <w:abstractNum w:abstractNumId="29" w15:restartNumberingAfterBreak="0">
    <w:nsid w:val="5B354ABC"/>
    <w:multiLevelType w:val="hybridMultilevel"/>
    <w:tmpl w:val="AF049C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5DD91E2D"/>
    <w:multiLevelType w:val="hybridMultilevel"/>
    <w:tmpl w:val="58FE9C8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E397D05"/>
    <w:multiLevelType w:val="hybridMultilevel"/>
    <w:tmpl w:val="C2304260"/>
    <w:lvl w:ilvl="0" w:tplc="CA9427B0">
      <w:start w:val="1"/>
      <w:numFmt w:val="lowerLetter"/>
      <w:lvlText w:val="%1)"/>
      <w:lvlJc w:val="left"/>
      <w:pPr>
        <w:ind w:left="720" w:hanging="360"/>
      </w:pPr>
      <w:rPr>
        <w:rFonts w:ascii="Arial" w:eastAsia="Arial" w:hAnsi="Arial" w:cs="Times New Roman"/>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EBE5EBA"/>
    <w:multiLevelType w:val="hybridMultilevel"/>
    <w:tmpl w:val="7C66E2D6"/>
    <w:lvl w:ilvl="0" w:tplc="CD8AA7A0">
      <w:start w:val="1"/>
      <w:numFmt w:val="bullet"/>
      <w:lvlText w:val="•"/>
      <w:lvlJc w:val="left"/>
      <w:pPr>
        <w:tabs>
          <w:tab w:val="num" w:pos="360"/>
        </w:tabs>
        <w:ind w:left="360" w:hanging="360"/>
      </w:pPr>
      <w:rPr>
        <w:rFonts w:ascii="Arial" w:hAnsi="Arial" w:hint="default"/>
      </w:rPr>
    </w:lvl>
    <w:lvl w:ilvl="1" w:tplc="1BFE3A14">
      <w:start w:val="1277"/>
      <w:numFmt w:val="bullet"/>
      <w:lvlText w:val="–"/>
      <w:lvlJc w:val="left"/>
      <w:pPr>
        <w:tabs>
          <w:tab w:val="num" w:pos="1080"/>
        </w:tabs>
        <w:ind w:left="1080" w:hanging="360"/>
      </w:pPr>
      <w:rPr>
        <w:rFonts w:ascii="Arial" w:hAnsi="Arial" w:hint="default"/>
      </w:rPr>
    </w:lvl>
    <w:lvl w:ilvl="2" w:tplc="A06E15D4" w:tentative="1">
      <w:start w:val="1"/>
      <w:numFmt w:val="bullet"/>
      <w:lvlText w:val="•"/>
      <w:lvlJc w:val="left"/>
      <w:pPr>
        <w:tabs>
          <w:tab w:val="num" w:pos="1800"/>
        </w:tabs>
        <w:ind w:left="1800" w:hanging="360"/>
      </w:pPr>
      <w:rPr>
        <w:rFonts w:ascii="Arial" w:hAnsi="Arial" w:hint="default"/>
      </w:rPr>
    </w:lvl>
    <w:lvl w:ilvl="3" w:tplc="B8401454" w:tentative="1">
      <w:start w:val="1"/>
      <w:numFmt w:val="bullet"/>
      <w:lvlText w:val="•"/>
      <w:lvlJc w:val="left"/>
      <w:pPr>
        <w:tabs>
          <w:tab w:val="num" w:pos="2520"/>
        </w:tabs>
        <w:ind w:left="2520" w:hanging="360"/>
      </w:pPr>
      <w:rPr>
        <w:rFonts w:ascii="Arial" w:hAnsi="Arial" w:hint="default"/>
      </w:rPr>
    </w:lvl>
    <w:lvl w:ilvl="4" w:tplc="1E9832B6" w:tentative="1">
      <w:start w:val="1"/>
      <w:numFmt w:val="bullet"/>
      <w:lvlText w:val="•"/>
      <w:lvlJc w:val="left"/>
      <w:pPr>
        <w:tabs>
          <w:tab w:val="num" w:pos="3240"/>
        </w:tabs>
        <w:ind w:left="3240" w:hanging="360"/>
      </w:pPr>
      <w:rPr>
        <w:rFonts w:ascii="Arial" w:hAnsi="Arial" w:hint="default"/>
      </w:rPr>
    </w:lvl>
    <w:lvl w:ilvl="5" w:tplc="FE269332" w:tentative="1">
      <w:start w:val="1"/>
      <w:numFmt w:val="bullet"/>
      <w:lvlText w:val="•"/>
      <w:lvlJc w:val="left"/>
      <w:pPr>
        <w:tabs>
          <w:tab w:val="num" w:pos="3960"/>
        </w:tabs>
        <w:ind w:left="3960" w:hanging="360"/>
      </w:pPr>
      <w:rPr>
        <w:rFonts w:ascii="Arial" w:hAnsi="Arial" w:hint="default"/>
      </w:rPr>
    </w:lvl>
    <w:lvl w:ilvl="6" w:tplc="721ADC42" w:tentative="1">
      <w:start w:val="1"/>
      <w:numFmt w:val="bullet"/>
      <w:lvlText w:val="•"/>
      <w:lvlJc w:val="left"/>
      <w:pPr>
        <w:tabs>
          <w:tab w:val="num" w:pos="4680"/>
        </w:tabs>
        <w:ind w:left="4680" w:hanging="360"/>
      </w:pPr>
      <w:rPr>
        <w:rFonts w:ascii="Arial" w:hAnsi="Arial" w:hint="default"/>
      </w:rPr>
    </w:lvl>
    <w:lvl w:ilvl="7" w:tplc="8A5A1CEE" w:tentative="1">
      <w:start w:val="1"/>
      <w:numFmt w:val="bullet"/>
      <w:lvlText w:val="•"/>
      <w:lvlJc w:val="left"/>
      <w:pPr>
        <w:tabs>
          <w:tab w:val="num" w:pos="5400"/>
        </w:tabs>
        <w:ind w:left="5400" w:hanging="360"/>
      </w:pPr>
      <w:rPr>
        <w:rFonts w:ascii="Arial" w:hAnsi="Arial" w:hint="default"/>
      </w:rPr>
    </w:lvl>
    <w:lvl w:ilvl="8" w:tplc="2C4E0B68" w:tentative="1">
      <w:start w:val="1"/>
      <w:numFmt w:val="bullet"/>
      <w:lvlText w:val="•"/>
      <w:lvlJc w:val="left"/>
      <w:pPr>
        <w:tabs>
          <w:tab w:val="num" w:pos="6120"/>
        </w:tabs>
        <w:ind w:left="6120" w:hanging="360"/>
      </w:pPr>
      <w:rPr>
        <w:rFonts w:ascii="Arial" w:hAnsi="Arial" w:hint="default"/>
      </w:rPr>
    </w:lvl>
  </w:abstractNum>
  <w:abstractNum w:abstractNumId="33" w15:restartNumberingAfterBreak="0">
    <w:nsid w:val="619E4163"/>
    <w:multiLevelType w:val="hybridMultilevel"/>
    <w:tmpl w:val="C360E8A6"/>
    <w:lvl w:ilvl="0" w:tplc="AF8C3BEE">
      <w:start w:val="1"/>
      <w:numFmt w:val="bullet"/>
      <w:lvlText w:val=""/>
      <w:lvlJc w:val="left"/>
      <w:pPr>
        <w:ind w:left="2143" w:hanging="360"/>
      </w:pPr>
      <w:rPr>
        <w:rFonts w:ascii="Wingdings" w:hAnsi="Wingdings" w:hint="default"/>
        <w:color w:val="4BACC6" w:themeColor="accent5"/>
      </w:rPr>
    </w:lvl>
    <w:lvl w:ilvl="1" w:tplc="0C0A0003" w:tentative="1">
      <w:start w:val="1"/>
      <w:numFmt w:val="bullet"/>
      <w:lvlText w:val="o"/>
      <w:lvlJc w:val="left"/>
      <w:pPr>
        <w:ind w:left="2863" w:hanging="360"/>
      </w:pPr>
      <w:rPr>
        <w:rFonts w:ascii="Courier New" w:hAnsi="Courier New" w:hint="default"/>
      </w:rPr>
    </w:lvl>
    <w:lvl w:ilvl="2" w:tplc="0C0A0005" w:tentative="1">
      <w:start w:val="1"/>
      <w:numFmt w:val="bullet"/>
      <w:lvlText w:val=""/>
      <w:lvlJc w:val="left"/>
      <w:pPr>
        <w:ind w:left="3583" w:hanging="360"/>
      </w:pPr>
      <w:rPr>
        <w:rFonts w:ascii="Wingdings" w:hAnsi="Wingdings" w:hint="default"/>
      </w:rPr>
    </w:lvl>
    <w:lvl w:ilvl="3" w:tplc="0C0A0001" w:tentative="1">
      <w:start w:val="1"/>
      <w:numFmt w:val="bullet"/>
      <w:lvlText w:val=""/>
      <w:lvlJc w:val="left"/>
      <w:pPr>
        <w:ind w:left="4303" w:hanging="360"/>
      </w:pPr>
      <w:rPr>
        <w:rFonts w:ascii="Symbol" w:hAnsi="Symbol" w:hint="default"/>
      </w:rPr>
    </w:lvl>
    <w:lvl w:ilvl="4" w:tplc="0C0A0003" w:tentative="1">
      <w:start w:val="1"/>
      <w:numFmt w:val="bullet"/>
      <w:lvlText w:val="o"/>
      <w:lvlJc w:val="left"/>
      <w:pPr>
        <w:ind w:left="5023" w:hanging="360"/>
      </w:pPr>
      <w:rPr>
        <w:rFonts w:ascii="Courier New" w:hAnsi="Courier New" w:hint="default"/>
      </w:rPr>
    </w:lvl>
    <w:lvl w:ilvl="5" w:tplc="0C0A0005" w:tentative="1">
      <w:start w:val="1"/>
      <w:numFmt w:val="bullet"/>
      <w:lvlText w:val=""/>
      <w:lvlJc w:val="left"/>
      <w:pPr>
        <w:ind w:left="5743" w:hanging="360"/>
      </w:pPr>
      <w:rPr>
        <w:rFonts w:ascii="Wingdings" w:hAnsi="Wingdings" w:hint="default"/>
      </w:rPr>
    </w:lvl>
    <w:lvl w:ilvl="6" w:tplc="0C0A0001" w:tentative="1">
      <w:start w:val="1"/>
      <w:numFmt w:val="bullet"/>
      <w:lvlText w:val=""/>
      <w:lvlJc w:val="left"/>
      <w:pPr>
        <w:ind w:left="6463" w:hanging="360"/>
      </w:pPr>
      <w:rPr>
        <w:rFonts w:ascii="Symbol" w:hAnsi="Symbol" w:hint="default"/>
      </w:rPr>
    </w:lvl>
    <w:lvl w:ilvl="7" w:tplc="0C0A0003" w:tentative="1">
      <w:start w:val="1"/>
      <w:numFmt w:val="bullet"/>
      <w:lvlText w:val="o"/>
      <w:lvlJc w:val="left"/>
      <w:pPr>
        <w:ind w:left="7183" w:hanging="360"/>
      </w:pPr>
      <w:rPr>
        <w:rFonts w:ascii="Courier New" w:hAnsi="Courier New" w:hint="default"/>
      </w:rPr>
    </w:lvl>
    <w:lvl w:ilvl="8" w:tplc="0C0A0005" w:tentative="1">
      <w:start w:val="1"/>
      <w:numFmt w:val="bullet"/>
      <w:lvlText w:val=""/>
      <w:lvlJc w:val="left"/>
      <w:pPr>
        <w:ind w:left="7903" w:hanging="360"/>
      </w:pPr>
      <w:rPr>
        <w:rFonts w:ascii="Wingdings" w:hAnsi="Wingdings" w:hint="default"/>
      </w:rPr>
    </w:lvl>
  </w:abstractNum>
  <w:abstractNum w:abstractNumId="34" w15:restartNumberingAfterBreak="0">
    <w:nsid w:val="62BD3786"/>
    <w:multiLevelType w:val="hybridMultilevel"/>
    <w:tmpl w:val="90B4D3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2FF1C0E"/>
    <w:multiLevelType w:val="hybridMultilevel"/>
    <w:tmpl w:val="01BCEEAA"/>
    <w:lvl w:ilvl="0" w:tplc="B0B209D8">
      <w:start w:val="1"/>
      <w:numFmt w:val="bullet"/>
      <w:lvlText w:val="•"/>
      <w:lvlJc w:val="left"/>
      <w:pPr>
        <w:tabs>
          <w:tab w:val="num" w:pos="720"/>
        </w:tabs>
        <w:ind w:left="720" w:hanging="360"/>
      </w:pPr>
      <w:rPr>
        <w:rFonts w:ascii="Arial" w:hAnsi="Arial" w:hint="default"/>
      </w:rPr>
    </w:lvl>
    <w:lvl w:ilvl="1" w:tplc="1D2A49AC" w:tentative="1">
      <w:start w:val="1"/>
      <w:numFmt w:val="bullet"/>
      <w:lvlText w:val="•"/>
      <w:lvlJc w:val="left"/>
      <w:pPr>
        <w:tabs>
          <w:tab w:val="num" w:pos="1440"/>
        </w:tabs>
        <w:ind w:left="1440" w:hanging="360"/>
      </w:pPr>
      <w:rPr>
        <w:rFonts w:ascii="Arial" w:hAnsi="Arial" w:hint="default"/>
      </w:rPr>
    </w:lvl>
    <w:lvl w:ilvl="2" w:tplc="A81A7296" w:tentative="1">
      <w:start w:val="1"/>
      <w:numFmt w:val="bullet"/>
      <w:lvlText w:val="•"/>
      <w:lvlJc w:val="left"/>
      <w:pPr>
        <w:tabs>
          <w:tab w:val="num" w:pos="2160"/>
        </w:tabs>
        <w:ind w:left="2160" w:hanging="360"/>
      </w:pPr>
      <w:rPr>
        <w:rFonts w:ascii="Arial" w:hAnsi="Arial" w:hint="default"/>
      </w:rPr>
    </w:lvl>
    <w:lvl w:ilvl="3" w:tplc="6B5C4A06" w:tentative="1">
      <w:start w:val="1"/>
      <w:numFmt w:val="bullet"/>
      <w:lvlText w:val="•"/>
      <w:lvlJc w:val="left"/>
      <w:pPr>
        <w:tabs>
          <w:tab w:val="num" w:pos="2880"/>
        </w:tabs>
        <w:ind w:left="2880" w:hanging="360"/>
      </w:pPr>
      <w:rPr>
        <w:rFonts w:ascii="Arial" w:hAnsi="Arial" w:hint="default"/>
      </w:rPr>
    </w:lvl>
    <w:lvl w:ilvl="4" w:tplc="49768E7C" w:tentative="1">
      <w:start w:val="1"/>
      <w:numFmt w:val="bullet"/>
      <w:lvlText w:val="•"/>
      <w:lvlJc w:val="left"/>
      <w:pPr>
        <w:tabs>
          <w:tab w:val="num" w:pos="3600"/>
        </w:tabs>
        <w:ind w:left="3600" w:hanging="360"/>
      </w:pPr>
      <w:rPr>
        <w:rFonts w:ascii="Arial" w:hAnsi="Arial" w:hint="default"/>
      </w:rPr>
    </w:lvl>
    <w:lvl w:ilvl="5" w:tplc="CD941FBA" w:tentative="1">
      <w:start w:val="1"/>
      <w:numFmt w:val="bullet"/>
      <w:lvlText w:val="•"/>
      <w:lvlJc w:val="left"/>
      <w:pPr>
        <w:tabs>
          <w:tab w:val="num" w:pos="4320"/>
        </w:tabs>
        <w:ind w:left="4320" w:hanging="360"/>
      </w:pPr>
      <w:rPr>
        <w:rFonts w:ascii="Arial" w:hAnsi="Arial" w:hint="default"/>
      </w:rPr>
    </w:lvl>
    <w:lvl w:ilvl="6" w:tplc="8A22CB24" w:tentative="1">
      <w:start w:val="1"/>
      <w:numFmt w:val="bullet"/>
      <w:lvlText w:val="•"/>
      <w:lvlJc w:val="left"/>
      <w:pPr>
        <w:tabs>
          <w:tab w:val="num" w:pos="5040"/>
        </w:tabs>
        <w:ind w:left="5040" w:hanging="360"/>
      </w:pPr>
      <w:rPr>
        <w:rFonts w:ascii="Arial" w:hAnsi="Arial" w:hint="default"/>
      </w:rPr>
    </w:lvl>
    <w:lvl w:ilvl="7" w:tplc="DA66F444" w:tentative="1">
      <w:start w:val="1"/>
      <w:numFmt w:val="bullet"/>
      <w:lvlText w:val="•"/>
      <w:lvlJc w:val="left"/>
      <w:pPr>
        <w:tabs>
          <w:tab w:val="num" w:pos="5760"/>
        </w:tabs>
        <w:ind w:left="5760" w:hanging="360"/>
      </w:pPr>
      <w:rPr>
        <w:rFonts w:ascii="Arial" w:hAnsi="Arial" w:hint="default"/>
      </w:rPr>
    </w:lvl>
    <w:lvl w:ilvl="8" w:tplc="66540152"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74B7E90"/>
    <w:multiLevelType w:val="hybridMultilevel"/>
    <w:tmpl w:val="3A6CCF1A"/>
    <w:lvl w:ilvl="0" w:tplc="9C12D10C">
      <w:start w:val="1"/>
      <w:numFmt w:val="bullet"/>
      <w:lvlText w:val="•"/>
      <w:lvlJc w:val="left"/>
      <w:pPr>
        <w:tabs>
          <w:tab w:val="num" w:pos="720"/>
        </w:tabs>
        <w:ind w:left="720" w:hanging="360"/>
      </w:pPr>
      <w:rPr>
        <w:rFonts w:ascii="Arial" w:hAnsi="Arial" w:hint="default"/>
      </w:rPr>
    </w:lvl>
    <w:lvl w:ilvl="1" w:tplc="68784604" w:tentative="1">
      <w:start w:val="1"/>
      <w:numFmt w:val="bullet"/>
      <w:lvlText w:val="•"/>
      <w:lvlJc w:val="left"/>
      <w:pPr>
        <w:tabs>
          <w:tab w:val="num" w:pos="1440"/>
        </w:tabs>
        <w:ind w:left="1440" w:hanging="360"/>
      </w:pPr>
      <w:rPr>
        <w:rFonts w:ascii="Arial" w:hAnsi="Arial" w:hint="default"/>
      </w:rPr>
    </w:lvl>
    <w:lvl w:ilvl="2" w:tplc="905ED5E8" w:tentative="1">
      <w:start w:val="1"/>
      <w:numFmt w:val="bullet"/>
      <w:lvlText w:val="•"/>
      <w:lvlJc w:val="left"/>
      <w:pPr>
        <w:tabs>
          <w:tab w:val="num" w:pos="2160"/>
        </w:tabs>
        <w:ind w:left="2160" w:hanging="360"/>
      </w:pPr>
      <w:rPr>
        <w:rFonts w:ascii="Arial" w:hAnsi="Arial" w:hint="default"/>
      </w:rPr>
    </w:lvl>
    <w:lvl w:ilvl="3" w:tplc="D93A0404" w:tentative="1">
      <w:start w:val="1"/>
      <w:numFmt w:val="bullet"/>
      <w:lvlText w:val="•"/>
      <w:lvlJc w:val="left"/>
      <w:pPr>
        <w:tabs>
          <w:tab w:val="num" w:pos="2880"/>
        </w:tabs>
        <w:ind w:left="2880" w:hanging="360"/>
      </w:pPr>
      <w:rPr>
        <w:rFonts w:ascii="Arial" w:hAnsi="Arial" w:hint="default"/>
      </w:rPr>
    </w:lvl>
    <w:lvl w:ilvl="4" w:tplc="59BCE648" w:tentative="1">
      <w:start w:val="1"/>
      <w:numFmt w:val="bullet"/>
      <w:lvlText w:val="•"/>
      <w:lvlJc w:val="left"/>
      <w:pPr>
        <w:tabs>
          <w:tab w:val="num" w:pos="3600"/>
        </w:tabs>
        <w:ind w:left="3600" w:hanging="360"/>
      </w:pPr>
      <w:rPr>
        <w:rFonts w:ascii="Arial" w:hAnsi="Arial" w:hint="default"/>
      </w:rPr>
    </w:lvl>
    <w:lvl w:ilvl="5" w:tplc="113EF536" w:tentative="1">
      <w:start w:val="1"/>
      <w:numFmt w:val="bullet"/>
      <w:lvlText w:val="•"/>
      <w:lvlJc w:val="left"/>
      <w:pPr>
        <w:tabs>
          <w:tab w:val="num" w:pos="4320"/>
        </w:tabs>
        <w:ind w:left="4320" w:hanging="360"/>
      </w:pPr>
      <w:rPr>
        <w:rFonts w:ascii="Arial" w:hAnsi="Arial" w:hint="default"/>
      </w:rPr>
    </w:lvl>
    <w:lvl w:ilvl="6" w:tplc="C8B0A39A" w:tentative="1">
      <w:start w:val="1"/>
      <w:numFmt w:val="bullet"/>
      <w:lvlText w:val="•"/>
      <w:lvlJc w:val="left"/>
      <w:pPr>
        <w:tabs>
          <w:tab w:val="num" w:pos="5040"/>
        </w:tabs>
        <w:ind w:left="5040" w:hanging="360"/>
      </w:pPr>
      <w:rPr>
        <w:rFonts w:ascii="Arial" w:hAnsi="Arial" w:hint="default"/>
      </w:rPr>
    </w:lvl>
    <w:lvl w:ilvl="7" w:tplc="F15E5798" w:tentative="1">
      <w:start w:val="1"/>
      <w:numFmt w:val="bullet"/>
      <w:lvlText w:val="•"/>
      <w:lvlJc w:val="left"/>
      <w:pPr>
        <w:tabs>
          <w:tab w:val="num" w:pos="5760"/>
        </w:tabs>
        <w:ind w:left="5760" w:hanging="360"/>
      </w:pPr>
      <w:rPr>
        <w:rFonts w:ascii="Arial" w:hAnsi="Arial" w:hint="default"/>
      </w:rPr>
    </w:lvl>
    <w:lvl w:ilvl="8" w:tplc="F90C0886"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D923D9D"/>
    <w:multiLevelType w:val="hybridMultilevel"/>
    <w:tmpl w:val="85BA9430"/>
    <w:lvl w:ilvl="0" w:tplc="0C0A0015">
      <w:start w:val="1"/>
      <w:numFmt w:val="upp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8" w15:restartNumberingAfterBreak="0">
    <w:nsid w:val="709C5798"/>
    <w:multiLevelType w:val="hybridMultilevel"/>
    <w:tmpl w:val="1B96AF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3402897"/>
    <w:multiLevelType w:val="multilevel"/>
    <w:tmpl w:val="C38417D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0" w15:restartNumberingAfterBreak="0">
    <w:nsid w:val="77DD2EA8"/>
    <w:multiLevelType w:val="hybridMultilevel"/>
    <w:tmpl w:val="3E8844A4"/>
    <w:lvl w:ilvl="0" w:tplc="AF8C3BEE">
      <w:start w:val="1"/>
      <w:numFmt w:val="bullet"/>
      <w:lvlText w:val=""/>
      <w:lvlJc w:val="left"/>
      <w:pPr>
        <w:ind w:left="360" w:hanging="360"/>
      </w:pPr>
      <w:rPr>
        <w:rFonts w:ascii="Wingdings" w:hAnsi="Wingdings" w:hint="default"/>
        <w:color w:val="4BACC6" w:themeColor="accent5"/>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1" w15:restartNumberingAfterBreak="0">
    <w:nsid w:val="7B023FA6"/>
    <w:multiLevelType w:val="hybridMultilevel"/>
    <w:tmpl w:val="FB963E4A"/>
    <w:lvl w:ilvl="0" w:tplc="19BECC52">
      <w:start w:val="1"/>
      <w:numFmt w:val="bullet"/>
      <w:lvlText w:val=""/>
      <w:lvlJc w:val="left"/>
      <w:pPr>
        <w:tabs>
          <w:tab w:val="num" w:pos="720"/>
        </w:tabs>
        <w:ind w:left="720" w:hanging="360"/>
      </w:pPr>
      <w:rPr>
        <w:rFonts w:ascii="Wingdings" w:hAnsi="Wingdings" w:hint="default"/>
      </w:rPr>
    </w:lvl>
    <w:lvl w:ilvl="1" w:tplc="EF6A74EA" w:tentative="1">
      <w:start w:val="1"/>
      <w:numFmt w:val="bullet"/>
      <w:lvlText w:val=""/>
      <w:lvlJc w:val="left"/>
      <w:pPr>
        <w:tabs>
          <w:tab w:val="num" w:pos="1440"/>
        </w:tabs>
        <w:ind w:left="1440" w:hanging="360"/>
      </w:pPr>
      <w:rPr>
        <w:rFonts w:ascii="Wingdings" w:hAnsi="Wingdings" w:hint="default"/>
      </w:rPr>
    </w:lvl>
    <w:lvl w:ilvl="2" w:tplc="9D987832">
      <w:start w:val="1"/>
      <w:numFmt w:val="bullet"/>
      <w:lvlText w:val=""/>
      <w:lvlJc w:val="left"/>
      <w:pPr>
        <w:tabs>
          <w:tab w:val="num" w:pos="2160"/>
        </w:tabs>
        <w:ind w:left="2160" w:hanging="360"/>
      </w:pPr>
      <w:rPr>
        <w:rFonts w:ascii="Wingdings" w:hAnsi="Wingdings" w:hint="default"/>
      </w:rPr>
    </w:lvl>
    <w:lvl w:ilvl="3" w:tplc="A5F8CCDE" w:tentative="1">
      <w:start w:val="1"/>
      <w:numFmt w:val="bullet"/>
      <w:lvlText w:val=""/>
      <w:lvlJc w:val="left"/>
      <w:pPr>
        <w:tabs>
          <w:tab w:val="num" w:pos="2880"/>
        </w:tabs>
        <w:ind w:left="2880" w:hanging="360"/>
      </w:pPr>
      <w:rPr>
        <w:rFonts w:ascii="Wingdings" w:hAnsi="Wingdings" w:hint="default"/>
      </w:rPr>
    </w:lvl>
    <w:lvl w:ilvl="4" w:tplc="F2FEC2A8" w:tentative="1">
      <w:start w:val="1"/>
      <w:numFmt w:val="bullet"/>
      <w:lvlText w:val=""/>
      <w:lvlJc w:val="left"/>
      <w:pPr>
        <w:tabs>
          <w:tab w:val="num" w:pos="3600"/>
        </w:tabs>
        <w:ind w:left="3600" w:hanging="360"/>
      </w:pPr>
      <w:rPr>
        <w:rFonts w:ascii="Wingdings" w:hAnsi="Wingdings" w:hint="default"/>
      </w:rPr>
    </w:lvl>
    <w:lvl w:ilvl="5" w:tplc="4FDAEA46" w:tentative="1">
      <w:start w:val="1"/>
      <w:numFmt w:val="bullet"/>
      <w:lvlText w:val=""/>
      <w:lvlJc w:val="left"/>
      <w:pPr>
        <w:tabs>
          <w:tab w:val="num" w:pos="4320"/>
        </w:tabs>
        <w:ind w:left="4320" w:hanging="360"/>
      </w:pPr>
      <w:rPr>
        <w:rFonts w:ascii="Wingdings" w:hAnsi="Wingdings" w:hint="default"/>
      </w:rPr>
    </w:lvl>
    <w:lvl w:ilvl="6" w:tplc="4852FCD4" w:tentative="1">
      <w:start w:val="1"/>
      <w:numFmt w:val="bullet"/>
      <w:lvlText w:val=""/>
      <w:lvlJc w:val="left"/>
      <w:pPr>
        <w:tabs>
          <w:tab w:val="num" w:pos="5040"/>
        </w:tabs>
        <w:ind w:left="5040" w:hanging="360"/>
      </w:pPr>
      <w:rPr>
        <w:rFonts w:ascii="Wingdings" w:hAnsi="Wingdings" w:hint="default"/>
      </w:rPr>
    </w:lvl>
    <w:lvl w:ilvl="7" w:tplc="F8600110" w:tentative="1">
      <w:start w:val="1"/>
      <w:numFmt w:val="bullet"/>
      <w:lvlText w:val=""/>
      <w:lvlJc w:val="left"/>
      <w:pPr>
        <w:tabs>
          <w:tab w:val="num" w:pos="5760"/>
        </w:tabs>
        <w:ind w:left="5760" w:hanging="360"/>
      </w:pPr>
      <w:rPr>
        <w:rFonts w:ascii="Wingdings" w:hAnsi="Wingdings" w:hint="default"/>
      </w:rPr>
    </w:lvl>
    <w:lvl w:ilvl="8" w:tplc="2D3E26F4"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6"/>
  </w:num>
  <w:num w:numId="3">
    <w:abstractNumId w:val="0"/>
  </w:num>
  <w:num w:numId="4">
    <w:abstractNumId w:val="18"/>
  </w:num>
  <w:num w:numId="5">
    <w:abstractNumId w:val="29"/>
  </w:num>
  <w:num w:numId="6">
    <w:abstractNumId w:val="15"/>
  </w:num>
  <w:num w:numId="7">
    <w:abstractNumId w:val="27"/>
  </w:num>
  <w:num w:numId="8">
    <w:abstractNumId w:val="21"/>
  </w:num>
  <w:num w:numId="9">
    <w:abstractNumId w:val="16"/>
  </w:num>
  <w:num w:numId="10">
    <w:abstractNumId w:val="17"/>
  </w:num>
  <w:num w:numId="11">
    <w:abstractNumId w:val="2"/>
  </w:num>
  <w:num w:numId="12">
    <w:abstractNumId w:val="34"/>
  </w:num>
  <w:num w:numId="13">
    <w:abstractNumId w:val="38"/>
  </w:num>
  <w:num w:numId="14">
    <w:abstractNumId w:val="1"/>
  </w:num>
  <w:num w:numId="15">
    <w:abstractNumId w:val="30"/>
  </w:num>
  <w:num w:numId="16">
    <w:abstractNumId w:val="19"/>
  </w:num>
  <w:num w:numId="17">
    <w:abstractNumId w:val="12"/>
  </w:num>
  <w:num w:numId="18">
    <w:abstractNumId w:val="14"/>
  </w:num>
  <w:num w:numId="19">
    <w:abstractNumId w:val="24"/>
  </w:num>
  <w:num w:numId="20">
    <w:abstractNumId w:val="31"/>
  </w:num>
  <w:num w:numId="21">
    <w:abstractNumId w:val="9"/>
  </w:num>
  <w:num w:numId="22">
    <w:abstractNumId w:val="28"/>
  </w:num>
  <w:num w:numId="23">
    <w:abstractNumId w:val="7"/>
  </w:num>
  <w:num w:numId="24">
    <w:abstractNumId w:val="5"/>
  </w:num>
  <w:num w:numId="25">
    <w:abstractNumId w:val="39"/>
  </w:num>
  <w:num w:numId="26">
    <w:abstractNumId w:val="33"/>
  </w:num>
  <w:num w:numId="27">
    <w:abstractNumId w:val="3"/>
  </w:num>
  <w:num w:numId="28">
    <w:abstractNumId w:val="11"/>
  </w:num>
  <w:num w:numId="29">
    <w:abstractNumId w:val="25"/>
  </w:num>
  <w:num w:numId="30">
    <w:abstractNumId w:val="23"/>
  </w:num>
  <w:num w:numId="31">
    <w:abstractNumId w:val="32"/>
  </w:num>
  <w:num w:numId="32">
    <w:abstractNumId w:val="36"/>
  </w:num>
  <w:num w:numId="33">
    <w:abstractNumId w:val="35"/>
  </w:num>
  <w:num w:numId="34">
    <w:abstractNumId w:val="13"/>
  </w:num>
  <w:num w:numId="35">
    <w:abstractNumId w:val="26"/>
  </w:num>
  <w:num w:numId="36">
    <w:abstractNumId w:val="20"/>
  </w:num>
  <w:num w:numId="37">
    <w:abstractNumId w:val="22"/>
  </w:num>
  <w:num w:numId="38">
    <w:abstractNumId w:val="40"/>
  </w:num>
  <w:num w:numId="39">
    <w:abstractNumId w:val="37"/>
  </w:num>
  <w:num w:numId="40">
    <w:abstractNumId w:val="8"/>
  </w:num>
  <w:num w:numId="41">
    <w:abstractNumId w:val="41"/>
  </w:num>
  <w:num w:numId="42">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5CBE"/>
    <w:rsid w:val="00000D02"/>
    <w:rsid w:val="00000FD1"/>
    <w:rsid w:val="000017DA"/>
    <w:rsid w:val="00002535"/>
    <w:rsid w:val="000036C0"/>
    <w:rsid w:val="00003BC1"/>
    <w:rsid w:val="00003FDE"/>
    <w:rsid w:val="000046BC"/>
    <w:rsid w:val="00005028"/>
    <w:rsid w:val="00005D9E"/>
    <w:rsid w:val="00006127"/>
    <w:rsid w:val="000066C5"/>
    <w:rsid w:val="0001093B"/>
    <w:rsid w:val="00011161"/>
    <w:rsid w:val="00011B69"/>
    <w:rsid w:val="000129E7"/>
    <w:rsid w:val="0001338A"/>
    <w:rsid w:val="00014045"/>
    <w:rsid w:val="000140F1"/>
    <w:rsid w:val="00014ECD"/>
    <w:rsid w:val="000150F4"/>
    <w:rsid w:val="0001515E"/>
    <w:rsid w:val="00017205"/>
    <w:rsid w:val="0001762C"/>
    <w:rsid w:val="00017BB0"/>
    <w:rsid w:val="00017FB7"/>
    <w:rsid w:val="000201E8"/>
    <w:rsid w:val="000226DD"/>
    <w:rsid w:val="0002598C"/>
    <w:rsid w:val="00026DB9"/>
    <w:rsid w:val="00027407"/>
    <w:rsid w:val="00030974"/>
    <w:rsid w:val="00030CFD"/>
    <w:rsid w:val="00031873"/>
    <w:rsid w:val="00032970"/>
    <w:rsid w:val="00033CB1"/>
    <w:rsid w:val="00034844"/>
    <w:rsid w:val="00034D6C"/>
    <w:rsid w:val="0003602B"/>
    <w:rsid w:val="00037600"/>
    <w:rsid w:val="0004081F"/>
    <w:rsid w:val="00041E7A"/>
    <w:rsid w:val="000427E6"/>
    <w:rsid w:val="00043C44"/>
    <w:rsid w:val="00044A62"/>
    <w:rsid w:val="0004645E"/>
    <w:rsid w:val="00047166"/>
    <w:rsid w:val="00047435"/>
    <w:rsid w:val="00050EC4"/>
    <w:rsid w:val="00051342"/>
    <w:rsid w:val="00051C8B"/>
    <w:rsid w:val="00051F7D"/>
    <w:rsid w:val="00052E3D"/>
    <w:rsid w:val="000531D7"/>
    <w:rsid w:val="000543F9"/>
    <w:rsid w:val="0005548F"/>
    <w:rsid w:val="0005559F"/>
    <w:rsid w:val="000567E4"/>
    <w:rsid w:val="000574C8"/>
    <w:rsid w:val="00057DA9"/>
    <w:rsid w:val="00060E8E"/>
    <w:rsid w:val="000618D6"/>
    <w:rsid w:val="00061B5F"/>
    <w:rsid w:val="00062296"/>
    <w:rsid w:val="0006394F"/>
    <w:rsid w:val="00063D26"/>
    <w:rsid w:val="000648B8"/>
    <w:rsid w:val="00064A12"/>
    <w:rsid w:val="00064D5E"/>
    <w:rsid w:val="0006652B"/>
    <w:rsid w:val="0006751F"/>
    <w:rsid w:val="00067752"/>
    <w:rsid w:val="00067C3F"/>
    <w:rsid w:val="00067DE2"/>
    <w:rsid w:val="00071A5D"/>
    <w:rsid w:val="0007296B"/>
    <w:rsid w:val="00074B3B"/>
    <w:rsid w:val="000758BE"/>
    <w:rsid w:val="00076C12"/>
    <w:rsid w:val="00076ED9"/>
    <w:rsid w:val="00077375"/>
    <w:rsid w:val="00077A92"/>
    <w:rsid w:val="00077A9E"/>
    <w:rsid w:val="000807AE"/>
    <w:rsid w:val="00080A01"/>
    <w:rsid w:val="00080DE8"/>
    <w:rsid w:val="000811B4"/>
    <w:rsid w:val="000816AC"/>
    <w:rsid w:val="00081918"/>
    <w:rsid w:val="00081AB5"/>
    <w:rsid w:val="00082163"/>
    <w:rsid w:val="00082998"/>
    <w:rsid w:val="00082C4D"/>
    <w:rsid w:val="000835DA"/>
    <w:rsid w:val="00083AE3"/>
    <w:rsid w:val="00084A05"/>
    <w:rsid w:val="00084D3E"/>
    <w:rsid w:val="000854CE"/>
    <w:rsid w:val="0008579D"/>
    <w:rsid w:val="000860CF"/>
    <w:rsid w:val="0008728C"/>
    <w:rsid w:val="00090D8D"/>
    <w:rsid w:val="000926FE"/>
    <w:rsid w:val="00092DAE"/>
    <w:rsid w:val="00093D98"/>
    <w:rsid w:val="00094667"/>
    <w:rsid w:val="00095689"/>
    <w:rsid w:val="000959B8"/>
    <w:rsid w:val="00095E8A"/>
    <w:rsid w:val="00096023"/>
    <w:rsid w:val="00097224"/>
    <w:rsid w:val="0009735F"/>
    <w:rsid w:val="000A051A"/>
    <w:rsid w:val="000A0741"/>
    <w:rsid w:val="000A0824"/>
    <w:rsid w:val="000A0AF0"/>
    <w:rsid w:val="000A1111"/>
    <w:rsid w:val="000A1C61"/>
    <w:rsid w:val="000A1DC9"/>
    <w:rsid w:val="000A1E5C"/>
    <w:rsid w:val="000A39C5"/>
    <w:rsid w:val="000A3BAA"/>
    <w:rsid w:val="000A59FB"/>
    <w:rsid w:val="000A5C66"/>
    <w:rsid w:val="000A6C6E"/>
    <w:rsid w:val="000A6D38"/>
    <w:rsid w:val="000A727F"/>
    <w:rsid w:val="000A72E5"/>
    <w:rsid w:val="000B09BA"/>
    <w:rsid w:val="000B09DC"/>
    <w:rsid w:val="000B0A9A"/>
    <w:rsid w:val="000B0B36"/>
    <w:rsid w:val="000B174F"/>
    <w:rsid w:val="000B1B83"/>
    <w:rsid w:val="000B2404"/>
    <w:rsid w:val="000B26FE"/>
    <w:rsid w:val="000B2EA4"/>
    <w:rsid w:val="000B2F10"/>
    <w:rsid w:val="000B3F65"/>
    <w:rsid w:val="000B45F6"/>
    <w:rsid w:val="000B4B7D"/>
    <w:rsid w:val="000B5134"/>
    <w:rsid w:val="000B54EB"/>
    <w:rsid w:val="000B629D"/>
    <w:rsid w:val="000B79D3"/>
    <w:rsid w:val="000C0378"/>
    <w:rsid w:val="000C1026"/>
    <w:rsid w:val="000C18E7"/>
    <w:rsid w:val="000C1B42"/>
    <w:rsid w:val="000C29DE"/>
    <w:rsid w:val="000C44C5"/>
    <w:rsid w:val="000C4A5A"/>
    <w:rsid w:val="000C697D"/>
    <w:rsid w:val="000C75BC"/>
    <w:rsid w:val="000C786F"/>
    <w:rsid w:val="000C7A08"/>
    <w:rsid w:val="000C7F2D"/>
    <w:rsid w:val="000D054E"/>
    <w:rsid w:val="000D0AB0"/>
    <w:rsid w:val="000D16E3"/>
    <w:rsid w:val="000D1A50"/>
    <w:rsid w:val="000D1A52"/>
    <w:rsid w:val="000D1F06"/>
    <w:rsid w:val="000D1F56"/>
    <w:rsid w:val="000D33D0"/>
    <w:rsid w:val="000D352F"/>
    <w:rsid w:val="000D47DB"/>
    <w:rsid w:val="000D4908"/>
    <w:rsid w:val="000D4EA4"/>
    <w:rsid w:val="000D56E2"/>
    <w:rsid w:val="000D5B4C"/>
    <w:rsid w:val="000D63DE"/>
    <w:rsid w:val="000D73DA"/>
    <w:rsid w:val="000D7837"/>
    <w:rsid w:val="000D7CB6"/>
    <w:rsid w:val="000E01FA"/>
    <w:rsid w:val="000E0F9D"/>
    <w:rsid w:val="000E11AF"/>
    <w:rsid w:val="000E13DF"/>
    <w:rsid w:val="000E15D9"/>
    <w:rsid w:val="000E1A5B"/>
    <w:rsid w:val="000E1F2E"/>
    <w:rsid w:val="000E1F53"/>
    <w:rsid w:val="000E1FA4"/>
    <w:rsid w:val="000E27F1"/>
    <w:rsid w:val="000E4192"/>
    <w:rsid w:val="000E4C5E"/>
    <w:rsid w:val="000E4F74"/>
    <w:rsid w:val="000F014E"/>
    <w:rsid w:val="000F152D"/>
    <w:rsid w:val="000F29B0"/>
    <w:rsid w:val="000F3B97"/>
    <w:rsid w:val="000F412D"/>
    <w:rsid w:val="000F41A7"/>
    <w:rsid w:val="000F4D10"/>
    <w:rsid w:val="000F56EF"/>
    <w:rsid w:val="000F6E33"/>
    <w:rsid w:val="0010056E"/>
    <w:rsid w:val="00100590"/>
    <w:rsid w:val="00100E0F"/>
    <w:rsid w:val="001022A5"/>
    <w:rsid w:val="00102860"/>
    <w:rsid w:val="00102A37"/>
    <w:rsid w:val="00103AE7"/>
    <w:rsid w:val="00103D1A"/>
    <w:rsid w:val="001053A7"/>
    <w:rsid w:val="00106360"/>
    <w:rsid w:val="00106D0D"/>
    <w:rsid w:val="001073CF"/>
    <w:rsid w:val="0010772D"/>
    <w:rsid w:val="00111571"/>
    <w:rsid w:val="00111EEC"/>
    <w:rsid w:val="001126F3"/>
    <w:rsid w:val="00112FB7"/>
    <w:rsid w:val="00113538"/>
    <w:rsid w:val="0011418B"/>
    <w:rsid w:val="001155E2"/>
    <w:rsid w:val="001157D7"/>
    <w:rsid w:val="00115B6E"/>
    <w:rsid w:val="00115E2D"/>
    <w:rsid w:val="00116795"/>
    <w:rsid w:val="00116CBF"/>
    <w:rsid w:val="00117A52"/>
    <w:rsid w:val="0012033F"/>
    <w:rsid w:val="001207AE"/>
    <w:rsid w:val="00121D43"/>
    <w:rsid w:val="00122675"/>
    <w:rsid w:val="0012381C"/>
    <w:rsid w:val="001238A6"/>
    <w:rsid w:val="00124A6D"/>
    <w:rsid w:val="00124C60"/>
    <w:rsid w:val="00125337"/>
    <w:rsid w:val="00125377"/>
    <w:rsid w:val="00132245"/>
    <w:rsid w:val="001322D4"/>
    <w:rsid w:val="00135341"/>
    <w:rsid w:val="00135667"/>
    <w:rsid w:val="001370A0"/>
    <w:rsid w:val="00137AB8"/>
    <w:rsid w:val="001402B7"/>
    <w:rsid w:val="00140688"/>
    <w:rsid w:val="001406BB"/>
    <w:rsid w:val="0014175A"/>
    <w:rsid w:val="00141FBD"/>
    <w:rsid w:val="00141FF2"/>
    <w:rsid w:val="001422A9"/>
    <w:rsid w:val="00142782"/>
    <w:rsid w:val="00145A3A"/>
    <w:rsid w:val="00145CB4"/>
    <w:rsid w:val="001468EC"/>
    <w:rsid w:val="001472D2"/>
    <w:rsid w:val="001477D5"/>
    <w:rsid w:val="00147CDE"/>
    <w:rsid w:val="00147D2B"/>
    <w:rsid w:val="0015063C"/>
    <w:rsid w:val="001507AD"/>
    <w:rsid w:val="00151BA8"/>
    <w:rsid w:val="001520A8"/>
    <w:rsid w:val="00152499"/>
    <w:rsid w:val="00152649"/>
    <w:rsid w:val="00152E28"/>
    <w:rsid w:val="00152E8B"/>
    <w:rsid w:val="00153E12"/>
    <w:rsid w:val="00154855"/>
    <w:rsid w:val="00154DCD"/>
    <w:rsid w:val="00155032"/>
    <w:rsid w:val="00155E06"/>
    <w:rsid w:val="001574CE"/>
    <w:rsid w:val="0015792C"/>
    <w:rsid w:val="001600FC"/>
    <w:rsid w:val="001607F8"/>
    <w:rsid w:val="00161F37"/>
    <w:rsid w:val="0016371A"/>
    <w:rsid w:val="00166E61"/>
    <w:rsid w:val="00167212"/>
    <w:rsid w:val="00167D6F"/>
    <w:rsid w:val="001706B6"/>
    <w:rsid w:val="00170838"/>
    <w:rsid w:val="00170E1C"/>
    <w:rsid w:val="001730E0"/>
    <w:rsid w:val="00174EE2"/>
    <w:rsid w:val="00177105"/>
    <w:rsid w:val="00177555"/>
    <w:rsid w:val="00177600"/>
    <w:rsid w:val="00177712"/>
    <w:rsid w:val="00177821"/>
    <w:rsid w:val="00177BE4"/>
    <w:rsid w:val="00177E17"/>
    <w:rsid w:val="00180063"/>
    <w:rsid w:val="001807DD"/>
    <w:rsid w:val="001813ED"/>
    <w:rsid w:val="00181519"/>
    <w:rsid w:val="00181B94"/>
    <w:rsid w:val="00181E72"/>
    <w:rsid w:val="001824D0"/>
    <w:rsid w:val="001827F4"/>
    <w:rsid w:val="00182BAC"/>
    <w:rsid w:val="00182DF5"/>
    <w:rsid w:val="00183450"/>
    <w:rsid w:val="00184C80"/>
    <w:rsid w:val="00185922"/>
    <w:rsid w:val="00186DC9"/>
    <w:rsid w:val="001906E0"/>
    <w:rsid w:val="001918AC"/>
    <w:rsid w:val="00191A41"/>
    <w:rsid w:val="0019229B"/>
    <w:rsid w:val="0019357E"/>
    <w:rsid w:val="00193E52"/>
    <w:rsid w:val="0019470E"/>
    <w:rsid w:val="00194AA3"/>
    <w:rsid w:val="00196607"/>
    <w:rsid w:val="0019678A"/>
    <w:rsid w:val="001968BF"/>
    <w:rsid w:val="001979FE"/>
    <w:rsid w:val="001A0C5D"/>
    <w:rsid w:val="001A181A"/>
    <w:rsid w:val="001A1B83"/>
    <w:rsid w:val="001A260F"/>
    <w:rsid w:val="001A333F"/>
    <w:rsid w:val="001A3495"/>
    <w:rsid w:val="001A3A33"/>
    <w:rsid w:val="001A3F45"/>
    <w:rsid w:val="001A4493"/>
    <w:rsid w:val="001A46BE"/>
    <w:rsid w:val="001A4FAA"/>
    <w:rsid w:val="001A5CDE"/>
    <w:rsid w:val="001A6F50"/>
    <w:rsid w:val="001A7084"/>
    <w:rsid w:val="001A723F"/>
    <w:rsid w:val="001B0218"/>
    <w:rsid w:val="001B0759"/>
    <w:rsid w:val="001B1F2B"/>
    <w:rsid w:val="001B2988"/>
    <w:rsid w:val="001B2B4B"/>
    <w:rsid w:val="001B6680"/>
    <w:rsid w:val="001B69EA"/>
    <w:rsid w:val="001B6A07"/>
    <w:rsid w:val="001B6A87"/>
    <w:rsid w:val="001B743B"/>
    <w:rsid w:val="001B7A24"/>
    <w:rsid w:val="001C03E0"/>
    <w:rsid w:val="001C1003"/>
    <w:rsid w:val="001C134E"/>
    <w:rsid w:val="001C151D"/>
    <w:rsid w:val="001C2B33"/>
    <w:rsid w:val="001C3A07"/>
    <w:rsid w:val="001C3B01"/>
    <w:rsid w:val="001C3B1A"/>
    <w:rsid w:val="001C3DF8"/>
    <w:rsid w:val="001C4945"/>
    <w:rsid w:val="001C5EAF"/>
    <w:rsid w:val="001C709F"/>
    <w:rsid w:val="001C7908"/>
    <w:rsid w:val="001C79A0"/>
    <w:rsid w:val="001C7A37"/>
    <w:rsid w:val="001C7FD6"/>
    <w:rsid w:val="001D0898"/>
    <w:rsid w:val="001D189B"/>
    <w:rsid w:val="001D2A59"/>
    <w:rsid w:val="001D305B"/>
    <w:rsid w:val="001D36F5"/>
    <w:rsid w:val="001D3DC4"/>
    <w:rsid w:val="001D5588"/>
    <w:rsid w:val="001D57D7"/>
    <w:rsid w:val="001D5E00"/>
    <w:rsid w:val="001D7273"/>
    <w:rsid w:val="001D7817"/>
    <w:rsid w:val="001E2633"/>
    <w:rsid w:val="001E30F9"/>
    <w:rsid w:val="001E4331"/>
    <w:rsid w:val="001E6EC5"/>
    <w:rsid w:val="001F02F9"/>
    <w:rsid w:val="001F10CF"/>
    <w:rsid w:val="001F1DEE"/>
    <w:rsid w:val="001F26F9"/>
    <w:rsid w:val="001F2B9A"/>
    <w:rsid w:val="001F2BC0"/>
    <w:rsid w:val="001F4B75"/>
    <w:rsid w:val="001F4E00"/>
    <w:rsid w:val="001F4FC8"/>
    <w:rsid w:val="001F57CC"/>
    <w:rsid w:val="001F6FB0"/>
    <w:rsid w:val="001F771E"/>
    <w:rsid w:val="001F7803"/>
    <w:rsid w:val="00202441"/>
    <w:rsid w:val="002025C1"/>
    <w:rsid w:val="00202758"/>
    <w:rsid w:val="00202B9B"/>
    <w:rsid w:val="00202FDC"/>
    <w:rsid w:val="00204AFF"/>
    <w:rsid w:val="00205471"/>
    <w:rsid w:val="00205866"/>
    <w:rsid w:val="00207C6E"/>
    <w:rsid w:val="00207D79"/>
    <w:rsid w:val="00210344"/>
    <w:rsid w:val="002106C0"/>
    <w:rsid w:val="0021133B"/>
    <w:rsid w:val="0021177B"/>
    <w:rsid w:val="00211E33"/>
    <w:rsid w:val="002129A1"/>
    <w:rsid w:val="00212F61"/>
    <w:rsid w:val="0021306B"/>
    <w:rsid w:val="002146E7"/>
    <w:rsid w:val="0021490F"/>
    <w:rsid w:val="002164B5"/>
    <w:rsid w:val="002166E2"/>
    <w:rsid w:val="00216E44"/>
    <w:rsid w:val="002171BA"/>
    <w:rsid w:val="00217EE5"/>
    <w:rsid w:val="00217FBC"/>
    <w:rsid w:val="002201AB"/>
    <w:rsid w:val="00220DA1"/>
    <w:rsid w:val="00220DC4"/>
    <w:rsid w:val="002216D3"/>
    <w:rsid w:val="00221805"/>
    <w:rsid w:val="00222C80"/>
    <w:rsid w:val="00223DCC"/>
    <w:rsid w:val="0022467E"/>
    <w:rsid w:val="00225975"/>
    <w:rsid w:val="00227A2E"/>
    <w:rsid w:val="00227DE7"/>
    <w:rsid w:val="00230467"/>
    <w:rsid w:val="00231652"/>
    <w:rsid w:val="0023333A"/>
    <w:rsid w:val="00233A77"/>
    <w:rsid w:val="00233ACD"/>
    <w:rsid w:val="0023505A"/>
    <w:rsid w:val="002350BD"/>
    <w:rsid w:val="00235256"/>
    <w:rsid w:val="002357E7"/>
    <w:rsid w:val="00235E8D"/>
    <w:rsid w:val="002365EE"/>
    <w:rsid w:val="00237AE3"/>
    <w:rsid w:val="00237BFC"/>
    <w:rsid w:val="002405AC"/>
    <w:rsid w:val="00241243"/>
    <w:rsid w:val="0024196D"/>
    <w:rsid w:val="0024273C"/>
    <w:rsid w:val="0024332D"/>
    <w:rsid w:val="00244A05"/>
    <w:rsid w:val="00244A3A"/>
    <w:rsid w:val="00244B40"/>
    <w:rsid w:val="00244CD1"/>
    <w:rsid w:val="00245FAC"/>
    <w:rsid w:val="0024644D"/>
    <w:rsid w:val="0024674B"/>
    <w:rsid w:val="00246D89"/>
    <w:rsid w:val="0024749E"/>
    <w:rsid w:val="00247616"/>
    <w:rsid w:val="00247DF4"/>
    <w:rsid w:val="00250846"/>
    <w:rsid w:val="00250B12"/>
    <w:rsid w:val="002510C0"/>
    <w:rsid w:val="002521B8"/>
    <w:rsid w:val="0025230D"/>
    <w:rsid w:val="00252537"/>
    <w:rsid w:val="002526EC"/>
    <w:rsid w:val="002528CA"/>
    <w:rsid w:val="00252D89"/>
    <w:rsid w:val="00253F6E"/>
    <w:rsid w:val="00253FF9"/>
    <w:rsid w:val="00254216"/>
    <w:rsid w:val="0025475E"/>
    <w:rsid w:val="00254979"/>
    <w:rsid w:val="00255341"/>
    <w:rsid w:val="00255A71"/>
    <w:rsid w:val="002565AD"/>
    <w:rsid w:val="00256D26"/>
    <w:rsid w:val="00256EC3"/>
    <w:rsid w:val="00257008"/>
    <w:rsid w:val="00257F27"/>
    <w:rsid w:val="0026098A"/>
    <w:rsid w:val="00262232"/>
    <w:rsid w:val="002630DA"/>
    <w:rsid w:val="002642FE"/>
    <w:rsid w:val="00264E76"/>
    <w:rsid w:val="00264F04"/>
    <w:rsid w:val="00265964"/>
    <w:rsid w:val="00265E39"/>
    <w:rsid w:val="00266916"/>
    <w:rsid w:val="0026720E"/>
    <w:rsid w:val="00267CB5"/>
    <w:rsid w:val="00267D01"/>
    <w:rsid w:val="00267EA3"/>
    <w:rsid w:val="00270F8B"/>
    <w:rsid w:val="00271BD1"/>
    <w:rsid w:val="00272BCD"/>
    <w:rsid w:val="00274484"/>
    <w:rsid w:val="002754C1"/>
    <w:rsid w:val="00275965"/>
    <w:rsid w:val="0027607F"/>
    <w:rsid w:val="00277E0A"/>
    <w:rsid w:val="00282CD1"/>
    <w:rsid w:val="00282E3F"/>
    <w:rsid w:val="002833EA"/>
    <w:rsid w:val="00284B4C"/>
    <w:rsid w:val="002863EF"/>
    <w:rsid w:val="002879D0"/>
    <w:rsid w:val="00287C37"/>
    <w:rsid w:val="002902AE"/>
    <w:rsid w:val="002923F9"/>
    <w:rsid w:val="00292E90"/>
    <w:rsid w:val="0029337A"/>
    <w:rsid w:val="0029379F"/>
    <w:rsid w:val="002940B0"/>
    <w:rsid w:val="002945A3"/>
    <w:rsid w:val="00295054"/>
    <w:rsid w:val="00295ECB"/>
    <w:rsid w:val="00296FA3"/>
    <w:rsid w:val="00297169"/>
    <w:rsid w:val="002974F2"/>
    <w:rsid w:val="00297773"/>
    <w:rsid w:val="002A065C"/>
    <w:rsid w:val="002A14E6"/>
    <w:rsid w:val="002A161E"/>
    <w:rsid w:val="002A19CE"/>
    <w:rsid w:val="002A1A89"/>
    <w:rsid w:val="002A2BBF"/>
    <w:rsid w:val="002A329C"/>
    <w:rsid w:val="002A3A43"/>
    <w:rsid w:val="002A3C02"/>
    <w:rsid w:val="002A41CB"/>
    <w:rsid w:val="002A5D50"/>
    <w:rsid w:val="002A63CF"/>
    <w:rsid w:val="002A6EDD"/>
    <w:rsid w:val="002A70A4"/>
    <w:rsid w:val="002B0134"/>
    <w:rsid w:val="002B0BC3"/>
    <w:rsid w:val="002B10D1"/>
    <w:rsid w:val="002B144C"/>
    <w:rsid w:val="002B14AD"/>
    <w:rsid w:val="002B1823"/>
    <w:rsid w:val="002B1AE8"/>
    <w:rsid w:val="002B235D"/>
    <w:rsid w:val="002B293D"/>
    <w:rsid w:val="002B318B"/>
    <w:rsid w:val="002B3525"/>
    <w:rsid w:val="002B38A6"/>
    <w:rsid w:val="002B3A5E"/>
    <w:rsid w:val="002B455C"/>
    <w:rsid w:val="002B4A72"/>
    <w:rsid w:val="002B4ACA"/>
    <w:rsid w:val="002B5B0A"/>
    <w:rsid w:val="002B5CF8"/>
    <w:rsid w:val="002B5F89"/>
    <w:rsid w:val="002B5FAF"/>
    <w:rsid w:val="002B6619"/>
    <w:rsid w:val="002B72E4"/>
    <w:rsid w:val="002C12C5"/>
    <w:rsid w:val="002C15E8"/>
    <w:rsid w:val="002C2249"/>
    <w:rsid w:val="002C2427"/>
    <w:rsid w:val="002C52F3"/>
    <w:rsid w:val="002C5453"/>
    <w:rsid w:val="002C6041"/>
    <w:rsid w:val="002C7526"/>
    <w:rsid w:val="002C757E"/>
    <w:rsid w:val="002C7B79"/>
    <w:rsid w:val="002C7F2E"/>
    <w:rsid w:val="002D1218"/>
    <w:rsid w:val="002D2D92"/>
    <w:rsid w:val="002D39DF"/>
    <w:rsid w:val="002D3F00"/>
    <w:rsid w:val="002D47CA"/>
    <w:rsid w:val="002D50DF"/>
    <w:rsid w:val="002D5438"/>
    <w:rsid w:val="002D597E"/>
    <w:rsid w:val="002E263E"/>
    <w:rsid w:val="002E2B3D"/>
    <w:rsid w:val="002E403F"/>
    <w:rsid w:val="002E4EE2"/>
    <w:rsid w:val="002E57A2"/>
    <w:rsid w:val="002E59CF"/>
    <w:rsid w:val="002E66A7"/>
    <w:rsid w:val="002E66C6"/>
    <w:rsid w:val="002E69F1"/>
    <w:rsid w:val="002E7AB9"/>
    <w:rsid w:val="002F21EA"/>
    <w:rsid w:val="002F2446"/>
    <w:rsid w:val="002F38F1"/>
    <w:rsid w:val="002F46D7"/>
    <w:rsid w:val="002F4931"/>
    <w:rsid w:val="002F5E47"/>
    <w:rsid w:val="002F70A5"/>
    <w:rsid w:val="002F7158"/>
    <w:rsid w:val="002F7F83"/>
    <w:rsid w:val="003017E0"/>
    <w:rsid w:val="00301870"/>
    <w:rsid w:val="00302575"/>
    <w:rsid w:val="003028FA"/>
    <w:rsid w:val="00303163"/>
    <w:rsid w:val="00303531"/>
    <w:rsid w:val="003039ED"/>
    <w:rsid w:val="00303E26"/>
    <w:rsid w:val="003043B7"/>
    <w:rsid w:val="00304F96"/>
    <w:rsid w:val="0030549B"/>
    <w:rsid w:val="0030653B"/>
    <w:rsid w:val="0030682F"/>
    <w:rsid w:val="003069C1"/>
    <w:rsid w:val="00306AE3"/>
    <w:rsid w:val="00306B1D"/>
    <w:rsid w:val="00306E8B"/>
    <w:rsid w:val="00310389"/>
    <w:rsid w:val="0031042A"/>
    <w:rsid w:val="00310D50"/>
    <w:rsid w:val="003117FE"/>
    <w:rsid w:val="00311A38"/>
    <w:rsid w:val="00311A43"/>
    <w:rsid w:val="00311DAB"/>
    <w:rsid w:val="003120E0"/>
    <w:rsid w:val="003152CC"/>
    <w:rsid w:val="00315CBE"/>
    <w:rsid w:val="00315FCB"/>
    <w:rsid w:val="003161D6"/>
    <w:rsid w:val="00323819"/>
    <w:rsid w:val="00323D54"/>
    <w:rsid w:val="00323F75"/>
    <w:rsid w:val="00324D82"/>
    <w:rsid w:val="00326A79"/>
    <w:rsid w:val="00327571"/>
    <w:rsid w:val="00327CB7"/>
    <w:rsid w:val="003306BD"/>
    <w:rsid w:val="00330B0D"/>
    <w:rsid w:val="0033102E"/>
    <w:rsid w:val="00331623"/>
    <w:rsid w:val="00332272"/>
    <w:rsid w:val="00332425"/>
    <w:rsid w:val="00332A2B"/>
    <w:rsid w:val="00333AB3"/>
    <w:rsid w:val="003343CE"/>
    <w:rsid w:val="003357DC"/>
    <w:rsid w:val="00335CD8"/>
    <w:rsid w:val="00336022"/>
    <w:rsid w:val="00336906"/>
    <w:rsid w:val="00337F61"/>
    <w:rsid w:val="003414D8"/>
    <w:rsid w:val="0034191F"/>
    <w:rsid w:val="0034220F"/>
    <w:rsid w:val="003447DF"/>
    <w:rsid w:val="0034493D"/>
    <w:rsid w:val="003452D8"/>
    <w:rsid w:val="00346090"/>
    <w:rsid w:val="0034776E"/>
    <w:rsid w:val="00350DDA"/>
    <w:rsid w:val="00351024"/>
    <w:rsid w:val="00351EA4"/>
    <w:rsid w:val="003527D8"/>
    <w:rsid w:val="0035377A"/>
    <w:rsid w:val="00353871"/>
    <w:rsid w:val="00355437"/>
    <w:rsid w:val="003555A0"/>
    <w:rsid w:val="00355FFB"/>
    <w:rsid w:val="003565F3"/>
    <w:rsid w:val="00357472"/>
    <w:rsid w:val="00357BE6"/>
    <w:rsid w:val="00357E05"/>
    <w:rsid w:val="00360972"/>
    <w:rsid w:val="003611A5"/>
    <w:rsid w:val="003613F9"/>
    <w:rsid w:val="00361CAA"/>
    <w:rsid w:val="00362BDB"/>
    <w:rsid w:val="0036340F"/>
    <w:rsid w:val="0036410E"/>
    <w:rsid w:val="00364E7E"/>
    <w:rsid w:val="00364F34"/>
    <w:rsid w:val="003650F9"/>
    <w:rsid w:val="00367BC2"/>
    <w:rsid w:val="0037077B"/>
    <w:rsid w:val="003719E2"/>
    <w:rsid w:val="00372E52"/>
    <w:rsid w:val="00372FE5"/>
    <w:rsid w:val="003735DF"/>
    <w:rsid w:val="00374A10"/>
    <w:rsid w:val="003750E0"/>
    <w:rsid w:val="00375DE5"/>
    <w:rsid w:val="00376211"/>
    <w:rsid w:val="003775E3"/>
    <w:rsid w:val="00377CCE"/>
    <w:rsid w:val="00377D19"/>
    <w:rsid w:val="00377D41"/>
    <w:rsid w:val="0038044B"/>
    <w:rsid w:val="003804F6"/>
    <w:rsid w:val="0038051C"/>
    <w:rsid w:val="00381066"/>
    <w:rsid w:val="00381F0E"/>
    <w:rsid w:val="003823EA"/>
    <w:rsid w:val="003825CD"/>
    <w:rsid w:val="0038260C"/>
    <w:rsid w:val="003827B9"/>
    <w:rsid w:val="003829CA"/>
    <w:rsid w:val="00384646"/>
    <w:rsid w:val="00386D59"/>
    <w:rsid w:val="0038713F"/>
    <w:rsid w:val="0038772C"/>
    <w:rsid w:val="00390392"/>
    <w:rsid w:val="00390549"/>
    <w:rsid w:val="00390978"/>
    <w:rsid w:val="00390D28"/>
    <w:rsid w:val="003915D6"/>
    <w:rsid w:val="003915F2"/>
    <w:rsid w:val="003928B5"/>
    <w:rsid w:val="00393BE1"/>
    <w:rsid w:val="00394190"/>
    <w:rsid w:val="00395915"/>
    <w:rsid w:val="0039608A"/>
    <w:rsid w:val="003960DD"/>
    <w:rsid w:val="0039664D"/>
    <w:rsid w:val="003975F9"/>
    <w:rsid w:val="003A00E8"/>
    <w:rsid w:val="003A03AC"/>
    <w:rsid w:val="003A091C"/>
    <w:rsid w:val="003A0D04"/>
    <w:rsid w:val="003A1033"/>
    <w:rsid w:val="003A1395"/>
    <w:rsid w:val="003A2147"/>
    <w:rsid w:val="003A3FDC"/>
    <w:rsid w:val="003A41F7"/>
    <w:rsid w:val="003A4529"/>
    <w:rsid w:val="003A4B7F"/>
    <w:rsid w:val="003A5038"/>
    <w:rsid w:val="003A52E5"/>
    <w:rsid w:val="003A629F"/>
    <w:rsid w:val="003A7AD9"/>
    <w:rsid w:val="003A7C93"/>
    <w:rsid w:val="003B093D"/>
    <w:rsid w:val="003B386F"/>
    <w:rsid w:val="003B3A77"/>
    <w:rsid w:val="003B413E"/>
    <w:rsid w:val="003B46F0"/>
    <w:rsid w:val="003B479E"/>
    <w:rsid w:val="003B5CD7"/>
    <w:rsid w:val="003B6954"/>
    <w:rsid w:val="003B7D9B"/>
    <w:rsid w:val="003C141D"/>
    <w:rsid w:val="003C18D9"/>
    <w:rsid w:val="003C23C2"/>
    <w:rsid w:val="003C28B1"/>
    <w:rsid w:val="003C384A"/>
    <w:rsid w:val="003C46B4"/>
    <w:rsid w:val="003C5978"/>
    <w:rsid w:val="003C7B74"/>
    <w:rsid w:val="003D04F9"/>
    <w:rsid w:val="003D1319"/>
    <w:rsid w:val="003D1F2B"/>
    <w:rsid w:val="003D2E7F"/>
    <w:rsid w:val="003D35D5"/>
    <w:rsid w:val="003D452C"/>
    <w:rsid w:val="003D4BC3"/>
    <w:rsid w:val="003D4D4E"/>
    <w:rsid w:val="003D588B"/>
    <w:rsid w:val="003D605E"/>
    <w:rsid w:val="003D6220"/>
    <w:rsid w:val="003D692E"/>
    <w:rsid w:val="003D6CAF"/>
    <w:rsid w:val="003D6D44"/>
    <w:rsid w:val="003D759F"/>
    <w:rsid w:val="003E01E3"/>
    <w:rsid w:val="003E24CC"/>
    <w:rsid w:val="003E32ED"/>
    <w:rsid w:val="003E3323"/>
    <w:rsid w:val="003E36D6"/>
    <w:rsid w:val="003E3C6B"/>
    <w:rsid w:val="003E3E4A"/>
    <w:rsid w:val="003E6196"/>
    <w:rsid w:val="003E6319"/>
    <w:rsid w:val="003E6373"/>
    <w:rsid w:val="003E6CF0"/>
    <w:rsid w:val="003E741B"/>
    <w:rsid w:val="003F037A"/>
    <w:rsid w:val="003F057A"/>
    <w:rsid w:val="003F1426"/>
    <w:rsid w:val="003F26E7"/>
    <w:rsid w:val="003F2DB6"/>
    <w:rsid w:val="003F32CC"/>
    <w:rsid w:val="003F4B9F"/>
    <w:rsid w:val="003F4E09"/>
    <w:rsid w:val="003F4F79"/>
    <w:rsid w:val="00400DD8"/>
    <w:rsid w:val="00401044"/>
    <w:rsid w:val="0040149F"/>
    <w:rsid w:val="0040463E"/>
    <w:rsid w:val="004055C4"/>
    <w:rsid w:val="00405DAD"/>
    <w:rsid w:val="004075F6"/>
    <w:rsid w:val="004077B0"/>
    <w:rsid w:val="00407E2F"/>
    <w:rsid w:val="00410246"/>
    <w:rsid w:val="0041037B"/>
    <w:rsid w:val="0041147C"/>
    <w:rsid w:val="004116C0"/>
    <w:rsid w:val="00411E50"/>
    <w:rsid w:val="00412082"/>
    <w:rsid w:val="004147BB"/>
    <w:rsid w:val="004148E1"/>
    <w:rsid w:val="00414AE9"/>
    <w:rsid w:val="00416902"/>
    <w:rsid w:val="00416AEB"/>
    <w:rsid w:val="00416CDF"/>
    <w:rsid w:val="00416E1E"/>
    <w:rsid w:val="004201CA"/>
    <w:rsid w:val="00420633"/>
    <w:rsid w:val="0042115D"/>
    <w:rsid w:val="004218C7"/>
    <w:rsid w:val="00421990"/>
    <w:rsid w:val="00422474"/>
    <w:rsid w:val="00422C6F"/>
    <w:rsid w:val="00422F3D"/>
    <w:rsid w:val="004239FA"/>
    <w:rsid w:val="004239FD"/>
    <w:rsid w:val="00424A8D"/>
    <w:rsid w:val="004253AF"/>
    <w:rsid w:val="00425AAB"/>
    <w:rsid w:val="00425DB2"/>
    <w:rsid w:val="0043125A"/>
    <w:rsid w:val="00432201"/>
    <w:rsid w:val="004337D4"/>
    <w:rsid w:val="00433975"/>
    <w:rsid w:val="00433D25"/>
    <w:rsid w:val="0043445A"/>
    <w:rsid w:val="00434813"/>
    <w:rsid w:val="00434BBD"/>
    <w:rsid w:val="00435E98"/>
    <w:rsid w:val="00436A0D"/>
    <w:rsid w:val="0043710D"/>
    <w:rsid w:val="004378A8"/>
    <w:rsid w:val="00437971"/>
    <w:rsid w:val="0044028D"/>
    <w:rsid w:val="0044074B"/>
    <w:rsid w:val="00440E4F"/>
    <w:rsid w:val="0044158F"/>
    <w:rsid w:val="004435BD"/>
    <w:rsid w:val="00444451"/>
    <w:rsid w:val="00446199"/>
    <w:rsid w:val="00447700"/>
    <w:rsid w:val="00447FBB"/>
    <w:rsid w:val="0045066F"/>
    <w:rsid w:val="00450848"/>
    <w:rsid w:val="004520B6"/>
    <w:rsid w:val="00452B52"/>
    <w:rsid w:val="00452B8D"/>
    <w:rsid w:val="004536EA"/>
    <w:rsid w:val="00454219"/>
    <w:rsid w:val="004543B3"/>
    <w:rsid w:val="00454962"/>
    <w:rsid w:val="00454A11"/>
    <w:rsid w:val="004552A7"/>
    <w:rsid w:val="00455DD5"/>
    <w:rsid w:val="00455EFA"/>
    <w:rsid w:val="00460609"/>
    <w:rsid w:val="00460C3C"/>
    <w:rsid w:val="004616FE"/>
    <w:rsid w:val="00461ED3"/>
    <w:rsid w:val="0046273F"/>
    <w:rsid w:val="00462F82"/>
    <w:rsid w:val="00463C10"/>
    <w:rsid w:val="00465223"/>
    <w:rsid w:val="00465552"/>
    <w:rsid w:val="004658EE"/>
    <w:rsid w:val="0046748B"/>
    <w:rsid w:val="00467A74"/>
    <w:rsid w:val="00467C8C"/>
    <w:rsid w:val="00470516"/>
    <w:rsid w:val="00471666"/>
    <w:rsid w:val="00471893"/>
    <w:rsid w:val="00471FC9"/>
    <w:rsid w:val="00472433"/>
    <w:rsid w:val="00472548"/>
    <w:rsid w:val="00472960"/>
    <w:rsid w:val="00472B75"/>
    <w:rsid w:val="0047316A"/>
    <w:rsid w:val="00473991"/>
    <w:rsid w:val="00473C2C"/>
    <w:rsid w:val="00473E5C"/>
    <w:rsid w:val="004750CA"/>
    <w:rsid w:val="0047528D"/>
    <w:rsid w:val="00475342"/>
    <w:rsid w:val="00476422"/>
    <w:rsid w:val="00477DDF"/>
    <w:rsid w:val="00481A65"/>
    <w:rsid w:val="0048264A"/>
    <w:rsid w:val="00482E9C"/>
    <w:rsid w:val="00483736"/>
    <w:rsid w:val="00483E2B"/>
    <w:rsid w:val="00484D20"/>
    <w:rsid w:val="00485A5F"/>
    <w:rsid w:val="00487126"/>
    <w:rsid w:val="00487359"/>
    <w:rsid w:val="00487862"/>
    <w:rsid w:val="00487D02"/>
    <w:rsid w:val="0049009C"/>
    <w:rsid w:val="00490574"/>
    <w:rsid w:val="0049133D"/>
    <w:rsid w:val="00491478"/>
    <w:rsid w:val="00491C2C"/>
    <w:rsid w:val="00492437"/>
    <w:rsid w:val="004931F7"/>
    <w:rsid w:val="004940B9"/>
    <w:rsid w:val="0049477F"/>
    <w:rsid w:val="00494D39"/>
    <w:rsid w:val="00495F3A"/>
    <w:rsid w:val="004A0BCA"/>
    <w:rsid w:val="004A0CE7"/>
    <w:rsid w:val="004A3335"/>
    <w:rsid w:val="004A3B83"/>
    <w:rsid w:val="004A52D2"/>
    <w:rsid w:val="004A538D"/>
    <w:rsid w:val="004A5E74"/>
    <w:rsid w:val="004A7699"/>
    <w:rsid w:val="004A795D"/>
    <w:rsid w:val="004A7EF1"/>
    <w:rsid w:val="004B0249"/>
    <w:rsid w:val="004B1DC2"/>
    <w:rsid w:val="004B39AE"/>
    <w:rsid w:val="004B5924"/>
    <w:rsid w:val="004B5D30"/>
    <w:rsid w:val="004B7A29"/>
    <w:rsid w:val="004C0112"/>
    <w:rsid w:val="004C0EB4"/>
    <w:rsid w:val="004C3D6B"/>
    <w:rsid w:val="004C42B2"/>
    <w:rsid w:val="004C4AFE"/>
    <w:rsid w:val="004C4CAC"/>
    <w:rsid w:val="004C4FD0"/>
    <w:rsid w:val="004C5471"/>
    <w:rsid w:val="004C6192"/>
    <w:rsid w:val="004C67CD"/>
    <w:rsid w:val="004C7357"/>
    <w:rsid w:val="004D0BFD"/>
    <w:rsid w:val="004D14DF"/>
    <w:rsid w:val="004D26B6"/>
    <w:rsid w:val="004D2E35"/>
    <w:rsid w:val="004D53FC"/>
    <w:rsid w:val="004D5A20"/>
    <w:rsid w:val="004D743B"/>
    <w:rsid w:val="004D7B84"/>
    <w:rsid w:val="004E0509"/>
    <w:rsid w:val="004E0832"/>
    <w:rsid w:val="004E0BF9"/>
    <w:rsid w:val="004E1041"/>
    <w:rsid w:val="004E2591"/>
    <w:rsid w:val="004E29D8"/>
    <w:rsid w:val="004E34A5"/>
    <w:rsid w:val="004E37CA"/>
    <w:rsid w:val="004E3A26"/>
    <w:rsid w:val="004E40E2"/>
    <w:rsid w:val="004E5992"/>
    <w:rsid w:val="004E5BD1"/>
    <w:rsid w:val="004E6A30"/>
    <w:rsid w:val="004F01DF"/>
    <w:rsid w:val="004F0477"/>
    <w:rsid w:val="004F082C"/>
    <w:rsid w:val="004F121F"/>
    <w:rsid w:val="004F1EA2"/>
    <w:rsid w:val="004F2873"/>
    <w:rsid w:val="004F2EAA"/>
    <w:rsid w:val="004F598A"/>
    <w:rsid w:val="004F5A78"/>
    <w:rsid w:val="004F5B02"/>
    <w:rsid w:val="004F6076"/>
    <w:rsid w:val="004F61EC"/>
    <w:rsid w:val="004F6868"/>
    <w:rsid w:val="004F78AF"/>
    <w:rsid w:val="005003C9"/>
    <w:rsid w:val="00501D91"/>
    <w:rsid w:val="00501DAC"/>
    <w:rsid w:val="00501EFB"/>
    <w:rsid w:val="005020D5"/>
    <w:rsid w:val="00503C94"/>
    <w:rsid w:val="00503FF0"/>
    <w:rsid w:val="00504CAA"/>
    <w:rsid w:val="00504F63"/>
    <w:rsid w:val="00506168"/>
    <w:rsid w:val="0050668C"/>
    <w:rsid w:val="005069FA"/>
    <w:rsid w:val="00507131"/>
    <w:rsid w:val="0050739B"/>
    <w:rsid w:val="00510CE4"/>
    <w:rsid w:val="00510F4F"/>
    <w:rsid w:val="00511CBB"/>
    <w:rsid w:val="00511DD8"/>
    <w:rsid w:val="00514017"/>
    <w:rsid w:val="00514582"/>
    <w:rsid w:val="00514F4E"/>
    <w:rsid w:val="0051560F"/>
    <w:rsid w:val="005162E7"/>
    <w:rsid w:val="00516876"/>
    <w:rsid w:val="005201C4"/>
    <w:rsid w:val="00520F3D"/>
    <w:rsid w:val="00521C75"/>
    <w:rsid w:val="005238DA"/>
    <w:rsid w:val="005240E2"/>
    <w:rsid w:val="00525DE2"/>
    <w:rsid w:val="00525E25"/>
    <w:rsid w:val="005268E8"/>
    <w:rsid w:val="00526D7C"/>
    <w:rsid w:val="00526F02"/>
    <w:rsid w:val="00527E03"/>
    <w:rsid w:val="0053086B"/>
    <w:rsid w:val="00531A56"/>
    <w:rsid w:val="00531AFA"/>
    <w:rsid w:val="00533D0D"/>
    <w:rsid w:val="0053417F"/>
    <w:rsid w:val="005342B5"/>
    <w:rsid w:val="00535BF8"/>
    <w:rsid w:val="005363CF"/>
    <w:rsid w:val="005369C6"/>
    <w:rsid w:val="00536CFA"/>
    <w:rsid w:val="00537622"/>
    <w:rsid w:val="005377D7"/>
    <w:rsid w:val="00537D64"/>
    <w:rsid w:val="005408FF"/>
    <w:rsid w:val="00541516"/>
    <w:rsid w:val="005416B7"/>
    <w:rsid w:val="0054212E"/>
    <w:rsid w:val="00542683"/>
    <w:rsid w:val="00542EC5"/>
    <w:rsid w:val="005440EA"/>
    <w:rsid w:val="005441E8"/>
    <w:rsid w:val="00544586"/>
    <w:rsid w:val="00544C51"/>
    <w:rsid w:val="005450CB"/>
    <w:rsid w:val="00545DDD"/>
    <w:rsid w:val="0054620F"/>
    <w:rsid w:val="005467E5"/>
    <w:rsid w:val="00546A92"/>
    <w:rsid w:val="00547560"/>
    <w:rsid w:val="00550E53"/>
    <w:rsid w:val="00551BD4"/>
    <w:rsid w:val="005527A6"/>
    <w:rsid w:val="005539CD"/>
    <w:rsid w:val="00554DE2"/>
    <w:rsid w:val="00555E24"/>
    <w:rsid w:val="0055699D"/>
    <w:rsid w:val="0056258F"/>
    <w:rsid w:val="005626EA"/>
    <w:rsid w:val="005629E0"/>
    <w:rsid w:val="00562B6C"/>
    <w:rsid w:val="00564FCA"/>
    <w:rsid w:val="00565B4A"/>
    <w:rsid w:val="005667C1"/>
    <w:rsid w:val="00567215"/>
    <w:rsid w:val="00567B33"/>
    <w:rsid w:val="00567BB6"/>
    <w:rsid w:val="00570BD7"/>
    <w:rsid w:val="00570CDA"/>
    <w:rsid w:val="0057210F"/>
    <w:rsid w:val="00573859"/>
    <w:rsid w:val="005739A1"/>
    <w:rsid w:val="00573EC2"/>
    <w:rsid w:val="00574498"/>
    <w:rsid w:val="005764F9"/>
    <w:rsid w:val="00576984"/>
    <w:rsid w:val="005771B6"/>
    <w:rsid w:val="005773A6"/>
    <w:rsid w:val="0057744C"/>
    <w:rsid w:val="00580139"/>
    <w:rsid w:val="005809F9"/>
    <w:rsid w:val="00580A34"/>
    <w:rsid w:val="00582297"/>
    <w:rsid w:val="005826DD"/>
    <w:rsid w:val="0058275E"/>
    <w:rsid w:val="00582993"/>
    <w:rsid w:val="00582A55"/>
    <w:rsid w:val="00582B38"/>
    <w:rsid w:val="00583AA0"/>
    <w:rsid w:val="005849DE"/>
    <w:rsid w:val="005852BB"/>
    <w:rsid w:val="0058612B"/>
    <w:rsid w:val="005869BE"/>
    <w:rsid w:val="00586D79"/>
    <w:rsid w:val="00590023"/>
    <w:rsid w:val="00591354"/>
    <w:rsid w:val="00592140"/>
    <w:rsid w:val="0059264C"/>
    <w:rsid w:val="005939E2"/>
    <w:rsid w:val="0059401A"/>
    <w:rsid w:val="00594297"/>
    <w:rsid w:val="00594CDC"/>
    <w:rsid w:val="00595191"/>
    <w:rsid w:val="005A1156"/>
    <w:rsid w:val="005A1318"/>
    <w:rsid w:val="005A15E8"/>
    <w:rsid w:val="005A1B52"/>
    <w:rsid w:val="005A1DE2"/>
    <w:rsid w:val="005A26AE"/>
    <w:rsid w:val="005A2BE6"/>
    <w:rsid w:val="005A36EF"/>
    <w:rsid w:val="005A3874"/>
    <w:rsid w:val="005A6878"/>
    <w:rsid w:val="005A6B05"/>
    <w:rsid w:val="005A6F8E"/>
    <w:rsid w:val="005A78AF"/>
    <w:rsid w:val="005B039D"/>
    <w:rsid w:val="005B0C24"/>
    <w:rsid w:val="005B0EAE"/>
    <w:rsid w:val="005B13DF"/>
    <w:rsid w:val="005B1419"/>
    <w:rsid w:val="005B1653"/>
    <w:rsid w:val="005B18F6"/>
    <w:rsid w:val="005B1F2C"/>
    <w:rsid w:val="005B20C4"/>
    <w:rsid w:val="005B2C49"/>
    <w:rsid w:val="005B3ADC"/>
    <w:rsid w:val="005B4089"/>
    <w:rsid w:val="005B4751"/>
    <w:rsid w:val="005B5DC9"/>
    <w:rsid w:val="005B6754"/>
    <w:rsid w:val="005B7371"/>
    <w:rsid w:val="005B773E"/>
    <w:rsid w:val="005B7925"/>
    <w:rsid w:val="005B7984"/>
    <w:rsid w:val="005B7C5F"/>
    <w:rsid w:val="005B7E8E"/>
    <w:rsid w:val="005C0A32"/>
    <w:rsid w:val="005C18EB"/>
    <w:rsid w:val="005C1954"/>
    <w:rsid w:val="005C1CD6"/>
    <w:rsid w:val="005C2C77"/>
    <w:rsid w:val="005C2FD6"/>
    <w:rsid w:val="005C3072"/>
    <w:rsid w:val="005C400B"/>
    <w:rsid w:val="005C46C4"/>
    <w:rsid w:val="005C6020"/>
    <w:rsid w:val="005D146A"/>
    <w:rsid w:val="005D1B89"/>
    <w:rsid w:val="005D22FD"/>
    <w:rsid w:val="005D33EB"/>
    <w:rsid w:val="005D401F"/>
    <w:rsid w:val="005D58DC"/>
    <w:rsid w:val="005D6350"/>
    <w:rsid w:val="005D650F"/>
    <w:rsid w:val="005D7EEE"/>
    <w:rsid w:val="005E04EC"/>
    <w:rsid w:val="005E0B51"/>
    <w:rsid w:val="005E13ED"/>
    <w:rsid w:val="005E2182"/>
    <w:rsid w:val="005E3EF4"/>
    <w:rsid w:val="005E3F78"/>
    <w:rsid w:val="005E4A1B"/>
    <w:rsid w:val="005E5532"/>
    <w:rsid w:val="005E5AEB"/>
    <w:rsid w:val="005E605D"/>
    <w:rsid w:val="005E6EC4"/>
    <w:rsid w:val="005E7D95"/>
    <w:rsid w:val="005F03DB"/>
    <w:rsid w:val="005F1286"/>
    <w:rsid w:val="005F178D"/>
    <w:rsid w:val="005F206F"/>
    <w:rsid w:val="005F2AB5"/>
    <w:rsid w:val="005F2AF2"/>
    <w:rsid w:val="005F310D"/>
    <w:rsid w:val="005F3DF4"/>
    <w:rsid w:val="005F46F2"/>
    <w:rsid w:val="005F5F27"/>
    <w:rsid w:val="005F7240"/>
    <w:rsid w:val="005F74F5"/>
    <w:rsid w:val="005F760E"/>
    <w:rsid w:val="005F7AE4"/>
    <w:rsid w:val="005F7C3B"/>
    <w:rsid w:val="00600C60"/>
    <w:rsid w:val="00601422"/>
    <w:rsid w:val="00601442"/>
    <w:rsid w:val="00601BA4"/>
    <w:rsid w:val="006020C9"/>
    <w:rsid w:val="006021D6"/>
    <w:rsid w:val="00602B4D"/>
    <w:rsid w:val="00605A2A"/>
    <w:rsid w:val="006063C5"/>
    <w:rsid w:val="00606DFA"/>
    <w:rsid w:val="006072FE"/>
    <w:rsid w:val="00611460"/>
    <w:rsid w:val="006118A3"/>
    <w:rsid w:val="00611A83"/>
    <w:rsid w:val="00612277"/>
    <w:rsid w:val="006125C8"/>
    <w:rsid w:val="00612870"/>
    <w:rsid w:val="00615D3E"/>
    <w:rsid w:val="00616121"/>
    <w:rsid w:val="0061614F"/>
    <w:rsid w:val="00620A03"/>
    <w:rsid w:val="00622175"/>
    <w:rsid w:val="00624DC3"/>
    <w:rsid w:val="00624F9A"/>
    <w:rsid w:val="006256D1"/>
    <w:rsid w:val="00626DC3"/>
    <w:rsid w:val="00626DDE"/>
    <w:rsid w:val="006304EC"/>
    <w:rsid w:val="00631292"/>
    <w:rsid w:val="006314DC"/>
    <w:rsid w:val="00631CAD"/>
    <w:rsid w:val="00633E12"/>
    <w:rsid w:val="006354B6"/>
    <w:rsid w:val="0063599F"/>
    <w:rsid w:val="00635CBC"/>
    <w:rsid w:val="00636666"/>
    <w:rsid w:val="006367AC"/>
    <w:rsid w:val="00636867"/>
    <w:rsid w:val="006378E8"/>
    <w:rsid w:val="006403EA"/>
    <w:rsid w:val="0064093C"/>
    <w:rsid w:val="00642051"/>
    <w:rsid w:val="00642B0C"/>
    <w:rsid w:val="0064478F"/>
    <w:rsid w:val="00644EBC"/>
    <w:rsid w:val="0064537A"/>
    <w:rsid w:val="0064589A"/>
    <w:rsid w:val="00645EDC"/>
    <w:rsid w:val="00646F65"/>
    <w:rsid w:val="00647045"/>
    <w:rsid w:val="006503C7"/>
    <w:rsid w:val="0065072D"/>
    <w:rsid w:val="0065199D"/>
    <w:rsid w:val="00652153"/>
    <w:rsid w:val="00652479"/>
    <w:rsid w:val="00652E99"/>
    <w:rsid w:val="0065345F"/>
    <w:rsid w:val="00653A44"/>
    <w:rsid w:val="006554F0"/>
    <w:rsid w:val="00656121"/>
    <w:rsid w:val="006577DD"/>
    <w:rsid w:val="006602C9"/>
    <w:rsid w:val="0066083B"/>
    <w:rsid w:val="00661032"/>
    <w:rsid w:val="00661538"/>
    <w:rsid w:val="00667153"/>
    <w:rsid w:val="0067079D"/>
    <w:rsid w:val="0067135D"/>
    <w:rsid w:val="00671383"/>
    <w:rsid w:val="006719C1"/>
    <w:rsid w:val="006739CB"/>
    <w:rsid w:val="00673B6B"/>
    <w:rsid w:val="006742F9"/>
    <w:rsid w:val="00674BFC"/>
    <w:rsid w:val="00675473"/>
    <w:rsid w:val="00675BCF"/>
    <w:rsid w:val="00676221"/>
    <w:rsid w:val="00676A12"/>
    <w:rsid w:val="00680756"/>
    <w:rsid w:val="00680BAF"/>
    <w:rsid w:val="00680C15"/>
    <w:rsid w:val="00680FB3"/>
    <w:rsid w:val="00681115"/>
    <w:rsid w:val="00681ACB"/>
    <w:rsid w:val="00682A7D"/>
    <w:rsid w:val="00685B3C"/>
    <w:rsid w:val="00685F20"/>
    <w:rsid w:val="00686716"/>
    <w:rsid w:val="00686F08"/>
    <w:rsid w:val="00687F34"/>
    <w:rsid w:val="006925D4"/>
    <w:rsid w:val="00692D99"/>
    <w:rsid w:val="00693C79"/>
    <w:rsid w:val="0069403A"/>
    <w:rsid w:val="00695E2D"/>
    <w:rsid w:val="006A1236"/>
    <w:rsid w:val="006A13EC"/>
    <w:rsid w:val="006A24B4"/>
    <w:rsid w:val="006A2F29"/>
    <w:rsid w:val="006A3CEB"/>
    <w:rsid w:val="006A4EE0"/>
    <w:rsid w:val="006A5174"/>
    <w:rsid w:val="006A7BA7"/>
    <w:rsid w:val="006A7D40"/>
    <w:rsid w:val="006B016D"/>
    <w:rsid w:val="006B18EA"/>
    <w:rsid w:val="006B19F6"/>
    <w:rsid w:val="006B1C23"/>
    <w:rsid w:val="006B30EF"/>
    <w:rsid w:val="006B34D3"/>
    <w:rsid w:val="006B434D"/>
    <w:rsid w:val="006B497D"/>
    <w:rsid w:val="006B62D7"/>
    <w:rsid w:val="006B7D7A"/>
    <w:rsid w:val="006B7FB6"/>
    <w:rsid w:val="006C0BDB"/>
    <w:rsid w:val="006C126D"/>
    <w:rsid w:val="006C176E"/>
    <w:rsid w:val="006C189B"/>
    <w:rsid w:val="006C1D21"/>
    <w:rsid w:val="006C2110"/>
    <w:rsid w:val="006C2323"/>
    <w:rsid w:val="006C254D"/>
    <w:rsid w:val="006C2976"/>
    <w:rsid w:val="006C3F72"/>
    <w:rsid w:val="006C408E"/>
    <w:rsid w:val="006C6432"/>
    <w:rsid w:val="006C6B7B"/>
    <w:rsid w:val="006C7D8B"/>
    <w:rsid w:val="006D148B"/>
    <w:rsid w:val="006D2AFB"/>
    <w:rsid w:val="006D33DD"/>
    <w:rsid w:val="006D38C4"/>
    <w:rsid w:val="006D3C59"/>
    <w:rsid w:val="006D4057"/>
    <w:rsid w:val="006D44C2"/>
    <w:rsid w:val="006D46A4"/>
    <w:rsid w:val="006D4785"/>
    <w:rsid w:val="006D6052"/>
    <w:rsid w:val="006D61BA"/>
    <w:rsid w:val="006D6798"/>
    <w:rsid w:val="006E032A"/>
    <w:rsid w:val="006E073C"/>
    <w:rsid w:val="006E0D01"/>
    <w:rsid w:val="006E2FD5"/>
    <w:rsid w:val="006E3E1F"/>
    <w:rsid w:val="006E3E9B"/>
    <w:rsid w:val="006E4F15"/>
    <w:rsid w:val="006E543E"/>
    <w:rsid w:val="006E5B71"/>
    <w:rsid w:val="006E6535"/>
    <w:rsid w:val="006E706B"/>
    <w:rsid w:val="006E73A0"/>
    <w:rsid w:val="006E77E1"/>
    <w:rsid w:val="006E79C6"/>
    <w:rsid w:val="006F0757"/>
    <w:rsid w:val="006F185F"/>
    <w:rsid w:val="006F3180"/>
    <w:rsid w:val="006F3487"/>
    <w:rsid w:val="006F35B7"/>
    <w:rsid w:val="006F3BAA"/>
    <w:rsid w:val="006F3E61"/>
    <w:rsid w:val="006F3F7B"/>
    <w:rsid w:val="006F47D5"/>
    <w:rsid w:val="006F5F60"/>
    <w:rsid w:val="006F6133"/>
    <w:rsid w:val="006F7CB0"/>
    <w:rsid w:val="007000C2"/>
    <w:rsid w:val="00700B72"/>
    <w:rsid w:val="007016EF"/>
    <w:rsid w:val="00701B8C"/>
    <w:rsid w:val="00703C11"/>
    <w:rsid w:val="00703DFB"/>
    <w:rsid w:val="0070430D"/>
    <w:rsid w:val="00704BA3"/>
    <w:rsid w:val="00710D69"/>
    <w:rsid w:val="00711017"/>
    <w:rsid w:val="00712350"/>
    <w:rsid w:val="007129A6"/>
    <w:rsid w:val="00712CB4"/>
    <w:rsid w:val="00712D48"/>
    <w:rsid w:val="00712E29"/>
    <w:rsid w:val="00713576"/>
    <w:rsid w:val="00713CFD"/>
    <w:rsid w:val="0071411A"/>
    <w:rsid w:val="0071577E"/>
    <w:rsid w:val="00715F9F"/>
    <w:rsid w:val="00716C2B"/>
    <w:rsid w:val="007178E1"/>
    <w:rsid w:val="00717E7D"/>
    <w:rsid w:val="007208A2"/>
    <w:rsid w:val="00720ECB"/>
    <w:rsid w:val="0072129A"/>
    <w:rsid w:val="0072175C"/>
    <w:rsid w:val="007221E9"/>
    <w:rsid w:val="007230FC"/>
    <w:rsid w:val="007257C0"/>
    <w:rsid w:val="0072738C"/>
    <w:rsid w:val="0072788D"/>
    <w:rsid w:val="007308C3"/>
    <w:rsid w:val="00731BAC"/>
    <w:rsid w:val="00731DB1"/>
    <w:rsid w:val="007322F8"/>
    <w:rsid w:val="00732441"/>
    <w:rsid w:val="00734946"/>
    <w:rsid w:val="00734B3A"/>
    <w:rsid w:val="00735AD8"/>
    <w:rsid w:val="00736001"/>
    <w:rsid w:val="007362D7"/>
    <w:rsid w:val="007367C9"/>
    <w:rsid w:val="007372D1"/>
    <w:rsid w:val="00740BB8"/>
    <w:rsid w:val="00740D7A"/>
    <w:rsid w:val="0074110A"/>
    <w:rsid w:val="007415F0"/>
    <w:rsid w:val="00741828"/>
    <w:rsid w:val="007420CA"/>
    <w:rsid w:val="0074230D"/>
    <w:rsid w:val="0074359C"/>
    <w:rsid w:val="00743864"/>
    <w:rsid w:val="00743DF9"/>
    <w:rsid w:val="007451BB"/>
    <w:rsid w:val="00745999"/>
    <w:rsid w:val="00746339"/>
    <w:rsid w:val="00746F0C"/>
    <w:rsid w:val="007471ED"/>
    <w:rsid w:val="00747FE4"/>
    <w:rsid w:val="00750148"/>
    <w:rsid w:val="00750D77"/>
    <w:rsid w:val="00750F46"/>
    <w:rsid w:val="0075132D"/>
    <w:rsid w:val="007518CA"/>
    <w:rsid w:val="00751AA1"/>
    <w:rsid w:val="007523BE"/>
    <w:rsid w:val="00752814"/>
    <w:rsid w:val="00752E1E"/>
    <w:rsid w:val="00754520"/>
    <w:rsid w:val="007552BB"/>
    <w:rsid w:val="00755828"/>
    <w:rsid w:val="00756DAC"/>
    <w:rsid w:val="0075789C"/>
    <w:rsid w:val="00760691"/>
    <w:rsid w:val="00760832"/>
    <w:rsid w:val="00760E0E"/>
    <w:rsid w:val="00761580"/>
    <w:rsid w:val="00761F40"/>
    <w:rsid w:val="007622F6"/>
    <w:rsid w:val="00762EEF"/>
    <w:rsid w:val="00763BC7"/>
    <w:rsid w:val="00764022"/>
    <w:rsid w:val="00764F41"/>
    <w:rsid w:val="007656CF"/>
    <w:rsid w:val="00766261"/>
    <w:rsid w:val="0076656E"/>
    <w:rsid w:val="00770945"/>
    <w:rsid w:val="00771AA0"/>
    <w:rsid w:val="00772F26"/>
    <w:rsid w:val="007737F7"/>
    <w:rsid w:val="00774E8D"/>
    <w:rsid w:val="007750F7"/>
    <w:rsid w:val="00776B2D"/>
    <w:rsid w:val="00777CDB"/>
    <w:rsid w:val="0078057B"/>
    <w:rsid w:val="007833C5"/>
    <w:rsid w:val="00783938"/>
    <w:rsid w:val="007849A0"/>
    <w:rsid w:val="00784D49"/>
    <w:rsid w:val="007854BD"/>
    <w:rsid w:val="00786B75"/>
    <w:rsid w:val="00787335"/>
    <w:rsid w:val="007876C3"/>
    <w:rsid w:val="0079003E"/>
    <w:rsid w:val="0079010F"/>
    <w:rsid w:val="007903E6"/>
    <w:rsid w:val="0079113E"/>
    <w:rsid w:val="0079274E"/>
    <w:rsid w:val="00792797"/>
    <w:rsid w:val="00792BDB"/>
    <w:rsid w:val="007937F8"/>
    <w:rsid w:val="007950BC"/>
    <w:rsid w:val="0079632A"/>
    <w:rsid w:val="00796638"/>
    <w:rsid w:val="00797728"/>
    <w:rsid w:val="007977CD"/>
    <w:rsid w:val="00797D06"/>
    <w:rsid w:val="007A043C"/>
    <w:rsid w:val="007A1D7E"/>
    <w:rsid w:val="007A298D"/>
    <w:rsid w:val="007A368F"/>
    <w:rsid w:val="007A4709"/>
    <w:rsid w:val="007A4827"/>
    <w:rsid w:val="007A4F2C"/>
    <w:rsid w:val="007A653C"/>
    <w:rsid w:val="007A6987"/>
    <w:rsid w:val="007A6D7A"/>
    <w:rsid w:val="007A76B7"/>
    <w:rsid w:val="007A7A0A"/>
    <w:rsid w:val="007B0065"/>
    <w:rsid w:val="007B176F"/>
    <w:rsid w:val="007B2C09"/>
    <w:rsid w:val="007B4283"/>
    <w:rsid w:val="007B561A"/>
    <w:rsid w:val="007B63AB"/>
    <w:rsid w:val="007B6ABE"/>
    <w:rsid w:val="007B6B77"/>
    <w:rsid w:val="007B724D"/>
    <w:rsid w:val="007B7760"/>
    <w:rsid w:val="007B77E5"/>
    <w:rsid w:val="007B7E87"/>
    <w:rsid w:val="007C0E16"/>
    <w:rsid w:val="007C2F45"/>
    <w:rsid w:val="007C3CE7"/>
    <w:rsid w:val="007C5861"/>
    <w:rsid w:val="007C6136"/>
    <w:rsid w:val="007C6BED"/>
    <w:rsid w:val="007C6BFE"/>
    <w:rsid w:val="007C6CE4"/>
    <w:rsid w:val="007C7F0A"/>
    <w:rsid w:val="007D0DD8"/>
    <w:rsid w:val="007D13E7"/>
    <w:rsid w:val="007D1CF0"/>
    <w:rsid w:val="007D1D51"/>
    <w:rsid w:val="007D1FAE"/>
    <w:rsid w:val="007D2C99"/>
    <w:rsid w:val="007D361C"/>
    <w:rsid w:val="007D4247"/>
    <w:rsid w:val="007D490C"/>
    <w:rsid w:val="007D4967"/>
    <w:rsid w:val="007D50E1"/>
    <w:rsid w:val="007D55C8"/>
    <w:rsid w:val="007D6117"/>
    <w:rsid w:val="007D6B15"/>
    <w:rsid w:val="007E16E6"/>
    <w:rsid w:val="007E2CF8"/>
    <w:rsid w:val="007E3BAB"/>
    <w:rsid w:val="007E4792"/>
    <w:rsid w:val="007E4932"/>
    <w:rsid w:val="007E4EFB"/>
    <w:rsid w:val="007E509C"/>
    <w:rsid w:val="007E58A4"/>
    <w:rsid w:val="007E732F"/>
    <w:rsid w:val="007E747C"/>
    <w:rsid w:val="007E77C3"/>
    <w:rsid w:val="007F0FE3"/>
    <w:rsid w:val="007F1892"/>
    <w:rsid w:val="007F300D"/>
    <w:rsid w:val="007F33F7"/>
    <w:rsid w:val="007F365A"/>
    <w:rsid w:val="007F3EA3"/>
    <w:rsid w:val="007F55A3"/>
    <w:rsid w:val="007F63C7"/>
    <w:rsid w:val="007F6976"/>
    <w:rsid w:val="007F7AE3"/>
    <w:rsid w:val="00800611"/>
    <w:rsid w:val="008017E0"/>
    <w:rsid w:val="00801A4B"/>
    <w:rsid w:val="00801C59"/>
    <w:rsid w:val="0080240E"/>
    <w:rsid w:val="0080241C"/>
    <w:rsid w:val="00802B93"/>
    <w:rsid w:val="00804930"/>
    <w:rsid w:val="0080639C"/>
    <w:rsid w:val="0080655A"/>
    <w:rsid w:val="00806D3F"/>
    <w:rsid w:val="00807B3C"/>
    <w:rsid w:val="00807F42"/>
    <w:rsid w:val="0081183F"/>
    <w:rsid w:val="00813500"/>
    <w:rsid w:val="0081435E"/>
    <w:rsid w:val="00814BC2"/>
    <w:rsid w:val="008159F0"/>
    <w:rsid w:val="00816D72"/>
    <w:rsid w:val="00816F95"/>
    <w:rsid w:val="008172B4"/>
    <w:rsid w:val="0081799D"/>
    <w:rsid w:val="008201B9"/>
    <w:rsid w:val="00820645"/>
    <w:rsid w:val="00820BE8"/>
    <w:rsid w:val="00821973"/>
    <w:rsid w:val="00821FD9"/>
    <w:rsid w:val="0082281C"/>
    <w:rsid w:val="0082341E"/>
    <w:rsid w:val="00823D3F"/>
    <w:rsid w:val="008241C7"/>
    <w:rsid w:val="00824372"/>
    <w:rsid w:val="008245A6"/>
    <w:rsid w:val="00826E2F"/>
    <w:rsid w:val="00827401"/>
    <w:rsid w:val="00827E23"/>
    <w:rsid w:val="00830387"/>
    <w:rsid w:val="0083041E"/>
    <w:rsid w:val="008305C5"/>
    <w:rsid w:val="008313D4"/>
    <w:rsid w:val="008323DC"/>
    <w:rsid w:val="008337A6"/>
    <w:rsid w:val="00833FED"/>
    <w:rsid w:val="0084164A"/>
    <w:rsid w:val="008420F8"/>
    <w:rsid w:val="00842384"/>
    <w:rsid w:val="00842ADD"/>
    <w:rsid w:val="0084365E"/>
    <w:rsid w:val="00843EE5"/>
    <w:rsid w:val="0084504B"/>
    <w:rsid w:val="00846474"/>
    <w:rsid w:val="00846BC2"/>
    <w:rsid w:val="00847837"/>
    <w:rsid w:val="00850B35"/>
    <w:rsid w:val="00851E0C"/>
    <w:rsid w:val="00851F02"/>
    <w:rsid w:val="008520B0"/>
    <w:rsid w:val="008520F8"/>
    <w:rsid w:val="00852583"/>
    <w:rsid w:val="00852729"/>
    <w:rsid w:val="00852B02"/>
    <w:rsid w:val="00852E5E"/>
    <w:rsid w:val="00853A4E"/>
    <w:rsid w:val="00854E7E"/>
    <w:rsid w:val="008551A8"/>
    <w:rsid w:val="008552A4"/>
    <w:rsid w:val="008567D3"/>
    <w:rsid w:val="00856EBC"/>
    <w:rsid w:val="00856F17"/>
    <w:rsid w:val="00857002"/>
    <w:rsid w:val="008575F5"/>
    <w:rsid w:val="008606C3"/>
    <w:rsid w:val="008608A5"/>
    <w:rsid w:val="00860DCA"/>
    <w:rsid w:val="0086184C"/>
    <w:rsid w:val="008623D4"/>
    <w:rsid w:val="0086391F"/>
    <w:rsid w:val="00864459"/>
    <w:rsid w:val="00866C63"/>
    <w:rsid w:val="00866F7E"/>
    <w:rsid w:val="00867190"/>
    <w:rsid w:val="0087037C"/>
    <w:rsid w:val="00870505"/>
    <w:rsid w:val="0087129F"/>
    <w:rsid w:val="00871E75"/>
    <w:rsid w:val="00872A8E"/>
    <w:rsid w:val="00873C92"/>
    <w:rsid w:val="00873EAF"/>
    <w:rsid w:val="00874C42"/>
    <w:rsid w:val="00874C79"/>
    <w:rsid w:val="008753A4"/>
    <w:rsid w:val="00875465"/>
    <w:rsid w:val="008756FF"/>
    <w:rsid w:val="00875862"/>
    <w:rsid w:val="00876563"/>
    <w:rsid w:val="00877381"/>
    <w:rsid w:val="00877BB2"/>
    <w:rsid w:val="0088085F"/>
    <w:rsid w:val="0088169B"/>
    <w:rsid w:val="00881F8A"/>
    <w:rsid w:val="0088224E"/>
    <w:rsid w:val="0088274E"/>
    <w:rsid w:val="008827B3"/>
    <w:rsid w:val="00882900"/>
    <w:rsid w:val="00883239"/>
    <w:rsid w:val="008835BC"/>
    <w:rsid w:val="008837C6"/>
    <w:rsid w:val="00885009"/>
    <w:rsid w:val="008855C6"/>
    <w:rsid w:val="00885736"/>
    <w:rsid w:val="00885777"/>
    <w:rsid w:val="00886807"/>
    <w:rsid w:val="0089011E"/>
    <w:rsid w:val="00891693"/>
    <w:rsid w:val="00892FFA"/>
    <w:rsid w:val="008931DC"/>
    <w:rsid w:val="008932F1"/>
    <w:rsid w:val="008937EC"/>
    <w:rsid w:val="00893CCD"/>
    <w:rsid w:val="00894FEB"/>
    <w:rsid w:val="00896500"/>
    <w:rsid w:val="008A05A7"/>
    <w:rsid w:val="008A07DB"/>
    <w:rsid w:val="008A0F98"/>
    <w:rsid w:val="008A0FFC"/>
    <w:rsid w:val="008A1B74"/>
    <w:rsid w:val="008A1D70"/>
    <w:rsid w:val="008A2739"/>
    <w:rsid w:val="008A48FB"/>
    <w:rsid w:val="008A4E5A"/>
    <w:rsid w:val="008A551A"/>
    <w:rsid w:val="008A7B2F"/>
    <w:rsid w:val="008B0A70"/>
    <w:rsid w:val="008B2769"/>
    <w:rsid w:val="008B2E0B"/>
    <w:rsid w:val="008B35E0"/>
    <w:rsid w:val="008B564A"/>
    <w:rsid w:val="008B5A13"/>
    <w:rsid w:val="008B5BA5"/>
    <w:rsid w:val="008B5E6D"/>
    <w:rsid w:val="008B64F3"/>
    <w:rsid w:val="008B6E51"/>
    <w:rsid w:val="008B7606"/>
    <w:rsid w:val="008B7E42"/>
    <w:rsid w:val="008C01A2"/>
    <w:rsid w:val="008C1BFD"/>
    <w:rsid w:val="008C2A18"/>
    <w:rsid w:val="008C3EE0"/>
    <w:rsid w:val="008C4511"/>
    <w:rsid w:val="008C4869"/>
    <w:rsid w:val="008C4C7C"/>
    <w:rsid w:val="008C6991"/>
    <w:rsid w:val="008C73AA"/>
    <w:rsid w:val="008D05D8"/>
    <w:rsid w:val="008D0738"/>
    <w:rsid w:val="008D0E42"/>
    <w:rsid w:val="008D16A6"/>
    <w:rsid w:val="008D1D04"/>
    <w:rsid w:val="008D242C"/>
    <w:rsid w:val="008D31DE"/>
    <w:rsid w:val="008D36E8"/>
    <w:rsid w:val="008D3AD9"/>
    <w:rsid w:val="008D5E24"/>
    <w:rsid w:val="008D5F08"/>
    <w:rsid w:val="008D745F"/>
    <w:rsid w:val="008D78F1"/>
    <w:rsid w:val="008D7A97"/>
    <w:rsid w:val="008D7F20"/>
    <w:rsid w:val="008E0BEE"/>
    <w:rsid w:val="008E106E"/>
    <w:rsid w:val="008E112B"/>
    <w:rsid w:val="008E1D04"/>
    <w:rsid w:val="008E36DA"/>
    <w:rsid w:val="008E3A54"/>
    <w:rsid w:val="008E4F69"/>
    <w:rsid w:val="008E4F87"/>
    <w:rsid w:val="008E5718"/>
    <w:rsid w:val="008E60E7"/>
    <w:rsid w:val="008E6321"/>
    <w:rsid w:val="008E722B"/>
    <w:rsid w:val="008E7615"/>
    <w:rsid w:val="008E77C1"/>
    <w:rsid w:val="008E7939"/>
    <w:rsid w:val="008E7C43"/>
    <w:rsid w:val="008E7D6D"/>
    <w:rsid w:val="008F06BA"/>
    <w:rsid w:val="008F07F2"/>
    <w:rsid w:val="008F2117"/>
    <w:rsid w:val="008F3124"/>
    <w:rsid w:val="008F3AFC"/>
    <w:rsid w:val="008F3F99"/>
    <w:rsid w:val="008F4D33"/>
    <w:rsid w:val="008F531F"/>
    <w:rsid w:val="008F5448"/>
    <w:rsid w:val="008F5639"/>
    <w:rsid w:val="008F637D"/>
    <w:rsid w:val="008F653E"/>
    <w:rsid w:val="008F7731"/>
    <w:rsid w:val="00900BFD"/>
    <w:rsid w:val="00902122"/>
    <w:rsid w:val="0090278D"/>
    <w:rsid w:val="00902B53"/>
    <w:rsid w:val="0090383C"/>
    <w:rsid w:val="009043C7"/>
    <w:rsid w:val="0090447B"/>
    <w:rsid w:val="00904807"/>
    <w:rsid w:val="00905FAC"/>
    <w:rsid w:val="00905FD2"/>
    <w:rsid w:val="00906A45"/>
    <w:rsid w:val="00906BBA"/>
    <w:rsid w:val="00906F13"/>
    <w:rsid w:val="0090722D"/>
    <w:rsid w:val="00910BBF"/>
    <w:rsid w:val="00911801"/>
    <w:rsid w:val="00911944"/>
    <w:rsid w:val="00912FD3"/>
    <w:rsid w:val="00913386"/>
    <w:rsid w:val="00913425"/>
    <w:rsid w:val="00913635"/>
    <w:rsid w:val="009137BD"/>
    <w:rsid w:val="0091663F"/>
    <w:rsid w:val="009172B0"/>
    <w:rsid w:val="00917379"/>
    <w:rsid w:val="00917A32"/>
    <w:rsid w:val="009205FC"/>
    <w:rsid w:val="00922031"/>
    <w:rsid w:val="0092296E"/>
    <w:rsid w:val="00922EF7"/>
    <w:rsid w:val="00923758"/>
    <w:rsid w:val="0092472C"/>
    <w:rsid w:val="00925CE3"/>
    <w:rsid w:val="00925FFB"/>
    <w:rsid w:val="00927583"/>
    <w:rsid w:val="00927FC2"/>
    <w:rsid w:val="00930CB2"/>
    <w:rsid w:val="00931413"/>
    <w:rsid w:val="009321AB"/>
    <w:rsid w:val="00932361"/>
    <w:rsid w:val="00932623"/>
    <w:rsid w:val="00933C65"/>
    <w:rsid w:val="00934027"/>
    <w:rsid w:val="009352B9"/>
    <w:rsid w:val="00936C0A"/>
    <w:rsid w:val="009375DB"/>
    <w:rsid w:val="00937D44"/>
    <w:rsid w:val="00940D9D"/>
    <w:rsid w:val="009410EE"/>
    <w:rsid w:val="00941548"/>
    <w:rsid w:val="00942C10"/>
    <w:rsid w:val="00944ACD"/>
    <w:rsid w:val="00944D59"/>
    <w:rsid w:val="00945EB7"/>
    <w:rsid w:val="009461EC"/>
    <w:rsid w:val="009463A3"/>
    <w:rsid w:val="009469A1"/>
    <w:rsid w:val="009506EF"/>
    <w:rsid w:val="00951F83"/>
    <w:rsid w:val="0095265E"/>
    <w:rsid w:val="009539AC"/>
    <w:rsid w:val="00954042"/>
    <w:rsid w:val="00955787"/>
    <w:rsid w:val="00955EC0"/>
    <w:rsid w:val="00957CA2"/>
    <w:rsid w:val="00957D3B"/>
    <w:rsid w:val="00957E74"/>
    <w:rsid w:val="00957FCF"/>
    <w:rsid w:val="009600D9"/>
    <w:rsid w:val="0096058E"/>
    <w:rsid w:val="00960D7F"/>
    <w:rsid w:val="00961479"/>
    <w:rsid w:val="00961F3B"/>
    <w:rsid w:val="00961F8D"/>
    <w:rsid w:val="00962C9E"/>
    <w:rsid w:val="00963DEB"/>
    <w:rsid w:val="00964433"/>
    <w:rsid w:val="00964626"/>
    <w:rsid w:val="009654EC"/>
    <w:rsid w:val="0096561B"/>
    <w:rsid w:val="00966475"/>
    <w:rsid w:val="00967167"/>
    <w:rsid w:val="00967470"/>
    <w:rsid w:val="0096749A"/>
    <w:rsid w:val="00970CC5"/>
    <w:rsid w:val="00972B46"/>
    <w:rsid w:val="00973A57"/>
    <w:rsid w:val="0097440D"/>
    <w:rsid w:val="009747F1"/>
    <w:rsid w:val="00974E07"/>
    <w:rsid w:val="0097540E"/>
    <w:rsid w:val="00975B16"/>
    <w:rsid w:val="00977544"/>
    <w:rsid w:val="00980EAE"/>
    <w:rsid w:val="00982A69"/>
    <w:rsid w:val="00982A95"/>
    <w:rsid w:val="00984736"/>
    <w:rsid w:val="00985066"/>
    <w:rsid w:val="00986076"/>
    <w:rsid w:val="009865D3"/>
    <w:rsid w:val="00987602"/>
    <w:rsid w:val="00987770"/>
    <w:rsid w:val="00987D31"/>
    <w:rsid w:val="00991A6D"/>
    <w:rsid w:val="00991BD0"/>
    <w:rsid w:val="0099404B"/>
    <w:rsid w:val="00994721"/>
    <w:rsid w:val="00995EDF"/>
    <w:rsid w:val="009966A6"/>
    <w:rsid w:val="009968F1"/>
    <w:rsid w:val="00996B05"/>
    <w:rsid w:val="00997813"/>
    <w:rsid w:val="009A0045"/>
    <w:rsid w:val="009A0452"/>
    <w:rsid w:val="009A0BC1"/>
    <w:rsid w:val="009A0C8B"/>
    <w:rsid w:val="009A29C6"/>
    <w:rsid w:val="009A2B30"/>
    <w:rsid w:val="009A31DE"/>
    <w:rsid w:val="009A3FC6"/>
    <w:rsid w:val="009A47DA"/>
    <w:rsid w:val="009A4974"/>
    <w:rsid w:val="009A4F4F"/>
    <w:rsid w:val="009A5883"/>
    <w:rsid w:val="009A6388"/>
    <w:rsid w:val="009A6825"/>
    <w:rsid w:val="009A7D3C"/>
    <w:rsid w:val="009B1514"/>
    <w:rsid w:val="009B17D5"/>
    <w:rsid w:val="009B2B32"/>
    <w:rsid w:val="009B399E"/>
    <w:rsid w:val="009B3F16"/>
    <w:rsid w:val="009B4C4C"/>
    <w:rsid w:val="009B5475"/>
    <w:rsid w:val="009B5A54"/>
    <w:rsid w:val="009B6622"/>
    <w:rsid w:val="009B6889"/>
    <w:rsid w:val="009B79C1"/>
    <w:rsid w:val="009C1908"/>
    <w:rsid w:val="009C201B"/>
    <w:rsid w:val="009C2234"/>
    <w:rsid w:val="009C4B26"/>
    <w:rsid w:val="009C5B57"/>
    <w:rsid w:val="009D00DC"/>
    <w:rsid w:val="009D046A"/>
    <w:rsid w:val="009D37D0"/>
    <w:rsid w:val="009D3869"/>
    <w:rsid w:val="009D3F4A"/>
    <w:rsid w:val="009D52D8"/>
    <w:rsid w:val="009D5CB8"/>
    <w:rsid w:val="009D6097"/>
    <w:rsid w:val="009D6EE8"/>
    <w:rsid w:val="009D6EFB"/>
    <w:rsid w:val="009D71B7"/>
    <w:rsid w:val="009E012D"/>
    <w:rsid w:val="009E0290"/>
    <w:rsid w:val="009E16C0"/>
    <w:rsid w:val="009E19B9"/>
    <w:rsid w:val="009E1CA3"/>
    <w:rsid w:val="009E208C"/>
    <w:rsid w:val="009E3B2F"/>
    <w:rsid w:val="009E45E9"/>
    <w:rsid w:val="009E4C40"/>
    <w:rsid w:val="009E69F5"/>
    <w:rsid w:val="009E6D38"/>
    <w:rsid w:val="009E6FCB"/>
    <w:rsid w:val="009E735D"/>
    <w:rsid w:val="009F0658"/>
    <w:rsid w:val="009F165F"/>
    <w:rsid w:val="009F17EA"/>
    <w:rsid w:val="009F2D16"/>
    <w:rsid w:val="009F36C9"/>
    <w:rsid w:val="009F3932"/>
    <w:rsid w:val="009F66DF"/>
    <w:rsid w:val="009F6E4D"/>
    <w:rsid w:val="009F7490"/>
    <w:rsid w:val="00A00215"/>
    <w:rsid w:val="00A0072A"/>
    <w:rsid w:val="00A01C9D"/>
    <w:rsid w:val="00A04141"/>
    <w:rsid w:val="00A0470B"/>
    <w:rsid w:val="00A04880"/>
    <w:rsid w:val="00A0697A"/>
    <w:rsid w:val="00A10358"/>
    <w:rsid w:val="00A109AF"/>
    <w:rsid w:val="00A10EAC"/>
    <w:rsid w:val="00A11009"/>
    <w:rsid w:val="00A11516"/>
    <w:rsid w:val="00A11E98"/>
    <w:rsid w:val="00A145A1"/>
    <w:rsid w:val="00A15D9E"/>
    <w:rsid w:val="00A17D30"/>
    <w:rsid w:val="00A17E37"/>
    <w:rsid w:val="00A22083"/>
    <w:rsid w:val="00A23932"/>
    <w:rsid w:val="00A24400"/>
    <w:rsid w:val="00A24465"/>
    <w:rsid w:val="00A247D1"/>
    <w:rsid w:val="00A24FEB"/>
    <w:rsid w:val="00A250F4"/>
    <w:rsid w:val="00A25879"/>
    <w:rsid w:val="00A26217"/>
    <w:rsid w:val="00A2626C"/>
    <w:rsid w:val="00A26902"/>
    <w:rsid w:val="00A27609"/>
    <w:rsid w:val="00A31F24"/>
    <w:rsid w:val="00A325D3"/>
    <w:rsid w:val="00A327AF"/>
    <w:rsid w:val="00A333E8"/>
    <w:rsid w:val="00A33405"/>
    <w:rsid w:val="00A34281"/>
    <w:rsid w:val="00A34539"/>
    <w:rsid w:val="00A34624"/>
    <w:rsid w:val="00A3467B"/>
    <w:rsid w:val="00A347A1"/>
    <w:rsid w:val="00A34FF8"/>
    <w:rsid w:val="00A35F94"/>
    <w:rsid w:val="00A366B6"/>
    <w:rsid w:val="00A375E3"/>
    <w:rsid w:val="00A40891"/>
    <w:rsid w:val="00A40D69"/>
    <w:rsid w:val="00A41FC0"/>
    <w:rsid w:val="00A42440"/>
    <w:rsid w:val="00A42D72"/>
    <w:rsid w:val="00A4327D"/>
    <w:rsid w:val="00A4333E"/>
    <w:rsid w:val="00A4355C"/>
    <w:rsid w:val="00A43EB5"/>
    <w:rsid w:val="00A44ECF"/>
    <w:rsid w:val="00A45032"/>
    <w:rsid w:val="00A45140"/>
    <w:rsid w:val="00A45CE3"/>
    <w:rsid w:val="00A462AB"/>
    <w:rsid w:val="00A50967"/>
    <w:rsid w:val="00A517CF"/>
    <w:rsid w:val="00A51CF7"/>
    <w:rsid w:val="00A51EC1"/>
    <w:rsid w:val="00A52169"/>
    <w:rsid w:val="00A52872"/>
    <w:rsid w:val="00A52A6E"/>
    <w:rsid w:val="00A52E12"/>
    <w:rsid w:val="00A535B6"/>
    <w:rsid w:val="00A53D97"/>
    <w:rsid w:val="00A544F6"/>
    <w:rsid w:val="00A546C7"/>
    <w:rsid w:val="00A554AF"/>
    <w:rsid w:val="00A554C1"/>
    <w:rsid w:val="00A557DF"/>
    <w:rsid w:val="00A56431"/>
    <w:rsid w:val="00A60A8E"/>
    <w:rsid w:val="00A60C38"/>
    <w:rsid w:val="00A60C78"/>
    <w:rsid w:val="00A61ADE"/>
    <w:rsid w:val="00A61F96"/>
    <w:rsid w:val="00A625AC"/>
    <w:rsid w:val="00A63192"/>
    <w:rsid w:val="00A63C33"/>
    <w:rsid w:val="00A642AE"/>
    <w:rsid w:val="00A64394"/>
    <w:rsid w:val="00A65C18"/>
    <w:rsid w:val="00A65EC0"/>
    <w:rsid w:val="00A65EE0"/>
    <w:rsid w:val="00A6624A"/>
    <w:rsid w:val="00A67BE7"/>
    <w:rsid w:val="00A70A63"/>
    <w:rsid w:val="00A71753"/>
    <w:rsid w:val="00A71A0E"/>
    <w:rsid w:val="00A71CB5"/>
    <w:rsid w:val="00A71E17"/>
    <w:rsid w:val="00A7269D"/>
    <w:rsid w:val="00A73BE9"/>
    <w:rsid w:val="00A74127"/>
    <w:rsid w:val="00A745F8"/>
    <w:rsid w:val="00A759CD"/>
    <w:rsid w:val="00A76464"/>
    <w:rsid w:val="00A764C8"/>
    <w:rsid w:val="00A76D49"/>
    <w:rsid w:val="00A77139"/>
    <w:rsid w:val="00A77187"/>
    <w:rsid w:val="00A773C6"/>
    <w:rsid w:val="00A7766E"/>
    <w:rsid w:val="00A77A39"/>
    <w:rsid w:val="00A800AF"/>
    <w:rsid w:val="00A80416"/>
    <w:rsid w:val="00A804E8"/>
    <w:rsid w:val="00A81E31"/>
    <w:rsid w:val="00A82D25"/>
    <w:rsid w:val="00A82DA2"/>
    <w:rsid w:val="00A83A9B"/>
    <w:rsid w:val="00A83C33"/>
    <w:rsid w:val="00A84DD0"/>
    <w:rsid w:val="00A84F9D"/>
    <w:rsid w:val="00A85A24"/>
    <w:rsid w:val="00A85C80"/>
    <w:rsid w:val="00A86AEA"/>
    <w:rsid w:val="00A86D4B"/>
    <w:rsid w:val="00A8719F"/>
    <w:rsid w:val="00A87767"/>
    <w:rsid w:val="00A87A2D"/>
    <w:rsid w:val="00A87DDE"/>
    <w:rsid w:val="00A9011D"/>
    <w:rsid w:val="00A901E8"/>
    <w:rsid w:val="00A90272"/>
    <w:rsid w:val="00A90630"/>
    <w:rsid w:val="00A90F65"/>
    <w:rsid w:val="00A91288"/>
    <w:rsid w:val="00A91616"/>
    <w:rsid w:val="00A91673"/>
    <w:rsid w:val="00A918C9"/>
    <w:rsid w:val="00A927FA"/>
    <w:rsid w:val="00A930BC"/>
    <w:rsid w:val="00A93593"/>
    <w:rsid w:val="00A9513C"/>
    <w:rsid w:val="00A95514"/>
    <w:rsid w:val="00A95996"/>
    <w:rsid w:val="00A9616F"/>
    <w:rsid w:val="00A9675F"/>
    <w:rsid w:val="00A97817"/>
    <w:rsid w:val="00AA001D"/>
    <w:rsid w:val="00AA04F2"/>
    <w:rsid w:val="00AA0501"/>
    <w:rsid w:val="00AA076E"/>
    <w:rsid w:val="00AA07FC"/>
    <w:rsid w:val="00AA1923"/>
    <w:rsid w:val="00AA249B"/>
    <w:rsid w:val="00AA3982"/>
    <w:rsid w:val="00AA3F29"/>
    <w:rsid w:val="00AA46F4"/>
    <w:rsid w:val="00AA6354"/>
    <w:rsid w:val="00AA6FB8"/>
    <w:rsid w:val="00AB0902"/>
    <w:rsid w:val="00AB1688"/>
    <w:rsid w:val="00AB2901"/>
    <w:rsid w:val="00AB2A06"/>
    <w:rsid w:val="00AB3447"/>
    <w:rsid w:val="00AB5B8F"/>
    <w:rsid w:val="00AB6747"/>
    <w:rsid w:val="00AB71DA"/>
    <w:rsid w:val="00AB76C8"/>
    <w:rsid w:val="00AC0B4C"/>
    <w:rsid w:val="00AC0EE8"/>
    <w:rsid w:val="00AC1149"/>
    <w:rsid w:val="00AC23A0"/>
    <w:rsid w:val="00AC28E4"/>
    <w:rsid w:val="00AC29E6"/>
    <w:rsid w:val="00AC2FF4"/>
    <w:rsid w:val="00AC33AA"/>
    <w:rsid w:val="00AC3600"/>
    <w:rsid w:val="00AC3878"/>
    <w:rsid w:val="00AC3BBB"/>
    <w:rsid w:val="00AC3D1B"/>
    <w:rsid w:val="00AC40ED"/>
    <w:rsid w:val="00AC4CE6"/>
    <w:rsid w:val="00AC573A"/>
    <w:rsid w:val="00AC5900"/>
    <w:rsid w:val="00AC7E2A"/>
    <w:rsid w:val="00AD0174"/>
    <w:rsid w:val="00AD1224"/>
    <w:rsid w:val="00AD2F10"/>
    <w:rsid w:val="00AD39ED"/>
    <w:rsid w:val="00AD3BF0"/>
    <w:rsid w:val="00AD3CE9"/>
    <w:rsid w:val="00AD429E"/>
    <w:rsid w:val="00AD533B"/>
    <w:rsid w:val="00AE00EB"/>
    <w:rsid w:val="00AE09A1"/>
    <w:rsid w:val="00AE1348"/>
    <w:rsid w:val="00AE16F1"/>
    <w:rsid w:val="00AE26C8"/>
    <w:rsid w:val="00AE2F0D"/>
    <w:rsid w:val="00AE31A8"/>
    <w:rsid w:val="00AE5BFB"/>
    <w:rsid w:val="00AE5D5B"/>
    <w:rsid w:val="00AE60AA"/>
    <w:rsid w:val="00AE6711"/>
    <w:rsid w:val="00AE7152"/>
    <w:rsid w:val="00AE7185"/>
    <w:rsid w:val="00AE7A4F"/>
    <w:rsid w:val="00AE7E3C"/>
    <w:rsid w:val="00AF0D90"/>
    <w:rsid w:val="00AF2068"/>
    <w:rsid w:val="00AF3AE9"/>
    <w:rsid w:val="00AF4303"/>
    <w:rsid w:val="00AF46E9"/>
    <w:rsid w:val="00AF4F0B"/>
    <w:rsid w:val="00AF5E6A"/>
    <w:rsid w:val="00AF6608"/>
    <w:rsid w:val="00AF70FE"/>
    <w:rsid w:val="00AF742F"/>
    <w:rsid w:val="00AF74B4"/>
    <w:rsid w:val="00AF7CE7"/>
    <w:rsid w:val="00B0058B"/>
    <w:rsid w:val="00B01B8B"/>
    <w:rsid w:val="00B021B4"/>
    <w:rsid w:val="00B02664"/>
    <w:rsid w:val="00B03605"/>
    <w:rsid w:val="00B0526C"/>
    <w:rsid w:val="00B05DB2"/>
    <w:rsid w:val="00B0642E"/>
    <w:rsid w:val="00B06DB6"/>
    <w:rsid w:val="00B07AC5"/>
    <w:rsid w:val="00B07C47"/>
    <w:rsid w:val="00B07CAE"/>
    <w:rsid w:val="00B10E2B"/>
    <w:rsid w:val="00B11722"/>
    <w:rsid w:val="00B11BA9"/>
    <w:rsid w:val="00B13EDB"/>
    <w:rsid w:val="00B14443"/>
    <w:rsid w:val="00B14819"/>
    <w:rsid w:val="00B1546F"/>
    <w:rsid w:val="00B1597D"/>
    <w:rsid w:val="00B15FD7"/>
    <w:rsid w:val="00B20343"/>
    <w:rsid w:val="00B20DFF"/>
    <w:rsid w:val="00B210D6"/>
    <w:rsid w:val="00B223F5"/>
    <w:rsid w:val="00B22E87"/>
    <w:rsid w:val="00B23EF4"/>
    <w:rsid w:val="00B24723"/>
    <w:rsid w:val="00B25C53"/>
    <w:rsid w:val="00B2622B"/>
    <w:rsid w:val="00B26319"/>
    <w:rsid w:val="00B2638D"/>
    <w:rsid w:val="00B278FF"/>
    <w:rsid w:val="00B27FB5"/>
    <w:rsid w:val="00B30195"/>
    <w:rsid w:val="00B30800"/>
    <w:rsid w:val="00B316EF"/>
    <w:rsid w:val="00B3182B"/>
    <w:rsid w:val="00B31C47"/>
    <w:rsid w:val="00B326E2"/>
    <w:rsid w:val="00B330B9"/>
    <w:rsid w:val="00B338DA"/>
    <w:rsid w:val="00B33C5D"/>
    <w:rsid w:val="00B340D9"/>
    <w:rsid w:val="00B3477C"/>
    <w:rsid w:val="00B35EF1"/>
    <w:rsid w:val="00B411F8"/>
    <w:rsid w:val="00B412DF"/>
    <w:rsid w:val="00B41910"/>
    <w:rsid w:val="00B41B28"/>
    <w:rsid w:val="00B429C7"/>
    <w:rsid w:val="00B42CA5"/>
    <w:rsid w:val="00B42D10"/>
    <w:rsid w:val="00B42E26"/>
    <w:rsid w:val="00B43BCA"/>
    <w:rsid w:val="00B44092"/>
    <w:rsid w:val="00B44141"/>
    <w:rsid w:val="00B44F74"/>
    <w:rsid w:val="00B475CA"/>
    <w:rsid w:val="00B4796C"/>
    <w:rsid w:val="00B4799E"/>
    <w:rsid w:val="00B50FBA"/>
    <w:rsid w:val="00B51645"/>
    <w:rsid w:val="00B5191B"/>
    <w:rsid w:val="00B529B9"/>
    <w:rsid w:val="00B53551"/>
    <w:rsid w:val="00B53E22"/>
    <w:rsid w:val="00B545F3"/>
    <w:rsid w:val="00B5602C"/>
    <w:rsid w:val="00B60313"/>
    <w:rsid w:val="00B6268C"/>
    <w:rsid w:val="00B631BA"/>
    <w:rsid w:val="00B636FA"/>
    <w:rsid w:val="00B63808"/>
    <w:rsid w:val="00B65602"/>
    <w:rsid w:val="00B65A70"/>
    <w:rsid w:val="00B65D4F"/>
    <w:rsid w:val="00B66322"/>
    <w:rsid w:val="00B663EB"/>
    <w:rsid w:val="00B67274"/>
    <w:rsid w:val="00B67A63"/>
    <w:rsid w:val="00B71570"/>
    <w:rsid w:val="00B720B4"/>
    <w:rsid w:val="00B728B8"/>
    <w:rsid w:val="00B7361B"/>
    <w:rsid w:val="00B75B80"/>
    <w:rsid w:val="00B76878"/>
    <w:rsid w:val="00B77687"/>
    <w:rsid w:val="00B80798"/>
    <w:rsid w:val="00B82195"/>
    <w:rsid w:val="00B82E13"/>
    <w:rsid w:val="00B83256"/>
    <w:rsid w:val="00B83551"/>
    <w:rsid w:val="00B839AD"/>
    <w:rsid w:val="00B84F7E"/>
    <w:rsid w:val="00B85E63"/>
    <w:rsid w:val="00B879B8"/>
    <w:rsid w:val="00B87F8B"/>
    <w:rsid w:val="00B916F2"/>
    <w:rsid w:val="00B92F36"/>
    <w:rsid w:val="00B93C9D"/>
    <w:rsid w:val="00B95C23"/>
    <w:rsid w:val="00B95C96"/>
    <w:rsid w:val="00B963D6"/>
    <w:rsid w:val="00B97DCA"/>
    <w:rsid w:val="00BA00CE"/>
    <w:rsid w:val="00BA01E7"/>
    <w:rsid w:val="00BA0C02"/>
    <w:rsid w:val="00BA0CCF"/>
    <w:rsid w:val="00BA195D"/>
    <w:rsid w:val="00BA2030"/>
    <w:rsid w:val="00BA21B5"/>
    <w:rsid w:val="00BA2243"/>
    <w:rsid w:val="00BA2254"/>
    <w:rsid w:val="00BA2E43"/>
    <w:rsid w:val="00BA3154"/>
    <w:rsid w:val="00BA34B4"/>
    <w:rsid w:val="00BA35D0"/>
    <w:rsid w:val="00BA36D0"/>
    <w:rsid w:val="00BA4893"/>
    <w:rsid w:val="00BA4BA3"/>
    <w:rsid w:val="00BA5929"/>
    <w:rsid w:val="00BA627A"/>
    <w:rsid w:val="00BA66C2"/>
    <w:rsid w:val="00BA6B04"/>
    <w:rsid w:val="00BA7044"/>
    <w:rsid w:val="00BA704A"/>
    <w:rsid w:val="00BA7F22"/>
    <w:rsid w:val="00BB00F5"/>
    <w:rsid w:val="00BB08EA"/>
    <w:rsid w:val="00BB2978"/>
    <w:rsid w:val="00BB2A5E"/>
    <w:rsid w:val="00BB2E08"/>
    <w:rsid w:val="00BB360B"/>
    <w:rsid w:val="00BB3976"/>
    <w:rsid w:val="00BB41F4"/>
    <w:rsid w:val="00BB4E45"/>
    <w:rsid w:val="00BB4EB3"/>
    <w:rsid w:val="00BB5130"/>
    <w:rsid w:val="00BB67D6"/>
    <w:rsid w:val="00BB6B17"/>
    <w:rsid w:val="00BB6B64"/>
    <w:rsid w:val="00BB6BB7"/>
    <w:rsid w:val="00BB6D22"/>
    <w:rsid w:val="00BB75A5"/>
    <w:rsid w:val="00BB77C8"/>
    <w:rsid w:val="00BB7D3F"/>
    <w:rsid w:val="00BC0B6E"/>
    <w:rsid w:val="00BC1836"/>
    <w:rsid w:val="00BC301C"/>
    <w:rsid w:val="00BC41B1"/>
    <w:rsid w:val="00BC5D8C"/>
    <w:rsid w:val="00BC617D"/>
    <w:rsid w:val="00BC63C5"/>
    <w:rsid w:val="00BC7B6F"/>
    <w:rsid w:val="00BD1231"/>
    <w:rsid w:val="00BD146C"/>
    <w:rsid w:val="00BD2A6E"/>
    <w:rsid w:val="00BD2C43"/>
    <w:rsid w:val="00BD420A"/>
    <w:rsid w:val="00BD495D"/>
    <w:rsid w:val="00BD4F3F"/>
    <w:rsid w:val="00BD50E3"/>
    <w:rsid w:val="00BD5811"/>
    <w:rsid w:val="00BD62B1"/>
    <w:rsid w:val="00BD65C7"/>
    <w:rsid w:val="00BD6EF2"/>
    <w:rsid w:val="00BE0B51"/>
    <w:rsid w:val="00BE0CBE"/>
    <w:rsid w:val="00BE1CF6"/>
    <w:rsid w:val="00BE27CE"/>
    <w:rsid w:val="00BE3BFB"/>
    <w:rsid w:val="00BE42EF"/>
    <w:rsid w:val="00BE44C5"/>
    <w:rsid w:val="00BE4B53"/>
    <w:rsid w:val="00BE4C09"/>
    <w:rsid w:val="00BE5063"/>
    <w:rsid w:val="00BE528B"/>
    <w:rsid w:val="00BE5468"/>
    <w:rsid w:val="00BE5E45"/>
    <w:rsid w:val="00BE625D"/>
    <w:rsid w:val="00BE6591"/>
    <w:rsid w:val="00BF03E5"/>
    <w:rsid w:val="00BF0BA9"/>
    <w:rsid w:val="00BF191A"/>
    <w:rsid w:val="00BF1CB0"/>
    <w:rsid w:val="00BF26FB"/>
    <w:rsid w:val="00BF29E7"/>
    <w:rsid w:val="00BF29FC"/>
    <w:rsid w:val="00BF2AA6"/>
    <w:rsid w:val="00BF41B5"/>
    <w:rsid w:val="00BF5C5E"/>
    <w:rsid w:val="00BF600C"/>
    <w:rsid w:val="00C0118B"/>
    <w:rsid w:val="00C0184F"/>
    <w:rsid w:val="00C0215C"/>
    <w:rsid w:val="00C03072"/>
    <w:rsid w:val="00C046A8"/>
    <w:rsid w:val="00C04FF4"/>
    <w:rsid w:val="00C05655"/>
    <w:rsid w:val="00C064C3"/>
    <w:rsid w:val="00C06577"/>
    <w:rsid w:val="00C06B1C"/>
    <w:rsid w:val="00C114A5"/>
    <w:rsid w:val="00C11F5C"/>
    <w:rsid w:val="00C1293D"/>
    <w:rsid w:val="00C12E65"/>
    <w:rsid w:val="00C135B7"/>
    <w:rsid w:val="00C14117"/>
    <w:rsid w:val="00C142B1"/>
    <w:rsid w:val="00C15CB2"/>
    <w:rsid w:val="00C15F78"/>
    <w:rsid w:val="00C16089"/>
    <w:rsid w:val="00C1608D"/>
    <w:rsid w:val="00C21421"/>
    <w:rsid w:val="00C21560"/>
    <w:rsid w:val="00C21D76"/>
    <w:rsid w:val="00C22C55"/>
    <w:rsid w:val="00C237C9"/>
    <w:rsid w:val="00C23F01"/>
    <w:rsid w:val="00C24368"/>
    <w:rsid w:val="00C24852"/>
    <w:rsid w:val="00C249FB"/>
    <w:rsid w:val="00C25154"/>
    <w:rsid w:val="00C251C4"/>
    <w:rsid w:val="00C2564A"/>
    <w:rsid w:val="00C26B2C"/>
    <w:rsid w:val="00C2741A"/>
    <w:rsid w:val="00C27AA1"/>
    <w:rsid w:val="00C27ACF"/>
    <w:rsid w:val="00C313B9"/>
    <w:rsid w:val="00C31AA3"/>
    <w:rsid w:val="00C31B32"/>
    <w:rsid w:val="00C358B9"/>
    <w:rsid w:val="00C35C73"/>
    <w:rsid w:val="00C35F88"/>
    <w:rsid w:val="00C361C1"/>
    <w:rsid w:val="00C36F70"/>
    <w:rsid w:val="00C379A8"/>
    <w:rsid w:val="00C40895"/>
    <w:rsid w:val="00C40A3C"/>
    <w:rsid w:val="00C40E14"/>
    <w:rsid w:val="00C4150F"/>
    <w:rsid w:val="00C415BA"/>
    <w:rsid w:val="00C419FB"/>
    <w:rsid w:val="00C425B5"/>
    <w:rsid w:val="00C527EB"/>
    <w:rsid w:val="00C53E01"/>
    <w:rsid w:val="00C54C59"/>
    <w:rsid w:val="00C557B5"/>
    <w:rsid w:val="00C55E8E"/>
    <w:rsid w:val="00C5757F"/>
    <w:rsid w:val="00C57F5A"/>
    <w:rsid w:val="00C60020"/>
    <w:rsid w:val="00C60620"/>
    <w:rsid w:val="00C61182"/>
    <w:rsid w:val="00C6246C"/>
    <w:rsid w:val="00C63498"/>
    <w:rsid w:val="00C65786"/>
    <w:rsid w:val="00C6609D"/>
    <w:rsid w:val="00C669D7"/>
    <w:rsid w:val="00C70FA5"/>
    <w:rsid w:val="00C722D7"/>
    <w:rsid w:val="00C73635"/>
    <w:rsid w:val="00C747F3"/>
    <w:rsid w:val="00C76424"/>
    <w:rsid w:val="00C768AC"/>
    <w:rsid w:val="00C77D72"/>
    <w:rsid w:val="00C800FC"/>
    <w:rsid w:val="00C81549"/>
    <w:rsid w:val="00C8171B"/>
    <w:rsid w:val="00C826B9"/>
    <w:rsid w:val="00C8350F"/>
    <w:rsid w:val="00C83DF2"/>
    <w:rsid w:val="00C83F0D"/>
    <w:rsid w:val="00C84363"/>
    <w:rsid w:val="00C85D90"/>
    <w:rsid w:val="00C866CB"/>
    <w:rsid w:val="00C86D79"/>
    <w:rsid w:val="00C87B33"/>
    <w:rsid w:val="00C87D68"/>
    <w:rsid w:val="00C90FE3"/>
    <w:rsid w:val="00C91C82"/>
    <w:rsid w:val="00C924D7"/>
    <w:rsid w:val="00C9487D"/>
    <w:rsid w:val="00C95606"/>
    <w:rsid w:val="00C95B75"/>
    <w:rsid w:val="00C95C1D"/>
    <w:rsid w:val="00C9642D"/>
    <w:rsid w:val="00C97059"/>
    <w:rsid w:val="00C979F0"/>
    <w:rsid w:val="00C97B3B"/>
    <w:rsid w:val="00CA0A64"/>
    <w:rsid w:val="00CA17F1"/>
    <w:rsid w:val="00CA1881"/>
    <w:rsid w:val="00CA2894"/>
    <w:rsid w:val="00CA2910"/>
    <w:rsid w:val="00CA29CD"/>
    <w:rsid w:val="00CA3938"/>
    <w:rsid w:val="00CA3ABD"/>
    <w:rsid w:val="00CA49E7"/>
    <w:rsid w:val="00CA56F0"/>
    <w:rsid w:val="00CA59D1"/>
    <w:rsid w:val="00CA6491"/>
    <w:rsid w:val="00CA6F4D"/>
    <w:rsid w:val="00CB06CB"/>
    <w:rsid w:val="00CB0903"/>
    <w:rsid w:val="00CB0990"/>
    <w:rsid w:val="00CB1399"/>
    <w:rsid w:val="00CB20F1"/>
    <w:rsid w:val="00CB23C0"/>
    <w:rsid w:val="00CB242D"/>
    <w:rsid w:val="00CB2A92"/>
    <w:rsid w:val="00CB2F05"/>
    <w:rsid w:val="00CB3ECC"/>
    <w:rsid w:val="00CB4577"/>
    <w:rsid w:val="00CB6054"/>
    <w:rsid w:val="00CB6A62"/>
    <w:rsid w:val="00CB6F4F"/>
    <w:rsid w:val="00CC047A"/>
    <w:rsid w:val="00CC0B82"/>
    <w:rsid w:val="00CC183A"/>
    <w:rsid w:val="00CC1EF5"/>
    <w:rsid w:val="00CC21DE"/>
    <w:rsid w:val="00CC2734"/>
    <w:rsid w:val="00CC295A"/>
    <w:rsid w:val="00CC2A89"/>
    <w:rsid w:val="00CC2D7D"/>
    <w:rsid w:val="00CC322C"/>
    <w:rsid w:val="00CC37AB"/>
    <w:rsid w:val="00CC3BE8"/>
    <w:rsid w:val="00CC421D"/>
    <w:rsid w:val="00CC48C6"/>
    <w:rsid w:val="00CC50B6"/>
    <w:rsid w:val="00CC66A0"/>
    <w:rsid w:val="00CD02DE"/>
    <w:rsid w:val="00CD116B"/>
    <w:rsid w:val="00CD1AA8"/>
    <w:rsid w:val="00CD21A0"/>
    <w:rsid w:val="00CD512E"/>
    <w:rsid w:val="00CD6F55"/>
    <w:rsid w:val="00CD7EA4"/>
    <w:rsid w:val="00CE02F9"/>
    <w:rsid w:val="00CE0ED7"/>
    <w:rsid w:val="00CE237F"/>
    <w:rsid w:val="00CE3730"/>
    <w:rsid w:val="00CE3A7C"/>
    <w:rsid w:val="00CE450D"/>
    <w:rsid w:val="00CE71F7"/>
    <w:rsid w:val="00CE7768"/>
    <w:rsid w:val="00CE7EB1"/>
    <w:rsid w:val="00CF032B"/>
    <w:rsid w:val="00CF0724"/>
    <w:rsid w:val="00CF0D1E"/>
    <w:rsid w:val="00CF2266"/>
    <w:rsid w:val="00CF28B5"/>
    <w:rsid w:val="00CF2ED0"/>
    <w:rsid w:val="00CF4444"/>
    <w:rsid w:val="00CF4B25"/>
    <w:rsid w:val="00CF5E16"/>
    <w:rsid w:val="00CF638C"/>
    <w:rsid w:val="00CF7501"/>
    <w:rsid w:val="00D00271"/>
    <w:rsid w:val="00D020CF"/>
    <w:rsid w:val="00D02443"/>
    <w:rsid w:val="00D032C6"/>
    <w:rsid w:val="00D03B9F"/>
    <w:rsid w:val="00D0420D"/>
    <w:rsid w:val="00D056A4"/>
    <w:rsid w:val="00D05A10"/>
    <w:rsid w:val="00D05C5B"/>
    <w:rsid w:val="00D05D17"/>
    <w:rsid w:val="00D06465"/>
    <w:rsid w:val="00D0670B"/>
    <w:rsid w:val="00D12E3F"/>
    <w:rsid w:val="00D13C6F"/>
    <w:rsid w:val="00D15743"/>
    <w:rsid w:val="00D203A5"/>
    <w:rsid w:val="00D21523"/>
    <w:rsid w:val="00D22C7F"/>
    <w:rsid w:val="00D23479"/>
    <w:rsid w:val="00D234CF"/>
    <w:rsid w:val="00D237EE"/>
    <w:rsid w:val="00D23E28"/>
    <w:rsid w:val="00D241CD"/>
    <w:rsid w:val="00D24662"/>
    <w:rsid w:val="00D24863"/>
    <w:rsid w:val="00D254FC"/>
    <w:rsid w:val="00D27C05"/>
    <w:rsid w:val="00D27F34"/>
    <w:rsid w:val="00D27F93"/>
    <w:rsid w:val="00D3236D"/>
    <w:rsid w:val="00D3420F"/>
    <w:rsid w:val="00D345CB"/>
    <w:rsid w:val="00D36037"/>
    <w:rsid w:val="00D36137"/>
    <w:rsid w:val="00D364A1"/>
    <w:rsid w:val="00D36CE8"/>
    <w:rsid w:val="00D406E1"/>
    <w:rsid w:val="00D40F01"/>
    <w:rsid w:val="00D414F1"/>
    <w:rsid w:val="00D4275F"/>
    <w:rsid w:val="00D43454"/>
    <w:rsid w:val="00D43C55"/>
    <w:rsid w:val="00D43CAC"/>
    <w:rsid w:val="00D44905"/>
    <w:rsid w:val="00D464F6"/>
    <w:rsid w:val="00D4670F"/>
    <w:rsid w:val="00D46941"/>
    <w:rsid w:val="00D47ED1"/>
    <w:rsid w:val="00D54116"/>
    <w:rsid w:val="00D54150"/>
    <w:rsid w:val="00D54521"/>
    <w:rsid w:val="00D554C7"/>
    <w:rsid w:val="00D55A38"/>
    <w:rsid w:val="00D55A5A"/>
    <w:rsid w:val="00D55B76"/>
    <w:rsid w:val="00D565D1"/>
    <w:rsid w:val="00D5667D"/>
    <w:rsid w:val="00D56745"/>
    <w:rsid w:val="00D57121"/>
    <w:rsid w:val="00D5744E"/>
    <w:rsid w:val="00D574BA"/>
    <w:rsid w:val="00D5764D"/>
    <w:rsid w:val="00D579BC"/>
    <w:rsid w:val="00D57F59"/>
    <w:rsid w:val="00D57F9F"/>
    <w:rsid w:val="00D601C4"/>
    <w:rsid w:val="00D606AA"/>
    <w:rsid w:val="00D619BA"/>
    <w:rsid w:val="00D62584"/>
    <w:rsid w:val="00D626DA"/>
    <w:rsid w:val="00D6584A"/>
    <w:rsid w:val="00D65DB5"/>
    <w:rsid w:val="00D66019"/>
    <w:rsid w:val="00D669F8"/>
    <w:rsid w:val="00D66C8E"/>
    <w:rsid w:val="00D66CF1"/>
    <w:rsid w:val="00D674F7"/>
    <w:rsid w:val="00D700AF"/>
    <w:rsid w:val="00D71563"/>
    <w:rsid w:val="00D717EC"/>
    <w:rsid w:val="00D73D20"/>
    <w:rsid w:val="00D73FF6"/>
    <w:rsid w:val="00D7477C"/>
    <w:rsid w:val="00D76A13"/>
    <w:rsid w:val="00D77014"/>
    <w:rsid w:val="00D80050"/>
    <w:rsid w:val="00D80EA7"/>
    <w:rsid w:val="00D812D4"/>
    <w:rsid w:val="00D83181"/>
    <w:rsid w:val="00D83F29"/>
    <w:rsid w:val="00D843A6"/>
    <w:rsid w:val="00D84F9D"/>
    <w:rsid w:val="00D85B56"/>
    <w:rsid w:val="00D85E7C"/>
    <w:rsid w:val="00D8643A"/>
    <w:rsid w:val="00D8679E"/>
    <w:rsid w:val="00D8726D"/>
    <w:rsid w:val="00D91B63"/>
    <w:rsid w:val="00D93814"/>
    <w:rsid w:val="00D93C84"/>
    <w:rsid w:val="00D9411E"/>
    <w:rsid w:val="00D9475A"/>
    <w:rsid w:val="00D94D27"/>
    <w:rsid w:val="00D95DF3"/>
    <w:rsid w:val="00D964B1"/>
    <w:rsid w:val="00D966B1"/>
    <w:rsid w:val="00D975D6"/>
    <w:rsid w:val="00D97FA7"/>
    <w:rsid w:val="00DA041C"/>
    <w:rsid w:val="00DA0FC3"/>
    <w:rsid w:val="00DA127F"/>
    <w:rsid w:val="00DA1915"/>
    <w:rsid w:val="00DA21D2"/>
    <w:rsid w:val="00DA2875"/>
    <w:rsid w:val="00DA2CD1"/>
    <w:rsid w:val="00DA3415"/>
    <w:rsid w:val="00DA430B"/>
    <w:rsid w:val="00DA4AA7"/>
    <w:rsid w:val="00DA4C3B"/>
    <w:rsid w:val="00DA58B7"/>
    <w:rsid w:val="00DA6624"/>
    <w:rsid w:val="00DB021A"/>
    <w:rsid w:val="00DB0345"/>
    <w:rsid w:val="00DB09BD"/>
    <w:rsid w:val="00DB140F"/>
    <w:rsid w:val="00DB20E4"/>
    <w:rsid w:val="00DB2EAD"/>
    <w:rsid w:val="00DB3872"/>
    <w:rsid w:val="00DB3C86"/>
    <w:rsid w:val="00DB4706"/>
    <w:rsid w:val="00DB5AAA"/>
    <w:rsid w:val="00DB5AE1"/>
    <w:rsid w:val="00DB5F3B"/>
    <w:rsid w:val="00DB6062"/>
    <w:rsid w:val="00DB62CE"/>
    <w:rsid w:val="00DB65B0"/>
    <w:rsid w:val="00DB6733"/>
    <w:rsid w:val="00DB6795"/>
    <w:rsid w:val="00DB7C8F"/>
    <w:rsid w:val="00DC110B"/>
    <w:rsid w:val="00DC12AC"/>
    <w:rsid w:val="00DC24CB"/>
    <w:rsid w:val="00DC28D0"/>
    <w:rsid w:val="00DC3474"/>
    <w:rsid w:val="00DC475C"/>
    <w:rsid w:val="00DC480B"/>
    <w:rsid w:val="00DC5B8C"/>
    <w:rsid w:val="00DC7A1A"/>
    <w:rsid w:val="00DD10FA"/>
    <w:rsid w:val="00DD1207"/>
    <w:rsid w:val="00DD1338"/>
    <w:rsid w:val="00DD1EF4"/>
    <w:rsid w:val="00DD30AD"/>
    <w:rsid w:val="00DD3547"/>
    <w:rsid w:val="00DD420B"/>
    <w:rsid w:val="00DD5646"/>
    <w:rsid w:val="00DD5A1C"/>
    <w:rsid w:val="00DD5AFC"/>
    <w:rsid w:val="00DD5EE2"/>
    <w:rsid w:val="00DD61DC"/>
    <w:rsid w:val="00DD734E"/>
    <w:rsid w:val="00DE07C1"/>
    <w:rsid w:val="00DE234D"/>
    <w:rsid w:val="00DE2E9A"/>
    <w:rsid w:val="00DE303B"/>
    <w:rsid w:val="00DE37B7"/>
    <w:rsid w:val="00DE3906"/>
    <w:rsid w:val="00DE3D4D"/>
    <w:rsid w:val="00DE4238"/>
    <w:rsid w:val="00DE4408"/>
    <w:rsid w:val="00DE4867"/>
    <w:rsid w:val="00DE4A24"/>
    <w:rsid w:val="00DE5094"/>
    <w:rsid w:val="00DE5976"/>
    <w:rsid w:val="00DE646C"/>
    <w:rsid w:val="00DE6B6E"/>
    <w:rsid w:val="00DE776B"/>
    <w:rsid w:val="00DF0F7B"/>
    <w:rsid w:val="00DF1130"/>
    <w:rsid w:val="00DF1151"/>
    <w:rsid w:val="00DF2090"/>
    <w:rsid w:val="00DF22C3"/>
    <w:rsid w:val="00DF259A"/>
    <w:rsid w:val="00DF2C74"/>
    <w:rsid w:val="00DF49DB"/>
    <w:rsid w:val="00DF4D1C"/>
    <w:rsid w:val="00DF5026"/>
    <w:rsid w:val="00DF5D42"/>
    <w:rsid w:val="00DF5FDC"/>
    <w:rsid w:val="00DF693C"/>
    <w:rsid w:val="00DF74FD"/>
    <w:rsid w:val="00DF7E39"/>
    <w:rsid w:val="00E00AFF"/>
    <w:rsid w:val="00E00DD2"/>
    <w:rsid w:val="00E01D4C"/>
    <w:rsid w:val="00E02292"/>
    <w:rsid w:val="00E022A2"/>
    <w:rsid w:val="00E029D4"/>
    <w:rsid w:val="00E03F3C"/>
    <w:rsid w:val="00E0460C"/>
    <w:rsid w:val="00E049BA"/>
    <w:rsid w:val="00E05363"/>
    <w:rsid w:val="00E057A6"/>
    <w:rsid w:val="00E06DC7"/>
    <w:rsid w:val="00E07551"/>
    <w:rsid w:val="00E07B00"/>
    <w:rsid w:val="00E10361"/>
    <w:rsid w:val="00E1050E"/>
    <w:rsid w:val="00E109FE"/>
    <w:rsid w:val="00E1135B"/>
    <w:rsid w:val="00E1154B"/>
    <w:rsid w:val="00E13436"/>
    <w:rsid w:val="00E14C86"/>
    <w:rsid w:val="00E1536A"/>
    <w:rsid w:val="00E1564D"/>
    <w:rsid w:val="00E158B7"/>
    <w:rsid w:val="00E21145"/>
    <w:rsid w:val="00E21D08"/>
    <w:rsid w:val="00E220DC"/>
    <w:rsid w:val="00E22A8A"/>
    <w:rsid w:val="00E23746"/>
    <w:rsid w:val="00E23957"/>
    <w:rsid w:val="00E23FE7"/>
    <w:rsid w:val="00E245D7"/>
    <w:rsid w:val="00E25CB9"/>
    <w:rsid w:val="00E25E86"/>
    <w:rsid w:val="00E260AA"/>
    <w:rsid w:val="00E271F5"/>
    <w:rsid w:val="00E30350"/>
    <w:rsid w:val="00E31430"/>
    <w:rsid w:val="00E33E74"/>
    <w:rsid w:val="00E33EAD"/>
    <w:rsid w:val="00E33F70"/>
    <w:rsid w:val="00E35711"/>
    <w:rsid w:val="00E36AE0"/>
    <w:rsid w:val="00E36F1D"/>
    <w:rsid w:val="00E36F8D"/>
    <w:rsid w:val="00E375D1"/>
    <w:rsid w:val="00E409FC"/>
    <w:rsid w:val="00E418DA"/>
    <w:rsid w:val="00E41D6E"/>
    <w:rsid w:val="00E43201"/>
    <w:rsid w:val="00E43606"/>
    <w:rsid w:val="00E441A0"/>
    <w:rsid w:val="00E442E5"/>
    <w:rsid w:val="00E44315"/>
    <w:rsid w:val="00E44AB7"/>
    <w:rsid w:val="00E44AED"/>
    <w:rsid w:val="00E461D0"/>
    <w:rsid w:val="00E46221"/>
    <w:rsid w:val="00E46608"/>
    <w:rsid w:val="00E46C6E"/>
    <w:rsid w:val="00E46F52"/>
    <w:rsid w:val="00E47626"/>
    <w:rsid w:val="00E505C8"/>
    <w:rsid w:val="00E50732"/>
    <w:rsid w:val="00E50E5B"/>
    <w:rsid w:val="00E533D1"/>
    <w:rsid w:val="00E539F5"/>
    <w:rsid w:val="00E552E8"/>
    <w:rsid w:val="00E602B3"/>
    <w:rsid w:val="00E608A6"/>
    <w:rsid w:val="00E609BA"/>
    <w:rsid w:val="00E625A2"/>
    <w:rsid w:val="00E62CF7"/>
    <w:rsid w:val="00E64229"/>
    <w:rsid w:val="00E6456D"/>
    <w:rsid w:val="00E64D58"/>
    <w:rsid w:val="00E64DD3"/>
    <w:rsid w:val="00E64E2D"/>
    <w:rsid w:val="00E6549D"/>
    <w:rsid w:val="00E661AE"/>
    <w:rsid w:val="00E66538"/>
    <w:rsid w:val="00E6684F"/>
    <w:rsid w:val="00E66D9E"/>
    <w:rsid w:val="00E6762D"/>
    <w:rsid w:val="00E70041"/>
    <w:rsid w:val="00E70F03"/>
    <w:rsid w:val="00E71EC2"/>
    <w:rsid w:val="00E72730"/>
    <w:rsid w:val="00E733EA"/>
    <w:rsid w:val="00E74069"/>
    <w:rsid w:val="00E744C6"/>
    <w:rsid w:val="00E74508"/>
    <w:rsid w:val="00E74D77"/>
    <w:rsid w:val="00E75B69"/>
    <w:rsid w:val="00E77331"/>
    <w:rsid w:val="00E77C89"/>
    <w:rsid w:val="00E80F3F"/>
    <w:rsid w:val="00E83086"/>
    <w:rsid w:val="00E83FE2"/>
    <w:rsid w:val="00E87EC2"/>
    <w:rsid w:val="00E90379"/>
    <w:rsid w:val="00E9124C"/>
    <w:rsid w:val="00E91781"/>
    <w:rsid w:val="00E91A60"/>
    <w:rsid w:val="00E924EB"/>
    <w:rsid w:val="00E93157"/>
    <w:rsid w:val="00E94A92"/>
    <w:rsid w:val="00E94EF9"/>
    <w:rsid w:val="00E975E1"/>
    <w:rsid w:val="00EA0978"/>
    <w:rsid w:val="00EA140F"/>
    <w:rsid w:val="00EA2216"/>
    <w:rsid w:val="00EA2B86"/>
    <w:rsid w:val="00EA2F41"/>
    <w:rsid w:val="00EA3628"/>
    <w:rsid w:val="00EA4147"/>
    <w:rsid w:val="00EA4630"/>
    <w:rsid w:val="00EA4EFD"/>
    <w:rsid w:val="00EA78B8"/>
    <w:rsid w:val="00EB0789"/>
    <w:rsid w:val="00EB0AEF"/>
    <w:rsid w:val="00EB0BDA"/>
    <w:rsid w:val="00EB0C4B"/>
    <w:rsid w:val="00EB1904"/>
    <w:rsid w:val="00EB3968"/>
    <w:rsid w:val="00EB3A6E"/>
    <w:rsid w:val="00EB3CAD"/>
    <w:rsid w:val="00EB4E2E"/>
    <w:rsid w:val="00EB4EE4"/>
    <w:rsid w:val="00EB5F95"/>
    <w:rsid w:val="00EB62F0"/>
    <w:rsid w:val="00EB7C8A"/>
    <w:rsid w:val="00EB7ED9"/>
    <w:rsid w:val="00EC09E1"/>
    <w:rsid w:val="00EC135B"/>
    <w:rsid w:val="00EC1447"/>
    <w:rsid w:val="00EC25F3"/>
    <w:rsid w:val="00EC27B4"/>
    <w:rsid w:val="00EC2BD1"/>
    <w:rsid w:val="00EC2F70"/>
    <w:rsid w:val="00EC3AFB"/>
    <w:rsid w:val="00EC3FB4"/>
    <w:rsid w:val="00EC4FC7"/>
    <w:rsid w:val="00EC5AE8"/>
    <w:rsid w:val="00EC68C7"/>
    <w:rsid w:val="00EC7070"/>
    <w:rsid w:val="00EC7D00"/>
    <w:rsid w:val="00ED120F"/>
    <w:rsid w:val="00ED1A3F"/>
    <w:rsid w:val="00ED24D5"/>
    <w:rsid w:val="00ED3C76"/>
    <w:rsid w:val="00ED4B55"/>
    <w:rsid w:val="00ED545C"/>
    <w:rsid w:val="00ED5AB4"/>
    <w:rsid w:val="00ED65EB"/>
    <w:rsid w:val="00ED6638"/>
    <w:rsid w:val="00ED7491"/>
    <w:rsid w:val="00EE35D5"/>
    <w:rsid w:val="00EE4EDC"/>
    <w:rsid w:val="00EE5DAA"/>
    <w:rsid w:val="00EE62ED"/>
    <w:rsid w:val="00EE6622"/>
    <w:rsid w:val="00EE6E8C"/>
    <w:rsid w:val="00EE6F88"/>
    <w:rsid w:val="00EF09EC"/>
    <w:rsid w:val="00EF0D81"/>
    <w:rsid w:val="00EF172E"/>
    <w:rsid w:val="00EF317B"/>
    <w:rsid w:val="00EF3271"/>
    <w:rsid w:val="00EF471D"/>
    <w:rsid w:val="00EF520E"/>
    <w:rsid w:val="00EF60C5"/>
    <w:rsid w:val="00EF61A9"/>
    <w:rsid w:val="00EF6716"/>
    <w:rsid w:val="00EF6BAB"/>
    <w:rsid w:val="00EF7C18"/>
    <w:rsid w:val="00EF7D86"/>
    <w:rsid w:val="00F004A6"/>
    <w:rsid w:val="00F004F9"/>
    <w:rsid w:val="00F0062D"/>
    <w:rsid w:val="00F01120"/>
    <w:rsid w:val="00F01FD1"/>
    <w:rsid w:val="00F02E9F"/>
    <w:rsid w:val="00F0373B"/>
    <w:rsid w:val="00F039A6"/>
    <w:rsid w:val="00F04232"/>
    <w:rsid w:val="00F04752"/>
    <w:rsid w:val="00F04A70"/>
    <w:rsid w:val="00F051F2"/>
    <w:rsid w:val="00F05A9A"/>
    <w:rsid w:val="00F062E3"/>
    <w:rsid w:val="00F07484"/>
    <w:rsid w:val="00F10BA4"/>
    <w:rsid w:val="00F1251C"/>
    <w:rsid w:val="00F13213"/>
    <w:rsid w:val="00F13334"/>
    <w:rsid w:val="00F13B95"/>
    <w:rsid w:val="00F141D7"/>
    <w:rsid w:val="00F15554"/>
    <w:rsid w:val="00F16992"/>
    <w:rsid w:val="00F16E0E"/>
    <w:rsid w:val="00F21778"/>
    <w:rsid w:val="00F21E30"/>
    <w:rsid w:val="00F227BD"/>
    <w:rsid w:val="00F22A89"/>
    <w:rsid w:val="00F244EF"/>
    <w:rsid w:val="00F2491D"/>
    <w:rsid w:val="00F24BB2"/>
    <w:rsid w:val="00F26838"/>
    <w:rsid w:val="00F27127"/>
    <w:rsid w:val="00F27E84"/>
    <w:rsid w:val="00F306CF"/>
    <w:rsid w:val="00F32E8B"/>
    <w:rsid w:val="00F33E65"/>
    <w:rsid w:val="00F34816"/>
    <w:rsid w:val="00F3522A"/>
    <w:rsid w:val="00F36817"/>
    <w:rsid w:val="00F36AE2"/>
    <w:rsid w:val="00F41872"/>
    <w:rsid w:val="00F42776"/>
    <w:rsid w:val="00F43731"/>
    <w:rsid w:val="00F45795"/>
    <w:rsid w:val="00F45ADF"/>
    <w:rsid w:val="00F45F82"/>
    <w:rsid w:val="00F46612"/>
    <w:rsid w:val="00F4671F"/>
    <w:rsid w:val="00F469CB"/>
    <w:rsid w:val="00F46C80"/>
    <w:rsid w:val="00F47289"/>
    <w:rsid w:val="00F47866"/>
    <w:rsid w:val="00F503DB"/>
    <w:rsid w:val="00F50E34"/>
    <w:rsid w:val="00F5159E"/>
    <w:rsid w:val="00F51910"/>
    <w:rsid w:val="00F51D27"/>
    <w:rsid w:val="00F53420"/>
    <w:rsid w:val="00F547C7"/>
    <w:rsid w:val="00F54E84"/>
    <w:rsid w:val="00F54EB4"/>
    <w:rsid w:val="00F5583A"/>
    <w:rsid w:val="00F56847"/>
    <w:rsid w:val="00F56D4B"/>
    <w:rsid w:val="00F57792"/>
    <w:rsid w:val="00F60F97"/>
    <w:rsid w:val="00F62785"/>
    <w:rsid w:val="00F62B62"/>
    <w:rsid w:val="00F634E8"/>
    <w:rsid w:val="00F63D4B"/>
    <w:rsid w:val="00F65C64"/>
    <w:rsid w:val="00F66B28"/>
    <w:rsid w:val="00F709AF"/>
    <w:rsid w:val="00F71243"/>
    <w:rsid w:val="00F71525"/>
    <w:rsid w:val="00F72B02"/>
    <w:rsid w:val="00F72B9B"/>
    <w:rsid w:val="00F72C04"/>
    <w:rsid w:val="00F738A0"/>
    <w:rsid w:val="00F74F05"/>
    <w:rsid w:val="00F765C3"/>
    <w:rsid w:val="00F76C15"/>
    <w:rsid w:val="00F76E2E"/>
    <w:rsid w:val="00F76F6C"/>
    <w:rsid w:val="00F7759B"/>
    <w:rsid w:val="00F77913"/>
    <w:rsid w:val="00F808D7"/>
    <w:rsid w:val="00F81BE3"/>
    <w:rsid w:val="00F8234A"/>
    <w:rsid w:val="00F843F4"/>
    <w:rsid w:val="00F846E9"/>
    <w:rsid w:val="00F84CFC"/>
    <w:rsid w:val="00F87ED8"/>
    <w:rsid w:val="00F90302"/>
    <w:rsid w:val="00F90D5E"/>
    <w:rsid w:val="00F91E6B"/>
    <w:rsid w:val="00F92A8F"/>
    <w:rsid w:val="00F95B9D"/>
    <w:rsid w:val="00F95FF5"/>
    <w:rsid w:val="00F966AF"/>
    <w:rsid w:val="00F96BB4"/>
    <w:rsid w:val="00F97413"/>
    <w:rsid w:val="00FA032E"/>
    <w:rsid w:val="00FA06F2"/>
    <w:rsid w:val="00FA0940"/>
    <w:rsid w:val="00FA096B"/>
    <w:rsid w:val="00FA0B4D"/>
    <w:rsid w:val="00FA0C5A"/>
    <w:rsid w:val="00FA1130"/>
    <w:rsid w:val="00FA15BB"/>
    <w:rsid w:val="00FA1AC1"/>
    <w:rsid w:val="00FA28EC"/>
    <w:rsid w:val="00FA3226"/>
    <w:rsid w:val="00FA42AB"/>
    <w:rsid w:val="00FA4371"/>
    <w:rsid w:val="00FA4E17"/>
    <w:rsid w:val="00FA50AB"/>
    <w:rsid w:val="00FA5686"/>
    <w:rsid w:val="00FA586D"/>
    <w:rsid w:val="00FA678D"/>
    <w:rsid w:val="00FA6A1E"/>
    <w:rsid w:val="00FA6E3E"/>
    <w:rsid w:val="00FA6FC0"/>
    <w:rsid w:val="00FB1412"/>
    <w:rsid w:val="00FB162C"/>
    <w:rsid w:val="00FB22EA"/>
    <w:rsid w:val="00FB276C"/>
    <w:rsid w:val="00FB2A5F"/>
    <w:rsid w:val="00FB31A9"/>
    <w:rsid w:val="00FB37B5"/>
    <w:rsid w:val="00FB3B9C"/>
    <w:rsid w:val="00FB3F9D"/>
    <w:rsid w:val="00FB44BF"/>
    <w:rsid w:val="00FB4D0E"/>
    <w:rsid w:val="00FB520D"/>
    <w:rsid w:val="00FB572D"/>
    <w:rsid w:val="00FB5763"/>
    <w:rsid w:val="00FB5F29"/>
    <w:rsid w:val="00FB6291"/>
    <w:rsid w:val="00FC0333"/>
    <w:rsid w:val="00FC0F42"/>
    <w:rsid w:val="00FC13AF"/>
    <w:rsid w:val="00FC2460"/>
    <w:rsid w:val="00FC3245"/>
    <w:rsid w:val="00FC38E7"/>
    <w:rsid w:val="00FC38E9"/>
    <w:rsid w:val="00FC42DE"/>
    <w:rsid w:val="00FC4D89"/>
    <w:rsid w:val="00FC51EC"/>
    <w:rsid w:val="00FC619C"/>
    <w:rsid w:val="00FC67A6"/>
    <w:rsid w:val="00FC69DC"/>
    <w:rsid w:val="00FC6B34"/>
    <w:rsid w:val="00FC73EC"/>
    <w:rsid w:val="00FC780B"/>
    <w:rsid w:val="00FD050B"/>
    <w:rsid w:val="00FD06EF"/>
    <w:rsid w:val="00FD195D"/>
    <w:rsid w:val="00FD1A6F"/>
    <w:rsid w:val="00FD22CE"/>
    <w:rsid w:val="00FD2C66"/>
    <w:rsid w:val="00FD3242"/>
    <w:rsid w:val="00FD3B04"/>
    <w:rsid w:val="00FD5078"/>
    <w:rsid w:val="00FD54C9"/>
    <w:rsid w:val="00FD5710"/>
    <w:rsid w:val="00FD5D74"/>
    <w:rsid w:val="00FD6FC7"/>
    <w:rsid w:val="00FD7018"/>
    <w:rsid w:val="00FD731A"/>
    <w:rsid w:val="00FD734B"/>
    <w:rsid w:val="00FD7BA2"/>
    <w:rsid w:val="00FE073E"/>
    <w:rsid w:val="00FE0757"/>
    <w:rsid w:val="00FE08F5"/>
    <w:rsid w:val="00FE11EC"/>
    <w:rsid w:val="00FE1261"/>
    <w:rsid w:val="00FE19A2"/>
    <w:rsid w:val="00FE1C2D"/>
    <w:rsid w:val="00FE324E"/>
    <w:rsid w:val="00FE356B"/>
    <w:rsid w:val="00FE54BC"/>
    <w:rsid w:val="00FE56F6"/>
    <w:rsid w:val="00FE5FE0"/>
    <w:rsid w:val="00FE6610"/>
    <w:rsid w:val="00FE6C0E"/>
    <w:rsid w:val="00FE71B4"/>
    <w:rsid w:val="00FE79A7"/>
    <w:rsid w:val="00FF0F09"/>
    <w:rsid w:val="00FF125F"/>
    <w:rsid w:val="00FF154E"/>
    <w:rsid w:val="00FF1719"/>
    <w:rsid w:val="00FF3106"/>
    <w:rsid w:val="00FF3A0E"/>
    <w:rsid w:val="00FF3F68"/>
    <w:rsid w:val="00FF4919"/>
    <w:rsid w:val="00FF4E5D"/>
    <w:rsid w:val="00FF5683"/>
    <w:rsid w:val="00FF6398"/>
    <w:rsid w:val="00FF684B"/>
    <w:rsid w:val="00FF706E"/>
    <w:rsid w:val="00FF74FC"/>
    <w:rsid w:val="00FF75D7"/>
    <w:rsid w:val="00FF77CB"/>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1CB90DC"/>
  <w15:docId w15:val="{59D46820-EB53-4AFA-8C74-A3AE82B08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Light" w:uiPriority="40"/>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7C5F"/>
    <w:pPr>
      <w:spacing w:after="200" w:line="276" w:lineRule="auto"/>
      <w:jc w:val="both"/>
    </w:pPr>
    <w:rPr>
      <w:rFonts w:ascii="Futura T OT" w:hAnsi="Futura T OT"/>
      <w:color w:val="595959"/>
    </w:rPr>
  </w:style>
  <w:style w:type="paragraph" w:styleId="Ttulo1">
    <w:name w:val="heading 1"/>
    <w:aliases w:val="Sumario"/>
    <w:basedOn w:val="Normal"/>
    <w:next w:val="Normal"/>
    <w:link w:val="Ttulo1Car"/>
    <w:uiPriority w:val="9"/>
    <w:qFormat/>
    <w:rsid w:val="005A1156"/>
    <w:pPr>
      <w:keepNext/>
      <w:keepLines/>
      <w:spacing w:before="3200"/>
      <w:outlineLvl w:val="0"/>
    </w:pPr>
    <w:rPr>
      <w:rFonts w:eastAsia="Times New Roman" w:cs="Times New Roman"/>
      <w:b/>
      <w:bCs/>
      <w:caps/>
      <w:color w:val="auto"/>
      <w:sz w:val="32"/>
      <w:szCs w:val="28"/>
      <w:lang w:val="es-MX" w:eastAsia="en-US"/>
    </w:rPr>
  </w:style>
  <w:style w:type="paragraph" w:styleId="Ttulo2">
    <w:name w:val="heading 2"/>
    <w:aliases w:val="Título Secciones"/>
    <w:basedOn w:val="Normal"/>
    <w:next w:val="Normal"/>
    <w:link w:val="Ttulo2Car"/>
    <w:uiPriority w:val="9"/>
    <w:unhideWhenUsed/>
    <w:qFormat/>
    <w:rsid w:val="005441E8"/>
    <w:pPr>
      <w:keepNext/>
      <w:keepLines/>
      <w:spacing w:before="200" w:line="240" w:lineRule="auto"/>
      <w:jc w:val="left"/>
      <w:outlineLvl w:val="1"/>
    </w:pPr>
    <w:rPr>
      <w:rFonts w:eastAsia="Times New Roman" w:cs="Times New Roman"/>
      <w:b/>
      <w:bCs/>
      <w:caps/>
      <w:color w:val="4BACC6"/>
      <w:sz w:val="28"/>
      <w:szCs w:val="26"/>
      <w:lang w:val="es-MX" w:eastAsia="en-US"/>
    </w:rPr>
  </w:style>
  <w:style w:type="paragraph" w:styleId="Ttulo3">
    <w:name w:val="heading 3"/>
    <w:basedOn w:val="Normal"/>
    <w:next w:val="Normal"/>
    <w:link w:val="Ttulo3Car"/>
    <w:uiPriority w:val="9"/>
    <w:unhideWhenUsed/>
    <w:rsid w:val="00774E8D"/>
    <w:pPr>
      <w:keepNext/>
      <w:keepLines/>
      <w:numPr>
        <w:ilvl w:val="2"/>
        <w:numId w:val="1"/>
      </w:numPr>
      <w:spacing w:before="200" w:line="360" w:lineRule="auto"/>
      <w:outlineLvl w:val="2"/>
    </w:pPr>
    <w:rPr>
      <w:rFonts w:eastAsia="Times New Roman" w:cs="Times New Roman"/>
      <w:b/>
      <w:bCs/>
      <w:color w:val="808080"/>
      <w:sz w:val="22"/>
      <w:szCs w:val="22"/>
      <w:lang w:val="es-MX" w:eastAsia="en-US"/>
    </w:rPr>
  </w:style>
  <w:style w:type="paragraph" w:styleId="Ttulo4">
    <w:name w:val="heading 4"/>
    <w:basedOn w:val="Normal"/>
    <w:next w:val="Normal"/>
    <w:link w:val="Ttulo4Car"/>
    <w:uiPriority w:val="9"/>
    <w:unhideWhenUsed/>
    <w:qFormat/>
    <w:rsid w:val="00774E8D"/>
    <w:pPr>
      <w:keepNext/>
      <w:keepLines/>
      <w:numPr>
        <w:ilvl w:val="3"/>
        <w:numId w:val="1"/>
      </w:numPr>
      <w:spacing w:before="200" w:line="360" w:lineRule="auto"/>
      <w:outlineLvl w:val="3"/>
    </w:pPr>
    <w:rPr>
      <w:rFonts w:eastAsia="Times New Roman" w:cs="Times New Roman"/>
      <w:b/>
      <w:bCs/>
      <w:i/>
      <w:iCs/>
      <w:sz w:val="22"/>
      <w:szCs w:val="22"/>
      <w:lang w:val="es-MX" w:eastAsia="en-US"/>
    </w:rPr>
  </w:style>
  <w:style w:type="paragraph" w:styleId="Ttulo5">
    <w:name w:val="heading 5"/>
    <w:basedOn w:val="Normal"/>
    <w:next w:val="Normal"/>
    <w:link w:val="Ttulo5Car"/>
    <w:uiPriority w:val="9"/>
    <w:unhideWhenUsed/>
    <w:rsid w:val="00774E8D"/>
    <w:pPr>
      <w:keepNext/>
      <w:keepLines/>
      <w:numPr>
        <w:ilvl w:val="4"/>
        <w:numId w:val="1"/>
      </w:numPr>
      <w:spacing w:before="200" w:line="360" w:lineRule="auto"/>
      <w:outlineLvl w:val="4"/>
    </w:pPr>
    <w:rPr>
      <w:rFonts w:eastAsia="Times New Roman" w:cs="Times New Roman"/>
      <w:sz w:val="22"/>
      <w:szCs w:val="22"/>
      <w:lang w:val="es-MX" w:eastAsia="en-US"/>
    </w:rPr>
  </w:style>
  <w:style w:type="paragraph" w:styleId="Ttulo6">
    <w:name w:val="heading 6"/>
    <w:basedOn w:val="Normal"/>
    <w:next w:val="Normal"/>
    <w:link w:val="Ttulo6Car"/>
    <w:uiPriority w:val="9"/>
    <w:unhideWhenUsed/>
    <w:rsid w:val="00774E8D"/>
    <w:pPr>
      <w:keepNext/>
      <w:keepLines/>
      <w:numPr>
        <w:ilvl w:val="5"/>
        <w:numId w:val="1"/>
      </w:numPr>
      <w:spacing w:before="200" w:line="360" w:lineRule="auto"/>
      <w:outlineLvl w:val="5"/>
    </w:pPr>
    <w:rPr>
      <w:rFonts w:eastAsia="Times New Roman" w:cs="Times New Roman"/>
      <w:i/>
      <w:iCs/>
      <w:color w:val="243F60"/>
      <w:sz w:val="22"/>
      <w:szCs w:val="22"/>
      <w:lang w:val="es-MX" w:eastAsia="en-US"/>
    </w:rPr>
  </w:style>
  <w:style w:type="paragraph" w:styleId="Ttulo7">
    <w:name w:val="heading 7"/>
    <w:basedOn w:val="Normal"/>
    <w:next w:val="Normal"/>
    <w:link w:val="Ttulo7Car"/>
    <w:uiPriority w:val="9"/>
    <w:semiHidden/>
    <w:unhideWhenUsed/>
    <w:rsid w:val="00774E8D"/>
    <w:pPr>
      <w:keepNext/>
      <w:keepLines/>
      <w:numPr>
        <w:ilvl w:val="6"/>
        <w:numId w:val="1"/>
      </w:numPr>
      <w:spacing w:before="200" w:line="360" w:lineRule="auto"/>
      <w:outlineLvl w:val="6"/>
    </w:pPr>
    <w:rPr>
      <w:rFonts w:eastAsia="Times New Roman" w:cs="Times New Roman"/>
      <w:i/>
      <w:iCs/>
      <w:color w:val="404040"/>
      <w:sz w:val="22"/>
      <w:szCs w:val="22"/>
      <w:lang w:val="es-MX" w:eastAsia="en-US"/>
    </w:rPr>
  </w:style>
  <w:style w:type="paragraph" w:styleId="Ttulo8">
    <w:name w:val="heading 8"/>
    <w:basedOn w:val="Normal"/>
    <w:next w:val="Normal"/>
    <w:link w:val="Ttulo8Car"/>
    <w:uiPriority w:val="9"/>
    <w:semiHidden/>
    <w:unhideWhenUsed/>
    <w:qFormat/>
    <w:rsid w:val="00774E8D"/>
    <w:pPr>
      <w:keepNext/>
      <w:keepLines/>
      <w:numPr>
        <w:ilvl w:val="7"/>
        <w:numId w:val="1"/>
      </w:numPr>
      <w:spacing w:before="200" w:line="360" w:lineRule="auto"/>
      <w:outlineLvl w:val="7"/>
    </w:pPr>
    <w:rPr>
      <w:rFonts w:eastAsia="Times New Roman" w:cs="Times New Roman"/>
      <w:color w:val="404040"/>
      <w:sz w:val="20"/>
      <w:szCs w:val="20"/>
      <w:lang w:val="es-MX" w:eastAsia="en-US"/>
    </w:rPr>
  </w:style>
  <w:style w:type="paragraph" w:styleId="Ttulo9">
    <w:name w:val="heading 9"/>
    <w:basedOn w:val="Normal"/>
    <w:next w:val="Normal"/>
    <w:link w:val="Ttulo9Car"/>
    <w:uiPriority w:val="9"/>
    <w:semiHidden/>
    <w:unhideWhenUsed/>
    <w:qFormat/>
    <w:rsid w:val="00774E8D"/>
    <w:pPr>
      <w:keepNext/>
      <w:keepLines/>
      <w:numPr>
        <w:ilvl w:val="8"/>
        <w:numId w:val="1"/>
      </w:numPr>
      <w:spacing w:before="200" w:line="360" w:lineRule="auto"/>
      <w:outlineLvl w:val="8"/>
    </w:pPr>
    <w:rPr>
      <w:rFonts w:eastAsia="Times New Roman" w:cs="Times New Roman"/>
      <w:i/>
      <w:iCs/>
      <w:color w:val="404040"/>
      <w:sz w:val="20"/>
      <w:szCs w:val="20"/>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Sumario Car"/>
    <w:basedOn w:val="Fuentedeprrafopredeter"/>
    <w:link w:val="Ttulo1"/>
    <w:uiPriority w:val="9"/>
    <w:rsid w:val="005A1156"/>
    <w:rPr>
      <w:rFonts w:ascii="Futura T OT" w:eastAsia="Times New Roman" w:hAnsi="Futura T OT" w:cs="Times New Roman"/>
      <w:b/>
      <w:bCs/>
      <w:caps/>
      <w:sz w:val="32"/>
      <w:szCs w:val="28"/>
      <w:lang w:val="es-MX" w:eastAsia="en-US"/>
    </w:rPr>
  </w:style>
  <w:style w:type="character" w:customStyle="1" w:styleId="Ttulo2Car">
    <w:name w:val="Título 2 Car"/>
    <w:aliases w:val="Título Secciones Car"/>
    <w:basedOn w:val="Fuentedeprrafopredeter"/>
    <w:link w:val="Ttulo2"/>
    <w:uiPriority w:val="9"/>
    <w:rsid w:val="005441E8"/>
    <w:rPr>
      <w:rFonts w:ascii="Futura T OT" w:eastAsia="Times New Roman" w:hAnsi="Futura T OT" w:cs="Times New Roman"/>
      <w:b/>
      <w:bCs/>
      <w:caps/>
      <w:color w:val="4BACC6"/>
      <w:sz w:val="28"/>
      <w:szCs w:val="26"/>
      <w:lang w:val="es-MX" w:eastAsia="en-US"/>
    </w:rPr>
  </w:style>
  <w:style w:type="character" w:customStyle="1" w:styleId="Ttulo3Car">
    <w:name w:val="Título 3 Car"/>
    <w:basedOn w:val="Fuentedeprrafopredeter"/>
    <w:link w:val="Ttulo3"/>
    <w:uiPriority w:val="9"/>
    <w:rsid w:val="00774E8D"/>
    <w:rPr>
      <w:rFonts w:ascii="Futura T OT" w:eastAsia="Times New Roman" w:hAnsi="Futura T OT" w:cs="Times New Roman"/>
      <w:b/>
      <w:bCs/>
      <w:color w:val="808080"/>
      <w:sz w:val="22"/>
      <w:szCs w:val="22"/>
      <w:lang w:val="es-MX" w:eastAsia="en-US"/>
    </w:rPr>
  </w:style>
  <w:style w:type="character" w:customStyle="1" w:styleId="Ttulo4Car">
    <w:name w:val="Título 4 Car"/>
    <w:basedOn w:val="Fuentedeprrafopredeter"/>
    <w:link w:val="Ttulo4"/>
    <w:uiPriority w:val="9"/>
    <w:rsid w:val="00774E8D"/>
    <w:rPr>
      <w:rFonts w:ascii="Futura T OT" w:eastAsia="Times New Roman" w:hAnsi="Futura T OT" w:cs="Times New Roman"/>
      <w:b/>
      <w:bCs/>
      <w:i/>
      <w:iCs/>
      <w:color w:val="595959"/>
      <w:sz w:val="22"/>
      <w:szCs w:val="22"/>
      <w:lang w:val="es-MX" w:eastAsia="en-US"/>
    </w:rPr>
  </w:style>
  <w:style w:type="character" w:customStyle="1" w:styleId="Ttulo5Car">
    <w:name w:val="Título 5 Car"/>
    <w:basedOn w:val="Fuentedeprrafopredeter"/>
    <w:link w:val="Ttulo5"/>
    <w:uiPriority w:val="9"/>
    <w:rsid w:val="00774E8D"/>
    <w:rPr>
      <w:rFonts w:ascii="Futura T OT" w:eastAsia="Times New Roman" w:hAnsi="Futura T OT" w:cs="Times New Roman"/>
      <w:color w:val="595959"/>
      <w:sz w:val="22"/>
      <w:szCs w:val="22"/>
      <w:lang w:val="es-MX" w:eastAsia="en-US"/>
    </w:rPr>
  </w:style>
  <w:style w:type="character" w:customStyle="1" w:styleId="Ttulo6Car">
    <w:name w:val="Título 6 Car"/>
    <w:basedOn w:val="Fuentedeprrafopredeter"/>
    <w:link w:val="Ttulo6"/>
    <w:uiPriority w:val="9"/>
    <w:rsid w:val="00774E8D"/>
    <w:rPr>
      <w:rFonts w:ascii="Futura T OT" w:eastAsia="Times New Roman" w:hAnsi="Futura T OT" w:cs="Times New Roman"/>
      <w:i/>
      <w:iCs/>
      <w:color w:val="243F60"/>
      <w:sz w:val="22"/>
      <w:szCs w:val="22"/>
      <w:lang w:val="es-MX" w:eastAsia="en-US"/>
    </w:rPr>
  </w:style>
  <w:style w:type="character" w:customStyle="1" w:styleId="Ttulo7Car">
    <w:name w:val="Título 7 Car"/>
    <w:basedOn w:val="Fuentedeprrafopredeter"/>
    <w:link w:val="Ttulo7"/>
    <w:uiPriority w:val="9"/>
    <w:semiHidden/>
    <w:rsid w:val="00774E8D"/>
    <w:rPr>
      <w:rFonts w:ascii="Futura T OT" w:eastAsia="Times New Roman" w:hAnsi="Futura T OT" w:cs="Times New Roman"/>
      <w:i/>
      <w:iCs/>
      <w:color w:val="404040"/>
      <w:sz w:val="22"/>
      <w:szCs w:val="22"/>
      <w:lang w:val="es-MX" w:eastAsia="en-US"/>
    </w:rPr>
  </w:style>
  <w:style w:type="character" w:customStyle="1" w:styleId="Ttulo8Car">
    <w:name w:val="Título 8 Car"/>
    <w:basedOn w:val="Fuentedeprrafopredeter"/>
    <w:link w:val="Ttulo8"/>
    <w:uiPriority w:val="9"/>
    <w:semiHidden/>
    <w:rsid w:val="00774E8D"/>
    <w:rPr>
      <w:rFonts w:ascii="Futura T OT" w:eastAsia="Times New Roman" w:hAnsi="Futura T OT" w:cs="Times New Roman"/>
      <w:color w:val="404040"/>
      <w:sz w:val="20"/>
      <w:szCs w:val="20"/>
      <w:lang w:val="es-MX" w:eastAsia="en-US"/>
    </w:rPr>
  </w:style>
  <w:style w:type="character" w:customStyle="1" w:styleId="Ttulo9Car">
    <w:name w:val="Título 9 Car"/>
    <w:basedOn w:val="Fuentedeprrafopredeter"/>
    <w:link w:val="Ttulo9"/>
    <w:uiPriority w:val="9"/>
    <w:semiHidden/>
    <w:rsid w:val="00774E8D"/>
    <w:rPr>
      <w:rFonts w:ascii="Futura T OT" w:eastAsia="Times New Roman" w:hAnsi="Futura T OT" w:cs="Times New Roman"/>
      <w:i/>
      <w:iCs/>
      <w:color w:val="404040"/>
      <w:sz w:val="20"/>
      <w:szCs w:val="20"/>
      <w:lang w:val="es-MX" w:eastAsia="en-US"/>
    </w:rPr>
  </w:style>
  <w:style w:type="paragraph" w:styleId="Encabezado">
    <w:name w:val="header"/>
    <w:basedOn w:val="Normal"/>
    <w:link w:val="EncabezadoCar"/>
    <w:uiPriority w:val="99"/>
    <w:unhideWhenUsed/>
    <w:rsid w:val="00315CBE"/>
    <w:pPr>
      <w:tabs>
        <w:tab w:val="center" w:pos="4252"/>
        <w:tab w:val="right" w:pos="8504"/>
      </w:tabs>
    </w:pPr>
  </w:style>
  <w:style w:type="character" w:customStyle="1" w:styleId="EncabezadoCar">
    <w:name w:val="Encabezado Car"/>
    <w:basedOn w:val="Fuentedeprrafopredeter"/>
    <w:link w:val="Encabezado"/>
    <w:uiPriority w:val="99"/>
    <w:rsid w:val="00315CBE"/>
  </w:style>
  <w:style w:type="paragraph" w:styleId="Piedepgina">
    <w:name w:val="footer"/>
    <w:basedOn w:val="Normal"/>
    <w:link w:val="PiedepginaCar"/>
    <w:uiPriority w:val="99"/>
    <w:unhideWhenUsed/>
    <w:rsid w:val="00315CBE"/>
    <w:pPr>
      <w:tabs>
        <w:tab w:val="center" w:pos="4252"/>
        <w:tab w:val="right" w:pos="8504"/>
      </w:tabs>
    </w:pPr>
  </w:style>
  <w:style w:type="character" w:customStyle="1" w:styleId="PiedepginaCar">
    <w:name w:val="Pie de página Car"/>
    <w:basedOn w:val="Fuentedeprrafopredeter"/>
    <w:link w:val="Piedepgina"/>
    <w:uiPriority w:val="99"/>
    <w:rsid w:val="00315CBE"/>
  </w:style>
  <w:style w:type="paragraph" w:styleId="Textodeglobo">
    <w:name w:val="Balloon Text"/>
    <w:basedOn w:val="Normal"/>
    <w:link w:val="TextodegloboCar"/>
    <w:uiPriority w:val="99"/>
    <w:semiHidden/>
    <w:unhideWhenUsed/>
    <w:rsid w:val="00315CBE"/>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315CBE"/>
    <w:rPr>
      <w:rFonts w:ascii="Lucida Grande" w:hAnsi="Lucida Grande" w:cs="Lucida Grande"/>
      <w:sz w:val="18"/>
      <w:szCs w:val="18"/>
    </w:rPr>
  </w:style>
  <w:style w:type="paragraph" w:styleId="NormalWeb">
    <w:name w:val="Normal (Web)"/>
    <w:basedOn w:val="Normal"/>
    <w:uiPriority w:val="99"/>
    <w:unhideWhenUsed/>
    <w:rsid w:val="00DA58B7"/>
    <w:pPr>
      <w:spacing w:before="100" w:beforeAutospacing="1" w:after="100" w:afterAutospacing="1"/>
    </w:pPr>
    <w:rPr>
      <w:rFonts w:ascii="Times New Roman" w:eastAsia="Times New Roman" w:hAnsi="Times New Roman" w:cs="Times New Roman"/>
      <w:lang w:val="es-MX" w:eastAsia="es-MX"/>
    </w:rPr>
  </w:style>
  <w:style w:type="paragraph" w:customStyle="1" w:styleId="ecxmsonormal">
    <w:name w:val="ecxmsonormal"/>
    <w:basedOn w:val="Normal"/>
    <w:rsid w:val="00DA58B7"/>
    <w:pPr>
      <w:spacing w:after="324"/>
    </w:pPr>
    <w:rPr>
      <w:rFonts w:ascii="Times New Roman" w:eastAsia="Times New Roman" w:hAnsi="Times New Roman" w:cs="Times New Roman"/>
      <w:lang w:val="es-MX" w:eastAsia="es-MX"/>
    </w:rPr>
  </w:style>
  <w:style w:type="paragraph" w:styleId="Ttulo">
    <w:name w:val="Title"/>
    <w:aliases w:val="Titulares"/>
    <w:basedOn w:val="Normal"/>
    <w:link w:val="TtuloCar"/>
    <w:qFormat/>
    <w:rsid w:val="00F84CFC"/>
    <w:pPr>
      <w:spacing w:before="3400"/>
      <w:jc w:val="left"/>
    </w:pPr>
    <w:rPr>
      <w:rFonts w:eastAsia="Times New Roman" w:cs="Times New Roman"/>
      <w:b/>
      <w:color w:val="4BACC6"/>
      <w:sz w:val="44"/>
      <w:szCs w:val="20"/>
    </w:rPr>
  </w:style>
  <w:style w:type="character" w:customStyle="1" w:styleId="TtuloCar">
    <w:name w:val="Título Car"/>
    <w:aliases w:val="Titulares Car"/>
    <w:basedOn w:val="Fuentedeprrafopredeter"/>
    <w:link w:val="Ttulo"/>
    <w:rsid w:val="00F84CFC"/>
    <w:rPr>
      <w:rFonts w:ascii="Futura T OT" w:eastAsia="Times New Roman" w:hAnsi="Futura T OT" w:cs="Times New Roman"/>
      <w:b/>
      <w:color w:val="4BACC6"/>
      <w:sz w:val="44"/>
      <w:szCs w:val="20"/>
    </w:rPr>
  </w:style>
  <w:style w:type="paragraph" w:styleId="Prrafodelista">
    <w:name w:val="List Paragraph"/>
    <w:basedOn w:val="Normal"/>
    <w:uiPriority w:val="34"/>
    <w:qFormat/>
    <w:rsid w:val="00A83C33"/>
    <w:pPr>
      <w:ind w:left="720"/>
      <w:contextualSpacing/>
    </w:pPr>
  </w:style>
  <w:style w:type="paragraph" w:styleId="Descripcin">
    <w:name w:val="caption"/>
    <w:basedOn w:val="Normal"/>
    <w:next w:val="Normal"/>
    <w:autoRedefine/>
    <w:uiPriority w:val="35"/>
    <w:unhideWhenUsed/>
    <w:qFormat/>
    <w:rsid w:val="00374A10"/>
    <w:pPr>
      <w:spacing w:before="120" w:after="120"/>
      <w:jc w:val="center"/>
    </w:pPr>
    <w:rPr>
      <w:rFonts w:eastAsia="Arial" w:cs="Times New Roman"/>
      <w:bCs/>
      <w:sz w:val="20"/>
      <w:szCs w:val="16"/>
      <w:lang w:val="es-MX" w:eastAsia="en-US"/>
    </w:rPr>
  </w:style>
  <w:style w:type="paragraph" w:styleId="Textonotapie">
    <w:name w:val="footnote text"/>
    <w:aliases w:val="Texto Pie Nota"/>
    <w:basedOn w:val="Normal"/>
    <w:link w:val="TextonotapieCar"/>
    <w:uiPriority w:val="99"/>
    <w:unhideWhenUsed/>
    <w:rsid w:val="00852729"/>
    <w:pPr>
      <w:spacing w:before="120" w:line="240" w:lineRule="auto"/>
      <w:jc w:val="center"/>
    </w:pPr>
    <w:rPr>
      <w:rFonts w:ascii="Futura" w:eastAsia="Arial" w:hAnsi="Futura" w:cs="Times New Roman"/>
      <w:sz w:val="16"/>
      <w:szCs w:val="20"/>
      <w:lang w:val="es-MX" w:eastAsia="en-US"/>
    </w:rPr>
  </w:style>
  <w:style w:type="character" w:customStyle="1" w:styleId="TextonotapieCar">
    <w:name w:val="Texto nota pie Car"/>
    <w:aliases w:val="Texto Pie Nota Car"/>
    <w:basedOn w:val="Fuentedeprrafopredeter"/>
    <w:link w:val="Textonotapie"/>
    <w:uiPriority w:val="99"/>
    <w:rsid w:val="00852729"/>
    <w:rPr>
      <w:rFonts w:ascii="Futura" w:eastAsia="Arial" w:hAnsi="Futura" w:cs="Times New Roman"/>
      <w:color w:val="595959"/>
      <w:sz w:val="16"/>
      <w:szCs w:val="20"/>
      <w:lang w:val="es-MX" w:eastAsia="en-US"/>
    </w:rPr>
  </w:style>
  <w:style w:type="character" w:styleId="Refdenotaalpie">
    <w:name w:val="footnote reference"/>
    <w:aliases w:val="normal"/>
    <w:basedOn w:val="Fuentedeprrafopredeter"/>
    <w:uiPriority w:val="99"/>
    <w:unhideWhenUsed/>
    <w:rsid w:val="00774E8D"/>
    <w:rPr>
      <w:vertAlign w:val="superscript"/>
    </w:rPr>
  </w:style>
  <w:style w:type="paragraph" w:customStyle="1" w:styleId="ROMANOS">
    <w:name w:val="ROMANOS"/>
    <w:basedOn w:val="Normal"/>
    <w:link w:val="ROMANOSCar"/>
    <w:rsid w:val="00774E8D"/>
    <w:pPr>
      <w:tabs>
        <w:tab w:val="left" w:pos="720"/>
      </w:tabs>
      <w:spacing w:after="101" w:line="216" w:lineRule="exact"/>
      <w:ind w:left="720" w:hanging="432"/>
    </w:pPr>
    <w:rPr>
      <w:rFonts w:eastAsia="Calibri" w:cs="Times New Roman"/>
      <w:sz w:val="18"/>
      <w:szCs w:val="18"/>
      <w:lang w:val="es-MX" w:eastAsia="en-US"/>
    </w:rPr>
  </w:style>
  <w:style w:type="character" w:customStyle="1" w:styleId="ROMANOSCar">
    <w:name w:val="ROMANOS Car"/>
    <w:link w:val="ROMANOS"/>
    <w:locked/>
    <w:rsid w:val="00774E8D"/>
    <w:rPr>
      <w:rFonts w:eastAsia="Calibri" w:cs="Times New Roman"/>
      <w:sz w:val="18"/>
      <w:szCs w:val="18"/>
      <w:lang w:val="es-MX" w:eastAsia="en-US"/>
    </w:rPr>
  </w:style>
  <w:style w:type="paragraph" w:customStyle="1" w:styleId="Texto">
    <w:name w:val="Texto"/>
    <w:basedOn w:val="Normal"/>
    <w:link w:val="TextoCar"/>
    <w:rsid w:val="00774E8D"/>
    <w:pPr>
      <w:spacing w:after="101" w:line="216" w:lineRule="exact"/>
      <w:ind w:firstLine="288"/>
    </w:pPr>
    <w:rPr>
      <w:rFonts w:eastAsia="Calibri" w:cs="Times New Roman"/>
      <w:sz w:val="18"/>
      <w:szCs w:val="20"/>
      <w:lang w:val="es-MX" w:eastAsia="en-US"/>
    </w:rPr>
  </w:style>
  <w:style w:type="character" w:customStyle="1" w:styleId="TextoCar">
    <w:name w:val="Texto Car"/>
    <w:link w:val="Texto"/>
    <w:locked/>
    <w:rsid w:val="00774E8D"/>
    <w:rPr>
      <w:rFonts w:eastAsia="Calibri" w:cs="Times New Roman"/>
      <w:sz w:val="18"/>
      <w:szCs w:val="20"/>
      <w:lang w:val="es-MX" w:eastAsia="en-US"/>
    </w:rPr>
  </w:style>
  <w:style w:type="paragraph" w:styleId="Textoindependiente2">
    <w:name w:val="Body Text 2"/>
    <w:basedOn w:val="Normal"/>
    <w:link w:val="Textoindependiente2Car"/>
    <w:uiPriority w:val="99"/>
    <w:rsid w:val="00774E8D"/>
    <w:rPr>
      <w:rFonts w:eastAsia="Times New Roman" w:cs="Times New Roman"/>
      <w:sz w:val="20"/>
      <w:szCs w:val="20"/>
      <w:lang w:val="es-ES"/>
    </w:rPr>
  </w:style>
  <w:style w:type="character" w:customStyle="1" w:styleId="Textoindependiente2Car">
    <w:name w:val="Texto independiente 2 Car"/>
    <w:basedOn w:val="Fuentedeprrafopredeter"/>
    <w:link w:val="Textoindependiente2"/>
    <w:uiPriority w:val="99"/>
    <w:rsid w:val="00774E8D"/>
    <w:rPr>
      <w:rFonts w:eastAsia="Times New Roman" w:cs="Times New Roman"/>
      <w:sz w:val="20"/>
      <w:szCs w:val="20"/>
      <w:lang w:val="es-ES"/>
    </w:rPr>
  </w:style>
  <w:style w:type="character" w:styleId="Nmerodepgina">
    <w:name w:val="page number"/>
    <w:basedOn w:val="Fuentedeprrafopredeter"/>
    <w:uiPriority w:val="99"/>
    <w:semiHidden/>
    <w:unhideWhenUsed/>
    <w:rsid w:val="007B7E87"/>
  </w:style>
  <w:style w:type="paragraph" w:styleId="TtuloTDC">
    <w:name w:val="TOC Heading"/>
    <w:basedOn w:val="Ttulo1"/>
    <w:next w:val="Normal"/>
    <w:uiPriority w:val="39"/>
    <w:semiHidden/>
    <w:unhideWhenUsed/>
    <w:qFormat/>
    <w:rsid w:val="00416E1E"/>
    <w:pPr>
      <w:jc w:val="left"/>
      <w:outlineLvl w:val="9"/>
    </w:pPr>
    <w:rPr>
      <w:rFonts w:asciiTheme="majorHAnsi" w:eastAsiaTheme="majorEastAsia" w:hAnsiTheme="majorHAnsi" w:cstheme="majorBidi"/>
      <w:color w:val="365F91" w:themeColor="accent1" w:themeShade="BF"/>
      <w:lang w:val="es-ES" w:eastAsia="es-ES"/>
    </w:rPr>
  </w:style>
  <w:style w:type="paragraph" w:styleId="TDC1">
    <w:name w:val="toc 1"/>
    <w:basedOn w:val="Normal"/>
    <w:next w:val="Normal"/>
    <w:autoRedefine/>
    <w:uiPriority w:val="39"/>
    <w:unhideWhenUsed/>
    <w:rsid w:val="0025230D"/>
    <w:pPr>
      <w:tabs>
        <w:tab w:val="right" w:leader="dot" w:pos="10053"/>
      </w:tabs>
      <w:spacing w:after="0" w:line="360" w:lineRule="auto"/>
      <w:jc w:val="left"/>
    </w:pPr>
    <w:rPr>
      <w:rFonts w:cstheme="minorHAnsi"/>
      <w:b/>
      <w:bCs/>
      <w:szCs w:val="20"/>
    </w:rPr>
  </w:style>
  <w:style w:type="paragraph" w:styleId="TDC2">
    <w:name w:val="toc 2"/>
    <w:basedOn w:val="Normal"/>
    <w:next w:val="Normal"/>
    <w:autoRedefine/>
    <w:uiPriority w:val="39"/>
    <w:unhideWhenUsed/>
    <w:rsid w:val="006E4F15"/>
    <w:pPr>
      <w:tabs>
        <w:tab w:val="right" w:leader="dot" w:pos="10053"/>
      </w:tabs>
      <w:spacing w:before="120" w:after="0" w:line="240" w:lineRule="auto"/>
      <w:ind w:left="240"/>
      <w:jc w:val="left"/>
    </w:pPr>
    <w:rPr>
      <w:rFonts w:asciiTheme="minorHAnsi" w:hAnsiTheme="minorHAnsi" w:cs="Futura"/>
      <w:iCs/>
      <w:noProof/>
      <w:sz w:val="20"/>
      <w:szCs w:val="20"/>
    </w:rPr>
  </w:style>
  <w:style w:type="paragraph" w:styleId="TDC3">
    <w:name w:val="toc 3"/>
    <w:basedOn w:val="Normal"/>
    <w:next w:val="Normal"/>
    <w:autoRedefine/>
    <w:uiPriority w:val="39"/>
    <w:unhideWhenUsed/>
    <w:rsid w:val="00416E1E"/>
    <w:pPr>
      <w:spacing w:after="0"/>
      <w:ind w:left="480"/>
      <w:jc w:val="left"/>
    </w:pPr>
    <w:rPr>
      <w:rFonts w:asciiTheme="minorHAnsi" w:hAnsiTheme="minorHAnsi" w:cstheme="minorHAnsi"/>
      <w:sz w:val="20"/>
      <w:szCs w:val="20"/>
    </w:rPr>
  </w:style>
  <w:style w:type="character" w:styleId="Hipervnculo">
    <w:name w:val="Hyperlink"/>
    <w:basedOn w:val="Fuentedeprrafopredeter"/>
    <w:uiPriority w:val="99"/>
    <w:unhideWhenUsed/>
    <w:rsid w:val="00416E1E"/>
    <w:rPr>
      <w:color w:val="0000FF" w:themeColor="hyperlink"/>
      <w:u w:val="single"/>
    </w:rPr>
  </w:style>
  <w:style w:type="character" w:styleId="Hipervnculovisitado">
    <w:name w:val="FollowedHyperlink"/>
    <w:basedOn w:val="Fuentedeprrafopredeter"/>
    <w:uiPriority w:val="99"/>
    <w:semiHidden/>
    <w:unhideWhenUsed/>
    <w:rsid w:val="00E0460C"/>
    <w:rPr>
      <w:color w:val="800080" w:themeColor="followedHyperlink"/>
      <w:u w:val="single"/>
    </w:rPr>
  </w:style>
  <w:style w:type="table" w:styleId="Tablaconcuadrcula">
    <w:name w:val="Table Grid"/>
    <w:basedOn w:val="Tablanormal"/>
    <w:uiPriority w:val="59"/>
    <w:rsid w:val="00BD2A6E"/>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0">
    <w:name w:val="A0"/>
    <w:uiPriority w:val="99"/>
    <w:rsid w:val="00BD2A6E"/>
    <w:rPr>
      <w:rFonts w:cs="Open Sans"/>
      <w:color w:val="000000"/>
      <w:sz w:val="22"/>
      <w:szCs w:val="22"/>
    </w:rPr>
  </w:style>
  <w:style w:type="table" w:customStyle="1" w:styleId="Tablaconcuadrcula1">
    <w:name w:val="Tabla con cuadrícula1"/>
    <w:basedOn w:val="Tablanormal"/>
    <w:next w:val="Tablaconcuadrcula"/>
    <w:uiPriority w:val="59"/>
    <w:rsid w:val="00E46608"/>
    <w:rPr>
      <w:rFonts w:ascii="Times New Roman" w:eastAsia="Times New Roman" w:hAnsi="Times New Roman"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E46608"/>
    <w:rPr>
      <w:rFonts w:ascii="Times New Roman" w:eastAsia="Times New Roman" w:hAnsi="Times New Roman"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E46608"/>
    <w:rPr>
      <w:rFonts w:ascii="Times New Roman" w:eastAsia="Times New Roman" w:hAnsi="Times New Roman" w:cs="Times New Roman"/>
      <w:sz w:val="20"/>
      <w:szCs w:val="20"/>
      <w:lang w:val="es-MX"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grficasytablas">
    <w:name w:val="Título gráficas y tablas"/>
    <w:basedOn w:val="Normal"/>
    <w:qFormat/>
    <w:rsid w:val="00E46608"/>
    <w:pPr>
      <w:spacing w:after="0" w:line="240" w:lineRule="auto"/>
      <w:ind w:firstLine="227"/>
      <w:jc w:val="center"/>
    </w:pPr>
    <w:rPr>
      <w:rFonts w:ascii="Calisto MT" w:eastAsia="MS Mincho" w:hAnsi="Calisto MT" w:cs="Times New Roman"/>
      <w:b/>
      <w:color w:val="1F497D"/>
      <w:spacing w:val="6"/>
      <w:szCs w:val="22"/>
    </w:rPr>
  </w:style>
  <w:style w:type="table" w:customStyle="1" w:styleId="Cuadrculamedia3-nfasis31">
    <w:name w:val="Cuadrícula media 3 - Énfasis 31"/>
    <w:basedOn w:val="Tablanormal"/>
    <w:next w:val="Cuadrculamedia3-nfasis3"/>
    <w:uiPriority w:val="69"/>
    <w:rsid w:val="001A6F50"/>
    <w:rPr>
      <w:rFonts w:ascii="Times New Roman" w:eastAsia="Times New Roman" w:hAnsi="Times New Roman" w:cs="Times New Roman"/>
      <w:sz w:val="20"/>
      <w:szCs w:val="20"/>
      <w:lang w:val="es-MX" w:eastAsia="es-MX"/>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Cuadrculamedia3-nfasis3">
    <w:name w:val="Medium Grid 3 Accent 3"/>
    <w:basedOn w:val="Tablanormal"/>
    <w:uiPriority w:val="69"/>
    <w:rsid w:val="001A6F5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character" w:customStyle="1" w:styleId="A8">
    <w:name w:val="A8"/>
    <w:uiPriority w:val="99"/>
    <w:rsid w:val="008B7606"/>
    <w:rPr>
      <w:rFonts w:cs="Open Sans"/>
      <w:color w:val="000000"/>
      <w:sz w:val="20"/>
      <w:szCs w:val="20"/>
    </w:rPr>
  </w:style>
  <w:style w:type="paragraph" w:styleId="Textocomentario">
    <w:name w:val="annotation text"/>
    <w:basedOn w:val="Normal"/>
    <w:link w:val="TextocomentarioCar"/>
    <w:uiPriority w:val="99"/>
    <w:semiHidden/>
    <w:unhideWhenUsed/>
    <w:rsid w:val="00C722D7"/>
    <w:pPr>
      <w:spacing w:line="240" w:lineRule="auto"/>
      <w:jc w:val="left"/>
    </w:pPr>
    <w:rPr>
      <w:rFonts w:asciiTheme="minorHAnsi" w:eastAsiaTheme="minorHAnsi" w:hAnsiTheme="minorHAnsi"/>
      <w:sz w:val="20"/>
      <w:szCs w:val="20"/>
      <w:lang w:val="es-MX" w:eastAsia="en-US"/>
    </w:rPr>
  </w:style>
  <w:style w:type="character" w:customStyle="1" w:styleId="TextocomentarioCar">
    <w:name w:val="Texto comentario Car"/>
    <w:basedOn w:val="Fuentedeprrafopredeter"/>
    <w:link w:val="Textocomentario"/>
    <w:uiPriority w:val="99"/>
    <w:semiHidden/>
    <w:rsid w:val="00C722D7"/>
    <w:rPr>
      <w:rFonts w:eastAsiaTheme="minorHAnsi"/>
      <w:sz w:val="20"/>
      <w:szCs w:val="20"/>
      <w:lang w:val="es-MX" w:eastAsia="en-US"/>
    </w:rPr>
  </w:style>
  <w:style w:type="paragraph" w:customStyle="1" w:styleId="Pa3">
    <w:name w:val="Pa3"/>
    <w:basedOn w:val="Normal"/>
    <w:next w:val="Normal"/>
    <w:uiPriority w:val="99"/>
    <w:rsid w:val="00063D26"/>
    <w:pPr>
      <w:autoSpaceDE w:val="0"/>
      <w:autoSpaceDN w:val="0"/>
      <w:adjustRightInd w:val="0"/>
      <w:spacing w:after="0" w:line="241" w:lineRule="atLeast"/>
      <w:jc w:val="left"/>
    </w:pPr>
    <w:rPr>
      <w:rFonts w:ascii="Open Sans" w:eastAsiaTheme="minorHAnsi" w:hAnsi="Open Sans"/>
      <w:lang w:val="es-MX" w:eastAsia="en-US"/>
    </w:rPr>
  </w:style>
  <w:style w:type="paragraph" w:customStyle="1" w:styleId="Default">
    <w:name w:val="Default"/>
    <w:rsid w:val="00063D26"/>
    <w:pPr>
      <w:autoSpaceDE w:val="0"/>
      <w:autoSpaceDN w:val="0"/>
      <w:adjustRightInd w:val="0"/>
    </w:pPr>
    <w:rPr>
      <w:rFonts w:ascii="Gotham Book" w:eastAsiaTheme="minorHAnsi" w:hAnsi="Gotham Book" w:cs="Gotham Book"/>
      <w:color w:val="000000"/>
      <w:lang w:val="es-MX" w:eastAsia="en-US"/>
    </w:rPr>
  </w:style>
  <w:style w:type="paragraph" w:customStyle="1" w:styleId="Pa7">
    <w:name w:val="Pa7"/>
    <w:basedOn w:val="Default"/>
    <w:next w:val="Default"/>
    <w:uiPriority w:val="99"/>
    <w:rsid w:val="00063D26"/>
    <w:pPr>
      <w:spacing w:line="221" w:lineRule="atLeast"/>
    </w:pPr>
    <w:rPr>
      <w:rFonts w:cstheme="minorBidi"/>
      <w:color w:val="auto"/>
    </w:rPr>
  </w:style>
  <w:style w:type="character" w:customStyle="1" w:styleId="A6">
    <w:name w:val="A6"/>
    <w:uiPriority w:val="99"/>
    <w:rsid w:val="00AA0501"/>
    <w:rPr>
      <w:color w:val="000000"/>
    </w:rPr>
  </w:style>
  <w:style w:type="paragraph" w:styleId="Lista">
    <w:name w:val="List"/>
    <w:basedOn w:val="Normal"/>
    <w:uiPriority w:val="99"/>
    <w:unhideWhenUsed/>
    <w:rsid w:val="00B05DB2"/>
    <w:pPr>
      <w:ind w:left="283" w:hanging="283"/>
      <w:contextualSpacing/>
    </w:pPr>
  </w:style>
  <w:style w:type="paragraph" w:styleId="Saludo">
    <w:name w:val="Salutation"/>
    <w:basedOn w:val="Normal"/>
    <w:next w:val="Normal"/>
    <w:link w:val="SaludoCar"/>
    <w:uiPriority w:val="99"/>
    <w:unhideWhenUsed/>
    <w:rsid w:val="00B05DB2"/>
  </w:style>
  <w:style w:type="character" w:customStyle="1" w:styleId="SaludoCar">
    <w:name w:val="Saludo Car"/>
    <w:basedOn w:val="Fuentedeprrafopredeter"/>
    <w:link w:val="Saludo"/>
    <w:uiPriority w:val="99"/>
    <w:rsid w:val="00B05DB2"/>
    <w:rPr>
      <w:rFonts w:ascii="Futura T OT" w:hAnsi="Futura T OT"/>
    </w:rPr>
  </w:style>
  <w:style w:type="paragraph" w:styleId="Listaconvietas2">
    <w:name w:val="List Bullet 2"/>
    <w:basedOn w:val="Normal"/>
    <w:uiPriority w:val="99"/>
    <w:unhideWhenUsed/>
    <w:rsid w:val="00B05DB2"/>
    <w:pPr>
      <w:numPr>
        <w:numId w:val="3"/>
      </w:numPr>
      <w:contextualSpacing/>
    </w:pPr>
  </w:style>
  <w:style w:type="paragraph" w:styleId="Textoindependiente">
    <w:name w:val="Body Text"/>
    <w:basedOn w:val="Normal"/>
    <w:link w:val="TextoindependienteCar"/>
    <w:uiPriority w:val="99"/>
    <w:unhideWhenUsed/>
    <w:rsid w:val="00B05DB2"/>
    <w:pPr>
      <w:spacing w:after="120"/>
    </w:pPr>
  </w:style>
  <w:style w:type="character" w:customStyle="1" w:styleId="TextoindependienteCar">
    <w:name w:val="Texto independiente Car"/>
    <w:basedOn w:val="Fuentedeprrafopredeter"/>
    <w:link w:val="Textoindependiente"/>
    <w:uiPriority w:val="99"/>
    <w:rsid w:val="00B05DB2"/>
    <w:rPr>
      <w:rFonts w:ascii="Futura T OT" w:hAnsi="Futura T OT"/>
    </w:rPr>
  </w:style>
  <w:style w:type="paragraph" w:styleId="Textoindependienteprimerasangra">
    <w:name w:val="Body Text First Indent"/>
    <w:basedOn w:val="Textoindependiente"/>
    <w:link w:val="TextoindependienteprimerasangraCar"/>
    <w:uiPriority w:val="99"/>
    <w:unhideWhenUsed/>
    <w:rsid w:val="00B05DB2"/>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B05DB2"/>
    <w:rPr>
      <w:rFonts w:ascii="Futura T OT" w:hAnsi="Futura T OT"/>
    </w:rPr>
  </w:style>
  <w:style w:type="character" w:styleId="Refdecomentario">
    <w:name w:val="annotation reference"/>
    <w:basedOn w:val="Fuentedeprrafopredeter"/>
    <w:uiPriority w:val="99"/>
    <w:semiHidden/>
    <w:unhideWhenUsed/>
    <w:rsid w:val="007471ED"/>
    <w:rPr>
      <w:sz w:val="16"/>
      <w:szCs w:val="16"/>
    </w:rPr>
  </w:style>
  <w:style w:type="paragraph" w:styleId="Asuntodelcomentario">
    <w:name w:val="annotation subject"/>
    <w:basedOn w:val="Textocomentario"/>
    <w:next w:val="Textocomentario"/>
    <w:link w:val="AsuntodelcomentarioCar"/>
    <w:uiPriority w:val="99"/>
    <w:semiHidden/>
    <w:unhideWhenUsed/>
    <w:rsid w:val="007471ED"/>
    <w:pPr>
      <w:jc w:val="both"/>
    </w:pPr>
    <w:rPr>
      <w:rFonts w:ascii="Futura T OT" w:eastAsiaTheme="minorEastAsia" w:hAnsi="Futura T OT"/>
      <w:b/>
      <w:bCs/>
      <w:lang w:val="es-ES_tradnl" w:eastAsia="es-ES"/>
    </w:rPr>
  </w:style>
  <w:style w:type="character" w:customStyle="1" w:styleId="AsuntodelcomentarioCar">
    <w:name w:val="Asunto del comentario Car"/>
    <w:basedOn w:val="TextocomentarioCar"/>
    <w:link w:val="Asuntodelcomentario"/>
    <w:uiPriority w:val="99"/>
    <w:semiHidden/>
    <w:rsid w:val="007471ED"/>
    <w:rPr>
      <w:rFonts w:ascii="Futura T OT" w:eastAsiaTheme="minorHAnsi" w:hAnsi="Futura T OT"/>
      <w:b/>
      <w:bCs/>
      <w:sz w:val="20"/>
      <w:szCs w:val="20"/>
      <w:lang w:val="es-MX" w:eastAsia="en-US"/>
    </w:rPr>
  </w:style>
  <w:style w:type="paragraph" w:styleId="TDC4">
    <w:name w:val="toc 4"/>
    <w:basedOn w:val="Normal"/>
    <w:next w:val="Normal"/>
    <w:autoRedefine/>
    <w:uiPriority w:val="39"/>
    <w:unhideWhenUsed/>
    <w:rsid w:val="004F6076"/>
    <w:pPr>
      <w:spacing w:after="0"/>
      <w:ind w:left="720"/>
      <w:jc w:val="left"/>
    </w:pPr>
    <w:rPr>
      <w:rFonts w:asciiTheme="minorHAnsi" w:hAnsiTheme="minorHAnsi" w:cstheme="minorHAnsi"/>
      <w:sz w:val="20"/>
      <w:szCs w:val="20"/>
    </w:rPr>
  </w:style>
  <w:style w:type="paragraph" w:styleId="TDC5">
    <w:name w:val="toc 5"/>
    <w:basedOn w:val="Normal"/>
    <w:next w:val="Normal"/>
    <w:autoRedefine/>
    <w:uiPriority w:val="39"/>
    <w:unhideWhenUsed/>
    <w:rsid w:val="004F6076"/>
    <w:pPr>
      <w:spacing w:after="0"/>
      <w:ind w:left="960"/>
      <w:jc w:val="left"/>
    </w:pPr>
    <w:rPr>
      <w:rFonts w:asciiTheme="minorHAnsi" w:hAnsiTheme="minorHAnsi" w:cstheme="minorHAnsi"/>
      <w:sz w:val="20"/>
      <w:szCs w:val="20"/>
    </w:rPr>
  </w:style>
  <w:style w:type="paragraph" w:styleId="TDC6">
    <w:name w:val="toc 6"/>
    <w:basedOn w:val="Normal"/>
    <w:next w:val="Normal"/>
    <w:autoRedefine/>
    <w:uiPriority w:val="39"/>
    <w:unhideWhenUsed/>
    <w:rsid w:val="004F6076"/>
    <w:pPr>
      <w:spacing w:after="0"/>
      <w:ind w:left="1200"/>
      <w:jc w:val="left"/>
    </w:pPr>
    <w:rPr>
      <w:rFonts w:asciiTheme="minorHAnsi" w:hAnsiTheme="minorHAnsi" w:cstheme="minorHAnsi"/>
      <w:sz w:val="20"/>
      <w:szCs w:val="20"/>
    </w:rPr>
  </w:style>
  <w:style w:type="paragraph" w:styleId="TDC7">
    <w:name w:val="toc 7"/>
    <w:basedOn w:val="Normal"/>
    <w:next w:val="Normal"/>
    <w:autoRedefine/>
    <w:uiPriority w:val="39"/>
    <w:unhideWhenUsed/>
    <w:rsid w:val="004F6076"/>
    <w:pPr>
      <w:spacing w:after="0"/>
      <w:ind w:left="1440"/>
      <w:jc w:val="left"/>
    </w:pPr>
    <w:rPr>
      <w:rFonts w:asciiTheme="minorHAnsi" w:hAnsiTheme="minorHAnsi" w:cstheme="minorHAnsi"/>
      <w:sz w:val="20"/>
      <w:szCs w:val="20"/>
    </w:rPr>
  </w:style>
  <w:style w:type="paragraph" w:styleId="TDC8">
    <w:name w:val="toc 8"/>
    <w:basedOn w:val="Normal"/>
    <w:next w:val="Normal"/>
    <w:autoRedefine/>
    <w:uiPriority w:val="39"/>
    <w:unhideWhenUsed/>
    <w:rsid w:val="004F6076"/>
    <w:pPr>
      <w:spacing w:after="0"/>
      <w:ind w:left="1680"/>
      <w:jc w:val="left"/>
    </w:pPr>
    <w:rPr>
      <w:rFonts w:asciiTheme="minorHAnsi" w:hAnsiTheme="minorHAnsi" w:cstheme="minorHAnsi"/>
      <w:sz w:val="20"/>
      <w:szCs w:val="20"/>
    </w:rPr>
  </w:style>
  <w:style w:type="paragraph" w:styleId="TDC9">
    <w:name w:val="toc 9"/>
    <w:basedOn w:val="Normal"/>
    <w:next w:val="Normal"/>
    <w:autoRedefine/>
    <w:uiPriority w:val="39"/>
    <w:unhideWhenUsed/>
    <w:rsid w:val="004F6076"/>
    <w:pPr>
      <w:spacing w:after="0"/>
      <w:ind w:left="1920"/>
      <w:jc w:val="left"/>
    </w:pPr>
    <w:rPr>
      <w:rFonts w:asciiTheme="minorHAnsi" w:hAnsiTheme="minorHAnsi" w:cstheme="minorHAnsi"/>
      <w:sz w:val="20"/>
      <w:szCs w:val="20"/>
    </w:rPr>
  </w:style>
  <w:style w:type="paragraph" w:styleId="Subttulo">
    <w:name w:val="Subtitle"/>
    <w:basedOn w:val="Normal"/>
    <w:next w:val="Normal"/>
    <w:link w:val="SubttuloCar"/>
    <w:uiPriority w:val="11"/>
    <w:rsid w:val="00C85D90"/>
    <w:pPr>
      <w:numPr>
        <w:ilvl w:val="1"/>
      </w:numPr>
      <w:spacing w:after="160"/>
    </w:pPr>
    <w:rPr>
      <w:b/>
      <w:color w:val="5A5A5A" w:themeColor="text1" w:themeTint="A5"/>
      <w:spacing w:val="15"/>
      <w:szCs w:val="22"/>
    </w:rPr>
  </w:style>
  <w:style w:type="character" w:customStyle="1" w:styleId="SubttuloCar">
    <w:name w:val="Subtítulo Car"/>
    <w:basedOn w:val="Fuentedeprrafopredeter"/>
    <w:link w:val="Subttulo"/>
    <w:uiPriority w:val="11"/>
    <w:rsid w:val="00C85D90"/>
    <w:rPr>
      <w:rFonts w:ascii="Futura T OT" w:hAnsi="Futura T OT"/>
      <w:b/>
      <w:color w:val="5A5A5A" w:themeColor="text1" w:themeTint="A5"/>
      <w:spacing w:val="15"/>
      <w:szCs w:val="22"/>
    </w:rPr>
  </w:style>
  <w:style w:type="character" w:styleId="Textoennegrita">
    <w:name w:val="Strong"/>
    <w:basedOn w:val="Fuentedeprrafopredeter"/>
    <w:uiPriority w:val="22"/>
    <w:rsid w:val="00C85D90"/>
    <w:rPr>
      <w:rFonts w:ascii="Futura T OT" w:hAnsi="Futura T OT"/>
      <w:b/>
      <w:bCs/>
      <w:color w:val="595959"/>
      <w:sz w:val="24"/>
    </w:rPr>
  </w:style>
  <w:style w:type="character" w:styleId="nfasisintenso">
    <w:name w:val="Intense Emphasis"/>
    <w:basedOn w:val="Fuentedeprrafopredeter"/>
    <w:uiPriority w:val="21"/>
    <w:rsid w:val="00C85D90"/>
    <w:rPr>
      <w:i/>
      <w:iCs/>
      <w:color w:val="4F81BD" w:themeColor="accent1"/>
    </w:rPr>
  </w:style>
  <w:style w:type="table" w:customStyle="1" w:styleId="Tabladelista31">
    <w:name w:val="Tabla de lista 31"/>
    <w:basedOn w:val="Tablanormal"/>
    <w:uiPriority w:val="48"/>
    <w:rsid w:val="008855C6"/>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TablaSectorial">
    <w:name w:val="Tabla Sectorial"/>
    <w:basedOn w:val="Tablanormal"/>
    <w:uiPriority w:val="99"/>
    <w:rsid w:val="00885736"/>
    <w:pPr>
      <w:jc w:val="both"/>
    </w:pPr>
    <w:rPr>
      <w:rFonts w:ascii="Futura Std Condensed Light" w:hAnsi="Futura Std Condensed Light"/>
      <w:color w:val="565656"/>
      <w:sz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vAlign w:val="center"/>
    </w:tcPr>
    <w:tblStylePr w:type="firstRow">
      <w:pPr>
        <w:wordWrap/>
        <w:spacing w:beforeLines="0" w:before="0" w:beforeAutospacing="0" w:afterLines="0" w:after="0" w:afterAutospacing="0" w:line="240" w:lineRule="auto"/>
        <w:jc w:val="center"/>
      </w:pPr>
      <w:rPr>
        <w:rFonts w:ascii="Futura Std Condensed Light" w:hAnsi="Futura Std Condensed Light"/>
        <w:color w:val="595959"/>
        <w:sz w:val="20"/>
      </w:rPr>
      <w:tblPr/>
      <w:trPr>
        <w:tblHeader/>
      </w:trPr>
      <w:tcPr>
        <w:shd w:val="clear" w:color="auto" w:fill="A6A6A6"/>
      </w:tcPr>
    </w:tblStylePr>
  </w:style>
  <w:style w:type="paragraph" w:customStyle="1" w:styleId="Cuerpo">
    <w:name w:val="Cuerpo"/>
    <w:rsid w:val="005F1286"/>
    <w:pPr>
      <w:spacing w:after="200" w:line="276" w:lineRule="auto"/>
      <w:jc w:val="both"/>
    </w:pPr>
    <w:rPr>
      <w:rFonts w:ascii="Futura T OT" w:eastAsia="Futura T OT" w:hAnsi="Futura T OT" w:cs="Futura T OT"/>
      <w:color w:val="595959"/>
      <w:u w:color="595959"/>
      <w:lang w:eastAsia="es-MX"/>
    </w:rPr>
  </w:style>
  <w:style w:type="table" w:styleId="Cuadrculadetablaclara">
    <w:name w:val="Grid Table Light"/>
    <w:basedOn w:val="Tablanormal"/>
    <w:uiPriority w:val="40"/>
    <w:rsid w:val="00465223"/>
    <w:rPr>
      <w:rFonts w:eastAsiaTheme="minorHAnsi"/>
      <w:sz w:val="22"/>
      <w:szCs w:val="22"/>
      <w:lang w:val="es-MX"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exto0">
    <w:name w:val="texto"/>
    <w:basedOn w:val="Normal"/>
    <w:rsid w:val="00DE4867"/>
    <w:pPr>
      <w:snapToGrid w:val="0"/>
      <w:spacing w:after="101" w:line="216" w:lineRule="exact"/>
      <w:ind w:firstLine="288"/>
    </w:pPr>
    <w:rPr>
      <w:rFonts w:ascii="Arial" w:eastAsia="Times New Roman" w:hAnsi="Arial" w:cs="Arial"/>
      <w:color w:val="auto"/>
      <w:sz w:val="18"/>
      <w:szCs w:val="18"/>
      <w:lang w:val="es-MX" w:eastAsia="zh-CN"/>
    </w:rPr>
  </w:style>
  <w:style w:type="character" w:customStyle="1" w:styleId="NingunoA">
    <w:name w:val="Ninguno A"/>
    <w:basedOn w:val="Fuentedeprrafopredeter"/>
    <w:rsid w:val="00C21560"/>
    <w:rPr>
      <w:lang w:val="es-ES_tradnl"/>
    </w:rPr>
  </w:style>
  <w:style w:type="paragraph" w:customStyle="1" w:styleId="text-align-justify">
    <w:name w:val="text-align-justify"/>
    <w:basedOn w:val="Normal"/>
    <w:rsid w:val="00E23746"/>
    <w:pPr>
      <w:spacing w:before="100" w:beforeAutospacing="1" w:after="100" w:afterAutospacing="1" w:line="240" w:lineRule="auto"/>
      <w:jc w:val="left"/>
    </w:pPr>
    <w:rPr>
      <w:rFonts w:ascii="Times New Roman" w:eastAsia="Times New Roman" w:hAnsi="Times New Roman" w:cs="Times New Roman"/>
      <w:color w:val="auto"/>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833434">
      <w:bodyDiv w:val="1"/>
      <w:marLeft w:val="0"/>
      <w:marRight w:val="0"/>
      <w:marTop w:val="0"/>
      <w:marBottom w:val="0"/>
      <w:divBdr>
        <w:top w:val="none" w:sz="0" w:space="0" w:color="auto"/>
        <w:left w:val="none" w:sz="0" w:space="0" w:color="auto"/>
        <w:bottom w:val="none" w:sz="0" w:space="0" w:color="auto"/>
        <w:right w:val="none" w:sz="0" w:space="0" w:color="auto"/>
      </w:divBdr>
    </w:div>
    <w:div w:id="209344028">
      <w:bodyDiv w:val="1"/>
      <w:marLeft w:val="0"/>
      <w:marRight w:val="0"/>
      <w:marTop w:val="0"/>
      <w:marBottom w:val="0"/>
      <w:divBdr>
        <w:top w:val="none" w:sz="0" w:space="0" w:color="auto"/>
        <w:left w:val="none" w:sz="0" w:space="0" w:color="auto"/>
        <w:bottom w:val="none" w:sz="0" w:space="0" w:color="auto"/>
        <w:right w:val="none" w:sz="0" w:space="0" w:color="auto"/>
      </w:divBdr>
      <w:divsChild>
        <w:div w:id="1887448684">
          <w:marLeft w:val="274"/>
          <w:marRight w:val="0"/>
          <w:marTop w:val="0"/>
          <w:marBottom w:val="240"/>
          <w:divBdr>
            <w:top w:val="none" w:sz="0" w:space="0" w:color="auto"/>
            <w:left w:val="none" w:sz="0" w:space="0" w:color="auto"/>
            <w:bottom w:val="none" w:sz="0" w:space="0" w:color="auto"/>
            <w:right w:val="none" w:sz="0" w:space="0" w:color="auto"/>
          </w:divBdr>
        </w:div>
      </w:divsChild>
    </w:div>
    <w:div w:id="211617759">
      <w:bodyDiv w:val="1"/>
      <w:marLeft w:val="0"/>
      <w:marRight w:val="0"/>
      <w:marTop w:val="0"/>
      <w:marBottom w:val="0"/>
      <w:divBdr>
        <w:top w:val="none" w:sz="0" w:space="0" w:color="auto"/>
        <w:left w:val="none" w:sz="0" w:space="0" w:color="auto"/>
        <w:bottom w:val="none" w:sz="0" w:space="0" w:color="auto"/>
        <w:right w:val="none" w:sz="0" w:space="0" w:color="auto"/>
      </w:divBdr>
    </w:div>
    <w:div w:id="334966936">
      <w:bodyDiv w:val="1"/>
      <w:marLeft w:val="0"/>
      <w:marRight w:val="0"/>
      <w:marTop w:val="0"/>
      <w:marBottom w:val="0"/>
      <w:divBdr>
        <w:top w:val="none" w:sz="0" w:space="0" w:color="auto"/>
        <w:left w:val="none" w:sz="0" w:space="0" w:color="auto"/>
        <w:bottom w:val="none" w:sz="0" w:space="0" w:color="auto"/>
        <w:right w:val="none" w:sz="0" w:space="0" w:color="auto"/>
      </w:divBdr>
    </w:div>
    <w:div w:id="349071986">
      <w:bodyDiv w:val="1"/>
      <w:marLeft w:val="0"/>
      <w:marRight w:val="0"/>
      <w:marTop w:val="0"/>
      <w:marBottom w:val="0"/>
      <w:divBdr>
        <w:top w:val="none" w:sz="0" w:space="0" w:color="auto"/>
        <w:left w:val="none" w:sz="0" w:space="0" w:color="auto"/>
        <w:bottom w:val="none" w:sz="0" w:space="0" w:color="auto"/>
        <w:right w:val="none" w:sz="0" w:space="0" w:color="auto"/>
      </w:divBdr>
      <w:divsChild>
        <w:div w:id="354620551">
          <w:marLeft w:val="0"/>
          <w:marRight w:val="0"/>
          <w:marTop w:val="0"/>
          <w:marBottom w:val="0"/>
          <w:divBdr>
            <w:top w:val="none" w:sz="0" w:space="0" w:color="auto"/>
            <w:left w:val="none" w:sz="0" w:space="0" w:color="auto"/>
            <w:bottom w:val="none" w:sz="0" w:space="0" w:color="auto"/>
            <w:right w:val="none" w:sz="0" w:space="0" w:color="auto"/>
          </w:divBdr>
          <w:divsChild>
            <w:div w:id="875700000">
              <w:marLeft w:val="0"/>
              <w:marRight w:val="0"/>
              <w:marTop w:val="0"/>
              <w:marBottom w:val="0"/>
              <w:divBdr>
                <w:top w:val="none" w:sz="0" w:space="0" w:color="auto"/>
                <w:left w:val="none" w:sz="0" w:space="0" w:color="auto"/>
                <w:bottom w:val="none" w:sz="0" w:space="0" w:color="auto"/>
                <w:right w:val="none" w:sz="0" w:space="0" w:color="auto"/>
              </w:divBdr>
              <w:divsChild>
                <w:div w:id="159397516">
                  <w:marLeft w:val="0"/>
                  <w:marRight w:val="0"/>
                  <w:marTop w:val="0"/>
                  <w:marBottom w:val="0"/>
                  <w:divBdr>
                    <w:top w:val="none" w:sz="0" w:space="0" w:color="auto"/>
                    <w:left w:val="none" w:sz="0" w:space="0" w:color="auto"/>
                    <w:bottom w:val="none" w:sz="0" w:space="0" w:color="auto"/>
                    <w:right w:val="none" w:sz="0" w:space="0" w:color="auto"/>
                  </w:divBdr>
                  <w:divsChild>
                    <w:div w:id="654843232">
                      <w:marLeft w:val="0"/>
                      <w:marRight w:val="0"/>
                      <w:marTop w:val="0"/>
                      <w:marBottom w:val="0"/>
                      <w:divBdr>
                        <w:top w:val="none" w:sz="0" w:space="0" w:color="auto"/>
                        <w:left w:val="none" w:sz="0" w:space="0" w:color="auto"/>
                        <w:bottom w:val="none" w:sz="0" w:space="0" w:color="auto"/>
                        <w:right w:val="none" w:sz="0" w:space="0" w:color="auto"/>
                      </w:divBdr>
                      <w:divsChild>
                        <w:div w:id="1950121290">
                          <w:marLeft w:val="0"/>
                          <w:marRight w:val="0"/>
                          <w:marTop w:val="0"/>
                          <w:marBottom w:val="0"/>
                          <w:divBdr>
                            <w:top w:val="none" w:sz="0" w:space="0" w:color="auto"/>
                            <w:left w:val="none" w:sz="0" w:space="0" w:color="auto"/>
                            <w:bottom w:val="none" w:sz="0" w:space="0" w:color="auto"/>
                            <w:right w:val="none" w:sz="0" w:space="0" w:color="auto"/>
                          </w:divBdr>
                          <w:divsChild>
                            <w:div w:id="1431244153">
                              <w:marLeft w:val="15"/>
                              <w:marRight w:val="195"/>
                              <w:marTop w:val="0"/>
                              <w:marBottom w:val="0"/>
                              <w:divBdr>
                                <w:top w:val="none" w:sz="0" w:space="0" w:color="auto"/>
                                <w:left w:val="none" w:sz="0" w:space="0" w:color="auto"/>
                                <w:bottom w:val="none" w:sz="0" w:space="0" w:color="auto"/>
                                <w:right w:val="none" w:sz="0" w:space="0" w:color="auto"/>
                              </w:divBdr>
                              <w:divsChild>
                                <w:div w:id="76560520">
                                  <w:marLeft w:val="0"/>
                                  <w:marRight w:val="0"/>
                                  <w:marTop w:val="0"/>
                                  <w:marBottom w:val="0"/>
                                  <w:divBdr>
                                    <w:top w:val="none" w:sz="0" w:space="0" w:color="auto"/>
                                    <w:left w:val="none" w:sz="0" w:space="0" w:color="auto"/>
                                    <w:bottom w:val="none" w:sz="0" w:space="0" w:color="auto"/>
                                    <w:right w:val="none" w:sz="0" w:space="0" w:color="auto"/>
                                  </w:divBdr>
                                  <w:divsChild>
                                    <w:div w:id="1490247023">
                                      <w:marLeft w:val="0"/>
                                      <w:marRight w:val="0"/>
                                      <w:marTop w:val="0"/>
                                      <w:marBottom w:val="0"/>
                                      <w:divBdr>
                                        <w:top w:val="none" w:sz="0" w:space="0" w:color="auto"/>
                                        <w:left w:val="none" w:sz="0" w:space="0" w:color="auto"/>
                                        <w:bottom w:val="none" w:sz="0" w:space="0" w:color="auto"/>
                                        <w:right w:val="none" w:sz="0" w:space="0" w:color="auto"/>
                                      </w:divBdr>
                                      <w:divsChild>
                                        <w:div w:id="1254238897">
                                          <w:marLeft w:val="0"/>
                                          <w:marRight w:val="0"/>
                                          <w:marTop w:val="0"/>
                                          <w:marBottom w:val="0"/>
                                          <w:divBdr>
                                            <w:top w:val="none" w:sz="0" w:space="0" w:color="auto"/>
                                            <w:left w:val="none" w:sz="0" w:space="0" w:color="auto"/>
                                            <w:bottom w:val="none" w:sz="0" w:space="0" w:color="auto"/>
                                            <w:right w:val="none" w:sz="0" w:space="0" w:color="auto"/>
                                          </w:divBdr>
                                          <w:divsChild>
                                            <w:div w:id="1477526605">
                                              <w:marLeft w:val="0"/>
                                              <w:marRight w:val="0"/>
                                              <w:marTop w:val="0"/>
                                              <w:marBottom w:val="0"/>
                                              <w:divBdr>
                                                <w:top w:val="none" w:sz="0" w:space="0" w:color="auto"/>
                                                <w:left w:val="none" w:sz="0" w:space="0" w:color="auto"/>
                                                <w:bottom w:val="none" w:sz="0" w:space="0" w:color="auto"/>
                                                <w:right w:val="none" w:sz="0" w:space="0" w:color="auto"/>
                                              </w:divBdr>
                                              <w:divsChild>
                                                <w:div w:id="1210920558">
                                                  <w:marLeft w:val="0"/>
                                                  <w:marRight w:val="0"/>
                                                  <w:marTop w:val="0"/>
                                                  <w:marBottom w:val="0"/>
                                                  <w:divBdr>
                                                    <w:top w:val="none" w:sz="0" w:space="0" w:color="auto"/>
                                                    <w:left w:val="none" w:sz="0" w:space="0" w:color="auto"/>
                                                    <w:bottom w:val="none" w:sz="0" w:space="0" w:color="auto"/>
                                                    <w:right w:val="none" w:sz="0" w:space="0" w:color="auto"/>
                                                  </w:divBdr>
                                                  <w:divsChild>
                                                    <w:div w:id="1451701380">
                                                      <w:marLeft w:val="0"/>
                                                      <w:marRight w:val="0"/>
                                                      <w:marTop w:val="0"/>
                                                      <w:marBottom w:val="0"/>
                                                      <w:divBdr>
                                                        <w:top w:val="none" w:sz="0" w:space="0" w:color="auto"/>
                                                        <w:left w:val="none" w:sz="0" w:space="0" w:color="auto"/>
                                                        <w:bottom w:val="none" w:sz="0" w:space="0" w:color="auto"/>
                                                        <w:right w:val="none" w:sz="0" w:space="0" w:color="auto"/>
                                                      </w:divBdr>
                                                      <w:divsChild>
                                                        <w:div w:id="1148867008">
                                                          <w:marLeft w:val="0"/>
                                                          <w:marRight w:val="0"/>
                                                          <w:marTop w:val="0"/>
                                                          <w:marBottom w:val="0"/>
                                                          <w:divBdr>
                                                            <w:top w:val="none" w:sz="0" w:space="0" w:color="auto"/>
                                                            <w:left w:val="none" w:sz="0" w:space="0" w:color="auto"/>
                                                            <w:bottom w:val="none" w:sz="0" w:space="0" w:color="auto"/>
                                                            <w:right w:val="none" w:sz="0" w:space="0" w:color="auto"/>
                                                          </w:divBdr>
                                                          <w:divsChild>
                                                            <w:div w:id="390152395">
                                                              <w:marLeft w:val="0"/>
                                                              <w:marRight w:val="0"/>
                                                              <w:marTop w:val="0"/>
                                                              <w:marBottom w:val="0"/>
                                                              <w:divBdr>
                                                                <w:top w:val="none" w:sz="0" w:space="0" w:color="auto"/>
                                                                <w:left w:val="none" w:sz="0" w:space="0" w:color="auto"/>
                                                                <w:bottom w:val="none" w:sz="0" w:space="0" w:color="auto"/>
                                                                <w:right w:val="none" w:sz="0" w:space="0" w:color="auto"/>
                                                              </w:divBdr>
                                                              <w:divsChild>
                                                                <w:div w:id="454174453">
                                                                  <w:marLeft w:val="0"/>
                                                                  <w:marRight w:val="0"/>
                                                                  <w:marTop w:val="0"/>
                                                                  <w:marBottom w:val="0"/>
                                                                  <w:divBdr>
                                                                    <w:top w:val="none" w:sz="0" w:space="0" w:color="auto"/>
                                                                    <w:left w:val="none" w:sz="0" w:space="0" w:color="auto"/>
                                                                    <w:bottom w:val="none" w:sz="0" w:space="0" w:color="auto"/>
                                                                    <w:right w:val="none" w:sz="0" w:space="0" w:color="auto"/>
                                                                  </w:divBdr>
                                                                  <w:divsChild>
                                                                    <w:div w:id="822044346">
                                                                      <w:marLeft w:val="405"/>
                                                                      <w:marRight w:val="0"/>
                                                                      <w:marTop w:val="0"/>
                                                                      <w:marBottom w:val="0"/>
                                                                      <w:divBdr>
                                                                        <w:top w:val="none" w:sz="0" w:space="0" w:color="auto"/>
                                                                        <w:left w:val="none" w:sz="0" w:space="0" w:color="auto"/>
                                                                        <w:bottom w:val="none" w:sz="0" w:space="0" w:color="auto"/>
                                                                        <w:right w:val="none" w:sz="0" w:space="0" w:color="auto"/>
                                                                      </w:divBdr>
                                                                      <w:divsChild>
                                                                        <w:div w:id="1340160963">
                                                                          <w:marLeft w:val="0"/>
                                                                          <w:marRight w:val="0"/>
                                                                          <w:marTop w:val="0"/>
                                                                          <w:marBottom w:val="0"/>
                                                                          <w:divBdr>
                                                                            <w:top w:val="none" w:sz="0" w:space="0" w:color="auto"/>
                                                                            <w:left w:val="none" w:sz="0" w:space="0" w:color="auto"/>
                                                                            <w:bottom w:val="none" w:sz="0" w:space="0" w:color="auto"/>
                                                                            <w:right w:val="none" w:sz="0" w:space="0" w:color="auto"/>
                                                                          </w:divBdr>
                                                                          <w:divsChild>
                                                                            <w:div w:id="1157771866">
                                                                              <w:marLeft w:val="0"/>
                                                                              <w:marRight w:val="0"/>
                                                                              <w:marTop w:val="0"/>
                                                                              <w:marBottom w:val="0"/>
                                                                              <w:divBdr>
                                                                                <w:top w:val="none" w:sz="0" w:space="0" w:color="auto"/>
                                                                                <w:left w:val="none" w:sz="0" w:space="0" w:color="auto"/>
                                                                                <w:bottom w:val="none" w:sz="0" w:space="0" w:color="auto"/>
                                                                                <w:right w:val="none" w:sz="0" w:space="0" w:color="auto"/>
                                                                              </w:divBdr>
                                                                              <w:divsChild>
                                                                                <w:div w:id="1599868737">
                                                                                  <w:marLeft w:val="0"/>
                                                                                  <w:marRight w:val="0"/>
                                                                                  <w:marTop w:val="0"/>
                                                                                  <w:marBottom w:val="0"/>
                                                                                  <w:divBdr>
                                                                                    <w:top w:val="none" w:sz="0" w:space="0" w:color="auto"/>
                                                                                    <w:left w:val="none" w:sz="0" w:space="0" w:color="auto"/>
                                                                                    <w:bottom w:val="none" w:sz="0" w:space="0" w:color="auto"/>
                                                                                    <w:right w:val="none" w:sz="0" w:space="0" w:color="auto"/>
                                                                                  </w:divBdr>
                                                                                  <w:divsChild>
                                                                                    <w:div w:id="1620530278">
                                                                                      <w:marLeft w:val="0"/>
                                                                                      <w:marRight w:val="0"/>
                                                                                      <w:marTop w:val="0"/>
                                                                                      <w:marBottom w:val="0"/>
                                                                                      <w:divBdr>
                                                                                        <w:top w:val="none" w:sz="0" w:space="0" w:color="auto"/>
                                                                                        <w:left w:val="none" w:sz="0" w:space="0" w:color="auto"/>
                                                                                        <w:bottom w:val="none" w:sz="0" w:space="0" w:color="auto"/>
                                                                                        <w:right w:val="none" w:sz="0" w:space="0" w:color="auto"/>
                                                                                      </w:divBdr>
                                                                                      <w:divsChild>
                                                                                        <w:div w:id="730931485">
                                                                                          <w:marLeft w:val="0"/>
                                                                                          <w:marRight w:val="0"/>
                                                                                          <w:marTop w:val="0"/>
                                                                                          <w:marBottom w:val="0"/>
                                                                                          <w:divBdr>
                                                                                            <w:top w:val="none" w:sz="0" w:space="0" w:color="auto"/>
                                                                                            <w:left w:val="none" w:sz="0" w:space="0" w:color="auto"/>
                                                                                            <w:bottom w:val="none" w:sz="0" w:space="0" w:color="auto"/>
                                                                                            <w:right w:val="none" w:sz="0" w:space="0" w:color="auto"/>
                                                                                          </w:divBdr>
                                                                                          <w:divsChild>
                                                                                            <w:div w:id="2072463800">
                                                                                              <w:marLeft w:val="0"/>
                                                                                              <w:marRight w:val="0"/>
                                                                                              <w:marTop w:val="0"/>
                                                                                              <w:marBottom w:val="0"/>
                                                                                              <w:divBdr>
                                                                                                <w:top w:val="none" w:sz="0" w:space="0" w:color="auto"/>
                                                                                                <w:left w:val="none" w:sz="0" w:space="0" w:color="auto"/>
                                                                                                <w:bottom w:val="none" w:sz="0" w:space="0" w:color="auto"/>
                                                                                                <w:right w:val="none" w:sz="0" w:space="0" w:color="auto"/>
                                                                                              </w:divBdr>
                                                                                              <w:divsChild>
                                                                                                <w:div w:id="513493924">
                                                                                                  <w:marLeft w:val="0"/>
                                                                                                  <w:marRight w:val="0"/>
                                                                                                  <w:marTop w:val="15"/>
                                                                                                  <w:marBottom w:val="0"/>
                                                                                                  <w:divBdr>
                                                                                                    <w:top w:val="none" w:sz="0" w:space="0" w:color="auto"/>
                                                                                                    <w:left w:val="none" w:sz="0" w:space="0" w:color="auto"/>
                                                                                                    <w:bottom w:val="single" w:sz="6" w:space="15" w:color="auto"/>
                                                                                                    <w:right w:val="none" w:sz="0" w:space="0" w:color="auto"/>
                                                                                                  </w:divBdr>
                                                                                                  <w:divsChild>
                                                                                                    <w:div w:id="695158893">
                                                                                                      <w:marLeft w:val="900"/>
                                                                                                      <w:marRight w:val="0"/>
                                                                                                      <w:marTop w:val="180"/>
                                                                                                      <w:marBottom w:val="0"/>
                                                                                                      <w:divBdr>
                                                                                                        <w:top w:val="none" w:sz="0" w:space="0" w:color="auto"/>
                                                                                                        <w:left w:val="none" w:sz="0" w:space="0" w:color="auto"/>
                                                                                                        <w:bottom w:val="none" w:sz="0" w:space="0" w:color="auto"/>
                                                                                                        <w:right w:val="none" w:sz="0" w:space="0" w:color="auto"/>
                                                                                                      </w:divBdr>
                                                                                                      <w:divsChild>
                                                                                                        <w:div w:id="159582483">
                                                                                                          <w:marLeft w:val="0"/>
                                                                                                          <w:marRight w:val="0"/>
                                                                                                          <w:marTop w:val="0"/>
                                                                                                          <w:marBottom w:val="0"/>
                                                                                                          <w:divBdr>
                                                                                                            <w:top w:val="none" w:sz="0" w:space="0" w:color="auto"/>
                                                                                                            <w:left w:val="none" w:sz="0" w:space="0" w:color="auto"/>
                                                                                                            <w:bottom w:val="none" w:sz="0" w:space="0" w:color="auto"/>
                                                                                                            <w:right w:val="none" w:sz="0" w:space="0" w:color="auto"/>
                                                                                                          </w:divBdr>
                                                                                                          <w:divsChild>
                                                                                                            <w:div w:id="1618365499">
                                                                                                              <w:marLeft w:val="0"/>
                                                                                                              <w:marRight w:val="0"/>
                                                                                                              <w:marTop w:val="0"/>
                                                                                                              <w:marBottom w:val="0"/>
                                                                                                              <w:divBdr>
                                                                                                                <w:top w:val="none" w:sz="0" w:space="0" w:color="auto"/>
                                                                                                                <w:left w:val="none" w:sz="0" w:space="0" w:color="auto"/>
                                                                                                                <w:bottom w:val="none" w:sz="0" w:space="0" w:color="auto"/>
                                                                                                                <w:right w:val="none" w:sz="0" w:space="0" w:color="auto"/>
                                                                                                              </w:divBdr>
                                                                                                              <w:divsChild>
                                                                                                                <w:div w:id="1382945032">
                                                                                                                  <w:marLeft w:val="0"/>
                                                                                                                  <w:marRight w:val="0"/>
                                                                                                                  <w:marTop w:val="30"/>
                                                                                                                  <w:marBottom w:val="0"/>
                                                                                                                  <w:divBdr>
                                                                                                                    <w:top w:val="none" w:sz="0" w:space="0" w:color="auto"/>
                                                                                                                    <w:left w:val="none" w:sz="0" w:space="0" w:color="auto"/>
                                                                                                                    <w:bottom w:val="none" w:sz="0" w:space="0" w:color="auto"/>
                                                                                                                    <w:right w:val="none" w:sz="0" w:space="0" w:color="auto"/>
                                                                                                                  </w:divBdr>
                                                                                                                  <w:divsChild>
                                                                                                                    <w:div w:id="654649339">
                                                                                                                      <w:marLeft w:val="0"/>
                                                                                                                      <w:marRight w:val="0"/>
                                                                                                                      <w:marTop w:val="0"/>
                                                                                                                      <w:marBottom w:val="0"/>
                                                                                                                      <w:divBdr>
                                                                                                                        <w:top w:val="none" w:sz="0" w:space="0" w:color="auto"/>
                                                                                                                        <w:left w:val="none" w:sz="0" w:space="0" w:color="auto"/>
                                                                                                                        <w:bottom w:val="none" w:sz="0" w:space="0" w:color="auto"/>
                                                                                                                        <w:right w:val="none" w:sz="0" w:space="0" w:color="auto"/>
                                                                                                                      </w:divBdr>
                                                                                                                      <w:divsChild>
                                                                                                                        <w:div w:id="1998416861">
                                                                                                                          <w:marLeft w:val="0"/>
                                                                                                                          <w:marRight w:val="0"/>
                                                                                                                          <w:marTop w:val="0"/>
                                                                                                                          <w:marBottom w:val="0"/>
                                                                                                                          <w:divBdr>
                                                                                                                            <w:top w:val="none" w:sz="0" w:space="0" w:color="auto"/>
                                                                                                                            <w:left w:val="none" w:sz="0" w:space="0" w:color="auto"/>
                                                                                                                            <w:bottom w:val="none" w:sz="0" w:space="0" w:color="auto"/>
                                                                                                                            <w:right w:val="none" w:sz="0" w:space="0" w:color="auto"/>
                                                                                                                          </w:divBdr>
                                                                                                                          <w:divsChild>
                                                                                                                            <w:div w:id="1863011226">
                                                                                                                              <w:marLeft w:val="0"/>
                                                                                                                              <w:marRight w:val="0"/>
                                                                                                                              <w:marTop w:val="0"/>
                                                                                                                              <w:marBottom w:val="0"/>
                                                                                                                              <w:divBdr>
                                                                                                                                <w:top w:val="none" w:sz="0" w:space="0" w:color="auto"/>
                                                                                                                                <w:left w:val="none" w:sz="0" w:space="0" w:color="auto"/>
                                                                                                                                <w:bottom w:val="none" w:sz="0" w:space="0" w:color="auto"/>
                                                                                                                                <w:right w:val="none" w:sz="0" w:space="0" w:color="auto"/>
                                                                                                                              </w:divBdr>
                                                                                                                              <w:divsChild>
                                                                                                                                <w:div w:id="177747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4296463">
      <w:bodyDiv w:val="1"/>
      <w:marLeft w:val="0"/>
      <w:marRight w:val="0"/>
      <w:marTop w:val="0"/>
      <w:marBottom w:val="0"/>
      <w:divBdr>
        <w:top w:val="none" w:sz="0" w:space="0" w:color="auto"/>
        <w:left w:val="none" w:sz="0" w:space="0" w:color="auto"/>
        <w:bottom w:val="none" w:sz="0" w:space="0" w:color="auto"/>
        <w:right w:val="none" w:sz="0" w:space="0" w:color="auto"/>
      </w:divBdr>
    </w:div>
    <w:div w:id="864906475">
      <w:bodyDiv w:val="1"/>
      <w:marLeft w:val="0"/>
      <w:marRight w:val="0"/>
      <w:marTop w:val="0"/>
      <w:marBottom w:val="0"/>
      <w:divBdr>
        <w:top w:val="none" w:sz="0" w:space="0" w:color="auto"/>
        <w:left w:val="none" w:sz="0" w:space="0" w:color="auto"/>
        <w:bottom w:val="none" w:sz="0" w:space="0" w:color="auto"/>
        <w:right w:val="none" w:sz="0" w:space="0" w:color="auto"/>
      </w:divBdr>
    </w:div>
    <w:div w:id="872304288">
      <w:bodyDiv w:val="1"/>
      <w:marLeft w:val="0"/>
      <w:marRight w:val="0"/>
      <w:marTop w:val="0"/>
      <w:marBottom w:val="0"/>
      <w:divBdr>
        <w:top w:val="none" w:sz="0" w:space="0" w:color="auto"/>
        <w:left w:val="none" w:sz="0" w:space="0" w:color="auto"/>
        <w:bottom w:val="none" w:sz="0" w:space="0" w:color="auto"/>
        <w:right w:val="none" w:sz="0" w:space="0" w:color="auto"/>
      </w:divBdr>
      <w:divsChild>
        <w:div w:id="1057508332">
          <w:marLeft w:val="0"/>
          <w:marRight w:val="0"/>
          <w:marTop w:val="0"/>
          <w:marBottom w:val="0"/>
          <w:divBdr>
            <w:top w:val="none" w:sz="0" w:space="0" w:color="auto"/>
            <w:left w:val="none" w:sz="0" w:space="0" w:color="auto"/>
            <w:bottom w:val="none" w:sz="0" w:space="0" w:color="auto"/>
            <w:right w:val="none" w:sz="0" w:space="0" w:color="auto"/>
          </w:divBdr>
          <w:divsChild>
            <w:div w:id="633801537">
              <w:marLeft w:val="0"/>
              <w:marRight w:val="0"/>
              <w:marTop w:val="0"/>
              <w:marBottom w:val="0"/>
              <w:divBdr>
                <w:top w:val="none" w:sz="0" w:space="0" w:color="auto"/>
                <w:left w:val="none" w:sz="0" w:space="0" w:color="auto"/>
                <w:bottom w:val="none" w:sz="0" w:space="0" w:color="auto"/>
                <w:right w:val="none" w:sz="0" w:space="0" w:color="auto"/>
              </w:divBdr>
              <w:divsChild>
                <w:div w:id="1552308968">
                  <w:marLeft w:val="0"/>
                  <w:marRight w:val="0"/>
                  <w:marTop w:val="0"/>
                  <w:marBottom w:val="0"/>
                  <w:divBdr>
                    <w:top w:val="none" w:sz="0" w:space="0" w:color="auto"/>
                    <w:left w:val="none" w:sz="0" w:space="0" w:color="auto"/>
                    <w:bottom w:val="none" w:sz="0" w:space="0" w:color="auto"/>
                    <w:right w:val="none" w:sz="0" w:space="0" w:color="auto"/>
                  </w:divBdr>
                  <w:divsChild>
                    <w:div w:id="1654601711">
                      <w:marLeft w:val="0"/>
                      <w:marRight w:val="0"/>
                      <w:marTop w:val="0"/>
                      <w:marBottom w:val="0"/>
                      <w:divBdr>
                        <w:top w:val="none" w:sz="0" w:space="0" w:color="auto"/>
                        <w:left w:val="none" w:sz="0" w:space="0" w:color="auto"/>
                        <w:bottom w:val="none" w:sz="0" w:space="0" w:color="auto"/>
                        <w:right w:val="none" w:sz="0" w:space="0" w:color="auto"/>
                      </w:divBdr>
                      <w:divsChild>
                        <w:div w:id="1158153436">
                          <w:marLeft w:val="0"/>
                          <w:marRight w:val="0"/>
                          <w:marTop w:val="0"/>
                          <w:marBottom w:val="0"/>
                          <w:divBdr>
                            <w:top w:val="none" w:sz="0" w:space="0" w:color="auto"/>
                            <w:left w:val="none" w:sz="0" w:space="0" w:color="auto"/>
                            <w:bottom w:val="none" w:sz="0" w:space="0" w:color="auto"/>
                            <w:right w:val="none" w:sz="0" w:space="0" w:color="auto"/>
                          </w:divBdr>
                          <w:divsChild>
                            <w:div w:id="11149866">
                              <w:marLeft w:val="15"/>
                              <w:marRight w:val="195"/>
                              <w:marTop w:val="0"/>
                              <w:marBottom w:val="0"/>
                              <w:divBdr>
                                <w:top w:val="none" w:sz="0" w:space="0" w:color="auto"/>
                                <w:left w:val="none" w:sz="0" w:space="0" w:color="auto"/>
                                <w:bottom w:val="none" w:sz="0" w:space="0" w:color="auto"/>
                                <w:right w:val="none" w:sz="0" w:space="0" w:color="auto"/>
                              </w:divBdr>
                              <w:divsChild>
                                <w:div w:id="54201455">
                                  <w:marLeft w:val="0"/>
                                  <w:marRight w:val="0"/>
                                  <w:marTop w:val="0"/>
                                  <w:marBottom w:val="0"/>
                                  <w:divBdr>
                                    <w:top w:val="none" w:sz="0" w:space="0" w:color="auto"/>
                                    <w:left w:val="none" w:sz="0" w:space="0" w:color="auto"/>
                                    <w:bottom w:val="none" w:sz="0" w:space="0" w:color="auto"/>
                                    <w:right w:val="none" w:sz="0" w:space="0" w:color="auto"/>
                                  </w:divBdr>
                                  <w:divsChild>
                                    <w:div w:id="570191249">
                                      <w:marLeft w:val="0"/>
                                      <w:marRight w:val="0"/>
                                      <w:marTop w:val="0"/>
                                      <w:marBottom w:val="0"/>
                                      <w:divBdr>
                                        <w:top w:val="none" w:sz="0" w:space="0" w:color="auto"/>
                                        <w:left w:val="none" w:sz="0" w:space="0" w:color="auto"/>
                                        <w:bottom w:val="none" w:sz="0" w:space="0" w:color="auto"/>
                                        <w:right w:val="none" w:sz="0" w:space="0" w:color="auto"/>
                                      </w:divBdr>
                                      <w:divsChild>
                                        <w:div w:id="243925700">
                                          <w:marLeft w:val="0"/>
                                          <w:marRight w:val="0"/>
                                          <w:marTop w:val="0"/>
                                          <w:marBottom w:val="0"/>
                                          <w:divBdr>
                                            <w:top w:val="none" w:sz="0" w:space="0" w:color="auto"/>
                                            <w:left w:val="none" w:sz="0" w:space="0" w:color="auto"/>
                                            <w:bottom w:val="none" w:sz="0" w:space="0" w:color="auto"/>
                                            <w:right w:val="none" w:sz="0" w:space="0" w:color="auto"/>
                                          </w:divBdr>
                                          <w:divsChild>
                                            <w:div w:id="81411096">
                                              <w:marLeft w:val="0"/>
                                              <w:marRight w:val="0"/>
                                              <w:marTop w:val="0"/>
                                              <w:marBottom w:val="0"/>
                                              <w:divBdr>
                                                <w:top w:val="none" w:sz="0" w:space="0" w:color="auto"/>
                                                <w:left w:val="none" w:sz="0" w:space="0" w:color="auto"/>
                                                <w:bottom w:val="none" w:sz="0" w:space="0" w:color="auto"/>
                                                <w:right w:val="none" w:sz="0" w:space="0" w:color="auto"/>
                                              </w:divBdr>
                                              <w:divsChild>
                                                <w:div w:id="819539244">
                                                  <w:marLeft w:val="0"/>
                                                  <w:marRight w:val="0"/>
                                                  <w:marTop w:val="0"/>
                                                  <w:marBottom w:val="0"/>
                                                  <w:divBdr>
                                                    <w:top w:val="none" w:sz="0" w:space="0" w:color="auto"/>
                                                    <w:left w:val="none" w:sz="0" w:space="0" w:color="auto"/>
                                                    <w:bottom w:val="none" w:sz="0" w:space="0" w:color="auto"/>
                                                    <w:right w:val="none" w:sz="0" w:space="0" w:color="auto"/>
                                                  </w:divBdr>
                                                  <w:divsChild>
                                                    <w:div w:id="466701395">
                                                      <w:marLeft w:val="0"/>
                                                      <w:marRight w:val="0"/>
                                                      <w:marTop w:val="0"/>
                                                      <w:marBottom w:val="0"/>
                                                      <w:divBdr>
                                                        <w:top w:val="none" w:sz="0" w:space="0" w:color="auto"/>
                                                        <w:left w:val="none" w:sz="0" w:space="0" w:color="auto"/>
                                                        <w:bottom w:val="none" w:sz="0" w:space="0" w:color="auto"/>
                                                        <w:right w:val="none" w:sz="0" w:space="0" w:color="auto"/>
                                                      </w:divBdr>
                                                      <w:divsChild>
                                                        <w:div w:id="1867988413">
                                                          <w:marLeft w:val="0"/>
                                                          <w:marRight w:val="0"/>
                                                          <w:marTop w:val="0"/>
                                                          <w:marBottom w:val="0"/>
                                                          <w:divBdr>
                                                            <w:top w:val="none" w:sz="0" w:space="0" w:color="auto"/>
                                                            <w:left w:val="none" w:sz="0" w:space="0" w:color="auto"/>
                                                            <w:bottom w:val="none" w:sz="0" w:space="0" w:color="auto"/>
                                                            <w:right w:val="none" w:sz="0" w:space="0" w:color="auto"/>
                                                          </w:divBdr>
                                                          <w:divsChild>
                                                            <w:div w:id="813832967">
                                                              <w:marLeft w:val="0"/>
                                                              <w:marRight w:val="0"/>
                                                              <w:marTop w:val="0"/>
                                                              <w:marBottom w:val="0"/>
                                                              <w:divBdr>
                                                                <w:top w:val="none" w:sz="0" w:space="0" w:color="auto"/>
                                                                <w:left w:val="none" w:sz="0" w:space="0" w:color="auto"/>
                                                                <w:bottom w:val="none" w:sz="0" w:space="0" w:color="auto"/>
                                                                <w:right w:val="none" w:sz="0" w:space="0" w:color="auto"/>
                                                              </w:divBdr>
                                                              <w:divsChild>
                                                                <w:div w:id="1497111675">
                                                                  <w:marLeft w:val="0"/>
                                                                  <w:marRight w:val="0"/>
                                                                  <w:marTop w:val="0"/>
                                                                  <w:marBottom w:val="0"/>
                                                                  <w:divBdr>
                                                                    <w:top w:val="none" w:sz="0" w:space="0" w:color="auto"/>
                                                                    <w:left w:val="none" w:sz="0" w:space="0" w:color="auto"/>
                                                                    <w:bottom w:val="none" w:sz="0" w:space="0" w:color="auto"/>
                                                                    <w:right w:val="none" w:sz="0" w:space="0" w:color="auto"/>
                                                                  </w:divBdr>
                                                                  <w:divsChild>
                                                                    <w:div w:id="207764226">
                                                                      <w:marLeft w:val="405"/>
                                                                      <w:marRight w:val="0"/>
                                                                      <w:marTop w:val="0"/>
                                                                      <w:marBottom w:val="0"/>
                                                                      <w:divBdr>
                                                                        <w:top w:val="none" w:sz="0" w:space="0" w:color="auto"/>
                                                                        <w:left w:val="none" w:sz="0" w:space="0" w:color="auto"/>
                                                                        <w:bottom w:val="none" w:sz="0" w:space="0" w:color="auto"/>
                                                                        <w:right w:val="none" w:sz="0" w:space="0" w:color="auto"/>
                                                                      </w:divBdr>
                                                                      <w:divsChild>
                                                                        <w:div w:id="98722997">
                                                                          <w:marLeft w:val="0"/>
                                                                          <w:marRight w:val="0"/>
                                                                          <w:marTop w:val="0"/>
                                                                          <w:marBottom w:val="0"/>
                                                                          <w:divBdr>
                                                                            <w:top w:val="none" w:sz="0" w:space="0" w:color="auto"/>
                                                                            <w:left w:val="none" w:sz="0" w:space="0" w:color="auto"/>
                                                                            <w:bottom w:val="none" w:sz="0" w:space="0" w:color="auto"/>
                                                                            <w:right w:val="none" w:sz="0" w:space="0" w:color="auto"/>
                                                                          </w:divBdr>
                                                                          <w:divsChild>
                                                                            <w:div w:id="524440338">
                                                                              <w:marLeft w:val="0"/>
                                                                              <w:marRight w:val="0"/>
                                                                              <w:marTop w:val="0"/>
                                                                              <w:marBottom w:val="0"/>
                                                                              <w:divBdr>
                                                                                <w:top w:val="none" w:sz="0" w:space="0" w:color="auto"/>
                                                                                <w:left w:val="none" w:sz="0" w:space="0" w:color="auto"/>
                                                                                <w:bottom w:val="none" w:sz="0" w:space="0" w:color="auto"/>
                                                                                <w:right w:val="none" w:sz="0" w:space="0" w:color="auto"/>
                                                                              </w:divBdr>
                                                                              <w:divsChild>
                                                                                <w:div w:id="1983776018">
                                                                                  <w:marLeft w:val="0"/>
                                                                                  <w:marRight w:val="0"/>
                                                                                  <w:marTop w:val="0"/>
                                                                                  <w:marBottom w:val="0"/>
                                                                                  <w:divBdr>
                                                                                    <w:top w:val="none" w:sz="0" w:space="0" w:color="auto"/>
                                                                                    <w:left w:val="none" w:sz="0" w:space="0" w:color="auto"/>
                                                                                    <w:bottom w:val="none" w:sz="0" w:space="0" w:color="auto"/>
                                                                                    <w:right w:val="none" w:sz="0" w:space="0" w:color="auto"/>
                                                                                  </w:divBdr>
                                                                                  <w:divsChild>
                                                                                    <w:div w:id="2105758011">
                                                                                      <w:marLeft w:val="0"/>
                                                                                      <w:marRight w:val="0"/>
                                                                                      <w:marTop w:val="0"/>
                                                                                      <w:marBottom w:val="0"/>
                                                                                      <w:divBdr>
                                                                                        <w:top w:val="none" w:sz="0" w:space="0" w:color="auto"/>
                                                                                        <w:left w:val="none" w:sz="0" w:space="0" w:color="auto"/>
                                                                                        <w:bottom w:val="none" w:sz="0" w:space="0" w:color="auto"/>
                                                                                        <w:right w:val="none" w:sz="0" w:space="0" w:color="auto"/>
                                                                                      </w:divBdr>
                                                                                      <w:divsChild>
                                                                                        <w:div w:id="101845933">
                                                                                          <w:marLeft w:val="0"/>
                                                                                          <w:marRight w:val="0"/>
                                                                                          <w:marTop w:val="0"/>
                                                                                          <w:marBottom w:val="0"/>
                                                                                          <w:divBdr>
                                                                                            <w:top w:val="none" w:sz="0" w:space="0" w:color="auto"/>
                                                                                            <w:left w:val="none" w:sz="0" w:space="0" w:color="auto"/>
                                                                                            <w:bottom w:val="none" w:sz="0" w:space="0" w:color="auto"/>
                                                                                            <w:right w:val="none" w:sz="0" w:space="0" w:color="auto"/>
                                                                                          </w:divBdr>
                                                                                          <w:divsChild>
                                                                                            <w:div w:id="1581132032">
                                                                                              <w:marLeft w:val="0"/>
                                                                                              <w:marRight w:val="0"/>
                                                                                              <w:marTop w:val="0"/>
                                                                                              <w:marBottom w:val="0"/>
                                                                                              <w:divBdr>
                                                                                                <w:top w:val="none" w:sz="0" w:space="0" w:color="auto"/>
                                                                                                <w:left w:val="none" w:sz="0" w:space="0" w:color="auto"/>
                                                                                                <w:bottom w:val="none" w:sz="0" w:space="0" w:color="auto"/>
                                                                                                <w:right w:val="none" w:sz="0" w:space="0" w:color="auto"/>
                                                                                              </w:divBdr>
                                                                                              <w:divsChild>
                                                                                                <w:div w:id="339047915">
                                                                                                  <w:marLeft w:val="0"/>
                                                                                                  <w:marRight w:val="0"/>
                                                                                                  <w:marTop w:val="15"/>
                                                                                                  <w:marBottom w:val="0"/>
                                                                                                  <w:divBdr>
                                                                                                    <w:top w:val="none" w:sz="0" w:space="0" w:color="auto"/>
                                                                                                    <w:left w:val="none" w:sz="0" w:space="0" w:color="auto"/>
                                                                                                    <w:bottom w:val="single" w:sz="6" w:space="15" w:color="auto"/>
                                                                                                    <w:right w:val="none" w:sz="0" w:space="0" w:color="auto"/>
                                                                                                  </w:divBdr>
                                                                                                  <w:divsChild>
                                                                                                    <w:div w:id="974525308">
                                                                                                      <w:marLeft w:val="0"/>
                                                                                                      <w:marRight w:val="0"/>
                                                                                                      <w:marTop w:val="180"/>
                                                                                                      <w:marBottom w:val="0"/>
                                                                                                      <w:divBdr>
                                                                                                        <w:top w:val="none" w:sz="0" w:space="0" w:color="auto"/>
                                                                                                        <w:left w:val="none" w:sz="0" w:space="0" w:color="auto"/>
                                                                                                        <w:bottom w:val="none" w:sz="0" w:space="0" w:color="auto"/>
                                                                                                        <w:right w:val="none" w:sz="0" w:space="0" w:color="auto"/>
                                                                                                      </w:divBdr>
                                                                                                      <w:divsChild>
                                                                                                        <w:div w:id="1629897794">
                                                                                                          <w:marLeft w:val="0"/>
                                                                                                          <w:marRight w:val="0"/>
                                                                                                          <w:marTop w:val="0"/>
                                                                                                          <w:marBottom w:val="0"/>
                                                                                                          <w:divBdr>
                                                                                                            <w:top w:val="none" w:sz="0" w:space="0" w:color="auto"/>
                                                                                                            <w:left w:val="none" w:sz="0" w:space="0" w:color="auto"/>
                                                                                                            <w:bottom w:val="none" w:sz="0" w:space="0" w:color="auto"/>
                                                                                                            <w:right w:val="none" w:sz="0" w:space="0" w:color="auto"/>
                                                                                                          </w:divBdr>
                                                                                                          <w:divsChild>
                                                                                                            <w:div w:id="1531646096">
                                                                                                              <w:marLeft w:val="0"/>
                                                                                                              <w:marRight w:val="0"/>
                                                                                                              <w:marTop w:val="0"/>
                                                                                                              <w:marBottom w:val="0"/>
                                                                                                              <w:divBdr>
                                                                                                                <w:top w:val="none" w:sz="0" w:space="0" w:color="auto"/>
                                                                                                                <w:left w:val="none" w:sz="0" w:space="0" w:color="auto"/>
                                                                                                                <w:bottom w:val="none" w:sz="0" w:space="0" w:color="auto"/>
                                                                                                                <w:right w:val="none" w:sz="0" w:space="0" w:color="auto"/>
                                                                                                              </w:divBdr>
                                                                                                              <w:divsChild>
                                                                                                                <w:div w:id="2066678423">
                                                                                                                  <w:marLeft w:val="0"/>
                                                                                                                  <w:marRight w:val="0"/>
                                                                                                                  <w:marTop w:val="30"/>
                                                                                                                  <w:marBottom w:val="0"/>
                                                                                                                  <w:divBdr>
                                                                                                                    <w:top w:val="none" w:sz="0" w:space="0" w:color="auto"/>
                                                                                                                    <w:left w:val="none" w:sz="0" w:space="0" w:color="auto"/>
                                                                                                                    <w:bottom w:val="none" w:sz="0" w:space="0" w:color="auto"/>
                                                                                                                    <w:right w:val="none" w:sz="0" w:space="0" w:color="auto"/>
                                                                                                                  </w:divBdr>
                                                                                                                  <w:divsChild>
                                                                                                                    <w:div w:id="1221017124">
                                                                                                                      <w:marLeft w:val="0"/>
                                                                                                                      <w:marRight w:val="0"/>
                                                                                                                      <w:marTop w:val="0"/>
                                                                                                                      <w:marBottom w:val="0"/>
                                                                                                                      <w:divBdr>
                                                                                                                        <w:top w:val="none" w:sz="0" w:space="0" w:color="auto"/>
                                                                                                                        <w:left w:val="none" w:sz="0" w:space="0" w:color="auto"/>
                                                                                                                        <w:bottom w:val="none" w:sz="0" w:space="0" w:color="auto"/>
                                                                                                                        <w:right w:val="none" w:sz="0" w:space="0" w:color="auto"/>
                                                                                                                      </w:divBdr>
                                                                                                                      <w:divsChild>
                                                                                                                        <w:div w:id="2038894935">
                                                                                                                          <w:marLeft w:val="0"/>
                                                                                                                          <w:marRight w:val="0"/>
                                                                                                                          <w:marTop w:val="0"/>
                                                                                                                          <w:marBottom w:val="0"/>
                                                                                                                          <w:divBdr>
                                                                                                                            <w:top w:val="none" w:sz="0" w:space="0" w:color="auto"/>
                                                                                                                            <w:left w:val="none" w:sz="0" w:space="0" w:color="auto"/>
                                                                                                                            <w:bottom w:val="none" w:sz="0" w:space="0" w:color="auto"/>
                                                                                                                            <w:right w:val="none" w:sz="0" w:space="0" w:color="auto"/>
                                                                                                                          </w:divBdr>
                                                                                                                          <w:divsChild>
                                                                                                                            <w:div w:id="2009290875">
                                                                                                                              <w:marLeft w:val="600"/>
                                                                                                                              <w:marRight w:val="600"/>
                                                                                                                              <w:marTop w:val="280"/>
                                                                                                                              <w:marBottom w:val="280"/>
                                                                                                                              <w:divBdr>
                                                                                                                                <w:top w:val="none" w:sz="0" w:space="0" w:color="auto"/>
                                                                                                                                <w:left w:val="none" w:sz="0" w:space="0" w:color="auto"/>
                                                                                                                                <w:bottom w:val="none" w:sz="0" w:space="0" w:color="auto"/>
                                                                                                                                <w:right w:val="none" w:sz="0" w:space="0" w:color="auto"/>
                                                                                                                              </w:divBdr>
                                                                                                                              <w:divsChild>
                                                                                                                                <w:div w:id="2077975092">
                                                                                                                                  <w:marLeft w:val="0"/>
                                                                                                                                  <w:marRight w:val="0"/>
                                                                                                                                  <w:marTop w:val="0"/>
                                                                                                                                  <w:marBottom w:val="0"/>
                                                                                                                                  <w:divBdr>
                                                                                                                                    <w:top w:val="none" w:sz="0" w:space="0" w:color="auto"/>
                                                                                                                                    <w:left w:val="none" w:sz="0" w:space="0" w:color="auto"/>
                                                                                                                                    <w:bottom w:val="none" w:sz="0" w:space="0" w:color="auto"/>
                                                                                                                                    <w:right w:val="none" w:sz="0" w:space="0" w:color="auto"/>
                                                                                                                                  </w:divBdr>
                                                                                                                                  <w:divsChild>
                                                                                                                                    <w:div w:id="1906837308">
                                                                                                                                      <w:marLeft w:val="0"/>
                                                                                                                                      <w:marRight w:val="0"/>
                                                                                                                                      <w:marTop w:val="0"/>
                                                                                                                                      <w:marBottom w:val="0"/>
                                                                                                                                      <w:divBdr>
                                                                                                                                        <w:top w:val="none" w:sz="0" w:space="0" w:color="auto"/>
                                                                                                                                        <w:left w:val="none" w:sz="0" w:space="0" w:color="auto"/>
                                                                                                                                        <w:bottom w:val="none" w:sz="0" w:space="0" w:color="auto"/>
                                                                                                                                        <w:right w:val="none" w:sz="0" w:space="0" w:color="auto"/>
                                                                                                                                      </w:divBdr>
                                                                                                                                    </w:div>
                                                                                                                                    <w:div w:id="580607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8710113">
      <w:bodyDiv w:val="1"/>
      <w:marLeft w:val="0"/>
      <w:marRight w:val="0"/>
      <w:marTop w:val="0"/>
      <w:marBottom w:val="0"/>
      <w:divBdr>
        <w:top w:val="none" w:sz="0" w:space="0" w:color="auto"/>
        <w:left w:val="none" w:sz="0" w:space="0" w:color="auto"/>
        <w:bottom w:val="none" w:sz="0" w:space="0" w:color="auto"/>
        <w:right w:val="none" w:sz="0" w:space="0" w:color="auto"/>
      </w:divBdr>
    </w:div>
    <w:div w:id="1044596903">
      <w:bodyDiv w:val="1"/>
      <w:marLeft w:val="0"/>
      <w:marRight w:val="0"/>
      <w:marTop w:val="0"/>
      <w:marBottom w:val="0"/>
      <w:divBdr>
        <w:top w:val="none" w:sz="0" w:space="0" w:color="auto"/>
        <w:left w:val="none" w:sz="0" w:space="0" w:color="auto"/>
        <w:bottom w:val="none" w:sz="0" w:space="0" w:color="auto"/>
        <w:right w:val="none" w:sz="0" w:space="0" w:color="auto"/>
      </w:divBdr>
    </w:div>
    <w:div w:id="1179850574">
      <w:bodyDiv w:val="1"/>
      <w:marLeft w:val="0"/>
      <w:marRight w:val="0"/>
      <w:marTop w:val="0"/>
      <w:marBottom w:val="0"/>
      <w:divBdr>
        <w:top w:val="none" w:sz="0" w:space="0" w:color="auto"/>
        <w:left w:val="none" w:sz="0" w:space="0" w:color="auto"/>
        <w:bottom w:val="none" w:sz="0" w:space="0" w:color="auto"/>
        <w:right w:val="none" w:sz="0" w:space="0" w:color="auto"/>
      </w:divBdr>
    </w:div>
    <w:div w:id="1413166154">
      <w:bodyDiv w:val="1"/>
      <w:marLeft w:val="0"/>
      <w:marRight w:val="0"/>
      <w:marTop w:val="0"/>
      <w:marBottom w:val="0"/>
      <w:divBdr>
        <w:top w:val="none" w:sz="0" w:space="0" w:color="auto"/>
        <w:left w:val="none" w:sz="0" w:space="0" w:color="auto"/>
        <w:bottom w:val="none" w:sz="0" w:space="0" w:color="auto"/>
        <w:right w:val="none" w:sz="0" w:space="0" w:color="auto"/>
      </w:divBdr>
    </w:div>
    <w:div w:id="1454402947">
      <w:bodyDiv w:val="1"/>
      <w:marLeft w:val="0"/>
      <w:marRight w:val="0"/>
      <w:marTop w:val="0"/>
      <w:marBottom w:val="0"/>
      <w:divBdr>
        <w:top w:val="none" w:sz="0" w:space="0" w:color="auto"/>
        <w:left w:val="none" w:sz="0" w:space="0" w:color="auto"/>
        <w:bottom w:val="none" w:sz="0" w:space="0" w:color="auto"/>
        <w:right w:val="none" w:sz="0" w:space="0" w:color="auto"/>
      </w:divBdr>
      <w:divsChild>
        <w:div w:id="1945067863">
          <w:marLeft w:val="274"/>
          <w:marRight w:val="0"/>
          <w:marTop w:val="0"/>
          <w:marBottom w:val="0"/>
          <w:divBdr>
            <w:top w:val="none" w:sz="0" w:space="0" w:color="auto"/>
            <w:left w:val="none" w:sz="0" w:space="0" w:color="auto"/>
            <w:bottom w:val="none" w:sz="0" w:space="0" w:color="auto"/>
            <w:right w:val="none" w:sz="0" w:space="0" w:color="auto"/>
          </w:divBdr>
        </w:div>
        <w:div w:id="1781991665">
          <w:marLeft w:val="274"/>
          <w:marRight w:val="0"/>
          <w:marTop w:val="0"/>
          <w:marBottom w:val="0"/>
          <w:divBdr>
            <w:top w:val="none" w:sz="0" w:space="0" w:color="auto"/>
            <w:left w:val="none" w:sz="0" w:space="0" w:color="auto"/>
            <w:bottom w:val="none" w:sz="0" w:space="0" w:color="auto"/>
            <w:right w:val="none" w:sz="0" w:space="0" w:color="auto"/>
          </w:divBdr>
        </w:div>
        <w:div w:id="44650239">
          <w:marLeft w:val="274"/>
          <w:marRight w:val="0"/>
          <w:marTop w:val="0"/>
          <w:marBottom w:val="0"/>
          <w:divBdr>
            <w:top w:val="none" w:sz="0" w:space="0" w:color="auto"/>
            <w:left w:val="none" w:sz="0" w:space="0" w:color="auto"/>
            <w:bottom w:val="none" w:sz="0" w:space="0" w:color="auto"/>
            <w:right w:val="none" w:sz="0" w:space="0" w:color="auto"/>
          </w:divBdr>
        </w:div>
        <w:div w:id="1665088148">
          <w:marLeft w:val="274"/>
          <w:marRight w:val="0"/>
          <w:marTop w:val="0"/>
          <w:marBottom w:val="0"/>
          <w:divBdr>
            <w:top w:val="none" w:sz="0" w:space="0" w:color="auto"/>
            <w:left w:val="none" w:sz="0" w:space="0" w:color="auto"/>
            <w:bottom w:val="none" w:sz="0" w:space="0" w:color="auto"/>
            <w:right w:val="none" w:sz="0" w:space="0" w:color="auto"/>
          </w:divBdr>
        </w:div>
        <w:div w:id="1062872622">
          <w:marLeft w:val="274"/>
          <w:marRight w:val="0"/>
          <w:marTop w:val="0"/>
          <w:marBottom w:val="0"/>
          <w:divBdr>
            <w:top w:val="none" w:sz="0" w:space="0" w:color="auto"/>
            <w:left w:val="none" w:sz="0" w:space="0" w:color="auto"/>
            <w:bottom w:val="none" w:sz="0" w:space="0" w:color="auto"/>
            <w:right w:val="none" w:sz="0" w:space="0" w:color="auto"/>
          </w:divBdr>
        </w:div>
      </w:divsChild>
    </w:div>
    <w:div w:id="1531801526">
      <w:bodyDiv w:val="1"/>
      <w:marLeft w:val="0"/>
      <w:marRight w:val="0"/>
      <w:marTop w:val="0"/>
      <w:marBottom w:val="0"/>
      <w:divBdr>
        <w:top w:val="none" w:sz="0" w:space="0" w:color="auto"/>
        <w:left w:val="none" w:sz="0" w:space="0" w:color="auto"/>
        <w:bottom w:val="none" w:sz="0" w:space="0" w:color="auto"/>
        <w:right w:val="none" w:sz="0" w:space="0" w:color="auto"/>
      </w:divBdr>
    </w:div>
    <w:div w:id="1672416737">
      <w:bodyDiv w:val="1"/>
      <w:marLeft w:val="0"/>
      <w:marRight w:val="0"/>
      <w:marTop w:val="0"/>
      <w:marBottom w:val="0"/>
      <w:divBdr>
        <w:top w:val="none" w:sz="0" w:space="0" w:color="auto"/>
        <w:left w:val="none" w:sz="0" w:space="0" w:color="auto"/>
        <w:bottom w:val="none" w:sz="0" w:space="0" w:color="auto"/>
        <w:right w:val="none" w:sz="0" w:space="0" w:color="auto"/>
      </w:divBdr>
    </w:div>
    <w:div w:id="1733656542">
      <w:bodyDiv w:val="1"/>
      <w:marLeft w:val="0"/>
      <w:marRight w:val="0"/>
      <w:marTop w:val="0"/>
      <w:marBottom w:val="0"/>
      <w:divBdr>
        <w:top w:val="none" w:sz="0" w:space="0" w:color="auto"/>
        <w:left w:val="none" w:sz="0" w:space="0" w:color="auto"/>
        <w:bottom w:val="none" w:sz="0" w:space="0" w:color="auto"/>
        <w:right w:val="none" w:sz="0" w:space="0" w:color="auto"/>
      </w:divBdr>
    </w:div>
    <w:div w:id="1830360860">
      <w:bodyDiv w:val="1"/>
      <w:marLeft w:val="0"/>
      <w:marRight w:val="0"/>
      <w:marTop w:val="0"/>
      <w:marBottom w:val="0"/>
      <w:divBdr>
        <w:top w:val="none" w:sz="0" w:space="0" w:color="auto"/>
        <w:left w:val="none" w:sz="0" w:space="0" w:color="auto"/>
        <w:bottom w:val="none" w:sz="0" w:space="0" w:color="auto"/>
        <w:right w:val="none" w:sz="0" w:space="0" w:color="auto"/>
      </w:divBdr>
    </w:div>
    <w:div w:id="1916281711">
      <w:bodyDiv w:val="1"/>
      <w:marLeft w:val="0"/>
      <w:marRight w:val="0"/>
      <w:marTop w:val="0"/>
      <w:marBottom w:val="0"/>
      <w:divBdr>
        <w:top w:val="none" w:sz="0" w:space="0" w:color="auto"/>
        <w:left w:val="none" w:sz="0" w:space="0" w:color="auto"/>
        <w:bottom w:val="none" w:sz="0" w:space="0" w:color="auto"/>
        <w:right w:val="none" w:sz="0" w:space="0" w:color="auto"/>
      </w:divBdr>
    </w:div>
    <w:div w:id="1935550264">
      <w:bodyDiv w:val="1"/>
      <w:marLeft w:val="0"/>
      <w:marRight w:val="0"/>
      <w:marTop w:val="0"/>
      <w:marBottom w:val="0"/>
      <w:divBdr>
        <w:top w:val="none" w:sz="0" w:space="0" w:color="auto"/>
        <w:left w:val="none" w:sz="0" w:space="0" w:color="auto"/>
        <w:bottom w:val="none" w:sz="0" w:space="0" w:color="auto"/>
        <w:right w:val="none" w:sz="0" w:space="0" w:color="auto"/>
      </w:divBdr>
    </w:div>
    <w:div w:id="1956325462">
      <w:bodyDiv w:val="1"/>
      <w:marLeft w:val="0"/>
      <w:marRight w:val="0"/>
      <w:marTop w:val="0"/>
      <w:marBottom w:val="0"/>
      <w:divBdr>
        <w:top w:val="none" w:sz="0" w:space="0" w:color="auto"/>
        <w:left w:val="none" w:sz="0" w:space="0" w:color="auto"/>
        <w:bottom w:val="none" w:sz="0" w:space="0" w:color="auto"/>
        <w:right w:val="none" w:sz="0" w:space="0" w:color="auto"/>
      </w:divBdr>
    </w:div>
    <w:div w:id="2019498907">
      <w:bodyDiv w:val="1"/>
      <w:marLeft w:val="0"/>
      <w:marRight w:val="0"/>
      <w:marTop w:val="0"/>
      <w:marBottom w:val="0"/>
      <w:divBdr>
        <w:top w:val="none" w:sz="0" w:space="0" w:color="auto"/>
        <w:left w:val="none" w:sz="0" w:space="0" w:color="auto"/>
        <w:bottom w:val="none" w:sz="0" w:space="0" w:color="auto"/>
        <w:right w:val="none" w:sz="0" w:space="0" w:color="auto"/>
      </w:divBdr>
    </w:div>
    <w:div w:id="21274621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qroo.gob.mx/ifeqroo" TargetMode="External"/><Relationship Id="rId21" Type="http://schemas.openxmlformats.org/officeDocument/2006/relationships/chart" Target="charts/chart11.xml"/><Relationship Id="rId42" Type="http://schemas.openxmlformats.org/officeDocument/2006/relationships/hyperlink" Target="https://qroo.gob.mx/ifeqroo/medios-de-verificacion-metas-e-indicadores" TargetMode="External"/><Relationship Id="rId47" Type="http://schemas.openxmlformats.org/officeDocument/2006/relationships/hyperlink" Target="https://qroo.gob.mx/ifeqroo/medios-de-verificacion-metas-e-indicadores" TargetMode="External"/><Relationship Id="rId63" Type="http://schemas.openxmlformats.org/officeDocument/2006/relationships/hyperlink" Target="https://qroo.gob.mx/seq/medios-de-verificacion-de-la-planeacion-anual/medios-de-verificacion-de-la-planeacion-anual" TargetMode="External"/><Relationship Id="rId68" Type="http://schemas.openxmlformats.org/officeDocument/2006/relationships/hyperlink" Target="https://qroo.gob.mx/seq/medios-de-verificacion-de-la-planeacion-anual" TargetMode="External"/><Relationship Id="rId84" Type="http://schemas.openxmlformats.org/officeDocument/2006/relationships/hyperlink" Target="http://itscarrillopuerto.edu.mx/v4.0/" TargetMode="External"/><Relationship Id="rId89" Type="http://schemas.openxmlformats.org/officeDocument/2006/relationships/hyperlink" Target="http://itscarrillopuerto.edu.mx/v4.0/" TargetMode="External"/><Relationship Id="rId16" Type="http://schemas.openxmlformats.org/officeDocument/2006/relationships/chart" Target="charts/chart6.xml"/><Relationship Id="rId107" Type="http://schemas.openxmlformats.org/officeDocument/2006/relationships/hyperlink" Target="http://www.upb.edu.mx/indicadores/2020-2021" TargetMode="External"/><Relationship Id="rId11" Type="http://schemas.openxmlformats.org/officeDocument/2006/relationships/chart" Target="charts/chart1.xml"/><Relationship Id="rId32" Type="http://schemas.openxmlformats.org/officeDocument/2006/relationships/hyperlink" Target="https://qroo.gob.mx/seq/medios-de-verificacion-de-la-planeacion-anual" TargetMode="External"/><Relationship Id="rId37" Type="http://schemas.openxmlformats.org/officeDocument/2006/relationships/hyperlink" Target="https://qroo.gob.mx/seq/medios-de-verificacion-de-la-planeacion-anual" TargetMode="External"/><Relationship Id="rId53" Type="http://schemas.openxmlformats.org/officeDocument/2006/relationships/hyperlink" Target="https://qroo.gob.mx/seq/medios-de-verificacion-de-la-planeacion-anual" TargetMode="External"/><Relationship Id="rId58" Type="http://schemas.openxmlformats.org/officeDocument/2006/relationships/hyperlink" Target="http://transparenciaweb.qroo.gob.mx/portaliframe/detalleRubro.php?iddep=25&amp;idrubro=29" TargetMode="External"/><Relationship Id="rId74" Type="http://schemas.openxmlformats.org/officeDocument/2006/relationships/hyperlink" Target="http://utcancun.edu.mx/prodep/" TargetMode="External"/><Relationship Id="rId79" Type="http://schemas.openxmlformats.org/officeDocument/2006/relationships/hyperlink" Target="http://13.1.23.rie.utcancun.edu.mx/index.php/911994?lang=es-MX" TargetMode="External"/><Relationship Id="rId102" Type="http://schemas.openxmlformats.org/officeDocument/2006/relationships/hyperlink" Target="http://www.utchetumal.edu.mx/medios_verificacion/2021" TargetMode="External"/><Relationship Id="rId5" Type="http://schemas.openxmlformats.org/officeDocument/2006/relationships/webSettings" Target="webSettings.xml"/><Relationship Id="rId90" Type="http://schemas.openxmlformats.org/officeDocument/2006/relationships/hyperlink" Target="http://itscarrillopuerto.edu.mx/v4.0/" TargetMode="External"/><Relationship Id="rId95" Type="http://schemas.openxmlformats.org/officeDocument/2006/relationships/hyperlink" Target="http://www.uimqroo.edu.mx" TargetMode="External"/><Relationship Id="rId22" Type="http://schemas.openxmlformats.org/officeDocument/2006/relationships/chart" Target="charts/chart12.xml"/><Relationship Id="rId27" Type="http://schemas.openxmlformats.org/officeDocument/2006/relationships/hyperlink" Target="http://bit.ly/2woJbnn" TargetMode="External"/><Relationship Id="rId43" Type="http://schemas.openxmlformats.org/officeDocument/2006/relationships/hyperlink" Target="https://qroo.gob.mx/ifeqroo/medios-de-verificacion-metas-e-indicadores" TargetMode="External"/><Relationship Id="rId48" Type="http://schemas.openxmlformats.org/officeDocument/2006/relationships/hyperlink" Target="https://qroo.gob.mx/ifeqroo/medios-de-verificacion-metas-e-indicadores" TargetMode="External"/><Relationship Id="rId64" Type="http://schemas.openxmlformats.org/officeDocument/2006/relationships/hyperlink" Target="https://qroo.gob.mx/seq/medios-de-verificacion-de-la-planeacion-anual" TargetMode="External"/><Relationship Id="rId69" Type="http://schemas.openxmlformats.org/officeDocument/2006/relationships/hyperlink" Target="http://transparencia.qroo.gob.mx/portaliframe/detalleRubro.php?iddep=37&amp;idrubro=6" TargetMode="External"/><Relationship Id="rId80" Type="http://schemas.openxmlformats.org/officeDocument/2006/relationships/hyperlink" Target="http://13.1.23.rie.utcancun.edu.mx/index.php/221695?lang=es-MX" TargetMode="External"/><Relationship Id="rId85" Type="http://schemas.openxmlformats.org/officeDocument/2006/relationships/hyperlink" Target="http://itscarrillopuerto.edu.mx/v4.0/" TargetMode="External"/><Relationship Id="rId12" Type="http://schemas.openxmlformats.org/officeDocument/2006/relationships/chart" Target="charts/chart2.xml"/><Relationship Id="rId17" Type="http://schemas.openxmlformats.org/officeDocument/2006/relationships/chart" Target="charts/chart7.xml"/><Relationship Id="rId33" Type="http://schemas.openxmlformats.org/officeDocument/2006/relationships/hyperlink" Target="https://qroo.gob.mx/seq/medios-de-verificacion-de-la-planeacion-anual" TargetMode="External"/><Relationship Id="rId38" Type="http://schemas.openxmlformats.org/officeDocument/2006/relationships/hyperlink" Target="https://qroo.gob.mx/ifeqroo/medios-de-verificacion-metas-e-indicadores" TargetMode="External"/><Relationship Id="rId59" Type="http://schemas.openxmlformats.org/officeDocument/2006/relationships/hyperlink" Target="http://transparenciaweb.qroo.gob.mx/portaliframe/detalleRubro.php?iddep=25&amp;idrubro=29" TargetMode="External"/><Relationship Id="rId103" Type="http://schemas.openxmlformats.org/officeDocument/2006/relationships/hyperlink" Target="http://www.utchetumal.edu.mx/medios_verificacion/2021" TargetMode="External"/><Relationship Id="rId108" Type="http://schemas.openxmlformats.org/officeDocument/2006/relationships/hyperlink" Target="http://www.unicaribe.mx/pagina/obligaciones-transparencia" TargetMode="External"/><Relationship Id="rId54" Type="http://schemas.openxmlformats.org/officeDocument/2006/relationships/hyperlink" Target="http://www.gob.mx/inea/documentos/rezago-educativo-quintana-roo" TargetMode="External"/><Relationship Id="rId70" Type="http://schemas.openxmlformats.org/officeDocument/2006/relationships/hyperlink" Target="https://qroo.gob.mx/eva/actividades-academicas" TargetMode="External"/><Relationship Id="rId75" Type="http://schemas.openxmlformats.org/officeDocument/2006/relationships/hyperlink" Target="http://utcancun.edu.mx/estudiantes-matricula-inscrita-2021/" TargetMode="External"/><Relationship Id="rId91" Type="http://schemas.openxmlformats.org/officeDocument/2006/relationships/hyperlink" Target="http://itscarrillopuerto.edu.mx/v4.0/" TargetMode="External"/><Relationship Id="rId96" Type="http://schemas.openxmlformats.org/officeDocument/2006/relationships/hyperlink" Target="http://www.uimqroo.edu.mx"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5.xml"/><Relationship Id="rId23" Type="http://schemas.openxmlformats.org/officeDocument/2006/relationships/chart" Target="charts/chart13.xml"/><Relationship Id="rId28" Type="http://schemas.openxmlformats.org/officeDocument/2006/relationships/footer" Target="footer3.xml"/><Relationship Id="rId36" Type="http://schemas.openxmlformats.org/officeDocument/2006/relationships/hyperlink" Target="https://qroo.gob.mx/seq/medios-de-verificacion-de-la-planeacion-anual" TargetMode="External"/><Relationship Id="rId49" Type="http://schemas.openxmlformats.org/officeDocument/2006/relationships/hyperlink" Target="https://qroo.gob.mx/ifeqroo/medios-de-verificacion-metas-e-indicadores" TargetMode="External"/><Relationship Id="rId57" Type="http://schemas.openxmlformats.org/officeDocument/2006/relationships/hyperlink" Target="http://transparenciaweb.qroo.gob.mx/portaliframe/detalleRubro.php?iddep=25&amp;idrubro=29" TargetMode="External"/><Relationship Id="rId106" Type="http://schemas.openxmlformats.org/officeDocument/2006/relationships/hyperlink" Target="http://www.utchetumal.edu.mx/medios_verificacion/2021" TargetMode="External"/><Relationship Id="rId10" Type="http://schemas.openxmlformats.org/officeDocument/2006/relationships/footer" Target="footer2.xml"/><Relationship Id="rId31" Type="http://schemas.openxmlformats.org/officeDocument/2006/relationships/hyperlink" Target="https://qroo.gob.mx/seq/medios-de-verificacion-de-la-planeacion-anual" TargetMode="External"/><Relationship Id="rId44" Type="http://schemas.openxmlformats.org/officeDocument/2006/relationships/hyperlink" Target="https://qroo.gob.mx/ifeqroo/medios-de-verificacion-metas-e-indicadores" TargetMode="External"/><Relationship Id="rId52" Type="http://schemas.openxmlformats.org/officeDocument/2006/relationships/hyperlink" Target="https://qroo.gob.mx/ifeqroo/medios-de-verificacion-metas-e-indicadores" TargetMode="External"/><Relationship Id="rId60" Type="http://schemas.openxmlformats.org/officeDocument/2006/relationships/hyperlink" Target="http://transparenciaweb.qroo.gob.mx/portaliframe/detalleRubro.php?iddep=25&amp;idrubro=29" TargetMode="External"/><Relationship Id="rId65" Type="http://schemas.openxmlformats.org/officeDocument/2006/relationships/hyperlink" Target="https://qroo.gob.mx/seq/medios-de-verificacion-de-la-planeacion-anual" TargetMode="External"/><Relationship Id="rId73" Type="http://schemas.openxmlformats.org/officeDocument/2006/relationships/hyperlink" Target="http://utcancun.edu.mx/prodep/" TargetMode="External"/><Relationship Id="rId78" Type="http://schemas.openxmlformats.org/officeDocument/2006/relationships/hyperlink" Target="http://utcancun.edu.mx/visitas-a-empresas/" TargetMode="External"/><Relationship Id="rId81" Type="http://schemas.openxmlformats.org/officeDocument/2006/relationships/hyperlink" Target="http://itscarrillopuerto.edu.mx/v4.0/" TargetMode="External"/><Relationship Id="rId86" Type="http://schemas.openxmlformats.org/officeDocument/2006/relationships/hyperlink" Target="http://itscarrillopuerto.edu.mx/v4.0/" TargetMode="External"/><Relationship Id="rId94" Type="http://schemas.openxmlformats.org/officeDocument/2006/relationships/hyperlink" Target="http://www.uimqroo.edu.mx" TargetMode="External"/><Relationship Id="rId99" Type="http://schemas.openxmlformats.org/officeDocument/2006/relationships/hyperlink" Target="http://www.utchetumal.edu.mx/medios_verificacion/2021" TargetMode="External"/><Relationship Id="rId101" Type="http://schemas.openxmlformats.org/officeDocument/2006/relationships/hyperlink" Target="http://www.utchetumal.edu.mx/medios_verificacion/2021" TargetMode="External"/><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chart" Target="charts/chart3.xml"/><Relationship Id="rId18" Type="http://schemas.openxmlformats.org/officeDocument/2006/relationships/chart" Target="charts/chart8.xml"/><Relationship Id="rId39" Type="http://schemas.openxmlformats.org/officeDocument/2006/relationships/hyperlink" Target="https://qroo.gob.mx/ifeqroo/medios-de-verificacion-metas-e-indicadores" TargetMode="External"/><Relationship Id="rId109" Type="http://schemas.openxmlformats.org/officeDocument/2006/relationships/footer" Target="footer4.xml"/><Relationship Id="rId34" Type="http://schemas.openxmlformats.org/officeDocument/2006/relationships/hyperlink" Target="https://qroo.gob.mx/seq/medios-de-verificacion-de-la-planeacion-anual" TargetMode="External"/><Relationship Id="rId50" Type="http://schemas.openxmlformats.org/officeDocument/2006/relationships/hyperlink" Target="file:///C:\Users\User\Downloads\Portal%20de%20Transparencia%20del%20IFEQROO.%20Listado%20de%20escuelas%20evaluadas.%20Direcci&#243;n%20de%20Certificaci&#243;n.%20IFEQROO.%20https:\qroo.gob.mx\ifeqroo" TargetMode="External"/><Relationship Id="rId55" Type="http://schemas.openxmlformats.org/officeDocument/2006/relationships/hyperlink" Target="http://transparenciaweb.qroo.gob.mx/portaliframe/detalleRubro.php?iddep=25&amp;idrubro=29" TargetMode="External"/><Relationship Id="rId76" Type="http://schemas.openxmlformats.org/officeDocument/2006/relationships/hyperlink" Target="http://utcancun.edu.mx/galeria-de-instalaciones/" TargetMode="External"/><Relationship Id="rId97" Type="http://schemas.openxmlformats.org/officeDocument/2006/relationships/hyperlink" Target="https://qroo.gob.mx/seq/medios-de-verificacion-de-la-planeacion-anual" TargetMode="External"/><Relationship Id="rId104" Type="http://schemas.openxmlformats.org/officeDocument/2006/relationships/hyperlink" Target="http://www.utchetumal.edu.mx/medios_verificacion/2021" TargetMode="External"/><Relationship Id="rId7" Type="http://schemas.openxmlformats.org/officeDocument/2006/relationships/endnotes" Target="endnotes.xml"/><Relationship Id="rId71" Type="http://schemas.openxmlformats.org/officeDocument/2006/relationships/hyperlink" Target="http://utcancun.edu.mx/desempeno-institucional/" TargetMode="External"/><Relationship Id="rId92" Type="http://schemas.openxmlformats.org/officeDocument/2006/relationships/hyperlink" Target="http://sigc.uqroo.mx/indexp.php?id=12" TargetMode="External"/><Relationship Id="rId2" Type="http://schemas.openxmlformats.org/officeDocument/2006/relationships/numbering" Target="numbering.xml"/><Relationship Id="rId29" Type="http://schemas.openxmlformats.org/officeDocument/2006/relationships/hyperlink" Target="https://qroo.gob.mx/seq/medios-de-verificacion-de-la-planeacion-anual" TargetMode="External"/><Relationship Id="rId24" Type="http://schemas.openxmlformats.org/officeDocument/2006/relationships/hyperlink" Target="https://www.qroo.gob.mx/icatqr" TargetMode="External"/><Relationship Id="rId40" Type="http://schemas.openxmlformats.org/officeDocument/2006/relationships/hyperlink" Target="https://qroo.gob.mx/ifeqroo/medios-de-verificacion-metas-e-indicadores" TargetMode="External"/><Relationship Id="rId45" Type="http://schemas.openxmlformats.org/officeDocument/2006/relationships/hyperlink" Target="https://qroo.gob.mx/ifeqroo/medios-de-verificacion-metas-e-indicadores" TargetMode="External"/><Relationship Id="rId66" Type="http://schemas.openxmlformats.org/officeDocument/2006/relationships/hyperlink" Target="http://www.cobaqroo.edu.mx/paginaweb2019/dirplaneacion.php" TargetMode="External"/><Relationship Id="rId87" Type="http://schemas.openxmlformats.org/officeDocument/2006/relationships/hyperlink" Target="http://itscarrillopuerto.edu.mx/v4.0/" TargetMode="External"/><Relationship Id="rId110" Type="http://schemas.openxmlformats.org/officeDocument/2006/relationships/fontTable" Target="fontTable.xml"/><Relationship Id="rId61" Type="http://schemas.openxmlformats.org/officeDocument/2006/relationships/hyperlink" Target="http://transparenciaweb.qroo.gob.mx/portaliframe/detalleRubro.php?iddep=25&amp;idrubro=29" TargetMode="External"/><Relationship Id="rId82" Type="http://schemas.openxmlformats.org/officeDocument/2006/relationships/hyperlink" Target="http://itscarrillopuerto.edu.mx/v4.0/" TargetMode="External"/><Relationship Id="rId19" Type="http://schemas.openxmlformats.org/officeDocument/2006/relationships/chart" Target="charts/chart9.xml"/><Relationship Id="rId14" Type="http://schemas.openxmlformats.org/officeDocument/2006/relationships/chart" Target="charts/chart4.xml"/><Relationship Id="rId30" Type="http://schemas.openxmlformats.org/officeDocument/2006/relationships/hyperlink" Target="https://qroo.gob.mx/seq/medios-de-verificacion-de-la-planeacion-anual" TargetMode="External"/><Relationship Id="rId35" Type="http://schemas.openxmlformats.org/officeDocument/2006/relationships/hyperlink" Target="https://qroo.gob.mx/seq/medios-de-verificacion-de-la-planeacion-anual" TargetMode="External"/><Relationship Id="rId56" Type="http://schemas.openxmlformats.org/officeDocument/2006/relationships/hyperlink" Target="http://transparenciaweb.qroo.gob.mx/portaliframe/detalleRubro.php?iddep=25&amp;idrubro=29" TargetMode="External"/><Relationship Id="rId77" Type="http://schemas.openxmlformats.org/officeDocument/2006/relationships/hyperlink" Target="https://www.facebook.com/UTplus/" TargetMode="External"/><Relationship Id="rId100" Type="http://schemas.openxmlformats.org/officeDocument/2006/relationships/hyperlink" Target="http://www.utchetumal.edu.mx/medios_verificacion/2021" TargetMode="External"/><Relationship Id="rId105" Type="http://schemas.openxmlformats.org/officeDocument/2006/relationships/hyperlink" Target="http://www.utchetumal.edu.mx/medios_verificacion/2021" TargetMode="External"/><Relationship Id="rId8" Type="http://schemas.openxmlformats.org/officeDocument/2006/relationships/header" Target="header1.xml"/><Relationship Id="rId51" Type="http://schemas.openxmlformats.org/officeDocument/2006/relationships/hyperlink" Target="file:///C:\Users\User\Downloads\Portal%20de%20Transparencia%20del%20IFEQROO.%20Listado%20de%20profesionales%20capacitados.%20Direcci&#243;n%20de%20Certificaci&#243;n.%20IFEQROO.%20https:\qroo.gob.mx\ifeqroo" TargetMode="External"/><Relationship Id="rId72" Type="http://schemas.openxmlformats.org/officeDocument/2006/relationships/hyperlink" Target="Http://sige.seq.gob.mx/portal/" TargetMode="External"/><Relationship Id="rId93" Type="http://schemas.openxmlformats.org/officeDocument/2006/relationships/hyperlink" Target="http://www.uimqroo.edu.mx" TargetMode="External"/><Relationship Id="rId98" Type="http://schemas.openxmlformats.org/officeDocument/2006/relationships/hyperlink" Target="http://www.utchetumal.edu.mx/medios_verificacion/2021" TargetMode="External"/><Relationship Id="rId3" Type="http://schemas.openxmlformats.org/officeDocument/2006/relationships/styles" Target="styles.xml"/><Relationship Id="rId25" Type="http://schemas.openxmlformats.org/officeDocument/2006/relationships/hyperlink" Target="https://qroo.gob.mx/ifeqroo" TargetMode="External"/><Relationship Id="rId46" Type="http://schemas.openxmlformats.org/officeDocument/2006/relationships/hyperlink" Target="https://qroo.gob.mx/ifeqroo/medios-de-verificacion-metas-e-indicadores" TargetMode="External"/><Relationship Id="rId67" Type="http://schemas.openxmlformats.org/officeDocument/2006/relationships/hyperlink" Target="https://qroo.gob.mx/seq/medios-de-verificacion-de-la-planeacion-anual" TargetMode="External"/><Relationship Id="rId20" Type="http://schemas.openxmlformats.org/officeDocument/2006/relationships/chart" Target="charts/chart10.xml"/><Relationship Id="rId41" Type="http://schemas.openxmlformats.org/officeDocument/2006/relationships/hyperlink" Target="https://qroo.gob.mx/ifeqroo/medios-de-verificacion-metas-e-indicadores" TargetMode="External"/><Relationship Id="rId62" Type="http://schemas.openxmlformats.org/officeDocument/2006/relationships/hyperlink" Target="http://transparenciaweb.qroo.gob.mx/portaliframe/detalleRubro.php?iddep=25&amp;idrubro=29" TargetMode="External"/><Relationship Id="rId83" Type="http://schemas.openxmlformats.org/officeDocument/2006/relationships/hyperlink" Target="http://itscarrillopuerto.edu.mx/v4.0/" TargetMode="External"/><Relationship Id="rId88" Type="http://schemas.openxmlformats.org/officeDocument/2006/relationships/hyperlink" Target="http://itscarrillopuerto.edu.mx/v4.0/" TargetMode="External"/><Relationship Id="rId111"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C:\Users\seq\Documents\Carpeta%20Chulis\PED\Graficas%20del%20PED_semana_anterior.xlsx" TargetMode="External"/></Relationships>
</file>

<file path=word/charts/_rels/chart10.xml.rels><?xml version="1.0" encoding="UTF-8" standalone="yes"?>
<Relationships xmlns="http://schemas.openxmlformats.org/package/2006/relationships"><Relationship Id="rId2" Type="http://schemas.openxmlformats.org/officeDocument/2006/relationships/package" Target="../embeddings/Hoja_de_c_lculo_de_Microsoft_Excel1.xlsx"/><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3" Type="http://schemas.openxmlformats.org/officeDocument/2006/relationships/themeOverride" Target="../theme/themeOverride11.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oleObject" Target="../embeddings/oleObject1.bin"/></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12.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oleObject" Target="../embeddings/oleObject2.bin"/></Relationships>
</file>

<file path=word/charts/_rels/chart13.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C:\Users\seq\Documents\Carpeta%20Chulis\Cuenta%20Publica\Tomo%20II%20Cuadros%20y%20Graficas%20Secretaria%202019.xlsx" TargetMode="External"/><Relationship Id="rId1" Type="http://schemas.openxmlformats.org/officeDocument/2006/relationships/themeOverride" Target="../theme/themeOverride13.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file:///C:\Users\seq\Documents\Carpeta%20Chulis\PED\Graficas%20del%20PED_semana_anterior.xlsx" TargetMode="External"/></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oleObject" Target="file:///C:\Users\seq\Documents\Carpeta%20Chulis\PED\Graficas%20del%20PED.xlsx" TargetMode="External"/></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oleObject" Target="file:///C:\Users\seq\Documents\Carpeta%20Chulis\PED\Graficas%20del%20PED_semana_anterior.xlsx" TargetMode="Externa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file:///C:\Users\seq\Documents\Carpeta%20Chulis\PED\Graficas%20del%20PED.xlsx" TargetMode="Externa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oleObject" Target="file:///C:\Users\seq\Documents\Carpeta%20Chulis\PED\Graficas%20del%20PED_semana_anterior.xlsx" TargetMode="External"/></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oleObject" Target="file:///C:\Users\seq\Documents\Carpeta%20Chulis\PED\Graficas%20del%20PED.xlsx" TargetMode="External"/></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oleObject" Target="file:///C:\Users\seq\Documents\Carpeta%20Chulis\PED\Graficas%20del%20PED_semana_anterior.xlsx" TargetMode="External"/></Relationships>
</file>

<file path=word/charts/_rels/chart9.xml.rels><?xml version="1.0" encoding="UTF-8" standalone="yes"?>
<Relationships xmlns="http://schemas.openxmlformats.org/package/2006/relationships"><Relationship Id="rId2" Type="http://schemas.openxmlformats.org/officeDocument/2006/relationships/package" Target="../embeddings/Hoja_de_c_lculo_de_Microsoft_Excel.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Preescolar!$D$15</c:f>
              <c:strCache>
                <c:ptCount val="1"/>
                <c:pt idx="0">
                  <c:v>Cobertura Estatal</c:v>
                </c:pt>
              </c:strCache>
            </c:strRef>
          </c:tx>
          <c:spPr>
            <a:solidFill>
              <a:srgbClr val="3C8DA3"/>
            </a:solidFill>
            <a:ln>
              <a:no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Futura Bk BT" panose="020B0502020204020303" pitchFamily="34" charset="0"/>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Preescolar!$A$20:$A$21</c:f>
              <c:strCache>
                <c:ptCount val="2"/>
                <c:pt idx="0">
                  <c:v>2018-2019</c:v>
                </c:pt>
                <c:pt idx="1">
                  <c:v>2019-2020</c:v>
                </c:pt>
              </c:strCache>
            </c:strRef>
          </c:cat>
          <c:val>
            <c:numRef>
              <c:f>Preescolar!$B$20:$B$21</c:f>
              <c:numCache>
                <c:formatCode>0.000</c:formatCode>
                <c:ptCount val="2"/>
                <c:pt idx="0">
                  <c:v>0.60499999999999998</c:v>
                </c:pt>
                <c:pt idx="1">
                  <c:v>0.65900000000000003</c:v>
                </c:pt>
              </c:numCache>
            </c:numRef>
          </c:val>
          <c:extLst>
            <c:ext xmlns:c16="http://schemas.microsoft.com/office/drawing/2014/chart" uri="{C3380CC4-5D6E-409C-BE32-E72D297353CC}">
              <c16:uniqueId val="{00000000-E741-49D8-8E7C-77A5F359B8A0}"/>
            </c:ext>
          </c:extLst>
        </c:ser>
        <c:ser>
          <c:idx val="1"/>
          <c:order val="1"/>
          <c:tx>
            <c:strRef>
              <c:f>Preescolar!$F$15</c:f>
              <c:strCache>
                <c:ptCount val="1"/>
                <c:pt idx="0">
                  <c:v>Cobertura Nacional</c:v>
                </c:pt>
              </c:strCache>
            </c:strRef>
          </c:tx>
          <c:spPr>
            <a:solidFill>
              <a:schemeClr val="accent4"/>
            </a:solidFill>
            <a:ln>
              <a:no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Futura Bk BT" panose="020B0502020204020303" pitchFamily="34" charset="0"/>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Preescolar!$A$20:$A$21</c:f>
              <c:strCache>
                <c:ptCount val="2"/>
                <c:pt idx="0">
                  <c:v>2018-2019</c:v>
                </c:pt>
                <c:pt idx="1">
                  <c:v>2019-2020</c:v>
                </c:pt>
              </c:strCache>
            </c:strRef>
          </c:cat>
          <c:val>
            <c:numRef>
              <c:f>Preescolar!$C$20:$C$21</c:f>
              <c:numCache>
                <c:formatCode>General</c:formatCode>
                <c:ptCount val="2"/>
                <c:pt idx="0">
                  <c:v>0.72099999999999997</c:v>
                </c:pt>
                <c:pt idx="1">
                  <c:v>0.72299999999999998</c:v>
                </c:pt>
              </c:numCache>
            </c:numRef>
          </c:val>
          <c:extLst>
            <c:ext xmlns:c16="http://schemas.microsoft.com/office/drawing/2014/chart" uri="{C3380CC4-5D6E-409C-BE32-E72D297353CC}">
              <c16:uniqueId val="{00000001-E741-49D8-8E7C-77A5F359B8A0}"/>
            </c:ext>
          </c:extLst>
        </c:ser>
        <c:dLbls>
          <c:showLegendKey val="0"/>
          <c:showVal val="0"/>
          <c:showCatName val="0"/>
          <c:showSerName val="0"/>
          <c:showPercent val="0"/>
          <c:showBubbleSize val="0"/>
        </c:dLbls>
        <c:gapWidth val="100"/>
        <c:overlap val="-50"/>
        <c:axId val="1756218584"/>
        <c:axId val="1755518568"/>
      </c:barChart>
      <c:catAx>
        <c:axId val="1756218584"/>
        <c:scaling>
          <c:orientation val="minMax"/>
        </c:scaling>
        <c:delete val="0"/>
        <c:axPos val="b"/>
        <c:numFmt formatCode="General" sourceLinked="1"/>
        <c:majorTickMark val="none"/>
        <c:minorTickMark val="none"/>
        <c:tickLblPos val="nextTo"/>
        <c:spPr>
          <a:noFill/>
          <a:ln w="12700" cap="flat" cmpd="sng" algn="ctr">
            <a:solidFill>
              <a:schemeClr val="bg1">
                <a:lumMod val="50000"/>
              </a:schemeClr>
            </a:solidFill>
            <a:round/>
          </a:ln>
          <a:effectLst/>
        </c:spPr>
        <c:txPr>
          <a:bodyPr rot="-60000000" spcFirstLastPara="1" vertOverflow="ellipsis" vert="horz" wrap="square" anchor="ctr" anchorCtr="1"/>
          <a:lstStyle/>
          <a:p>
            <a:pPr>
              <a:defRPr sz="800" b="1" i="0" u="none" strike="noStrike" kern="1200" baseline="0">
                <a:solidFill>
                  <a:sysClr val="windowText" lastClr="000000"/>
                </a:solidFill>
                <a:latin typeface="Futura Bk BT" panose="020B0502020204020303" pitchFamily="34" charset="0"/>
                <a:ea typeface="+mn-ea"/>
                <a:cs typeface="+mn-cs"/>
              </a:defRPr>
            </a:pPr>
            <a:endParaRPr lang="es-MX"/>
          </a:p>
        </c:txPr>
        <c:crossAx val="1755518568"/>
        <c:crosses val="autoZero"/>
        <c:auto val="1"/>
        <c:lblAlgn val="ctr"/>
        <c:lblOffset val="100"/>
        <c:noMultiLvlLbl val="0"/>
      </c:catAx>
      <c:valAx>
        <c:axId val="1755518568"/>
        <c:scaling>
          <c:orientation val="minMax"/>
        </c:scaling>
        <c:delete val="1"/>
        <c:axPos val="l"/>
        <c:numFmt formatCode="0.000" sourceLinked="1"/>
        <c:majorTickMark val="none"/>
        <c:minorTickMark val="none"/>
        <c:tickLblPos val="nextTo"/>
        <c:crossAx val="1756218584"/>
        <c:crosses val="autoZero"/>
        <c:crossBetween val="between"/>
      </c:valAx>
      <c:spPr>
        <a:noFill/>
        <a:ln>
          <a:noFill/>
        </a:ln>
        <a:effectLst/>
      </c:spPr>
    </c:plotArea>
    <c:legend>
      <c:legendPos val="b"/>
      <c:layout>
        <c:manualLayout>
          <c:xMode val="edge"/>
          <c:yMode val="edge"/>
          <c:x val="1.19551618547682E-2"/>
          <c:y val="0.89409667541557303"/>
          <c:w val="0.97053412073490797"/>
          <c:h val="7.8125546806649196E-2"/>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Futura Bk BT" panose="020B0502020204020303" pitchFamily="34" charset="0"/>
              <a:ea typeface="+mn-ea"/>
              <a:cs typeface="+mn-cs"/>
            </a:defRPr>
          </a:pPr>
          <a:endParaRPr lang="es-MX"/>
        </a:p>
      </c:txPr>
    </c:legend>
    <c:plotVisOnly val="1"/>
    <c:dispBlanksAs val="gap"/>
    <c:showDLblsOverMax val="0"/>
  </c:chart>
  <c:spPr>
    <a:solidFill>
      <a:schemeClr val="bg1"/>
    </a:solidFill>
    <a:ln w="9525" cap="flat" cmpd="sng" algn="ctr">
      <a:noFill/>
      <a:round/>
    </a:ln>
    <a:effectLst/>
  </c:spPr>
  <c:txPr>
    <a:bodyPr/>
    <a:lstStyle/>
    <a:p>
      <a:pPr>
        <a:defRPr/>
      </a:pPr>
      <a:endParaRPr lang="es-MX"/>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'Rezago Educativo'!$B$2</c:f>
              <c:strCache>
                <c:ptCount val="1"/>
                <c:pt idx="0">
                  <c:v>Rezago Educativo</c:v>
                </c:pt>
              </c:strCache>
            </c:strRef>
          </c:tx>
          <c:spPr>
            <a:gradFill>
              <a:gsLst>
                <a:gs pos="0">
                  <a:srgbClr val="A9CEDC"/>
                </a:gs>
                <a:gs pos="50000">
                  <a:srgbClr val="3C8DA3"/>
                </a:gs>
                <a:gs pos="100000">
                  <a:srgbClr val="3C8DA3"/>
                </a:gs>
              </a:gsLst>
              <a:lin ang="5400000" scaled="0"/>
            </a:gradFill>
          </c:spPr>
          <c:invertIfNegative val="0"/>
          <c:dLbls>
            <c:spPr>
              <a:noFill/>
              <a:ln>
                <a:noFill/>
              </a:ln>
              <a:effectLst/>
            </c:spPr>
            <c:txPr>
              <a:bodyPr/>
              <a:lstStyle/>
              <a:p>
                <a:pPr>
                  <a:defRPr b="1"/>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'Rezago Educativo'!$A$3:$A$7</c:f>
              <c:numCache>
                <c:formatCode>General</c:formatCode>
                <c:ptCount val="5"/>
                <c:pt idx="0">
                  <c:v>1980</c:v>
                </c:pt>
                <c:pt idx="1">
                  <c:v>1990</c:v>
                </c:pt>
                <c:pt idx="2">
                  <c:v>2000</c:v>
                </c:pt>
                <c:pt idx="3">
                  <c:v>2010</c:v>
                </c:pt>
                <c:pt idx="4">
                  <c:v>2015</c:v>
                </c:pt>
              </c:numCache>
            </c:numRef>
          </c:cat>
          <c:val>
            <c:numRef>
              <c:f>'Rezago Educativo'!$B$3:$B$7</c:f>
              <c:numCache>
                <c:formatCode>General</c:formatCode>
                <c:ptCount val="5"/>
                <c:pt idx="0">
                  <c:v>68.099999999999994</c:v>
                </c:pt>
                <c:pt idx="1">
                  <c:v>59.1</c:v>
                </c:pt>
                <c:pt idx="2">
                  <c:v>46.2</c:v>
                </c:pt>
                <c:pt idx="3">
                  <c:v>32.5</c:v>
                </c:pt>
                <c:pt idx="4" formatCode="0.0">
                  <c:v>28</c:v>
                </c:pt>
              </c:numCache>
            </c:numRef>
          </c:val>
          <c:extLst>
            <c:ext xmlns:c16="http://schemas.microsoft.com/office/drawing/2014/chart" uri="{C3380CC4-5D6E-409C-BE32-E72D297353CC}">
              <c16:uniqueId val="{00000000-C17C-4A7D-92A3-184EE67AAAEE}"/>
            </c:ext>
          </c:extLst>
        </c:ser>
        <c:dLbls>
          <c:showLegendKey val="0"/>
          <c:showVal val="0"/>
          <c:showCatName val="0"/>
          <c:showSerName val="0"/>
          <c:showPercent val="0"/>
          <c:showBubbleSize val="0"/>
        </c:dLbls>
        <c:gapWidth val="50"/>
        <c:axId val="2067042200"/>
        <c:axId val="1753628920"/>
      </c:barChart>
      <c:catAx>
        <c:axId val="2067042200"/>
        <c:scaling>
          <c:orientation val="minMax"/>
        </c:scaling>
        <c:delete val="0"/>
        <c:axPos val="b"/>
        <c:numFmt formatCode="General" sourceLinked="1"/>
        <c:majorTickMark val="out"/>
        <c:minorTickMark val="none"/>
        <c:tickLblPos val="nextTo"/>
        <c:txPr>
          <a:bodyPr/>
          <a:lstStyle/>
          <a:p>
            <a:pPr>
              <a:defRPr sz="1000" b="1"/>
            </a:pPr>
            <a:endParaRPr lang="es-MX"/>
          </a:p>
        </c:txPr>
        <c:crossAx val="1753628920"/>
        <c:crosses val="autoZero"/>
        <c:auto val="1"/>
        <c:lblAlgn val="ctr"/>
        <c:lblOffset val="100"/>
        <c:noMultiLvlLbl val="0"/>
      </c:catAx>
      <c:valAx>
        <c:axId val="1753628920"/>
        <c:scaling>
          <c:orientation val="minMax"/>
        </c:scaling>
        <c:delete val="0"/>
        <c:axPos val="l"/>
        <c:numFmt formatCode="General" sourceLinked="1"/>
        <c:majorTickMark val="out"/>
        <c:minorTickMark val="none"/>
        <c:tickLblPos val="nextTo"/>
        <c:txPr>
          <a:bodyPr/>
          <a:lstStyle/>
          <a:p>
            <a:pPr>
              <a:defRPr sz="1000" b="1"/>
            </a:pPr>
            <a:endParaRPr lang="es-MX"/>
          </a:p>
        </c:txPr>
        <c:crossAx val="2067042200"/>
        <c:crosses val="autoZero"/>
        <c:crossBetween val="between"/>
      </c:valAx>
    </c:plotArea>
    <c:legend>
      <c:legendPos val="b"/>
      <c:layout>
        <c:manualLayout>
          <c:xMode val="edge"/>
          <c:yMode val="edge"/>
          <c:x val="6.5135507486851499E-2"/>
          <c:y val="0.88289041994750705"/>
          <c:w val="0.90548888285516005"/>
          <c:h val="8.9331802274715696E-2"/>
        </c:manualLayout>
      </c:layout>
      <c:overlay val="0"/>
      <c:txPr>
        <a:bodyPr/>
        <a:lstStyle/>
        <a:p>
          <a:pPr>
            <a:defRPr sz="1100" b="1"/>
          </a:pPr>
          <a:endParaRPr lang="es-MX"/>
        </a:p>
      </c:txPr>
    </c:legend>
    <c:plotVisOnly val="1"/>
    <c:dispBlanksAs val="gap"/>
    <c:showDLblsOverMax val="0"/>
  </c:chart>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571770589487126"/>
          <c:y val="3.9933423332019685E-2"/>
          <c:w val="0.83644782577853449"/>
          <c:h val="0.75997007962927254"/>
        </c:manualLayout>
      </c:layout>
      <c:barChart>
        <c:barDir val="col"/>
        <c:grouping val="clustered"/>
        <c:varyColors val="0"/>
        <c:ser>
          <c:idx val="0"/>
          <c:order val="0"/>
          <c:tx>
            <c:strRef>
              <c:f>Hoja1!$B$2</c:f>
              <c:strCache>
                <c:ptCount val="1"/>
                <c:pt idx="0">
                  <c:v>Población</c:v>
                </c:pt>
              </c:strCache>
            </c:strRef>
          </c:tx>
          <c:spPr>
            <a:solidFill>
              <a:srgbClr val="3C8DA3"/>
            </a:solidFill>
            <a:ln w="12700">
              <a:solidFill>
                <a:srgbClr val="3C8DA3"/>
              </a:solidFill>
            </a:ln>
            <a:effectLst/>
          </c:spPr>
          <c:invertIfNegative val="0"/>
          <c:dPt>
            <c:idx val="0"/>
            <c:invertIfNegative val="0"/>
            <c:bubble3D val="0"/>
            <c:spPr>
              <a:solidFill>
                <a:srgbClr val="4BACC6"/>
              </a:solidFill>
              <a:ln w="12700">
                <a:solidFill>
                  <a:srgbClr val="4BACC6"/>
                </a:solidFill>
              </a:ln>
              <a:effectLst/>
            </c:spPr>
            <c:extLst>
              <c:ext xmlns:c16="http://schemas.microsoft.com/office/drawing/2014/chart" uri="{C3380CC4-5D6E-409C-BE32-E72D297353CC}">
                <c16:uniqueId val="{00000001-8FF5-4F5C-9ABD-6609E8CC40C8}"/>
              </c:ext>
            </c:extLst>
          </c:dPt>
          <c:dLbls>
            <c:dLbl>
              <c:idx val="1"/>
              <c:layout>
                <c:manualLayout>
                  <c:x val="9.0090090090090089E-3"/>
                  <c:y val="-4.437047036891076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FF5-4F5C-9ABD-6609E8CC40C8}"/>
                </c:ext>
              </c:extLst>
            </c:dLbl>
            <c:numFmt formatCode="#,##0" sourceLinked="0"/>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chemeClr val="tx1">
                        <a:lumMod val="75000"/>
                        <a:lumOff val="25000"/>
                      </a:schemeClr>
                    </a:solidFill>
                    <a:latin typeface="Futura Bk BT" panose="020B0502020204020303" pitchFamily="34" charset="0"/>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Hoja1!$A$3:$A$9</c:f>
              <c:numCache>
                <c:formatCode>General</c:formatCode>
                <c:ptCount val="7"/>
                <c:pt idx="0">
                  <c:v>2019</c:v>
                </c:pt>
                <c:pt idx="1">
                  <c:v>2025</c:v>
                </c:pt>
                <c:pt idx="2">
                  <c:v>2030</c:v>
                </c:pt>
                <c:pt idx="3">
                  <c:v>2035</c:v>
                </c:pt>
                <c:pt idx="4">
                  <c:v>2040</c:v>
                </c:pt>
                <c:pt idx="5">
                  <c:v>2045</c:v>
                </c:pt>
                <c:pt idx="6">
                  <c:v>2050</c:v>
                </c:pt>
              </c:numCache>
            </c:numRef>
          </c:cat>
          <c:val>
            <c:numRef>
              <c:f>Hoja1!$B$3:$B$9</c:f>
              <c:numCache>
                <c:formatCode>General</c:formatCode>
                <c:ptCount val="7"/>
                <c:pt idx="0">
                  <c:v>1684541</c:v>
                </c:pt>
                <c:pt idx="1">
                  <c:v>1907656</c:v>
                </c:pt>
                <c:pt idx="2">
                  <c:v>2075660</c:v>
                </c:pt>
                <c:pt idx="3">
                  <c:v>2226728</c:v>
                </c:pt>
                <c:pt idx="4">
                  <c:v>2359796</c:v>
                </c:pt>
                <c:pt idx="5">
                  <c:v>2473022</c:v>
                </c:pt>
                <c:pt idx="6">
                  <c:v>2565037</c:v>
                </c:pt>
              </c:numCache>
            </c:numRef>
          </c:val>
          <c:extLst>
            <c:ext xmlns:c16="http://schemas.microsoft.com/office/drawing/2014/chart" uri="{C3380CC4-5D6E-409C-BE32-E72D297353CC}">
              <c16:uniqueId val="{00000003-8FF5-4F5C-9ABD-6609E8CC40C8}"/>
            </c:ext>
          </c:extLst>
        </c:ser>
        <c:dLbls>
          <c:showLegendKey val="0"/>
          <c:showVal val="0"/>
          <c:showCatName val="0"/>
          <c:showSerName val="0"/>
          <c:showPercent val="0"/>
          <c:showBubbleSize val="0"/>
        </c:dLbls>
        <c:gapWidth val="50"/>
        <c:axId val="161291520"/>
        <c:axId val="161293088"/>
      </c:barChart>
      <c:lineChart>
        <c:grouping val="standard"/>
        <c:varyColors val="0"/>
        <c:ser>
          <c:idx val="1"/>
          <c:order val="1"/>
          <c:tx>
            <c:strRef>
              <c:f>Hoja1!$C$2</c:f>
              <c:strCache>
                <c:ptCount val="1"/>
                <c:pt idx="0">
                  <c:v>Tasa de Crecimiento</c:v>
                </c:pt>
              </c:strCache>
            </c:strRef>
          </c:tx>
          <c:spPr>
            <a:ln w="31750" cap="rnd">
              <a:solidFill>
                <a:srgbClr val="002060"/>
              </a:solidFill>
              <a:round/>
            </a:ln>
            <a:effectLst/>
          </c:spPr>
          <c:marker>
            <c:symbol val="circle"/>
            <c:size val="7"/>
            <c:spPr>
              <a:solidFill>
                <a:srgbClr val="002060"/>
              </a:solidFill>
              <a:ln w="12700">
                <a:solidFill>
                  <a:srgbClr val="002060"/>
                </a:solidFill>
              </a:ln>
              <a:effectLst/>
            </c:spPr>
          </c:marker>
          <c:dLbls>
            <c:dLbl>
              <c:idx val="0"/>
              <c:layout>
                <c:manualLayout>
                  <c:x val="-4.677927927927928E-2"/>
                  <c:y val="-6.302807847214653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FF5-4F5C-9ABD-6609E8CC40C8}"/>
                </c:ext>
              </c:extLst>
            </c:dLbl>
            <c:numFmt formatCode="0.00%" sourceLinked="0"/>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rgbClr val="002060"/>
                    </a:solidFill>
                    <a:latin typeface="Futura Bk BT" panose="020B0502020204020303" pitchFamily="34" charset="0"/>
                    <a:ea typeface="+mn-ea"/>
                    <a:cs typeface="+mn-cs"/>
                  </a:defRPr>
                </a:pPr>
                <a:endParaRPr lang="es-MX"/>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Hoja1!$A$3:$A$9</c:f>
              <c:numCache>
                <c:formatCode>General</c:formatCode>
                <c:ptCount val="7"/>
                <c:pt idx="0">
                  <c:v>2019</c:v>
                </c:pt>
                <c:pt idx="1">
                  <c:v>2025</c:v>
                </c:pt>
                <c:pt idx="2">
                  <c:v>2030</c:v>
                </c:pt>
                <c:pt idx="3">
                  <c:v>2035</c:v>
                </c:pt>
                <c:pt idx="4">
                  <c:v>2040</c:v>
                </c:pt>
                <c:pt idx="5">
                  <c:v>2045</c:v>
                </c:pt>
                <c:pt idx="6">
                  <c:v>2050</c:v>
                </c:pt>
              </c:numCache>
            </c:numRef>
          </c:cat>
          <c:val>
            <c:numRef>
              <c:f>Hoja1!$C$3:$C$9</c:f>
              <c:numCache>
                <c:formatCode>General</c:formatCode>
                <c:ptCount val="7"/>
                <c:pt idx="0">
                  <c:v>2.3900000000000001E-2</c:v>
                </c:pt>
                <c:pt idx="1">
                  <c:v>1.8499999999999999E-2</c:v>
                </c:pt>
                <c:pt idx="2">
                  <c:v>1.54E-2</c:v>
                </c:pt>
                <c:pt idx="3">
                  <c:v>1.2800000000000001E-2</c:v>
                </c:pt>
                <c:pt idx="4">
                  <c:v>1.0500000000000001E-2</c:v>
                </c:pt>
                <c:pt idx="5">
                  <c:v>8.3000000000000001E-3</c:v>
                </c:pt>
                <c:pt idx="6">
                  <c:v>6.3E-3</c:v>
                </c:pt>
              </c:numCache>
            </c:numRef>
          </c:val>
          <c:smooth val="0"/>
          <c:extLst>
            <c:ext xmlns:c16="http://schemas.microsoft.com/office/drawing/2014/chart" uri="{C3380CC4-5D6E-409C-BE32-E72D297353CC}">
              <c16:uniqueId val="{00000005-8FF5-4F5C-9ABD-6609E8CC40C8}"/>
            </c:ext>
          </c:extLst>
        </c:ser>
        <c:dLbls>
          <c:showLegendKey val="0"/>
          <c:showVal val="0"/>
          <c:showCatName val="0"/>
          <c:showSerName val="0"/>
          <c:showPercent val="0"/>
          <c:showBubbleSize val="0"/>
        </c:dLbls>
        <c:marker val="1"/>
        <c:smooth val="0"/>
        <c:axId val="161292696"/>
        <c:axId val="161292304"/>
      </c:lineChart>
      <c:catAx>
        <c:axId val="161291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Futura Bk BT" panose="020B0502020204020303" pitchFamily="34" charset="0"/>
                <a:ea typeface="+mn-ea"/>
                <a:cs typeface="+mn-cs"/>
              </a:defRPr>
            </a:pPr>
            <a:endParaRPr lang="es-MX"/>
          </a:p>
        </c:txPr>
        <c:crossAx val="161293088"/>
        <c:crosses val="autoZero"/>
        <c:auto val="1"/>
        <c:lblAlgn val="ctr"/>
        <c:lblOffset val="100"/>
        <c:noMultiLvlLbl val="0"/>
      </c:catAx>
      <c:valAx>
        <c:axId val="16129308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Futura Bk BT" panose="020B0502020204020303" pitchFamily="34" charset="0"/>
                <a:ea typeface="+mn-ea"/>
                <a:cs typeface="+mn-cs"/>
              </a:defRPr>
            </a:pPr>
            <a:endParaRPr lang="es-MX"/>
          </a:p>
        </c:txPr>
        <c:crossAx val="161291520"/>
        <c:crosses val="autoZero"/>
        <c:crossBetween val="between"/>
      </c:valAx>
      <c:valAx>
        <c:axId val="161292304"/>
        <c:scaling>
          <c:orientation val="minMax"/>
        </c:scaling>
        <c:delete val="0"/>
        <c:axPos val="r"/>
        <c:numFmt formatCode="0.00%" sourceLinked="0"/>
        <c:majorTickMark val="out"/>
        <c:minorTickMark val="none"/>
        <c:tickLblPos val="nextTo"/>
        <c:spPr>
          <a:noFill/>
          <a:ln>
            <a:noFill/>
          </a:ln>
          <a:effectLst/>
        </c:spPr>
        <c:txPr>
          <a:bodyPr rot="-60000000" spcFirstLastPara="1" vertOverflow="ellipsis" vert="horz" wrap="square" anchor="ctr" anchorCtr="1"/>
          <a:lstStyle/>
          <a:p>
            <a:pPr>
              <a:defRPr sz="800" b="1" i="0" u="none" strike="noStrike" kern="1200" baseline="0">
                <a:solidFill>
                  <a:schemeClr val="tx1">
                    <a:lumMod val="65000"/>
                    <a:lumOff val="35000"/>
                  </a:schemeClr>
                </a:solidFill>
                <a:latin typeface="Futura Bk BT" panose="020B0502020204020303" pitchFamily="34" charset="0"/>
                <a:ea typeface="+mn-ea"/>
                <a:cs typeface="+mn-cs"/>
              </a:defRPr>
            </a:pPr>
            <a:endParaRPr lang="es-MX"/>
          </a:p>
        </c:txPr>
        <c:crossAx val="161292696"/>
        <c:crosses val="max"/>
        <c:crossBetween val="between"/>
      </c:valAx>
      <c:catAx>
        <c:axId val="161292696"/>
        <c:scaling>
          <c:orientation val="minMax"/>
        </c:scaling>
        <c:delete val="1"/>
        <c:axPos val="b"/>
        <c:numFmt formatCode="General" sourceLinked="1"/>
        <c:majorTickMark val="out"/>
        <c:minorTickMark val="none"/>
        <c:tickLblPos val="nextTo"/>
        <c:crossAx val="161292304"/>
        <c:crosses val="autoZero"/>
        <c:auto val="1"/>
        <c:lblAlgn val="ctr"/>
        <c:lblOffset val="100"/>
        <c:noMultiLvlLbl val="0"/>
      </c:catAx>
      <c:spPr>
        <a:noFill/>
        <a:ln>
          <a:noFill/>
        </a:ln>
        <a:effectLst/>
      </c:spPr>
    </c:plotArea>
    <c:legend>
      <c:legendPos val="b"/>
      <c:layout>
        <c:manualLayout>
          <c:xMode val="edge"/>
          <c:yMode val="edge"/>
          <c:x val="0.12492196921330782"/>
          <c:y val="0.89373401973823041"/>
          <c:w val="0.79294885436617724"/>
          <c:h val="7.9554799634596662E-2"/>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Futura Bk BT" panose="020B0502020204020303" pitchFamily="34" charset="0"/>
              <a:ea typeface="+mn-ea"/>
              <a:cs typeface="+mn-cs"/>
            </a:defRPr>
          </a:pPr>
          <a:endParaRPr lang="es-MX"/>
        </a:p>
      </c:txPr>
    </c:legend>
    <c:plotVisOnly val="1"/>
    <c:dispBlanksAs val="gap"/>
    <c:showDLblsOverMax val="0"/>
  </c:chart>
  <c:spPr>
    <a:solidFill>
      <a:schemeClr val="bg1"/>
    </a:solidFill>
    <a:ln w="9525" cap="flat" cmpd="sng" algn="ctr">
      <a:noFill/>
      <a:round/>
    </a:ln>
    <a:effectLst/>
  </c:spPr>
  <c:txPr>
    <a:bodyPr/>
    <a:lstStyle/>
    <a:p>
      <a:pPr>
        <a:defRPr/>
      </a:pPr>
      <a:endParaRPr lang="es-MX"/>
    </a:p>
  </c:txPr>
  <c:externalData r:id="rId4">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'Mat. y T.C.'!$B$2</c:f>
              <c:strCache>
                <c:ptCount val="1"/>
                <c:pt idx="0">
                  <c:v>Matrícula</c:v>
                </c:pt>
              </c:strCache>
            </c:strRef>
          </c:tx>
          <c:spPr>
            <a:solidFill>
              <a:srgbClr val="3C8DA3"/>
            </a:solidFill>
            <a:ln>
              <a:solidFill>
                <a:srgbClr val="3C8DA3"/>
              </a:solidFill>
            </a:ln>
            <a:effectLst/>
          </c:spPr>
          <c:invertIfNegative val="0"/>
          <c:dPt>
            <c:idx val="4"/>
            <c:invertIfNegative val="0"/>
            <c:bubble3D val="0"/>
            <c:spPr>
              <a:solidFill>
                <a:srgbClr val="4BACC6"/>
              </a:solidFill>
              <a:ln w="12700">
                <a:solidFill>
                  <a:srgbClr val="4BACC6"/>
                </a:solidFill>
              </a:ln>
              <a:effectLst/>
            </c:spPr>
            <c:extLst>
              <c:ext xmlns:c16="http://schemas.microsoft.com/office/drawing/2014/chart" uri="{C3380CC4-5D6E-409C-BE32-E72D297353CC}">
                <c16:uniqueId val="{00000001-1369-4BBD-A749-C456D2F078EC}"/>
              </c:ext>
            </c:extLst>
          </c:dPt>
          <c:dLbls>
            <c:numFmt formatCode="#,##0" sourceLinked="0"/>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Futura Bk BT" panose="020B0502020204020303" pitchFamily="34" charset="0"/>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'Mat. y T.C.'!$A$4:$A$8</c:f>
              <c:strCache>
                <c:ptCount val="5"/>
                <c:pt idx="0">
                  <c:v>2015-2016</c:v>
                </c:pt>
                <c:pt idx="1">
                  <c:v>2016-2017</c:v>
                </c:pt>
                <c:pt idx="2">
                  <c:v>2017-2018</c:v>
                </c:pt>
                <c:pt idx="3">
                  <c:v>2018-2019</c:v>
                </c:pt>
                <c:pt idx="4">
                  <c:v>2019-2020</c:v>
                </c:pt>
              </c:strCache>
            </c:strRef>
          </c:cat>
          <c:val>
            <c:numRef>
              <c:f>'Mat. y T.C.'!$B$4:$B$8</c:f>
              <c:numCache>
                <c:formatCode>General</c:formatCode>
                <c:ptCount val="5"/>
                <c:pt idx="0">
                  <c:v>422704</c:v>
                </c:pt>
                <c:pt idx="1">
                  <c:v>435571</c:v>
                </c:pt>
                <c:pt idx="2">
                  <c:v>450255</c:v>
                </c:pt>
                <c:pt idx="3">
                  <c:v>463179</c:v>
                </c:pt>
                <c:pt idx="4">
                  <c:v>473792</c:v>
                </c:pt>
              </c:numCache>
            </c:numRef>
          </c:val>
          <c:extLst>
            <c:ext xmlns:c16="http://schemas.microsoft.com/office/drawing/2014/chart" uri="{C3380CC4-5D6E-409C-BE32-E72D297353CC}">
              <c16:uniqueId val="{00000002-1369-4BBD-A749-C456D2F078EC}"/>
            </c:ext>
          </c:extLst>
        </c:ser>
        <c:dLbls>
          <c:showLegendKey val="0"/>
          <c:showVal val="0"/>
          <c:showCatName val="0"/>
          <c:showSerName val="0"/>
          <c:showPercent val="0"/>
          <c:showBubbleSize val="0"/>
        </c:dLbls>
        <c:gapWidth val="50"/>
        <c:axId val="236969848"/>
        <c:axId val="236970240"/>
      </c:barChart>
      <c:lineChart>
        <c:grouping val="standard"/>
        <c:varyColors val="0"/>
        <c:ser>
          <c:idx val="1"/>
          <c:order val="1"/>
          <c:tx>
            <c:strRef>
              <c:f>'Mat. y T.C.'!$C$2</c:f>
              <c:strCache>
                <c:ptCount val="1"/>
                <c:pt idx="0">
                  <c:v>Tasa de Crecimiento</c:v>
                </c:pt>
              </c:strCache>
            </c:strRef>
          </c:tx>
          <c:spPr>
            <a:ln w="31750" cap="rnd">
              <a:solidFill>
                <a:srgbClr val="002060"/>
              </a:solidFill>
              <a:round/>
            </a:ln>
            <a:effectLst/>
          </c:spPr>
          <c:marker>
            <c:symbol val="circle"/>
            <c:size val="7"/>
            <c:spPr>
              <a:solidFill>
                <a:srgbClr val="002060"/>
              </a:solidFill>
              <a:ln w="12700">
                <a:solidFill>
                  <a:srgbClr val="002060"/>
                </a:solidFill>
              </a:ln>
              <a:effectLst/>
            </c:spPr>
          </c:marker>
          <c:dLbls>
            <c:numFmt formatCode="0.00%" sourceLinked="0"/>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Futura Bk BT" panose="020B0502020204020303" pitchFamily="34" charset="0"/>
                    <a:ea typeface="+mn-ea"/>
                    <a:cs typeface="+mn-cs"/>
                  </a:defRPr>
                </a:pPr>
                <a:endParaRPr lang="es-MX"/>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'Mat. y T.C.'!$A$4:$A$8</c:f>
              <c:strCache>
                <c:ptCount val="5"/>
                <c:pt idx="0">
                  <c:v>2015-2016</c:v>
                </c:pt>
                <c:pt idx="1">
                  <c:v>2016-2017</c:v>
                </c:pt>
                <c:pt idx="2">
                  <c:v>2017-2018</c:v>
                </c:pt>
                <c:pt idx="3">
                  <c:v>2018-2019</c:v>
                </c:pt>
                <c:pt idx="4">
                  <c:v>2019-2020</c:v>
                </c:pt>
              </c:strCache>
            </c:strRef>
          </c:cat>
          <c:val>
            <c:numRef>
              <c:f>'Mat. y T.C.'!$C$4:$C$8</c:f>
              <c:numCache>
                <c:formatCode>0.0000</c:formatCode>
                <c:ptCount val="5"/>
                <c:pt idx="0">
                  <c:v>2.9399999999999999E-2</c:v>
                </c:pt>
                <c:pt idx="1">
                  <c:v>3.04E-2</c:v>
                </c:pt>
                <c:pt idx="2">
                  <c:v>3.3700000000000001E-2</c:v>
                </c:pt>
                <c:pt idx="3">
                  <c:v>2.87E-2</c:v>
                </c:pt>
                <c:pt idx="4">
                  <c:v>2.29E-2</c:v>
                </c:pt>
              </c:numCache>
            </c:numRef>
          </c:val>
          <c:smooth val="0"/>
          <c:extLst>
            <c:ext xmlns:c16="http://schemas.microsoft.com/office/drawing/2014/chart" uri="{C3380CC4-5D6E-409C-BE32-E72D297353CC}">
              <c16:uniqueId val="{00000003-1369-4BBD-A749-C456D2F078EC}"/>
            </c:ext>
          </c:extLst>
        </c:ser>
        <c:dLbls>
          <c:showLegendKey val="0"/>
          <c:showVal val="0"/>
          <c:showCatName val="0"/>
          <c:showSerName val="0"/>
          <c:showPercent val="0"/>
          <c:showBubbleSize val="0"/>
        </c:dLbls>
        <c:marker val="1"/>
        <c:smooth val="0"/>
        <c:axId val="236971024"/>
        <c:axId val="236970632"/>
      </c:lineChart>
      <c:catAx>
        <c:axId val="2369698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baseline="0">
                <a:solidFill>
                  <a:sysClr val="windowText" lastClr="000000"/>
                </a:solidFill>
                <a:latin typeface="Futura Bk BT" panose="020B0502020204020303" pitchFamily="34" charset="0"/>
                <a:ea typeface="+mn-ea"/>
                <a:cs typeface="+mn-cs"/>
              </a:defRPr>
            </a:pPr>
            <a:endParaRPr lang="es-MX"/>
          </a:p>
        </c:txPr>
        <c:crossAx val="236970240"/>
        <c:crosses val="autoZero"/>
        <c:auto val="1"/>
        <c:lblAlgn val="ctr"/>
        <c:lblOffset val="100"/>
        <c:noMultiLvlLbl val="0"/>
      </c:catAx>
      <c:valAx>
        <c:axId val="236970240"/>
        <c:scaling>
          <c:orientation val="minMax"/>
          <c:max val="600000"/>
          <c:min val="0"/>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800" b="1" i="0" u="none" strike="noStrike" kern="1200" baseline="0">
                <a:solidFill>
                  <a:sysClr val="windowText" lastClr="000000"/>
                </a:solidFill>
                <a:latin typeface="Futura Bk BT" panose="020B0502020204020303" pitchFamily="34" charset="0"/>
                <a:ea typeface="+mn-ea"/>
                <a:cs typeface="+mn-cs"/>
              </a:defRPr>
            </a:pPr>
            <a:endParaRPr lang="es-MX"/>
          </a:p>
        </c:txPr>
        <c:crossAx val="236969848"/>
        <c:crosses val="autoZero"/>
        <c:crossBetween val="between"/>
      </c:valAx>
      <c:valAx>
        <c:axId val="236970632"/>
        <c:scaling>
          <c:orientation val="minMax"/>
          <c:max val="6.0000000000000012E-2"/>
        </c:scaling>
        <c:delete val="0"/>
        <c:axPos val="r"/>
        <c:numFmt formatCode="0.00%" sourceLinked="0"/>
        <c:majorTickMark val="out"/>
        <c:minorTickMark val="none"/>
        <c:tickLblPos val="nextTo"/>
        <c:spPr>
          <a:noFill/>
          <a:ln>
            <a:noFill/>
          </a:ln>
          <a:effectLst/>
        </c:spPr>
        <c:txPr>
          <a:bodyPr rot="-60000000" spcFirstLastPara="1" vertOverflow="ellipsis" vert="horz" wrap="square" anchor="ctr" anchorCtr="1"/>
          <a:lstStyle/>
          <a:p>
            <a:pPr>
              <a:defRPr sz="800" b="1" i="0" u="none" strike="noStrike" kern="1200" baseline="0">
                <a:solidFill>
                  <a:sysClr val="windowText" lastClr="000000"/>
                </a:solidFill>
                <a:latin typeface="Futura Bk BT" panose="020B0502020204020303" pitchFamily="34" charset="0"/>
                <a:ea typeface="+mn-ea"/>
                <a:cs typeface="+mn-cs"/>
              </a:defRPr>
            </a:pPr>
            <a:endParaRPr lang="es-MX"/>
          </a:p>
        </c:txPr>
        <c:crossAx val="236971024"/>
        <c:crosses val="max"/>
        <c:crossBetween val="between"/>
        <c:majorUnit val="1.0000000000000002E-2"/>
      </c:valAx>
      <c:catAx>
        <c:axId val="236971024"/>
        <c:scaling>
          <c:orientation val="minMax"/>
        </c:scaling>
        <c:delete val="1"/>
        <c:axPos val="b"/>
        <c:numFmt formatCode="General" sourceLinked="1"/>
        <c:majorTickMark val="out"/>
        <c:minorTickMark val="none"/>
        <c:tickLblPos val="nextTo"/>
        <c:crossAx val="236970632"/>
        <c:crosses val="autoZero"/>
        <c:auto val="1"/>
        <c:lblAlgn val="ctr"/>
        <c:lblOffset val="100"/>
        <c:noMultiLvlLbl val="0"/>
      </c:catAx>
      <c:spPr>
        <a:noFill/>
        <a:ln>
          <a:noFill/>
        </a:ln>
        <a:effectLst/>
      </c:spPr>
    </c:plotArea>
    <c:legend>
      <c:legendPos val="b"/>
      <c:layout>
        <c:manualLayout>
          <c:xMode val="edge"/>
          <c:yMode val="edge"/>
          <c:x val="0.15661366239995714"/>
          <c:y val="0.90038603618908541"/>
          <c:w val="0.70678518695940606"/>
          <c:h val="7.4574844294136702E-2"/>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Futura Bk BT" panose="020B0502020204020303" pitchFamily="34" charset="0"/>
              <a:ea typeface="+mn-ea"/>
              <a:cs typeface="+mn-cs"/>
            </a:defRPr>
          </a:pPr>
          <a:endParaRPr lang="es-MX"/>
        </a:p>
      </c:txPr>
    </c:legend>
    <c:plotVisOnly val="1"/>
    <c:dispBlanksAs val="gap"/>
    <c:showDLblsOverMax val="0"/>
  </c:chart>
  <c:spPr>
    <a:solidFill>
      <a:schemeClr val="bg1"/>
    </a:solidFill>
    <a:ln w="9525" cap="flat" cmpd="sng" algn="ctr">
      <a:noFill/>
      <a:round/>
    </a:ln>
    <a:effectLst/>
  </c:spPr>
  <c:txPr>
    <a:bodyPr/>
    <a:lstStyle/>
    <a:p>
      <a:pPr>
        <a:defRPr/>
      </a:pPr>
      <a:endParaRPr lang="es-MX"/>
    </a:p>
  </c:txPr>
  <c:externalData r:id="rId4">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6510414500074281"/>
          <c:y val="0.27911421978826506"/>
          <c:w val="0.4406528995196356"/>
          <c:h val="0.7000198472810869"/>
        </c:manualLayout>
      </c:layout>
      <c:pieChart>
        <c:varyColors val="1"/>
        <c:ser>
          <c:idx val="0"/>
          <c:order val="0"/>
          <c:tx>
            <c:v>Distribución de la Matrícula Estatal por Nivel Educativo Ciclo Escolar 2016-2017</c:v>
          </c:tx>
          <c:explosion val="8"/>
          <c:dPt>
            <c:idx val="0"/>
            <c:bubble3D val="0"/>
            <c:spPr>
              <a:solidFill>
                <a:srgbClr val="A9CEDC"/>
              </a:solidFill>
            </c:spPr>
            <c:extLst>
              <c:ext xmlns:c16="http://schemas.microsoft.com/office/drawing/2014/chart" uri="{C3380CC4-5D6E-409C-BE32-E72D297353CC}">
                <c16:uniqueId val="{00000001-A71D-4B23-AC88-2C5C7D12BF60}"/>
              </c:ext>
            </c:extLst>
          </c:dPt>
          <c:dPt>
            <c:idx val="1"/>
            <c:bubble3D val="0"/>
            <c:spPr>
              <a:solidFill>
                <a:srgbClr val="3C8DA3"/>
              </a:solidFill>
            </c:spPr>
            <c:extLst>
              <c:ext xmlns:c16="http://schemas.microsoft.com/office/drawing/2014/chart" uri="{C3380CC4-5D6E-409C-BE32-E72D297353CC}">
                <c16:uniqueId val="{00000003-A71D-4B23-AC88-2C5C7D12BF60}"/>
              </c:ext>
            </c:extLst>
          </c:dPt>
          <c:dPt>
            <c:idx val="2"/>
            <c:bubble3D val="0"/>
            <c:spPr>
              <a:solidFill>
                <a:srgbClr val="4BACC6"/>
              </a:solidFill>
            </c:spPr>
            <c:extLst>
              <c:ext xmlns:c16="http://schemas.microsoft.com/office/drawing/2014/chart" uri="{C3380CC4-5D6E-409C-BE32-E72D297353CC}">
                <c16:uniqueId val="{00000005-A71D-4B23-AC88-2C5C7D12BF60}"/>
              </c:ext>
            </c:extLst>
          </c:dPt>
          <c:dLbls>
            <c:dLbl>
              <c:idx val="0"/>
              <c:layout>
                <c:manualLayout>
                  <c:x val="0.14438591488180449"/>
                  <c:y val="-2.2750698460319532E-2"/>
                </c:manualLayout>
              </c:layout>
              <c:tx>
                <c:rich>
                  <a:bodyPr/>
                  <a:lstStyle/>
                  <a:p>
                    <a:pPr>
                      <a:defRPr sz="1000" b="1">
                        <a:solidFill>
                          <a:sysClr val="windowText" lastClr="000000"/>
                        </a:solidFill>
                        <a:latin typeface="Futura Bk BT" panose="020B0502020204020303" pitchFamily="34" charset="0"/>
                      </a:defRPr>
                    </a:pPr>
                    <a:fld id="{A83E6DA4-0AED-4824-BBA5-113F2BFA2557}" type="CATEGORYNAME">
                      <a:rPr lang="en-US" sz="1000"/>
                      <a:pPr>
                        <a:defRPr sz="1000" b="1">
                          <a:solidFill>
                            <a:sysClr val="windowText" lastClr="000000"/>
                          </a:solidFill>
                          <a:latin typeface="Futura Bk BT" panose="020B0502020204020303" pitchFamily="34" charset="0"/>
                        </a:defRPr>
                      </a:pPr>
                      <a:t>[NOMBRE DE CATEGORÍA]</a:t>
                    </a:fld>
                    <a:r>
                      <a:rPr lang="en-US" sz="1000" baseline="0"/>
                      <a:t>, 1.85%</a:t>
                    </a:r>
                  </a:p>
                  <a:p>
                    <a:pPr>
                      <a:defRPr sz="1000" b="1">
                        <a:solidFill>
                          <a:sysClr val="windowText" lastClr="000000"/>
                        </a:solidFill>
                        <a:latin typeface="Futura Bk BT" panose="020B0502020204020303" pitchFamily="34" charset="0"/>
                      </a:defRPr>
                    </a:pPr>
                    <a:endParaRPr lang="en-US" sz="1000" baseline="0"/>
                  </a:p>
                  <a:p>
                    <a:pPr>
                      <a:defRPr sz="1000" b="1">
                        <a:solidFill>
                          <a:sysClr val="windowText" lastClr="000000"/>
                        </a:solidFill>
                        <a:latin typeface="Futura Bk BT" panose="020B0502020204020303" pitchFamily="34" charset="0"/>
                      </a:defRPr>
                    </a:pPr>
                    <a:endParaRPr lang="es-MX"/>
                  </a:p>
                </c:rich>
              </c:tx>
              <c:numFmt formatCode="0.00%" sourceLinked="0"/>
              <c:spPr>
                <a:noFill/>
                <a:ln>
                  <a:noFill/>
                </a:ln>
                <a:effectLst/>
              </c:spPr>
              <c:showLegendKey val="0"/>
              <c:showVal val="1"/>
              <c:showCatName val="1"/>
              <c:showSerName val="0"/>
              <c:showPercent val="0"/>
              <c:showBubbleSize val="0"/>
              <c:extLst>
                <c:ext xmlns:c15="http://schemas.microsoft.com/office/drawing/2012/chart" uri="{CE6537A1-D6FC-4f65-9D91-7224C49458BB}">
                  <c15:layout>
                    <c:manualLayout>
                      <c:w val="0.21708597940117305"/>
                      <c:h val="0.15479723485268568"/>
                    </c:manualLayout>
                  </c15:layout>
                  <c15:dlblFieldTable/>
                  <c15:showDataLabelsRange val="0"/>
                </c:ext>
                <c:ext xmlns:c16="http://schemas.microsoft.com/office/drawing/2014/chart" uri="{C3380CC4-5D6E-409C-BE32-E72D297353CC}">
                  <c16:uniqueId val="{00000001-A71D-4B23-AC88-2C5C7D12BF60}"/>
                </c:ext>
              </c:extLst>
            </c:dLbl>
            <c:dLbl>
              <c:idx val="1"/>
              <c:layout>
                <c:manualLayout>
                  <c:x val="7.5568192046021831E-2"/>
                  <c:y val="-0.12102230697154505"/>
                </c:manualLayout>
              </c:layout>
              <c:tx>
                <c:rich>
                  <a:bodyPr/>
                  <a:lstStyle/>
                  <a:p>
                    <a:pPr>
                      <a:defRPr sz="1000" b="1">
                        <a:solidFill>
                          <a:sysClr val="windowText" lastClr="000000"/>
                        </a:solidFill>
                        <a:latin typeface="Futura Bk BT" panose="020B0502020204020303" pitchFamily="34" charset="0"/>
                      </a:defRPr>
                    </a:pPr>
                    <a:fld id="{0CDEF4A5-7ED7-4CD0-8D56-A24E2271C005}" type="CATEGORYNAME">
                      <a:rPr lang="en-US" sz="1000"/>
                      <a:pPr>
                        <a:defRPr sz="1000" b="1">
                          <a:solidFill>
                            <a:sysClr val="windowText" lastClr="000000"/>
                          </a:solidFill>
                          <a:latin typeface="Futura Bk BT" panose="020B0502020204020303" pitchFamily="34" charset="0"/>
                        </a:defRPr>
                      </a:pPr>
                      <a:t>[NOMBRE DE CATEGORÍA]</a:t>
                    </a:fld>
                    <a:r>
                      <a:rPr lang="en-US" sz="1000" baseline="0"/>
                      <a:t>, 72.16%</a:t>
                    </a:r>
                  </a:p>
                </c:rich>
              </c:tx>
              <c:numFmt formatCode="0.00%" sourceLinked="0"/>
              <c:spPr>
                <a:noFill/>
                <a:ln>
                  <a:noFill/>
                </a:ln>
                <a:effectLst/>
              </c:spPr>
              <c:showLegendKey val="0"/>
              <c:showVal val="1"/>
              <c:showCatName val="1"/>
              <c:showSerName val="0"/>
              <c:showPercent val="0"/>
              <c:showBubbleSize val="0"/>
              <c:extLst>
                <c:ext xmlns:c15="http://schemas.microsoft.com/office/drawing/2012/chart" uri="{CE6537A1-D6FC-4f65-9D91-7224C49458BB}">
                  <c15:layout>
                    <c:manualLayout>
                      <c:w val="0.20671399350258693"/>
                      <c:h val="9.3876130828114121E-2"/>
                    </c:manualLayout>
                  </c15:layout>
                  <c15:dlblFieldTable/>
                  <c15:showDataLabelsRange val="0"/>
                </c:ext>
                <c:ext xmlns:c16="http://schemas.microsoft.com/office/drawing/2014/chart" uri="{C3380CC4-5D6E-409C-BE32-E72D297353CC}">
                  <c16:uniqueId val="{00000003-A71D-4B23-AC88-2C5C7D12BF60}"/>
                </c:ext>
              </c:extLst>
            </c:dLbl>
            <c:dLbl>
              <c:idx val="2"/>
              <c:layout>
                <c:manualLayout>
                  <c:x val="-6.4996868773667754E-2"/>
                  <c:y val="1.3167195436687325E-3"/>
                </c:manualLayout>
              </c:layout>
              <c:tx>
                <c:rich>
                  <a:bodyPr/>
                  <a:lstStyle/>
                  <a:p>
                    <a:pPr>
                      <a:defRPr sz="1000" b="1">
                        <a:solidFill>
                          <a:sysClr val="windowText" lastClr="000000"/>
                        </a:solidFill>
                        <a:latin typeface="Futura Bk BT" panose="020B0502020204020303" pitchFamily="34" charset="0"/>
                      </a:defRPr>
                    </a:pPr>
                    <a:fld id="{9DDFFB64-DA67-4842-90A7-8E9F7F99AB3A}" type="CATEGORYNAME">
                      <a:rPr lang="en-US" sz="1000"/>
                      <a:pPr>
                        <a:defRPr sz="1000" b="1">
                          <a:solidFill>
                            <a:sysClr val="windowText" lastClr="000000"/>
                          </a:solidFill>
                          <a:latin typeface="Futura Bk BT" panose="020B0502020204020303" pitchFamily="34" charset="0"/>
                        </a:defRPr>
                      </a:pPr>
                      <a:t>[NOMBRE DE CATEGORÍA]</a:t>
                    </a:fld>
                    <a:r>
                      <a:rPr lang="en-US" sz="1000" baseline="0"/>
                      <a:t>, 14.97%</a:t>
                    </a:r>
                  </a:p>
                </c:rich>
              </c:tx>
              <c:numFmt formatCode="0.00%" sourceLinked="0"/>
              <c:spPr>
                <a:noFill/>
                <a:ln>
                  <a:noFill/>
                </a:ln>
                <a:effectLst/>
              </c:spPr>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A71D-4B23-AC88-2C5C7D12BF60}"/>
                </c:ext>
              </c:extLst>
            </c:dLbl>
            <c:dLbl>
              <c:idx val="3"/>
              <c:layout>
                <c:manualLayout>
                  <c:x val="-2.857421669602097E-2"/>
                  <c:y val="-7.8507827440150363E-2"/>
                </c:manualLayout>
              </c:layout>
              <c:tx>
                <c:rich>
                  <a:bodyPr/>
                  <a:lstStyle/>
                  <a:p>
                    <a:pPr>
                      <a:defRPr sz="1000" b="1">
                        <a:solidFill>
                          <a:sysClr val="windowText" lastClr="000000"/>
                        </a:solidFill>
                        <a:latin typeface="Futura Bk BT" panose="020B0502020204020303" pitchFamily="34" charset="0"/>
                      </a:defRPr>
                    </a:pPr>
                    <a:fld id="{252F3A39-5137-402C-A936-39494DDD941A}" type="CATEGORYNAME">
                      <a:rPr lang="en-US" sz="1000"/>
                      <a:pPr>
                        <a:defRPr sz="1000" b="1">
                          <a:solidFill>
                            <a:sysClr val="windowText" lastClr="000000"/>
                          </a:solidFill>
                          <a:latin typeface="Futura Bk BT" panose="020B0502020204020303" pitchFamily="34" charset="0"/>
                        </a:defRPr>
                      </a:pPr>
                      <a:t>[NOMBRE DE CATEGORÍA]</a:t>
                    </a:fld>
                    <a:r>
                      <a:rPr lang="en-US" sz="1000" baseline="0"/>
                      <a:t>, 11.02%</a:t>
                    </a:r>
                  </a:p>
                </c:rich>
              </c:tx>
              <c:numFmt formatCode="0.00%" sourceLinked="0"/>
              <c:spPr>
                <a:noFill/>
                <a:ln>
                  <a:noFill/>
                </a:ln>
                <a:effectLst/>
              </c:spPr>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A71D-4B23-AC88-2C5C7D12BF60}"/>
                </c:ext>
              </c:extLst>
            </c:dLbl>
            <c:numFmt formatCode="0.00%" sourceLinked="0"/>
            <c:spPr>
              <a:noFill/>
              <a:ln>
                <a:noFill/>
              </a:ln>
              <a:effectLst/>
            </c:spPr>
            <c:txPr>
              <a:bodyPr/>
              <a:lstStyle/>
              <a:p>
                <a:pPr>
                  <a:defRPr sz="800" b="1">
                    <a:solidFill>
                      <a:sysClr val="windowText" lastClr="000000"/>
                    </a:solidFill>
                    <a:latin typeface="Futura Bk BT" panose="020B0502020204020303" pitchFamily="34" charset="0"/>
                  </a:defRPr>
                </a:pPr>
                <a:endParaRPr lang="es-MX"/>
              </a:p>
            </c:txPr>
            <c:showLegendKey val="0"/>
            <c:showVal val="1"/>
            <c:showCatName val="1"/>
            <c:showSerName val="0"/>
            <c:showPercent val="0"/>
            <c:showBubbleSize val="0"/>
            <c:showLeaderLines val="1"/>
            <c:extLst>
              <c:ext xmlns:c15="http://schemas.microsoft.com/office/drawing/2012/chart" uri="{CE6537A1-D6FC-4f65-9D91-7224C49458BB}"/>
            </c:extLst>
          </c:dLbls>
          <c:cat>
            <c:strRef>
              <c:f>[1]G4!$A$3:$A$6</c:f>
              <c:strCache>
                <c:ptCount val="4"/>
                <c:pt idx="0">
                  <c:v>Inicial y Especial</c:v>
                </c:pt>
                <c:pt idx="1">
                  <c:v>Educación Básica</c:v>
                </c:pt>
                <c:pt idx="2">
                  <c:v>Educación Media</c:v>
                </c:pt>
                <c:pt idx="3">
                  <c:v>Educación Superior</c:v>
                </c:pt>
              </c:strCache>
            </c:strRef>
          </c:cat>
          <c:val>
            <c:numRef>
              <c:f>[1]G4!$C$3:$C$6</c:f>
              <c:numCache>
                <c:formatCode>General</c:formatCode>
                <c:ptCount val="4"/>
                <c:pt idx="0">
                  <c:v>1.9E-2</c:v>
                </c:pt>
                <c:pt idx="1">
                  <c:v>0.72599999999999998</c:v>
                </c:pt>
                <c:pt idx="2">
                  <c:v>0.153</c:v>
                </c:pt>
                <c:pt idx="3">
                  <c:v>0.10199999999999999</c:v>
                </c:pt>
              </c:numCache>
            </c:numRef>
          </c:val>
          <c:extLst>
            <c:ext xmlns:c16="http://schemas.microsoft.com/office/drawing/2014/chart" uri="{C3380CC4-5D6E-409C-BE32-E72D297353CC}">
              <c16:uniqueId val="{00000007-A71D-4B23-AC88-2C5C7D12BF60}"/>
            </c:ext>
          </c:extLst>
        </c:ser>
        <c:dLbls>
          <c:showLegendKey val="0"/>
          <c:showVal val="0"/>
          <c:showCatName val="0"/>
          <c:showSerName val="0"/>
          <c:showPercent val="0"/>
          <c:showBubbleSize val="0"/>
          <c:showLeaderLines val="1"/>
        </c:dLbls>
        <c:firstSliceAng val="0"/>
      </c:pieChart>
    </c:plotArea>
    <c:plotVisOnly val="1"/>
    <c:dispBlanksAs val="zero"/>
    <c:showDLblsOverMax val="0"/>
  </c:chart>
  <c:spPr>
    <a:ln>
      <a:noFill/>
    </a:ln>
  </c:sp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Primaria!$B$24</c:f>
              <c:strCache>
                <c:ptCount val="1"/>
                <c:pt idx="0">
                  <c:v>Cobertura Estatal</c:v>
                </c:pt>
              </c:strCache>
            </c:strRef>
          </c:tx>
          <c:spPr>
            <a:solidFill>
              <a:srgbClr val="3C8DA3"/>
            </a:solidFill>
            <a:ln w="12700">
              <a:solidFill>
                <a:srgbClr val="3C8DA3"/>
              </a:solid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Futura Bk BT" panose="020B0502020204020303" pitchFamily="34" charset="0"/>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Primaria!$A$25:$A$26</c:f>
              <c:strCache>
                <c:ptCount val="2"/>
                <c:pt idx="0">
                  <c:v>2018-2019</c:v>
                </c:pt>
                <c:pt idx="1">
                  <c:v>2019-2020</c:v>
                </c:pt>
              </c:strCache>
            </c:strRef>
          </c:cat>
          <c:val>
            <c:numRef>
              <c:f>Primaria!$B$25:$B$26</c:f>
              <c:numCache>
                <c:formatCode>General</c:formatCode>
                <c:ptCount val="2"/>
                <c:pt idx="0">
                  <c:v>1.002</c:v>
                </c:pt>
                <c:pt idx="1">
                  <c:v>1.1160000000000001</c:v>
                </c:pt>
              </c:numCache>
            </c:numRef>
          </c:val>
          <c:extLst>
            <c:ext xmlns:c16="http://schemas.microsoft.com/office/drawing/2014/chart" uri="{C3380CC4-5D6E-409C-BE32-E72D297353CC}">
              <c16:uniqueId val="{00000000-9AA0-4F5F-AADA-714F08EBD867}"/>
            </c:ext>
          </c:extLst>
        </c:ser>
        <c:ser>
          <c:idx val="1"/>
          <c:order val="1"/>
          <c:tx>
            <c:strRef>
              <c:f>Primaria!$C$24</c:f>
              <c:strCache>
                <c:ptCount val="1"/>
                <c:pt idx="0">
                  <c:v>Cobertura Nacional</c:v>
                </c:pt>
              </c:strCache>
            </c:strRef>
          </c:tx>
          <c:spPr>
            <a:solidFill>
              <a:schemeClr val="accent4"/>
            </a:solidFill>
            <a:ln w="12700">
              <a:solidFill>
                <a:schemeClr val="accent4"/>
              </a:solid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Futura Bk BT" panose="020B0502020204020303" pitchFamily="34" charset="0"/>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Primaria!$A$25:$A$26</c:f>
              <c:strCache>
                <c:ptCount val="2"/>
                <c:pt idx="0">
                  <c:v>2018-2019</c:v>
                </c:pt>
                <c:pt idx="1">
                  <c:v>2019-2020</c:v>
                </c:pt>
              </c:strCache>
            </c:strRef>
          </c:cat>
          <c:val>
            <c:numRef>
              <c:f>Primaria!$C$25:$C$26</c:f>
              <c:numCache>
                <c:formatCode>General</c:formatCode>
                <c:ptCount val="2"/>
                <c:pt idx="0">
                  <c:v>1.048</c:v>
                </c:pt>
                <c:pt idx="1">
                  <c:v>1.0469999999999999</c:v>
                </c:pt>
              </c:numCache>
            </c:numRef>
          </c:val>
          <c:extLst>
            <c:ext xmlns:c16="http://schemas.microsoft.com/office/drawing/2014/chart" uri="{C3380CC4-5D6E-409C-BE32-E72D297353CC}">
              <c16:uniqueId val="{00000001-9AA0-4F5F-AADA-714F08EBD867}"/>
            </c:ext>
          </c:extLst>
        </c:ser>
        <c:dLbls>
          <c:showLegendKey val="0"/>
          <c:showVal val="0"/>
          <c:showCatName val="0"/>
          <c:showSerName val="0"/>
          <c:showPercent val="0"/>
          <c:showBubbleSize val="0"/>
        </c:dLbls>
        <c:gapWidth val="100"/>
        <c:overlap val="-50"/>
        <c:axId val="1806102968"/>
        <c:axId val="2068840936"/>
      </c:barChart>
      <c:catAx>
        <c:axId val="1806102968"/>
        <c:scaling>
          <c:orientation val="minMax"/>
        </c:scaling>
        <c:delete val="0"/>
        <c:axPos val="b"/>
        <c:numFmt formatCode="General" sourceLinked="1"/>
        <c:majorTickMark val="none"/>
        <c:minorTickMark val="none"/>
        <c:tickLblPos val="nextTo"/>
        <c:spPr>
          <a:noFill/>
          <a:ln w="12700" cap="flat" cmpd="sng" algn="ctr">
            <a:solidFill>
              <a:schemeClr val="bg1">
                <a:lumMod val="65000"/>
              </a:schemeClr>
            </a:solidFill>
            <a:round/>
          </a:ln>
          <a:effectLst/>
        </c:spPr>
        <c:txPr>
          <a:bodyPr rot="-60000000" spcFirstLastPara="1" vertOverflow="ellipsis" vert="horz" wrap="square" anchor="ctr" anchorCtr="1"/>
          <a:lstStyle/>
          <a:p>
            <a:pPr>
              <a:defRPr sz="800" b="1" i="0" u="none" strike="noStrike" kern="1200" baseline="0">
                <a:solidFill>
                  <a:sysClr val="windowText" lastClr="000000"/>
                </a:solidFill>
                <a:latin typeface="Futura Bk BT" panose="020B0502020204020303" pitchFamily="34" charset="0"/>
                <a:ea typeface="+mn-ea"/>
                <a:cs typeface="+mn-cs"/>
              </a:defRPr>
            </a:pPr>
            <a:endParaRPr lang="es-MX"/>
          </a:p>
        </c:txPr>
        <c:crossAx val="2068840936"/>
        <c:crosses val="autoZero"/>
        <c:auto val="1"/>
        <c:lblAlgn val="ctr"/>
        <c:lblOffset val="100"/>
        <c:noMultiLvlLbl val="0"/>
      </c:catAx>
      <c:valAx>
        <c:axId val="2068840936"/>
        <c:scaling>
          <c:orientation val="minMax"/>
        </c:scaling>
        <c:delete val="1"/>
        <c:axPos val="l"/>
        <c:numFmt formatCode="General" sourceLinked="1"/>
        <c:majorTickMark val="none"/>
        <c:minorTickMark val="none"/>
        <c:tickLblPos val="nextTo"/>
        <c:crossAx val="1806102968"/>
        <c:crosses val="autoZero"/>
        <c:crossBetween val="between"/>
      </c:valAx>
      <c:spPr>
        <a:noFill/>
        <a:ln>
          <a:noFill/>
        </a:ln>
        <a:effectLst/>
      </c:spPr>
    </c:plotArea>
    <c:legend>
      <c:legendPos val="b"/>
      <c:layout>
        <c:manualLayout>
          <c:xMode val="edge"/>
          <c:yMode val="edge"/>
          <c:x val="1.28166544917694E-2"/>
          <c:y val="0.88949074074074097"/>
          <c:w val="0.971929152462087"/>
          <c:h val="8.2731481481481503E-2"/>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Futura Bk BT" panose="020B0502020204020303" pitchFamily="34" charset="0"/>
              <a:ea typeface="+mn-ea"/>
              <a:cs typeface="+mn-cs"/>
            </a:defRPr>
          </a:pPr>
          <a:endParaRPr lang="es-MX"/>
        </a:p>
      </c:txPr>
    </c:legend>
    <c:plotVisOnly val="1"/>
    <c:dispBlanksAs val="gap"/>
    <c:showDLblsOverMax val="0"/>
  </c:chart>
  <c:spPr>
    <a:solidFill>
      <a:schemeClr val="bg1"/>
    </a:solidFill>
    <a:ln w="9525" cap="flat" cmpd="sng" algn="ctr">
      <a:noFill/>
      <a:round/>
    </a:ln>
    <a:effectLst/>
  </c:spPr>
  <c:txPr>
    <a:bodyPr/>
    <a:lstStyle/>
    <a:p>
      <a:pPr>
        <a:defRPr/>
      </a:pPr>
      <a:endParaRPr lang="es-MX"/>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Primaria!$K$5</c:f>
              <c:strCache>
                <c:ptCount val="1"/>
                <c:pt idx="0">
                  <c:v>Lenguaje y Comunicación</c:v>
                </c:pt>
              </c:strCache>
            </c:strRef>
          </c:tx>
          <c:spPr>
            <a:solidFill>
              <a:srgbClr val="3C8DA3"/>
            </a:solidFill>
            <a:ln w="12700">
              <a:solidFill>
                <a:srgbClr val="3C8DA3"/>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Futura Bk BT" panose="020B0502020204020303" pitchFamily="34" charset="0"/>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Primaria!$L$4:$O$4</c:f>
              <c:strCache>
                <c:ptCount val="4"/>
                <c:pt idx="0">
                  <c:v>Nivel I</c:v>
                </c:pt>
                <c:pt idx="1">
                  <c:v>Nivel II</c:v>
                </c:pt>
                <c:pt idx="2">
                  <c:v>Nivel III</c:v>
                </c:pt>
                <c:pt idx="3">
                  <c:v>Nivel IV</c:v>
                </c:pt>
              </c:strCache>
            </c:strRef>
          </c:cat>
          <c:val>
            <c:numRef>
              <c:f>Primaria!$L$5:$O$5</c:f>
              <c:numCache>
                <c:formatCode>General</c:formatCode>
                <c:ptCount val="4"/>
                <c:pt idx="0">
                  <c:v>44.9</c:v>
                </c:pt>
                <c:pt idx="1">
                  <c:v>34.1</c:v>
                </c:pt>
                <c:pt idx="2">
                  <c:v>16.899999999999999</c:v>
                </c:pt>
                <c:pt idx="3">
                  <c:v>4.0999999999999996</c:v>
                </c:pt>
              </c:numCache>
            </c:numRef>
          </c:val>
          <c:extLst>
            <c:ext xmlns:c16="http://schemas.microsoft.com/office/drawing/2014/chart" uri="{C3380CC4-5D6E-409C-BE32-E72D297353CC}">
              <c16:uniqueId val="{00000000-84E2-48D8-8F9D-B3DCF1644287}"/>
            </c:ext>
          </c:extLst>
        </c:ser>
        <c:ser>
          <c:idx val="1"/>
          <c:order val="1"/>
          <c:tx>
            <c:strRef>
              <c:f>Primaria!$K$6</c:f>
              <c:strCache>
                <c:ptCount val="1"/>
                <c:pt idx="0">
                  <c:v>Matemáticas</c:v>
                </c:pt>
              </c:strCache>
            </c:strRef>
          </c:tx>
          <c:spPr>
            <a:solidFill>
              <a:srgbClr val="A9CEDC"/>
            </a:solidFill>
            <a:ln w="12700">
              <a:solidFill>
                <a:srgbClr val="A9CEDC"/>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Futura Bk BT" panose="020B0502020204020303" pitchFamily="34" charset="0"/>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Primaria!$L$4:$O$4</c:f>
              <c:strCache>
                <c:ptCount val="4"/>
                <c:pt idx="0">
                  <c:v>Nivel I</c:v>
                </c:pt>
                <c:pt idx="1">
                  <c:v>Nivel II</c:v>
                </c:pt>
                <c:pt idx="2">
                  <c:v>Nivel III</c:v>
                </c:pt>
                <c:pt idx="3">
                  <c:v>Nivel IV</c:v>
                </c:pt>
              </c:strCache>
            </c:strRef>
          </c:cat>
          <c:val>
            <c:numRef>
              <c:f>Primaria!$L$6:$O$6</c:f>
              <c:numCache>
                <c:formatCode>0.0</c:formatCode>
                <c:ptCount val="4"/>
                <c:pt idx="0" formatCode="General">
                  <c:v>60.7</c:v>
                </c:pt>
                <c:pt idx="1">
                  <c:v>18</c:v>
                </c:pt>
                <c:pt idx="2" formatCode="General">
                  <c:v>13.6</c:v>
                </c:pt>
                <c:pt idx="3" formatCode="General">
                  <c:v>7.7</c:v>
                </c:pt>
              </c:numCache>
            </c:numRef>
          </c:val>
          <c:extLst>
            <c:ext xmlns:c16="http://schemas.microsoft.com/office/drawing/2014/chart" uri="{C3380CC4-5D6E-409C-BE32-E72D297353CC}">
              <c16:uniqueId val="{00000001-84E2-48D8-8F9D-B3DCF1644287}"/>
            </c:ext>
          </c:extLst>
        </c:ser>
        <c:dLbls>
          <c:showLegendKey val="0"/>
          <c:showVal val="0"/>
          <c:showCatName val="0"/>
          <c:showSerName val="0"/>
          <c:showPercent val="0"/>
          <c:showBubbleSize val="0"/>
        </c:dLbls>
        <c:gapWidth val="50"/>
        <c:overlap val="-10"/>
        <c:axId val="1756077016"/>
        <c:axId val="1756102680"/>
      </c:barChart>
      <c:catAx>
        <c:axId val="1756077016"/>
        <c:scaling>
          <c:orientation val="minMax"/>
        </c:scaling>
        <c:delete val="0"/>
        <c:axPos val="b"/>
        <c:numFmt formatCode="General" sourceLinked="1"/>
        <c:majorTickMark val="none"/>
        <c:minorTickMark val="none"/>
        <c:tickLblPos val="nextTo"/>
        <c:spPr>
          <a:noFill/>
          <a:ln w="12700" cap="flat" cmpd="sng" algn="ctr">
            <a:solidFill>
              <a:schemeClr val="bg1">
                <a:lumMod val="65000"/>
              </a:schemeClr>
            </a:solidFill>
            <a:round/>
          </a:ln>
          <a:effectLst/>
        </c:spPr>
        <c:txPr>
          <a:bodyPr rot="-60000000" spcFirstLastPara="1" vertOverflow="ellipsis" vert="horz" wrap="square" anchor="ctr" anchorCtr="1"/>
          <a:lstStyle/>
          <a:p>
            <a:pPr>
              <a:defRPr sz="800" b="1" i="0" u="none" strike="noStrike" kern="1200" baseline="0">
                <a:solidFill>
                  <a:sysClr val="windowText" lastClr="000000"/>
                </a:solidFill>
                <a:latin typeface="Futura Bk BT" panose="020B0502020204020303" pitchFamily="34" charset="0"/>
                <a:ea typeface="+mn-ea"/>
                <a:cs typeface="+mn-cs"/>
              </a:defRPr>
            </a:pPr>
            <a:endParaRPr lang="es-MX"/>
          </a:p>
        </c:txPr>
        <c:crossAx val="1756102680"/>
        <c:crosses val="autoZero"/>
        <c:auto val="1"/>
        <c:lblAlgn val="ctr"/>
        <c:lblOffset val="100"/>
        <c:noMultiLvlLbl val="0"/>
      </c:catAx>
      <c:valAx>
        <c:axId val="1756102680"/>
        <c:scaling>
          <c:orientation val="minMax"/>
        </c:scaling>
        <c:delete val="1"/>
        <c:axPos val="l"/>
        <c:numFmt formatCode="General" sourceLinked="1"/>
        <c:majorTickMark val="none"/>
        <c:minorTickMark val="none"/>
        <c:tickLblPos val="nextTo"/>
        <c:crossAx val="1756077016"/>
        <c:crosses val="autoZero"/>
        <c:crossBetween val="between"/>
      </c:valAx>
      <c:spPr>
        <a:noFill/>
        <a:ln>
          <a:noFill/>
        </a:ln>
        <a:effectLst/>
      </c:spPr>
    </c:plotArea>
    <c:legend>
      <c:legendPos val="b"/>
      <c:layout>
        <c:manualLayout>
          <c:xMode val="edge"/>
          <c:yMode val="edge"/>
          <c:x val="1.1125633587299601E-2"/>
          <c:y val="0.89513455959829002"/>
          <c:w val="0.97235040964009101"/>
          <c:h val="7.8506301632952094E-2"/>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Futura Bk BT" panose="020B0502020204020303" pitchFamily="34" charset="0"/>
              <a:ea typeface="+mn-ea"/>
              <a:cs typeface="+mn-cs"/>
            </a:defRPr>
          </a:pPr>
          <a:endParaRPr lang="es-MX"/>
        </a:p>
      </c:txPr>
    </c:legend>
    <c:plotVisOnly val="1"/>
    <c:dispBlanksAs val="gap"/>
    <c:showDLblsOverMax val="0"/>
  </c:chart>
  <c:spPr>
    <a:solidFill>
      <a:schemeClr val="bg1"/>
    </a:solidFill>
    <a:ln w="9525" cap="flat" cmpd="sng" algn="ctr">
      <a:noFill/>
      <a:round/>
    </a:ln>
    <a:effectLst/>
  </c:spPr>
  <c:txPr>
    <a:bodyPr/>
    <a:lstStyle/>
    <a:p>
      <a:pPr>
        <a:defRPr/>
      </a:pPr>
      <a:endParaRPr lang="es-MX"/>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Secundaria!$B$14</c:f>
              <c:strCache>
                <c:ptCount val="1"/>
                <c:pt idx="0">
                  <c:v>Cobertura Estatal</c:v>
                </c:pt>
              </c:strCache>
            </c:strRef>
          </c:tx>
          <c:spPr>
            <a:solidFill>
              <a:srgbClr val="3C8DA3"/>
            </a:solidFill>
            <a:ln w="12700">
              <a:solidFill>
                <a:srgbClr val="3C8DA3"/>
              </a:solid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Futura Bk BT" panose="020B0502020204020303" pitchFamily="34" charset="0"/>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Secundaria!$A$15:$A$16</c:f>
              <c:strCache>
                <c:ptCount val="2"/>
                <c:pt idx="0">
                  <c:v>2018-2019</c:v>
                </c:pt>
                <c:pt idx="1">
                  <c:v>2019-2020</c:v>
                </c:pt>
              </c:strCache>
            </c:strRef>
          </c:cat>
          <c:val>
            <c:numRef>
              <c:f>Secundaria!$B$15:$B$16</c:f>
              <c:numCache>
                <c:formatCode>General</c:formatCode>
                <c:ptCount val="2"/>
                <c:pt idx="0">
                  <c:v>0.97799999999999998</c:v>
                </c:pt>
                <c:pt idx="1">
                  <c:v>1.0049999999999999</c:v>
                </c:pt>
              </c:numCache>
            </c:numRef>
          </c:val>
          <c:extLst>
            <c:ext xmlns:c16="http://schemas.microsoft.com/office/drawing/2014/chart" uri="{C3380CC4-5D6E-409C-BE32-E72D297353CC}">
              <c16:uniqueId val="{00000000-7056-4D36-BC61-67059E43DD2B}"/>
            </c:ext>
          </c:extLst>
        </c:ser>
        <c:ser>
          <c:idx val="1"/>
          <c:order val="1"/>
          <c:tx>
            <c:strRef>
              <c:f>Secundaria!$C$14</c:f>
              <c:strCache>
                <c:ptCount val="1"/>
                <c:pt idx="0">
                  <c:v>Cobertura Nacional</c:v>
                </c:pt>
              </c:strCache>
            </c:strRef>
          </c:tx>
          <c:spPr>
            <a:solidFill>
              <a:schemeClr val="accent4"/>
            </a:solidFill>
            <a:ln w="12700">
              <a:solidFill>
                <a:schemeClr val="accent4"/>
              </a:solid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Futura Bk BT" panose="020B0502020204020303" pitchFamily="34" charset="0"/>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Secundaria!$A$15:$A$16</c:f>
              <c:strCache>
                <c:ptCount val="2"/>
                <c:pt idx="0">
                  <c:v>2018-2019</c:v>
                </c:pt>
                <c:pt idx="1">
                  <c:v>2019-2020</c:v>
                </c:pt>
              </c:strCache>
            </c:strRef>
          </c:cat>
          <c:val>
            <c:numRef>
              <c:f>Secundaria!$C$15:$C$16</c:f>
              <c:numCache>
                <c:formatCode>General</c:formatCode>
                <c:ptCount val="2"/>
                <c:pt idx="0">
                  <c:v>0.96499999999999997</c:v>
                </c:pt>
                <c:pt idx="1">
                  <c:v>0.96099999999999997</c:v>
                </c:pt>
              </c:numCache>
            </c:numRef>
          </c:val>
          <c:extLst>
            <c:ext xmlns:c16="http://schemas.microsoft.com/office/drawing/2014/chart" uri="{C3380CC4-5D6E-409C-BE32-E72D297353CC}">
              <c16:uniqueId val="{00000001-7056-4D36-BC61-67059E43DD2B}"/>
            </c:ext>
          </c:extLst>
        </c:ser>
        <c:dLbls>
          <c:showLegendKey val="0"/>
          <c:showVal val="0"/>
          <c:showCatName val="0"/>
          <c:showSerName val="0"/>
          <c:showPercent val="0"/>
          <c:showBubbleSize val="0"/>
        </c:dLbls>
        <c:gapWidth val="100"/>
        <c:overlap val="-50"/>
        <c:axId val="2020485112"/>
        <c:axId val="2020488584"/>
      </c:barChart>
      <c:catAx>
        <c:axId val="2020485112"/>
        <c:scaling>
          <c:orientation val="minMax"/>
        </c:scaling>
        <c:delete val="0"/>
        <c:axPos val="b"/>
        <c:numFmt formatCode="General" sourceLinked="1"/>
        <c:majorTickMark val="none"/>
        <c:minorTickMark val="none"/>
        <c:tickLblPos val="nextTo"/>
        <c:spPr>
          <a:noFill/>
          <a:ln w="12700" cap="flat" cmpd="sng" algn="ctr">
            <a:solidFill>
              <a:schemeClr val="bg1">
                <a:lumMod val="65000"/>
              </a:schemeClr>
            </a:solidFill>
            <a:round/>
          </a:ln>
          <a:effectLst/>
        </c:spPr>
        <c:txPr>
          <a:bodyPr rot="-60000000" spcFirstLastPara="1" vertOverflow="ellipsis" vert="horz" wrap="square" anchor="ctr" anchorCtr="1"/>
          <a:lstStyle/>
          <a:p>
            <a:pPr>
              <a:defRPr sz="800" b="1" i="0" u="none" strike="noStrike" kern="1200" baseline="0">
                <a:solidFill>
                  <a:sysClr val="windowText" lastClr="000000"/>
                </a:solidFill>
                <a:latin typeface="Futura Bk BT" panose="020B0502020204020303" pitchFamily="34" charset="0"/>
                <a:ea typeface="+mn-ea"/>
                <a:cs typeface="+mn-cs"/>
              </a:defRPr>
            </a:pPr>
            <a:endParaRPr lang="es-MX"/>
          </a:p>
        </c:txPr>
        <c:crossAx val="2020488584"/>
        <c:crosses val="autoZero"/>
        <c:auto val="1"/>
        <c:lblAlgn val="ctr"/>
        <c:lblOffset val="100"/>
        <c:noMultiLvlLbl val="0"/>
      </c:catAx>
      <c:valAx>
        <c:axId val="2020488584"/>
        <c:scaling>
          <c:orientation val="minMax"/>
        </c:scaling>
        <c:delete val="1"/>
        <c:axPos val="l"/>
        <c:numFmt formatCode="General" sourceLinked="1"/>
        <c:majorTickMark val="none"/>
        <c:minorTickMark val="none"/>
        <c:tickLblPos val="nextTo"/>
        <c:crossAx val="2020485112"/>
        <c:crosses val="autoZero"/>
        <c:crossBetween val="between"/>
      </c:valAx>
      <c:spPr>
        <a:noFill/>
        <a:ln>
          <a:noFill/>
        </a:ln>
        <a:effectLst/>
      </c:spPr>
    </c:plotArea>
    <c:legend>
      <c:legendPos val="b"/>
      <c:layout>
        <c:manualLayout>
          <c:xMode val="edge"/>
          <c:yMode val="edge"/>
          <c:x val="1.2369009429376901E-2"/>
          <c:y val="0.89301962671966695"/>
          <c:w val="0.97235688676170395"/>
          <c:h val="8.0089621722645499E-2"/>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Futura Bk BT" panose="020B0502020204020303" pitchFamily="34" charset="0"/>
              <a:ea typeface="+mn-ea"/>
              <a:cs typeface="+mn-cs"/>
            </a:defRPr>
          </a:pPr>
          <a:endParaRPr lang="es-MX"/>
        </a:p>
      </c:txPr>
    </c:legend>
    <c:plotVisOnly val="1"/>
    <c:dispBlanksAs val="gap"/>
    <c:showDLblsOverMax val="0"/>
  </c:chart>
  <c:spPr>
    <a:solidFill>
      <a:schemeClr val="bg1"/>
    </a:solidFill>
    <a:ln w="9525" cap="flat" cmpd="sng" algn="ctr">
      <a:noFill/>
      <a:round/>
    </a:ln>
    <a:effectLst/>
  </c:spPr>
  <c:txPr>
    <a:bodyPr/>
    <a:lstStyle/>
    <a:p>
      <a:pPr>
        <a:defRPr/>
      </a:pPr>
      <a:endParaRPr lang="es-MX"/>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Secundaria!$J$5</c:f>
              <c:strCache>
                <c:ptCount val="1"/>
                <c:pt idx="0">
                  <c:v>Lenguaje y Comunicación</c:v>
                </c:pt>
              </c:strCache>
            </c:strRef>
          </c:tx>
          <c:spPr>
            <a:solidFill>
              <a:srgbClr val="3C8DA3"/>
            </a:solidFill>
            <a:ln w="12700">
              <a:solidFill>
                <a:srgbClr val="3C8DA3"/>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Futura Bk BT" panose="020B0502020204020303" pitchFamily="34" charset="0"/>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Secundaria!$K$4:$N$4</c:f>
              <c:strCache>
                <c:ptCount val="4"/>
                <c:pt idx="0">
                  <c:v>Nivel I</c:v>
                </c:pt>
                <c:pt idx="1">
                  <c:v>Nivel II</c:v>
                </c:pt>
                <c:pt idx="2">
                  <c:v>Nivel III</c:v>
                </c:pt>
                <c:pt idx="3">
                  <c:v>Nivel IV</c:v>
                </c:pt>
              </c:strCache>
            </c:strRef>
          </c:cat>
          <c:val>
            <c:numRef>
              <c:f>Secundaria!$K$5:$N$5</c:f>
              <c:numCache>
                <c:formatCode>General</c:formatCode>
                <c:ptCount val="4"/>
                <c:pt idx="0">
                  <c:v>34.6</c:v>
                </c:pt>
                <c:pt idx="1">
                  <c:v>41.6</c:v>
                </c:pt>
                <c:pt idx="2">
                  <c:v>16.3</c:v>
                </c:pt>
                <c:pt idx="3">
                  <c:v>7.4</c:v>
                </c:pt>
              </c:numCache>
            </c:numRef>
          </c:val>
          <c:extLst>
            <c:ext xmlns:c16="http://schemas.microsoft.com/office/drawing/2014/chart" uri="{C3380CC4-5D6E-409C-BE32-E72D297353CC}">
              <c16:uniqueId val="{00000000-BA4D-4DA8-A5F5-0743D2988A7E}"/>
            </c:ext>
          </c:extLst>
        </c:ser>
        <c:ser>
          <c:idx val="1"/>
          <c:order val="1"/>
          <c:tx>
            <c:strRef>
              <c:f>Secundaria!$J$6</c:f>
              <c:strCache>
                <c:ptCount val="1"/>
                <c:pt idx="0">
                  <c:v>Matemáticas</c:v>
                </c:pt>
              </c:strCache>
            </c:strRef>
          </c:tx>
          <c:spPr>
            <a:solidFill>
              <a:srgbClr val="A9CEDC"/>
            </a:solidFill>
            <a:ln w="12700">
              <a:solidFill>
                <a:srgbClr val="A9CEDC"/>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Futura Bk BT" panose="020B0502020204020303" pitchFamily="34" charset="0"/>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Secundaria!$K$4:$N$4</c:f>
              <c:strCache>
                <c:ptCount val="4"/>
                <c:pt idx="0">
                  <c:v>Nivel I</c:v>
                </c:pt>
                <c:pt idx="1">
                  <c:v>Nivel II</c:v>
                </c:pt>
                <c:pt idx="2">
                  <c:v>Nivel III</c:v>
                </c:pt>
                <c:pt idx="3">
                  <c:v>Nivel IV</c:v>
                </c:pt>
              </c:strCache>
            </c:strRef>
          </c:cat>
          <c:val>
            <c:numRef>
              <c:f>Secundaria!$K$6:$N$6</c:f>
              <c:numCache>
                <c:formatCode>General</c:formatCode>
                <c:ptCount val="4"/>
                <c:pt idx="0">
                  <c:v>64.599999999999994</c:v>
                </c:pt>
                <c:pt idx="1">
                  <c:v>22.4</c:v>
                </c:pt>
                <c:pt idx="2">
                  <c:v>7.6</c:v>
                </c:pt>
                <c:pt idx="3">
                  <c:v>5.4</c:v>
                </c:pt>
              </c:numCache>
            </c:numRef>
          </c:val>
          <c:extLst>
            <c:ext xmlns:c16="http://schemas.microsoft.com/office/drawing/2014/chart" uri="{C3380CC4-5D6E-409C-BE32-E72D297353CC}">
              <c16:uniqueId val="{00000001-BA4D-4DA8-A5F5-0743D2988A7E}"/>
            </c:ext>
          </c:extLst>
        </c:ser>
        <c:dLbls>
          <c:showLegendKey val="0"/>
          <c:showVal val="0"/>
          <c:showCatName val="0"/>
          <c:showSerName val="0"/>
          <c:showPercent val="0"/>
          <c:showBubbleSize val="0"/>
        </c:dLbls>
        <c:gapWidth val="50"/>
        <c:overlap val="-10"/>
        <c:axId val="2078661192"/>
        <c:axId val="1806199368"/>
      </c:barChart>
      <c:catAx>
        <c:axId val="2078661192"/>
        <c:scaling>
          <c:orientation val="minMax"/>
        </c:scaling>
        <c:delete val="0"/>
        <c:axPos val="b"/>
        <c:numFmt formatCode="General" sourceLinked="1"/>
        <c:majorTickMark val="none"/>
        <c:minorTickMark val="none"/>
        <c:tickLblPos val="nextTo"/>
        <c:spPr>
          <a:noFill/>
          <a:ln w="12700" cap="flat" cmpd="sng" algn="ctr">
            <a:solidFill>
              <a:schemeClr val="bg1">
                <a:lumMod val="65000"/>
              </a:schemeClr>
            </a:solidFill>
            <a:round/>
          </a:ln>
          <a:effectLst/>
        </c:spPr>
        <c:txPr>
          <a:bodyPr rot="-60000000" spcFirstLastPara="1" vertOverflow="ellipsis" vert="horz" wrap="square" anchor="ctr" anchorCtr="1"/>
          <a:lstStyle/>
          <a:p>
            <a:pPr>
              <a:defRPr sz="800" b="1" i="0" u="none" strike="noStrike" kern="1200" baseline="0">
                <a:solidFill>
                  <a:sysClr val="windowText" lastClr="000000"/>
                </a:solidFill>
                <a:latin typeface="Futura Bk BT" panose="020B0502020204020303" pitchFamily="34" charset="0"/>
                <a:ea typeface="+mn-ea"/>
                <a:cs typeface="+mn-cs"/>
              </a:defRPr>
            </a:pPr>
            <a:endParaRPr lang="es-MX"/>
          </a:p>
        </c:txPr>
        <c:crossAx val="1806199368"/>
        <c:crosses val="autoZero"/>
        <c:auto val="1"/>
        <c:lblAlgn val="ctr"/>
        <c:lblOffset val="100"/>
        <c:noMultiLvlLbl val="0"/>
      </c:catAx>
      <c:valAx>
        <c:axId val="1806199368"/>
        <c:scaling>
          <c:orientation val="minMax"/>
        </c:scaling>
        <c:delete val="1"/>
        <c:axPos val="l"/>
        <c:numFmt formatCode="General" sourceLinked="1"/>
        <c:majorTickMark val="none"/>
        <c:minorTickMark val="none"/>
        <c:tickLblPos val="nextTo"/>
        <c:crossAx val="2078661192"/>
        <c:crosses val="autoZero"/>
        <c:crossBetween val="between"/>
      </c:valAx>
      <c:spPr>
        <a:noFill/>
        <a:ln>
          <a:noFill/>
        </a:ln>
        <a:effectLst/>
      </c:spPr>
    </c:plotArea>
    <c:legend>
      <c:legendPos val="b"/>
      <c:layout>
        <c:manualLayout>
          <c:xMode val="edge"/>
          <c:yMode val="edge"/>
          <c:x val="1.7268420715703201E-2"/>
          <c:y val="0.89547894522168403"/>
          <c:w val="0.96546294518063303"/>
          <c:h val="7.8248481310787696E-2"/>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Futura Bk BT" panose="020B0502020204020303" pitchFamily="34" charset="0"/>
              <a:ea typeface="+mn-ea"/>
              <a:cs typeface="+mn-cs"/>
            </a:defRPr>
          </a:pPr>
          <a:endParaRPr lang="es-MX"/>
        </a:p>
      </c:txPr>
    </c:legend>
    <c:plotVisOnly val="1"/>
    <c:dispBlanksAs val="gap"/>
    <c:showDLblsOverMax val="0"/>
  </c:chart>
  <c:spPr>
    <a:solidFill>
      <a:schemeClr val="bg1"/>
    </a:solidFill>
    <a:ln w="9525" cap="flat" cmpd="sng" algn="ctr">
      <a:noFill/>
      <a:round/>
    </a:ln>
    <a:effectLst/>
  </c:spPr>
  <c:txPr>
    <a:bodyPr/>
    <a:lstStyle/>
    <a:p>
      <a:pPr>
        <a:defRPr/>
      </a:pPr>
      <a:endParaRPr lang="es-MX"/>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Media!$B$24</c:f>
              <c:strCache>
                <c:ptCount val="1"/>
                <c:pt idx="0">
                  <c:v>Cobertura Estatal</c:v>
                </c:pt>
              </c:strCache>
            </c:strRef>
          </c:tx>
          <c:spPr>
            <a:solidFill>
              <a:srgbClr val="3C8DA3"/>
            </a:solidFill>
            <a:ln w="12700">
              <a:solidFill>
                <a:srgbClr val="3C8DA3"/>
              </a:solid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Futura Bk BT" panose="020B0502020204020303" pitchFamily="34" charset="0"/>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Media!$A$25:$A$26</c:f>
              <c:strCache>
                <c:ptCount val="2"/>
                <c:pt idx="0">
                  <c:v>2018-2019</c:v>
                </c:pt>
                <c:pt idx="1">
                  <c:v>2019-2020</c:v>
                </c:pt>
              </c:strCache>
            </c:strRef>
          </c:cat>
          <c:val>
            <c:numRef>
              <c:f>Media!$B$25:$B$26</c:f>
              <c:numCache>
                <c:formatCode>General</c:formatCode>
                <c:ptCount val="2"/>
                <c:pt idx="0">
                  <c:v>0.83199999999999996</c:v>
                </c:pt>
                <c:pt idx="1">
                  <c:v>0.80600000000000005</c:v>
                </c:pt>
              </c:numCache>
            </c:numRef>
          </c:val>
          <c:extLst>
            <c:ext xmlns:c16="http://schemas.microsoft.com/office/drawing/2014/chart" uri="{C3380CC4-5D6E-409C-BE32-E72D297353CC}">
              <c16:uniqueId val="{00000000-1490-4762-8C74-E92E5842793A}"/>
            </c:ext>
          </c:extLst>
        </c:ser>
        <c:ser>
          <c:idx val="1"/>
          <c:order val="1"/>
          <c:tx>
            <c:strRef>
              <c:f>Media!$C$24</c:f>
              <c:strCache>
                <c:ptCount val="1"/>
                <c:pt idx="0">
                  <c:v>Cobertura Nacional</c:v>
                </c:pt>
              </c:strCache>
            </c:strRef>
          </c:tx>
          <c:spPr>
            <a:solidFill>
              <a:schemeClr val="accent4"/>
            </a:solidFill>
            <a:ln w="12700">
              <a:solidFill>
                <a:schemeClr val="accent4"/>
              </a:solid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Futura Bk BT" panose="020B0502020204020303" pitchFamily="34" charset="0"/>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Media!$A$25:$A$26</c:f>
              <c:strCache>
                <c:ptCount val="2"/>
                <c:pt idx="0">
                  <c:v>2018-2019</c:v>
                </c:pt>
                <c:pt idx="1">
                  <c:v>2019-2020</c:v>
                </c:pt>
              </c:strCache>
            </c:strRef>
          </c:cat>
          <c:val>
            <c:numRef>
              <c:f>Media!$C$25:$C$26</c:f>
              <c:numCache>
                <c:formatCode>General</c:formatCode>
                <c:ptCount val="2"/>
                <c:pt idx="0">
                  <c:v>0.78700000000000003</c:v>
                </c:pt>
                <c:pt idx="1">
                  <c:v>0.78900000000000003</c:v>
                </c:pt>
              </c:numCache>
            </c:numRef>
          </c:val>
          <c:extLst>
            <c:ext xmlns:c16="http://schemas.microsoft.com/office/drawing/2014/chart" uri="{C3380CC4-5D6E-409C-BE32-E72D297353CC}">
              <c16:uniqueId val="{00000001-1490-4762-8C74-E92E5842793A}"/>
            </c:ext>
          </c:extLst>
        </c:ser>
        <c:dLbls>
          <c:showLegendKey val="0"/>
          <c:showVal val="0"/>
          <c:showCatName val="0"/>
          <c:showSerName val="0"/>
          <c:showPercent val="0"/>
          <c:showBubbleSize val="0"/>
        </c:dLbls>
        <c:gapWidth val="100"/>
        <c:overlap val="-50"/>
        <c:axId val="1786669656"/>
        <c:axId val="1786402888"/>
      </c:barChart>
      <c:catAx>
        <c:axId val="1786669656"/>
        <c:scaling>
          <c:orientation val="minMax"/>
        </c:scaling>
        <c:delete val="0"/>
        <c:axPos val="b"/>
        <c:numFmt formatCode="General" sourceLinked="1"/>
        <c:majorTickMark val="none"/>
        <c:minorTickMark val="none"/>
        <c:tickLblPos val="nextTo"/>
        <c:spPr>
          <a:noFill/>
          <a:ln w="12700" cap="flat" cmpd="sng" algn="ctr">
            <a:solidFill>
              <a:schemeClr val="bg1">
                <a:lumMod val="65000"/>
              </a:schemeClr>
            </a:solidFill>
            <a:round/>
          </a:ln>
          <a:effectLst/>
        </c:spPr>
        <c:txPr>
          <a:bodyPr rot="-60000000" spcFirstLastPara="1" vertOverflow="ellipsis" vert="horz" wrap="square" anchor="ctr" anchorCtr="1"/>
          <a:lstStyle/>
          <a:p>
            <a:pPr>
              <a:defRPr sz="800" b="1" i="0" u="none" strike="noStrike" kern="1200" baseline="0">
                <a:solidFill>
                  <a:sysClr val="windowText" lastClr="000000"/>
                </a:solidFill>
                <a:latin typeface="Futura Bk BT" panose="020B0502020204020303" pitchFamily="34" charset="0"/>
                <a:ea typeface="+mn-ea"/>
                <a:cs typeface="+mn-cs"/>
              </a:defRPr>
            </a:pPr>
            <a:endParaRPr lang="es-MX"/>
          </a:p>
        </c:txPr>
        <c:crossAx val="1786402888"/>
        <c:crosses val="autoZero"/>
        <c:auto val="1"/>
        <c:lblAlgn val="ctr"/>
        <c:lblOffset val="100"/>
        <c:noMultiLvlLbl val="0"/>
      </c:catAx>
      <c:valAx>
        <c:axId val="1786402888"/>
        <c:scaling>
          <c:orientation val="minMax"/>
        </c:scaling>
        <c:delete val="1"/>
        <c:axPos val="l"/>
        <c:numFmt formatCode="General" sourceLinked="1"/>
        <c:majorTickMark val="none"/>
        <c:minorTickMark val="none"/>
        <c:tickLblPos val="nextTo"/>
        <c:crossAx val="1786669656"/>
        <c:crosses val="autoZero"/>
        <c:crossBetween val="between"/>
      </c:valAx>
      <c:spPr>
        <a:noFill/>
        <a:ln>
          <a:noFill/>
        </a:ln>
        <a:effectLst/>
      </c:spPr>
    </c:plotArea>
    <c:legend>
      <c:legendPos val="b"/>
      <c:layout>
        <c:manualLayout>
          <c:xMode val="edge"/>
          <c:yMode val="edge"/>
          <c:x val="8.7715887365931097E-3"/>
          <c:y val="0.88949074074074097"/>
          <c:w val="0.97696985407688197"/>
          <c:h val="8.2731481481481503E-2"/>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Futura Bk BT" panose="020B0502020204020303" pitchFamily="34" charset="0"/>
              <a:ea typeface="+mn-ea"/>
              <a:cs typeface="+mn-cs"/>
            </a:defRPr>
          </a:pPr>
          <a:endParaRPr lang="es-MX"/>
        </a:p>
      </c:txPr>
    </c:legend>
    <c:plotVisOnly val="1"/>
    <c:dispBlanksAs val="gap"/>
    <c:showDLblsOverMax val="0"/>
  </c:chart>
  <c:spPr>
    <a:solidFill>
      <a:schemeClr val="bg1"/>
    </a:solidFill>
    <a:ln w="12700" cap="flat" cmpd="sng" algn="ctr">
      <a:noFill/>
      <a:round/>
    </a:ln>
    <a:effectLst/>
  </c:spPr>
  <c:txPr>
    <a:bodyPr/>
    <a:lstStyle/>
    <a:p>
      <a:pPr>
        <a:defRPr/>
      </a:pPr>
      <a:endParaRPr lang="es-MX"/>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Media!$J$5</c:f>
              <c:strCache>
                <c:ptCount val="1"/>
                <c:pt idx="0">
                  <c:v>Lenguaje y Comunicación</c:v>
                </c:pt>
              </c:strCache>
            </c:strRef>
          </c:tx>
          <c:spPr>
            <a:solidFill>
              <a:srgbClr val="3C8DA3"/>
            </a:solidFill>
            <a:ln w="12700">
              <a:solidFill>
                <a:srgbClr val="3C8DA3"/>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Futura Bk BT" panose="020B0502020204020303" pitchFamily="34" charset="0"/>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Media!$K$4:$N$4</c:f>
              <c:strCache>
                <c:ptCount val="4"/>
                <c:pt idx="0">
                  <c:v>Nivel I</c:v>
                </c:pt>
                <c:pt idx="1">
                  <c:v>Nivel II</c:v>
                </c:pt>
                <c:pt idx="2">
                  <c:v>Nivel III</c:v>
                </c:pt>
                <c:pt idx="3">
                  <c:v>Nivel IV</c:v>
                </c:pt>
              </c:strCache>
            </c:strRef>
          </c:cat>
          <c:val>
            <c:numRef>
              <c:f>Media!$K$5:$N$5</c:f>
              <c:numCache>
                <c:formatCode>General</c:formatCode>
                <c:ptCount val="4"/>
                <c:pt idx="0">
                  <c:v>29.5</c:v>
                </c:pt>
                <c:pt idx="1">
                  <c:v>28.5</c:v>
                </c:pt>
                <c:pt idx="2">
                  <c:v>32.1</c:v>
                </c:pt>
                <c:pt idx="3">
                  <c:v>9.9</c:v>
                </c:pt>
              </c:numCache>
            </c:numRef>
          </c:val>
          <c:extLst>
            <c:ext xmlns:c16="http://schemas.microsoft.com/office/drawing/2014/chart" uri="{C3380CC4-5D6E-409C-BE32-E72D297353CC}">
              <c16:uniqueId val="{00000000-7213-4B97-8673-3B35AEA94660}"/>
            </c:ext>
          </c:extLst>
        </c:ser>
        <c:ser>
          <c:idx val="1"/>
          <c:order val="1"/>
          <c:tx>
            <c:strRef>
              <c:f>Media!$J$6</c:f>
              <c:strCache>
                <c:ptCount val="1"/>
                <c:pt idx="0">
                  <c:v>Matemáticas</c:v>
                </c:pt>
              </c:strCache>
            </c:strRef>
          </c:tx>
          <c:spPr>
            <a:solidFill>
              <a:srgbClr val="A9CEDC"/>
            </a:solidFill>
            <a:ln w="12700">
              <a:solidFill>
                <a:srgbClr val="A9CEDC"/>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Futura Bk BT" panose="020B0502020204020303" pitchFamily="34" charset="0"/>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Media!$K$4:$N$4</c:f>
              <c:strCache>
                <c:ptCount val="4"/>
                <c:pt idx="0">
                  <c:v>Nivel I</c:v>
                </c:pt>
                <c:pt idx="1">
                  <c:v>Nivel II</c:v>
                </c:pt>
                <c:pt idx="2">
                  <c:v>Nivel III</c:v>
                </c:pt>
                <c:pt idx="3">
                  <c:v>Nivel IV</c:v>
                </c:pt>
              </c:strCache>
            </c:strRef>
          </c:cat>
          <c:val>
            <c:numRef>
              <c:f>Media!$K$6:$N$6</c:f>
              <c:numCache>
                <c:formatCode>General</c:formatCode>
                <c:ptCount val="4"/>
                <c:pt idx="0">
                  <c:v>69.400000000000006</c:v>
                </c:pt>
                <c:pt idx="1">
                  <c:v>22.5</c:v>
                </c:pt>
                <c:pt idx="2">
                  <c:v>6.4</c:v>
                </c:pt>
                <c:pt idx="3">
                  <c:v>1.7</c:v>
                </c:pt>
              </c:numCache>
            </c:numRef>
          </c:val>
          <c:extLst>
            <c:ext xmlns:c16="http://schemas.microsoft.com/office/drawing/2014/chart" uri="{C3380CC4-5D6E-409C-BE32-E72D297353CC}">
              <c16:uniqueId val="{00000001-7213-4B97-8673-3B35AEA94660}"/>
            </c:ext>
          </c:extLst>
        </c:ser>
        <c:dLbls>
          <c:showLegendKey val="0"/>
          <c:showVal val="0"/>
          <c:showCatName val="0"/>
          <c:showSerName val="0"/>
          <c:showPercent val="0"/>
          <c:showBubbleSize val="0"/>
        </c:dLbls>
        <c:gapWidth val="50"/>
        <c:overlap val="-10"/>
        <c:axId val="1756030360"/>
        <c:axId val="1756241032"/>
      </c:barChart>
      <c:catAx>
        <c:axId val="1756030360"/>
        <c:scaling>
          <c:orientation val="minMax"/>
        </c:scaling>
        <c:delete val="0"/>
        <c:axPos val="b"/>
        <c:numFmt formatCode="General" sourceLinked="1"/>
        <c:majorTickMark val="none"/>
        <c:minorTickMark val="none"/>
        <c:tickLblPos val="nextTo"/>
        <c:spPr>
          <a:noFill/>
          <a:ln w="12700" cap="flat" cmpd="sng" algn="ctr">
            <a:solidFill>
              <a:schemeClr val="bg1">
                <a:lumMod val="65000"/>
              </a:schemeClr>
            </a:solidFill>
            <a:round/>
          </a:ln>
          <a:effectLst/>
        </c:spPr>
        <c:txPr>
          <a:bodyPr rot="-60000000" spcFirstLastPara="1" vertOverflow="ellipsis" vert="horz" wrap="square" anchor="ctr" anchorCtr="1"/>
          <a:lstStyle/>
          <a:p>
            <a:pPr>
              <a:defRPr sz="800" b="1" i="0" u="none" strike="noStrike" kern="1200" baseline="0">
                <a:solidFill>
                  <a:sysClr val="windowText" lastClr="000000"/>
                </a:solidFill>
                <a:latin typeface="Futura Bk BT" panose="020B0502020204020303" pitchFamily="34" charset="0"/>
                <a:ea typeface="+mn-ea"/>
                <a:cs typeface="+mn-cs"/>
              </a:defRPr>
            </a:pPr>
            <a:endParaRPr lang="es-MX"/>
          </a:p>
        </c:txPr>
        <c:crossAx val="1756241032"/>
        <c:crosses val="autoZero"/>
        <c:auto val="1"/>
        <c:lblAlgn val="ctr"/>
        <c:lblOffset val="100"/>
        <c:noMultiLvlLbl val="0"/>
      </c:catAx>
      <c:valAx>
        <c:axId val="1756241032"/>
        <c:scaling>
          <c:orientation val="minMax"/>
        </c:scaling>
        <c:delete val="1"/>
        <c:axPos val="l"/>
        <c:numFmt formatCode="General" sourceLinked="1"/>
        <c:majorTickMark val="none"/>
        <c:minorTickMark val="none"/>
        <c:tickLblPos val="nextTo"/>
        <c:crossAx val="1756030360"/>
        <c:crosses val="autoZero"/>
        <c:crossBetween val="between"/>
      </c:valAx>
      <c:spPr>
        <a:noFill/>
        <a:ln>
          <a:noFill/>
        </a:ln>
        <a:effectLst/>
      </c:spPr>
    </c:plotArea>
    <c:legend>
      <c:legendPos val="b"/>
      <c:layout>
        <c:manualLayout>
          <c:xMode val="edge"/>
          <c:yMode val="edge"/>
          <c:x val="1.5543168665782901E-2"/>
          <c:y val="0.88949074074074097"/>
          <c:w val="0.96620913258053698"/>
          <c:h val="8.2731481481481503E-2"/>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Futura Bk BT" panose="020B0502020204020303" pitchFamily="34" charset="0"/>
              <a:ea typeface="+mn-ea"/>
              <a:cs typeface="+mn-cs"/>
            </a:defRPr>
          </a:pPr>
          <a:endParaRPr lang="es-MX"/>
        </a:p>
      </c:txPr>
    </c:legend>
    <c:plotVisOnly val="1"/>
    <c:dispBlanksAs val="gap"/>
    <c:showDLblsOverMax val="0"/>
  </c:chart>
  <c:spPr>
    <a:solidFill>
      <a:schemeClr val="bg1"/>
    </a:solidFill>
    <a:ln w="9525" cap="flat" cmpd="sng" algn="ctr">
      <a:noFill/>
      <a:round/>
    </a:ln>
    <a:effectLst/>
  </c:spPr>
  <c:txPr>
    <a:bodyPr/>
    <a:lstStyle/>
    <a:p>
      <a:pPr>
        <a:defRPr/>
      </a:pPr>
      <a:endParaRPr lang="es-MX"/>
    </a:p>
  </c:txPr>
  <c:externalData r:id="rId4">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Superior!$B$15</c:f>
              <c:strCache>
                <c:ptCount val="1"/>
                <c:pt idx="0">
                  <c:v>Cobertura Estatal</c:v>
                </c:pt>
              </c:strCache>
            </c:strRef>
          </c:tx>
          <c:spPr>
            <a:solidFill>
              <a:srgbClr val="3C8DA3"/>
            </a:solidFill>
            <a:ln w="12700">
              <a:solidFill>
                <a:srgbClr val="3C8DA3"/>
              </a:solid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Futura Bk BT" panose="020B0502020204020303" pitchFamily="34" charset="0"/>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Superior!$A$16:$A$17</c:f>
              <c:strCache>
                <c:ptCount val="2"/>
                <c:pt idx="0">
                  <c:v>2018-2019</c:v>
                </c:pt>
                <c:pt idx="1">
                  <c:v>2019-2020</c:v>
                </c:pt>
              </c:strCache>
            </c:strRef>
          </c:cat>
          <c:val>
            <c:numRef>
              <c:f>Superior!$B$16:$B$17</c:f>
              <c:numCache>
                <c:formatCode>General</c:formatCode>
                <c:ptCount val="2"/>
                <c:pt idx="0">
                  <c:v>0.30399999999999999</c:v>
                </c:pt>
                <c:pt idx="1">
                  <c:v>0.318</c:v>
                </c:pt>
              </c:numCache>
            </c:numRef>
          </c:val>
          <c:extLst>
            <c:ext xmlns:c16="http://schemas.microsoft.com/office/drawing/2014/chart" uri="{C3380CC4-5D6E-409C-BE32-E72D297353CC}">
              <c16:uniqueId val="{00000000-76D0-4A45-AD41-AD3FF6540B65}"/>
            </c:ext>
          </c:extLst>
        </c:ser>
        <c:ser>
          <c:idx val="1"/>
          <c:order val="1"/>
          <c:tx>
            <c:strRef>
              <c:f>Superior!$C$15</c:f>
              <c:strCache>
                <c:ptCount val="1"/>
                <c:pt idx="0">
                  <c:v>Cobertura Nacional</c:v>
                </c:pt>
              </c:strCache>
            </c:strRef>
          </c:tx>
          <c:spPr>
            <a:solidFill>
              <a:schemeClr val="accent4"/>
            </a:solidFill>
            <a:ln w="12700">
              <a:solidFill>
                <a:schemeClr val="accent4"/>
              </a:solidFill>
            </a:ln>
            <a:effectLst/>
          </c:spPr>
          <c:invertIfNegative val="0"/>
          <c:dLbls>
            <c:numFmt formatCode="0.0%" sourceLinked="0"/>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Futura Bk BT" panose="020B0502020204020303" pitchFamily="34" charset="0"/>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Superior!$A$16:$A$17</c:f>
              <c:strCache>
                <c:ptCount val="2"/>
                <c:pt idx="0">
                  <c:v>2018-2019</c:v>
                </c:pt>
                <c:pt idx="1">
                  <c:v>2019-2020</c:v>
                </c:pt>
              </c:strCache>
            </c:strRef>
          </c:cat>
          <c:val>
            <c:numRef>
              <c:f>Superior!$C$16:$C$17</c:f>
              <c:numCache>
                <c:formatCode>General</c:formatCode>
                <c:ptCount val="2"/>
                <c:pt idx="0">
                  <c:v>0.33900000000000002</c:v>
                </c:pt>
                <c:pt idx="1">
                  <c:v>0.34899999999999998</c:v>
                </c:pt>
              </c:numCache>
            </c:numRef>
          </c:val>
          <c:extLst>
            <c:ext xmlns:c16="http://schemas.microsoft.com/office/drawing/2014/chart" uri="{C3380CC4-5D6E-409C-BE32-E72D297353CC}">
              <c16:uniqueId val="{00000001-76D0-4A45-AD41-AD3FF6540B65}"/>
            </c:ext>
          </c:extLst>
        </c:ser>
        <c:dLbls>
          <c:showLegendKey val="0"/>
          <c:showVal val="0"/>
          <c:showCatName val="0"/>
          <c:showSerName val="0"/>
          <c:showPercent val="0"/>
          <c:showBubbleSize val="0"/>
        </c:dLbls>
        <c:gapWidth val="219"/>
        <c:overlap val="-27"/>
        <c:axId val="2073228888"/>
        <c:axId val="2078761080"/>
      </c:barChart>
      <c:catAx>
        <c:axId val="2073228888"/>
        <c:scaling>
          <c:orientation val="minMax"/>
        </c:scaling>
        <c:delete val="0"/>
        <c:axPos val="b"/>
        <c:numFmt formatCode="General" sourceLinked="1"/>
        <c:majorTickMark val="none"/>
        <c:minorTickMark val="none"/>
        <c:tickLblPos val="nextTo"/>
        <c:spPr>
          <a:noFill/>
          <a:ln w="12700" cap="flat" cmpd="sng" algn="ctr">
            <a:solidFill>
              <a:schemeClr val="bg1">
                <a:lumMod val="65000"/>
              </a:schemeClr>
            </a:solidFill>
            <a:round/>
          </a:ln>
          <a:effectLst/>
        </c:spPr>
        <c:txPr>
          <a:bodyPr rot="-60000000" spcFirstLastPara="1" vertOverflow="ellipsis" vert="horz" wrap="square" anchor="ctr" anchorCtr="1"/>
          <a:lstStyle/>
          <a:p>
            <a:pPr>
              <a:defRPr sz="800" b="1" i="0" u="none" strike="noStrike" kern="1200" baseline="0">
                <a:solidFill>
                  <a:sysClr val="windowText" lastClr="000000"/>
                </a:solidFill>
                <a:latin typeface="Futura Bk BT" panose="020B0502020204020303" pitchFamily="34" charset="0"/>
                <a:ea typeface="+mn-ea"/>
                <a:cs typeface="+mn-cs"/>
              </a:defRPr>
            </a:pPr>
            <a:endParaRPr lang="es-MX"/>
          </a:p>
        </c:txPr>
        <c:crossAx val="2078761080"/>
        <c:crosses val="autoZero"/>
        <c:auto val="1"/>
        <c:lblAlgn val="ctr"/>
        <c:lblOffset val="100"/>
        <c:noMultiLvlLbl val="0"/>
      </c:catAx>
      <c:valAx>
        <c:axId val="2078761080"/>
        <c:scaling>
          <c:orientation val="minMax"/>
        </c:scaling>
        <c:delete val="1"/>
        <c:axPos val="l"/>
        <c:numFmt formatCode="General" sourceLinked="1"/>
        <c:majorTickMark val="none"/>
        <c:minorTickMark val="none"/>
        <c:tickLblPos val="nextTo"/>
        <c:crossAx val="2073228888"/>
        <c:crosses val="autoZero"/>
        <c:crossBetween val="between"/>
      </c:valAx>
      <c:spPr>
        <a:noFill/>
        <a:ln>
          <a:noFill/>
        </a:ln>
        <a:effectLst/>
      </c:spPr>
    </c:plotArea>
    <c:legend>
      <c:legendPos val="b"/>
      <c:layout>
        <c:manualLayout>
          <c:xMode val="edge"/>
          <c:yMode val="edge"/>
          <c:x val="6.5186017136808798E-3"/>
          <c:y val="0.89337801986695997"/>
          <c:w val="0.97656643317143899"/>
          <c:h val="7.9821314829384898E-2"/>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Futura Bk BT" panose="020B0502020204020303" pitchFamily="34" charset="0"/>
              <a:ea typeface="+mn-ea"/>
              <a:cs typeface="+mn-cs"/>
            </a:defRPr>
          </a:pPr>
          <a:endParaRPr lang="es-MX"/>
        </a:p>
      </c:txPr>
    </c:legend>
    <c:plotVisOnly val="1"/>
    <c:dispBlanksAs val="gap"/>
    <c:showDLblsOverMax val="0"/>
  </c:chart>
  <c:spPr>
    <a:solidFill>
      <a:schemeClr val="bg1"/>
    </a:solidFill>
    <a:ln w="9525" cap="flat" cmpd="sng" algn="ctr">
      <a:noFill/>
      <a:round/>
    </a:ln>
    <a:effectLst/>
  </c:spPr>
  <c:txPr>
    <a:bodyPr/>
    <a:lstStyle/>
    <a:p>
      <a:pPr>
        <a:defRPr/>
      </a:pPr>
      <a:endParaRPr lang="es-MX"/>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7"/>
    </mc:Choice>
    <mc:Fallback>
      <c:style val="7"/>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4541152601323601"/>
          <c:y val="0.16670436456586599"/>
          <c:w val="0.61021921646297295"/>
          <c:h val="0.61876621805253096"/>
        </c:manualLayout>
      </c:layout>
      <c:barChart>
        <c:barDir val="col"/>
        <c:grouping val="clustered"/>
        <c:varyColors val="0"/>
        <c:ser>
          <c:idx val="0"/>
          <c:order val="0"/>
          <c:tx>
            <c:strRef>
              <c:f>Hoja1!$B$3</c:f>
              <c:strCache>
                <c:ptCount val="1"/>
                <c:pt idx="0">
                  <c:v>Hombres</c:v>
                </c:pt>
              </c:strCache>
            </c:strRef>
          </c:tx>
          <c:spPr>
            <a:solidFill>
              <a:schemeClr val="accent5">
                <a:shade val="58000"/>
              </a:schemeClr>
            </a:solidFill>
            <a:ln w="9525" cap="flat" cmpd="sng" algn="ctr">
              <a:noFill/>
              <a:prstDash val="solid"/>
              <a:round/>
            </a:ln>
            <a:effectLst/>
          </c:spPr>
          <c:invertIfNegative val="0"/>
          <c:cat>
            <c:numRef>
              <c:f>Hoja1!$A$4:$A$8</c:f>
              <c:numCache>
                <c:formatCode>General</c:formatCode>
                <c:ptCount val="5"/>
                <c:pt idx="0">
                  <c:v>1980</c:v>
                </c:pt>
                <c:pt idx="1">
                  <c:v>1990</c:v>
                </c:pt>
                <c:pt idx="2">
                  <c:v>1995</c:v>
                </c:pt>
                <c:pt idx="3">
                  <c:v>2000</c:v>
                </c:pt>
                <c:pt idx="4">
                  <c:v>2010</c:v>
                </c:pt>
              </c:numCache>
            </c:numRef>
          </c:cat>
          <c:val>
            <c:numRef>
              <c:f>Hoja1!$B$4:$B$8</c:f>
              <c:numCache>
                <c:formatCode>0_ ;\-0\ </c:formatCode>
                <c:ptCount val="5"/>
                <c:pt idx="0">
                  <c:v>8000</c:v>
                </c:pt>
                <c:pt idx="1">
                  <c:v>14000</c:v>
                </c:pt>
                <c:pt idx="2">
                  <c:v>17000</c:v>
                </c:pt>
                <c:pt idx="3">
                  <c:v>16000</c:v>
                </c:pt>
                <c:pt idx="4">
                  <c:v>18000</c:v>
                </c:pt>
              </c:numCache>
            </c:numRef>
          </c:val>
          <c:extLst>
            <c:ext xmlns:c16="http://schemas.microsoft.com/office/drawing/2014/chart" uri="{C3380CC4-5D6E-409C-BE32-E72D297353CC}">
              <c16:uniqueId val="{00000000-D3A9-4825-BC8E-0C997FB41937}"/>
            </c:ext>
          </c:extLst>
        </c:ser>
        <c:ser>
          <c:idx val="1"/>
          <c:order val="1"/>
          <c:tx>
            <c:strRef>
              <c:f>Hoja1!$C$3</c:f>
              <c:strCache>
                <c:ptCount val="1"/>
                <c:pt idx="0">
                  <c:v>Mujeres</c:v>
                </c:pt>
              </c:strCache>
            </c:strRef>
          </c:tx>
          <c:invertIfNegative val="0"/>
          <c:cat>
            <c:numRef>
              <c:f>Hoja1!$A$4:$A$8</c:f>
              <c:numCache>
                <c:formatCode>General</c:formatCode>
                <c:ptCount val="5"/>
                <c:pt idx="0">
                  <c:v>1980</c:v>
                </c:pt>
                <c:pt idx="1">
                  <c:v>1990</c:v>
                </c:pt>
                <c:pt idx="2">
                  <c:v>1995</c:v>
                </c:pt>
                <c:pt idx="3">
                  <c:v>2000</c:v>
                </c:pt>
                <c:pt idx="4">
                  <c:v>2010</c:v>
                </c:pt>
              </c:numCache>
            </c:numRef>
          </c:cat>
          <c:val>
            <c:numRef>
              <c:f>Hoja1!$C$4:$C$8</c:f>
              <c:numCache>
                <c:formatCode>_-* #,##0_-;\-* #,##0_-;_-* "-"??_-;_-@_-</c:formatCode>
                <c:ptCount val="5"/>
                <c:pt idx="0">
                  <c:v>12000</c:v>
                </c:pt>
                <c:pt idx="1">
                  <c:v>21000</c:v>
                </c:pt>
                <c:pt idx="2">
                  <c:v>26000</c:v>
                </c:pt>
                <c:pt idx="3">
                  <c:v>25000</c:v>
                </c:pt>
                <c:pt idx="4">
                  <c:v>27000</c:v>
                </c:pt>
              </c:numCache>
            </c:numRef>
          </c:val>
          <c:extLst>
            <c:ext xmlns:c16="http://schemas.microsoft.com/office/drawing/2014/chart" uri="{C3380CC4-5D6E-409C-BE32-E72D297353CC}">
              <c16:uniqueId val="{00000001-D3A9-4825-BC8E-0C997FB41937}"/>
            </c:ext>
          </c:extLst>
        </c:ser>
        <c:dLbls>
          <c:showLegendKey val="0"/>
          <c:showVal val="0"/>
          <c:showCatName val="0"/>
          <c:showSerName val="0"/>
          <c:showPercent val="0"/>
          <c:showBubbleSize val="0"/>
        </c:dLbls>
        <c:gapWidth val="150"/>
        <c:axId val="2073601368"/>
        <c:axId val="1756533256"/>
      </c:barChart>
      <c:catAx>
        <c:axId val="2073601368"/>
        <c:scaling>
          <c:orientation val="minMax"/>
        </c:scaling>
        <c:delete val="0"/>
        <c:axPos val="b"/>
        <c:numFmt formatCode="General" sourceLinked="1"/>
        <c:majorTickMark val="out"/>
        <c:minorTickMark val="none"/>
        <c:tickLblPos val="low"/>
        <c:spPr>
          <a:noFill/>
          <a:ln w="9525" cap="flat" cmpd="sng" algn="ctr">
            <a:solidFill>
              <a:schemeClr val="tx1">
                <a:tint val="75000"/>
                <a:shade val="95000"/>
                <a:satMod val="105000"/>
              </a:schemeClr>
            </a:solidFill>
            <a:prstDash val="solid"/>
            <a:round/>
          </a:ln>
          <a:effectLst/>
        </c:spPr>
        <c:txPr>
          <a:bodyPr rot="-60000000" vert="horz"/>
          <a:lstStyle/>
          <a:p>
            <a:pPr>
              <a:defRPr/>
            </a:pPr>
            <a:endParaRPr lang="es-MX"/>
          </a:p>
        </c:txPr>
        <c:crossAx val="1756533256"/>
        <c:crosses val="autoZero"/>
        <c:auto val="1"/>
        <c:lblAlgn val="ctr"/>
        <c:lblOffset val="100"/>
        <c:noMultiLvlLbl val="0"/>
      </c:catAx>
      <c:valAx>
        <c:axId val="1756533256"/>
        <c:scaling>
          <c:orientation val="minMax"/>
        </c:scaling>
        <c:delete val="0"/>
        <c:axPos val="l"/>
        <c:majorGridlines>
          <c:spPr>
            <a:ln w="9525" cap="flat" cmpd="sng" algn="ctr">
              <a:solidFill>
                <a:schemeClr val="tx1">
                  <a:tint val="75000"/>
                  <a:shade val="95000"/>
                  <a:satMod val="105000"/>
                </a:schemeClr>
              </a:solidFill>
              <a:prstDash val="solid"/>
              <a:round/>
            </a:ln>
            <a:effectLst/>
          </c:spPr>
        </c:majorGridlines>
        <c:numFmt formatCode="0_ ;\-0\ " sourceLinked="1"/>
        <c:majorTickMark val="out"/>
        <c:minorTickMark val="none"/>
        <c:tickLblPos val="nextTo"/>
        <c:spPr>
          <a:noFill/>
          <a:ln w="9525" cap="flat" cmpd="sng" algn="ctr">
            <a:solidFill>
              <a:schemeClr val="tx1">
                <a:tint val="75000"/>
                <a:shade val="95000"/>
                <a:satMod val="105000"/>
              </a:schemeClr>
            </a:solidFill>
            <a:prstDash val="solid"/>
            <a:round/>
          </a:ln>
          <a:effectLst/>
        </c:spPr>
        <c:txPr>
          <a:bodyPr rot="-60000000" vert="horz"/>
          <a:lstStyle/>
          <a:p>
            <a:pPr>
              <a:defRPr/>
            </a:pPr>
            <a:endParaRPr lang="es-MX"/>
          </a:p>
        </c:txPr>
        <c:crossAx val="2073601368"/>
        <c:crosses val="autoZero"/>
        <c:crossBetween val="between"/>
      </c:valAx>
      <c:spPr>
        <a:solidFill>
          <a:schemeClr val="bg1"/>
        </a:solidFill>
        <a:ln>
          <a:noFill/>
        </a:ln>
        <a:effectLst/>
      </c:spPr>
    </c:plotArea>
    <c:legend>
      <c:legendPos val="b"/>
      <c:overlay val="0"/>
    </c:legend>
    <c:plotVisOnly val="1"/>
    <c:dispBlanksAs val="gap"/>
    <c:showDLblsOverMax val="0"/>
  </c:chart>
  <c:spPr>
    <a:solidFill>
      <a:schemeClr val="bg1"/>
    </a:solidFill>
    <a:ln w="9525" cap="flat" cmpd="sng" algn="ctr">
      <a:noFill/>
      <a:prstDash val="solid"/>
      <a:round/>
    </a:ln>
    <a:effectLst/>
  </c:spPr>
  <c:txPr>
    <a:bodyPr/>
    <a:lstStyle/>
    <a:p>
      <a:pPr>
        <a:defRPr sz="900">
          <a:solidFill>
            <a:schemeClr val="tx1">
              <a:lumMod val="65000"/>
              <a:lumOff val="35000"/>
            </a:schemeClr>
          </a:solidFill>
          <a:latin typeface="Futura Std Condensed Light" pitchFamily="34" charset="0"/>
        </a:defRPr>
      </a:pPr>
      <a:endParaRPr lang="es-MX"/>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0.10474</cdr:x>
      <cdr:y>0.93979</cdr:y>
    </cdr:from>
    <cdr:to>
      <cdr:x>0.3913</cdr:x>
      <cdr:y>0.98429</cdr:y>
    </cdr:to>
    <cdr:sp macro="" textlink="">
      <cdr:nvSpPr>
        <cdr:cNvPr id="2" name="1 CuadroTexto"/>
        <cdr:cNvSpPr txBox="1"/>
      </cdr:nvSpPr>
      <cdr:spPr>
        <a:xfrm xmlns:a="http://schemas.openxmlformats.org/drawingml/2006/main">
          <a:off x="504825" y="3419475"/>
          <a:ext cx="1381125" cy="1619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s-MX" sz="1100"/>
        </a:p>
      </cdr:txBody>
    </cdr:sp>
  </cdr:relSizeAnchor>
  <cdr:relSizeAnchor xmlns:cdr="http://schemas.openxmlformats.org/drawingml/2006/chartDrawing">
    <cdr:from>
      <cdr:x>0.13636</cdr:x>
      <cdr:y>0.8534</cdr:y>
    </cdr:from>
    <cdr:to>
      <cdr:x>0.30435</cdr:x>
      <cdr:y>0.94241</cdr:y>
    </cdr:to>
    <cdr:sp macro="" textlink="">
      <cdr:nvSpPr>
        <cdr:cNvPr id="3" name="2 CuadroTexto"/>
        <cdr:cNvSpPr txBox="1"/>
      </cdr:nvSpPr>
      <cdr:spPr>
        <a:xfrm xmlns:a="http://schemas.openxmlformats.org/drawingml/2006/main">
          <a:off x="657225" y="3105150"/>
          <a:ext cx="809625" cy="3238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es-MX" sz="1100"/>
        </a:p>
      </cdr:txBody>
    </cdr:sp>
  </cdr:relSizeAnchor>
  <cdr:relSizeAnchor xmlns:cdr="http://schemas.openxmlformats.org/drawingml/2006/chartDrawing">
    <cdr:from>
      <cdr:x>0.01187</cdr:x>
      <cdr:y>0.93381</cdr:y>
    </cdr:from>
    <cdr:to>
      <cdr:x>1</cdr:x>
      <cdr:y>1</cdr:y>
    </cdr:to>
    <cdr:sp macro="" textlink="">
      <cdr:nvSpPr>
        <cdr:cNvPr id="4" name="3 CuadroTexto"/>
        <cdr:cNvSpPr txBox="1"/>
      </cdr:nvSpPr>
      <cdr:spPr>
        <a:xfrm xmlns:a="http://schemas.openxmlformats.org/drawingml/2006/main">
          <a:off x="62644" y="3762375"/>
          <a:ext cx="5214841" cy="266700"/>
        </a:xfrm>
        <a:prstGeom xmlns:a="http://schemas.openxmlformats.org/drawingml/2006/main" prst="rect">
          <a:avLst/>
        </a:prstGeom>
      </cdr:spPr>
      <cdr:txBody>
        <a:bodyPr xmlns:a="http://schemas.openxmlformats.org/drawingml/2006/main" vertOverflow="clip" wrap="square" rtlCol="0" anchor="b"/>
        <a:lstStyle xmlns:a="http://schemas.openxmlformats.org/drawingml/2006/main"/>
        <a:p xmlns:a="http://schemas.openxmlformats.org/drawingml/2006/main">
          <a:pPr algn="ctr"/>
          <a:endParaRPr lang="es-MX" sz="800">
            <a:latin typeface="Futura T OT Book"/>
          </a:endParaRP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4B60CF-7C67-4D65-B43C-58E34589E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82940</Words>
  <Characters>456175</Characters>
  <Application>Microsoft Office Word</Application>
  <DocSecurity>0</DocSecurity>
  <Lines>3801</Lines>
  <Paragraphs>1076</Paragraphs>
  <ScaleCrop>false</ScaleCrop>
  <HeadingPairs>
    <vt:vector size="2" baseType="variant">
      <vt:variant>
        <vt:lpstr>Título</vt:lpstr>
      </vt:variant>
      <vt:variant>
        <vt:i4>1</vt:i4>
      </vt:variant>
    </vt:vector>
  </HeadingPairs>
  <TitlesOfParts>
    <vt:vector size="1" baseType="lpstr">
      <vt:lpstr/>
    </vt:vector>
  </TitlesOfParts>
  <Company>OFICIALIA MAYOR</Company>
  <LinksUpToDate>false</LinksUpToDate>
  <CharactersWithSpaces>538039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JUAN CARLOS DURAN SUAREZ;ALEJANDRA CETINA</dc:creator>
  <cp:lastModifiedBy>alba perez</cp:lastModifiedBy>
  <cp:revision>33</cp:revision>
  <cp:lastPrinted>2020-10-13T14:48:00Z</cp:lastPrinted>
  <dcterms:created xsi:type="dcterms:W3CDTF">2020-10-13T00:01:00Z</dcterms:created>
  <dcterms:modified xsi:type="dcterms:W3CDTF">2020-10-13T15:19:00Z</dcterms:modified>
</cp:coreProperties>
</file>